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93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591"/>
      </w:tblGrid>
      <w:tr w:rsidR="00DB4EB8" w:rsidRPr="00F768B1" w14:paraId="039A009A" w14:textId="77777777" w:rsidTr="002A781D">
        <w:trPr>
          <w:jc w:val="center"/>
        </w:trPr>
        <w:tc>
          <w:tcPr>
            <w:tcW w:w="4755" w:type="dxa"/>
          </w:tcPr>
          <w:p w14:paraId="10BD0B65" w14:textId="77777777" w:rsidR="00DB4EB8" w:rsidRPr="00F768B1" w:rsidRDefault="00DB4EB8" w:rsidP="002A781D">
            <w:pPr>
              <w:tabs>
                <w:tab w:val="left" w:pos="-1440"/>
                <w:tab w:val="left" w:pos="-720"/>
                <w:tab w:val="left" w:pos="1"/>
              </w:tabs>
              <w:jc w:val="both"/>
              <w:rPr>
                <w:rFonts w:ascii="Arial" w:hAnsi="Arial"/>
                <w:b/>
                <w:sz w:val="24"/>
              </w:rPr>
            </w:pPr>
            <w:r w:rsidRPr="00F768B1">
              <w:rPr>
                <w:rFonts w:ascii="Arial" w:hAnsi="Arial"/>
                <w:b/>
                <w:noProof/>
                <w:sz w:val="24"/>
                <w:lang w:val="en-GB" w:eastAsia="en-GB"/>
              </w:rPr>
              <w:drawing>
                <wp:anchor distT="0" distB="0" distL="114300" distR="114300" simplePos="0" relativeHeight="251659264" behindDoc="1" locked="0" layoutInCell="1" allowOverlap="1" wp14:anchorId="4A98D5A5" wp14:editId="644903FD">
                  <wp:simplePos x="0" y="0"/>
                  <wp:positionH relativeFrom="column">
                    <wp:posOffset>69215</wp:posOffset>
                  </wp:positionH>
                  <wp:positionV relativeFrom="paragraph">
                    <wp:posOffset>85667</wp:posOffset>
                  </wp:positionV>
                  <wp:extent cx="2618740" cy="552450"/>
                  <wp:effectExtent l="0" t="0" r="0" b="0"/>
                  <wp:wrapNone/>
                  <wp:docPr id="6" name="Picture 6"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18740" cy="552450"/>
                          </a:xfrm>
                          <a:prstGeom prst="rect">
                            <a:avLst/>
                          </a:prstGeom>
                        </pic:spPr>
                      </pic:pic>
                    </a:graphicData>
                  </a:graphic>
                  <wp14:sizeRelH relativeFrom="margin">
                    <wp14:pctWidth>0</wp14:pctWidth>
                  </wp14:sizeRelH>
                  <wp14:sizeRelV relativeFrom="margin">
                    <wp14:pctHeight>0</wp14:pctHeight>
                  </wp14:sizeRelV>
                </wp:anchor>
              </w:drawing>
            </w:r>
          </w:p>
        </w:tc>
        <w:tc>
          <w:tcPr>
            <w:tcW w:w="4591" w:type="dxa"/>
          </w:tcPr>
          <w:p w14:paraId="3F6AE9D9" w14:textId="77777777" w:rsidR="00DB4EB8" w:rsidRPr="00F768B1" w:rsidRDefault="00DB4EB8" w:rsidP="002A781D">
            <w:pPr>
              <w:tabs>
                <w:tab w:val="left" w:pos="-1440"/>
                <w:tab w:val="left" w:pos="-720"/>
                <w:tab w:val="left" w:pos="1"/>
              </w:tabs>
              <w:jc w:val="right"/>
              <w:rPr>
                <w:rFonts w:ascii="Arial" w:hAnsi="Arial"/>
                <w:b/>
                <w:sz w:val="24"/>
              </w:rPr>
            </w:pPr>
            <w:r w:rsidRPr="00F768B1">
              <w:rPr>
                <w:noProof/>
              </w:rPr>
              <w:drawing>
                <wp:inline distT="0" distB="0" distL="0" distR="0" wp14:anchorId="602AF413" wp14:editId="6AE25DB5">
                  <wp:extent cx="1821815" cy="694025"/>
                  <wp:effectExtent l="0" t="0" r="6985" b="0"/>
                  <wp:docPr id="1" name="Picture 1" descr="Bond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5440" cy="813501"/>
                          </a:xfrm>
                          <a:prstGeom prst="rect">
                            <a:avLst/>
                          </a:prstGeom>
                          <a:noFill/>
                          <a:ln>
                            <a:noFill/>
                          </a:ln>
                        </pic:spPr>
                      </pic:pic>
                    </a:graphicData>
                  </a:graphic>
                </wp:inline>
              </w:drawing>
            </w:r>
          </w:p>
        </w:tc>
      </w:tr>
    </w:tbl>
    <w:p w14:paraId="4615D475" w14:textId="77777777" w:rsidR="00DB4EB8" w:rsidRPr="00A5652A" w:rsidRDefault="00DB4EB8" w:rsidP="00DB4EB8">
      <w:pPr>
        <w:pBdr>
          <w:bottom w:val="single" w:sz="18" w:space="0" w:color="auto"/>
        </w:pBdr>
        <w:tabs>
          <w:tab w:val="left" w:pos="-1440"/>
          <w:tab w:val="left" w:pos="-720"/>
          <w:tab w:val="left" w:pos="1"/>
        </w:tabs>
        <w:jc w:val="both"/>
        <w:rPr>
          <w:rFonts w:ascii="Arial" w:hAnsi="Arial"/>
          <w:b/>
          <w:sz w:val="4"/>
          <w:szCs w:val="4"/>
        </w:rPr>
      </w:pPr>
    </w:p>
    <w:p w14:paraId="4E847567" w14:textId="1927824D" w:rsidR="00DB4EB8" w:rsidRDefault="00DB4EB8" w:rsidP="00DB4EB8">
      <w:pPr>
        <w:pStyle w:val="ProductNumber"/>
      </w:pPr>
      <w:r>
        <w:t>9B17N009</w:t>
      </w:r>
    </w:p>
    <w:p w14:paraId="2D0BE15A" w14:textId="77777777" w:rsidR="00D75295" w:rsidRDefault="00D75295" w:rsidP="00D75295">
      <w:pPr>
        <w:jc w:val="right"/>
        <w:rPr>
          <w:rFonts w:ascii="Arial" w:hAnsi="Arial"/>
          <w:b/>
          <w:sz w:val="28"/>
          <w:szCs w:val="28"/>
        </w:rPr>
      </w:pPr>
    </w:p>
    <w:p w14:paraId="3BD116E8" w14:textId="77777777" w:rsidR="00866F6D" w:rsidRDefault="00866F6D" w:rsidP="00D75295">
      <w:pPr>
        <w:jc w:val="right"/>
        <w:rPr>
          <w:rFonts w:ascii="Arial" w:hAnsi="Arial"/>
          <w:b/>
          <w:sz w:val="28"/>
          <w:szCs w:val="28"/>
        </w:rPr>
      </w:pPr>
    </w:p>
    <w:p w14:paraId="5F689A9F" w14:textId="4A327EE9" w:rsidR="00013360" w:rsidRPr="00361C8E" w:rsidRDefault="009218FA" w:rsidP="00013360">
      <w:pPr>
        <w:pStyle w:val="CaseTitle"/>
        <w:spacing w:after="0" w:line="240" w:lineRule="auto"/>
      </w:pPr>
      <w:r>
        <w:t>medibank private l</w:t>
      </w:r>
      <w:r w:rsidR="007D41FD">
        <w:t>imited: the initial public offering</w:t>
      </w:r>
      <w:r w:rsidR="00327EE1">
        <w:rPr>
          <w:rStyle w:val="FootnoteReference"/>
        </w:rPr>
        <w:footnoteReference w:id="1"/>
      </w:r>
    </w:p>
    <w:p w14:paraId="4B00A585" w14:textId="77777777" w:rsidR="00013360" w:rsidRDefault="00013360" w:rsidP="00013360">
      <w:pPr>
        <w:pStyle w:val="CaseTitle"/>
        <w:spacing w:after="0" w:line="240" w:lineRule="auto"/>
        <w:rPr>
          <w:sz w:val="20"/>
          <w:szCs w:val="20"/>
        </w:rPr>
      </w:pPr>
    </w:p>
    <w:p w14:paraId="4CC73C26" w14:textId="77777777" w:rsidR="00013360" w:rsidRPr="00013360" w:rsidRDefault="00013360" w:rsidP="00013360">
      <w:pPr>
        <w:pStyle w:val="CaseTitle"/>
        <w:spacing w:after="0" w:line="240" w:lineRule="auto"/>
        <w:rPr>
          <w:sz w:val="20"/>
          <w:szCs w:val="20"/>
        </w:rPr>
      </w:pPr>
    </w:p>
    <w:p w14:paraId="125B69A1" w14:textId="77777777" w:rsidR="00013360" w:rsidRDefault="004350B2" w:rsidP="00104567">
      <w:pPr>
        <w:pStyle w:val="StyleCopyrightStatementAfter0ptBottomSinglesolidline1"/>
      </w:pPr>
      <w:r>
        <w:t xml:space="preserve">Barry Newell and Brianne Gardner </w:t>
      </w:r>
      <w:r w:rsidR="007E5921">
        <w:t xml:space="preserve">wrote this case </w:t>
      </w:r>
      <w:r>
        <w:t xml:space="preserve">under the supervision of Professor Colette Southam </w:t>
      </w:r>
      <w:r w:rsidR="007E5921">
        <w:t>sol</w:t>
      </w:r>
      <w:r w:rsidR="00D75295" w:rsidRPr="00104567">
        <w:t>ely to provide material for class discussion. The</w:t>
      </w:r>
      <w:r w:rsidR="00D75295">
        <w:t xml:space="preserve"> authors do not intend to illustrate either effective or ineffective handling of a managerial situation. The authors may have disguised certain names and other identifying information to protect confidentiality.</w:t>
      </w:r>
    </w:p>
    <w:p w14:paraId="09B885E8" w14:textId="77777777" w:rsidR="00546393" w:rsidRDefault="00546393" w:rsidP="00104567">
      <w:pPr>
        <w:pStyle w:val="StyleCopyrightStatementAfter0ptBottomSinglesolidline1"/>
      </w:pPr>
    </w:p>
    <w:p w14:paraId="31A4A47D" w14:textId="255CEC49" w:rsidR="00546393" w:rsidRDefault="00DB4EB8" w:rsidP="00546393">
      <w:pPr>
        <w:pStyle w:val="StyleCopyrightStatementAfter0ptBottomSinglesolidline1"/>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w:t>
      </w:r>
      <w:r>
        <w:rPr>
          <w:rFonts w:cs="Arial"/>
          <w:szCs w:val="16"/>
        </w:rPr>
        <w:t>publishing.ca</w:t>
      </w:r>
      <w:r w:rsidRPr="00A323B0">
        <w:rPr>
          <w:rFonts w:cs="Arial"/>
          <w:szCs w:val="16"/>
        </w:rPr>
        <w:t>.</w:t>
      </w:r>
      <w:r>
        <w:rPr>
          <w:rFonts w:cs="Arial"/>
          <w:szCs w:val="16"/>
        </w:rPr>
        <w:t xml:space="preserve"> Our goal is to publish materials of the highest quality; submit any errata to </w:t>
      </w:r>
      <w:r w:rsidRPr="00DB4EB8">
        <w:rPr>
          <w:rFonts w:cs="Arial"/>
          <w:szCs w:val="16"/>
        </w:rPr>
        <w:t>publishcases@ivey.ca</w:t>
      </w:r>
      <w:r>
        <w:rPr>
          <w:rFonts w:cs="Arial"/>
          <w:szCs w:val="16"/>
        </w:rPr>
        <w:t>.</w:t>
      </w:r>
    </w:p>
    <w:p w14:paraId="374C1E7A" w14:textId="77777777" w:rsidR="00DB4EB8" w:rsidRDefault="00DB4EB8" w:rsidP="00546393">
      <w:pPr>
        <w:pStyle w:val="StyleCopyrightStatementAfter0ptBottomSinglesolidline1"/>
      </w:pPr>
    </w:p>
    <w:p w14:paraId="5E441333" w14:textId="1635EE82" w:rsidR="00546393" w:rsidRDefault="00546393" w:rsidP="00546393">
      <w:pPr>
        <w:pStyle w:val="StyleStyleCopyrightStatementAfter0ptBottomSinglesolid"/>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 xml:space="preserve">Ivey </w:t>
      </w:r>
      <w:r w:rsidR="000923AC">
        <w:rPr>
          <w:rFonts w:cs="Arial"/>
          <w:szCs w:val="16"/>
          <w:lang w:val="en-CA"/>
        </w:rPr>
        <w:t>Business School Foundation</w:t>
      </w:r>
      <w:bookmarkStart w:id="0" w:name="_GoBack"/>
      <w:bookmarkEnd w:id="0"/>
      <w:r>
        <w:tab/>
        <w:t>Version: 20</w:t>
      </w:r>
      <w:r w:rsidR="00DB4EB8">
        <w:t>22-09-28</w:t>
      </w:r>
    </w:p>
    <w:p w14:paraId="55E48AAC" w14:textId="77777777" w:rsidR="003B7EF2" w:rsidRDefault="003B7EF2" w:rsidP="00104567">
      <w:pPr>
        <w:pStyle w:val="StyleCopyrightStatementAfter0ptBottomSinglesolidline1"/>
        <w:rPr>
          <w:rFonts w:ascii="Times New Roman" w:hAnsi="Times New Roman"/>
          <w:sz w:val="20"/>
        </w:rPr>
      </w:pPr>
    </w:p>
    <w:p w14:paraId="3BA8CA57" w14:textId="77777777" w:rsidR="009218FA" w:rsidRPr="003B7EF2" w:rsidRDefault="009218FA" w:rsidP="00104567">
      <w:pPr>
        <w:pStyle w:val="StyleCopyrightStatementAfter0ptBottomSinglesolidline1"/>
        <w:rPr>
          <w:rFonts w:ascii="Times New Roman" w:hAnsi="Times New Roman"/>
          <w:sz w:val="20"/>
        </w:rPr>
      </w:pPr>
    </w:p>
    <w:p w14:paraId="55674DFC" w14:textId="0BD994FD" w:rsidR="009218FA" w:rsidRPr="00BF4529" w:rsidRDefault="009218FA" w:rsidP="009218FA">
      <w:pPr>
        <w:pStyle w:val="BodyTextMain"/>
      </w:pPr>
      <w:r w:rsidRPr="00C54D96">
        <w:t xml:space="preserve">In November 2014, </w:t>
      </w:r>
      <w:r>
        <w:t xml:space="preserve">Brianne Gardner, a </w:t>
      </w:r>
      <w:r w:rsidR="002B78F8">
        <w:t>m</w:t>
      </w:r>
      <w:r>
        <w:t xml:space="preserve">aster of </w:t>
      </w:r>
      <w:r w:rsidR="00E32373">
        <w:t>f</w:t>
      </w:r>
      <w:r>
        <w:t>inance student and intern at Top Dog Wealth Management in Brisbane, Australia</w:t>
      </w:r>
      <w:r w:rsidR="00C23A4D">
        <w:t>,</w:t>
      </w:r>
      <w:r>
        <w:t xml:space="preserve"> was </w:t>
      </w:r>
      <w:r w:rsidR="00620DC3">
        <w:t xml:space="preserve">helping </w:t>
      </w:r>
      <w:r>
        <w:t xml:space="preserve">with </w:t>
      </w:r>
      <w:r w:rsidR="00943A49">
        <w:t>a</w:t>
      </w:r>
      <w:r>
        <w:t xml:space="preserve"> market</w:t>
      </w:r>
      <w:r w:rsidR="00943A49">
        <w:t xml:space="preserve"> evaluation </w:t>
      </w:r>
      <w:r>
        <w:t xml:space="preserve">and company evaluation for </w:t>
      </w:r>
      <w:r w:rsidRPr="00C54D96">
        <w:t>Medibank</w:t>
      </w:r>
      <w:r>
        <w:t xml:space="preserve"> </w:t>
      </w:r>
      <w:r w:rsidRPr="00C54D96">
        <w:t>Private Limited</w:t>
      </w:r>
      <w:r w:rsidR="00C23A4D">
        <w:t xml:space="preserve"> (Medibank)</w:t>
      </w:r>
      <w:r>
        <w:t xml:space="preserve">. </w:t>
      </w:r>
      <w:r w:rsidRPr="00683EA3">
        <w:t xml:space="preserve">The upcoming Medibank </w:t>
      </w:r>
      <w:r w:rsidR="00E32373" w:rsidRPr="00683EA3">
        <w:t>i</w:t>
      </w:r>
      <w:r w:rsidRPr="00683EA3">
        <w:t xml:space="preserve">nitial </w:t>
      </w:r>
      <w:r w:rsidR="00E32373" w:rsidRPr="00683EA3">
        <w:t>p</w:t>
      </w:r>
      <w:r w:rsidRPr="00683EA3">
        <w:t xml:space="preserve">ublic </w:t>
      </w:r>
      <w:r w:rsidR="00E32373" w:rsidRPr="00683EA3">
        <w:t>o</w:t>
      </w:r>
      <w:r w:rsidRPr="00683EA3">
        <w:t xml:space="preserve">ffering (IPO) was set to be </w:t>
      </w:r>
      <w:r w:rsidR="00683EA3" w:rsidRPr="00F02FEA">
        <w:t xml:space="preserve">one of </w:t>
      </w:r>
      <w:r w:rsidR="00943A49" w:rsidRPr="00683EA3">
        <w:t>Australia’s</w:t>
      </w:r>
      <w:r w:rsidRPr="00683EA3">
        <w:t xml:space="preserve"> largest</w:t>
      </w:r>
      <w:r>
        <w:t xml:space="preserve"> and was </w:t>
      </w:r>
      <w:r w:rsidR="00943A49">
        <w:t>expected</w:t>
      </w:r>
      <w:r w:rsidRPr="009E4584">
        <w:t xml:space="preserve"> to generate more </w:t>
      </w:r>
      <w:r>
        <w:t xml:space="preserve">than </w:t>
      </w:r>
      <w:r w:rsidRPr="009E4584">
        <w:t>$4 billion</w:t>
      </w:r>
      <w:r w:rsidR="0085105B">
        <w:rPr>
          <w:rStyle w:val="FootnoteReference"/>
        </w:rPr>
        <w:footnoteReference w:id="2"/>
      </w:r>
      <w:r w:rsidR="00410E5B">
        <w:t xml:space="preserve"> </w:t>
      </w:r>
      <w:r w:rsidRPr="009E4584">
        <w:t xml:space="preserve">from shareholders </w:t>
      </w:r>
      <w:r>
        <w:t xml:space="preserve">who were </w:t>
      </w:r>
      <w:r w:rsidRPr="009E4584">
        <w:t>keen to snap up a piece of the country’s largest private health insurer.</w:t>
      </w:r>
      <w:r>
        <w:t xml:space="preserve"> </w:t>
      </w:r>
      <w:r w:rsidR="00620DC3">
        <w:t>Because</w:t>
      </w:r>
      <w:r w:rsidR="00620DC3" w:rsidRPr="00BF4529">
        <w:t xml:space="preserve"> </w:t>
      </w:r>
      <w:r>
        <w:t xml:space="preserve">Gardner </w:t>
      </w:r>
      <w:r w:rsidRPr="00BF4529">
        <w:t>was new to the deal, h</w:t>
      </w:r>
      <w:r>
        <w:t xml:space="preserve">er supervisor </w:t>
      </w:r>
      <w:r w:rsidRPr="00BF4529">
        <w:t>gave h</w:t>
      </w:r>
      <w:r>
        <w:t>er</w:t>
      </w:r>
      <w:r w:rsidRPr="00BF4529">
        <w:t xml:space="preserve"> access to </w:t>
      </w:r>
      <w:r>
        <w:t>his notes and directed her to her business school’s Bloomberg terminals</w:t>
      </w:r>
      <w:r w:rsidRPr="00BF4529">
        <w:t xml:space="preserve">. As </w:t>
      </w:r>
      <w:r>
        <w:t>s</w:t>
      </w:r>
      <w:r w:rsidRPr="00BF4529">
        <w:t>he read through this material</w:t>
      </w:r>
      <w:r w:rsidRPr="00984781">
        <w:t xml:space="preserve">, </w:t>
      </w:r>
      <w:r w:rsidR="00E32373" w:rsidRPr="00984781">
        <w:t>Gardner</w:t>
      </w:r>
      <w:r w:rsidRPr="00BF4529">
        <w:t xml:space="preserve"> wondered about some important questions: What was </w:t>
      </w:r>
      <w:r>
        <w:t>Medibank</w:t>
      </w:r>
      <w:r w:rsidRPr="00BF4529">
        <w:t xml:space="preserve"> worth? Which valuation method</w:t>
      </w:r>
      <w:r>
        <w:t>s should she</w:t>
      </w:r>
      <w:r w:rsidRPr="00BF4529">
        <w:t xml:space="preserve"> use?</w:t>
      </w:r>
      <w:r w:rsidRPr="003824BF">
        <w:rPr>
          <w:i/>
        </w:rPr>
        <w:t xml:space="preserve"> </w:t>
      </w:r>
    </w:p>
    <w:p w14:paraId="7727A957" w14:textId="77777777" w:rsidR="009218FA" w:rsidRDefault="009218FA" w:rsidP="009218FA">
      <w:pPr>
        <w:pStyle w:val="BodyTextMain"/>
      </w:pPr>
    </w:p>
    <w:p w14:paraId="479864EB" w14:textId="77777777" w:rsidR="009218FA" w:rsidRPr="003824BF" w:rsidRDefault="009218FA" w:rsidP="009218FA">
      <w:pPr>
        <w:pStyle w:val="BodyTextMain"/>
      </w:pPr>
    </w:p>
    <w:p w14:paraId="3C645E04" w14:textId="77777777" w:rsidR="009218FA" w:rsidRPr="00C54D96" w:rsidRDefault="009218FA" w:rsidP="009218FA">
      <w:pPr>
        <w:pStyle w:val="Casehead1"/>
      </w:pPr>
      <w:r w:rsidRPr="00C54D96">
        <w:t>Introduction</w:t>
      </w:r>
      <w:r>
        <w:t xml:space="preserve"> to the Deal</w:t>
      </w:r>
    </w:p>
    <w:p w14:paraId="7177A6B4" w14:textId="77777777" w:rsidR="009218FA" w:rsidRDefault="009218FA" w:rsidP="009218FA">
      <w:pPr>
        <w:pStyle w:val="BodyTextMain"/>
      </w:pPr>
    </w:p>
    <w:p w14:paraId="16432CC5" w14:textId="5CDCB9B6" w:rsidR="009218FA" w:rsidRPr="00C54D96" w:rsidRDefault="009218FA" w:rsidP="009218FA">
      <w:pPr>
        <w:pStyle w:val="BodyTextMain"/>
      </w:pPr>
      <w:r w:rsidRPr="00C54D96">
        <w:t xml:space="preserve">In November 2014, </w:t>
      </w:r>
      <w:r w:rsidR="00E32373">
        <w:t xml:space="preserve">the </w:t>
      </w:r>
      <w:r w:rsidR="000C741F">
        <w:t xml:space="preserve">Australian </w:t>
      </w:r>
      <w:r w:rsidR="00E32373">
        <w:t xml:space="preserve">government was in the process of selling </w:t>
      </w:r>
      <w:r w:rsidRPr="00C54D96">
        <w:t>Medibank Private L</w:t>
      </w:r>
      <w:r w:rsidR="001C6257">
        <w:t>imited</w:t>
      </w:r>
      <w:r w:rsidR="000C741F">
        <w:t xml:space="preserve"> </w:t>
      </w:r>
      <w:r w:rsidRPr="00C54D96">
        <w:t>through an initial public offering of all common shares. Medibank was Australia’s largest private health insurer</w:t>
      </w:r>
      <w:r w:rsidR="00E32373">
        <w:t>,</w:t>
      </w:r>
      <w:r w:rsidRPr="00C54D96">
        <w:t xml:space="preserve"> with a 29</w:t>
      </w:r>
      <w:r w:rsidR="00E32373">
        <w:t xml:space="preserve"> per cent</w:t>
      </w:r>
      <w:r w:rsidRPr="00C54D96">
        <w:t xml:space="preserve"> share of the </w:t>
      </w:r>
      <w:r w:rsidR="00E32373">
        <w:t>$19</w:t>
      </w:r>
      <w:r w:rsidRPr="00C54D96">
        <w:t xml:space="preserve"> billion market</w:t>
      </w:r>
      <w:r w:rsidR="00620DC3">
        <w:t>.</w:t>
      </w:r>
      <w:r w:rsidR="003C0936">
        <w:rPr>
          <w:rStyle w:val="FootnoteReference"/>
        </w:rPr>
        <w:footnoteReference w:id="3"/>
      </w:r>
      <w:r w:rsidRPr="00C54D96">
        <w:t xml:space="preserve"> Investors were eager to get a piece of what was predicted t</w:t>
      </w:r>
      <w:r w:rsidRPr="00683EA3">
        <w:t xml:space="preserve">o be one of the biggest IPOs </w:t>
      </w:r>
      <w:r w:rsidR="00477437">
        <w:t xml:space="preserve">in Australia </w:t>
      </w:r>
      <w:r w:rsidRPr="00683EA3">
        <w:t>since Telstra and Q</w:t>
      </w:r>
      <w:r w:rsidR="00DD69A4" w:rsidRPr="00683EA3">
        <w:t xml:space="preserve">ueensland </w:t>
      </w:r>
      <w:r w:rsidRPr="00683EA3">
        <w:t>R</w:t>
      </w:r>
      <w:r w:rsidR="00DD69A4" w:rsidRPr="00683EA3">
        <w:t>ail</w:t>
      </w:r>
      <w:r w:rsidRPr="00683EA3">
        <w:t xml:space="preserve"> National.</w:t>
      </w:r>
      <w:r w:rsidRPr="00C54D96">
        <w:t xml:space="preserve"> Highly anticipated pricing of Medibank was underway</w:t>
      </w:r>
      <w:r w:rsidR="00E32373">
        <w:t>,</w:t>
      </w:r>
      <w:r w:rsidRPr="00C54D96">
        <w:t xml:space="preserve"> and consumers were awaiting the final results before the </w:t>
      </w:r>
      <w:r w:rsidR="00896100">
        <w:t xml:space="preserve">arrival of the </w:t>
      </w:r>
      <w:r w:rsidRPr="00C54D96">
        <w:t xml:space="preserve">release date. </w:t>
      </w:r>
    </w:p>
    <w:p w14:paraId="2A195244" w14:textId="77777777" w:rsidR="009218FA" w:rsidRDefault="009218FA" w:rsidP="009218FA">
      <w:pPr>
        <w:pStyle w:val="BodyTextMain"/>
      </w:pPr>
    </w:p>
    <w:p w14:paraId="2875C63C" w14:textId="405116E1" w:rsidR="009218FA" w:rsidRDefault="00896100" w:rsidP="009218FA">
      <w:pPr>
        <w:pStyle w:val="BodyTextMain"/>
      </w:pPr>
      <w:r>
        <w:t>W</w:t>
      </w:r>
      <w:r w:rsidR="009218FA">
        <w:t xml:space="preserve">ith demand set to be strong, </w:t>
      </w:r>
      <w:r>
        <w:t>t</w:t>
      </w:r>
      <w:r w:rsidRPr="00C54D96">
        <w:t>he retail offer opene</w:t>
      </w:r>
      <w:r>
        <w:t xml:space="preserve">d </w:t>
      </w:r>
      <w:r w:rsidR="009218FA" w:rsidRPr="00C54D96">
        <w:t xml:space="preserve">with projections of more than 750,000 </w:t>
      </w:r>
      <w:r w:rsidR="00767D96">
        <w:t>pre</w:t>
      </w:r>
      <w:r w:rsidR="007610B7">
        <w:t>-</w:t>
      </w:r>
      <w:r>
        <w:t xml:space="preserve">registrations by members of the </w:t>
      </w:r>
      <w:r w:rsidR="009218FA" w:rsidRPr="00C54D96">
        <w:t xml:space="preserve">Australian </w:t>
      </w:r>
      <w:r w:rsidR="000C741F">
        <w:t>public</w:t>
      </w:r>
      <w:r w:rsidR="000546DF">
        <w:t>,</w:t>
      </w:r>
      <w:r w:rsidR="009218FA" w:rsidRPr="00C54D96">
        <w:t xml:space="preserve"> bringing increased competition to the private health insurance </w:t>
      </w:r>
      <w:r w:rsidR="008A717A">
        <w:t xml:space="preserve">(PHI) </w:t>
      </w:r>
      <w:r w:rsidR="009218FA" w:rsidRPr="00C54D96">
        <w:t>industry. For the past few weeks</w:t>
      </w:r>
      <w:r>
        <w:t>,</w:t>
      </w:r>
      <w:r w:rsidR="009218FA" w:rsidRPr="00C54D96">
        <w:t xml:space="preserve"> </w:t>
      </w:r>
      <w:r w:rsidR="009218FA">
        <w:t xml:space="preserve">Gardner </w:t>
      </w:r>
      <w:r>
        <w:t>had been</w:t>
      </w:r>
      <w:r w:rsidR="009218FA">
        <w:t xml:space="preserve"> collecting her data and key valuation assumptions based on how the company </w:t>
      </w:r>
      <w:r>
        <w:t>had been</w:t>
      </w:r>
      <w:r w:rsidR="009218FA">
        <w:t xml:space="preserve"> performing under the </w:t>
      </w:r>
      <w:r>
        <w:t>g</w:t>
      </w:r>
      <w:r w:rsidR="009218FA">
        <w:t>overnment’</w:t>
      </w:r>
      <w:r w:rsidR="0085105B">
        <w:t>s</w:t>
      </w:r>
      <w:r w:rsidR="009218FA">
        <w:t xml:space="preserve"> watch. </w:t>
      </w:r>
      <w:r w:rsidR="009218FA" w:rsidRPr="00C54D96">
        <w:t xml:space="preserve">Medibank was a leader in </w:t>
      </w:r>
      <w:r w:rsidR="00047D15">
        <w:t>a</w:t>
      </w:r>
      <w:r w:rsidR="009218FA" w:rsidRPr="00C54D96">
        <w:t xml:space="preserve"> market </w:t>
      </w:r>
      <w:r w:rsidR="000546DF">
        <w:t>that</w:t>
      </w:r>
      <w:r w:rsidR="009218FA" w:rsidRPr="00C54D96">
        <w:t xml:space="preserve"> was just starting to tap into its scale advantage. </w:t>
      </w:r>
      <w:r w:rsidR="00047D15">
        <w:t>F</w:t>
      </w:r>
      <w:r w:rsidR="009218FA" w:rsidRPr="00C54D96">
        <w:t xml:space="preserve">or the </w:t>
      </w:r>
      <w:r w:rsidR="00047D15">
        <w:t xml:space="preserve">success of the </w:t>
      </w:r>
      <w:r w:rsidR="009218FA" w:rsidRPr="00C54D96">
        <w:t xml:space="preserve">selling strategy and </w:t>
      </w:r>
      <w:r w:rsidR="000546DF">
        <w:t xml:space="preserve">for </w:t>
      </w:r>
      <w:r w:rsidR="009218FA" w:rsidRPr="00C54D96">
        <w:lastRenderedPageBreak/>
        <w:t>the future success of the company in the current market</w:t>
      </w:r>
      <w:r w:rsidR="00047D15">
        <w:t>, it was important to present potential investors of the IPO with a fair value</w:t>
      </w:r>
      <w:r w:rsidR="00767D96">
        <w:t xml:space="preserve"> for Medibank</w:t>
      </w:r>
      <w:r w:rsidR="00047D15">
        <w:t>, and Gardner</w:t>
      </w:r>
      <w:r w:rsidR="00047D15" w:rsidRPr="00C54D96">
        <w:t xml:space="preserve"> was eager to provide a reasonable price</w:t>
      </w:r>
      <w:r w:rsidR="009218FA" w:rsidRPr="00C54D96">
        <w:t xml:space="preserve">. </w:t>
      </w:r>
    </w:p>
    <w:p w14:paraId="52C9CCEE" w14:textId="77777777" w:rsidR="006579E7" w:rsidRDefault="006579E7" w:rsidP="009218FA">
      <w:pPr>
        <w:pStyle w:val="BodyTextMain"/>
      </w:pPr>
    </w:p>
    <w:p w14:paraId="10FFE4B5" w14:textId="77777777" w:rsidR="006579E7" w:rsidRDefault="006579E7" w:rsidP="009218FA">
      <w:pPr>
        <w:pStyle w:val="BodyTextMain"/>
      </w:pPr>
    </w:p>
    <w:p w14:paraId="1C6F0BE5" w14:textId="77777777" w:rsidR="009218FA" w:rsidRDefault="009218FA" w:rsidP="009218FA">
      <w:pPr>
        <w:pStyle w:val="Casehead1"/>
      </w:pPr>
      <w:r w:rsidRPr="00C54D96">
        <w:t>Company overview</w:t>
      </w:r>
    </w:p>
    <w:p w14:paraId="0C2A4174" w14:textId="77777777" w:rsidR="009C0898" w:rsidRPr="00C54D96" w:rsidRDefault="009C0898" w:rsidP="009218FA">
      <w:pPr>
        <w:pStyle w:val="Casehead1"/>
      </w:pPr>
    </w:p>
    <w:p w14:paraId="7DEA11B2" w14:textId="5700F5F8" w:rsidR="009218FA" w:rsidRDefault="009218FA" w:rsidP="009218FA">
      <w:pPr>
        <w:pStyle w:val="BodyTextMain"/>
      </w:pPr>
      <w:r w:rsidRPr="006C38AF">
        <w:t xml:space="preserve">Medibank was Australia’s largest private health insurer, providing services to a total of 3.9 million people. </w:t>
      </w:r>
      <w:r w:rsidR="008864D5">
        <w:t>The company</w:t>
      </w:r>
      <w:r w:rsidR="008864D5" w:rsidRPr="006C38AF">
        <w:t xml:space="preserve"> </w:t>
      </w:r>
      <w:r w:rsidRPr="006C38AF">
        <w:t xml:space="preserve">was established in 1976 and </w:t>
      </w:r>
      <w:r>
        <w:t>w</w:t>
      </w:r>
      <w:r w:rsidRPr="006C38AF">
        <w:t xml:space="preserve">as operated through the </w:t>
      </w:r>
      <w:r w:rsidR="008864D5">
        <w:t xml:space="preserve">government-run </w:t>
      </w:r>
      <w:r w:rsidRPr="006C38AF">
        <w:t>health insurance commission</w:t>
      </w:r>
      <w:r w:rsidR="008864D5">
        <w:t xml:space="preserve">. </w:t>
      </w:r>
      <w:r w:rsidRPr="006C38AF">
        <w:t>The Fraser government</w:t>
      </w:r>
      <w:r w:rsidR="007B5B79">
        <w:t xml:space="preserve"> had </w:t>
      </w:r>
      <w:r w:rsidRPr="006C38AF">
        <w:t>initially established Medibank</w:t>
      </w:r>
      <w:r w:rsidR="007B5B79" w:rsidRPr="007B5B79">
        <w:t xml:space="preserve"> </w:t>
      </w:r>
      <w:r w:rsidR="007B5B79" w:rsidRPr="006C38AF">
        <w:t>for a combination of reasons</w:t>
      </w:r>
      <w:r w:rsidRPr="006C38AF">
        <w:t xml:space="preserve">, including bringing greater competition to the </w:t>
      </w:r>
      <w:r w:rsidR="008A717A">
        <w:t>PHI</w:t>
      </w:r>
      <w:r w:rsidRPr="006C38AF">
        <w:t xml:space="preserve"> sector. </w:t>
      </w:r>
      <w:r w:rsidR="0006072A">
        <w:t xml:space="preserve">When the </w:t>
      </w:r>
      <w:r w:rsidR="002728A7">
        <w:t>A</w:t>
      </w:r>
      <w:r w:rsidR="00AA32C8">
        <w:t xml:space="preserve">ustralian </w:t>
      </w:r>
      <w:r w:rsidR="0006072A">
        <w:t>government initially announced its intention to sell</w:t>
      </w:r>
      <w:r w:rsidR="002F4206">
        <w:t xml:space="preserve"> Medibank</w:t>
      </w:r>
      <w:r w:rsidR="0006072A">
        <w:t xml:space="preserve">, questions </w:t>
      </w:r>
      <w:r w:rsidR="007B5B79">
        <w:t>arose concerning</w:t>
      </w:r>
      <w:r w:rsidR="0006072A">
        <w:t xml:space="preserve"> le</w:t>
      </w:r>
      <w:r w:rsidR="005E3130">
        <w:t>gal issues related to the fund, but a</w:t>
      </w:r>
      <w:r w:rsidR="0006072A">
        <w:t>n Australian</w:t>
      </w:r>
      <w:r w:rsidR="0006072A" w:rsidRPr="00BE37EC">
        <w:t xml:space="preserve"> </w:t>
      </w:r>
      <w:r w:rsidR="007C37E7">
        <w:t>p</w:t>
      </w:r>
      <w:r w:rsidR="007C37E7" w:rsidRPr="00F02FEA">
        <w:t>arliamentary</w:t>
      </w:r>
      <w:r w:rsidR="007C37E7">
        <w:t xml:space="preserve"> </w:t>
      </w:r>
      <w:r w:rsidR="0006072A">
        <w:t>report</w:t>
      </w:r>
      <w:r w:rsidR="009D4429" w:rsidRPr="009D4429">
        <w:t xml:space="preserve"> </w:t>
      </w:r>
      <w:r w:rsidR="009D4429">
        <w:t>determined that w</w:t>
      </w:r>
      <w:r w:rsidR="009D4429" w:rsidRPr="006C38AF">
        <w:t xml:space="preserve">hile the government </w:t>
      </w:r>
      <w:r w:rsidR="009D4429">
        <w:t>“</w:t>
      </w:r>
      <w:r w:rsidR="009D4429" w:rsidRPr="006C38AF">
        <w:t>clearly ‘own</w:t>
      </w:r>
      <w:r w:rsidR="009D4429">
        <w:t>s’ Medibank</w:t>
      </w:r>
      <w:r w:rsidR="009D4429" w:rsidRPr="006C38AF">
        <w:t xml:space="preserve">, the fund itself </w:t>
      </w:r>
      <w:r w:rsidR="009D4429">
        <w:t>i</w:t>
      </w:r>
      <w:r w:rsidR="009D4429" w:rsidRPr="006C38AF">
        <w:t>s bes</w:t>
      </w:r>
      <w:r w:rsidR="008864D5">
        <w:t>t characterized as a government-</w:t>
      </w:r>
      <w:r w:rsidR="009D4429" w:rsidRPr="006C38AF">
        <w:t>controlled</w:t>
      </w:r>
      <w:r w:rsidR="008864D5">
        <w:t>,</w:t>
      </w:r>
      <w:r w:rsidR="009D4429" w:rsidRPr="006C38AF">
        <w:t xml:space="preserve"> not-for-profit entity</w:t>
      </w:r>
      <w:r w:rsidR="009D4429">
        <w:t xml:space="preserve"> (</w:t>
      </w:r>
      <w:r w:rsidR="009D4429" w:rsidRPr="006C38AF">
        <w:t xml:space="preserve">not strictly </w:t>
      </w:r>
      <w:r w:rsidR="009D4429" w:rsidRPr="006C38AF">
        <w:rPr>
          <w:iCs/>
        </w:rPr>
        <w:t xml:space="preserve">owned </w:t>
      </w:r>
      <w:r w:rsidR="009D4429" w:rsidRPr="006C38AF">
        <w:t>by either the Commonwealth or the fund members</w:t>
      </w:r>
      <w:r w:rsidR="009D4429">
        <w:t>).”</w:t>
      </w:r>
      <w:r w:rsidR="0006072A">
        <w:rPr>
          <w:rStyle w:val="FootnoteReference"/>
        </w:rPr>
        <w:footnoteReference w:id="4"/>
      </w:r>
      <w:r w:rsidR="0006072A">
        <w:t xml:space="preserve"> </w:t>
      </w:r>
    </w:p>
    <w:p w14:paraId="17B5E290" w14:textId="77777777" w:rsidR="00572DA4" w:rsidRPr="001E0537" w:rsidRDefault="00572DA4" w:rsidP="009218FA">
      <w:pPr>
        <w:pStyle w:val="BodyTextMain"/>
      </w:pPr>
    </w:p>
    <w:p w14:paraId="37C15C65" w14:textId="04344ABB" w:rsidR="009218FA" w:rsidRPr="00263D56" w:rsidRDefault="009218FA" w:rsidP="009218FA">
      <w:pPr>
        <w:pStyle w:val="BodyTextMain"/>
      </w:pPr>
      <w:r w:rsidRPr="00263D56">
        <w:t>Medibank’</w:t>
      </w:r>
      <w:r w:rsidR="001F4B82">
        <w:t>s</w:t>
      </w:r>
      <w:r w:rsidRPr="00263D56">
        <w:t xml:space="preserve"> aim was to provide competitive </w:t>
      </w:r>
      <w:r w:rsidR="008864D5">
        <w:t xml:space="preserve">health insurance </w:t>
      </w:r>
      <w:r w:rsidRPr="00263D56">
        <w:t xml:space="preserve">coverage and create a reliable brand that consumers could trust among the </w:t>
      </w:r>
      <w:r w:rsidR="00285D64">
        <w:t xml:space="preserve">various options in </w:t>
      </w:r>
      <w:r w:rsidR="008864D5">
        <w:t xml:space="preserve">the </w:t>
      </w:r>
      <w:r w:rsidRPr="00263D56">
        <w:t>private health industry. Dominating the oligopoly market</w:t>
      </w:r>
      <w:r w:rsidR="00020713">
        <w:t xml:space="preserve"> in 2014</w:t>
      </w:r>
      <w:r w:rsidRPr="00263D56">
        <w:t>,</w:t>
      </w:r>
      <w:r w:rsidR="00CC2E4C">
        <w:t xml:space="preserve"> </w:t>
      </w:r>
      <w:r w:rsidRPr="00263D56">
        <w:t>Medibank had a 29.5</w:t>
      </w:r>
      <w:r w:rsidR="00285D64">
        <w:t xml:space="preserve"> per cent</w:t>
      </w:r>
      <w:r w:rsidRPr="00263D56">
        <w:t xml:space="preserve"> share</w:t>
      </w:r>
      <w:r w:rsidR="00975032">
        <w:rPr>
          <w:rStyle w:val="FootnoteReference"/>
        </w:rPr>
        <w:footnoteReference w:id="5"/>
      </w:r>
      <w:r w:rsidR="001F4B82">
        <w:t xml:space="preserve"> </w:t>
      </w:r>
      <w:r w:rsidRPr="00263D56">
        <w:t xml:space="preserve">in the national </w:t>
      </w:r>
      <w:r w:rsidR="008A717A">
        <w:t>PHI</w:t>
      </w:r>
      <w:r>
        <w:t xml:space="preserve"> market. </w:t>
      </w:r>
      <w:r w:rsidRPr="00263D56">
        <w:t>The company had a strong capital position and a well-rounded</w:t>
      </w:r>
      <w:r w:rsidR="00E67BC1">
        <w:t>,</w:t>
      </w:r>
      <w:r w:rsidRPr="00263D56">
        <w:t xml:space="preserve"> reputable brand, supported by th</w:t>
      </w:r>
      <w:r>
        <w:t xml:space="preserve">e government after acquiring </w:t>
      </w:r>
      <w:r w:rsidRPr="0019471D">
        <w:t>A</w:t>
      </w:r>
      <w:r w:rsidR="00F02FEA">
        <w:t>HM</w:t>
      </w:r>
      <w:r w:rsidR="0019471D">
        <w:t xml:space="preserve"> Health Insurance</w:t>
      </w:r>
      <w:r w:rsidR="00F02FEA">
        <w:t xml:space="preserve"> (AHM)</w:t>
      </w:r>
      <w:r w:rsidRPr="00263D56">
        <w:t xml:space="preserve"> in January 2009. Medibank had a strong focus on customer acquisition and retention, competitive pricing, customer service, product innovation</w:t>
      </w:r>
      <w:r w:rsidR="00E67BC1">
        <w:t>,</w:t>
      </w:r>
      <w:r w:rsidRPr="00263D56">
        <w:t xml:space="preserve"> and sustaining its competitive advantage in the market. Employing more than 3,400 people, the company operated through</w:t>
      </w:r>
      <w:r w:rsidR="00285D64">
        <w:t>out</w:t>
      </w:r>
      <w:r w:rsidRPr="00263D56">
        <w:t xml:space="preserve"> Australia</w:t>
      </w:r>
      <w:r w:rsidR="00285D64">
        <w:t>,</w:t>
      </w:r>
      <w:r w:rsidRPr="00263D56">
        <w:t xml:space="preserve"> with a limited presence in New Zealand and Singapore. </w:t>
      </w:r>
    </w:p>
    <w:p w14:paraId="10025D5F" w14:textId="77777777" w:rsidR="009218FA" w:rsidRPr="00263D56" w:rsidRDefault="009218FA" w:rsidP="009218FA">
      <w:pPr>
        <w:pStyle w:val="BodyTextMain"/>
      </w:pPr>
    </w:p>
    <w:p w14:paraId="45C4AE59" w14:textId="6A47D946" w:rsidR="009218FA" w:rsidRPr="00CE626D" w:rsidRDefault="009218FA" w:rsidP="009218FA">
      <w:pPr>
        <w:pStyle w:val="BodyTextMain"/>
        <w:rPr>
          <w:vertAlign w:val="superscript"/>
        </w:rPr>
      </w:pPr>
      <w:r w:rsidRPr="00263D56">
        <w:t xml:space="preserve">Medibank was owned and operated by the Australian </w:t>
      </w:r>
      <w:r w:rsidR="00BA2109">
        <w:t>g</w:t>
      </w:r>
      <w:r w:rsidRPr="00263D56">
        <w:t>overnment</w:t>
      </w:r>
      <w:r w:rsidR="00210D72">
        <w:t xml:space="preserve">’s Health Insurance Commission until 1998 when it was transferred to </w:t>
      </w:r>
      <w:r w:rsidRPr="00263D56">
        <w:t>Medibank</w:t>
      </w:r>
      <w:r w:rsidR="00210D72">
        <w:t xml:space="preserve"> Private Limited</w:t>
      </w:r>
      <w:r w:rsidR="00135B37">
        <w:t>,</w:t>
      </w:r>
      <w:r w:rsidR="00210D72">
        <w:t xml:space="preserve"> which had the government as its sole shareholder. </w:t>
      </w:r>
      <w:r w:rsidRPr="00263D56">
        <w:t>Operating in a heavily regulated industry, Australian health insurers typically produce</w:t>
      </w:r>
      <w:r w:rsidR="006E205E">
        <w:t>d</w:t>
      </w:r>
      <w:r w:rsidRPr="00263D56">
        <w:t xml:space="preserve"> stable and defensive earnings</w:t>
      </w:r>
      <w:r>
        <w:t>,</w:t>
      </w:r>
      <w:r w:rsidRPr="00263D56">
        <w:t xml:space="preserve"> and Medibank looked to be </w:t>
      </w:r>
      <w:r w:rsidR="002D745C">
        <w:t xml:space="preserve">heading </w:t>
      </w:r>
      <w:r w:rsidRPr="00263D56">
        <w:t>in the right direction to produce solid</w:t>
      </w:r>
      <w:r w:rsidR="002D745C">
        <w:t>,</w:t>
      </w:r>
      <w:r w:rsidRPr="00263D56">
        <w:t xml:space="preserve"> long-term earnings </w:t>
      </w:r>
      <w:r w:rsidR="0019471D">
        <w:t xml:space="preserve">and </w:t>
      </w:r>
      <w:r w:rsidRPr="00263D56">
        <w:t xml:space="preserve">growth potential. </w:t>
      </w:r>
    </w:p>
    <w:p w14:paraId="256165F3" w14:textId="77777777" w:rsidR="009218FA" w:rsidRPr="00263D56" w:rsidRDefault="009218FA" w:rsidP="009218FA">
      <w:pPr>
        <w:pStyle w:val="BodyTextMain"/>
      </w:pPr>
    </w:p>
    <w:p w14:paraId="2490D80C" w14:textId="5D79E581" w:rsidR="009218FA" w:rsidRPr="00263D56" w:rsidRDefault="003331FE" w:rsidP="009218FA">
      <w:pPr>
        <w:pStyle w:val="BodyTextMain"/>
      </w:pPr>
      <w:r>
        <w:t>Beginning in 2009</w:t>
      </w:r>
      <w:r w:rsidR="00C916FE">
        <w:t>,</w:t>
      </w:r>
      <w:r w:rsidR="009218FA" w:rsidRPr="00263D56">
        <w:t xml:space="preserve"> Medibank made a number of acquisitions, both to provide an alternative to its premium-brand Medibank offering</w:t>
      </w:r>
      <w:r w:rsidR="00251C74">
        <w:t xml:space="preserve"> and</w:t>
      </w:r>
      <w:r w:rsidR="009218FA" w:rsidRPr="00263D56">
        <w:t xml:space="preserve"> to aid </w:t>
      </w:r>
      <w:r w:rsidR="0019471D">
        <w:t xml:space="preserve">its </w:t>
      </w:r>
      <w:r w:rsidR="009218FA" w:rsidRPr="00263D56">
        <w:t xml:space="preserve">expansion into adjacent health services. </w:t>
      </w:r>
      <w:r>
        <w:t>First, i</w:t>
      </w:r>
      <w:r w:rsidR="009218FA" w:rsidRPr="00263D56">
        <w:t>n J</w:t>
      </w:r>
      <w:r w:rsidR="009218FA">
        <w:t>anuary 2009, Medibank acquired A</w:t>
      </w:r>
      <w:r w:rsidR="0019471D">
        <w:t>HM</w:t>
      </w:r>
      <w:r w:rsidR="009218FA" w:rsidRPr="00263D56">
        <w:t xml:space="preserve">, an affordable </w:t>
      </w:r>
      <w:r w:rsidR="008A717A">
        <w:t>PHI</w:t>
      </w:r>
      <w:r w:rsidR="009218FA" w:rsidRPr="00263D56">
        <w:t xml:space="preserve"> offering </w:t>
      </w:r>
      <w:r w:rsidR="00251C74">
        <w:t xml:space="preserve">that </w:t>
      </w:r>
      <w:r w:rsidR="009218FA" w:rsidRPr="00263D56">
        <w:t>cater</w:t>
      </w:r>
      <w:r w:rsidR="00251C74">
        <w:t>ed</w:t>
      </w:r>
      <w:r w:rsidR="009218FA" w:rsidRPr="00263D56">
        <w:t xml:space="preserve"> to a different demographic </w:t>
      </w:r>
      <w:r w:rsidR="00251C74">
        <w:t>than did</w:t>
      </w:r>
      <w:r w:rsidR="009218FA" w:rsidRPr="00263D56">
        <w:t xml:space="preserve"> Medibank’s premium product offer</w:t>
      </w:r>
      <w:r w:rsidR="009218FA">
        <w:t xml:space="preserve">ing. </w:t>
      </w:r>
      <w:r w:rsidR="00321C12">
        <w:t xml:space="preserve">In 2013, </w:t>
      </w:r>
      <w:r w:rsidR="009218FA">
        <w:t>Medibank repositioned A</w:t>
      </w:r>
      <w:r w:rsidR="0019471D">
        <w:t>HM</w:t>
      </w:r>
      <w:r w:rsidR="009218FA" w:rsidRPr="00263D56">
        <w:t xml:space="preserve"> </w:t>
      </w:r>
      <w:r w:rsidR="00321C12">
        <w:t>to</w:t>
      </w:r>
      <w:r w:rsidR="009218FA" w:rsidRPr="00263D56">
        <w:t xml:space="preserve"> utilize fast-growing comparison website distribution channels </w:t>
      </w:r>
      <w:r>
        <w:t>t</w:t>
      </w:r>
      <w:r w:rsidR="00251C74">
        <w:t>hat</w:t>
      </w:r>
      <w:r>
        <w:t xml:space="preserve"> </w:t>
      </w:r>
      <w:r w:rsidR="00251C74">
        <w:t xml:space="preserve">would </w:t>
      </w:r>
      <w:r>
        <w:t>d</w:t>
      </w:r>
      <w:r w:rsidR="009218FA" w:rsidRPr="00263D56">
        <w:t>eliver Medibank a younger demograph</w:t>
      </w:r>
      <w:r w:rsidR="009218FA">
        <w:t>ic. In July 2012, Medibank and A</w:t>
      </w:r>
      <w:r w:rsidR="0019471D">
        <w:t>HM</w:t>
      </w:r>
      <w:r w:rsidR="009218FA" w:rsidRPr="00263D56">
        <w:t xml:space="preserve"> merged into a single unit. </w:t>
      </w:r>
      <w:r>
        <w:t>Second, i</w:t>
      </w:r>
      <w:r w:rsidR="009218FA" w:rsidRPr="00263D56">
        <w:t xml:space="preserve">n April 2009, Medibank merged with </w:t>
      </w:r>
      <w:r w:rsidR="00477437">
        <w:t>H</w:t>
      </w:r>
      <w:r w:rsidR="009218FA" w:rsidRPr="00263D56">
        <w:t xml:space="preserve">ealth </w:t>
      </w:r>
      <w:r w:rsidR="00477437">
        <w:t>S</w:t>
      </w:r>
      <w:r w:rsidR="009218FA" w:rsidRPr="00263D56">
        <w:t>ervices Australia, which was also government</w:t>
      </w:r>
      <w:r w:rsidR="00251C74">
        <w:t>-</w:t>
      </w:r>
      <w:r w:rsidR="009218FA" w:rsidRPr="00263D56">
        <w:t xml:space="preserve">owned, </w:t>
      </w:r>
      <w:r w:rsidR="00251C74">
        <w:t xml:space="preserve">thereby </w:t>
      </w:r>
      <w:r w:rsidR="009A589E">
        <w:t>bringing</w:t>
      </w:r>
      <w:r w:rsidR="009A589E" w:rsidRPr="00263D56">
        <w:t xml:space="preserve"> </w:t>
      </w:r>
      <w:r w:rsidR="009218FA" w:rsidRPr="00263D56">
        <w:t xml:space="preserve">Medibank into the health management sector. The main component was the immigration contract, which provided </w:t>
      </w:r>
      <w:r w:rsidR="009F5CA7" w:rsidRPr="00F02FEA">
        <w:t>pre</w:t>
      </w:r>
      <w:r w:rsidR="00C95629">
        <w:t>-</w:t>
      </w:r>
      <w:r w:rsidR="009F5CA7" w:rsidRPr="00F02FEA">
        <w:t>migration</w:t>
      </w:r>
      <w:r w:rsidR="009218FA" w:rsidRPr="00263D56">
        <w:t xml:space="preserve"> visa health screening. However, in February 2014, </w:t>
      </w:r>
      <w:r w:rsidR="0019471D">
        <w:t xml:space="preserve">Medibank lost </w:t>
      </w:r>
      <w:r w:rsidR="009218FA" w:rsidRPr="00263D56">
        <w:t>this contract to a competitor</w:t>
      </w:r>
      <w:r w:rsidR="009218FA">
        <w:t>,</w:t>
      </w:r>
      <w:r w:rsidR="009218FA" w:rsidRPr="00263D56">
        <w:t xml:space="preserve"> </w:t>
      </w:r>
      <w:r w:rsidR="0019471D">
        <w:t xml:space="preserve">and </w:t>
      </w:r>
      <w:r w:rsidR="009218FA" w:rsidRPr="00263D56">
        <w:t xml:space="preserve">the division </w:t>
      </w:r>
      <w:r w:rsidR="0019471D">
        <w:t xml:space="preserve">had to be handed over </w:t>
      </w:r>
      <w:r w:rsidR="009218FA" w:rsidRPr="00263D56">
        <w:t xml:space="preserve">to a new supplier. Finally, in July 2010, Medibank acquired </w:t>
      </w:r>
      <w:r w:rsidR="009F5CA7" w:rsidRPr="00F02FEA">
        <w:t>McKesson</w:t>
      </w:r>
      <w:r w:rsidR="009218FA" w:rsidRPr="00263D56">
        <w:t xml:space="preserve"> and </w:t>
      </w:r>
      <w:proofErr w:type="spellStart"/>
      <w:r w:rsidR="009218FA" w:rsidRPr="00263D56">
        <w:t>Carepoint</w:t>
      </w:r>
      <w:proofErr w:type="spellEnd"/>
      <w:r w:rsidR="009218FA" w:rsidRPr="00263D56">
        <w:t xml:space="preserve">, which developed and evolved into the company’s main complementary services division. </w:t>
      </w:r>
      <w:r w:rsidR="009F5CA7" w:rsidRPr="00F02FEA">
        <w:t>McKesson</w:t>
      </w:r>
      <w:r w:rsidR="009218FA" w:rsidRPr="00263D56">
        <w:t xml:space="preserve"> and </w:t>
      </w:r>
      <w:proofErr w:type="spellStart"/>
      <w:r w:rsidR="009218FA" w:rsidRPr="00263D56">
        <w:t>Carepoint</w:t>
      </w:r>
      <w:proofErr w:type="spellEnd"/>
      <w:r w:rsidR="009218FA" w:rsidRPr="00263D56">
        <w:t xml:space="preserve"> was one of Australia’s largest tele-health and rehabilitative health services</w:t>
      </w:r>
      <w:r w:rsidR="002645AB">
        <w:t>.</w:t>
      </w:r>
      <w:r w:rsidR="00984781">
        <w:rPr>
          <w:rStyle w:val="FootnoteReference"/>
        </w:rPr>
        <w:footnoteReference w:id="6"/>
      </w:r>
      <w:r w:rsidR="009218FA" w:rsidRPr="00263D56">
        <w:t xml:space="preserve"> </w:t>
      </w:r>
    </w:p>
    <w:p w14:paraId="63BD03BF" w14:textId="77777777" w:rsidR="009218FA" w:rsidRDefault="009218FA" w:rsidP="009218FA">
      <w:pPr>
        <w:pStyle w:val="BodyTextMain"/>
      </w:pPr>
    </w:p>
    <w:p w14:paraId="6545A9D9" w14:textId="77777777" w:rsidR="009218FA" w:rsidRPr="00C54D96" w:rsidRDefault="009218FA" w:rsidP="009218FA">
      <w:pPr>
        <w:pStyle w:val="BodyTextMain"/>
      </w:pPr>
    </w:p>
    <w:p w14:paraId="3A461C3F" w14:textId="77777777" w:rsidR="009218FA" w:rsidRPr="00C54D96" w:rsidRDefault="009218FA" w:rsidP="009218FA">
      <w:pPr>
        <w:pStyle w:val="Casehead1"/>
      </w:pPr>
      <w:r w:rsidRPr="00C54D96">
        <w:lastRenderedPageBreak/>
        <w:t>Medibank business model</w:t>
      </w:r>
    </w:p>
    <w:p w14:paraId="2EB674B4" w14:textId="77777777" w:rsidR="009218FA" w:rsidRPr="00C54D96" w:rsidRDefault="009218FA" w:rsidP="009218FA">
      <w:pPr>
        <w:pStyle w:val="BodyTextMain"/>
      </w:pPr>
    </w:p>
    <w:p w14:paraId="28A7F2BC" w14:textId="0160A42C" w:rsidR="009F5CA7" w:rsidRPr="00DD7406" w:rsidRDefault="009218FA" w:rsidP="00F02FEA">
      <w:pPr>
        <w:jc w:val="both"/>
        <w:rPr>
          <w:sz w:val="22"/>
          <w:szCs w:val="22"/>
        </w:rPr>
      </w:pPr>
      <w:r w:rsidRPr="005165AA">
        <w:rPr>
          <w:sz w:val="22"/>
          <w:szCs w:val="22"/>
        </w:rPr>
        <w:t>Medibank’s core business</w:t>
      </w:r>
      <w:r w:rsidR="00B80861">
        <w:rPr>
          <w:sz w:val="22"/>
          <w:szCs w:val="22"/>
        </w:rPr>
        <w:t xml:space="preserve"> involved</w:t>
      </w:r>
      <w:r w:rsidRPr="005165AA">
        <w:rPr>
          <w:sz w:val="22"/>
          <w:szCs w:val="22"/>
        </w:rPr>
        <w:t xml:space="preserve"> the underwriting and distribution of </w:t>
      </w:r>
      <w:r w:rsidR="008A717A" w:rsidRPr="005165AA">
        <w:rPr>
          <w:sz w:val="22"/>
          <w:szCs w:val="22"/>
        </w:rPr>
        <w:t>PHI</w:t>
      </w:r>
      <w:r w:rsidRPr="005165AA">
        <w:rPr>
          <w:sz w:val="22"/>
          <w:szCs w:val="22"/>
        </w:rPr>
        <w:t xml:space="preserve"> policies through its two brands, Medibank and A</w:t>
      </w:r>
      <w:r w:rsidR="00076974">
        <w:rPr>
          <w:sz w:val="22"/>
          <w:szCs w:val="22"/>
        </w:rPr>
        <w:t>HM</w:t>
      </w:r>
      <w:r w:rsidRPr="005165AA">
        <w:rPr>
          <w:sz w:val="22"/>
          <w:szCs w:val="22"/>
        </w:rPr>
        <w:t xml:space="preserve">. </w:t>
      </w:r>
      <w:r w:rsidR="007D6146" w:rsidRPr="005165AA">
        <w:rPr>
          <w:sz w:val="22"/>
          <w:szCs w:val="22"/>
        </w:rPr>
        <w:t xml:space="preserve">This dual brand strategy was </w:t>
      </w:r>
      <w:r w:rsidR="00076974">
        <w:rPr>
          <w:sz w:val="22"/>
          <w:szCs w:val="22"/>
        </w:rPr>
        <w:t>meant</w:t>
      </w:r>
      <w:r w:rsidR="00076974" w:rsidRPr="005165AA">
        <w:rPr>
          <w:sz w:val="22"/>
          <w:szCs w:val="22"/>
        </w:rPr>
        <w:t xml:space="preserve"> </w:t>
      </w:r>
      <w:r w:rsidR="007D6146" w:rsidRPr="005165AA">
        <w:rPr>
          <w:sz w:val="22"/>
          <w:szCs w:val="22"/>
        </w:rPr>
        <w:t xml:space="preserve">to help insulate market share by appealing to different market segments. </w:t>
      </w:r>
      <w:r w:rsidRPr="005165AA">
        <w:rPr>
          <w:sz w:val="22"/>
          <w:szCs w:val="22"/>
        </w:rPr>
        <w:t xml:space="preserve">Medibank </w:t>
      </w:r>
      <w:r w:rsidR="00CF1A70">
        <w:rPr>
          <w:sz w:val="22"/>
          <w:szCs w:val="22"/>
        </w:rPr>
        <w:t xml:space="preserve">was </w:t>
      </w:r>
      <w:r w:rsidRPr="005165AA">
        <w:rPr>
          <w:sz w:val="22"/>
          <w:szCs w:val="22"/>
        </w:rPr>
        <w:t>forecasted to generate 90</w:t>
      </w:r>
      <w:r w:rsidR="003A1C85">
        <w:rPr>
          <w:sz w:val="22"/>
          <w:szCs w:val="22"/>
        </w:rPr>
        <w:t xml:space="preserve"> per cent</w:t>
      </w:r>
      <w:r w:rsidRPr="005165AA">
        <w:rPr>
          <w:sz w:val="22"/>
          <w:szCs w:val="22"/>
        </w:rPr>
        <w:t xml:space="preserve"> of its pro forma </w:t>
      </w:r>
      <w:r w:rsidR="006E205E" w:rsidRPr="005165AA">
        <w:rPr>
          <w:sz w:val="22"/>
          <w:szCs w:val="22"/>
        </w:rPr>
        <w:t>fiscal year (</w:t>
      </w:r>
      <w:r w:rsidRPr="005165AA">
        <w:rPr>
          <w:sz w:val="22"/>
          <w:szCs w:val="22"/>
        </w:rPr>
        <w:t>FY</w:t>
      </w:r>
      <w:r w:rsidR="006E205E" w:rsidRPr="005165AA">
        <w:rPr>
          <w:sz w:val="22"/>
          <w:szCs w:val="22"/>
        </w:rPr>
        <w:t>) 20</w:t>
      </w:r>
      <w:r w:rsidRPr="005165AA">
        <w:rPr>
          <w:sz w:val="22"/>
          <w:szCs w:val="22"/>
        </w:rPr>
        <w:t>15 revenue from its health insurance business</w:t>
      </w:r>
      <w:r w:rsidR="006E205E" w:rsidRPr="005165AA">
        <w:rPr>
          <w:sz w:val="22"/>
          <w:szCs w:val="22"/>
        </w:rPr>
        <w:t xml:space="preserve"> (see</w:t>
      </w:r>
      <w:r w:rsidRPr="005165AA">
        <w:rPr>
          <w:sz w:val="22"/>
          <w:szCs w:val="22"/>
        </w:rPr>
        <w:t xml:space="preserve"> Exhibits </w:t>
      </w:r>
      <w:r w:rsidR="004F0E33">
        <w:rPr>
          <w:sz w:val="22"/>
          <w:szCs w:val="22"/>
        </w:rPr>
        <w:t xml:space="preserve">1, </w:t>
      </w:r>
      <w:r w:rsidRPr="005165AA">
        <w:rPr>
          <w:sz w:val="22"/>
          <w:szCs w:val="22"/>
        </w:rPr>
        <w:t>2,</w:t>
      </w:r>
      <w:r w:rsidR="004F0E33">
        <w:rPr>
          <w:sz w:val="22"/>
          <w:szCs w:val="22"/>
        </w:rPr>
        <w:t xml:space="preserve"> and</w:t>
      </w:r>
      <w:r w:rsidRPr="005165AA">
        <w:rPr>
          <w:sz w:val="22"/>
          <w:szCs w:val="22"/>
        </w:rPr>
        <w:t xml:space="preserve"> 3</w:t>
      </w:r>
      <w:r w:rsidR="006E205E" w:rsidRPr="005165AA">
        <w:rPr>
          <w:sz w:val="22"/>
          <w:szCs w:val="22"/>
        </w:rPr>
        <w:t>)</w:t>
      </w:r>
      <w:r w:rsidR="00CF1A70">
        <w:rPr>
          <w:sz w:val="22"/>
          <w:szCs w:val="22"/>
        </w:rPr>
        <w:t>, which</w:t>
      </w:r>
      <w:r w:rsidRPr="005165AA">
        <w:rPr>
          <w:sz w:val="22"/>
          <w:szCs w:val="22"/>
        </w:rPr>
        <w:t xml:space="preserve"> offer</w:t>
      </w:r>
      <w:r w:rsidR="006E205E" w:rsidRPr="005165AA">
        <w:rPr>
          <w:sz w:val="22"/>
          <w:szCs w:val="22"/>
        </w:rPr>
        <w:t>ed</w:t>
      </w:r>
      <w:r w:rsidRPr="005165AA">
        <w:rPr>
          <w:sz w:val="22"/>
          <w:szCs w:val="22"/>
        </w:rPr>
        <w:t xml:space="preserve"> hospital coverage and extra coverage to customers in Australia, as well as health insurance to overseas visitors and students. </w:t>
      </w:r>
      <w:r w:rsidR="00CA5B84" w:rsidRPr="005165AA">
        <w:rPr>
          <w:sz w:val="22"/>
          <w:szCs w:val="22"/>
        </w:rPr>
        <w:t xml:space="preserve">Policyholders paid premiums for insurance coverage for which Medibank </w:t>
      </w:r>
      <w:r w:rsidR="00DA2856" w:rsidRPr="005165AA">
        <w:rPr>
          <w:sz w:val="22"/>
          <w:szCs w:val="22"/>
        </w:rPr>
        <w:t xml:space="preserve">would provide </w:t>
      </w:r>
      <w:r w:rsidR="00CA5B84" w:rsidRPr="005165AA">
        <w:rPr>
          <w:sz w:val="22"/>
          <w:szCs w:val="22"/>
        </w:rPr>
        <w:t xml:space="preserve">reimbursements for qualifying healthcare costs under the holder’s policy. </w:t>
      </w:r>
    </w:p>
    <w:p w14:paraId="4E17EBDD" w14:textId="77777777" w:rsidR="009F5CA7" w:rsidRDefault="009F5CA7" w:rsidP="00F02FEA">
      <w:pPr>
        <w:jc w:val="both"/>
      </w:pPr>
    </w:p>
    <w:p w14:paraId="06C067C3" w14:textId="239E9EAB" w:rsidR="009F5CA7" w:rsidRDefault="0025397E" w:rsidP="00F02FEA">
      <w:pPr>
        <w:jc w:val="both"/>
      </w:pPr>
      <w:r w:rsidRPr="005165AA">
        <w:rPr>
          <w:sz w:val="22"/>
          <w:szCs w:val="22"/>
        </w:rPr>
        <w:t xml:space="preserve">Aside from its insurance operations, Medibank </w:t>
      </w:r>
      <w:r w:rsidR="00CF1A70">
        <w:rPr>
          <w:sz w:val="22"/>
          <w:szCs w:val="22"/>
        </w:rPr>
        <w:t>further</w:t>
      </w:r>
      <w:r w:rsidRPr="005165AA">
        <w:rPr>
          <w:sz w:val="22"/>
          <w:szCs w:val="22"/>
        </w:rPr>
        <w:t xml:space="preserve"> </w:t>
      </w:r>
      <w:r w:rsidR="00CF1A70">
        <w:rPr>
          <w:sz w:val="22"/>
          <w:szCs w:val="22"/>
        </w:rPr>
        <w:t xml:space="preserve">served </w:t>
      </w:r>
      <w:r w:rsidRPr="005165AA">
        <w:rPr>
          <w:sz w:val="22"/>
          <w:szCs w:val="22"/>
        </w:rPr>
        <w:t xml:space="preserve">the healthcare industry by providing a limited range of </w:t>
      </w:r>
      <w:r w:rsidR="001E34CC">
        <w:rPr>
          <w:sz w:val="22"/>
          <w:szCs w:val="22"/>
        </w:rPr>
        <w:t>complementary services</w:t>
      </w:r>
      <w:r w:rsidR="00D84A65">
        <w:rPr>
          <w:sz w:val="22"/>
          <w:szCs w:val="22"/>
        </w:rPr>
        <w:t xml:space="preserve"> that</w:t>
      </w:r>
      <w:r w:rsidRPr="005165AA">
        <w:rPr>
          <w:sz w:val="22"/>
          <w:szCs w:val="22"/>
        </w:rPr>
        <w:t xml:space="preserve"> account</w:t>
      </w:r>
      <w:r w:rsidR="00D84A65">
        <w:rPr>
          <w:sz w:val="22"/>
          <w:szCs w:val="22"/>
        </w:rPr>
        <w:t>ed</w:t>
      </w:r>
      <w:r w:rsidRPr="005165AA">
        <w:rPr>
          <w:sz w:val="22"/>
          <w:szCs w:val="22"/>
        </w:rPr>
        <w:t xml:space="preserve"> for approximately </w:t>
      </w:r>
      <w:r w:rsidR="009218FA" w:rsidRPr="005165AA">
        <w:rPr>
          <w:sz w:val="22"/>
          <w:szCs w:val="22"/>
        </w:rPr>
        <w:t>10</w:t>
      </w:r>
      <w:r w:rsidR="003A1C85">
        <w:rPr>
          <w:sz w:val="22"/>
          <w:szCs w:val="22"/>
        </w:rPr>
        <w:t xml:space="preserve"> per cent</w:t>
      </w:r>
      <w:r w:rsidR="009218FA" w:rsidRPr="005165AA">
        <w:rPr>
          <w:sz w:val="22"/>
          <w:szCs w:val="22"/>
        </w:rPr>
        <w:t xml:space="preserve"> </w:t>
      </w:r>
      <w:r w:rsidR="00F50ED9">
        <w:rPr>
          <w:sz w:val="22"/>
          <w:szCs w:val="22"/>
        </w:rPr>
        <w:t xml:space="preserve">of </w:t>
      </w:r>
      <w:r w:rsidR="008250C4" w:rsidRPr="008250C4">
        <w:rPr>
          <w:sz w:val="22"/>
          <w:szCs w:val="22"/>
        </w:rPr>
        <w:t>its</w:t>
      </w:r>
      <w:r w:rsidRPr="005165AA">
        <w:rPr>
          <w:sz w:val="22"/>
          <w:szCs w:val="22"/>
        </w:rPr>
        <w:t xml:space="preserve"> </w:t>
      </w:r>
      <w:r w:rsidR="009F5CA7" w:rsidRPr="00951774">
        <w:rPr>
          <w:sz w:val="22"/>
          <w:szCs w:val="22"/>
        </w:rPr>
        <w:t>FY</w:t>
      </w:r>
      <w:r w:rsidR="00951774" w:rsidRPr="00DD7406">
        <w:rPr>
          <w:sz w:val="22"/>
          <w:szCs w:val="22"/>
        </w:rPr>
        <w:t xml:space="preserve"> </w:t>
      </w:r>
      <w:r w:rsidR="009F5CA7" w:rsidRPr="00951774">
        <w:rPr>
          <w:sz w:val="22"/>
          <w:szCs w:val="22"/>
        </w:rPr>
        <w:t>2014</w:t>
      </w:r>
      <w:r w:rsidR="008250C4">
        <w:rPr>
          <w:sz w:val="22"/>
          <w:szCs w:val="22"/>
        </w:rPr>
        <w:t xml:space="preserve"> revenue</w:t>
      </w:r>
      <w:r w:rsidRPr="005165AA">
        <w:rPr>
          <w:sz w:val="22"/>
          <w:szCs w:val="22"/>
        </w:rPr>
        <w:t>.</w:t>
      </w:r>
      <w:r w:rsidR="009218FA" w:rsidRPr="005165AA">
        <w:rPr>
          <w:sz w:val="22"/>
          <w:szCs w:val="22"/>
        </w:rPr>
        <w:t xml:space="preserve"> </w:t>
      </w:r>
      <w:r w:rsidR="007208DD" w:rsidRPr="005671E2">
        <w:rPr>
          <w:sz w:val="22"/>
          <w:szCs w:val="22"/>
        </w:rPr>
        <w:t xml:space="preserve">These </w:t>
      </w:r>
      <w:r w:rsidR="00D84A65">
        <w:rPr>
          <w:sz w:val="22"/>
          <w:szCs w:val="22"/>
        </w:rPr>
        <w:t>offerings</w:t>
      </w:r>
      <w:r w:rsidR="007208DD" w:rsidRPr="005671E2">
        <w:rPr>
          <w:sz w:val="22"/>
          <w:szCs w:val="22"/>
        </w:rPr>
        <w:t xml:space="preserve"> </w:t>
      </w:r>
      <w:r w:rsidR="007208DD">
        <w:rPr>
          <w:sz w:val="22"/>
          <w:szCs w:val="22"/>
        </w:rPr>
        <w:t>encompass</w:t>
      </w:r>
      <w:r w:rsidR="003A1C85">
        <w:rPr>
          <w:sz w:val="22"/>
          <w:szCs w:val="22"/>
        </w:rPr>
        <w:t>ed</w:t>
      </w:r>
      <w:r w:rsidR="007208DD">
        <w:rPr>
          <w:sz w:val="22"/>
          <w:szCs w:val="22"/>
        </w:rPr>
        <w:t xml:space="preserve"> a range of ancillary services that </w:t>
      </w:r>
      <w:r w:rsidR="003A1C85">
        <w:rPr>
          <w:sz w:val="22"/>
          <w:szCs w:val="22"/>
        </w:rPr>
        <w:t>were</w:t>
      </w:r>
      <w:r w:rsidR="007208DD">
        <w:rPr>
          <w:sz w:val="22"/>
          <w:szCs w:val="22"/>
        </w:rPr>
        <w:t xml:space="preserve"> seen as beneficial to </w:t>
      </w:r>
      <w:r w:rsidR="00CF1A70" w:rsidRPr="005165AA">
        <w:rPr>
          <w:sz w:val="22"/>
          <w:szCs w:val="22"/>
        </w:rPr>
        <w:t>Medibank</w:t>
      </w:r>
      <w:r w:rsidR="00CF1A70">
        <w:rPr>
          <w:sz w:val="22"/>
          <w:szCs w:val="22"/>
        </w:rPr>
        <w:t>’s</w:t>
      </w:r>
      <w:r w:rsidR="007208DD">
        <w:rPr>
          <w:sz w:val="22"/>
          <w:szCs w:val="22"/>
        </w:rPr>
        <w:t xml:space="preserve"> health insurance business, such as online and telephone-based health services </w:t>
      </w:r>
      <w:r w:rsidR="00D84A65">
        <w:rPr>
          <w:sz w:val="22"/>
          <w:szCs w:val="22"/>
        </w:rPr>
        <w:t>and</w:t>
      </w:r>
      <w:r w:rsidR="007208DD">
        <w:rPr>
          <w:sz w:val="22"/>
          <w:szCs w:val="22"/>
        </w:rPr>
        <w:t xml:space="preserve"> alternative insurance products, including pet</w:t>
      </w:r>
      <w:r w:rsidR="00CF1A70">
        <w:rPr>
          <w:sz w:val="22"/>
          <w:szCs w:val="22"/>
        </w:rPr>
        <w:t xml:space="preserve"> coverage</w:t>
      </w:r>
      <w:r w:rsidR="007208DD">
        <w:rPr>
          <w:sz w:val="22"/>
          <w:szCs w:val="22"/>
        </w:rPr>
        <w:t>, travel</w:t>
      </w:r>
      <w:r w:rsidR="00CF1A70">
        <w:rPr>
          <w:sz w:val="22"/>
          <w:szCs w:val="22"/>
        </w:rPr>
        <w:t xml:space="preserve"> coverage</w:t>
      </w:r>
      <w:r w:rsidR="007208DD">
        <w:rPr>
          <w:sz w:val="22"/>
          <w:szCs w:val="22"/>
        </w:rPr>
        <w:t>, and life insurance coverage.</w:t>
      </w:r>
      <w:r w:rsidR="0079149F">
        <w:rPr>
          <w:rStyle w:val="FootnoteReference"/>
          <w:sz w:val="22"/>
          <w:szCs w:val="22"/>
        </w:rPr>
        <w:footnoteReference w:id="7"/>
      </w:r>
      <w:r w:rsidR="007208DD">
        <w:rPr>
          <w:sz w:val="22"/>
          <w:szCs w:val="22"/>
        </w:rPr>
        <w:t xml:space="preserve"> </w:t>
      </w:r>
      <w:r w:rsidR="009218FA" w:rsidRPr="005165AA">
        <w:rPr>
          <w:sz w:val="22"/>
          <w:szCs w:val="22"/>
        </w:rPr>
        <w:t xml:space="preserve">Like most insurance companies, Medibank was </w:t>
      </w:r>
      <w:r w:rsidR="00561E49">
        <w:rPr>
          <w:sz w:val="22"/>
          <w:szCs w:val="22"/>
        </w:rPr>
        <w:t xml:space="preserve">also </w:t>
      </w:r>
      <w:r w:rsidR="009218FA" w:rsidRPr="005165AA">
        <w:rPr>
          <w:sz w:val="22"/>
          <w:szCs w:val="22"/>
        </w:rPr>
        <w:t xml:space="preserve">able to generate significant income from its portfolio of investment assets. </w:t>
      </w:r>
    </w:p>
    <w:p w14:paraId="1E595B97" w14:textId="77777777" w:rsidR="009218FA" w:rsidRDefault="009218FA" w:rsidP="009218FA">
      <w:pPr>
        <w:pStyle w:val="BodyTextMain"/>
      </w:pPr>
    </w:p>
    <w:p w14:paraId="651B68B9" w14:textId="3DC6650E" w:rsidR="009F5CA7" w:rsidRDefault="00EB5401" w:rsidP="00DD7406">
      <w:pPr>
        <w:jc w:val="both"/>
      </w:pPr>
      <w:r>
        <w:rPr>
          <w:rFonts w:ascii="Times" w:hAnsi="Times" w:cs="Times"/>
          <w:sz w:val="22"/>
          <w:szCs w:val="22"/>
        </w:rPr>
        <w:t>In b</w:t>
      </w:r>
      <w:r w:rsidR="0019698A">
        <w:rPr>
          <w:rFonts w:ascii="Times" w:hAnsi="Times" w:cs="Times"/>
          <w:sz w:val="22"/>
          <w:szCs w:val="22"/>
        </w:rPr>
        <w:t>ecoming a publicly listed company, Medibank’s objectives would inevitably involve the maxim of shareholder value creation. In light of this</w:t>
      </w:r>
      <w:r w:rsidR="00CF1A70">
        <w:rPr>
          <w:rFonts w:ascii="Times" w:hAnsi="Times" w:cs="Times"/>
          <w:sz w:val="22"/>
          <w:szCs w:val="22"/>
        </w:rPr>
        <w:t xml:space="preserve"> </w:t>
      </w:r>
      <w:r w:rsidR="00CF1A70" w:rsidRPr="00BD0076">
        <w:rPr>
          <w:rFonts w:ascii="Times" w:hAnsi="Times" w:cs="Times"/>
          <w:sz w:val="22"/>
          <w:szCs w:val="22"/>
        </w:rPr>
        <w:t>goal</w:t>
      </w:r>
      <w:r w:rsidR="0019698A" w:rsidRPr="00BD0076">
        <w:rPr>
          <w:rFonts w:ascii="Times" w:hAnsi="Times" w:cs="Times"/>
          <w:sz w:val="22"/>
          <w:szCs w:val="22"/>
        </w:rPr>
        <w:t>,</w:t>
      </w:r>
      <w:r w:rsidR="0019698A">
        <w:rPr>
          <w:rFonts w:ascii="Times" w:hAnsi="Times" w:cs="Times"/>
          <w:sz w:val="22"/>
          <w:szCs w:val="22"/>
        </w:rPr>
        <w:t xml:space="preserve"> </w:t>
      </w:r>
      <w:r w:rsidR="00BD0076">
        <w:rPr>
          <w:rFonts w:ascii="Times" w:hAnsi="Times" w:cs="Times"/>
          <w:sz w:val="22"/>
          <w:szCs w:val="22"/>
        </w:rPr>
        <w:t xml:space="preserve">the company </w:t>
      </w:r>
      <w:r w:rsidR="0019698A">
        <w:rPr>
          <w:rFonts w:ascii="Times" w:hAnsi="Times" w:cs="Times"/>
          <w:sz w:val="22"/>
          <w:szCs w:val="22"/>
        </w:rPr>
        <w:t xml:space="preserve">revised </w:t>
      </w:r>
      <w:r w:rsidR="00BD0076">
        <w:rPr>
          <w:rFonts w:ascii="Times" w:hAnsi="Times" w:cs="Times"/>
          <w:sz w:val="22"/>
          <w:szCs w:val="22"/>
        </w:rPr>
        <w:t xml:space="preserve">its strategy </w:t>
      </w:r>
      <w:r w:rsidR="0019698A">
        <w:rPr>
          <w:rFonts w:ascii="Times" w:hAnsi="Times" w:cs="Times"/>
          <w:sz w:val="22"/>
          <w:szCs w:val="22"/>
        </w:rPr>
        <w:t>to emphasi</w:t>
      </w:r>
      <w:r w:rsidR="003A1C85">
        <w:rPr>
          <w:rFonts w:ascii="Times" w:hAnsi="Times" w:cs="Times"/>
          <w:sz w:val="22"/>
          <w:szCs w:val="22"/>
        </w:rPr>
        <w:t>z</w:t>
      </w:r>
      <w:r w:rsidR="0019698A">
        <w:rPr>
          <w:rFonts w:ascii="Times" w:hAnsi="Times" w:cs="Times"/>
          <w:sz w:val="22"/>
          <w:szCs w:val="22"/>
        </w:rPr>
        <w:t>e five key focus areas</w:t>
      </w:r>
      <w:r w:rsidR="00BD0076">
        <w:rPr>
          <w:rFonts w:ascii="Times" w:hAnsi="Times" w:cs="Times"/>
          <w:sz w:val="22"/>
          <w:szCs w:val="22"/>
        </w:rPr>
        <w:t>:</w:t>
      </w:r>
      <w:r w:rsidR="0019698A">
        <w:rPr>
          <w:rFonts w:ascii="Times" w:hAnsi="Times" w:cs="Times"/>
          <w:sz w:val="22"/>
          <w:szCs w:val="22"/>
        </w:rPr>
        <w:t xml:space="preserve"> expanding revenue growth, improving underwriting margins, enhancing operations, building and utilizing core competencies, and investing in its people (see Exhibit </w:t>
      </w:r>
      <w:r w:rsidR="004F0E33">
        <w:rPr>
          <w:rFonts w:ascii="Times" w:hAnsi="Times" w:cs="Times"/>
          <w:sz w:val="22"/>
          <w:szCs w:val="22"/>
        </w:rPr>
        <w:t>4</w:t>
      </w:r>
      <w:r w:rsidR="0019698A">
        <w:rPr>
          <w:rFonts w:ascii="Times" w:hAnsi="Times" w:cs="Times"/>
          <w:sz w:val="22"/>
          <w:szCs w:val="22"/>
        </w:rPr>
        <w:t xml:space="preserve">). </w:t>
      </w:r>
      <w:r w:rsidR="009218FA" w:rsidRPr="0019698A">
        <w:rPr>
          <w:sz w:val="22"/>
          <w:szCs w:val="22"/>
        </w:rPr>
        <w:t>Medibank’s revised strategy</w:t>
      </w:r>
      <w:r w:rsidR="002C5BB6">
        <w:rPr>
          <w:sz w:val="22"/>
          <w:szCs w:val="22"/>
        </w:rPr>
        <w:t>,</w:t>
      </w:r>
      <w:r w:rsidR="009218FA" w:rsidRPr="0019698A">
        <w:rPr>
          <w:sz w:val="22"/>
          <w:szCs w:val="22"/>
        </w:rPr>
        <w:t xml:space="preserve"> </w:t>
      </w:r>
      <w:r w:rsidR="002C5BB6">
        <w:rPr>
          <w:sz w:val="22"/>
          <w:szCs w:val="22"/>
        </w:rPr>
        <w:t xml:space="preserve">which </w:t>
      </w:r>
      <w:proofErr w:type="spellStart"/>
      <w:r w:rsidR="009218FA" w:rsidRPr="0019698A">
        <w:rPr>
          <w:sz w:val="22"/>
          <w:szCs w:val="22"/>
        </w:rPr>
        <w:t>centred</w:t>
      </w:r>
      <w:proofErr w:type="spellEnd"/>
      <w:r w:rsidR="009218FA" w:rsidRPr="0019698A">
        <w:rPr>
          <w:sz w:val="22"/>
          <w:szCs w:val="22"/>
        </w:rPr>
        <w:t xml:space="preserve"> around cost and claim efficiencies, was starting to deliver claims initiatives</w:t>
      </w:r>
      <w:r w:rsidR="006E205E" w:rsidRPr="0019698A">
        <w:rPr>
          <w:sz w:val="22"/>
          <w:szCs w:val="22"/>
        </w:rPr>
        <w:t>,</w:t>
      </w:r>
      <w:r w:rsidR="009218FA" w:rsidRPr="0019698A">
        <w:rPr>
          <w:sz w:val="22"/>
          <w:szCs w:val="22"/>
        </w:rPr>
        <w:t xml:space="preserve"> </w:t>
      </w:r>
      <w:r w:rsidR="002C5BB6">
        <w:rPr>
          <w:sz w:val="22"/>
          <w:szCs w:val="22"/>
        </w:rPr>
        <w:t xml:space="preserve">thus </w:t>
      </w:r>
      <w:r w:rsidR="009218FA" w:rsidRPr="0019698A">
        <w:rPr>
          <w:sz w:val="22"/>
          <w:szCs w:val="22"/>
        </w:rPr>
        <w:t>enabling Medibank to buck the industry trend of declining gross margin</w:t>
      </w:r>
      <w:r w:rsidR="00023BA2">
        <w:rPr>
          <w:sz w:val="22"/>
          <w:szCs w:val="22"/>
        </w:rPr>
        <w:t>s</w:t>
      </w:r>
      <w:r w:rsidR="00CA57EA">
        <w:rPr>
          <w:sz w:val="22"/>
          <w:szCs w:val="22"/>
        </w:rPr>
        <w:t xml:space="preserve"> and</w:t>
      </w:r>
      <w:r w:rsidR="009218FA" w:rsidRPr="0019698A">
        <w:rPr>
          <w:sz w:val="22"/>
          <w:szCs w:val="22"/>
        </w:rPr>
        <w:t xml:space="preserve"> </w:t>
      </w:r>
      <w:r w:rsidR="005C5D1E">
        <w:rPr>
          <w:sz w:val="22"/>
          <w:szCs w:val="22"/>
        </w:rPr>
        <w:t xml:space="preserve">to </w:t>
      </w:r>
      <w:r w:rsidR="009218FA" w:rsidRPr="0019698A">
        <w:rPr>
          <w:sz w:val="22"/>
          <w:szCs w:val="22"/>
        </w:rPr>
        <w:t>increas</w:t>
      </w:r>
      <w:r w:rsidR="00CA57EA">
        <w:rPr>
          <w:sz w:val="22"/>
          <w:szCs w:val="22"/>
        </w:rPr>
        <w:t>e its</w:t>
      </w:r>
      <w:r w:rsidR="009218FA" w:rsidRPr="0019698A">
        <w:rPr>
          <w:sz w:val="22"/>
          <w:szCs w:val="22"/>
        </w:rPr>
        <w:t xml:space="preserve"> health insurance net margin to 4.4</w:t>
      </w:r>
      <w:r w:rsidR="003A1C85">
        <w:rPr>
          <w:sz w:val="22"/>
          <w:szCs w:val="22"/>
        </w:rPr>
        <w:t xml:space="preserve"> per cent.</w:t>
      </w:r>
      <w:r w:rsidR="00CE3809">
        <w:rPr>
          <w:rStyle w:val="FootnoteReference"/>
          <w:sz w:val="22"/>
          <w:szCs w:val="22"/>
        </w:rPr>
        <w:footnoteReference w:id="8"/>
      </w:r>
      <w:r w:rsidR="009218FA" w:rsidRPr="0019698A">
        <w:rPr>
          <w:sz w:val="22"/>
          <w:szCs w:val="22"/>
        </w:rPr>
        <w:t xml:space="preserve"> </w:t>
      </w:r>
    </w:p>
    <w:p w14:paraId="678D7C3D" w14:textId="77777777" w:rsidR="0005651F" w:rsidRDefault="0005651F" w:rsidP="009218FA">
      <w:pPr>
        <w:pStyle w:val="BodyTextMain"/>
      </w:pPr>
    </w:p>
    <w:p w14:paraId="39E413BE" w14:textId="77777777" w:rsidR="009218FA" w:rsidRPr="00C54D96" w:rsidRDefault="009218FA" w:rsidP="009218FA">
      <w:pPr>
        <w:pStyle w:val="BodyTextMain"/>
      </w:pPr>
    </w:p>
    <w:p w14:paraId="7DD622DB" w14:textId="645F64C9" w:rsidR="009218FA" w:rsidRDefault="009218FA" w:rsidP="009218FA">
      <w:pPr>
        <w:pStyle w:val="Casehead1"/>
      </w:pPr>
      <w:r>
        <w:t xml:space="preserve">MEdibank </w:t>
      </w:r>
      <w:r w:rsidR="002C5BB6">
        <w:t xml:space="preserve">Private: </w:t>
      </w:r>
      <w:r>
        <w:t>Private Health Insurance</w:t>
      </w:r>
    </w:p>
    <w:p w14:paraId="1B042CAA" w14:textId="77777777" w:rsidR="009218FA" w:rsidRPr="002D281B" w:rsidRDefault="009218FA" w:rsidP="009218FA">
      <w:pPr>
        <w:pStyle w:val="BodyTextMain"/>
      </w:pPr>
    </w:p>
    <w:p w14:paraId="0A32280A" w14:textId="6B297225" w:rsidR="00FB2E47" w:rsidRDefault="009218FA" w:rsidP="009218FA">
      <w:pPr>
        <w:pStyle w:val="BodyTextMain"/>
      </w:pPr>
      <w:r w:rsidRPr="00D873A5">
        <w:t xml:space="preserve">In Australia, public healthcare was free to all </w:t>
      </w:r>
      <w:r>
        <w:t xml:space="preserve">eligible </w:t>
      </w:r>
      <w:r w:rsidRPr="00D873A5">
        <w:t>Australian</w:t>
      </w:r>
      <w:r>
        <w:t xml:space="preserve"> patients</w:t>
      </w:r>
      <w:r w:rsidR="003377B1">
        <w:t>;</w:t>
      </w:r>
      <w:r w:rsidRPr="00D873A5">
        <w:t xml:space="preserve"> however</w:t>
      </w:r>
      <w:r w:rsidR="003377B1">
        <w:t>,</w:t>
      </w:r>
      <w:r w:rsidRPr="00D873A5">
        <w:t xml:space="preserve"> those who held PHI </w:t>
      </w:r>
      <w:r w:rsidR="003377B1">
        <w:t xml:space="preserve">could choose between </w:t>
      </w:r>
      <w:r w:rsidRPr="00D873A5">
        <w:t>be</w:t>
      </w:r>
      <w:r w:rsidR="003377B1">
        <w:t>ing</w:t>
      </w:r>
      <w:r w:rsidRPr="00D873A5">
        <w:t xml:space="preserve"> treated in a private hospital </w:t>
      </w:r>
      <w:r w:rsidR="00A73090">
        <w:t>and</w:t>
      </w:r>
      <w:r w:rsidRPr="00D873A5">
        <w:t xml:space="preserve"> be</w:t>
      </w:r>
      <w:r w:rsidR="003377B1">
        <w:t>ing</w:t>
      </w:r>
      <w:r w:rsidRPr="00D873A5">
        <w:t xml:space="preserve"> treated as a private patient in a public hospital. </w:t>
      </w:r>
      <w:r w:rsidR="00FB2E47" w:rsidRPr="00D873A5">
        <w:t>PHI also gave th</w:t>
      </w:r>
      <w:r w:rsidR="00A73090">
        <w:t>e</w:t>
      </w:r>
      <w:r w:rsidR="00FB2E47" w:rsidRPr="00D873A5">
        <w:t>se patients the</w:t>
      </w:r>
      <w:r w:rsidR="00A73090">
        <w:t>ir</w:t>
      </w:r>
      <w:r w:rsidR="00FB2E47" w:rsidRPr="00D873A5">
        <w:t xml:space="preserve"> choice of practitioner and the chance to avoid or reduce any waiting periods. </w:t>
      </w:r>
      <w:r w:rsidR="00FB2E47">
        <w:t>Further, policyholders were entitled to</w:t>
      </w:r>
      <w:r w:rsidR="00FB2E47" w:rsidRPr="00D873A5">
        <w:t xml:space="preserve"> ambulance services</w:t>
      </w:r>
      <w:r w:rsidR="003377B1">
        <w:t>,</w:t>
      </w:r>
      <w:r w:rsidR="00FB2E47" w:rsidRPr="00D873A5">
        <w:t xml:space="preserve"> </w:t>
      </w:r>
      <w:r w:rsidR="003377B1">
        <w:t>which</w:t>
      </w:r>
      <w:r w:rsidR="00FB2E47" w:rsidRPr="00D873A5">
        <w:t xml:space="preserve"> </w:t>
      </w:r>
      <w:r w:rsidR="00FB2E47">
        <w:t>were</w:t>
      </w:r>
      <w:r w:rsidR="00FB2E47" w:rsidRPr="00D873A5">
        <w:t xml:space="preserve"> not provided free of charge to public</w:t>
      </w:r>
      <w:r w:rsidR="00A73090">
        <w:t xml:space="preserve"> policy</w:t>
      </w:r>
      <w:r w:rsidR="00FB2E47" w:rsidRPr="00D873A5">
        <w:t xml:space="preserve"> holders</w:t>
      </w:r>
      <w:r w:rsidR="00FB2E47">
        <w:t>,</w:t>
      </w:r>
      <w:r w:rsidR="00FB2E47" w:rsidRPr="00D873A5">
        <w:t xml:space="preserve"> as well as dental examinations and other therapies.</w:t>
      </w:r>
      <w:r w:rsidR="00FB2E47">
        <w:t xml:space="preserve"> </w:t>
      </w:r>
    </w:p>
    <w:p w14:paraId="4136B68A" w14:textId="77777777" w:rsidR="00FB2E47" w:rsidRDefault="00FB2E47" w:rsidP="009218FA">
      <w:pPr>
        <w:pStyle w:val="BodyTextMain"/>
      </w:pPr>
    </w:p>
    <w:p w14:paraId="6B059ABB" w14:textId="2DC281F5" w:rsidR="009F5CA7" w:rsidRPr="00DD7406" w:rsidRDefault="00AF183B" w:rsidP="00DD7406">
      <w:pPr>
        <w:jc w:val="both"/>
        <w:rPr>
          <w:sz w:val="22"/>
          <w:szCs w:val="22"/>
        </w:rPr>
      </w:pPr>
      <w:r w:rsidRPr="003A1C85">
        <w:rPr>
          <w:rStyle w:val="BodyTextMainChar"/>
          <w:sz w:val="22"/>
          <w:szCs w:val="22"/>
        </w:rPr>
        <w:t>The PHI industry faced strict regulation under the National Health Act 1953, with the Private Health Insurance Administration Council supervising 38 market providers</w:t>
      </w:r>
      <w:r w:rsidR="009218FA" w:rsidRPr="003A1C85">
        <w:rPr>
          <w:rStyle w:val="BodyTextMainChar"/>
          <w:sz w:val="22"/>
          <w:szCs w:val="22"/>
        </w:rPr>
        <w:t>.</w:t>
      </w:r>
      <w:r w:rsidRPr="003A1C85">
        <w:rPr>
          <w:rStyle w:val="BodyTextMainChar"/>
          <w:sz w:val="22"/>
          <w:szCs w:val="22"/>
          <w:vertAlign w:val="superscript"/>
        </w:rPr>
        <w:footnoteReference w:id="9"/>
      </w:r>
      <w:r w:rsidR="009218FA" w:rsidRPr="003A1C85">
        <w:rPr>
          <w:rStyle w:val="BodyTextMainChar"/>
          <w:sz w:val="22"/>
          <w:szCs w:val="22"/>
        </w:rPr>
        <w:t xml:space="preserve"> </w:t>
      </w:r>
      <w:r w:rsidR="00C64B42" w:rsidRPr="003A1C85">
        <w:rPr>
          <w:rStyle w:val="BodyTextMainChar"/>
          <w:sz w:val="22"/>
          <w:szCs w:val="22"/>
        </w:rPr>
        <w:t xml:space="preserve">While it was a market leader in </w:t>
      </w:r>
      <w:r w:rsidR="00A73090">
        <w:rPr>
          <w:rStyle w:val="BodyTextMainChar"/>
          <w:sz w:val="22"/>
          <w:szCs w:val="22"/>
        </w:rPr>
        <w:t xml:space="preserve">the </w:t>
      </w:r>
      <w:r w:rsidR="00C64B42" w:rsidRPr="003A1C85">
        <w:rPr>
          <w:rStyle w:val="BodyTextMainChar"/>
          <w:sz w:val="22"/>
          <w:szCs w:val="22"/>
        </w:rPr>
        <w:t>PHI</w:t>
      </w:r>
      <w:r w:rsidR="00A73090">
        <w:rPr>
          <w:rStyle w:val="BodyTextMainChar"/>
          <w:sz w:val="22"/>
          <w:szCs w:val="22"/>
        </w:rPr>
        <w:t xml:space="preserve"> market</w:t>
      </w:r>
      <w:r w:rsidR="00C64B42" w:rsidRPr="003A1C85">
        <w:rPr>
          <w:rStyle w:val="BodyTextMainChar"/>
          <w:sz w:val="22"/>
          <w:szCs w:val="22"/>
        </w:rPr>
        <w:t xml:space="preserve">, </w:t>
      </w:r>
      <w:r w:rsidR="009218FA" w:rsidRPr="003A1C85">
        <w:rPr>
          <w:rStyle w:val="BodyTextMainChar"/>
          <w:sz w:val="22"/>
          <w:szCs w:val="22"/>
        </w:rPr>
        <w:t xml:space="preserve">Medibank’s administrative expenses </w:t>
      </w:r>
      <w:r w:rsidR="003377B1">
        <w:rPr>
          <w:rStyle w:val="BodyTextMainChar"/>
          <w:sz w:val="22"/>
          <w:szCs w:val="22"/>
        </w:rPr>
        <w:t>remained</w:t>
      </w:r>
      <w:r w:rsidR="009218FA" w:rsidRPr="003A1C85">
        <w:rPr>
          <w:rStyle w:val="BodyTextMainChar"/>
          <w:sz w:val="22"/>
          <w:szCs w:val="22"/>
        </w:rPr>
        <w:t xml:space="preserve"> above the industry average </w:t>
      </w:r>
      <w:r w:rsidR="003377B1">
        <w:rPr>
          <w:rStyle w:val="BodyTextMainChar"/>
          <w:sz w:val="22"/>
          <w:szCs w:val="22"/>
        </w:rPr>
        <w:t xml:space="preserve">from </w:t>
      </w:r>
      <w:r w:rsidR="00880A73" w:rsidRPr="003A1C85">
        <w:rPr>
          <w:rStyle w:val="BodyTextMainChar"/>
          <w:sz w:val="22"/>
          <w:szCs w:val="22"/>
        </w:rPr>
        <w:t>2012 to 2014</w:t>
      </w:r>
      <w:r w:rsidR="003377B1">
        <w:rPr>
          <w:rStyle w:val="BodyTextMainChar"/>
          <w:sz w:val="22"/>
          <w:szCs w:val="22"/>
        </w:rPr>
        <w:t>,</w:t>
      </w:r>
      <w:r w:rsidR="00880A73" w:rsidRPr="003A1C85">
        <w:rPr>
          <w:rStyle w:val="BodyTextMainChar"/>
          <w:sz w:val="22"/>
          <w:szCs w:val="22"/>
        </w:rPr>
        <w:t xml:space="preserve"> </w:t>
      </w:r>
      <w:r w:rsidR="009218FA" w:rsidRPr="003A1C85">
        <w:rPr>
          <w:rStyle w:val="BodyTextMainChar"/>
          <w:sz w:val="22"/>
          <w:szCs w:val="22"/>
        </w:rPr>
        <w:t>with a management expense ratio of 8.7</w:t>
      </w:r>
      <w:r w:rsidR="003A1C85" w:rsidRPr="003A1C85">
        <w:rPr>
          <w:rStyle w:val="BodyTextMainChar"/>
          <w:sz w:val="22"/>
          <w:szCs w:val="22"/>
        </w:rPr>
        <w:t xml:space="preserve"> per cent</w:t>
      </w:r>
      <w:r w:rsidR="009218FA" w:rsidRPr="003A1C85">
        <w:rPr>
          <w:rStyle w:val="BodyTextMainChar"/>
          <w:sz w:val="22"/>
          <w:szCs w:val="22"/>
        </w:rPr>
        <w:t xml:space="preserve"> </w:t>
      </w:r>
      <w:r w:rsidR="003E53A6">
        <w:rPr>
          <w:rStyle w:val="BodyTextMainChar"/>
          <w:sz w:val="22"/>
          <w:szCs w:val="22"/>
        </w:rPr>
        <w:t xml:space="preserve">in </w:t>
      </w:r>
      <w:r w:rsidR="009F5CA7" w:rsidRPr="00951774">
        <w:rPr>
          <w:rStyle w:val="BodyTextMainChar"/>
          <w:sz w:val="22"/>
          <w:szCs w:val="22"/>
        </w:rPr>
        <w:t xml:space="preserve">FY </w:t>
      </w:r>
      <w:r w:rsidR="00951774" w:rsidRPr="00DD7406">
        <w:rPr>
          <w:rStyle w:val="BodyTextMainChar"/>
          <w:sz w:val="22"/>
          <w:szCs w:val="22"/>
        </w:rPr>
        <w:t>20</w:t>
      </w:r>
      <w:r w:rsidR="009F5CA7" w:rsidRPr="00951774">
        <w:rPr>
          <w:rStyle w:val="BodyTextMainChar"/>
          <w:sz w:val="22"/>
          <w:szCs w:val="22"/>
        </w:rPr>
        <w:t>14</w:t>
      </w:r>
      <w:r w:rsidR="006E205E" w:rsidRPr="003A1C85">
        <w:rPr>
          <w:rStyle w:val="BodyTextMainChar"/>
          <w:sz w:val="22"/>
          <w:szCs w:val="22"/>
        </w:rPr>
        <w:t xml:space="preserve"> (see Exhibit </w:t>
      </w:r>
      <w:r w:rsidR="004F0E33">
        <w:rPr>
          <w:rStyle w:val="BodyTextMainChar"/>
          <w:sz w:val="22"/>
          <w:szCs w:val="22"/>
        </w:rPr>
        <w:t>5</w:t>
      </w:r>
      <w:r w:rsidR="006E205E" w:rsidRPr="003A1C85">
        <w:rPr>
          <w:rStyle w:val="BodyTextMainChar"/>
          <w:sz w:val="22"/>
          <w:szCs w:val="22"/>
        </w:rPr>
        <w:t>)</w:t>
      </w:r>
      <w:r w:rsidR="009218FA" w:rsidRPr="003A1C85">
        <w:rPr>
          <w:rStyle w:val="BodyTextMainChar"/>
          <w:sz w:val="22"/>
          <w:szCs w:val="22"/>
        </w:rPr>
        <w:t xml:space="preserve">. With strong industry growth in the </w:t>
      </w:r>
      <w:r w:rsidR="008A717A" w:rsidRPr="003A1C85">
        <w:rPr>
          <w:rStyle w:val="BodyTextMainChar"/>
          <w:sz w:val="22"/>
          <w:szCs w:val="22"/>
        </w:rPr>
        <w:t>PHI</w:t>
      </w:r>
      <w:r w:rsidR="009218FA" w:rsidRPr="003A1C85">
        <w:rPr>
          <w:rStyle w:val="BodyTextMainChar"/>
          <w:sz w:val="22"/>
          <w:szCs w:val="22"/>
        </w:rPr>
        <w:t xml:space="preserve"> sector, projections of </w:t>
      </w:r>
      <w:r w:rsidR="003E53A6">
        <w:rPr>
          <w:rStyle w:val="BodyTextMainChar"/>
          <w:sz w:val="22"/>
          <w:szCs w:val="22"/>
        </w:rPr>
        <w:t>five-</w:t>
      </w:r>
      <w:r w:rsidR="009218FA" w:rsidRPr="003A1C85">
        <w:rPr>
          <w:rStyle w:val="BodyTextMainChar"/>
          <w:sz w:val="22"/>
          <w:szCs w:val="22"/>
        </w:rPr>
        <w:t>year</w:t>
      </w:r>
      <w:r w:rsidR="009B52D9">
        <w:rPr>
          <w:rStyle w:val="BodyTextMainChar"/>
          <w:sz w:val="22"/>
          <w:szCs w:val="22"/>
        </w:rPr>
        <w:t xml:space="preserve"> </w:t>
      </w:r>
      <w:r w:rsidR="009218FA" w:rsidRPr="003A1C85">
        <w:rPr>
          <w:rStyle w:val="BodyTextMainChar"/>
          <w:sz w:val="22"/>
          <w:szCs w:val="22"/>
        </w:rPr>
        <w:t>growth of 8</w:t>
      </w:r>
      <w:r w:rsidR="003A1C85" w:rsidRPr="003A1C85">
        <w:rPr>
          <w:rStyle w:val="BodyTextMainChar"/>
          <w:sz w:val="22"/>
          <w:szCs w:val="22"/>
        </w:rPr>
        <w:t xml:space="preserve"> per cent</w:t>
      </w:r>
      <w:r w:rsidR="009218FA" w:rsidRPr="003A1C85">
        <w:rPr>
          <w:rStyle w:val="BodyTextMainChar"/>
          <w:sz w:val="22"/>
          <w:szCs w:val="22"/>
        </w:rPr>
        <w:t xml:space="preserve"> </w:t>
      </w:r>
      <w:r w:rsidR="003E53A6">
        <w:rPr>
          <w:rStyle w:val="BodyTextMainChar"/>
          <w:sz w:val="22"/>
          <w:szCs w:val="22"/>
        </w:rPr>
        <w:t xml:space="preserve">were expected </w:t>
      </w:r>
      <w:r w:rsidR="009218FA" w:rsidRPr="003A1C85">
        <w:rPr>
          <w:rStyle w:val="BodyTextMainChar"/>
          <w:sz w:val="22"/>
          <w:szCs w:val="22"/>
        </w:rPr>
        <w:t>to reach $147 billion in health</w:t>
      </w:r>
      <w:r w:rsidR="005C5D1E">
        <w:rPr>
          <w:rStyle w:val="BodyTextMainChar"/>
          <w:sz w:val="22"/>
          <w:szCs w:val="22"/>
        </w:rPr>
        <w:t xml:space="preserve">care </w:t>
      </w:r>
      <w:r w:rsidR="009218FA" w:rsidRPr="003A1C85">
        <w:rPr>
          <w:rStyle w:val="BodyTextMainChar"/>
          <w:sz w:val="22"/>
          <w:szCs w:val="22"/>
        </w:rPr>
        <w:t>costs</w:t>
      </w:r>
      <w:r w:rsidR="003E53A6">
        <w:rPr>
          <w:rStyle w:val="BodyTextMainChar"/>
          <w:sz w:val="22"/>
          <w:szCs w:val="22"/>
        </w:rPr>
        <w:t>,</w:t>
      </w:r>
      <w:r w:rsidR="009218FA" w:rsidRPr="003A1C85">
        <w:rPr>
          <w:rStyle w:val="BodyTextMainChar"/>
          <w:sz w:val="22"/>
          <w:szCs w:val="22"/>
        </w:rPr>
        <w:t xml:space="preserve"> as healthcare costs outpaced tax revenue. </w:t>
      </w:r>
      <w:r w:rsidR="004048AC" w:rsidRPr="003A1C85">
        <w:rPr>
          <w:rStyle w:val="BodyTextMainChar"/>
          <w:sz w:val="22"/>
          <w:szCs w:val="22"/>
        </w:rPr>
        <w:t>Policyholder growth for the PHI sector continued to increase steadily, at 8.4</w:t>
      </w:r>
      <w:r w:rsidR="003A1C85" w:rsidRPr="003A1C85">
        <w:rPr>
          <w:rStyle w:val="BodyTextMainChar"/>
          <w:sz w:val="22"/>
          <w:szCs w:val="22"/>
        </w:rPr>
        <w:t xml:space="preserve"> per cent</w:t>
      </w:r>
      <w:r w:rsidR="004048AC" w:rsidRPr="003A1C85">
        <w:rPr>
          <w:rStyle w:val="BodyTextMainChar"/>
          <w:sz w:val="22"/>
          <w:szCs w:val="22"/>
        </w:rPr>
        <w:t xml:space="preserve"> </w:t>
      </w:r>
      <w:r w:rsidR="00403E03">
        <w:rPr>
          <w:rStyle w:val="BodyTextMainChar"/>
          <w:sz w:val="22"/>
          <w:szCs w:val="22"/>
        </w:rPr>
        <w:t xml:space="preserve">compound annual growth rate (CAGR) between </w:t>
      </w:r>
      <w:r w:rsidR="004048AC" w:rsidRPr="003A1C85">
        <w:rPr>
          <w:rStyle w:val="BodyTextMainChar"/>
          <w:sz w:val="22"/>
          <w:szCs w:val="22"/>
        </w:rPr>
        <w:t>20</w:t>
      </w:r>
      <w:r w:rsidR="00403E03">
        <w:rPr>
          <w:rStyle w:val="BodyTextMainChar"/>
          <w:sz w:val="22"/>
          <w:szCs w:val="22"/>
        </w:rPr>
        <w:t>0</w:t>
      </w:r>
      <w:r w:rsidR="004048AC" w:rsidRPr="003A1C85">
        <w:rPr>
          <w:rStyle w:val="BodyTextMainChar"/>
          <w:sz w:val="22"/>
          <w:szCs w:val="22"/>
        </w:rPr>
        <w:t>3</w:t>
      </w:r>
      <w:r w:rsidR="00951774">
        <w:rPr>
          <w:rStyle w:val="BodyTextMainChar"/>
          <w:sz w:val="22"/>
          <w:szCs w:val="22"/>
        </w:rPr>
        <w:t>–</w:t>
      </w:r>
      <w:r w:rsidR="004048AC" w:rsidRPr="003A1C85">
        <w:rPr>
          <w:rStyle w:val="BodyTextMainChar"/>
          <w:sz w:val="22"/>
          <w:szCs w:val="22"/>
        </w:rPr>
        <w:t>2014</w:t>
      </w:r>
      <w:r w:rsidR="00135B37">
        <w:rPr>
          <w:rStyle w:val="BodyTextMainChar"/>
          <w:sz w:val="22"/>
          <w:szCs w:val="22"/>
        </w:rPr>
        <w:t>,</w:t>
      </w:r>
      <w:r w:rsidR="00403E03">
        <w:rPr>
          <w:rStyle w:val="FootnoteReference"/>
          <w:sz w:val="22"/>
          <w:szCs w:val="22"/>
        </w:rPr>
        <w:footnoteReference w:id="10"/>
      </w:r>
      <w:r w:rsidR="004048AC" w:rsidRPr="003A1C85">
        <w:rPr>
          <w:rStyle w:val="BodyTextMainChar"/>
          <w:sz w:val="22"/>
          <w:szCs w:val="22"/>
        </w:rPr>
        <w:t xml:space="preserve"> exceeding the </w:t>
      </w:r>
      <w:r w:rsidR="003E53A6" w:rsidRPr="003A1C85">
        <w:rPr>
          <w:rStyle w:val="BodyTextMainChar"/>
          <w:sz w:val="22"/>
          <w:szCs w:val="22"/>
        </w:rPr>
        <w:t>7.9</w:t>
      </w:r>
      <w:r w:rsidR="00403E03">
        <w:rPr>
          <w:rStyle w:val="FootnoteReference"/>
          <w:sz w:val="22"/>
          <w:szCs w:val="22"/>
        </w:rPr>
        <w:footnoteReference w:id="11"/>
      </w:r>
      <w:r w:rsidR="003E53A6" w:rsidRPr="003A1C85">
        <w:rPr>
          <w:rStyle w:val="BodyTextMainChar"/>
          <w:sz w:val="22"/>
          <w:szCs w:val="22"/>
        </w:rPr>
        <w:t xml:space="preserve"> per cent </w:t>
      </w:r>
      <w:r w:rsidR="00403E03">
        <w:rPr>
          <w:rStyle w:val="BodyTextMainChar"/>
          <w:sz w:val="22"/>
          <w:szCs w:val="22"/>
        </w:rPr>
        <w:t xml:space="preserve">CAGR </w:t>
      </w:r>
      <w:r w:rsidR="004048AC" w:rsidRPr="003A1C85">
        <w:rPr>
          <w:rStyle w:val="BodyTextMainChar"/>
          <w:sz w:val="22"/>
          <w:szCs w:val="22"/>
        </w:rPr>
        <w:t xml:space="preserve">rise </w:t>
      </w:r>
      <w:r w:rsidR="003E53A6">
        <w:rPr>
          <w:rStyle w:val="BodyTextMainChar"/>
          <w:sz w:val="22"/>
          <w:szCs w:val="22"/>
        </w:rPr>
        <w:t xml:space="preserve">in </w:t>
      </w:r>
      <w:r w:rsidR="004048AC" w:rsidRPr="003A1C85">
        <w:rPr>
          <w:rStyle w:val="BodyTextMainChar"/>
          <w:sz w:val="22"/>
          <w:szCs w:val="22"/>
        </w:rPr>
        <w:t>healthcare expenditure</w:t>
      </w:r>
      <w:r w:rsidR="005C5D1E">
        <w:rPr>
          <w:rStyle w:val="BodyTextMainChar"/>
          <w:sz w:val="22"/>
          <w:szCs w:val="22"/>
        </w:rPr>
        <w:t>s</w:t>
      </w:r>
      <w:r w:rsidR="004048AC" w:rsidRPr="003A1C85">
        <w:rPr>
          <w:rStyle w:val="BodyTextMainChar"/>
          <w:sz w:val="22"/>
          <w:szCs w:val="22"/>
        </w:rPr>
        <w:t xml:space="preserve"> over the same period (see Exhibit </w:t>
      </w:r>
      <w:r w:rsidR="004F0E33">
        <w:rPr>
          <w:rStyle w:val="BodyTextMainChar"/>
          <w:sz w:val="22"/>
          <w:szCs w:val="22"/>
        </w:rPr>
        <w:t>6</w:t>
      </w:r>
      <w:r w:rsidR="004048AC" w:rsidRPr="003A1C85">
        <w:rPr>
          <w:rStyle w:val="BodyTextMainChar"/>
          <w:sz w:val="22"/>
          <w:szCs w:val="22"/>
        </w:rPr>
        <w:t>).</w:t>
      </w:r>
      <w:r w:rsidR="009218FA" w:rsidRPr="003A1C85">
        <w:rPr>
          <w:sz w:val="22"/>
          <w:szCs w:val="22"/>
        </w:rPr>
        <w:t xml:space="preserve"> </w:t>
      </w:r>
      <w:r w:rsidR="0064055B" w:rsidRPr="003A1C85">
        <w:rPr>
          <w:rStyle w:val="BodyTextMainChar"/>
          <w:sz w:val="22"/>
          <w:szCs w:val="22"/>
        </w:rPr>
        <w:t>However, claims on PHI policies kept pace and grew at 8.3</w:t>
      </w:r>
      <w:r w:rsidR="003A1C85" w:rsidRPr="003A1C85">
        <w:rPr>
          <w:rStyle w:val="BodyTextMainChar"/>
          <w:sz w:val="22"/>
          <w:szCs w:val="22"/>
        </w:rPr>
        <w:t xml:space="preserve"> per cent</w:t>
      </w:r>
      <w:r w:rsidR="0064055B" w:rsidRPr="003A1C85">
        <w:rPr>
          <w:rStyle w:val="BodyTextMainChar"/>
          <w:sz w:val="22"/>
          <w:szCs w:val="22"/>
        </w:rPr>
        <w:t xml:space="preserve">, largely eroding the gains produced by an </w:t>
      </w:r>
      <w:r w:rsidR="0064055B" w:rsidRPr="003A1C85">
        <w:rPr>
          <w:rStyle w:val="BodyTextMainChar"/>
          <w:sz w:val="22"/>
          <w:szCs w:val="22"/>
        </w:rPr>
        <w:lastRenderedPageBreak/>
        <w:t>expansion in policyholders. Medibank itself exhibited a claims expense representing 87.4</w:t>
      </w:r>
      <w:r w:rsidR="003A1C85" w:rsidRPr="003A1C85">
        <w:rPr>
          <w:rStyle w:val="BodyTextMainChar"/>
          <w:sz w:val="22"/>
          <w:szCs w:val="22"/>
        </w:rPr>
        <w:t xml:space="preserve"> per cent</w:t>
      </w:r>
      <w:r w:rsidR="0064055B" w:rsidRPr="003A1C85">
        <w:rPr>
          <w:rStyle w:val="BodyTextMainChar"/>
          <w:sz w:val="22"/>
          <w:szCs w:val="22"/>
        </w:rPr>
        <w:t xml:space="preserve"> of </w:t>
      </w:r>
      <w:r w:rsidR="009F5CA7" w:rsidRPr="00951774">
        <w:rPr>
          <w:rStyle w:val="BodyTextMainChar"/>
          <w:sz w:val="22"/>
          <w:szCs w:val="22"/>
        </w:rPr>
        <w:t>FY 2014</w:t>
      </w:r>
      <w:r w:rsidR="0064055B" w:rsidRPr="003A1C85">
        <w:rPr>
          <w:rStyle w:val="BodyTextMainChar"/>
          <w:sz w:val="22"/>
          <w:szCs w:val="22"/>
        </w:rPr>
        <w:t xml:space="preserve"> revenue.</w:t>
      </w:r>
      <w:r w:rsidR="0064055B" w:rsidRPr="003A1C85">
        <w:rPr>
          <w:rStyle w:val="BodyTextMainChar"/>
          <w:vertAlign w:val="superscript"/>
        </w:rPr>
        <w:footnoteReference w:id="12"/>
      </w:r>
    </w:p>
    <w:p w14:paraId="510DE687" w14:textId="77777777" w:rsidR="00CE2920" w:rsidRDefault="00CE2920" w:rsidP="003A1C85"/>
    <w:p w14:paraId="1D51A6C8" w14:textId="77777777" w:rsidR="0005651F" w:rsidRDefault="0005651F" w:rsidP="003A1C85"/>
    <w:p w14:paraId="7719CCA1" w14:textId="77777777" w:rsidR="009218FA" w:rsidRPr="00C54D96" w:rsidRDefault="009218FA" w:rsidP="009218FA">
      <w:pPr>
        <w:pStyle w:val="Casehead1"/>
      </w:pPr>
      <w:r w:rsidRPr="00C54D96">
        <w:t>Australian healthcare Industry</w:t>
      </w:r>
    </w:p>
    <w:p w14:paraId="33CC448F" w14:textId="77777777" w:rsidR="009218FA" w:rsidRPr="00C54D96" w:rsidRDefault="009218FA" w:rsidP="009218FA">
      <w:pPr>
        <w:pStyle w:val="BodyTextMain"/>
      </w:pPr>
    </w:p>
    <w:p w14:paraId="3E6EF665" w14:textId="7C132E71" w:rsidR="00E978CD" w:rsidRDefault="009218FA" w:rsidP="009218FA">
      <w:pPr>
        <w:pStyle w:val="BodyTextMain"/>
      </w:pPr>
      <w:r w:rsidRPr="00C54D96">
        <w:t>The A</w:t>
      </w:r>
      <w:r>
        <w:t xml:space="preserve">ustralian healthcare industry </w:t>
      </w:r>
      <w:r w:rsidR="004B4715">
        <w:t>was</w:t>
      </w:r>
      <w:r w:rsidRPr="00C54D96">
        <w:t xml:space="preserve"> an integral part of the Australian economy, representing approximately 9.</w:t>
      </w:r>
      <w:r w:rsidR="00FF1EC3">
        <w:t>5</w:t>
      </w:r>
      <w:r w:rsidR="00E978CD">
        <w:t xml:space="preserve"> per cent</w:t>
      </w:r>
      <w:r w:rsidRPr="00C54D96">
        <w:t xml:space="preserve"> of </w:t>
      </w:r>
      <w:r w:rsidR="00B06D18">
        <w:t xml:space="preserve">the country’s </w:t>
      </w:r>
      <w:r w:rsidR="00E978CD">
        <w:t>gross domestic product (</w:t>
      </w:r>
      <w:r w:rsidR="009F5CA7" w:rsidRPr="00DD7406">
        <w:t>GDP</w:t>
      </w:r>
      <w:r w:rsidR="00E978CD">
        <w:t>)</w:t>
      </w:r>
      <w:r w:rsidRPr="00C54D96">
        <w:t xml:space="preserve"> in </w:t>
      </w:r>
      <w:r w:rsidR="00FF1EC3">
        <w:t>2011</w:t>
      </w:r>
      <w:r w:rsidR="00951774">
        <w:rPr>
          <w:rStyle w:val="BodyTextMainChar"/>
        </w:rPr>
        <w:t>–</w:t>
      </w:r>
      <w:r w:rsidRPr="00C54D96">
        <w:t>2012</w:t>
      </w:r>
      <w:r w:rsidR="00E978CD">
        <w:t>.</w:t>
      </w:r>
      <w:r w:rsidR="00FF1EC3">
        <w:rPr>
          <w:rStyle w:val="FootnoteReference"/>
        </w:rPr>
        <w:footnoteReference w:id="13"/>
      </w:r>
      <w:r w:rsidRPr="00C54D96">
        <w:t xml:space="preserve"> The Austral</w:t>
      </w:r>
      <w:r>
        <w:t>ian healthcare industry consisted</w:t>
      </w:r>
      <w:r w:rsidRPr="00C54D96">
        <w:t xml:space="preserve"> of public and private organizations that provide</w:t>
      </w:r>
      <w:r w:rsidR="004B4715">
        <w:t>d</w:t>
      </w:r>
      <w:r w:rsidRPr="00C54D96">
        <w:t xml:space="preserve"> healthcare services to consumers. </w:t>
      </w:r>
      <w:r w:rsidR="00395948" w:rsidRPr="00395948">
        <w:t xml:space="preserve">Historically, the Australian </w:t>
      </w:r>
      <w:r w:rsidR="00E978CD">
        <w:t>p</w:t>
      </w:r>
      <w:r w:rsidR="00395948" w:rsidRPr="00395948">
        <w:t xml:space="preserve">rivate </w:t>
      </w:r>
      <w:r w:rsidR="00E978CD">
        <w:t>h</w:t>
      </w:r>
      <w:r w:rsidR="00395948" w:rsidRPr="00395948">
        <w:t xml:space="preserve">ealth </w:t>
      </w:r>
      <w:r w:rsidR="00E978CD">
        <w:t>i</w:t>
      </w:r>
      <w:r w:rsidR="00395948" w:rsidRPr="00395948">
        <w:t>nsurance industry ha</w:t>
      </w:r>
      <w:r w:rsidR="00B06D18">
        <w:t>d</w:t>
      </w:r>
      <w:r w:rsidR="00395948" w:rsidRPr="00395948">
        <w:t xml:space="preserve"> been subject to a high degree of subsidization at a national level, notably through a national </w:t>
      </w:r>
      <w:r w:rsidR="00E978CD">
        <w:t>p</w:t>
      </w:r>
      <w:r w:rsidR="00395948">
        <w:t xml:space="preserve">rivate </w:t>
      </w:r>
      <w:r w:rsidR="00E978CD">
        <w:t>h</w:t>
      </w:r>
      <w:r w:rsidR="00395948">
        <w:t xml:space="preserve">ealth </w:t>
      </w:r>
      <w:r w:rsidR="00E978CD">
        <w:t>i</w:t>
      </w:r>
      <w:r w:rsidR="00395948">
        <w:t xml:space="preserve">nsurance </w:t>
      </w:r>
      <w:r w:rsidR="00E978CD">
        <w:t>r</w:t>
      </w:r>
      <w:r w:rsidR="00395948">
        <w:t>ebate.</w:t>
      </w:r>
      <w:r w:rsidR="00395948">
        <w:rPr>
          <w:rStyle w:val="FootnoteReference"/>
        </w:rPr>
        <w:footnoteReference w:id="14"/>
      </w:r>
      <w:r w:rsidR="00395948">
        <w:t xml:space="preserve"> </w:t>
      </w:r>
      <w:r>
        <w:t>Be</w:t>
      </w:r>
      <w:r w:rsidR="00E978CD">
        <w:t>cause</w:t>
      </w:r>
      <w:r>
        <w:t xml:space="preserve"> </w:t>
      </w:r>
      <w:r w:rsidR="00E978CD">
        <w:t xml:space="preserve">they were </w:t>
      </w:r>
      <w:r>
        <w:t xml:space="preserve">heavily subsidized by the </w:t>
      </w:r>
      <w:r w:rsidR="009F5CA7" w:rsidRPr="00DD7406">
        <w:t>Commonwealth</w:t>
      </w:r>
      <w:r>
        <w:t xml:space="preserve"> government, </w:t>
      </w:r>
      <w:r w:rsidR="00E978CD">
        <w:t xml:space="preserve">insurance </w:t>
      </w:r>
      <w:r>
        <w:t xml:space="preserve">premiums for consumers could be kept low and coverage could be expanded to larger populations. </w:t>
      </w:r>
    </w:p>
    <w:p w14:paraId="41EF4F5E" w14:textId="77777777" w:rsidR="00E978CD" w:rsidRDefault="00E978CD" w:rsidP="009218FA">
      <w:pPr>
        <w:pStyle w:val="BodyTextMain"/>
      </w:pPr>
    </w:p>
    <w:p w14:paraId="14C4985A" w14:textId="4B02B11E" w:rsidR="00B06D18" w:rsidRDefault="009218FA" w:rsidP="009218FA">
      <w:pPr>
        <w:pStyle w:val="BodyTextMain"/>
      </w:pPr>
      <w:r w:rsidRPr="00C54D96">
        <w:t>As of September 30</w:t>
      </w:r>
      <w:r w:rsidR="004B4715">
        <w:t>,</w:t>
      </w:r>
      <w:r w:rsidRPr="00C54D96">
        <w:t xml:space="preserve"> 2014, the PHI industry comprised 34 pr</w:t>
      </w:r>
      <w:r>
        <w:t>ivate health insurers, which were</w:t>
      </w:r>
      <w:r w:rsidRPr="00C54D96">
        <w:t xml:space="preserve"> generally categorized by membership criteria and profit status. Such services include</w:t>
      </w:r>
      <w:r w:rsidR="004B4715">
        <w:t>d</w:t>
      </w:r>
      <w:r w:rsidRPr="00C54D96">
        <w:t xml:space="preserve"> medical treatment, hospital services, medications</w:t>
      </w:r>
      <w:r w:rsidR="00E978CD">
        <w:t>,</w:t>
      </w:r>
      <w:r w:rsidRPr="00C54D96">
        <w:t xml:space="preserve"> and other related services. The key drivers of PHI premium revenue include</w:t>
      </w:r>
      <w:r w:rsidR="004B4715">
        <w:t>d</w:t>
      </w:r>
      <w:r w:rsidRPr="00C54D96">
        <w:t xml:space="preserve"> policy volumes, premium rate increases</w:t>
      </w:r>
      <w:r w:rsidR="00E978CD">
        <w:t>,</w:t>
      </w:r>
      <w:r w:rsidRPr="00C54D96">
        <w:t xml:space="preserve"> and coverage downgrades. </w:t>
      </w:r>
      <w:r>
        <w:t>Rising policyholder volumes had</w:t>
      </w:r>
      <w:r w:rsidRPr="00C54D96">
        <w:t xml:space="preserve"> increased </w:t>
      </w:r>
      <w:r w:rsidR="00633B9F">
        <w:t>alongside</w:t>
      </w:r>
      <w:r w:rsidRPr="00C54D96">
        <w:t xml:space="preserve"> </w:t>
      </w:r>
      <w:r w:rsidR="00B06D18">
        <w:t xml:space="preserve">a significant rise in </w:t>
      </w:r>
      <w:r w:rsidRPr="00C54D96">
        <w:t>average premiums</w:t>
      </w:r>
      <w:r w:rsidR="00B06D18">
        <w:t xml:space="preserve">, </w:t>
      </w:r>
      <w:r w:rsidR="00B81526">
        <w:t xml:space="preserve">with </w:t>
      </w:r>
      <w:r w:rsidRPr="00C54D96">
        <w:t>approximately 55.2</w:t>
      </w:r>
      <w:r w:rsidR="004B165A">
        <w:t xml:space="preserve"> per cent</w:t>
      </w:r>
      <w:r w:rsidRPr="00C54D96">
        <w:t xml:space="preserve"> of all Australians </w:t>
      </w:r>
      <w:r w:rsidR="00B06D18">
        <w:t>possessing</w:t>
      </w:r>
      <w:r w:rsidRPr="00C54D96">
        <w:t xml:space="preserve"> some form of PHI</w:t>
      </w:r>
      <w:r w:rsidR="00B81526">
        <w:t xml:space="preserve"> </w:t>
      </w:r>
      <w:r w:rsidR="00F63050">
        <w:t>in June 2014</w:t>
      </w:r>
      <w:r w:rsidR="00633B9F">
        <w:t>.</w:t>
      </w:r>
      <w:r w:rsidR="00F63050">
        <w:rPr>
          <w:rStyle w:val="FootnoteReference"/>
        </w:rPr>
        <w:footnoteReference w:id="15"/>
      </w:r>
      <w:r w:rsidR="00F63050">
        <w:t xml:space="preserve"> </w:t>
      </w:r>
      <w:r w:rsidRPr="00C54D96">
        <w:t>Medibank Private account</w:t>
      </w:r>
      <w:r w:rsidR="00F63050">
        <w:t>ed</w:t>
      </w:r>
      <w:r w:rsidRPr="00C54D96">
        <w:t xml:space="preserve"> for roughly one</w:t>
      </w:r>
      <w:r w:rsidR="00633B9F">
        <w:t>-</w:t>
      </w:r>
      <w:r w:rsidRPr="00C54D96">
        <w:t>third of this number</w:t>
      </w:r>
      <w:r w:rsidR="00A64BD6">
        <w:t>.</w:t>
      </w:r>
      <w:r w:rsidR="00356803">
        <w:rPr>
          <w:rStyle w:val="FootnoteReference"/>
        </w:rPr>
        <w:footnoteReference w:id="16"/>
      </w:r>
      <w:r w:rsidRPr="00C54D96">
        <w:t xml:space="preserve"> </w:t>
      </w:r>
    </w:p>
    <w:p w14:paraId="551567F2" w14:textId="77777777" w:rsidR="00B06D18" w:rsidRDefault="00B06D18" w:rsidP="009218FA">
      <w:pPr>
        <w:pStyle w:val="BodyTextMain"/>
      </w:pPr>
    </w:p>
    <w:p w14:paraId="3141920C" w14:textId="7583A77E" w:rsidR="009218FA" w:rsidRPr="00C54D96" w:rsidRDefault="009218FA" w:rsidP="009218FA">
      <w:pPr>
        <w:pStyle w:val="BodyTextMain"/>
      </w:pPr>
      <w:r w:rsidRPr="00C54D96">
        <w:t>The PHI industry generated approximately $19.3 billion in PHI premium revenue in 2014 and ha</w:t>
      </w:r>
      <w:r w:rsidR="000066A2">
        <w:t>d</w:t>
      </w:r>
      <w:r w:rsidRPr="00C54D96">
        <w:t xml:space="preserve"> grown at a </w:t>
      </w:r>
      <w:r w:rsidR="00951774">
        <w:t>compound annual growth rate</w:t>
      </w:r>
      <w:r w:rsidRPr="00C54D96">
        <w:t xml:space="preserve"> of 8.4</w:t>
      </w:r>
      <w:r w:rsidR="004B165A">
        <w:t xml:space="preserve"> per cent</w:t>
      </w:r>
      <w:r w:rsidRPr="00C54D96">
        <w:t xml:space="preserve"> since 2004.</w:t>
      </w:r>
      <w:r w:rsidRPr="004E35F0">
        <w:rPr>
          <w:rStyle w:val="FootnoteReference"/>
        </w:rPr>
        <w:footnoteReference w:id="17"/>
      </w:r>
      <w:r w:rsidRPr="004E35F0">
        <w:t xml:space="preserve"> </w:t>
      </w:r>
      <w:r w:rsidRPr="006E781E">
        <w:t>Australia’</w:t>
      </w:r>
      <w:r>
        <w:t xml:space="preserve">s high PHI participation rate </w:t>
      </w:r>
      <w:r w:rsidR="004B165A">
        <w:t>stemmed from</w:t>
      </w:r>
      <w:r w:rsidRPr="006E781E">
        <w:t xml:space="preserve"> the </w:t>
      </w:r>
      <w:r w:rsidR="004B165A">
        <w:t>g</w:t>
      </w:r>
      <w:r w:rsidRPr="006E781E">
        <w:t xml:space="preserve">overnment’s use of financial incentives that </w:t>
      </w:r>
      <w:r w:rsidR="000066A2">
        <w:t>were</w:t>
      </w:r>
      <w:r w:rsidRPr="00C54D96">
        <w:t xml:space="preserve"> administered through the tax system, such as the Medicare Levy Surcharge (MLS) and the Lifetime Health Co</w:t>
      </w:r>
      <w:r>
        <w:t xml:space="preserve">ver (LHC). </w:t>
      </w:r>
    </w:p>
    <w:p w14:paraId="3B8C95C0" w14:textId="77777777" w:rsidR="009218FA" w:rsidRPr="00C54D96" w:rsidRDefault="009218FA" w:rsidP="009218FA">
      <w:pPr>
        <w:pStyle w:val="BodyTextMain"/>
      </w:pPr>
    </w:p>
    <w:p w14:paraId="1B59B3DB" w14:textId="0749EB86" w:rsidR="009218FA" w:rsidRPr="004E35F0" w:rsidRDefault="009218FA" w:rsidP="009218FA">
      <w:pPr>
        <w:pStyle w:val="BodyTextMain"/>
      </w:pPr>
      <w:r w:rsidRPr="00C54D96">
        <w:t>A</w:t>
      </w:r>
      <w:r w:rsidR="001C00F8">
        <w:t xml:space="preserve">ustralia’s </w:t>
      </w:r>
      <w:r w:rsidRPr="00C54D96">
        <w:t xml:space="preserve">population had been one of the fastest growing among </w:t>
      </w:r>
      <w:r w:rsidR="00951774">
        <w:t xml:space="preserve">the member countries of the </w:t>
      </w:r>
      <w:proofErr w:type="spellStart"/>
      <w:r w:rsidR="00951774" w:rsidRPr="00951774">
        <w:t>Organisation</w:t>
      </w:r>
      <w:proofErr w:type="spellEnd"/>
      <w:r w:rsidR="00951774">
        <w:t xml:space="preserve"> for Economic Co-operation and Development</w:t>
      </w:r>
      <w:r w:rsidR="00DD7406">
        <w:t xml:space="preserve"> </w:t>
      </w:r>
      <w:r w:rsidRPr="00C54D96">
        <w:t>countries</w:t>
      </w:r>
      <w:r w:rsidR="001E6486">
        <w:t>,</w:t>
      </w:r>
      <w:r w:rsidRPr="00C54D96">
        <w:t xml:space="preserve"> based on </w:t>
      </w:r>
      <w:r w:rsidR="001E6486">
        <w:t xml:space="preserve">data from the </w:t>
      </w:r>
      <w:r w:rsidRPr="00C54D96">
        <w:t>Australian Bu</w:t>
      </w:r>
      <w:r w:rsidR="001C00F8">
        <w:t>reau</w:t>
      </w:r>
      <w:r w:rsidRPr="00C54D96">
        <w:t xml:space="preserve"> of Statistics</w:t>
      </w:r>
      <w:r w:rsidR="001E6486">
        <w:t>.</w:t>
      </w:r>
      <w:r w:rsidRPr="00C54D96">
        <w:t xml:space="preserve"> </w:t>
      </w:r>
      <w:r w:rsidR="00882E85">
        <w:t xml:space="preserve">This population was also </w:t>
      </w:r>
      <w:r w:rsidR="009F5CA7" w:rsidRPr="00951774">
        <w:rPr>
          <w:sz w:val="20"/>
          <w:szCs w:val="20"/>
        </w:rPr>
        <w:t>aging</w:t>
      </w:r>
      <w:r w:rsidR="00882E85">
        <w:t xml:space="preserve">, </w:t>
      </w:r>
      <w:r>
        <w:t>with</w:t>
      </w:r>
      <w:r w:rsidRPr="00C54D96">
        <w:t xml:space="preserve"> </w:t>
      </w:r>
      <w:r w:rsidR="001C00F8">
        <w:t xml:space="preserve">a high </w:t>
      </w:r>
      <w:r w:rsidRPr="00C54D96">
        <w:t>proportion of people aged 65 and older</w:t>
      </w:r>
      <w:r w:rsidR="004B1E60">
        <w:t xml:space="preserve"> </w:t>
      </w:r>
      <w:r w:rsidR="00292814">
        <w:t>representing</w:t>
      </w:r>
      <w:r w:rsidR="004B1E60">
        <w:t xml:space="preserve"> approximately 14.7</w:t>
      </w:r>
      <w:r w:rsidR="00B06D18">
        <w:t xml:space="preserve"> per cent of the population</w:t>
      </w:r>
      <w:r w:rsidR="004B1E60">
        <w:t xml:space="preserve"> in June 2014</w:t>
      </w:r>
      <w:r w:rsidRPr="00C54D96">
        <w:t>.</w:t>
      </w:r>
      <w:r w:rsidR="004B1E60">
        <w:rPr>
          <w:rStyle w:val="FootnoteReference"/>
        </w:rPr>
        <w:footnoteReference w:id="18"/>
      </w:r>
      <w:r w:rsidRPr="00C54D96">
        <w:t xml:space="preserve"> </w:t>
      </w:r>
      <w:r w:rsidR="000C2D4A">
        <w:t>This</w:t>
      </w:r>
      <w:r w:rsidR="005960E3">
        <w:t xml:space="preserve"> structural shift</w:t>
      </w:r>
      <w:r w:rsidR="000C2D4A">
        <w:t xml:space="preserve"> </w:t>
      </w:r>
      <w:r w:rsidR="00B06D18">
        <w:t xml:space="preserve">in the population </w:t>
      </w:r>
      <w:r w:rsidR="000C2D4A">
        <w:t>was supported by i</w:t>
      </w:r>
      <w:r w:rsidRPr="00C54D96">
        <w:t>ncreasing wealth per capita</w:t>
      </w:r>
      <w:r w:rsidR="00B06D18">
        <w:t>;</w:t>
      </w:r>
      <w:r w:rsidRPr="00C54D96">
        <w:t xml:space="preserve"> Australia had a relatively high GDP per capita</w:t>
      </w:r>
      <w:r w:rsidR="00292814">
        <w:t>,</w:t>
      </w:r>
      <w:r w:rsidRPr="00C54D96">
        <w:t xml:space="preserve"> and </w:t>
      </w:r>
      <w:r w:rsidR="00292814">
        <w:t xml:space="preserve">its </w:t>
      </w:r>
      <w:r w:rsidRPr="00C54D96">
        <w:t xml:space="preserve">median wealth </w:t>
      </w:r>
      <w:r w:rsidR="00292814">
        <w:t xml:space="preserve">rate </w:t>
      </w:r>
      <w:r w:rsidR="007F280F">
        <w:t>w</w:t>
      </w:r>
      <w:r w:rsidRPr="00C54D96">
        <w:t>as one of the highest in the world.</w:t>
      </w:r>
      <w:r w:rsidRPr="004E35F0">
        <w:rPr>
          <w:rStyle w:val="FootnoteReference"/>
        </w:rPr>
        <w:footnoteReference w:id="19"/>
      </w:r>
    </w:p>
    <w:p w14:paraId="5B558883" w14:textId="77777777" w:rsidR="009218FA" w:rsidRDefault="009218FA" w:rsidP="009218FA">
      <w:pPr>
        <w:pStyle w:val="BodyTextMain"/>
        <w:rPr>
          <w:szCs w:val="18"/>
        </w:rPr>
      </w:pPr>
    </w:p>
    <w:p w14:paraId="7B62ED04" w14:textId="16C484A8" w:rsidR="009218FA" w:rsidRPr="00C54D96" w:rsidRDefault="009218FA" w:rsidP="009218FA">
      <w:pPr>
        <w:pStyle w:val="BodyTextMain"/>
      </w:pPr>
      <w:r w:rsidRPr="00C54D96">
        <w:t xml:space="preserve">The PHI industry was relatively concentrated and competitive, with the top three private health </w:t>
      </w:r>
      <w:r>
        <w:t>insurers accounting for 67</w:t>
      </w:r>
      <w:r w:rsidR="00400B45">
        <w:t xml:space="preserve"> per cent</w:t>
      </w:r>
      <w:r>
        <w:t xml:space="preserve"> of principal policyholders</w:t>
      </w:r>
      <w:r w:rsidR="00400B45">
        <w:t>,</w:t>
      </w:r>
      <w:r>
        <w:t xml:space="preserve"> nationally</w:t>
      </w:r>
      <w:r w:rsidR="000066A2">
        <w:t xml:space="preserve"> (see</w:t>
      </w:r>
      <w:r>
        <w:t xml:space="preserve"> Exhibit </w:t>
      </w:r>
      <w:r w:rsidR="004F0E33">
        <w:t>7</w:t>
      </w:r>
      <w:r w:rsidR="000066A2">
        <w:t>)</w:t>
      </w:r>
      <w:r>
        <w:t>.</w:t>
      </w:r>
      <w:r w:rsidRPr="00C54D96">
        <w:t xml:space="preserve"> The structure of the industry </w:t>
      </w:r>
      <w:r w:rsidR="00FA2925">
        <w:t>had</w:t>
      </w:r>
      <w:r w:rsidR="00FA2925" w:rsidRPr="00C54D96">
        <w:t xml:space="preserve"> </w:t>
      </w:r>
      <w:r w:rsidRPr="00C54D96">
        <w:t>chang</w:t>
      </w:r>
      <w:r w:rsidR="00FA2925">
        <w:t>ed</w:t>
      </w:r>
      <w:r w:rsidRPr="00C54D96">
        <w:t xml:space="preserve"> over the </w:t>
      </w:r>
      <w:r w:rsidR="00F43B86">
        <w:t>decade ending</w:t>
      </w:r>
      <w:r w:rsidR="00FA2925">
        <w:t xml:space="preserve"> </w:t>
      </w:r>
      <w:r w:rsidR="008139D7">
        <w:t xml:space="preserve">in </w:t>
      </w:r>
      <w:r w:rsidR="00FA2925">
        <w:t>2014</w:t>
      </w:r>
      <w:r w:rsidR="00400B45">
        <w:t>, when</w:t>
      </w:r>
      <w:r w:rsidRPr="00C54D96">
        <w:t xml:space="preserve"> the industry </w:t>
      </w:r>
      <w:r w:rsidR="00400B45">
        <w:t xml:space="preserve">had </w:t>
      </w:r>
      <w:r w:rsidRPr="00C54D96">
        <w:t>experienced consolidations, demutualization</w:t>
      </w:r>
      <w:r>
        <w:t>,</w:t>
      </w:r>
      <w:r w:rsidRPr="00C54D96">
        <w:t xml:space="preserve"> and conversion of not-for-profit to for-profit private health insurers. </w:t>
      </w:r>
      <w:r w:rsidR="00B06D18">
        <w:t>The industry face</w:t>
      </w:r>
      <w:r w:rsidR="008139D7">
        <w:t>d</w:t>
      </w:r>
      <w:r w:rsidR="00B06D18">
        <w:t xml:space="preserve"> </w:t>
      </w:r>
      <w:r w:rsidR="00B06D18">
        <w:lastRenderedPageBreak/>
        <w:t>some o</w:t>
      </w:r>
      <w:r w:rsidRPr="00C54D96">
        <w:t>ther key concerns</w:t>
      </w:r>
      <w:r w:rsidR="00B06D18">
        <w:t xml:space="preserve">, </w:t>
      </w:r>
      <w:r w:rsidRPr="00C54D96">
        <w:t>includ</w:t>
      </w:r>
      <w:r w:rsidR="00B06D18">
        <w:t>ing</w:t>
      </w:r>
      <w:r w:rsidRPr="00C54D96">
        <w:t xml:space="preserve"> government objectives, health policies, technology advancements</w:t>
      </w:r>
      <w:r w:rsidR="00400B45">
        <w:t>,</w:t>
      </w:r>
      <w:r w:rsidRPr="00C54D96">
        <w:t xml:space="preserve"> </w:t>
      </w:r>
      <w:r>
        <w:t>and consumer needs and trends.</w:t>
      </w:r>
    </w:p>
    <w:p w14:paraId="1D2BB415" w14:textId="77777777" w:rsidR="009218FA" w:rsidRPr="00572DA4" w:rsidRDefault="009218FA" w:rsidP="00572DA4">
      <w:pPr>
        <w:pStyle w:val="BodyTextMain"/>
      </w:pPr>
    </w:p>
    <w:p w14:paraId="30A84666" w14:textId="5AE479CD" w:rsidR="009218FA" w:rsidRDefault="009218FA" w:rsidP="00572DA4">
      <w:pPr>
        <w:pStyle w:val="BodyTextMain"/>
      </w:pPr>
      <w:r w:rsidRPr="00572DA4">
        <w:t xml:space="preserve">The </w:t>
      </w:r>
      <w:r w:rsidR="00400B45">
        <w:t>g</w:t>
      </w:r>
      <w:r w:rsidRPr="00572DA4">
        <w:t xml:space="preserve">overnment put these incentives </w:t>
      </w:r>
      <w:r w:rsidR="009D6D3B">
        <w:t xml:space="preserve">in place </w:t>
      </w:r>
      <w:r w:rsidRPr="00572DA4">
        <w:t>to lessen the healthcare costs that it</w:t>
      </w:r>
      <w:r w:rsidR="000066A2">
        <w:t xml:space="preserve"> had to</w:t>
      </w:r>
      <w:r w:rsidRPr="00572DA4">
        <w:t xml:space="preserve"> fund directly. In 2013, total healthcare expenditure </w:t>
      </w:r>
      <w:r w:rsidR="005A7FA8">
        <w:t xml:space="preserve">stood at </w:t>
      </w:r>
      <w:r w:rsidRPr="00572DA4">
        <w:t>approximate</w:t>
      </w:r>
      <w:r w:rsidR="005A7FA8">
        <w:t>ly</w:t>
      </w:r>
      <w:r w:rsidRPr="00572DA4">
        <w:t xml:space="preserve"> $147 billion, of which around 68</w:t>
      </w:r>
      <w:r w:rsidR="005C0E3A">
        <w:t xml:space="preserve"> per cent</w:t>
      </w:r>
      <w:r w:rsidRPr="00572DA4">
        <w:t xml:space="preserve"> was funded by the government (federal and state), with the balance accounted for by individuals</w:t>
      </w:r>
      <w:r w:rsidR="005A7FA8">
        <w:t xml:space="preserve"> and </w:t>
      </w:r>
      <w:r w:rsidRPr="00572DA4">
        <w:t>organizations (24</w:t>
      </w:r>
      <w:r w:rsidR="005C0E3A">
        <w:t xml:space="preserve"> per cent</w:t>
      </w:r>
      <w:r w:rsidRPr="00572DA4">
        <w:t>) and the PHI industry (8</w:t>
      </w:r>
      <w:r w:rsidR="005C0E3A">
        <w:t xml:space="preserve"> per cent</w:t>
      </w:r>
      <w:r w:rsidRPr="00572DA4">
        <w:t>).</w:t>
      </w:r>
      <w:r w:rsidR="00482C85">
        <w:rPr>
          <w:rStyle w:val="FootnoteReference"/>
        </w:rPr>
        <w:footnoteReference w:id="20"/>
      </w:r>
      <w:r w:rsidRPr="00572DA4">
        <w:t xml:space="preserve"> Looking ahead, it seemed reasonable to expect that funding pressures would continue to rise, as the population age</w:t>
      </w:r>
      <w:r w:rsidR="000066A2">
        <w:t>d</w:t>
      </w:r>
      <w:r w:rsidRPr="00572DA4">
        <w:t xml:space="preserve"> and people live</w:t>
      </w:r>
      <w:r w:rsidR="000066A2">
        <w:t>d</w:t>
      </w:r>
      <w:r w:rsidRPr="00572DA4">
        <w:t xml:space="preserve"> longer.</w:t>
      </w:r>
    </w:p>
    <w:p w14:paraId="42A17672" w14:textId="77777777" w:rsidR="005C0E3A" w:rsidRPr="00572DA4" w:rsidRDefault="005C0E3A" w:rsidP="00572DA4">
      <w:pPr>
        <w:pStyle w:val="BodyTextMain"/>
      </w:pPr>
    </w:p>
    <w:p w14:paraId="4749C084" w14:textId="38DFB2D8" w:rsidR="009218FA" w:rsidRPr="00C54D96" w:rsidRDefault="002B403D" w:rsidP="009218FA">
      <w:pPr>
        <w:pStyle w:val="BodyTextMain"/>
      </w:pPr>
      <w:r>
        <w:t>With around 90</w:t>
      </w:r>
      <w:r w:rsidR="005C0E3A">
        <w:t xml:space="preserve"> per cent</w:t>
      </w:r>
      <w:r>
        <w:t xml:space="preserve"> of Medibank</w:t>
      </w:r>
      <w:r w:rsidR="009218FA" w:rsidRPr="006E781E">
        <w:t xml:space="preserve">’s pro forma </w:t>
      </w:r>
      <w:r w:rsidR="009F5CA7" w:rsidRPr="00DD7406">
        <w:t xml:space="preserve">FY </w:t>
      </w:r>
      <w:r w:rsidR="00C44C05" w:rsidRPr="00DD7406">
        <w:t>20</w:t>
      </w:r>
      <w:r w:rsidR="009F5CA7" w:rsidRPr="00DD7406">
        <w:t>15</w:t>
      </w:r>
      <w:r w:rsidR="009218FA" w:rsidRPr="006E781E">
        <w:t xml:space="preserve"> revenue expected to </w:t>
      </w:r>
      <w:r w:rsidR="00A57F8C">
        <w:t>come</w:t>
      </w:r>
      <w:r w:rsidR="009218FA" w:rsidRPr="006E781E">
        <w:t xml:space="preserve"> directly from the PHI mark</w:t>
      </w:r>
      <w:r w:rsidR="009218FA">
        <w:t>et, this longer-term thematic was</w:t>
      </w:r>
      <w:r w:rsidR="009218FA" w:rsidRPr="006E781E">
        <w:t xml:space="preserve"> very much applic</w:t>
      </w:r>
      <w:r w:rsidR="009218FA">
        <w:t>able to the company and provided</w:t>
      </w:r>
      <w:r w:rsidR="009218FA" w:rsidRPr="006E781E">
        <w:t xml:space="preserve"> the basis for future growth. To th</w:t>
      </w:r>
      <w:r w:rsidR="000066A2">
        <w:t>at</w:t>
      </w:r>
      <w:r w:rsidR="009218FA" w:rsidRPr="006E781E">
        <w:t xml:space="preserve"> end, the extent to whic</w:t>
      </w:r>
      <w:r w:rsidR="009218FA" w:rsidRPr="00C54D96">
        <w:t>h the company sus</w:t>
      </w:r>
      <w:r w:rsidR="009218FA">
        <w:t>tained or increased</w:t>
      </w:r>
      <w:r w:rsidR="009218FA" w:rsidRPr="00C54D96">
        <w:t xml:space="preserve"> its</w:t>
      </w:r>
      <w:r w:rsidR="009218FA">
        <w:t xml:space="preserve"> market leadership position would</w:t>
      </w:r>
      <w:r w:rsidR="009218FA" w:rsidRPr="00C54D96">
        <w:t xml:space="preserve"> ultimately depend on its ability to acquire and retain policyholders at a rate in excess of the underlying market.</w:t>
      </w:r>
    </w:p>
    <w:p w14:paraId="736B5E45" w14:textId="77777777" w:rsidR="009218FA" w:rsidRDefault="009218FA" w:rsidP="009218FA">
      <w:pPr>
        <w:pStyle w:val="BodyTextMain"/>
      </w:pPr>
    </w:p>
    <w:p w14:paraId="790C607E" w14:textId="39DD15B3" w:rsidR="009218FA" w:rsidRPr="00C54D96" w:rsidRDefault="009218FA" w:rsidP="009218FA">
      <w:pPr>
        <w:pStyle w:val="BodyTextMain"/>
      </w:pPr>
      <w:r w:rsidRPr="00C54D96">
        <w:t xml:space="preserve">In this regard, the </w:t>
      </w:r>
      <w:r>
        <w:t xml:space="preserve">company’s PHI growth strategy </w:t>
      </w:r>
      <w:r w:rsidR="001F2587">
        <w:t>involved the</w:t>
      </w:r>
      <w:r w:rsidRPr="00C54D96">
        <w:t xml:space="preserve"> operat</w:t>
      </w:r>
      <w:r w:rsidR="001F2587">
        <w:t>ion of</w:t>
      </w:r>
      <w:r w:rsidRPr="00C54D96">
        <w:t xml:space="preserve"> two distinct brands</w:t>
      </w:r>
      <w:r w:rsidR="00B23482">
        <w:t>:</w:t>
      </w:r>
      <w:r w:rsidRPr="00C54D96">
        <w:t xml:space="preserve"> the premium brand (Medibank Private) and the budget </w:t>
      </w:r>
      <w:r>
        <w:t>brand (A</w:t>
      </w:r>
      <w:r w:rsidR="00B06D18">
        <w:t>HM</w:t>
      </w:r>
      <w:r>
        <w:t xml:space="preserve">). While the </w:t>
      </w:r>
      <w:r w:rsidR="006B1845">
        <w:t xml:space="preserve">premium brand </w:t>
      </w:r>
      <w:r>
        <w:t>was</w:t>
      </w:r>
      <w:r w:rsidRPr="00C54D96">
        <w:t xml:space="preserve"> distributed through the company’s retail locations, call </w:t>
      </w:r>
      <w:proofErr w:type="spellStart"/>
      <w:r w:rsidRPr="00C54D96">
        <w:t>cent</w:t>
      </w:r>
      <w:r w:rsidR="00B23482">
        <w:t>r</w:t>
      </w:r>
      <w:r w:rsidRPr="00C54D96">
        <w:t>es</w:t>
      </w:r>
      <w:proofErr w:type="spellEnd"/>
      <w:r w:rsidRPr="00C54D96">
        <w:t>, website</w:t>
      </w:r>
      <w:r w:rsidR="00B23482">
        <w:t>,</w:t>
      </w:r>
      <w:r w:rsidRPr="00C54D96">
        <w:t xml:space="preserve"> and third</w:t>
      </w:r>
      <w:r w:rsidR="00B23482">
        <w:t>-</w:t>
      </w:r>
      <w:r w:rsidRPr="00C54D96">
        <w:t>pa</w:t>
      </w:r>
      <w:r>
        <w:t>rty brokers, the budget brand was</w:t>
      </w:r>
      <w:r w:rsidRPr="00C54D96">
        <w:t xml:space="preserve"> distributed through comparison websites, </w:t>
      </w:r>
      <w:r w:rsidR="00807329">
        <w:t>Medibank’s</w:t>
      </w:r>
      <w:r w:rsidRPr="00C54D96">
        <w:t xml:space="preserve"> own website, and a call </w:t>
      </w:r>
      <w:proofErr w:type="spellStart"/>
      <w:r w:rsidRPr="00C54D96">
        <w:t>cent</w:t>
      </w:r>
      <w:r w:rsidR="00CF1A70">
        <w:t>r</w:t>
      </w:r>
      <w:r w:rsidRPr="00C54D96">
        <w:t>e</w:t>
      </w:r>
      <w:proofErr w:type="spellEnd"/>
      <w:r>
        <w:t>. The company generated</w:t>
      </w:r>
      <w:r w:rsidRPr="00C54D96">
        <w:t xml:space="preserve"> its PHI revenue from insurance premiums paid by policyholders for hospital cover</w:t>
      </w:r>
      <w:r w:rsidR="002C34A4">
        <w:t>age</w:t>
      </w:r>
      <w:r w:rsidRPr="00C54D96">
        <w:t xml:space="preserve"> and </w:t>
      </w:r>
      <w:r w:rsidR="00B23482">
        <w:t xml:space="preserve">from </w:t>
      </w:r>
      <w:r w:rsidRPr="00C54D96">
        <w:t>extras cover</w:t>
      </w:r>
      <w:r w:rsidR="002C34A4">
        <w:t>age</w:t>
      </w:r>
      <w:r w:rsidRPr="00C54D96">
        <w:t>. The balance (</w:t>
      </w:r>
      <w:r w:rsidR="00B23482">
        <w:t>around</w:t>
      </w:r>
      <w:r w:rsidRPr="00C54D96">
        <w:t xml:space="preserve"> 10</w:t>
      </w:r>
      <w:r w:rsidR="00B23482">
        <w:t xml:space="preserve"> per cent</w:t>
      </w:r>
      <w:r w:rsidRPr="00C54D96">
        <w:t xml:space="preserve">) </w:t>
      </w:r>
      <w:r>
        <w:t>of Medibank’s revenue was</w:t>
      </w:r>
      <w:r w:rsidRPr="00C54D96">
        <w:t xml:space="preserve"> derived from the provision of services that </w:t>
      </w:r>
      <w:r w:rsidR="000066A2">
        <w:t>were</w:t>
      </w:r>
      <w:r w:rsidRPr="00C54D96">
        <w:t xml:space="preserve"> complementary to the core business. These </w:t>
      </w:r>
      <w:r w:rsidR="00807329">
        <w:t xml:space="preserve">offerings </w:t>
      </w:r>
      <w:r w:rsidRPr="00C54D96">
        <w:t>include</w:t>
      </w:r>
      <w:r w:rsidR="000066A2">
        <w:t>d</w:t>
      </w:r>
      <w:r w:rsidRPr="00C54D96">
        <w:t xml:space="preserve"> contracted health management services for government and corporate clients, online and telephone-based health services, and the distribution of travel, life</w:t>
      </w:r>
      <w:r w:rsidR="00B23482">
        <w:t>,</w:t>
      </w:r>
      <w:r w:rsidRPr="00C54D96">
        <w:t xml:space="preserve"> and pet insurance products provided by third</w:t>
      </w:r>
      <w:r w:rsidR="00B23482">
        <w:t xml:space="preserve"> </w:t>
      </w:r>
      <w:r w:rsidRPr="00C54D96">
        <w:t>parties.</w:t>
      </w:r>
      <w:r w:rsidR="001C7D90">
        <w:rPr>
          <w:rStyle w:val="FootnoteReference"/>
        </w:rPr>
        <w:footnoteReference w:id="21"/>
      </w:r>
      <w:r w:rsidRPr="00C54D96">
        <w:t> </w:t>
      </w:r>
    </w:p>
    <w:p w14:paraId="6ADEC379" w14:textId="77777777" w:rsidR="009218FA" w:rsidRDefault="009218FA" w:rsidP="009218FA">
      <w:pPr>
        <w:pStyle w:val="BodyTextMain"/>
      </w:pPr>
    </w:p>
    <w:p w14:paraId="7EFDE2FA" w14:textId="77777777" w:rsidR="000066A2" w:rsidRDefault="000066A2" w:rsidP="002B403D">
      <w:pPr>
        <w:pStyle w:val="BodyTextMain"/>
      </w:pPr>
    </w:p>
    <w:p w14:paraId="6CF991EB" w14:textId="77777777" w:rsidR="009218FA" w:rsidRPr="00C54D96" w:rsidRDefault="009218FA" w:rsidP="009218FA">
      <w:pPr>
        <w:pStyle w:val="Casehead1"/>
      </w:pPr>
      <w:r w:rsidRPr="00C54D96">
        <w:t>Economic and MArket conditions</w:t>
      </w:r>
    </w:p>
    <w:p w14:paraId="3D5FE360" w14:textId="77777777" w:rsidR="009218FA" w:rsidRPr="00C54D96" w:rsidRDefault="009218FA" w:rsidP="009218FA">
      <w:pPr>
        <w:pStyle w:val="BodyTextMain"/>
      </w:pPr>
    </w:p>
    <w:p w14:paraId="22A2AF38" w14:textId="63994023" w:rsidR="000E2C9C" w:rsidRDefault="009218FA" w:rsidP="009218FA">
      <w:pPr>
        <w:pStyle w:val="BodyTextMain"/>
      </w:pPr>
      <w:r>
        <w:t>The Australian market</w:t>
      </w:r>
      <w:r w:rsidRPr="00C54D96">
        <w:t xml:space="preserve"> had </w:t>
      </w:r>
      <w:r w:rsidR="00807329">
        <w:t xml:space="preserve">experienced </w:t>
      </w:r>
      <w:r w:rsidRPr="00C54D96">
        <w:t xml:space="preserve">its ups and downs </w:t>
      </w:r>
      <w:r w:rsidR="00F51281">
        <w:t>in the three years preceding 2014</w:t>
      </w:r>
      <w:r>
        <w:t xml:space="preserve">. </w:t>
      </w:r>
      <w:r w:rsidR="0091766B">
        <w:t>Over the same period</w:t>
      </w:r>
      <w:r w:rsidR="00807329">
        <w:t>,</w:t>
      </w:r>
      <w:r w:rsidR="006B51DA">
        <w:t xml:space="preserve"> </w:t>
      </w:r>
      <w:r w:rsidR="0091766B">
        <w:t xml:space="preserve">despite higher volumes of listings, several </w:t>
      </w:r>
      <w:r>
        <w:t>IPOs had</w:t>
      </w:r>
      <w:r w:rsidRPr="00C54D96">
        <w:t xml:space="preserve"> </w:t>
      </w:r>
      <w:r w:rsidR="0091766B">
        <w:t>failed spectacularly</w:t>
      </w:r>
      <w:r w:rsidR="00687DAD">
        <w:t>—</w:t>
      </w:r>
      <w:r w:rsidR="00807329">
        <w:t xml:space="preserve">for example, </w:t>
      </w:r>
      <w:r>
        <w:t>education provider</w:t>
      </w:r>
      <w:r w:rsidR="0091766B">
        <w:t xml:space="preserve"> Vocation Limited</w:t>
      </w:r>
      <w:r w:rsidR="00807329">
        <w:t>, “</w:t>
      </w:r>
      <w:r w:rsidR="0091766B">
        <w:t>VET</w:t>
      </w:r>
      <w:r w:rsidR="00807329">
        <w:t>” on the Australian Stock Exchange (ASX</w:t>
      </w:r>
      <w:r w:rsidR="0091766B">
        <w:t>). H</w:t>
      </w:r>
      <w:r>
        <w:t>owever</w:t>
      </w:r>
      <w:r w:rsidR="0091766B">
        <w:t>,</w:t>
      </w:r>
      <w:r>
        <w:t xml:space="preserve"> the health industry had</w:t>
      </w:r>
      <w:r w:rsidRPr="00C54D96">
        <w:t xml:space="preserve"> strong potential for future success and long-term growth</w:t>
      </w:r>
      <w:r w:rsidR="00B74C9B">
        <w:t>,</w:t>
      </w:r>
      <w:r w:rsidRPr="00C54D96">
        <w:t xml:space="preserve"> </w:t>
      </w:r>
      <w:r w:rsidR="0091766B">
        <w:t>given the prevailing market environment</w:t>
      </w:r>
      <w:r w:rsidR="00B74C9B">
        <w:t>.</w:t>
      </w:r>
      <w:r w:rsidR="0091766B">
        <w:t xml:space="preserve"> </w:t>
      </w:r>
      <w:r w:rsidR="00B74C9B">
        <w:t>T</w:t>
      </w:r>
      <w:r w:rsidRPr="00C54D96">
        <w:t>he</w:t>
      </w:r>
      <w:r w:rsidR="00466035">
        <w:t xml:space="preserve"> nation’s</w:t>
      </w:r>
      <w:r w:rsidRPr="00C54D96">
        <w:t xml:space="preserve"> </w:t>
      </w:r>
      <w:r w:rsidR="00A549F0">
        <w:t>aging</w:t>
      </w:r>
      <w:r w:rsidRPr="00C54D96">
        <w:t xml:space="preserve"> population </w:t>
      </w:r>
      <w:r w:rsidR="0091766B">
        <w:t>promised to generate sustained</w:t>
      </w:r>
      <w:r w:rsidR="0091766B" w:rsidRPr="00C54D96">
        <w:t xml:space="preserve"> </w:t>
      </w:r>
      <w:r w:rsidRPr="00C54D96">
        <w:t>demand for secure health services.</w:t>
      </w:r>
      <w:r w:rsidR="008F2057">
        <w:t xml:space="preserve"> </w:t>
      </w:r>
      <w:r w:rsidR="00930E79">
        <w:t xml:space="preserve">With respect to demographics, </w:t>
      </w:r>
      <w:r w:rsidR="00570CBD">
        <w:t>over the two-decade period ending June 2014, the median population age had increased by four years to reach 37.3 years.</w:t>
      </w:r>
      <w:r w:rsidR="00570CBD">
        <w:rPr>
          <w:rStyle w:val="FootnoteReference"/>
        </w:rPr>
        <w:footnoteReference w:id="22"/>
      </w:r>
      <w:r w:rsidR="00570CBD">
        <w:t xml:space="preserve"> </w:t>
      </w:r>
      <w:r w:rsidR="0009763B">
        <w:t>This changing population structure could foreseeably bring with it higher demand for health services from individuals in higher age brackets, f</w:t>
      </w:r>
      <w:r w:rsidR="008F2057">
        <w:t>rom</w:t>
      </w:r>
      <w:r w:rsidR="0009763B">
        <w:t xml:space="preserve"> which Medibank benefited</w:t>
      </w:r>
      <w:r w:rsidR="008F2057">
        <w:t>,</w:t>
      </w:r>
      <w:r w:rsidR="0009763B">
        <w:t xml:space="preserve"> both </w:t>
      </w:r>
      <w:r w:rsidR="008F2057">
        <w:t xml:space="preserve">as </w:t>
      </w:r>
      <w:r w:rsidR="00B74C9B">
        <w:t xml:space="preserve">an </w:t>
      </w:r>
      <w:r w:rsidR="0009763B">
        <w:t>insurer and</w:t>
      </w:r>
      <w:r w:rsidR="00B74C9B">
        <w:t>,</w:t>
      </w:r>
      <w:r w:rsidR="0009763B">
        <w:t xml:space="preserve"> to a lesser extent</w:t>
      </w:r>
      <w:r w:rsidR="00B74C9B">
        <w:t>,</w:t>
      </w:r>
      <w:r w:rsidR="0009763B">
        <w:t xml:space="preserve"> </w:t>
      </w:r>
      <w:r w:rsidR="00B74C9B">
        <w:t xml:space="preserve">as a </w:t>
      </w:r>
      <w:r w:rsidR="0009763B">
        <w:t>provider.</w:t>
      </w:r>
      <w:r w:rsidR="00DF64EA">
        <w:t xml:space="preserve"> </w:t>
      </w:r>
    </w:p>
    <w:p w14:paraId="5628CCE9" w14:textId="77777777" w:rsidR="000E2C9C" w:rsidRDefault="000E2C9C" w:rsidP="009218FA">
      <w:pPr>
        <w:pStyle w:val="BodyTextMain"/>
      </w:pPr>
    </w:p>
    <w:p w14:paraId="7649F11D" w14:textId="37F7AFD6" w:rsidR="00EB252B" w:rsidRDefault="00DF64EA" w:rsidP="009218FA">
      <w:pPr>
        <w:pStyle w:val="BodyTextMain"/>
      </w:pPr>
      <w:r>
        <w:t xml:space="preserve">In periods of low interest rates, </w:t>
      </w:r>
      <w:r w:rsidR="008775AF">
        <w:t xml:space="preserve">as an alternative to </w:t>
      </w:r>
      <w:r w:rsidR="00965718">
        <w:t>fixed-</w:t>
      </w:r>
      <w:r w:rsidR="008775AF">
        <w:t xml:space="preserve">income instruments, </w:t>
      </w:r>
      <w:r>
        <w:t>investors c</w:t>
      </w:r>
      <w:r w:rsidR="008775AF">
        <w:t>ould</w:t>
      </w:r>
      <w:r>
        <w:t xml:space="preserve"> turn towards investments that provide</w:t>
      </w:r>
      <w:r w:rsidR="008775AF">
        <w:t>d</w:t>
      </w:r>
      <w:r>
        <w:t xml:space="preserve"> steady yields through dividend payments</w:t>
      </w:r>
      <w:r w:rsidR="00873C28">
        <w:t xml:space="preserve">; </w:t>
      </w:r>
      <w:r>
        <w:t>Medibank</w:t>
      </w:r>
      <w:r w:rsidR="00873C28">
        <w:t xml:space="preserve"> itself proposed to offer a dividend between 4.2</w:t>
      </w:r>
      <w:r w:rsidR="008775AF">
        <w:t xml:space="preserve"> per cent and</w:t>
      </w:r>
      <w:r w:rsidR="00873C28">
        <w:t xml:space="preserve"> 5.4</w:t>
      </w:r>
      <w:r w:rsidR="008775AF">
        <w:t xml:space="preserve"> per cent.</w:t>
      </w:r>
      <w:r w:rsidR="00873C28">
        <w:rPr>
          <w:rStyle w:val="FootnoteReference"/>
        </w:rPr>
        <w:footnoteReference w:id="23"/>
      </w:r>
      <w:r w:rsidR="008775AF">
        <w:t xml:space="preserve"> In </w:t>
      </w:r>
      <w:r w:rsidR="00AB0299">
        <w:t>2014</w:t>
      </w:r>
      <w:r w:rsidR="008775AF">
        <w:t>, the market saw</w:t>
      </w:r>
      <w:r w:rsidR="00AB0299">
        <w:t xml:space="preserve"> a </w:t>
      </w:r>
      <w:r w:rsidR="00EB252B">
        <w:t xml:space="preserve">brief </w:t>
      </w:r>
      <w:r w:rsidR="00AB0299">
        <w:t>resurgence in Australian government bond yields</w:t>
      </w:r>
      <w:r w:rsidR="00EB252B">
        <w:t xml:space="preserve"> from 2013 levels</w:t>
      </w:r>
      <w:r w:rsidR="008775AF">
        <w:t>;</w:t>
      </w:r>
      <w:r w:rsidR="00EB252B">
        <w:t xml:space="preserve"> however</w:t>
      </w:r>
      <w:r w:rsidR="008F2057">
        <w:t>,</w:t>
      </w:r>
      <w:r w:rsidR="00EB252B">
        <w:t xml:space="preserve"> a declining trend emerged that could increase the appeal of dividend</w:t>
      </w:r>
      <w:r w:rsidR="00525FCB">
        <w:t>-</w:t>
      </w:r>
      <w:r w:rsidR="00EB252B">
        <w:t xml:space="preserve">paying stocks if it persisted. </w:t>
      </w:r>
    </w:p>
    <w:p w14:paraId="0DB3EA03" w14:textId="77777777" w:rsidR="000E2C9C" w:rsidRDefault="000E2C9C" w:rsidP="009218FA">
      <w:pPr>
        <w:pStyle w:val="BodyTextMain"/>
      </w:pPr>
    </w:p>
    <w:p w14:paraId="4A252DF6" w14:textId="076AC4A5" w:rsidR="009218FA" w:rsidRPr="00C54D96" w:rsidRDefault="009218FA" w:rsidP="009218FA">
      <w:pPr>
        <w:pStyle w:val="BodyTextMain"/>
      </w:pPr>
      <w:r>
        <w:lastRenderedPageBreak/>
        <w:t xml:space="preserve">Economic conditions in Australia </w:t>
      </w:r>
      <w:r w:rsidR="00263A51">
        <w:t>could</w:t>
      </w:r>
      <w:r w:rsidR="00965718">
        <w:t xml:space="preserve"> </w:t>
      </w:r>
      <w:r>
        <w:t xml:space="preserve">have encouraged </w:t>
      </w:r>
      <w:r w:rsidR="00525FCB">
        <w:t xml:space="preserve">an </w:t>
      </w:r>
      <w:r>
        <w:t>increas</w:t>
      </w:r>
      <w:r w:rsidR="00525FCB">
        <w:t>e</w:t>
      </w:r>
      <w:r>
        <w:t xml:space="preserve"> </w:t>
      </w:r>
      <w:r w:rsidR="00525FCB">
        <w:t xml:space="preserve">in </w:t>
      </w:r>
      <w:r>
        <w:t>competition, either from d</w:t>
      </w:r>
      <w:r w:rsidR="009A5300">
        <w:t>omestic or overseas competitors</w:t>
      </w:r>
      <w:r w:rsidR="00525FCB">
        <w:t>.</w:t>
      </w:r>
      <w:r>
        <w:t xml:space="preserve"> </w:t>
      </w:r>
      <w:r w:rsidR="00525FCB">
        <w:t>T</w:t>
      </w:r>
      <w:r>
        <w:t>hese factors</w:t>
      </w:r>
      <w:r w:rsidR="00525FCB">
        <w:t>,</w:t>
      </w:r>
      <w:r>
        <w:t xml:space="preserve"> in turn, </w:t>
      </w:r>
      <w:r w:rsidR="000066A2">
        <w:t>could</w:t>
      </w:r>
      <w:r>
        <w:t xml:space="preserve"> </w:t>
      </w:r>
      <w:r w:rsidR="005500F9">
        <w:t>a</w:t>
      </w:r>
      <w:r>
        <w:t xml:space="preserve">ffect Medibank Private’s financial performance and growth prospects due to the </w:t>
      </w:r>
      <w:r w:rsidR="00720EB4">
        <w:t xml:space="preserve">increased </w:t>
      </w:r>
      <w:r>
        <w:t xml:space="preserve">ability the company might have to access capital markets. </w:t>
      </w:r>
    </w:p>
    <w:p w14:paraId="27318B84" w14:textId="77777777" w:rsidR="00F30E9C" w:rsidRDefault="00F30E9C" w:rsidP="00135B37">
      <w:pPr>
        <w:pStyle w:val="BodyTextMain"/>
      </w:pPr>
    </w:p>
    <w:p w14:paraId="32C1FB8E" w14:textId="77777777" w:rsidR="00F30E9C" w:rsidRDefault="00F30E9C" w:rsidP="00135B37">
      <w:pPr>
        <w:pStyle w:val="BodyTextMain"/>
      </w:pPr>
    </w:p>
    <w:p w14:paraId="7991DD07" w14:textId="77777777" w:rsidR="009218FA" w:rsidRPr="00C54D96" w:rsidRDefault="009218FA" w:rsidP="009218FA">
      <w:pPr>
        <w:pStyle w:val="Casehead1"/>
      </w:pPr>
      <w:r w:rsidRPr="00C54D96">
        <w:t>Pre-</w:t>
      </w:r>
      <w:r w:rsidRPr="00326209">
        <w:t>Sale</w:t>
      </w:r>
    </w:p>
    <w:p w14:paraId="6BD956A4" w14:textId="77777777" w:rsidR="009218FA" w:rsidRPr="00C54D96" w:rsidRDefault="009218FA" w:rsidP="009218FA">
      <w:pPr>
        <w:pStyle w:val="BodyTextMain"/>
      </w:pPr>
    </w:p>
    <w:p w14:paraId="0BDDD096" w14:textId="72BD8DCD" w:rsidR="005F700B" w:rsidRDefault="00720EB4" w:rsidP="009218FA">
      <w:pPr>
        <w:pStyle w:val="BodyTextMain"/>
      </w:pPr>
      <w:r>
        <w:t xml:space="preserve">In </w:t>
      </w:r>
      <w:r w:rsidR="009218FA" w:rsidRPr="00C54D96">
        <w:t>going public</w:t>
      </w:r>
      <w:r>
        <w:t>, Medibank’s goal</w:t>
      </w:r>
      <w:r w:rsidR="009218FA" w:rsidRPr="00C54D96">
        <w:t xml:space="preserve"> was to become a publicly traded company on the Au</w:t>
      </w:r>
      <w:r w:rsidR="009218FA">
        <w:t>stralian Stock Exchange (ASX:</w:t>
      </w:r>
      <w:r w:rsidR="00C847AC">
        <w:t xml:space="preserve"> </w:t>
      </w:r>
      <w:r w:rsidR="009218FA">
        <w:t>MPL</w:t>
      </w:r>
      <w:r w:rsidR="009218FA" w:rsidRPr="00C54D96">
        <w:t xml:space="preserve">) and provide an opportunity for the </w:t>
      </w:r>
      <w:r w:rsidR="009F5CA7" w:rsidRPr="00DD7406">
        <w:t>Commonwealth</w:t>
      </w:r>
      <w:r w:rsidR="00135B37">
        <w:t xml:space="preserve"> (the government)</w:t>
      </w:r>
      <w:r w:rsidR="009218FA" w:rsidRPr="00C54D96">
        <w:t xml:space="preserve"> to sell down its entire shareholding in </w:t>
      </w:r>
      <w:r w:rsidR="009F5CA7" w:rsidRPr="00DD7406">
        <w:t>MPL</w:t>
      </w:r>
      <w:r w:rsidR="009218FA" w:rsidRPr="004913ED">
        <w:t>.</w:t>
      </w:r>
      <w:r w:rsidR="009218FA">
        <w:t xml:space="preserve"> </w:t>
      </w:r>
      <w:r w:rsidR="00CF71A2">
        <w:t xml:space="preserve">In turn, Medibank would be afforded commercial independence through </w:t>
      </w:r>
      <w:r w:rsidR="002B403D" w:rsidRPr="005F700B">
        <w:rPr>
          <w:lang w:val="en-AU"/>
        </w:rPr>
        <w:t>priv</w:t>
      </w:r>
      <w:r w:rsidR="005F700B">
        <w:rPr>
          <w:lang w:val="en-AU"/>
        </w:rPr>
        <w:t>a</w:t>
      </w:r>
      <w:r w:rsidR="002B403D" w:rsidRPr="005F700B">
        <w:rPr>
          <w:lang w:val="en-AU"/>
        </w:rPr>
        <w:t>tiz</w:t>
      </w:r>
      <w:r w:rsidR="00CF71A2" w:rsidRPr="005F700B">
        <w:rPr>
          <w:lang w:val="en-AU"/>
        </w:rPr>
        <w:t>ation</w:t>
      </w:r>
      <w:r w:rsidR="00CF71A2">
        <w:t xml:space="preserve"> and </w:t>
      </w:r>
      <w:r w:rsidR="005F700B">
        <w:t xml:space="preserve">would </w:t>
      </w:r>
      <w:r w:rsidR="00CF71A2">
        <w:t>gain access to capital markets for future capital raisings</w:t>
      </w:r>
      <w:r w:rsidR="00C845F4">
        <w:t xml:space="preserve"> through the stock exchange. </w:t>
      </w:r>
      <w:r w:rsidR="00BB5562">
        <w:t xml:space="preserve">At the same time, the </w:t>
      </w:r>
      <w:r w:rsidR="009F5CA7" w:rsidRPr="00DD7406">
        <w:t>Commonwealth</w:t>
      </w:r>
      <w:r w:rsidR="00BB5562">
        <w:t xml:space="preserve"> would retain its role as a regulator of the PHI industry </w:t>
      </w:r>
      <w:r w:rsidR="00403E03">
        <w:t>but</w:t>
      </w:r>
      <w:r w:rsidR="00BB5562">
        <w:t xml:space="preserve"> relinquish its ownership </w:t>
      </w:r>
      <w:r w:rsidR="00403E03">
        <w:t>role</w:t>
      </w:r>
      <w:r w:rsidR="00BB5562">
        <w:t>.</w:t>
      </w:r>
      <w:r w:rsidR="00BB5562">
        <w:rPr>
          <w:rStyle w:val="FootnoteReference"/>
        </w:rPr>
        <w:footnoteReference w:id="24"/>
      </w:r>
      <w:r w:rsidR="009218FA" w:rsidRPr="00C54D96">
        <w:t xml:space="preserve"> The proceeds from the offer would be reinvested back into the company for productivity enhancement. </w:t>
      </w:r>
    </w:p>
    <w:p w14:paraId="5797B979" w14:textId="5C9512C1" w:rsidR="005F700B" w:rsidRDefault="005F700B" w:rsidP="009218FA">
      <w:pPr>
        <w:pStyle w:val="BodyTextMain"/>
      </w:pPr>
    </w:p>
    <w:p w14:paraId="72B32C86" w14:textId="309BDEBC" w:rsidR="00AC44E3" w:rsidRDefault="009218FA" w:rsidP="009218FA">
      <w:pPr>
        <w:pStyle w:val="BodyTextMain"/>
      </w:pPr>
      <w:r w:rsidRPr="00C54D96">
        <w:t>The pre-</w:t>
      </w:r>
      <w:r w:rsidRPr="00326209">
        <w:t>sale</w:t>
      </w:r>
      <w:r w:rsidRPr="00C54D96">
        <w:t xml:space="preserve"> included offers fo</w:t>
      </w:r>
      <w:r>
        <w:t xml:space="preserve">r both retail and </w:t>
      </w:r>
      <w:r w:rsidR="00403E03" w:rsidRPr="00A804C8">
        <w:t>institution</w:t>
      </w:r>
      <w:r w:rsidR="00403E03">
        <w:t>al investors</w:t>
      </w:r>
      <w:r w:rsidR="00403E03" w:rsidRPr="00A804C8">
        <w:t xml:space="preserve"> </w:t>
      </w:r>
      <w:r w:rsidR="009F5CA7" w:rsidRPr="00A804C8">
        <w:t>worth nearly US$</w:t>
      </w:r>
      <w:r w:rsidR="009F5CA7" w:rsidRPr="008D07C9">
        <w:t>660</w:t>
      </w:r>
      <w:r w:rsidR="009F5CA7" w:rsidRPr="00263A51">
        <w:t xml:space="preserve"> million</w:t>
      </w:r>
      <w:r w:rsidR="00A804C8" w:rsidRPr="00263A51">
        <w:t>.</w:t>
      </w:r>
      <w:r w:rsidR="00FC31E6" w:rsidRPr="00263A51">
        <w:rPr>
          <w:rStyle w:val="FootnoteReference"/>
        </w:rPr>
        <w:footnoteReference w:id="25"/>
      </w:r>
      <w:r w:rsidR="00B60A80" w:rsidRPr="008D07C9">
        <w:t xml:space="preserve"> </w:t>
      </w:r>
      <w:r w:rsidRPr="008D07C9">
        <w:t>Offering</w:t>
      </w:r>
      <w:r>
        <w:t xml:space="preserve"> a pre</w:t>
      </w:r>
      <w:r w:rsidR="008D07C9">
        <w:t>-</w:t>
      </w:r>
      <w:r>
        <w:t>registration</w:t>
      </w:r>
      <w:r w:rsidR="00B60A80">
        <w:t xml:space="preserve"> </w:t>
      </w:r>
      <w:r w:rsidR="00135E4B">
        <w:t xml:space="preserve">made </w:t>
      </w:r>
      <w:r>
        <w:t xml:space="preserve">Medibank </w:t>
      </w:r>
      <w:r w:rsidR="00135E4B">
        <w:t>appear</w:t>
      </w:r>
      <w:r>
        <w:t xml:space="preserve"> more attractive to prospective investors</w:t>
      </w:r>
      <w:r w:rsidR="003558BD">
        <w:t xml:space="preserve">, </w:t>
      </w:r>
      <w:r w:rsidR="00B60A80">
        <w:t>an</w:t>
      </w:r>
      <w:r>
        <w:t xml:space="preserve"> </w:t>
      </w:r>
      <w:r w:rsidR="003558BD">
        <w:t>aspect</w:t>
      </w:r>
      <w:r>
        <w:t xml:space="preserve"> </w:t>
      </w:r>
      <w:r w:rsidR="00B60A80">
        <w:t xml:space="preserve">that </w:t>
      </w:r>
      <w:r w:rsidR="003558BD">
        <w:t>represented</w:t>
      </w:r>
      <w:r>
        <w:t xml:space="preserve"> a concern for Gardner, </w:t>
      </w:r>
      <w:r w:rsidR="003558BD">
        <w:t>who</w:t>
      </w:r>
      <w:r>
        <w:t xml:space="preserve"> wondered </w:t>
      </w:r>
      <w:r w:rsidR="00135E4B">
        <w:t>whether</w:t>
      </w:r>
      <w:r>
        <w:t xml:space="preserve"> all the hype from the media would result in an oversubscription in the stock. </w:t>
      </w:r>
      <w:r w:rsidR="008E28D0">
        <w:t>T</w:t>
      </w:r>
      <w:r>
        <w:t>he pre-</w:t>
      </w:r>
      <w:r w:rsidRPr="00326209">
        <w:t>sale</w:t>
      </w:r>
      <w:r w:rsidR="00326209">
        <w:t xml:space="preserve"> </w:t>
      </w:r>
      <w:r w:rsidR="003558BD">
        <w:t xml:space="preserve">presented </w:t>
      </w:r>
      <w:r>
        <w:t>many unknown</w:t>
      </w:r>
      <w:r w:rsidR="00EB7E34">
        <w:t xml:space="preserve"> factor</w:t>
      </w:r>
      <w:r>
        <w:t>s to investors</w:t>
      </w:r>
      <w:r w:rsidR="003558BD">
        <w:t>,</w:t>
      </w:r>
      <w:r>
        <w:t xml:space="preserve"> </w:t>
      </w:r>
      <w:r w:rsidR="003558BD">
        <w:t>who</w:t>
      </w:r>
      <w:r>
        <w:t xml:space="preserve"> had no idea how many shares were going to be offered, at what price, </w:t>
      </w:r>
      <w:r w:rsidR="003558BD">
        <w:t>or</w:t>
      </w:r>
      <w:r>
        <w:t xml:space="preserve"> what the likely return would be on those shares. </w:t>
      </w:r>
      <w:r w:rsidR="0067375A">
        <w:t>That level of uncertainty would be cause for concern for prospective investors.</w:t>
      </w:r>
    </w:p>
    <w:p w14:paraId="5EBFFB27" w14:textId="77777777" w:rsidR="00AC44E3" w:rsidRDefault="00AC44E3" w:rsidP="009218FA">
      <w:pPr>
        <w:pStyle w:val="BodyTextMain"/>
      </w:pPr>
    </w:p>
    <w:p w14:paraId="0612E55B" w14:textId="77777777" w:rsidR="0052263E" w:rsidRDefault="0052263E" w:rsidP="009218FA">
      <w:pPr>
        <w:pStyle w:val="BodyTextMain"/>
      </w:pPr>
    </w:p>
    <w:p w14:paraId="1DF593E6" w14:textId="77777777" w:rsidR="009218FA" w:rsidRPr="00C54D96" w:rsidRDefault="009218FA" w:rsidP="009218FA">
      <w:pPr>
        <w:pStyle w:val="Casehead1"/>
      </w:pPr>
      <w:r w:rsidRPr="00C54D96">
        <w:t>Medibank Price Talk</w:t>
      </w:r>
    </w:p>
    <w:p w14:paraId="7137AF1A" w14:textId="77777777" w:rsidR="009218FA" w:rsidRPr="00C54D96" w:rsidRDefault="009218FA" w:rsidP="009218FA">
      <w:pPr>
        <w:pStyle w:val="BodyTextMain"/>
      </w:pPr>
    </w:p>
    <w:p w14:paraId="00455C67" w14:textId="0D9F39CB" w:rsidR="00E740B3" w:rsidRDefault="00E740B3" w:rsidP="009218FA">
      <w:pPr>
        <w:pStyle w:val="BodyTextMain"/>
      </w:pPr>
      <w:r>
        <w:t>Medibank</w:t>
      </w:r>
      <w:r w:rsidR="009218FA">
        <w:t xml:space="preserve"> decided that 2,754</w:t>
      </w:r>
      <w:r>
        <w:t xml:space="preserve"> million</w:t>
      </w:r>
      <w:r w:rsidR="009218FA">
        <w:t xml:space="preserve"> </w:t>
      </w:r>
      <w:r w:rsidR="009218FA" w:rsidRPr="00C54D96">
        <w:t xml:space="preserve">shares </w:t>
      </w:r>
      <w:r>
        <w:t>would</w:t>
      </w:r>
      <w:r w:rsidR="00725507">
        <w:t xml:space="preserve"> form the</w:t>
      </w:r>
      <w:r w:rsidR="00725507" w:rsidRPr="00C54D96">
        <w:t xml:space="preserve"> </w:t>
      </w:r>
      <w:r w:rsidR="009218FA" w:rsidRPr="00C54D96">
        <w:t xml:space="preserve">offer through the </w:t>
      </w:r>
      <w:r w:rsidR="009218FA">
        <w:t>ASX, a total of 100</w:t>
      </w:r>
      <w:r>
        <w:t xml:space="preserve"> per cent</w:t>
      </w:r>
      <w:r w:rsidR="009218FA">
        <w:t xml:space="preserve"> </w:t>
      </w:r>
      <w:r w:rsidR="009218FA" w:rsidRPr="00C54D96">
        <w:t xml:space="preserve">of total shares on issue. The </w:t>
      </w:r>
      <w:r>
        <w:t>f</w:t>
      </w:r>
      <w:r w:rsidR="009218FA" w:rsidRPr="00C54D96">
        <w:t>ederal government p</w:t>
      </w:r>
      <w:r w:rsidR="009218FA">
        <w:t>laced</w:t>
      </w:r>
      <w:r w:rsidR="009218FA" w:rsidRPr="00C54D96">
        <w:t xml:space="preserve"> an indicative price range on the offer of $1.55 to $2 per share. </w:t>
      </w:r>
      <w:r w:rsidR="00DD3F65">
        <w:t xml:space="preserve">On </w:t>
      </w:r>
      <w:r w:rsidR="00EB7E34">
        <w:t xml:space="preserve">the forecasts for </w:t>
      </w:r>
      <w:r w:rsidR="00DD3F65" w:rsidRPr="004913ED">
        <w:t xml:space="preserve">Medibank’s </w:t>
      </w:r>
      <w:r w:rsidR="009F5CA7" w:rsidRPr="00DD7406">
        <w:t>FY 2015</w:t>
      </w:r>
      <w:r w:rsidR="00DD3F65">
        <w:t xml:space="preserve"> earnings</w:t>
      </w:r>
      <w:r w:rsidR="00EB7E34">
        <w:t xml:space="preserve">, </w:t>
      </w:r>
      <w:r w:rsidR="005D06FC">
        <w:t xml:space="preserve">an </w:t>
      </w:r>
      <w:r w:rsidR="009218FA" w:rsidRPr="00C54D96">
        <w:t>earnings multiple of 16.5 to 21.3 times and</w:t>
      </w:r>
      <w:r w:rsidR="009218FA">
        <w:t xml:space="preserve"> a dividend yield of 4.2 </w:t>
      </w:r>
      <w:r>
        <w:t xml:space="preserve">per cent </w:t>
      </w:r>
      <w:r w:rsidR="009218FA">
        <w:t>to 5.4</w:t>
      </w:r>
      <w:r>
        <w:t xml:space="preserve"> per cent</w:t>
      </w:r>
      <w:r w:rsidR="005D06FC">
        <w:t xml:space="preserve"> were implied</w:t>
      </w:r>
      <w:r w:rsidR="00F727C0">
        <w:t xml:space="preserve"> by the price range</w:t>
      </w:r>
      <w:r w:rsidR="009218FA" w:rsidRPr="00C54D96">
        <w:t>.</w:t>
      </w:r>
      <w:r w:rsidR="009218FA">
        <w:t xml:space="preserve"> </w:t>
      </w:r>
      <w:r w:rsidR="000066A2">
        <w:t>T</w:t>
      </w:r>
      <w:r w:rsidR="009218FA">
        <w:t xml:space="preserve">his </w:t>
      </w:r>
      <w:r>
        <w:t xml:space="preserve">price band </w:t>
      </w:r>
      <w:r w:rsidR="009218FA">
        <w:t>was</w:t>
      </w:r>
      <w:r w:rsidR="009218FA" w:rsidRPr="00C54D96">
        <w:t xml:space="preserve"> fairly wide </w:t>
      </w:r>
      <w:r>
        <w:t>(i.e., 30 per cent) and</w:t>
      </w:r>
      <w:r w:rsidR="009218FA" w:rsidRPr="00C54D96">
        <w:t xml:space="preserve"> </w:t>
      </w:r>
      <w:r>
        <w:t xml:space="preserve">brought with it some </w:t>
      </w:r>
      <w:r w:rsidR="009218FA" w:rsidRPr="00C54D96">
        <w:t>not</w:t>
      </w:r>
      <w:r w:rsidR="009218FA">
        <w:t>eworthy</w:t>
      </w:r>
      <w:r w:rsidR="009218FA" w:rsidRPr="00C54D96">
        <w:t xml:space="preserve"> imp</w:t>
      </w:r>
      <w:r w:rsidR="009218FA">
        <w:t xml:space="preserve">lications, given </w:t>
      </w:r>
      <w:r w:rsidR="00EB7E34">
        <w:t>the</w:t>
      </w:r>
      <w:r w:rsidR="009218FA" w:rsidRPr="00C54D96">
        <w:t xml:space="preserve"> uncertainty over the price that investors w</w:t>
      </w:r>
      <w:r w:rsidR="000066A2">
        <w:t>ould</w:t>
      </w:r>
      <w:r w:rsidR="009218FA" w:rsidRPr="00C54D96">
        <w:t xml:space="preserve"> end up paying.</w:t>
      </w:r>
      <w:r w:rsidR="00984781">
        <w:rPr>
          <w:rStyle w:val="FootnoteReference"/>
        </w:rPr>
        <w:footnoteReference w:id="26"/>
      </w:r>
    </w:p>
    <w:p w14:paraId="7FF69AE1" w14:textId="77777777" w:rsidR="00E740B3" w:rsidRDefault="00E740B3" w:rsidP="009218FA">
      <w:pPr>
        <w:pStyle w:val="BodyTextMain"/>
      </w:pPr>
    </w:p>
    <w:p w14:paraId="32A0A42C" w14:textId="7EFF6C59" w:rsidR="001A1F89" w:rsidRDefault="009218FA" w:rsidP="009218FA">
      <w:pPr>
        <w:pStyle w:val="BodyTextMain"/>
      </w:pPr>
      <w:r w:rsidRPr="00C54D96">
        <w:t>The off</w:t>
      </w:r>
      <w:r>
        <w:t>ering price was to be determined</w:t>
      </w:r>
      <w:r w:rsidRPr="00C54D96">
        <w:t xml:space="preserve"> following a book-building process by agreement among the underwriters, the vendor</w:t>
      </w:r>
      <w:r w:rsidR="00E740B3">
        <w:t>,</w:t>
      </w:r>
      <w:r w:rsidRPr="00C54D96">
        <w:t xml:space="preserve"> and Medibank on the price discrimination date, which was expected to be November 25, 2014. Medibank had forecasted fully franked dividends of 4.</w:t>
      </w:r>
      <w:r w:rsidRPr="00765615">
        <w:t xml:space="preserve">9 </w:t>
      </w:r>
      <w:r w:rsidR="009F5CA7" w:rsidRPr="006579E7">
        <w:t>c</w:t>
      </w:r>
      <w:r w:rsidR="000D70F6" w:rsidRPr="006579E7">
        <w:t>ents</w:t>
      </w:r>
      <w:r w:rsidR="00765615" w:rsidRPr="006579E7">
        <w:t xml:space="preserve"> </w:t>
      </w:r>
      <w:r w:rsidR="00765615" w:rsidRPr="00DD7406">
        <w:t xml:space="preserve">per </w:t>
      </w:r>
      <w:r w:rsidR="009F5CA7" w:rsidRPr="00DD7406">
        <w:t>share</w:t>
      </w:r>
      <w:r w:rsidRPr="00765615">
        <w:t xml:space="preserve"> to</w:t>
      </w:r>
      <w:r w:rsidRPr="00C54D96">
        <w:t xml:space="preserve"> be paid starting September 2015</w:t>
      </w:r>
      <w:r w:rsidR="001A1F89">
        <w:t>,</w:t>
      </w:r>
      <w:r w:rsidRPr="00C54D96">
        <w:t xml:space="preserve"> with an implied </w:t>
      </w:r>
      <w:r w:rsidR="009F5CA7" w:rsidRPr="00DD7406">
        <w:t>FY</w:t>
      </w:r>
      <w:r w:rsidR="00765615" w:rsidRPr="00DD7406">
        <w:t xml:space="preserve"> 20</w:t>
      </w:r>
      <w:r w:rsidR="009F5CA7" w:rsidRPr="00DD7406">
        <w:t>15</w:t>
      </w:r>
      <w:r w:rsidRPr="00C54D96">
        <w:t xml:space="preserve"> dividend yield of 4.2</w:t>
      </w:r>
      <w:r w:rsidR="001A1F89">
        <w:t xml:space="preserve"> per cent to </w:t>
      </w:r>
      <w:r w:rsidRPr="00C54D96">
        <w:t>5.4</w:t>
      </w:r>
      <w:r w:rsidR="001A1F89">
        <w:t xml:space="preserve"> per cent</w:t>
      </w:r>
      <w:r w:rsidRPr="00C54D96">
        <w:t xml:space="preserve">. </w:t>
      </w:r>
      <w:r w:rsidR="00EB7E34">
        <w:t>B</w:t>
      </w:r>
      <w:r w:rsidR="00EB7E34" w:rsidRPr="001C7D90">
        <w:t xml:space="preserve">ased on the </w:t>
      </w:r>
      <w:r w:rsidR="00EB7E34">
        <w:t>indicative price range provided,</w:t>
      </w:r>
      <w:r w:rsidR="00EB7E34" w:rsidRPr="001C7D90">
        <w:t xml:space="preserve"> </w:t>
      </w:r>
      <w:r w:rsidR="00EB7E34">
        <w:t>t</w:t>
      </w:r>
      <w:r w:rsidR="001C7D90" w:rsidRPr="001C7D90">
        <w:t xml:space="preserve">he </w:t>
      </w:r>
      <w:r w:rsidR="009F5CA7" w:rsidRPr="00DD7406">
        <w:t>Commonwealth</w:t>
      </w:r>
      <w:r w:rsidR="001C7D90" w:rsidRPr="00765615">
        <w:t xml:space="preserve"> could</w:t>
      </w:r>
      <w:r w:rsidR="001C7D90" w:rsidRPr="001C7D90">
        <w:t xml:space="preserve"> expect to raise between $4,269 million and $5,508 million for 100</w:t>
      </w:r>
      <w:r w:rsidR="001A1F89">
        <w:t xml:space="preserve"> per cent</w:t>
      </w:r>
      <w:r w:rsidR="001C7D90" w:rsidRPr="001C7D90">
        <w:t xml:space="preserve"> of Medibank’s equity</w:t>
      </w:r>
      <w:r>
        <w:t>.</w:t>
      </w:r>
      <w:r w:rsidR="001C7D90">
        <w:rPr>
          <w:rStyle w:val="FootnoteReference"/>
        </w:rPr>
        <w:footnoteReference w:id="27"/>
      </w:r>
      <w:r>
        <w:t xml:space="preserve"> </w:t>
      </w:r>
    </w:p>
    <w:p w14:paraId="57C70C91" w14:textId="77777777" w:rsidR="001A1F89" w:rsidRDefault="001A1F89" w:rsidP="009218FA">
      <w:pPr>
        <w:pStyle w:val="BodyTextMain"/>
      </w:pPr>
    </w:p>
    <w:p w14:paraId="0A39F5B0" w14:textId="3D0A5F9A" w:rsidR="009218FA" w:rsidRPr="00C54D96" w:rsidRDefault="001A1F89" w:rsidP="009218FA">
      <w:pPr>
        <w:pStyle w:val="BodyTextMain"/>
      </w:pPr>
      <w:r>
        <w:t>Additionally, g</w:t>
      </w:r>
      <w:r w:rsidR="009218FA" w:rsidRPr="00C54D96">
        <w:t xml:space="preserve">oing public </w:t>
      </w:r>
      <w:r>
        <w:t>provided</w:t>
      </w:r>
      <w:r w:rsidR="009218FA" w:rsidRPr="00C54D96">
        <w:t xml:space="preserve"> a way for Medibank to position t</w:t>
      </w:r>
      <w:r w:rsidR="009218FA">
        <w:t>he company</w:t>
      </w:r>
      <w:r w:rsidR="009218FA" w:rsidRPr="00C54D96">
        <w:t xml:space="preserve"> within the current market and get </w:t>
      </w:r>
      <w:r>
        <w:t>its</w:t>
      </w:r>
      <w:r w:rsidR="009218FA" w:rsidRPr="00C54D96">
        <w:t xml:space="preserve"> name out </w:t>
      </w:r>
      <w:r w:rsidR="00E61B02">
        <w:t>to</w:t>
      </w:r>
      <w:r w:rsidR="009218FA" w:rsidRPr="00C54D96">
        <w:t xml:space="preserve"> potential investors. </w:t>
      </w:r>
      <w:r>
        <w:t xml:space="preserve">It </w:t>
      </w:r>
      <w:r w:rsidR="009218FA" w:rsidRPr="00C54D96">
        <w:t>was also a strategic way for the</w:t>
      </w:r>
      <w:r w:rsidR="009218FA">
        <w:t xml:space="preserve"> </w:t>
      </w:r>
      <w:r w:rsidR="009218FA" w:rsidRPr="00C54D96">
        <w:t xml:space="preserve">company to increase customer loyalty and </w:t>
      </w:r>
      <w:r>
        <w:t>its</w:t>
      </w:r>
      <w:r w:rsidR="009218FA" w:rsidRPr="00C54D96">
        <w:t xml:space="preserve"> overall public image through brand recognition. </w:t>
      </w:r>
      <w:r>
        <w:t xml:space="preserve">Going public gave </w:t>
      </w:r>
      <w:r w:rsidR="009218FA" w:rsidRPr="00C54D96">
        <w:t>Medibank</w:t>
      </w:r>
      <w:r w:rsidR="009218FA">
        <w:t xml:space="preserve"> </w:t>
      </w:r>
      <w:r w:rsidR="009218FA" w:rsidRPr="00C54D96">
        <w:t xml:space="preserve">an opportunity to attract other companies to evaluate it for potential mergers and acquisitions </w:t>
      </w:r>
      <w:r>
        <w:t xml:space="preserve">as a way </w:t>
      </w:r>
      <w:r w:rsidR="009218FA" w:rsidRPr="00C54D96">
        <w:t xml:space="preserve">to achieve synergies and increase overall shareholder value. </w:t>
      </w:r>
    </w:p>
    <w:p w14:paraId="1D93AC52" w14:textId="77777777" w:rsidR="009218FA" w:rsidRPr="00C54D96" w:rsidRDefault="009218FA" w:rsidP="009218FA">
      <w:pPr>
        <w:pStyle w:val="Casehead1"/>
      </w:pPr>
      <w:r w:rsidRPr="00C54D96">
        <w:lastRenderedPageBreak/>
        <w:t>Valuation</w:t>
      </w:r>
    </w:p>
    <w:p w14:paraId="454692AA" w14:textId="77777777" w:rsidR="009218FA" w:rsidRPr="00C54D96" w:rsidRDefault="009218FA" w:rsidP="009218FA">
      <w:pPr>
        <w:pStyle w:val="BodyTextMain"/>
      </w:pPr>
    </w:p>
    <w:p w14:paraId="3F756B89" w14:textId="3078D040" w:rsidR="009218FA" w:rsidRDefault="00F87A39" w:rsidP="009218FA">
      <w:pPr>
        <w:pStyle w:val="BodyTextMain"/>
      </w:pPr>
      <w:r>
        <w:t>T</w:t>
      </w:r>
      <w:r w:rsidR="009218FA">
        <w:t xml:space="preserve">o determine the worth of the business in relation to the price range specified, </w:t>
      </w:r>
      <w:r w:rsidR="000066A2">
        <w:t>Gardner</w:t>
      </w:r>
      <w:r w:rsidR="009218FA">
        <w:t xml:space="preserve"> had to perform a valuation. The equity valuation encompassed both a fundamental valuation </w:t>
      </w:r>
      <w:r>
        <w:t>using</w:t>
      </w:r>
      <w:r w:rsidR="009218FA">
        <w:t xml:space="preserve"> a discounted cash flow model and a relative valuation using multiples from listed Australian health insurers</w:t>
      </w:r>
      <w:r w:rsidR="000066A2">
        <w:t xml:space="preserve"> (see Exhibit </w:t>
      </w:r>
      <w:r w:rsidR="004F0E33">
        <w:t>8</w:t>
      </w:r>
      <w:r w:rsidR="000066A2">
        <w:t>)</w:t>
      </w:r>
      <w:r w:rsidR="009218FA">
        <w:t xml:space="preserve">. </w:t>
      </w:r>
      <w:r w:rsidRPr="00984781">
        <w:t>Gardner</w:t>
      </w:r>
      <w:r>
        <w:t xml:space="preserve"> also made some f</w:t>
      </w:r>
      <w:r w:rsidR="009218FA">
        <w:t xml:space="preserve">urther assumptions concerning weighted average cost of capital inputs </w:t>
      </w:r>
      <w:r>
        <w:t xml:space="preserve">(see </w:t>
      </w:r>
      <w:r w:rsidR="009218FA">
        <w:t xml:space="preserve">Exhibit </w:t>
      </w:r>
      <w:r w:rsidR="004F0E33">
        <w:t>9</w:t>
      </w:r>
      <w:r>
        <w:t>)</w:t>
      </w:r>
      <w:r w:rsidR="009218FA">
        <w:t>.</w:t>
      </w:r>
    </w:p>
    <w:p w14:paraId="16AB3034" w14:textId="77777777" w:rsidR="009218FA" w:rsidRDefault="009218FA" w:rsidP="009218FA">
      <w:pPr>
        <w:pStyle w:val="BodyTextMain"/>
      </w:pPr>
    </w:p>
    <w:p w14:paraId="4064EEAB" w14:textId="77777777" w:rsidR="009218FA" w:rsidRDefault="009218FA" w:rsidP="009218FA">
      <w:pPr>
        <w:pStyle w:val="BodyTextMain"/>
      </w:pPr>
    </w:p>
    <w:p w14:paraId="7B24DD4D" w14:textId="77777777" w:rsidR="009218FA" w:rsidRPr="00C54D96" w:rsidRDefault="009218FA" w:rsidP="009218FA">
      <w:pPr>
        <w:pStyle w:val="Casehead1"/>
      </w:pPr>
      <w:r w:rsidRPr="00C54D96">
        <w:t>Making a Decision</w:t>
      </w:r>
    </w:p>
    <w:p w14:paraId="504AC23E" w14:textId="77777777" w:rsidR="009218FA" w:rsidRPr="00C54D96" w:rsidRDefault="009218FA" w:rsidP="009218FA">
      <w:pPr>
        <w:pStyle w:val="BodyTextMain"/>
      </w:pPr>
    </w:p>
    <w:p w14:paraId="5F0A9452" w14:textId="54178C2D" w:rsidR="00A54AB0" w:rsidRDefault="00A54AB0" w:rsidP="009218FA">
      <w:pPr>
        <w:pStyle w:val="BodyTextMain"/>
      </w:pPr>
      <w:r>
        <w:t>Once</w:t>
      </w:r>
      <w:r w:rsidR="009218FA" w:rsidRPr="00C54D96">
        <w:t xml:space="preserve"> </w:t>
      </w:r>
      <w:r w:rsidR="00CA639A">
        <w:t>Gardner</w:t>
      </w:r>
      <w:r w:rsidR="009218FA" w:rsidRPr="00C54D96">
        <w:t xml:space="preserve"> had </w:t>
      </w:r>
      <w:r w:rsidR="00722093">
        <w:t xml:space="preserve">collected </w:t>
      </w:r>
      <w:r w:rsidR="009218FA" w:rsidRPr="00C54D96">
        <w:t>all the necessary information and data</w:t>
      </w:r>
      <w:r w:rsidR="00722093">
        <w:t>,</w:t>
      </w:r>
      <w:r w:rsidR="009218FA" w:rsidRPr="00C54D96">
        <w:t xml:space="preserve"> she had some difficult choices to make. Although the company’s future appeared promising, it was </w:t>
      </w:r>
      <w:r>
        <w:t>un</w:t>
      </w:r>
      <w:r w:rsidR="009218FA" w:rsidRPr="00C54D96">
        <w:t>clear how the company would be able to sustain its competitive advantage in the current market</w:t>
      </w:r>
      <w:r>
        <w:t>,</w:t>
      </w:r>
      <w:r w:rsidR="009218FA" w:rsidRPr="00C54D96">
        <w:t xml:space="preserve"> while </w:t>
      </w:r>
      <w:r w:rsidR="006A54F2">
        <w:t>at the same time man</w:t>
      </w:r>
      <w:r>
        <w:t>ag</w:t>
      </w:r>
      <w:r w:rsidR="00A549F0">
        <w:t>ing</w:t>
      </w:r>
      <w:r w:rsidR="006A54F2">
        <w:t xml:space="preserve"> to </w:t>
      </w:r>
      <w:r w:rsidR="009218FA" w:rsidRPr="00C54D96">
        <w:t>pleas</w:t>
      </w:r>
      <w:r w:rsidR="006A54F2">
        <w:t>e</w:t>
      </w:r>
      <w:r w:rsidR="009218FA" w:rsidRPr="00C54D96">
        <w:t xml:space="preserve"> shareholders and customers.</w:t>
      </w:r>
      <w:r w:rsidR="009218FA">
        <w:t xml:space="preserve"> Could the necessary changes be made to the company simply because of its listing on the ASX? </w:t>
      </w:r>
    </w:p>
    <w:p w14:paraId="33E8F8CA" w14:textId="77777777" w:rsidR="00A54AB0" w:rsidRDefault="00A54AB0" w:rsidP="009218FA">
      <w:pPr>
        <w:pStyle w:val="BodyTextMain"/>
      </w:pPr>
    </w:p>
    <w:p w14:paraId="0B9D1F8C" w14:textId="5BD92111" w:rsidR="009218FA" w:rsidRPr="00C54D96" w:rsidRDefault="009218FA" w:rsidP="009218FA">
      <w:pPr>
        <w:pStyle w:val="BodyTextMain"/>
      </w:pPr>
      <w:r>
        <w:t>The</w:t>
      </w:r>
      <w:r w:rsidR="00A54AB0">
        <w:t xml:space="preserve"> </w:t>
      </w:r>
      <w:r>
        <w:t xml:space="preserve">government faced a difficult position by having to price the securities in a manner that balanced investor demand against the need to generate satisfactory returns for the state. The </w:t>
      </w:r>
      <w:r w:rsidR="00A54AB0">
        <w:t xml:space="preserve">government obviously </w:t>
      </w:r>
      <w:r>
        <w:t xml:space="preserve">wanted the float </w:t>
      </w:r>
      <w:r w:rsidR="006A54F2">
        <w:t xml:space="preserve">to </w:t>
      </w:r>
      <w:r>
        <w:t>be successful</w:t>
      </w:r>
      <w:r w:rsidR="00CA639A">
        <w:t>,</w:t>
      </w:r>
      <w:r>
        <w:t xml:space="preserve"> and in order </w:t>
      </w:r>
      <w:r w:rsidR="006A54F2">
        <w:t xml:space="preserve">for that </w:t>
      </w:r>
      <w:r>
        <w:t xml:space="preserve">to </w:t>
      </w:r>
      <w:r w:rsidR="006A54F2">
        <w:t>happen,</w:t>
      </w:r>
      <w:r>
        <w:t xml:space="preserve"> a reasonable </w:t>
      </w:r>
      <w:r w:rsidR="009F5CA7" w:rsidRPr="00DD7406">
        <w:t>valuation</w:t>
      </w:r>
      <w:r w:rsidR="006A54F2" w:rsidRPr="004E407D">
        <w:t xml:space="preserve"> </w:t>
      </w:r>
      <w:r w:rsidR="009F5CA7" w:rsidRPr="00DD7406">
        <w:t>price</w:t>
      </w:r>
      <w:r w:rsidR="00A54AB0">
        <w:t xml:space="preserve"> would be required</w:t>
      </w:r>
      <w:r w:rsidRPr="004E407D">
        <w:t>.</w:t>
      </w:r>
      <w:r>
        <w:t xml:space="preserve"> As well, Medibank was looking at expanding into travel, pet</w:t>
      </w:r>
      <w:r w:rsidR="006A54F2">
        <w:t>,</w:t>
      </w:r>
      <w:r>
        <w:t xml:space="preserve"> and life insurance to </w:t>
      </w:r>
      <w:r w:rsidR="006A54F2">
        <w:t>provide its clients with</w:t>
      </w:r>
      <w:r>
        <w:t xml:space="preserve"> a variety of options </w:t>
      </w:r>
      <w:r w:rsidR="006A54F2">
        <w:t>and also</w:t>
      </w:r>
      <w:r>
        <w:t xml:space="preserve"> </w:t>
      </w:r>
      <w:r w:rsidR="00A54AB0">
        <w:t xml:space="preserve">to serve </w:t>
      </w:r>
      <w:r>
        <w:t xml:space="preserve">as a potential growth strategy. Although </w:t>
      </w:r>
      <w:r w:rsidR="006A54F2">
        <w:t xml:space="preserve">Medibank currently </w:t>
      </w:r>
      <w:r>
        <w:t>dominat</w:t>
      </w:r>
      <w:r w:rsidR="006A54F2">
        <w:t>ed</w:t>
      </w:r>
      <w:r>
        <w:t xml:space="preserve"> the market share, Gardner had her doubts about the investment</w:t>
      </w:r>
      <w:r w:rsidR="006A54F2">
        <w:t>, largely</w:t>
      </w:r>
      <w:r>
        <w:t xml:space="preserve"> </w:t>
      </w:r>
      <w:r w:rsidR="006A54F2">
        <w:t>because of</w:t>
      </w:r>
      <w:r>
        <w:t xml:space="preserve"> investors</w:t>
      </w:r>
      <w:r w:rsidR="006A54F2">
        <w:t>’</w:t>
      </w:r>
      <w:r>
        <w:t xml:space="preserve"> high expectations of future performance </w:t>
      </w:r>
      <w:r w:rsidR="006A54F2">
        <w:t>and the company’s</w:t>
      </w:r>
      <w:r>
        <w:t xml:space="preserve"> aggressive growth strategy. </w:t>
      </w:r>
    </w:p>
    <w:p w14:paraId="25D0003F" w14:textId="77777777" w:rsidR="009218FA" w:rsidRPr="00C54D96" w:rsidRDefault="009218FA" w:rsidP="009218FA">
      <w:pPr>
        <w:pStyle w:val="BodyTextMain"/>
      </w:pPr>
    </w:p>
    <w:p w14:paraId="37A6482E" w14:textId="4306BCAF" w:rsidR="009218FA" w:rsidRDefault="009218FA" w:rsidP="002B403D">
      <w:pPr>
        <w:pStyle w:val="BodyTextMain"/>
      </w:pPr>
      <w:r>
        <w:t xml:space="preserve">Gardner was skeptical </w:t>
      </w:r>
      <w:r w:rsidR="00CA639A">
        <w:t>about</w:t>
      </w:r>
      <w:r>
        <w:t xml:space="preserve"> the hype surrounding the IPO, but she felt that the state of the current market and Medibank’s market position might provide a basis for the success of the company after </w:t>
      </w:r>
      <w:r w:rsidR="006A54F2">
        <w:t xml:space="preserve">its </w:t>
      </w:r>
      <w:r>
        <w:t xml:space="preserve">listing. </w:t>
      </w:r>
      <w:r w:rsidR="00BC535B">
        <w:t>However, s</w:t>
      </w:r>
      <w:r>
        <w:t xml:space="preserve">he questioned the </w:t>
      </w:r>
      <w:r w:rsidR="00BE6420">
        <w:t xml:space="preserve">firm’s </w:t>
      </w:r>
      <w:r>
        <w:t xml:space="preserve">ability to maintain a sustainable position </w:t>
      </w:r>
      <w:r w:rsidR="00080B9D">
        <w:t xml:space="preserve">in the </w:t>
      </w:r>
      <w:r>
        <w:t>long</w:t>
      </w:r>
      <w:r w:rsidR="00080B9D">
        <w:t xml:space="preserve"> </w:t>
      </w:r>
      <w:r>
        <w:t>term</w:t>
      </w:r>
      <w:r w:rsidR="00080B9D">
        <w:t>,</w:t>
      </w:r>
      <w:r>
        <w:t xml:space="preserve"> </w:t>
      </w:r>
      <w:r w:rsidR="00BE6420">
        <w:t xml:space="preserve">in the face of </w:t>
      </w:r>
      <w:r>
        <w:t xml:space="preserve">increased demands and scrutiny </w:t>
      </w:r>
      <w:r w:rsidR="00080B9D">
        <w:t>from</w:t>
      </w:r>
      <w:r>
        <w:t xml:space="preserve"> shareholders</w:t>
      </w:r>
      <w:r w:rsidR="00BE6420">
        <w:t>.</w:t>
      </w:r>
      <w:r>
        <w:t xml:space="preserve"> </w:t>
      </w:r>
      <w:r w:rsidR="00BE6420">
        <w:t xml:space="preserve">For these reasons, Gardner wondered </w:t>
      </w:r>
      <w:r>
        <w:t xml:space="preserve">whether </w:t>
      </w:r>
      <w:r w:rsidR="00080B9D">
        <w:t>Medibank</w:t>
      </w:r>
      <w:r w:rsidR="00080B9D" w:rsidDel="00080B9D">
        <w:t xml:space="preserve"> </w:t>
      </w:r>
      <w:r w:rsidR="00E24130">
        <w:t>constituted</w:t>
      </w:r>
      <w:r>
        <w:t xml:space="preserve"> a worthwhile investment.</w:t>
      </w:r>
    </w:p>
    <w:p w14:paraId="012BD7A5" w14:textId="77777777" w:rsidR="002B403D" w:rsidRDefault="002B403D">
      <w:pPr>
        <w:spacing w:after="200" w:line="276" w:lineRule="auto"/>
        <w:rPr>
          <w:sz w:val="22"/>
          <w:szCs w:val="22"/>
        </w:rPr>
      </w:pPr>
      <w:r>
        <w:br w:type="page"/>
      </w:r>
    </w:p>
    <w:p w14:paraId="09FC7AA2" w14:textId="415FF8D3" w:rsidR="009218FA" w:rsidRPr="00565022" w:rsidRDefault="009218FA" w:rsidP="009218FA">
      <w:pPr>
        <w:pStyle w:val="ExhibitHeading"/>
      </w:pPr>
      <w:r w:rsidRPr="00565022">
        <w:lastRenderedPageBreak/>
        <w:t xml:space="preserve">Exhibit </w:t>
      </w:r>
      <w:r w:rsidR="004F0E33">
        <w:t>1</w:t>
      </w:r>
      <w:r>
        <w:t xml:space="preserve">: </w:t>
      </w:r>
      <w:r w:rsidRPr="00565022">
        <w:t xml:space="preserve">MEDIBANK BALANCE SHEET AS AT JUNE </w:t>
      </w:r>
      <w:r w:rsidR="00E24130">
        <w:t xml:space="preserve">30, </w:t>
      </w:r>
      <w:r w:rsidRPr="00565022">
        <w:t xml:space="preserve">2014 </w:t>
      </w:r>
    </w:p>
    <w:p w14:paraId="35F95A57" w14:textId="77777777" w:rsidR="009218FA" w:rsidRPr="00565022" w:rsidRDefault="009218FA" w:rsidP="009218FA">
      <w:pPr>
        <w:pStyle w:val="ExhibitHeading"/>
      </w:pPr>
      <w:r w:rsidRPr="00565022">
        <w:t xml:space="preserve">(amounts in millions </w:t>
      </w:r>
      <w:r w:rsidR="006A070A">
        <w:t xml:space="preserve">of </w:t>
      </w:r>
      <w:r w:rsidRPr="00565022">
        <w:t>AU</w:t>
      </w:r>
      <w:r w:rsidR="00A47D06">
        <w:t xml:space="preserve">stralian </w:t>
      </w:r>
      <w:r w:rsidRPr="00565022">
        <w:t>D</w:t>
      </w:r>
      <w:r w:rsidR="00A47D06">
        <w:t>ollars,</w:t>
      </w:r>
      <w:r w:rsidRPr="00565022">
        <w:t xml:space="preserve"> except per share)</w:t>
      </w:r>
    </w:p>
    <w:p w14:paraId="3A0B9781" w14:textId="77777777" w:rsidR="009218FA" w:rsidRPr="00565022" w:rsidRDefault="009218FA" w:rsidP="009218FA">
      <w:pPr>
        <w:pStyle w:val="ExhibitHeading"/>
        <w:rPr>
          <w:lang w:val="en-AU"/>
        </w:rPr>
      </w:pPr>
    </w:p>
    <w:tbl>
      <w:tblPr>
        <w:tblW w:w="67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9"/>
        <w:gridCol w:w="1134"/>
        <w:gridCol w:w="1134"/>
        <w:gridCol w:w="1103"/>
      </w:tblGrid>
      <w:tr w:rsidR="009218FA" w:rsidRPr="00565022" w14:paraId="6B9DA327" w14:textId="77777777" w:rsidTr="00263A51">
        <w:trPr>
          <w:trHeight w:val="370"/>
          <w:jc w:val="center"/>
        </w:trPr>
        <w:tc>
          <w:tcPr>
            <w:tcW w:w="3359" w:type="dxa"/>
            <w:shd w:val="clear" w:color="auto" w:fill="auto"/>
            <w:noWrap/>
            <w:hideMark/>
          </w:tcPr>
          <w:p w14:paraId="69C01491" w14:textId="77777777" w:rsidR="009218FA" w:rsidRPr="009218FA" w:rsidRDefault="009218FA" w:rsidP="009218FA">
            <w:pPr>
              <w:pStyle w:val="ExhibitText"/>
              <w:rPr>
                <w:sz w:val="18"/>
                <w:szCs w:val="18"/>
              </w:rPr>
            </w:pPr>
          </w:p>
        </w:tc>
        <w:tc>
          <w:tcPr>
            <w:tcW w:w="1134" w:type="dxa"/>
            <w:shd w:val="clear" w:color="auto" w:fill="auto"/>
            <w:noWrap/>
            <w:vAlign w:val="center"/>
            <w:hideMark/>
          </w:tcPr>
          <w:p w14:paraId="08E1DD50" w14:textId="77777777" w:rsidR="009218FA" w:rsidRPr="009218FA" w:rsidRDefault="009218FA" w:rsidP="00A15912">
            <w:pPr>
              <w:pStyle w:val="ExhibitText"/>
              <w:jc w:val="center"/>
              <w:rPr>
                <w:b/>
                <w:bCs/>
                <w:color w:val="000000"/>
                <w:sz w:val="18"/>
                <w:szCs w:val="18"/>
              </w:rPr>
            </w:pPr>
            <w:r w:rsidRPr="009218FA">
              <w:rPr>
                <w:b/>
                <w:bCs/>
                <w:color w:val="000000"/>
                <w:sz w:val="18"/>
                <w:szCs w:val="18"/>
              </w:rPr>
              <w:t>2012</w:t>
            </w:r>
          </w:p>
        </w:tc>
        <w:tc>
          <w:tcPr>
            <w:tcW w:w="1134" w:type="dxa"/>
            <w:shd w:val="clear" w:color="auto" w:fill="auto"/>
            <w:noWrap/>
            <w:vAlign w:val="center"/>
            <w:hideMark/>
          </w:tcPr>
          <w:p w14:paraId="5BF40959" w14:textId="77777777" w:rsidR="009218FA" w:rsidRPr="009218FA" w:rsidRDefault="009218FA" w:rsidP="00A15912">
            <w:pPr>
              <w:pStyle w:val="ExhibitText"/>
              <w:jc w:val="center"/>
              <w:rPr>
                <w:b/>
                <w:bCs/>
                <w:color w:val="000000"/>
                <w:sz w:val="18"/>
                <w:szCs w:val="18"/>
              </w:rPr>
            </w:pPr>
            <w:r w:rsidRPr="009218FA">
              <w:rPr>
                <w:b/>
                <w:bCs/>
                <w:color w:val="000000"/>
                <w:sz w:val="18"/>
                <w:szCs w:val="18"/>
              </w:rPr>
              <w:t>2013</w:t>
            </w:r>
          </w:p>
        </w:tc>
        <w:tc>
          <w:tcPr>
            <w:tcW w:w="1103" w:type="dxa"/>
            <w:shd w:val="clear" w:color="auto" w:fill="auto"/>
            <w:noWrap/>
            <w:vAlign w:val="center"/>
            <w:hideMark/>
          </w:tcPr>
          <w:p w14:paraId="3C177984" w14:textId="77777777" w:rsidR="009218FA" w:rsidRPr="009218FA" w:rsidRDefault="009218FA" w:rsidP="00A15912">
            <w:pPr>
              <w:pStyle w:val="ExhibitText"/>
              <w:jc w:val="center"/>
              <w:rPr>
                <w:b/>
                <w:bCs/>
                <w:color w:val="000000"/>
                <w:sz w:val="18"/>
                <w:szCs w:val="18"/>
              </w:rPr>
            </w:pPr>
            <w:r w:rsidRPr="009218FA">
              <w:rPr>
                <w:b/>
                <w:bCs/>
                <w:color w:val="000000"/>
                <w:sz w:val="18"/>
                <w:szCs w:val="18"/>
              </w:rPr>
              <w:t>2014</w:t>
            </w:r>
          </w:p>
        </w:tc>
      </w:tr>
      <w:tr w:rsidR="009218FA" w:rsidRPr="00565022" w14:paraId="6F2D12C7" w14:textId="77777777" w:rsidTr="00263A51">
        <w:trPr>
          <w:trHeight w:val="327"/>
          <w:jc w:val="center"/>
        </w:trPr>
        <w:tc>
          <w:tcPr>
            <w:tcW w:w="3359" w:type="dxa"/>
            <w:shd w:val="clear" w:color="auto" w:fill="auto"/>
            <w:noWrap/>
            <w:vAlign w:val="center"/>
            <w:hideMark/>
          </w:tcPr>
          <w:p w14:paraId="19890615" w14:textId="77777777" w:rsidR="009218FA" w:rsidRPr="009218FA" w:rsidRDefault="009218FA" w:rsidP="00984781">
            <w:pPr>
              <w:pStyle w:val="ExhibitText"/>
              <w:jc w:val="left"/>
              <w:rPr>
                <w:b/>
                <w:bCs/>
                <w:color w:val="000000"/>
                <w:sz w:val="18"/>
                <w:szCs w:val="18"/>
              </w:rPr>
            </w:pPr>
            <w:r w:rsidRPr="009218FA">
              <w:rPr>
                <w:b/>
                <w:bCs/>
                <w:color w:val="000000"/>
                <w:sz w:val="18"/>
                <w:szCs w:val="18"/>
              </w:rPr>
              <w:t>ASSETS</w:t>
            </w:r>
          </w:p>
        </w:tc>
        <w:tc>
          <w:tcPr>
            <w:tcW w:w="1134" w:type="dxa"/>
            <w:shd w:val="clear" w:color="auto" w:fill="auto"/>
            <w:noWrap/>
            <w:hideMark/>
          </w:tcPr>
          <w:p w14:paraId="38BB114C" w14:textId="77777777" w:rsidR="009218FA" w:rsidRPr="009218FA" w:rsidRDefault="009218FA" w:rsidP="009218FA">
            <w:pPr>
              <w:pStyle w:val="ExhibitText"/>
              <w:jc w:val="right"/>
              <w:rPr>
                <w:b/>
                <w:bCs/>
                <w:color w:val="000000"/>
                <w:sz w:val="18"/>
                <w:szCs w:val="18"/>
              </w:rPr>
            </w:pPr>
          </w:p>
        </w:tc>
        <w:tc>
          <w:tcPr>
            <w:tcW w:w="1134" w:type="dxa"/>
            <w:shd w:val="clear" w:color="auto" w:fill="auto"/>
            <w:noWrap/>
            <w:hideMark/>
          </w:tcPr>
          <w:p w14:paraId="7B9356E4" w14:textId="77777777" w:rsidR="009218FA" w:rsidRPr="009218FA" w:rsidRDefault="009218FA" w:rsidP="009218FA">
            <w:pPr>
              <w:pStyle w:val="ExhibitText"/>
              <w:jc w:val="right"/>
              <w:rPr>
                <w:sz w:val="18"/>
                <w:szCs w:val="18"/>
              </w:rPr>
            </w:pPr>
          </w:p>
        </w:tc>
        <w:tc>
          <w:tcPr>
            <w:tcW w:w="1103" w:type="dxa"/>
            <w:shd w:val="clear" w:color="auto" w:fill="auto"/>
            <w:noWrap/>
            <w:hideMark/>
          </w:tcPr>
          <w:p w14:paraId="5E795134" w14:textId="77777777" w:rsidR="009218FA" w:rsidRPr="009218FA" w:rsidRDefault="009218FA" w:rsidP="009218FA">
            <w:pPr>
              <w:pStyle w:val="ExhibitText"/>
              <w:jc w:val="right"/>
              <w:rPr>
                <w:sz w:val="18"/>
                <w:szCs w:val="18"/>
              </w:rPr>
            </w:pPr>
          </w:p>
        </w:tc>
      </w:tr>
      <w:tr w:rsidR="009218FA" w:rsidRPr="00565022" w14:paraId="60CC5BD0" w14:textId="77777777" w:rsidTr="00263A51">
        <w:trPr>
          <w:trHeight w:val="327"/>
          <w:jc w:val="center"/>
        </w:trPr>
        <w:tc>
          <w:tcPr>
            <w:tcW w:w="3359" w:type="dxa"/>
            <w:shd w:val="clear" w:color="auto" w:fill="auto"/>
            <w:noWrap/>
            <w:vAlign w:val="center"/>
            <w:hideMark/>
          </w:tcPr>
          <w:p w14:paraId="2F3642CC" w14:textId="77777777" w:rsidR="009218FA" w:rsidRPr="009218FA" w:rsidRDefault="009218FA" w:rsidP="00984781">
            <w:pPr>
              <w:pStyle w:val="ExhibitText"/>
              <w:jc w:val="left"/>
              <w:rPr>
                <w:color w:val="000000"/>
                <w:sz w:val="18"/>
                <w:szCs w:val="18"/>
              </w:rPr>
            </w:pPr>
            <w:r w:rsidRPr="009218FA">
              <w:rPr>
                <w:color w:val="000000"/>
                <w:sz w:val="18"/>
                <w:szCs w:val="18"/>
              </w:rPr>
              <w:t>Cash and cash equivalents</w:t>
            </w:r>
          </w:p>
        </w:tc>
        <w:tc>
          <w:tcPr>
            <w:tcW w:w="1134" w:type="dxa"/>
            <w:shd w:val="clear" w:color="auto" w:fill="auto"/>
            <w:noWrap/>
            <w:vAlign w:val="center"/>
            <w:hideMark/>
          </w:tcPr>
          <w:p w14:paraId="4FAD522B" w14:textId="77777777" w:rsidR="009218FA" w:rsidRPr="009218FA" w:rsidRDefault="009218FA" w:rsidP="00984781">
            <w:pPr>
              <w:pStyle w:val="ExhibitText"/>
              <w:jc w:val="right"/>
              <w:rPr>
                <w:sz w:val="18"/>
                <w:szCs w:val="18"/>
              </w:rPr>
            </w:pPr>
            <w:r w:rsidRPr="009218FA">
              <w:rPr>
                <w:sz w:val="18"/>
                <w:szCs w:val="18"/>
              </w:rPr>
              <w:t>613.7</w:t>
            </w:r>
          </w:p>
        </w:tc>
        <w:tc>
          <w:tcPr>
            <w:tcW w:w="1134" w:type="dxa"/>
            <w:shd w:val="clear" w:color="auto" w:fill="auto"/>
            <w:noWrap/>
            <w:vAlign w:val="center"/>
            <w:hideMark/>
          </w:tcPr>
          <w:p w14:paraId="47360F17" w14:textId="77777777" w:rsidR="009218FA" w:rsidRPr="009218FA" w:rsidRDefault="009218FA" w:rsidP="00984781">
            <w:pPr>
              <w:pStyle w:val="ExhibitText"/>
              <w:jc w:val="right"/>
              <w:rPr>
                <w:sz w:val="18"/>
                <w:szCs w:val="18"/>
              </w:rPr>
            </w:pPr>
            <w:r w:rsidRPr="009218FA">
              <w:rPr>
                <w:sz w:val="18"/>
                <w:szCs w:val="18"/>
              </w:rPr>
              <w:t>895.1</w:t>
            </w:r>
          </w:p>
        </w:tc>
        <w:tc>
          <w:tcPr>
            <w:tcW w:w="1103" w:type="dxa"/>
            <w:shd w:val="clear" w:color="auto" w:fill="auto"/>
            <w:noWrap/>
            <w:vAlign w:val="center"/>
            <w:hideMark/>
          </w:tcPr>
          <w:p w14:paraId="7FEDCC87" w14:textId="77777777" w:rsidR="009218FA" w:rsidRPr="009218FA" w:rsidRDefault="009218FA" w:rsidP="00984781">
            <w:pPr>
              <w:pStyle w:val="ExhibitText"/>
              <w:jc w:val="right"/>
              <w:rPr>
                <w:sz w:val="18"/>
                <w:szCs w:val="18"/>
              </w:rPr>
            </w:pPr>
            <w:r w:rsidRPr="009218FA">
              <w:rPr>
                <w:sz w:val="18"/>
                <w:szCs w:val="18"/>
              </w:rPr>
              <w:t>708.0</w:t>
            </w:r>
          </w:p>
        </w:tc>
      </w:tr>
      <w:tr w:rsidR="009218FA" w:rsidRPr="00565022" w14:paraId="16CAEFA0" w14:textId="77777777" w:rsidTr="00263A51">
        <w:trPr>
          <w:trHeight w:val="327"/>
          <w:jc w:val="center"/>
        </w:trPr>
        <w:tc>
          <w:tcPr>
            <w:tcW w:w="3359" w:type="dxa"/>
            <w:shd w:val="clear" w:color="auto" w:fill="auto"/>
            <w:noWrap/>
            <w:vAlign w:val="center"/>
            <w:hideMark/>
          </w:tcPr>
          <w:p w14:paraId="1AEB35AC" w14:textId="77777777" w:rsidR="009218FA" w:rsidRPr="009218FA" w:rsidRDefault="009218FA" w:rsidP="00984781">
            <w:pPr>
              <w:pStyle w:val="ExhibitText"/>
              <w:jc w:val="left"/>
              <w:rPr>
                <w:color w:val="000000"/>
                <w:sz w:val="18"/>
                <w:szCs w:val="18"/>
              </w:rPr>
            </w:pPr>
            <w:r w:rsidRPr="009218FA">
              <w:rPr>
                <w:color w:val="000000"/>
                <w:sz w:val="18"/>
                <w:szCs w:val="18"/>
              </w:rPr>
              <w:t>Net receivables</w:t>
            </w:r>
          </w:p>
        </w:tc>
        <w:tc>
          <w:tcPr>
            <w:tcW w:w="1134" w:type="dxa"/>
            <w:shd w:val="clear" w:color="auto" w:fill="auto"/>
            <w:noWrap/>
            <w:vAlign w:val="center"/>
            <w:hideMark/>
          </w:tcPr>
          <w:p w14:paraId="4C76CBAB" w14:textId="77777777" w:rsidR="009218FA" w:rsidRPr="009218FA" w:rsidRDefault="009218FA" w:rsidP="00984781">
            <w:pPr>
              <w:pStyle w:val="ExhibitText"/>
              <w:jc w:val="right"/>
              <w:rPr>
                <w:sz w:val="18"/>
                <w:szCs w:val="18"/>
              </w:rPr>
            </w:pPr>
            <w:r w:rsidRPr="009218FA">
              <w:rPr>
                <w:sz w:val="18"/>
                <w:szCs w:val="18"/>
              </w:rPr>
              <w:t>352.0</w:t>
            </w:r>
          </w:p>
        </w:tc>
        <w:tc>
          <w:tcPr>
            <w:tcW w:w="1134" w:type="dxa"/>
            <w:shd w:val="clear" w:color="auto" w:fill="auto"/>
            <w:noWrap/>
            <w:vAlign w:val="center"/>
            <w:hideMark/>
          </w:tcPr>
          <w:p w14:paraId="04704434" w14:textId="77777777" w:rsidR="009218FA" w:rsidRPr="009218FA" w:rsidRDefault="009218FA" w:rsidP="00984781">
            <w:pPr>
              <w:pStyle w:val="ExhibitText"/>
              <w:jc w:val="right"/>
              <w:rPr>
                <w:sz w:val="18"/>
                <w:szCs w:val="18"/>
              </w:rPr>
            </w:pPr>
            <w:r w:rsidRPr="009218FA">
              <w:rPr>
                <w:sz w:val="18"/>
                <w:szCs w:val="18"/>
              </w:rPr>
              <w:t>311.7</w:t>
            </w:r>
          </w:p>
        </w:tc>
        <w:tc>
          <w:tcPr>
            <w:tcW w:w="1103" w:type="dxa"/>
            <w:shd w:val="clear" w:color="auto" w:fill="auto"/>
            <w:noWrap/>
            <w:vAlign w:val="center"/>
            <w:hideMark/>
          </w:tcPr>
          <w:p w14:paraId="61F533A3" w14:textId="77777777" w:rsidR="009218FA" w:rsidRPr="009218FA" w:rsidRDefault="009218FA" w:rsidP="00984781">
            <w:pPr>
              <w:pStyle w:val="ExhibitText"/>
              <w:jc w:val="right"/>
              <w:rPr>
                <w:sz w:val="18"/>
                <w:szCs w:val="18"/>
              </w:rPr>
            </w:pPr>
            <w:r w:rsidRPr="009218FA">
              <w:rPr>
                <w:sz w:val="18"/>
                <w:szCs w:val="18"/>
              </w:rPr>
              <w:t>338.6</w:t>
            </w:r>
          </w:p>
        </w:tc>
      </w:tr>
      <w:tr w:rsidR="009218FA" w:rsidRPr="00565022" w14:paraId="385D6E4B" w14:textId="77777777" w:rsidTr="00263A51">
        <w:trPr>
          <w:trHeight w:val="327"/>
          <w:jc w:val="center"/>
        </w:trPr>
        <w:tc>
          <w:tcPr>
            <w:tcW w:w="3359" w:type="dxa"/>
            <w:shd w:val="clear" w:color="auto" w:fill="auto"/>
            <w:noWrap/>
            <w:vAlign w:val="center"/>
            <w:hideMark/>
          </w:tcPr>
          <w:p w14:paraId="025786D3" w14:textId="77777777" w:rsidR="009218FA" w:rsidRPr="009218FA" w:rsidRDefault="009218FA" w:rsidP="00984781">
            <w:pPr>
              <w:pStyle w:val="ExhibitText"/>
              <w:jc w:val="left"/>
              <w:rPr>
                <w:color w:val="000000"/>
                <w:sz w:val="18"/>
                <w:szCs w:val="18"/>
              </w:rPr>
            </w:pPr>
            <w:r w:rsidRPr="009218FA">
              <w:rPr>
                <w:color w:val="000000"/>
                <w:sz w:val="18"/>
                <w:szCs w:val="18"/>
              </w:rPr>
              <w:t>Total investments</w:t>
            </w:r>
          </w:p>
        </w:tc>
        <w:tc>
          <w:tcPr>
            <w:tcW w:w="1134" w:type="dxa"/>
            <w:shd w:val="clear" w:color="auto" w:fill="auto"/>
            <w:noWrap/>
            <w:vAlign w:val="center"/>
            <w:hideMark/>
          </w:tcPr>
          <w:p w14:paraId="72DBFAE1" w14:textId="77777777" w:rsidR="009218FA" w:rsidRPr="009218FA" w:rsidRDefault="009218FA" w:rsidP="00984781">
            <w:pPr>
              <w:pStyle w:val="ExhibitText"/>
              <w:jc w:val="right"/>
              <w:rPr>
                <w:sz w:val="18"/>
                <w:szCs w:val="18"/>
              </w:rPr>
            </w:pPr>
            <w:r w:rsidRPr="009218FA">
              <w:rPr>
                <w:sz w:val="18"/>
                <w:szCs w:val="18"/>
              </w:rPr>
              <w:t>1</w:t>
            </w:r>
            <w:r w:rsidR="00A47D06">
              <w:rPr>
                <w:sz w:val="18"/>
                <w:szCs w:val="18"/>
              </w:rPr>
              <w:t>,</w:t>
            </w:r>
            <w:r w:rsidRPr="009218FA">
              <w:rPr>
                <w:sz w:val="18"/>
                <w:szCs w:val="18"/>
              </w:rPr>
              <w:t>672.9</w:t>
            </w:r>
          </w:p>
        </w:tc>
        <w:tc>
          <w:tcPr>
            <w:tcW w:w="1134" w:type="dxa"/>
            <w:shd w:val="clear" w:color="auto" w:fill="auto"/>
            <w:noWrap/>
            <w:vAlign w:val="center"/>
            <w:hideMark/>
          </w:tcPr>
          <w:p w14:paraId="7C348CB6" w14:textId="77777777" w:rsidR="009218FA" w:rsidRPr="009218FA" w:rsidRDefault="009218FA" w:rsidP="00984781">
            <w:pPr>
              <w:pStyle w:val="ExhibitText"/>
              <w:jc w:val="right"/>
              <w:rPr>
                <w:sz w:val="18"/>
                <w:szCs w:val="18"/>
              </w:rPr>
            </w:pPr>
            <w:r w:rsidRPr="009218FA">
              <w:rPr>
                <w:sz w:val="18"/>
                <w:szCs w:val="18"/>
              </w:rPr>
              <w:t>1</w:t>
            </w:r>
            <w:r w:rsidR="00A47D06">
              <w:rPr>
                <w:sz w:val="18"/>
                <w:szCs w:val="18"/>
              </w:rPr>
              <w:t>,</w:t>
            </w:r>
            <w:r w:rsidRPr="009218FA">
              <w:rPr>
                <w:sz w:val="18"/>
                <w:szCs w:val="18"/>
              </w:rPr>
              <w:t>448.4</w:t>
            </w:r>
          </w:p>
        </w:tc>
        <w:tc>
          <w:tcPr>
            <w:tcW w:w="1103" w:type="dxa"/>
            <w:shd w:val="clear" w:color="auto" w:fill="auto"/>
            <w:noWrap/>
            <w:vAlign w:val="center"/>
            <w:hideMark/>
          </w:tcPr>
          <w:p w14:paraId="07072685" w14:textId="77777777" w:rsidR="009218FA" w:rsidRPr="009218FA" w:rsidRDefault="009218FA" w:rsidP="00984781">
            <w:pPr>
              <w:pStyle w:val="ExhibitText"/>
              <w:jc w:val="right"/>
              <w:rPr>
                <w:sz w:val="18"/>
                <w:szCs w:val="18"/>
              </w:rPr>
            </w:pPr>
            <w:r w:rsidRPr="009218FA">
              <w:rPr>
                <w:sz w:val="18"/>
                <w:szCs w:val="18"/>
              </w:rPr>
              <w:t>1</w:t>
            </w:r>
            <w:r w:rsidR="00A47D06">
              <w:rPr>
                <w:sz w:val="18"/>
                <w:szCs w:val="18"/>
              </w:rPr>
              <w:t>,</w:t>
            </w:r>
            <w:r w:rsidRPr="009218FA">
              <w:rPr>
                <w:sz w:val="18"/>
                <w:szCs w:val="18"/>
              </w:rPr>
              <w:t>490.6</w:t>
            </w:r>
          </w:p>
        </w:tc>
      </w:tr>
      <w:tr w:rsidR="009218FA" w:rsidRPr="00565022" w14:paraId="7738B7B2" w14:textId="77777777" w:rsidTr="00263A51">
        <w:trPr>
          <w:trHeight w:val="327"/>
          <w:jc w:val="center"/>
        </w:trPr>
        <w:tc>
          <w:tcPr>
            <w:tcW w:w="3359" w:type="dxa"/>
            <w:shd w:val="clear" w:color="auto" w:fill="auto"/>
            <w:noWrap/>
            <w:vAlign w:val="center"/>
            <w:hideMark/>
          </w:tcPr>
          <w:p w14:paraId="735D1300" w14:textId="77777777" w:rsidR="009218FA" w:rsidRPr="009218FA" w:rsidRDefault="009218FA" w:rsidP="00984781">
            <w:pPr>
              <w:pStyle w:val="ExhibitText"/>
              <w:jc w:val="left"/>
              <w:rPr>
                <w:color w:val="000000"/>
                <w:sz w:val="18"/>
                <w:szCs w:val="18"/>
              </w:rPr>
            </w:pPr>
            <w:r w:rsidRPr="009218FA">
              <w:rPr>
                <w:color w:val="000000"/>
                <w:sz w:val="18"/>
                <w:szCs w:val="18"/>
              </w:rPr>
              <w:t>Net fixed assets</w:t>
            </w:r>
          </w:p>
        </w:tc>
        <w:tc>
          <w:tcPr>
            <w:tcW w:w="1134" w:type="dxa"/>
            <w:shd w:val="clear" w:color="auto" w:fill="auto"/>
            <w:noWrap/>
            <w:vAlign w:val="center"/>
            <w:hideMark/>
          </w:tcPr>
          <w:p w14:paraId="54AEEC72" w14:textId="77777777" w:rsidR="009218FA" w:rsidRPr="009218FA" w:rsidRDefault="009218FA" w:rsidP="00984781">
            <w:pPr>
              <w:pStyle w:val="ExhibitText"/>
              <w:jc w:val="right"/>
              <w:rPr>
                <w:sz w:val="18"/>
                <w:szCs w:val="18"/>
              </w:rPr>
            </w:pPr>
            <w:r w:rsidRPr="009218FA">
              <w:rPr>
                <w:sz w:val="18"/>
                <w:szCs w:val="18"/>
              </w:rPr>
              <w:t>77.4</w:t>
            </w:r>
          </w:p>
        </w:tc>
        <w:tc>
          <w:tcPr>
            <w:tcW w:w="1134" w:type="dxa"/>
            <w:shd w:val="clear" w:color="auto" w:fill="auto"/>
            <w:noWrap/>
            <w:vAlign w:val="center"/>
            <w:hideMark/>
          </w:tcPr>
          <w:p w14:paraId="55B1BE95" w14:textId="77777777" w:rsidR="009218FA" w:rsidRPr="009218FA" w:rsidRDefault="009218FA" w:rsidP="00984781">
            <w:pPr>
              <w:pStyle w:val="ExhibitText"/>
              <w:jc w:val="right"/>
              <w:rPr>
                <w:sz w:val="18"/>
                <w:szCs w:val="18"/>
              </w:rPr>
            </w:pPr>
            <w:r w:rsidRPr="009218FA">
              <w:rPr>
                <w:sz w:val="18"/>
                <w:szCs w:val="18"/>
              </w:rPr>
              <w:t>88.6</w:t>
            </w:r>
          </w:p>
        </w:tc>
        <w:tc>
          <w:tcPr>
            <w:tcW w:w="1103" w:type="dxa"/>
            <w:shd w:val="clear" w:color="auto" w:fill="auto"/>
            <w:noWrap/>
            <w:vAlign w:val="center"/>
            <w:hideMark/>
          </w:tcPr>
          <w:p w14:paraId="1EE94CEC" w14:textId="77777777" w:rsidR="009218FA" w:rsidRPr="009218FA" w:rsidRDefault="009218FA" w:rsidP="00984781">
            <w:pPr>
              <w:pStyle w:val="ExhibitText"/>
              <w:jc w:val="right"/>
              <w:rPr>
                <w:sz w:val="18"/>
                <w:szCs w:val="18"/>
              </w:rPr>
            </w:pPr>
            <w:r w:rsidRPr="009218FA">
              <w:rPr>
                <w:sz w:val="18"/>
                <w:szCs w:val="18"/>
              </w:rPr>
              <w:t>138.0</w:t>
            </w:r>
          </w:p>
        </w:tc>
      </w:tr>
      <w:tr w:rsidR="009218FA" w:rsidRPr="00565022" w14:paraId="6B412F4D" w14:textId="77777777" w:rsidTr="00263A51">
        <w:trPr>
          <w:trHeight w:val="343"/>
          <w:jc w:val="center"/>
        </w:trPr>
        <w:tc>
          <w:tcPr>
            <w:tcW w:w="3359" w:type="dxa"/>
            <w:shd w:val="clear" w:color="auto" w:fill="auto"/>
            <w:noWrap/>
            <w:vAlign w:val="center"/>
            <w:hideMark/>
          </w:tcPr>
          <w:p w14:paraId="55EC302F" w14:textId="77777777" w:rsidR="009218FA" w:rsidRPr="009218FA" w:rsidRDefault="009218FA" w:rsidP="00984781">
            <w:pPr>
              <w:pStyle w:val="ExhibitText"/>
              <w:jc w:val="left"/>
              <w:rPr>
                <w:color w:val="000000"/>
                <w:sz w:val="18"/>
                <w:szCs w:val="18"/>
              </w:rPr>
            </w:pPr>
            <w:r w:rsidRPr="009218FA">
              <w:rPr>
                <w:color w:val="000000"/>
                <w:sz w:val="18"/>
                <w:szCs w:val="18"/>
              </w:rPr>
              <w:t>Deferred policy acquisition costs</w:t>
            </w:r>
          </w:p>
        </w:tc>
        <w:tc>
          <w:tcPr>
            <w:tcW w:w="1134" w:type="dxa"/>
            <w:shd w:val="clear" w:color="auto" w:fill="auto"/>
            <w:noWrap/>
            <w:vAlign w:val="center"/>
            <w:hideMark/>
          </w:tcPr>
          <w:p w14:paraId="6101531D" w14:textId="77777777" w:rsidR="009218FA" w:rsidRPr="009218FA" w:rsidRDefault="009218FA" w:rsidP="00984781">
            <w:pPr>
              <w:pStyle w:val="ExhibitText"/>
              <w:jc w:val="right"/>
              <w:rPr>
                <w:sz w:val="18"/>
                <w:szCs w:val="18"/>
              </w:rPr>
            </w:pPr>
            <w:r w:rsidRPr="009218FA">
              <w:rPr>
                <w:sz w:val="18"/>
                <w:szCs w:val="18"/>
              </w:rPr>
              <w:t>-</w:t>
            </w:r>
          </w:p>
        </w:tc>
        <w:tc>
          <w:tcPr>
            <w:tcW w:w="1134" w:type="dxa"/>
            <w:shd w:val="clear" w:color="auto" w:fill="auto"/>
            <w:noWrap/>
            <w:vAlign w:val="center"/>
            <w:hideMark/>
          </w:tcPr>
          <w:p w14:paraId="0ADE69C9" w14:textId="77777777" w:rsidR="009218FA" w:rsidRPr="009218FA" w:rsidRDefault="009218FA" w:rsidP="00984781">
            <w:pPr>
              <w:pStyle w:val="ExhibitText"/>
              <w:jc w:val="right"/>
              <w:rPr>
                <w:sz w:val="18"/>
                <w:szCs w:val="18"/>
              </w:rPr>
            </w:pPr>
            <w:r w:rsidRPr="009218FA">
              <w:rPr>
                <w:sz w:val="18"/>
                <w:szCs w:val="18"/>
              </w:rPr>
              <w:t>-</w:t>
            </w:r>
          </w:p>
        </w:tc>
        <w:tc>
          <w:tcPr>
            <w:tcW w:w="1103" w:type="dxa"/>
            <w:shd w:val="clear" w:color="auto" w:fill="auto"/>
            <w:noWrap/>
            <w:vAlign w:val="center"/>
            <w:hideMark/>
          </w:tcPr>
          <w:p w14:paraId="118D0D3A" w14:textId="77777777" w:rsidR="009218FA" w:rsidRPr="009218FA" w:rsidRDefault="009218FA" w:rsidP="00984781">
            <w:pPr>
              <w:pStyle w:val="ExhibitText"/>
              <w:jc w:val="right"/>
              <w:rPr>
                <w:sz w:val="18"/>
                <w:szCs w:val="18"/>
              </w:rPr>
            </w:pPr>
            <w:r w:rsidRPr="009218FA">
              <w:rPr>
                <w:sz w:val="18"/>
                <w:szCs w:val="18"/>
              </w:rPr>
              <w:t>38.0</w:t>
            </w:r>
          </w:p>
        </w:tc>
      </w:tr>
      <w:tr w:rsidR="009218FA" w:rsidRPr="00565022" w14:paraId="257D2063" w14:textId="77777777" w:rsidTr="00263A51">
        <w:trPr>
          <w:trHeight w:val="327"/>
          <w:jc w:val="center"/>
        </w:trPr>
        <w:tc>
          <w:tcPr>
            <w:tcW w:w="3359" w:type="dxa"/>
            <w:shd w:val="clear" w:color="auto" w:fill="auto"/>
            <w:noWrap/>
            <w:vAlign w:val="center"/>
            <w:hideMark/>
          </w:tcPr>
          <w:p w14:paraId="3EC096E2" w14:textId="77777777" w:rsidR="009218FA" w:rsidRPr="009218FA" w:rsidRDefault="009218FA" w:rsidP="00984781">
            <w:pPr>
              <w:pStyle w:val="ExhibitText"/>
              <w:jc w:val="left"/>
              <w:rPr>
                <w:color w:val="000000"/>
                <w:sz w:val="18"/>
                <w:szCs w:val="18"/>
              </w:rPr>
            </w:pPr>
            <w:r w:rsidRPr="009218FA">
              <w:rPr>
                <w:color w:val="000000"/>
                <w:sz w:val="18"/>
                <w:szCs w:val="18"/>
              </w:rPr>
              <w:t>Other assets</w:t>
            </w:r>
          </w:p>
        </w:tc>
        <w:tc>
          <w:tcPr>
            <w:tcW w:w="1134" w:type="dxa"/>
            <w:shd w:val="clear" w:color="auto" w:fill="auto"/>
            <w:noWrap/>
            <w:vAlign w:val="center"/>
            <w:hideMark/>
          </w:tcPr>
          <w:p w14:paraId="7D6923F4" w14:textId="77777777" w:rsidR="009218FA" w:rsidRPr="009218FA" w:rsidRDefault="009218FA" w:rsidP="00984781">
            <w:pPr>
              <w:pStyle w:val="ExhibitText"/>
              <w:jc w:val="right"/>
              <w:rPr>
                <w:sz w:val="18"/>
                <w:szCs w:val="18"/>
              </w:rPr>
            </w:pPr>
            <w:r w:rsidRPr="009218FA">
              <w:rPr>
                <w:sz w:val="18"/>
                <w:szCs w:val="18"/>
              </w:rPr>
              <w:t>429.6</w:t>
            </w:r>
          </w:p>
        </w:tc>
        <w:tc>
          <w:tcPr>
            <w:tcW w:w="1134" w:type="dxa"/>
            <w:shd w:val="clear" w:color="auto" w:fill="auto"/>
            <w:noWrap/>
            <w:vAlign w:val="center"/>
            <w:hideMark/>
          </w:tcPr>
          <w:p w14:paraId="45954F43" w14:textId="77777777" w:rsidR="009218FA" w:rsidRPr="009218FA" w:rsidRDefault="009218FA" w:rsidP="00984781">
            <w:pPr>
              <w:pStyle w:val="ExhibitText"/>
              <w:jc w:val="right"/>
              <w:rPr>
                <w:sz w:val="18"/>
                <w:szCs w:val="18"/>
              </w:rPr>
            </w:pPr>
            <w:r w:rsidRPr="009218FA">
              <w:rPr>
                <w:sz w:val="18"/>
                <w:szCs w:val="18"/>
              </w:rPr>
              <w:t>371.1</w:t>
            </w:r>
          </w:p>
        </w:tc>
        <w:tc>
          <w:tcPr>
            <w:tcW w:w="1103" w:type="dxa"/>
            <w:shd w:val="clear" w:color="auto" w:fill="auto"/>
            <w:noWrap/>
            <w:vAlign w:val="center"/>
            <w:hideMark/>
          </w:tcPr>
          <w:p w14:paraId="0C0E8E7E" w14:textId="77777777" w:rsidR="009218FA" w:rsidRPr="009218FA" w:rsidRDefault="009218FA" w:rsidP="00984781">
            <w:pPr>
              <w:pStyle w:val="ExhibitText"/>
              <w:jc w:val="right"/>
              <w:rPr>
                <w:sz w:val="18"/>
                <w:szCs w:val="18"/>
              </w:rPr>
            </w:pPr>
            <w:r w:rsidRPr="009218FA">
              <w:rPr>
                <w:sz w:val="18"/>
                <w:szCs w:val="18"/>
              </w:rPr>
              <w:t>261.1</w:t>
            </w:r>
          </w:p>
        </w:tc>
      </w:tr>
      <w:tr w:rsidR="009218FA" w:rsidRPr="00565022" w14:paraId="219419D3" w14:textId="77777777" w:rsidTr="00263A51">
        <w:trPr>
          <w:trHeight w:val="327"/>
          <w:jc w:val="center"/>
        </w:trPr>
        <w:tc>
          <w:tcPr>
            <w:tcW w:w="3359" w:type="dxa"/>
            <w:shd w:val="clear" w:color="auto" w:fill="auto"/>
            <w:noWrap/>
            <w:vAlign w:val="center"/>
            <w:hideMark/>
          </w:tcPr>
          <w:p w14:paraId="4C503AAC" w14:textId="77777777" w:rsidR="009218FA" w:rsidRPr="009218FA" w:rsidRDefault="009218FA" w:rsidP="00984781">
            <w:pPr>
              <w:pStyle w:val="ExhibitText"/>
              <w:jc w:val="left"/>
              <w:rPr>
                <w:color w:val="000000"/>
                <w:sz w:val="18"/>
                <w:szCs w:val="18"/>
              </w:rPr>
            </w:pPr>
            <w:r w:rsidRPr="009218FA">
              <w:rPr>
                <w:color w:val="000000"/>
                <w:sz w:val="18"/>
                <w:szCs w:val="18"/>
              </w:rPr>
              <w:t>TOTAL ASSETS</w:t>
            </w:r>
          </w:p>
        </w:tc>
        <w:tc>
          <w:tcPr>
            <w:tcW w:w="1134" w:type="dxa"/>
            <w:shd w:val="clear" w:color="auto" w:fill="auto"/>
            <w:noWrap/>
            <w:vAlign w:val="center"/>
            <w:hideMark/>
          </w:tcPr>
          <w:p w14:paraId="3CE7C7FA" w14:textId="77777777" w:rsidR="009218FA" w:rsidRPr="009218FA" w:rsidRDefault="009218FA" w:rsidP="00984781">
            <w:pPr>
              <w:pStyle w:val="ExhibitText"/>
              <w:jc w:val="right"/>
              <w:rPr>
                <w:sz w:val="18"/>
                <w:szCs w:val="18"/>
              </w:rPr>
            </w:pPr>
            <w:r w:rsidRPr="009218FA">
              <w:rPr>
                <w:sz w:val="18"/>
                <w:szCs w:val="18"/>
              </w:rPr>
              <w:t>3,145.7</w:t>
            </w:r>
          </w:p>
        </w:tc>
        <w:tc>
          <w:tcPr>
            <w:tcW w:w="1134" w:type="dxa"/>
            <w:shd w:val="clear" w:color="auto" w:fill="auto"/>
            <w:noWrap/>
            <w:vAlign w:val="center"/>
            <w:hideMark/>
          </w:tcPr>
          <w:p w14:paraId="22EFA673" w14:textId="77777777" w:rsidR="009218FA" w:rsidRPr="009218FA" w:rsidRDefault="009218FA" w:rsidP="00984781">
            <w:pPr>
              <w:pStyle w:val="ExhibitText"/>
              <w:jc w:val="right"/>
              <w:rPr>
                <w:sz w:val="18"/>
                <w:szCs w:val="18"/>
              </w:rPr>
            </w:pPr>
            <w:r w:rsidRPr="009218FA">
              <w:rPr>
                <w:sz w:val="18"/>
                <w:szCs w:val="18"/>
              </w:rPr>
              <w:t>3,114.9</w:t>
            </w:r>
          </w:p>
        </w:tc>
        <w:tc>
          <w:tcPr>
            <w:tcW w:w="1103" w:type="dxa"/>
            <w:shd w:val="clear" w:color="auto" w:fill="auto"/>
            <w:noWrap/>
            <w:vAlign w:val="center"/>
            <w:hideMark/>
          </w:tcPr>
          <w:p w14:paraId="5ED16171" w14:textId="77777777" w:rsidR="009218FA" w:rsidRPr="009218FA" w:rsidRDefault="009218FA" w:rsidP="00984781">
            <w:pPr>
              <w:pStyle w:val="ExhibitText"/>
              <w:jc w:val="right"/>
              <w:rPr>
                <w:sz w:val="18"/>
                <w:szCs w:val="18"/>
              </w:rPr>
            </w:pPr>
            <w:r w:rsidRPr="009218FA">
              <w:rPr>
                <w:sz w:val="18"/>
                <w:szCs w:val="18"/>
              </w:rPr>
              <w:t>2,974.3</w:t>
            </w:r>
          </w:p>
        </w:tc>
      </w:tr>
      <w:tr w:rsidR="009218FA" w:rsidRPr="00565022" w14:paraId="46F25E32" w14:textId="77777777" w:rsidTr="00263A51">
        <w:trPr>
          <w:trHeight w:val="327"/>
          <w:jc w:val="center"/>
        </w:trPr>
        <w:tc>
          <w:tcPr>
            <w:tcW w:w="3359" w:type="dxa"/>
            <w:shd w:val="clear" w:color="auto" w:fill="auto"/>
            <w:noWrap/>
            <w:vAlign w:val="center"/>
            <w:hideMark/>
          </w:tcPr>
          <w:p w14:paraId="49AF6B19" w14:textId="77777777" w:rsidR="009218FA" w:rsidRPr="009218FA" w:rsidRDefault="009218FA" w:rsidP="00984781">
            <w:pPr>
              <w:pStyle w:val="ExhibitText"/>
              <w:jc w:val="left"/>
              <w:rPr>
                <w:color w:val="305496"/>
                <w:sz w:val="18"/>
                <w:szCs w:val="18"/>
              </w:rPr>
            </w:pPr>
          </w:p>
        </w:tc>
        <w:tc>
          <w:tcPr>
            <w:tcW w:w="1134" w:type="dxa"/>
            <w:shd w:val="clear" w:color="auto" w:fill="auto"/>
            <w:noWrap/>
            <w:vAlign w:val="center"/>
            <w:hideMark/>
          </w:tcPr>
          <w:p w14:paraId="69AC87CE" w14:textId="77777777" w:rsidR="009218FA" w:rsidRPr="009218FA" w:rsidRDefault="009218FA" w:rsidP="00984781">
            <w:pPr>
              <w:pStyle w:val="ExhibitText"/>
              <w:jc w:val="right"/>
              <w:rPr>
                <w:sz w:val="18"/>
                <w:szCs w:val="18"/>
              </w:rPr>
            </w:pPr>
          </w:p>
        </w:tc>
        <w:tc>
          <w:tcPr>
            <w:tcW w:w="1134" w:type="dxa"/>
            <w:shd w:val="clear" w:color="auto" w:fill="auto"/>
            <w:noWrap/>
            <w:vAlign w:val="center"/>
            <w:hideMark/>
          </w:tcPr>
          <w:p w14:paraId="1AE2CEFE" w14:textId="77777777" w:rsidR="009218FA" w:rsidRPr="009218FA" w:rsidRDefault="009218FA" w:rsidP="00984781">
            <w:pPr>
              <w:pStyle w:val="ExhibitText"/>
              <w:jc w:val="right"/>
              <w:rPr>
                <w:sz w:val="18"/>
                <w:szCs w:val="18"/>
              </w:rPr>
            </w:pPr>
          </w:p>
        </w:tc>
        <w:tc>
          <w:tcPr>
            <w:tcW w:w="1103" w:type="dxa"/>
            <w:shd w:val="clear" w:color="auto" w:fill="auto"/>
            <w:noWrap/>
            <w:vAlign w:val="center"/>
            <w:hideMark/>
          </w:tcPr>
          <w:p w14:paraId="0A2BA1FF" w14:textId="77777777" w:rsidR="009218FA" w:rsidRPr="009218FA" w:rsidRDefault="009218FA" w:rsidP="00984781">
            <w:pPr>
              <w:pStyle w:val="ExhibitText"/>
              <w:jc w:val="right"/>
              <w:rPr>
                <w:sz w:val="18"/>
                <w:szCs w:val="18"/>
              </w:rPr>
            </w:pPr>
          </w:p>
        </w:tc>
      </w:tr>
      <w:tr w:rsidR="009218FA" w:rsidRPr="00565022" w14:paraId="5AAB9CFC" w14:textId="77777777" w:rsidTr="00263A51">
        <w:trPr>
          <w:trHeight w:val="327"/>
          <w:jc w:val="center"/>
        </w:trPr>
        <w:tc>
          <w:tcPr>
            <w:tcW w:w="3359" w:type="dxa"/>
            <w:shd w:val="clear" w:color="auto" w:fill="auto"/>
            <w:noWrap/>
            <w:vAlign w:val="center"/>
            <w:hideMark/>
          </w:tcPr>
          <w:p w14:paraId="5B148498" w14:textId="77777777" w:rsidR="009218FA" w:rsidRPr="009218FA" w:rsidRDefault="009218FA" w:rsidP="00984781">
            <w:pPr>
              <w:pStyle w:val="ExhibitText"/>
              <w:jc w:val="left"/>
              <w:rPr>
                <w:b/>
                <w:bCs/>
                <w:color w:val="000000"/>
                <w:sz w:val="18"/>
                <w:szCs w:val="18"/>
              </w:rPr>
            </w:pPr>
            <w:r w:rsidRPr="009218FA">
              <w:rPr>
                <w:b/>
                <w:bCs/>
                <w:color w:val="000000"/>
                <w:sz w:val="18"/>
                <w:szCs w:val="18"/>
              </w:rPr>
              <w:t>LIABILITIES</w:t>
            </w:r>
          </w:p>
        </w:tc>
        <w:tc>
          <w:tcPr>
            <w:tcW w:w="1134" w:type="dxa"/>
            <w:shd w:val="clear" w:color="auto" w:fill="auto"/>
            <w:noWrap/>
            <w:vAlign w:val="center"/>
            <w:hideMark/>
          </w:tcPr>
          <w:p w14:paraId="3D2FB2A8" w14:textId="77777777" w:rsidR="009218FA" w:rsidRPr="009218FA" w:rsidRDefault="009218FA" w:rsidP="00984781">
            <w:pPr>
              <w:pStyle w:val="ExhibitText"/>
              <w:jc w:val="right"/>
              <w:rPr>
                <w:b/>
                <w:bCs/>
                <w:sz w:val="18"/>
                <w:szCs w:val="18"/>
              </w:rPr>
            </w:pPr>
          </w:p>
        </w:tc>
        <w:tc>
          <w:tcPr>
            <w:tcW w:w="1134" w:type="dxa"/>
            <w:shd w:val="clear" w:color="auto" w:fill="auto"/>
            <w:noWrap/>
            <w:vAlign w:val="center"/>
            <w:hideMark/>
          </w:tcPr>
          <w:p w14:paraId="69E59F09" w14:textId="77777777" w:rsidR="009218FA" w:rsidRPr="009218FA" w:rsidRDefault="009218FA" w:rsidP="00984781">
            <w:pPr>
              <w:pStyle w:val="ExhibitText"/>
              <w:jc w:val="right"/>
              <w:rPr>
                <w:sz w:val="18"/>
                <w:szCs w:val="18"/>
              </w:rPr>
            </w:pPr>
          </w:p>
        </w:tc>
        <w:tc>
          <w:tcPr>
            <w:tcW w:w="1103" w:type="dxa"/>
            <w:shd w:val="clear" w:color="auto" w:fill="auto"/>
            <w:noWrap/>
            <w:vAlign w:val="center"/>
            <w:hideMark/>
          </w:tcPr>
          <w:p w14:paraId="29130B77" w14:textId="77777777" w:rsidR="009218FA" w:rsidRPr="009218FA" w:rsidRDefault="009218FA" w:rsidP="00984781">
            <w:pPr>
              <w:pStyle w:val="ExhibitText"/>
              <w:jc w:val="right"/>
              <w:rPr>
                <w:sz w:val="18"/>
                <w:szCs w:val="18"/>
              </w:rPr>
            </w:pPr>
          </w:p>
        </w:tc>
      </w:tr>
      <w:tr w:rsidR="009218FA" w:rsidRPr="00565022" w14:paraId="4949BD00" w14:textId="77777777" w:rsidTr="00263A51">
        <w:trPr>
          <w:trHeight w:val="327"/>
          <w:jc w:val="center"/>
        </w:trPr>
        <w:tc>
          <w:tcPr>
            <w:tcW w:w="3359" w:type="dxa"/>
            <w:shd w:val="clear" w:color="auto" w:fill="auto"/>
            <w:noWrap/>
            <w:vAlign w:val="center"/>
            <w:hideMark/>
          </w:tcPr>
          <w:p w14:paraId="04B257B3" w14:textId="77777777" w:rsidR="009218FA" w:rsidRPr="009218FA" w:rsidRDefault="009218FA" w:rsidP="00984781">
            <w:pPr>
              <w:pStyle w:val="ExhibitText"/>
              <w:jc w:val="left"/>
              <w:rPr>
                <w:color w:val="000000"/>
                <w:sz w:val="18"/>
                <w:szCs w:val="18"/>
              </w:rPr>
            </w:pPr>
            <w:r w:rsidRPr="009218FA">
              <w:rPr>
                <w:color w:val="000000"/>
                <w:sz w:val="18"/>
                <w:szCs w:val="18"/>
              </w:rPr>
              <w:t>Reserve for outstanding claim and loss</w:t>
            </w:r>
          </w:p>
        </w:tc>
        <w:tc>
          <w:tcPr>
            <w:tcW w:w="1134" w:type="dxa"/>
            <w:shd w:val="clear" w:color="auto" w:fill="auto"/>
            <w:noWrap/>
            <w:vAlign w:val="center"/>
            <w:hideMark/>
          </w:tcPr>
          <w:p w14:paraId="48DB33EF" w14:textId="77777777" w:rsidR="009218FA" w:rsidRPr="009218FA" w:rsidRDefault="009218FA" w:rsidP="00984781">
            <w:pPr>
              <w:pStyle w:val="ExhibitText"/>
              <w:jc w:val="right"/>
              <w:rPr>
                <w:sz w:val="18"/>
                <w:szCs w:val="18"/>
              </w:rPr>
            </w:pPr>
            <w:r w:rsidRPr="009218FA">
              <w:rPr>
                <w:sz w:val="18"/>
                <w:szCs w:val="18"/>
              </w:rPr>
              <w:t>371.0</w:t>
            </w:r>
          </w:p>
        </w:tc>
        <w:tc>
          <w:tcPr>
            <w:tcW w:w="1134" w:type="dxa"/>
            <w:shd w:val="clear" w:color="auto" w:fill="auto"/>
            <w:noWrap/>
            <w:vAlign w:val="center"/>
            <w:hideMark/>
          </w:tcPr>
          <w:p w14:paraId="1C6443B9" w14:textId="77777777" w:rsidR="009218FA" w:rsidRPr="009218FA" w:rsidRDefault="009218FA" w:rsidP="00984781">
            <w:pPr>
              <w:pStyle w:val="ExhibitText"/>
              <w:jc w:val="right"/>
              <w:rPr>
                <w:sz w:val="18"/>
                <w:szCs w:val="18"/>
              </w:rPr>
            </w:pPr>
            <w:r w:rsidRPr="009218FA">
              <w:rPr>
                <w:sz w:val="18"/>
                <w:szCs w:val="18"/>
              </w:rPr>
              <w:t>406.6</w:t>
            </w:r>
          </w:p>
        </w:tc>
        <w:tc>
          <w:tcPr>
            <w:tcW w:w="1103" w:type="dxa"/>
            <w:shd w:val="clear" w:color="auto" w:fill="auto"/>
            <w:noWrap/>
            <w:vAlign w:val="center"/>
            <w:hideMark/>
          </w:tcPr>
          <w:p w14:paraId="4D86D943" w14:textId="77777777" w:rsidR="009218FA" w:rsidRPr="009218FA" w:rsidRDefault="009218FA" w:rsidP="00984781">
            <w:pPr>
              <w:pStyle w:val="ExhibitText"/>
              <w:jc w:val="right"/>
              <w:rPr>
                <w:sz w:val="18"/>
                <w:szCs w:val="18"/>
              </w:rPr>
            </w:pPr>
            <w:r w:rsidRPr="009218FA">
              <w:rPr>
                <w:sz w:val="18"/>
                <w:szCs w:val="18"/>
              </w:rPr>
              <w:t>407.1</w:t>
            </w:r>
          </w:p>
        </w:tc>
      </w:tr>
      <w:tr w:rsidR="009218FA" w:rsidRPr="00565022" w14:paraId="523D80D1" w14:textId="77777777" w:rsidTr="00263A51">
        <w:trPr>
          <w:trHeight w:val="327"/>
          <w:jc w:val="center"/>
        </w:trPr>
        <w:tc>
          <w:tcPr>
            <w:tcW w:w="3359" w:type="dxa"/>
            <w:shd w:val="clear" w:color="auto" w:fill="auto"/>
            <w:noWrap/>
            <w:vAlign w:val="center"/>
            <w:hideMark/>
          </w:tcPr>
          <w:p w14:paraId="2CE484CA" w14:textId="77777777" w:rsidR="009218FA" w:rsidRPr="009218FA" w:rsidRDefault="009218FA" w:rsidP="00984781">
            <w:pPr>
              <w:pStyle w:val="ExhibitText"/>
              <w:jc w:val="left"/>
              <w:rPr>
                <w:color w:val="000000"/>
                <w:sz w:val="18"/>
                <w:szCs w:val="18"/>
              </w:rPr>
            </w:pPr>
            <w:r w:rsidRPr="009218FA">
              <w:rPr>
                <w:color w:val="000000"/>
                <w:sz w:val="18"/>
                <w:szCs w:val="18"/>
              </w:rPr>
              <w:t>Premium reserve (unearned)</w:t>
            </w:r>
          </w:p>
        </w:tc>
        <w:tc>
          <w:tcPr>
            <w:tcW w:w="1134" w:type="dxa"/>
            <w:shd w:val="clear" w:color="auto" w:fill="auto"/>
            <w:noWrap/>
            <w:vAlign w:val="center"/>
            <w:hideMark/>
          </w:tcPr>
          <w:p w14:paraId="55C7006A" w14:textId="77777777" w:rsidR="009218FA" w:rsidRPr="009218FA" w:rsidRDefault="009218FA" w:rsidP="00984781">
            <w:pPr>
              <w:pStyle w:val="ExhibitText"/>
              <w:jc w:val="right"/>
              <w:rPr>
                <w:sz w:val="18"/>
                <w:szCs w:val="18"/>
              </w:rPr>
            </w:pPr>
            <w:r w:rsidRPr="009218FA">
              <w:rPr>
                <w:sz w:val="18"/>
                <w:szCs w:val="18"/>
              </w:rPr>
              <w:t>-</w:t>
            </w:r>
          </w:p>
        </w:tc>
        <w:tc>
          <w:tcPr>
            <w:tcW w:w="1134" w:type="dxa"/>
            <w:shd w:val="clear" w:color="auto" w:fill="auto"/>
            <w:noWrap/>
            <w:vAlign w:val="center"/>
            <w:hideMark/>
          </w:tcPr>
          <w:p w14:paraId="4E67C3D7" w14:textId="77777777" w:rsidR="009218FA" w:rsidRPr="009218FA" w:rsidRDefault="009218FA" w:rsidP="00984781">
            <w:pPr>
              <w:pStyle w:val="ExhibitText"/>
              <w:jc w:val="right"/>
              <w:rPr>
                <w:sz w:val="18"/>
                <w:szCs w:val="18"/>
              </w:rPr>
            </w:pPr>
            <w:r w:rsidRPr="009218FA">
              <w:rPr>
                <w:sz w:val="18"/>
                <w:szCs w:val="18"/>
              </w:rPr>
              <w:t>-</w:t>
            </w:r>
          </w:p>
        </w:tc>
        <w:tc>
          <w:tcPr>
            <w:tcW w:w="1103" w:type="dxa"/>
            <w:shd w:val="clear" w:color="auto" w:fill="auto"/>
            <w:noWrap/>
            <w:vAlign w:val="center"/>
            <w:hideMark/>
          </w:tcPr>
          <w:p w14:paraId="7DD0E711" w14:textId="77777777" w:rsidR="009218FA" w:rsidRPr="009218FA" w:rsidRDefault="009218FA" w:rsidP="00984781">
            <w:pPr>
              <w:pStyle w:val="ExhibitText"/>
              <w:jc w:val="right"/>
              <w:rPr>
                <w:sz w:val="18"/>
                <w:szCs w:val="18"/>
              </w:rPr>
            </w:pPr>
            <w:r w:rsidRPr="009218FA">
              <w:rPr>
                <w:sz w:val="18"/>
                <w:szCs w:val="18"/>
              </w:rPr>
              <w:t>664.9</w:t>
            </w:r>
          </w:p>
        </w:tc>
      </w:tr>
      <w:tr w:rsidR="009218FA" w:rsidRPr="00565022" w14:paraId="11D27B8A" w14:textId="77777777" w:rsidTr="00263A51">
        <w:trPr>
          <w:trHeight w:val="327"/>
          <w:jc w:val="center"/>
        </w:trPr>
        <w:tc>
          <w:tcPr>
            <w:tcW w:w="3359" w:type="dxa"/>
            <w:shd w:val="clear" w:color="auto" w:fill="auto"/>
            <w:noWrap/>
            <w:vAlign w:val="center"/>
            <w:hideMark/>
          </w:tcPr>
          <w:p w14:paraId="1C83C5B1" w14:textId="77777777" w:rsidR="009218FA" w:rsidRPr="009218FA" w:rsidRDefault="009218FA" w:rsidP="00984781">
            <w:pPr>
              <w:pStyle w:val="ExhibitText"/>
              <w:jc w:val="left"/>
              <w:rPr>
                <w:color w:val="000000"/>
                <w:sz w:val="18"/>
                <w:szCs w:val="18"/>
              </w:rPr>
            </w:pPr>
            <w:r w:rsidRPr="009218FA">
              <w:rPr>
                <w:color w:val="000000"/>
                <w:sz w:val="18"/>
                <w:szCs w:val="18"/>
              </w:rPr>
              <w:t>Total insurance reserves</w:t>
            </w:r>
          </w:p>
        </w:tc>
        <w:tc>
          <w:tcPr>
            <w:tcW w:w="1134" w:type="dxa"/>
            <w:shd w:val="clear" w:color="auto" w:fill="auto"/>
            <w:noWrap/>
            <w:vAlign w:val="center"/>
            <w:hideMark/>
          </w:tcPr>
          <w:p w14:paraId="0643E322" w14:textId="77777777" w:rsidR="009218FA" w:rsidRPr="009218FA" w:rsidRDefault="009218FA" w:rsidP="00984781">
            <w:pPr>
              <w:pStyle w:val="ExhibitText"/>
              <w:jc w:val="right"/>
              <w:rPr>
                <w:sz w:val="18"/>
                <w:szCs w:val="18"/>
              </w:rPr>
            </w:pPr>
            <w:r w:rsidRPr="009218FA">
              <w:rPr>
                <w:sz w:val="18"/>
                <w:szCs w:val="18"/>
              </w:rPr>
              <w:t>371.0</w:t>
            </w:r>
          </w:p>
        </w:tc>
        <w:tc>
          <w:tcPr>
            <w:tcW w:w="1134" w:type="dxa"/>
            <w:shd w:val="clear" w:color="auto" w:fill="auto"/>
            <w:noWrap/>
            <w:vAlign w:val="center"/>
            <w:hideMark/>
          </w:tcPr>
          <w:p w14:paraId="756D3BEE" w14:textId="77777777" w:rsidR="009218FA" w:rsidRPr="009218FA" w:rsidRDefault="009218FA" w:rsidP="00984781">
            <w:pPr>
              <w:pStyle w:val="ExhibitText"/>
              <w:jc w:val="right"/>
              <w:rPr>
                <w:sz w:val="18"/>
                <w:szCs w:val="18"/>
              </w:rPr>
            </w:pPr>
            <w:r w:rsidRPr="009218FA">
              <w:rPr>
                <w:sz w:val="18"/>
                <w:szCs w:val="18"/>
              </w:rPr>
              <w:t>406.6</w:t>
            </w:r>
          </w:p>
        </w:tc>
        <w:tc>
          <w:tcPr>
            <w:tcW w:w="1103" w:type="dxa"/>
            <w:shd w:val="clear" w:color="auto" w:fill="auto"/>
            <w:noWrap/>
            <w:vAlign w:val="center"/>
            <w:hideMark/>
          </w:tcPr>
          <w:p w14:paraId="7AA11C95" w14:textId="77777777" w:rsidR="009218FA" w:rsidRPr="009218FA" w:rsidRDefault="009218FA" w:rsidP="00984781">
            <w:pPr>
              <w:pStyle w:val="ExhibitText"/>
              <w:jc w:val="right"/>
              <w:rPr>
                <w:sz w:val="18"/>
                <w:szCs w:val="18"/>
              </w:rPr>
            </w:pPr>
            <w:r w:rsidRPr="009218FA">
              <w:rPr>
                <w:sz w:val="18"/>
                <w:szCs w:val="18"/>
              </w:rPr>
              <w:t>1,072.0</w:t>
            </w:r>
          </w:p>
        </w:tc>
      </w:tr>
      <w:tr w:rsidR="009218FA" w:rsidRPr="00565022" w14:paraId="2F514D0E" w14:textId="77777777" w:rsidTr="00263A51">
        <w:trPr>
          <w:trHeight w:val="327"/>
          <w:jc w:val="center"/>
        </w:trPr>
        <w:tc>
          <w:tcPr>
            <w:tcW w:w="3359" w:type="dxa"/>
            <w:shd w:val="clear" w:color="auto" w:fill="auto"/>
            <w:noWrap/>
            <w:vAlign w:val="center"/>
            <w:hideMark/>
          </w:tcPr>
          <w:p w14:paraId="52DA16E7" w14:textId="77777777" w:rsidR="009218FA" w:rsidRPr="009218FA" w:rsidRDefault="009218FA" w:rsidP="00984781">
            <w:pPr>
              <w:pStyle w:val="ExhibitText"/>
              <w:jc w:val="left"/>
              <w:rPr>
                <w:color w:val="000000"/>
                <w:sz w:val="18"/>
                <w:szCs w:val="18"/>
              </w:rPr>
            </w:pPr>
            <w:r w:rsidRPr="009218FA">
              <w:rPr>
                <w:color w:val="000000"/>
                <w:sz w:val="18"/>
                <w:szCs w:val="18"/>
              </w:rPr>
              <w:t>Short-term borrowings</w:t>
            </w:r>
          </w:p>
        </w:tc>
        <w:tc>
          <w:tcPr>
            <w:tcW w:w="1134" w:type="dxa"/>
            <w:shd w:val="clear" w:color="auto" w:fill="auto"/>
            <w:noWrap/>
            <w:vAlign w:val="center"/>
            <w:hideMark/>
          </w:tcPr>
          <w:p w14:paraId="13AD777C" w14:textId="77777777" w:rsidR="009218FA" w:rsidRPr="009218FA" w:rsidRDefault="009218FA" w:rsidP="00984781">
            <w:pPr>
              <w:pStyle w:val="ExhibitText"/>
              <w:jc w:val="right"/>
              <w:rPr>
                <w:sz w:val="18"/>
                <w:szCs w:val="18"/>
              </w:rPr>
            </w:pPr>
            <w:r w:rsidRPr="009218FA">
              <w:rPr>
                <w:sz w:val="18"/>
                <w:szCs w:val="18"/>
              </w:rPr>
              <w:t>-</w:t>
            </w:r>
          </w:p>
        </w:tc>
        <w:tc>
          <w:tcPr>
            <w:tcW w:w="1134" w:type="dxa"/>
            <w:shd w:val="clear" w:color="auto" w:fill="auto"/>
            <w:noWrap/>
            <w:vAlign w:val="center"/>
            <w:hideMark/>
          </w:tcPr>
          <w:p w14:paraId="00CD822E" w14:textId="77777777" w:rsidR="009218FA" w:rsidRPr="009218FA" w:rsidRDefault="009218FA" w:rsidP="00984781">
            <w:pPr>
              <w:pStyle w:val="ExhibitText"/>
              <w:jc w:val="right"/>
              <w:rPr>
                <w:sz w:val="18"/>
                <w:szCs w:val="18"/>
              </w:rPr>
            </w:pPr>
            <w:r w:rsidRPr="009218FA">
              <w:rPr>
                <w:sz w:val="18"/>
                <w:szCs w:val="18"/>
              </w:rPr>
              <w:t>-</w:t>
            </w:r>
          </w:p>
        </w:tc>
        <w:tc>
          <w:tcPr>
            <w:tcW w:w="1103" w:type="dxa"/>
            <w:shd w:val="clear" w:color="auto" w:fill="auto"/>
            <w:noWrap/>
            <w:vAlign w:val="center"/>
            <w:hideMark/>
          </w:tcPr>
          <w:p w14:paraId="6707BFAD" w14:textId="77777777" w:rsidR="009218FA" w:rsidRPr="009218FA" w:rsidRDefault="009218FA" w:rsidP="00984781">
            <w:pPr>
              <w:pStyle w:val="ExhibitText"/>
              <w:jc w:val="right"/>
              <w:rPr>
                <w:sz w:val="18"/>
                <w:szCs w:val="18"/>
              </w:rPr>
            </w:pPr>
            <w:r w:rsidRPr="009218FA">
              <w:rPr>
                <w:sz w:val="18"/>
                <w:szCs w:val="18"/>
              </w:rPr>
              <w:t>-</w:t>
            </w:r>
          </w:p>
        </w:tc>
      </w:tr>
      <w:tr w:rsidR="009218FA" w:rsidRPr="00565022" w14:paraId="3E68E03D" w14:textId="77777777" w:rsidTr="00263A51">
        <w:trPr>
          <w:trHeight w:val="327"/>
          <w:jc w:val="center"/>
        </w:trPr>
        <w:tc>
          <w:tcPr>
            <w:tcW w:w="3359" w:type="dxa"/>
            <w:shd w:val="clear" w:color="auto" w:fill="auto"/>
            <w:noWrap/>
            <w:vAlign w:val="center"/>
            <w:hideMark/>
          </w:tcPr>
          <w:p w14:paraId="5D05E508" w14:textId="77777777" w:rsidR="009218FA" w:rsidRPr="009218FA" w:rsidRDefault="009218FA" w:rsidP="00984781">
            <w:pPr>
              <w:pStyle w:val="ExhibitText"/>
              <w:jc w:val="left"/>
              <w:rPr>
                <w:color w:val="000000"/>
                <w:sz w:val="18"/>
                <w:szCs w:val="18"/>
              </w:rPr>
            </w:pPr>
            <w:r w:rsidRPr="009218FA">
              <w:rPr>
                <w:color w:val="000000"/>
                <w:sz w:val="18"/>
                <w:szCs w:val="18"/>
              </w:rPr>
              <w:t>Other short-term liabilities</w:t>
            </w:r>
          </w:p>
        </w:tc>
        <w:tc>
          <w:tcPr>
            <w:tcW w:w="1134" w:type="dxa"/>
            <w:shd w:val="clear" w:color="auto" w:fill="auto"/>
            <w:noWrap/>
            <w:vAlign w:val="center"/>
            <w:hideMark/>
          </w:tcPr>
          <w:p w14:paraId="463040AB" w14:textId="77777777" w:rsidR="009218FA" w:rsidRPr="009218FA" w:rsidRDefault="009218FA" w:rsidP="00984781">
            <w:pPr>
              <w:pStyle w:val="ExhibitText"/>
              <w:jc w:val="right"/>
              <w:rPr>
                <w:sz w:val="18"/>
                <w:szCs w:val="18"/>
              </w:rPr>
            </w:pPr>
            <w:r w:rsidRPr="009218FA">
              <w:rPr>
                <w:sz w:val="18"/>
                <w:szCs w:val="18"/>
              </w:rPr>
              <w:t>1,091.5</w:t>
            </w:r>
          </w:p>
        </w:tc>
        <w:tc>
          <w:tcPr>
            <w:tcW w:w="1134" w:type="dxa"/>
            <w:shd w:val="clear" w:color="auto" w:fill="auto"/>
            <w:noWrap/>
            <w:vAlign w:val="center"/>
            <w:hideMark/>
          </w:tcPr>
          <w:p w14:paraId="442DB504" w14:textId="77777777" w:rsidR="009218FA" w:rsidRPr="009218FA" w:rsidRDefault="009218FA" w:rsidP="00984781">
            <w:pPr>
              <w:pStyle w:val="ExhibitText"/>
              <w:jc w:val="right"/>
              <w:rPr>
                <w:sz w:val="18"/>
                <w:szCs w:val="18"/>
              </w:rPr>
            </w:pPr>
            <w:r w:rsidRPr="009218FA">
              <w:rPr>
                <w:sz w:val="18"/>
                <w:szCs w:val="18"/>
              </w:rPr>
              <w:t>1,268.6</w:t>
            </w:r>
          </w:p>
        </w:tc>
        <w:tc>
          <w:tcPr>
            <w:tcW w:w="1103" w:type="dxa"/>
            <w:shd w:val="clear" w:color="auto" w:fill="auto"/>
            <w:noWrap/>
            <w:vAlign w:val="center"/>
            <w:hideMark/>
          </w:tcPr>
          <w:p w14:paraId="28862C94" w14:textId="77777777" w:rsidR="009218FA" w:rsidRPr="009218FA" w:rsidRDefault="009218FA" w:rsidP="00984781">
            <w:pPr>
              <w:pStyle w:val="ExhibitText"/>
              <w:jc w:val="right"/>
              <w:rPr>
                <w:sz w:val="18"/>
                <w:szCs w:val="18"/>
              </w:rPr>
            </w:pPr>
            <w:r w:rsidRPr="009218FA">
              <w:rPr>
                <w:sz w:val="18"/>
                <w:szCs w:val="18"/>
              </w:rPr>
              <w:t>463.2</w:t>
            </w:r>
          </w:p>
        </w:tc>
      </w:tr>
      <w:tr w:rsidR="009218FA" w:rsidRPr="00565022" w14:paraId="1508C3AA" w14:textId="77777777" w:rsidTr="00263A51">
        <w:trPr>
          <w:trHeight w:val="327"/>
          <w:jc w:val="center"/>
        </w:trPr>
        <w:tc>
          <w:tcPr>
            <w:tcW w:w="3359" w:type="dxa"/>
            <w:shd w:val="clear" w:color="auto" w:fill="auto"/>
            <w:noWrap/>
            <w:vAlign w:val="center"/>
            <w:hideMark/>
          </w:tcPr>
          <w:p w14:paraId="586F6005" w14:textId="77777777" w:rsidR="009218FA" w:rsidRPr="009218FA" w:rsidRDefault="009218FA" w:rsidP="00984781">
            <w:pPr>
              <w:pStyle w:val="ExhibitText"/>
              <w:jc w:val="left"/>
              <w:rPr>
                <w:color w:val="000000"/>
                <w:sz w:val="18"/>
                <w:szCs w:val="18"/>
              </w:rPr>
            </w:pPr>
            <w:r w:rsidRPr="009218FA">
              <w:rPr>
                <w:color w:val="000000"/>
                <w:sz w:val="18"/>
                <w:szCs w:val="18"/>
              </w:rPr>
              <w:t>Long-term borrowings</w:t>
            </w:r>
          </w:p>
        </w:tc>
        <w:tc>
          <w:tcPr>
            <w:tcW w:w="1134" w:type="dxa"/>
            <w:shd w:val="clear" w:color="auto" w:fill="auto"/>
            <w:noWrap/>
            <w:vAlign w:val="center"/>
            <w:hideMark/>
          </w:tcPr>
          <w:p w14:paraId="43C3942E" w14:textId="77777777" w:rsidR="009218FA" w:rsidRPr="009218FA" w:rsidRDefault="009218FA" w:rsidP="00984781">
            <w:pPr>
              <w:pStyle w:val="ExhibitText"/>
              <w:jc w:val="right"/>
              <w:rPr>
                <w:sz w:val="18"/>
                <w:szCs w:val="18"/>
              </w:rPr>
            </w:pPr>
            <w:r w:rsidRPr="009218FA">
              <w:rPr>
                <w:sz w:val="18"/>
                <w:szCs w:val="18"/>
              </w:rPr>
              <w:t>-</w:t>
            </w:r>
          </w:p>
        </w:tc>
        <w:tc>
          <w:tcPr>
            <w:tcW w:w="1134" w:type="dxa"/>
            <w:shd w:val="clear" w:color="auto" w:fill="auto"/>
            <w:noWrap/>
            <w:vAlign w:val="center"/>
            <w:hideMark/>
          </w:tcPr>
          <w:p w14:paraId="411885EC" w14:textId="77777777" w:rsidR="009218FA" w:rsidRPr="009218FA" w:rsidRDefault="009218FA" w:rsidP="00984781">
            <w:pPr>
              <w:pStyle w:val="ExhibitText"/>
              <w:jc w:val="right"/>
              <w:rPr>
                <w:sz w:val="18"/>
                <w:szCs w:val="18"/>
              </w:rPr>
            </w:pPr>
            <w:r w:rsidRPr="009218FA">
              <w:rPr>
                <w:sz w:val="18"/>
                <w:szCs w:val="18"/>
              </w:rPr>
              <w:t>-</w:t>
            </w:r>
          </w:p>
        </w:tc>
        <w:tc>
          <w:tcPr>
            <w:tcW w:w="1103" w:type="dxa"/>
            <w:shd w:val="clear" w:color="auto" w:fill="auto"/>
            <w:noWrap/>
            <w:vAlign w:val="center"/>
            <w:hideMark/>
          </w:tcPr>
          <w:p w14:paraId="64D68713" w14:textId="77777777" w:rsidR="009218FA" w:rsidRPr="009218FA" w:rsidRDefault="009218FA" w:rsidP="00984781">
            <w:pPr>
              <w:pStyle w:val="ExhibitText"/>
              <w:jc w:val="right"/>
              <w:rPr>
                <w:sz w:val="18"/>
                <w:szCs w:val="18"/>
              </w:rPr>
            </w:pPr>
            <w:r w:rsidRPr="009218FA">
              <w:rPr>
                <w:sz w:val="18"/>
                <w:szCs w:val="18"/>
              </w:rPr>
              <w:t>-</w:t>
            </w:r>
          </w:p>
        </w:tc>
      </w:tr>
      <w:tr w:rsidR="009218FA" w:rsidRPr="00565022" w14:paraId="4E7DCB83" w14:textId="77777777" w:rsidTr="00263A51">
        <w:trPr>
          <w:trHeight w:val="327"/>
          <w:jc w:val="center"/>
        </w:trPr>
        <w:tc>
          <w:tcPr>
            <w:tcW w:w="3359" w:type="dxa"/>
            <w:shd w:val="clear" w:color="auto" w:fill="auto"/>
            <w:noWrap/>
            <w:vAlign w:val="center"/>
            <w:hideMark/>
          </w:tcPr>
          <w:p w14:paraId="0C47097B" w14:textId="77777777" w:rsidR="009218FA" w:rsidRPr="009218FA" w:rsidRDefault="009218FA" w:rsidP="00984781">
            <w:pPr>
              <w:pStyle w:val="ExhibitText"/>
              <w:jc w:val="left"/>
              <w:rPr>
                <w:color w:val="000000"/>
                <w:sz w:val="18"/>
                <w:szCs w:val="18"/>
              </w:rPr>
            </w:pPr>
            <w:r w:rsidRPr="009218FA">
              <w:rPr>
                <w:color w:val="000000"/>
                <w:sz w:val="18"/>
                <w:szCs w:val="18"/>
              </w:rPr>
              <w:t>Other long-term liabilities</w:t>
            </w:r>
          </w:p>
        </w:tc>
        <w:tc>
          <w:tcPr>
            <w:tcW w:w="1134" w:type="dxa"/>
            <w:shd w:val="clear" w:color="auto" w:fill="auto"/>
            <w:noWrap/>
            <w:vAlign w:val="center"/>
            <w:hideMark/>
          </w:tcPr>
          <w:p w14:paraId="1C437A6B" w14:textId="77777777" w:rsidR="009218FA" w:rsidRPr="009218FA" w:rsidRDefault="009218FA" w:rsidP="00984781">
            <w:pPr>
              <w:pStyle w:val="ExhibitText"/>
              <w:jc w:val="right"/>
              <w:rPr>
                <w:sz w:val="18"/>
                <w:szCs w:val="18"/>
              </w:rPr>
            </w:pPr>
            <w:r w:rsidRPr="009218FA">
              <w:rPr>
                <w:sz w:val="18"/>
                <w:szCs w:val="18"/>
              </w:rPr>
              <w:t>64.0</w:t>
            </w:r>
          </w:p>
        </w:tc>
        <w:tc>
          <w:tcPr>
            <w:tcW w:w="1134" w:type="dxa"/>
            <w:shd w:val="clear" w:color="auto" w:fill="auto"/>
            <w:noWrap/>
            <w:vAlign w:val="center"/>
            <w:hideMark/>
          </w:tcPr>
          <w:p w14:paraId="63BC2054" w14:textId="77777777" w:rsidR="009218FA" w:rsidRPr="009218FA" w:rsidRDefault="009218FA" w:rsidP="00984781">
            <w:pPr>
              <w:pStyle w:val="ExhibitText"/>
              <w:jc w:val="right"/>
              <w:rPr>
                <w:sz w:val="18"/>
                <w:szCs w:val="18"/>
              </w:rPr>
            </w:pPr>
            <w:r w:rsidRPr="009218FA">
              <w:rPr>
                <w:sz w:val="18"/>
                <w:szCs w:val="18"/>
              </w:rPr>
              <w:t>37.0</w:t>
            </w:r>
          </w:p>
        </w:tc>
        <w:tc>
          <w:tcPr>
            <w:tcW w:w="1103" w:type="dxa"/>
            <w:shd w:val="clear" w:color="auto" w:fill="auto"/>
            <w:noWrap/>
            <w:vAlign w:val="center"/>
            <w:hideMark/>
          </w:tcPr>
          <w:p w14:paraId="43311EF7" w14:textId="77777777" w:rsidR="009218FA" w:rsidRPr="009218FA" w:rsidRDefault="009218FA" w:rsidP="00984781">
            <w:pPr>
              <w:pStyle w:val="ExhibitText"/>
              <w:jc w:val="right"/>
              <w:rPr>
                <w:sz w:val="18"/>
                <w:szCs w:val="18"/>
              </w:rPr>
            </w:pPr>
            <w:r w:rsidRPr="009218FA">
              <w:rPr>
                <w:sz w:val="18"/>
                <w:szCs w:val="18"/>
              </w:rPr>
              <w:t>45.2</w:t>
            </w:r>
          </w:p>
        </w:tc>
      </w:tr>
      <w:tr w:rsidR="009218FA" w:rsidRPr="00565022" w14:paraId="5CFCEF40" w14:textId="77777777" w:rsidTr="00263A51">
        <w:trPr>
          <w:trHeight w:val="327"/>
          <w:jc w:val="center"/>
        </w:trPr>
        <w:tc>
          <w:tcPr>
            <w:tcW w:w="3359" w:type="dxa"/>
            <w:shd w:val="clear" w:color="auto" w:fill="auto"/>
            <w:noWrap/>
            <w:vAlign w:val="center"/>
            <w:hideMark/>
          </w:tcPr>
          <w:p w14:paraId="4AF53C01" w14:textId="77777777" w:rsidR="009218FA" w:rsidRPr="009218FA" w:rsidRDefault="009218FA" w:rsidP="00984781">
            <w:pPr>
              <w:pStyle w:val="ExhibitText"/>
              <w:jc w:val="left"/>
              <w:rPr>
                <w:color w:val="000000"/>
                <w:sz w:val="18"/>
                <w:szCs w:val="18"/>
              </w:rPr>
            </w:pPr>
            <w:r w:rsidRPr="009218FA">
              <w:rPr>
                <w:color w:val="000000"/>
                <w:sz w:val="18"/>
                <w:szCs w:val="18"/>
              </w:rPr>
              <w:t>TOTAL LIABILITIES</w:t>
            </w:r>
          </w:p>
        </w:tc>
        <w:tc>
          <w:tcPr>
            <w:tcW w:w="1134" w:type="dxa"/>
            <w:shd w:val="clear" w:color="auto" w:fill="auto"/>
            <w:noWrap/>
            <w:vAlign w:val="center"/>
            <w:hideMark/>
          </w:tcPr>
          <w:p w14:paraId="3D0BBCEB" w14:textId="77777777" w:rsidR="009218FA" w:rsidRPr="009218FA" w:rsidRDefault="009218FA" w:rsidP="00984781">
            <w:pPr>
              <w:pStyle w:val="ExhibitText"/>
              <w:jc w:val="right"/>
              <w:rPr>
                <w:color w:val="000000"/>
                <w:sz w:val="18"/>
                <w:szCs w:val="18"/>
              </w:rPr>
            </w:pPr>
            <w:r w:rsidRPr="009218FA">
              <w:rPr>
                <w:color w:val="000000"/>
                <w:sz w:val="18"/>
                <w:szCs w:val="18"/>
              </w:rPr>
              <w:t>1</w:t>
            </w:r>
            <w:r w:rsidR="00A47D06">
              <w:rPr>
                <w:color w:val="000000"/>
                <w:sz w:val="18"/>
                <w:szCs w:val="18"/>
              </w:rPr>
              <w:t>,</w:t>
            </w:r>
            <w:r w:rsidRPr="009218FA">
              <w:rPr>
                <w:color w:val="000000"/>
                <w:sz w:val="18"/>
                <w:szCs w:val="18"/>
              </w:rPr>
              <w:t>526.5</w:t>
            </w:r>
          </w:p>
        </w:tc>
        <w:tc>
          <w:tcPr>
            <w:tcW w:w="1134" w:type="dxa"/>
            <w:shd w:val="clear" w:color="auto" w:fill="auto"/>
            <w:noWrap/>
            <w:vAlign w:val="center"/>
            <w:hideMark/>
          </w:tcPr>
          <w:p w14:paraId="065B52F3" w14:textId="77777777" w:rsidR="009218FA" w:rsidRPr="009218FA" w:rsidRDefault="009218FA" w:rsidP="00984781">
            <w:pPr>
              <w:pStyle w:val="ExhibitText"/>
              <w:jc w:val="right"/>
              <w:rPr>
                <w:color w:val="000000"/>
                <w:sz w:val="18"/>
                <w:szCs w:val="18"/>
              </w:rPr>
            </w:pPr>
            <w:r w:rsidRPr="009218FA">
              <w:rPr>
                <w:color w:val="000000"/>
                <w:sz w:val="18"/>
                <w:szCs w:val="18"/>
              </w:rPr>
              <w:t>1</w:t>
            </w:r>
            <w:r w:rsidR="00A47D06">
              <w:rPr>
                <w:color w:val="000000"/>
                <w:sz w:val="18"/>
                <w:szCs w:val="18"/>
              </w:rPr>
              <w:t>,</w:t>
            </w:r>
            <w:r w:rsidRPr="009218FA">
              <w:rPr>
                <w:color w:val="000000"/>
                <w:sz w:val="18"/>
                <w:szCs w:val="18"/>
              </w:rPr>
              <w:t>712.2</w:t>
            </w:r>
          </w:p>
        </w:tc>
        <w:tc>
          <w:tcPr>
            <w:tcW w:w="1103" w:type="dxa"/>
            <w:shd w:val="clear" w:color="000000" w:fill="auto"/>
            <w:noWrap/>
            <w:vAlign w:val="center"/>
            <w:hideMark/>
          </w:tcPr>
          <w:p w14:paraId="7889E401" w14:textId="77777777" w:rsidR="009218FA" w:rsidRPr="009218FA" w:rsidRDefault="009218FA" w:rsidP="00984781">
            <w:pPr>
              <w:pStyle w:val="ExhibitText"/>
              <w:jc w:val="right"/>
              <w:rPr>
                <w:color w:val="000000"/>
                <w:sz w:val="18"/>
                <w:szCs w:val="18"/>
              </w:rPr>
            </w:pPr>
            <w:r w:rsidRPr="009218FA">
              <w:rPr>
                <w:color w:val="000000"/>
                <w:sz w:val="18"/>
                <w:szCs w:val="18"/>
              </w:rPr>
              <w:t>1</w:t>
            </w:r>
            <w:r w:rsidR="00A47D06">
              <w:rPr>
                <w:color w:val="000000"/>
                <w:sz w:val="18"/>
                <w:szCs w:val="18"/>
              </w:rPr>
              <w:t>,</w:t>
            </w:r>
            <w:r w:rsidRPr="009218FA">
              <w:rPr>
                <w:color w:val="000000"/>
                <w:sz w:val="18"/>
                <w:szCs w:val="18"/>
              </w:rPr>
              <w:t>580.4</w:t>
            </w:r>
          </w:p>
        </w:tc>
      </w:tr>
      <w:tr w:rsidR="009218FA" w:rsidRPr="00565022" w14:paraId="035BC628" w14:textId="77777777" w:rsidTr="00263A51">
        <w:trPr>
          <w:trHeight w:val="327"/>
          <w:jc w:val="center"/>
        </w:trPr>
        <w:tc>
          <w:tcPr>
            <w:tcW w:w="3359" w:type="dxa"/>
            <w:shd w:val="clear" w:color="auto" w:fill="auto"/>
            <w:noWrap/>
            <w:vAlign w:val="center"/>
            <w:hideMark/>
          </w:tcPr>
          <w:p w14:paraId="6E7351E0" w14:textId="77777777" w:rsidR="009218FA" w:rsidRPr="009218FA" w:rsidRDefault="009218FA" w:rsidP="00984781">
            <w:pPr>
              <w:pStyle w:val="ExhibitText"/>
              <w:jc w:val="left"/>
              <w:rPr>
                <w:color w:val="000000"/>
                <w:sz w:val="18"/>
                <w:szCs w:val="18"/>
              </w:rPr>
            </w:pPr>
          </w:p>
        </w:tc>
        <w:tc>
          <w:tcPr>
            <w:tcW w:w="1134" w:type="dxa"/>
            <w:shd w:val="clear" w:color="auto" w:fill="auto"/>
            <w:noWrap/>
            <w:vAlign w:val="center"/>
            <w:hideMark/>
          </w:tcPr>
          <w:p w14:paraId="5918E03B" w14:textId="77777777" w:rsidR="009218FA" w:rsidRPr="009218FA" w:rsidRDefault="009218FA" w:rsidP="00984781">
            <w:pPr>
              <w:pStyle w:val="ExhibitText"/>
              <w:jc w:val="right"/>
              <w:rPr>
                <w:sz w:val="18"/>
                <w:szCs w:val="18"/>
              </w:rPr>
            </w:pPr>
          </w:p>
        </w:tc>
        <w:tc>
          <w:tcPr>
            <w:tcW w:w="1134" w:type="dxa"/>
            <w:shd w:val="clear" w:color="auto" w:fill="auto"/>
            <w:noWrap/>
            <w:vAlign w:val="center"/>
            <w:hideMark/>
          </w:tcPr>
          <w:p w14:paraId="2A5F19F7" w14:textId="77777777" w:rsidR="009218FA" w:rsidRPr="009218FA" w:rsidRDefault="009218FA" w:rsidP="00984781">
            <w:pPr>
              <w:pStyle w:val="ExhibitText"/>
              <w:jc w:val="right"/>
              <w:rPr>
                <w:sz w:val="18"/>
                <w:szCs w:val="18"/>
              </w:rPr>
            </w:pPr>
          </w:p>
        </w:tc>
        <w:tc>
          <w:tcPr>
            <w:tcW w:w="1103" w:type="dxa"/>
            <w:shd w:val="clear" w:color="auto" w:fill="auto"/>
            <w:noWrap/>
            <w:vAlign w:val="center"/>
            <w:hideMark/>
          </w:tcPr>
          <w:p w14:paraId="1D73ED1A" w14:textId="77777777" w:rsidR="009218FA" w:rsidRPr="009218FA" w:rsidRDefault="009218FA" w:rsidP="00984781">
            <w:pPr>
              <w:pStyle w:val="ExhibitText"/>
              <w:jc w:val="right"/>
              <w:rPr>
                <w:sz w:val="18"/>
                <w:szCs w:val="18"/>
              </w:rPr>
            </w:pPr>
          </w:p>
        </w:tc>
      </w:tr>
      <w:tr w:rsidR="009218FA" w:rsidRPr="00565022" w14:paraId="7471F71E" w14:textId="77777777" w:rsidTr="00263A51">
        <w:trPr>
          <w:trHeight w:val="327"/>
          <w:jc w:val="center"/>
        </w:trPr>
        <w:tc>
          <w:tcPr>
            <w:tcW w:w="3359" w:type="dxa"/>
            <w:shd w:val="clear" w:color="auto" w:fill="auto"/>
            <w:noWrap/>
            <w:vAlign w:val="center"/>
            <w:hideMark/>
          </w:tcPr>
          <w:p w14:paraId="72CD997C" w14:textId="19D98C3A" w:rsidR="009218FA" w:rsidRPr="009218FA" w:rsidRDefault="009218FA" w:rsidP="00984781">
            <w:pPr>
              <w:pStyle w:val="ExhibitText"/>
              <w:jc w:val="left"/>
              <w:rPr>
                <w:b/>
                <w:bCs/>
                <w:color w:val="000000"/>
                <w:sz w:val="18"/>
                <w:szCs w:val="18"/>
              </w:rPr>
            </w:pPr>
            <w:r w:rsidRPr="009218FA">
              <w:rPr>
                <w:b/>
                <w:bCs/>
                <w:color w:val="000000"/>
                <w:sz w:val="18"/>
                <w:szCs w:val="18"/>
              </w:rPr>
              <w:t>SHAREHOLDER</w:t>
            </w:r>
            <w:r w:rsidR="006A070A">
              <w:rPr>
                <w:b/>
                <w:bCs/>
                <w:color w:val="000000"/>
                <w:sz w:val="18"/>
                <w:szCs w:val="18"/>
              </w:rPr>
              <w:t>S</w:t>
            </w:r>
            <w:r w:rsidRPr="009218FA">
              <w:rPr>
                <w:b/>
                <w:bCs/>
                <w:color w:val="000000"/>
                <w:sz w:val="18"/>
                <w:szCs w:val="18"/>
              </w:rPr>
              <w:t>’ EQUITY</w:t>
            </w:r>
          </w:p>
        </w:tc>
        <w:tc>
          <w:tcPr>
            <w:tcW w:w="1134" w:type="dxa"/>
            <w:shd w:val="clear" w:color="auto" w:fill="auto"/>
            <w:noWrap/>
            <w:vAlign w:val="center"/>
            <w:hideMark/>
          </w:tcPr>
          <w:p w14:paraId="548629A6" w14:textId="77777777" w:rsidR="009218FA" w:rsidRPr="009218FA" w:rsidRDefault="009218FA" w:rsidP="00984781">
            <w:pPr>
              <w:pStyle w:val="ExhibitText"/>
              <w:jc w:val="right"/>
              <w:rPr>
                <w:b/>
                <w:bCs/>
                <w:color w:val="000000"/>
                <w:sz w:val="18"/>
                <w:szCs w:val="18"/>
              </w:rPr>
            </w:pPr>
          </w:p>
        </w:tc>
        <w:tc>
          <w:tcPr>
            <w:tcW w:w="1134" w:type="dxa"/>
            <w:shd w:val="clear" w:color="auto" w:fill="auto"/>
            <w:noWrap/>
            <w:vAlign w:val="center"/>
            <w:hideMark/>
          </w:tcPr>
          <w:p w14:paraId="39F8AC08" w14:textId="77777777" w:rsidR="009218FA" w:rsidRPr="009218FA" w:rsidRDefault="009218FA" w:rsidP="00984781">
            <w:pPr>
              <w:pStyle w:val="ExhibitText"/>
              <w:jc w:val="right"/>
              <w:rPr>
                <w:sz w:val="18"/>
                <w:szCs w:val="18"/>
              </w:rPr>
            </w:pPr>
          </w:p>
        </w:tc>
        <w:tc>
          <w:tcPr>
            <w:tcW w:w="1103" w:type="dxa"/>
            <w:shd w:val="clear" w:color="auto" w:fill="auto"/>
            <w:noWrap/>
            <w:vAlign w:val="center"/>
            <w:hideMark/>
          </w:tcPr>
          <w:p w14:paraId="13EC89DF" w14:textId="77777777" w:rsidR="009218FA" w:rsidRPr="009218FA" w:rsidRDefault="009218FA" w:rsidP="00984781">
            <w:pPr>
              <w:pStyle w:val="ExhibitText"/>
              <w:jc w:val="right"/>
              <w:rPr>
                <w:sz w:val="18"/>
                <w:szCs w:val="18"/>
              </w:rPr>
            </w:pPr>
          </w:p>
        </w:tc>
      </w:tr>
      <w:tr w:rsidR="009218FA" w:rsidRPr="00565022" w14:paraId="4279D537" w14:textId="77777777" w:rsidTr="00263A51">
        <w:trPr>
          <w:trHeight w:val="327"/>
          <w:jc w:val="center"/>
        </w:trPr>
        <w:tc>
          <w:tcPr>
            <w:tcW w:w="3359" w:type="dxa"/>
            <w:shd w:val="clear" w:color="auto" w:fill="auto"/>
            <w:noWrap/>
            <w:vAlign w:val="center"/>
            <w:hideMark/>
          </w:tcPr>
          <w:p w14:paraId="53222233" w14:textId="77777777" w:rsidR="009218FA" w:rsidRPr="009218FA" w:rsidRDefault="009218FA" w:rsidP="00984781">
            <w:pPr>
              <w:pStyle w:val="ExhibitText"/>
              <w:jc w:val="left"/>
              <w:rPr>
                <w:color w:val="000000"/>
                <w:sz w:val="18"/>
                <w:szCs w:val="18"/>
              </w:rPr>
            </w:pPr>
            <w:r w:rsidRPr="009218FA">
              <w:rPr>
                <w:color w:val="000000"/>
                <w:sz w:val="18"/>
                <w:szCs w:val="18"/>
              </w:rPr>
              <w:t>Total preferred equity</w:t>
            </w:r>
          </w:p>
        </w:tc>
        <w:tc>
          <w:tcPr>
            <w:tcW w:w="1134" w:type="dxa"/>
            <w:shd w:val="clear" w:color="auto" w:fill="auto"/>
            <w:noWrap/>
            <w:vAlign w:val="center"/>
            <w:hideMark/>
          </w:tcPr>
          <w:p w14:paraId="5F86D25F" w14:textId="77777777" w:rsidR="009218FA" w:rsidRPr="009218FA" w:rsidRDefault="009218FA" w:rsidP="00984781">
            <w:pPr>
              <w:pStyle w:val="ExhibitText"/>
              <w:jc w:val="right"/>
              <w:rPr>
                <w:color w:val="000000"/>
                <w:sz w:val="18"/>
                <w:szCs w:val="18"/>
              </w:rPr>
            </w:pPr>
            <w:r w:rsidRPr="009218FA">
              <w:rPr>
                <w:color w:val="000000"/>
                <w:sz w:val="18"/>
                <w:szCs w:val="18"/>
              </w:rPr>
              <w:t>-</w:t>
            </w:r>
          </w:p>
        </w:tc>
        <w:tc>
          <w:tcPr>
            <w:tcW w:w="1134" w:type="dxa"/>
            <w:shd w:val="clear" w:color="auto" w:fill="auto"/>
            <w:noWrap/>
            <w:vAlign w:val="center"/>
            <w:hideMark/>
          </w:tcPr>
          <w:p w14:paraId="52416A2A" w14:textId="77777777" w:rsidR="009218FA" w:rsidRPr="009218FA" w:rsidRDefault="009218FA" w:rsidP="00984781">
            <w:pPr>
              <w:pStyle w:val="ExhibitText"/>
              <w:jc w:val="right"/>
              <w:rPr>
                <w:color w:val="000000"/>
                <w:sz w:val="18"/>
                <w:szCs w:val="18"/>
              </w:rPr>
            </w:pPr>
            <w:r w:rsidRPr="009218FA">
              <w:rPr>
                <w:color w:val="000000"/>
                <w:sz w:val="18"/>
                <w:szCs w:val="18"/>
              </w:rPr>
              <w:t>-</w:t>
            </w:r>
          </w:p>
        </w:tc>
        <w:tc>
          <w:tcPr>
            <w:tcW w:w="1103" w:type="dxa"/>
            <w:shd w:val="clear" w:color="auto" w:fill="auto"/>
            <w:noWrap/>
            <w:vAlign w:val="center"/>
            <w:hideMark/>
          </w:tcPr>
          <w:p w14:paraId="3292BD6D" w14:textId="77777777" w:rsidR="009218FA" w:rsidRPr="009218FA" w:rsidRDefault="009218FA" w:rsidP="00984781">
            <w:pPr>
              <w:pStyle w:val="ExhibitText"/>
              <w:jc w:val="right"/>
              <w:rPr>
                <w:color w:val="000000"/>
                <w:sz w:val="18"/>
                <w:szCs w:val="18"/>
              </w:rPr>
            </w:pPr>
            <w:r w:rsidRPr="009218FA">
              <w:rPr>
                <w:color w:val="000000"/>
                <w:sz w:val="18"/>
                <w:szCs w:val="18"/>
              </w:rPr>
              <w:t>-</w:t>
            </w:r>
          </w:p>
        </w:tc>
      </w:tr>
      <w:tr w:rsidR="009218FA" w:rsidRPr="00565022" w14:paraId="460E57B7" w14:textId="77777777" w:rsidTr="00263A51">
        <w:trPr>
          <w:trHeight w:val="327"/>
          <w:jc w:val="center"/>
        </w:trPr>
        <w:tc>
          <w:tcPr>
            <w:tcW w:w="3359" w:type="dxa"/>
            <w:shd w:val="clear" w:color="auto" w:fill="auto"/>
            <w:noWrap/>
            <w:vAlign w:val="center"/>
            <w:hideMark/>
          </w:tcPr>
          <w:p w14:paraId="56F577EB" w14:textId="77777777" w:rsidR="009218FA" w:rsidRPr="009218FA" w:rsidRDefault="009218FA" w:rsidP="00984781">
            <w:pPr>
              <w:pStyle w:val="ExhibitText"/>
              <w:jc w:val="left"/>
              <w:rPr>
                <w:color w:val="000000"/>
                <w:sz w:val="18"/>
                <w:szCs w:val="18"/>
              </w:rPr>
            </w:pPr>
            <w:r w:rsidRPr="009218FA">
              <w:rPr>
                <w:color w:val="000000"/>
                <w:sz w:val="18"/>
                <w:szCs w:val="18"/>
              </w:rPr>
              <w:t>Minority interest</w:t>
            </w:r>
          </w:p>
        </w:tc>
        <w:tc>
          <w:tcPr>
            <w:tcW w:w="1134" w:type="dxa"/>
            <w:shd w:val="clear" w:color="auto" w:fill="auto"/>
            <w:noWrap/>
            <w:vAlign w:val="center"/>
            <w:hideMark/>
          </w:tcPr>
          <w:p w14:paraId="22066384" w14:textId="77777777" w:rsidR="009218FA" w:rsidRPr="009218FA" w:rsidRDefault="009218FA" w:rsidP="00984781">
            <w:pPr>
              <w:pStyle w:val="ExhibitText"/>
              <w:jc w:val="right"/>
              <w:rPr>
                <w:color w:val="000000"/>
                <w:sz w:val="18"/>
                <w:szCs w:val="18"/>
              </w:rPr>
            </w:pPr>
            <w:r w:rsidRPr="009218FA">
              <w:rPr>
                <w:color w:val="000000"/>
                <w:sz w:val="18"/>
                <w:szCs w:val="18"/>
              </w:rPr>
              <w:t>-</w:t>
            </w:r>
          </w:p>
        </w:tc>
        <w:tc>
          <w:tcPr>
            <w:tcW w:w="1134" w:type="dxa"/>
            <w:shd w:val="clear" w:color="auto" w:fill="auto"/>
            <w:noWrap/>
            <w:vAlign w:val="center"/>
            <w:hideMark/>
          </w:tcPr>
          <w:p w14:paraId="6A247D11" w14:textId="77777777" w:rsidR="009218FA" w:rsidRPr="009218FA" w:rsidRDefault="009218FA" w:rsidP="00984781">
            <w:pPr>
              <w:pStyle w:val="ExhibitText"/>
              <w:jc w:val="right"/>
              <w:rPr>
                <w:color w:val="000000"/>
                <w:sz w:val="18"/>
                <w:szCs w:val="18"/>
              </w:rPr>
            </w:pPr>
            <w:r w:rsidRPr="009218FA">
              <w:rPr>
                <w:color w:val="000000"/>
                <w:sz w:val="18"/>
                <w:szCs w:val="18"/>
              </w:rPr>
              <w:t>-</w:t>
            </w:r>
          </w:p>
        </w:tc>
        <w:tc>
          <w:tcPr>
            <w:tcW w:w="1103" w:type="dxa"/>
            <w:shd w:val="clear" w:color="auto" w:fill="auto"/>
            <w:noWrap/>
            <w:vAlign w:val="center"/>
            <w:hideMark/>
          </w:tcPr>
          <w:p w14:paraId="14DEE545" w14:textId="77777777" w:rsidR="009218FA" w:rsidRPr="009218FA" w:rsidRDefault="009218FA" w:rsidP="00984781">
            <w:pPr>
              <w:pStyle w:val="ExhibitText"/>
              <w:jc w:val="right"/>
              <w:rPr>
                <w:color w:val="000000"/>
                <w:sz w:val="18"/>
                <w:szCs w:val="18"/>
              </w:rPr>
            </w:pPr>
            <w:r w:rsidRPr="009218FA">
              <w:rPr>
                <w:color w:val="000000"/>
                <w:sz w:val="18"/>
                <w:szCs w:val="18"/>
              </w:rPr>
              <w:t>-</w:t>
            </w:r>
          </w:p>
        </w:tc>
      </w:tr>
      <w:tr w:rsidR="009218FA" w:rsidRPr="00565022" w14:paraId="45EF6D83" w14:textId="77777777" w:rsidTr="00263A51">
        <w:trPr>
          <w:trHeight w:val="327"/>
          <w:jc w:val="center"/>
        </w:trPr>
        <w:tc>
          <w:tcPr>
            <w:tcW w:w="3359" w:type="dxa"/>
            <w:shd w:val="clear" w:color="auto" w:fill="auto"/>
            <w:noWrap/>
            <w:vAlign w:val="center"/>
            <w:hideMark/>
          </w:tcPr>
          <w:p w14:paraId="2F47E48B" w14:textId="77777777" w:rsidR="009218FA" w:rsidRPr="009218FA" w:rsidRDefault="009218FA" w:rsidP="00984781">
            <w:pPr>
              <w:pStyle w:val="ExhibitText"/>
              <w:jc w:val="left"/>
              <w:rPr>
                <w:color w:val="000000"/>
                <w:sz w:val="18"/>
                <w:szCs w:val="18"/>
              </w:rPr>
            </w:pPr>
            <w:r w:rsidRPr="009218FA">
              <w:rPr>
                <w:color w:val="000000"/>
                <w:sz w:val="18"/>
                <w:szCs w:val="18"/>
              </w:rPr>
              <w:t>Share capital and APIC</w:t>
            </w:r>
          </w:p>
        </w:tc>
        <w:tc>
          <w:tcPr>
            <w:tcW w:w="1134" w:type="dxa"/>
            <w:shd w:val="clear" w:color="auto" w:fill="auto"/>
            <w:noWrap/>
            <w:vAlign w:val="center"/>
            <w:hideMark/>
          </w:tcPr>
          <w:p w14:paraId="741772E6" w14:textId="77777777" w:rsidR="009218FA" w:rsidRPr="009218FA" w:rsidRDefault="009218FA" w:rsidP="00984781">
            <w:pPr>
              <w:pStyle w:val="ExhibitText"/>
              <w:jc w:val="right"/>
              <w:rPr>
                <w:color w:val="000000"/>
                <w:sz w:val="18"/>
                <w:szCs w:val="18"/>
              </w:rPr>
            </w:pPr>
            <w:r w:rsidRPr="009218FA">
              <w:rPr>
                <w:color w:val="000000"/>
                <w:sz w:val="18"/>
                <w:szCs w:val="18"/>
              </w:rPr>
              <w:t>85.0</w:t>
            </w:r>
          </w:p>
        </w:tc>
        <w:tc>
          <w:tcPr>
            <w:tcW w:w="1134" w:type="dxa"/>
            <w:shd w:val="clear" w:color="auto" w:fill="auto"/>
            <w:noWrap/>
            <w:vAlign w:val="center"/>
            <w:hideMark/>
          </w:tcPr>
          <w:p w14:paraId="429FC98E" w14:textId="77777777" w:rsidR="009218FA" w:rsidRPr="009218FA" w:rsidRDefault="009218FA" w:rsidP="00984781">
            <w:pPr>
              <w:pStyle w:val="ExhibitText"/>
              <w:jc w:val="right"/>
              <w:rPr>
                <w:color w:val="000000"/>
                <w:sz w:val="18"/>
                <w:szCs w:val="18"/>
              </w:rPr>
            </w:pPr>
            <w:r w:rsidRPr="009218FA">
              <w:rPr>
                <w:color w:val="000000"/>
                <w:sz w:val="18"/>
                <w:szCs w:val="18"/>
              </w:rPr>
              <w:t>85.0</w:t>
            </w:r>
          </w:p>
        </w:tc>
        <w:tc>
          <w:tcPr>
            <w:tcW w:w="1103" w:type="dxa"/>
            <w:shd w:val="clear" w:color="auto" w:fill="auto"/>
            <w:noWrap/>
            <w:vAlign w:val="center"/>
            <w:hideMark/>
          </w:tcPr>
          <w:p w14:paraId="07042AED" w14:textId="77777777" w:rsidR="009218FA" w:rsidRPr="009218FA" w:rsidRDefault="009218FA" w:rsidP="00984781">
            <w:pPr>
              <w:pStyle w:val="ExhibitText"/>
              <w:jc w:val="right"/>
              <w:rPr>
                <w:color w:val="000000"/>
                <w:sz w:val="18"/>
                <w:szCs w:val="18"/>
              </w:rPr>
            </w:pPr>
            <w:r w:rsidRPr="009218FA">
              <w:rPr>
                <w:color w:val="000000"/>
                <w:sz w:val="18"/>
                <w:szCs w:val="18"/>
              </w:rPr>
              <w:t>85.0</w:t>
            </w:r>
          </w:p>
        </w:tc>
      </w:tr>
      <w:tr w:rsidR="009218FA" w:rsidRPr="00565022" w14:paraId="65F16228" w14:textId="77777777" w:rsidTr="00263A51">
        <w:trPr>
          <w:trHeight w:val="327"/>
          <w:jc w:val="center"/>
        </w:trPr>
        <w:tc>
          <w:tcPr>
            <w:tcW w:w="3359" w:type="dxa"/>
            <w:shd w:val="clear" w:color="auto" w:fill="auto"/>
            <w:noWrap/>
            <w:vAlign w:val="center"/>
            <w:hideMark/>
          </w:tcPr>
          <w:p w14:paraId="0D4902E6" w14:textId="77777777" w:rsidR="009218FA" w:rsidRPr="009218FA" w:rsidRDefault="009218FA" w:rsidP="00984781">
            <w:pPr>
              <w:pStyle w:val="ExhibitText"/>
              <w:jc w:val="left"/>
              <w:rPr>
                <w:color w:val="000000"/>
                <w:sz w:val="18"/>
                <w:szCs w:val="18"/>
              </w:rPr>
            </w:pPr>
            <w:r w:rsidRPr="009218FA">
              <w:rPr>
                <w:color w:val="000000"/>
                <w:sz w:val="18"/>
                <w:szCs w:val="18"/>
              </w:rPr>
              <w:t>Retained earnings and other equity</w:t>
            </w:r>
          </w:p>
        </w:tc>
        <w:tc>
          <w:tcPr>
            <w:tcW w:w="1134" w:type="dxa"/>
            <w:shd w:val="clear" w:color="auto" w:fill="auto"/>
            <w:noWrap/>
            <w:vAlign w:val="center"/>
            <w:hideMark/>
          </w:tcPr>
          <w:p w14:paraId="4500EFE5" w14:textId="77777777" w:rsidR="009218FA" w:rsidRPr="009218FA" w:rsidRDefault="009218FA" w:rsidP="00984781">
            <w:pPr>
              <w:pStyle w:val="ExhibitText"/>
              <w:jc w:val="right"/>
              <w:rPr>
                <w:color w:val="000000"/>
                <w:sz w:val="18"/>
                <w:szCs w:val="18"/>
              </w:rPr>
            </w:pPr>
            <w:r w:rsidRPr="009218FA">
              <w:rPr>
                <w:color w:val="000000"/>
                <w:sz w:val="18"/>
                <w:szCs w:val="18"/>
              </w:rPr>
              <w:t>1,534.2</w:t>
            </w:r>
          </w:p>
        </w:tc>
        <w:tc>
          <w:tcPr>
            <w:tcW w:w="1134" w:type="dxa"/>
            <w:shd w:val="clear" w:color="auto" w:fill="auto"/>
            <w:noWrap/>
            <w:vAlign w:val="center"/>
            <w:hideMark/>
          </w:tcPr>
          <w:p w14:paraId="500002D3" w14:textId="77777777" w:rsidR="009218FA" w:rsidRPr="009218FA" w:rsidRDefault="009218FA" w:rsidP="00984781">
            <w:pPr>
              <w:pStyle w:val="ExhibitText"/>
              <w:jc w:val="right"/>
              <w:rPr>
                <w:color w:val="000000"/>
                <w:sz w:val="18"/>
                <w:szCs w:val="18"/>
              </w:rPr>
            </w:pPr>
            <w:r w:rsidRPr="009218FA">
              <w:rPr>
                <w:color w:val="000000"/>
                <w:sz w:val="18"/>
                <w:szCs w:val="18"/>
              </w:rPr>
              <w:t>1,317.7</w:t>
            </w:r>
          </w:p>
        </w:tc>
        <w:tc>
          <w:tcPr>
            <w:tcW w:w="1103" w:type="dxa"/>
            <w:shd w:val="clear" w:color="auto" w:fill="auto"/>
            <w:noWrap/>
            <w:vAlign w:val="center"/>
            <w:hideMark/>
          </w:tcPr>
          <w:p w14:paraId="2B79424E" w14:textId="77777777" w:rsidR="009218FA" w:rsidRPr="009218FA" w:rsidRDefault="009218FA" w:rsidP="00984781">
            <w:pPr>
              <w:pStyle w:val="ExhibitText"/>
              <w:jc w:val="right"/>
              <w:rPr>
                <w:color w:val="000000"/>
                <w:sz w:val="18"/>
                <w:szCs w:val="18"/>
              </w:rPr>
            </w:pPr>
            <w:r w:rsidRPr="009218FA">
              <w:rPr>
                <w:color w:val="000000"/>
                <w:sz w:val="18"/>
                <w:szCs w:val="18"/>
              </w:rPr>
              <w:t>1,308.9</w:t>
            </w:r>
          </w:p>
        </w:tc>
      </w:tr>
      <w:tr w:rsidR="009218FA" w:rsidRPr="00565022" w14:paraId="67862107" w14:textId="77777777" w:rsidTr="00263A51">
        <w:trPr>
          <w:trHeight w:val="327"/>
          <w:jc w:val="center"/>
        </w:trPr>
        <w:tc>
          <w:tcPr>
            <w:tcW w:w="3359" w:type="dxa"/>
            <w:shd w:val="clear" w:color="auto" w:fill="auto"/>
            <w:noWrap/>
            <w:vAlign w:val="center"/>
            <w:hideMark/>
          </w:tcPr>
          <w:p w14:paraId="784F7EBB" w14:textId="77777777" w:rsidR="009218FA" w:rsidRPr="009218FA" w:rsidRDefault="009218FA" w:rsidP="00984781">
            <w:pPr>
              <w:pStyle w:val="ExhibitText"/>
              <w:jc w:val="left"/>
              <w:rPr>
                <w:color w:val="000000"/>
                <w:sz w:val="18"/>
                <w:szCs w:val="18"/>
              </w:rPr>
            </w:pPr>
            <w:r w:rsidRPr="009218FA">
              <w:rPr>
                <w:color w:val="000000"/>
                <w:sz w:val="18"/>
                <w:szCs w:val="18"/>
              </w:rPr>
              <w:t>Total equity</w:t>
            </w:r>
          </w:p>
        </w:tc>
        <w:tc>
          <w:tcPr>
            <w:tcW w:w="1134" w:type="dxa"/>
            <w:shd w:val="clear" w:color="auto" w:fill="auto"/>
            <w:noWrap/>
            <w:vAlign w:val="center"/>
            <w:hideMark/>
          </w:tcPr>
          <w:p w14:paraId="1CBDC2D9" w14:textId="77777777" w:rsidR="009218FA" w:rsidRPr="009218FA" w:rsidRDefault="009218FA" w:rsidP="00984781">
            <w:pPr>
              <w:pStyle w:val="ExhibitText"/>
              <w:jc w:val="right"/>
              <w:rPr>
                <w:color w:val="000000"/>
                <w:sz w:val="18"/>
                <w:szCs w:val="18"/>
              </w:rPr>
            </w:pPr>
            <w:r w:rsidRPr="009218FA">
              <w:rPr>
                <w:color w:val="000000"/>
                <w:sz w:val="18"/>
                <w:szCs w:val="18"/>
              </w:rPr>
              <w:t>1,619.2</w:t>
            </w:r>
          </w:p>
        </w:tc>
        <w:tc>
          <w:tcPr>
            <w:tcW w:w="1134" w:type="dxa"/>
            <w:shd w:val="clear" w:color="auto" w:fill="auto"/>
            <w:noWrap/>
            <w:vAlign w:val="center"/>
            <w:hideMark/>
          </w:tcPr>
          <w:p w14:paraId="36E8BC80" w14:textId="77777777" w:rsidR="009218FA" w:rsidRPr="009218FA" w:rsidRDefault="009218FA" w:rsidP="00984781">
            <w:pPr>
              <w:pStyle w:val="ExhibitText"/>
              <w:jc w:val="right"/>
              <w:rPr>
                <w:color w:val="000000"/>
                <w:sz w:val="18"/>
                <w:szCs w:val="18"/>
              </w:rPr>
            </w:pPr>
            <w:r w:rsidRPr="009218FA">
              <w:rPr>
                <w:color w:val="000000"/>
                <w:sz w:val="18"/>
                <w:szCs w:val="18"/>
              </w:rPr>
              <w:t>1,402.7</w:t>
            </w:r>
          </w:p>
        </w:tc>
        <w:tc>
          <w:tcPr>
            <w:tcW w:w="1103" w:type="dxa"/>
            <w:shd w:val="clear" w:color="000000" w:fill="auto"/>
            <w:noWrap/>
            <w:vAlign w:val="center"/>
            <w:hideMark/>
          </w:tcPr>
          <w:p w14:paraId="199440C9" w14:textId="77777777" w:rsidR="009218FA" w:rsidRPr="009218FA" w:rsidRDefault="009218FA" w:rsidP="00984781">
            <w:pPr>
              <w:pStyle w:val="ExhibitText"/>
              <w:jc w:val="right"/>
              <w:rPr>
                <w:color w:val="000000"/>
                <w:sz w:val="18"/>
                <w:szCs w:val="18"/>
              </w:rPr>
            </w:pPr>
            <w:r w:rsidRPr="009218FA">
              <w:rPr>
                <w:color w:val="000000"/>
                <w:sz w:val="18"/>
                <w:szCs w:val="18"/>
              </w:rPr>
              <w:t>1</w:t>
            </w:r>
            <w:r w:rsidR="00A47D06">
              <w:rPr>
                <w:color w:val="000000"/>
                <w:sz w:val="18"/>
                <w:szCs w:val="18"/>
              </w:rPr>
              <w:t>,</w:t>
            </w:r>
            <w:r w:rsidRPr="009218FA">
              <w:rPr>
                <w:color w:val="000000"/>
                <w:sz w:val="18"/>
                <w:szCs w:val="18"/>
              </w:rPr>
              <w:t>393.9</w:t>
            </w:r>
          </w:p>
        </w:tc>
      </w:tr>
      <w:tr w:rsidR="009218FA" w:rsidRPr="00565022" w14:paraId="58E6CC2B" w14:textId="77777777" w:rsidTr="00263A51">
        <w:trPr>
          <w:trHeight w:val="289"/>
          <w:jc w:val="center"/>
        </w:trPr>
        <w:tc>
          <w:tcPr>
            <w:tcW w:w="3359" w:type="dxa"/>
            <w:shd w:val="clear" w:color="auto" w:fill="auto"/>
            <w:noWrap/>
            <w:vAlign w:val="center"/>
            <w:hideMark/>
          </w:tcPr>
          <w:p w14:paraId="1FAE0AB9" w14:textId="77777777" w:rsidR="009218FA" w:rsidRPr="009218FA" w:rsidRDefault="009218FA" w:rsidP="00984781">
            <w:pPr>
              <w:pStyle w:val="ExhibitText"/>
              <w:jc w:val="left"/>
              <w:rPr>
                <w:color w:val="000000"/>
                <w:sz w:val="18"/>
                <w:szCs w:val="18"/>
              </w:rPr>
            </w:pPr>
            <w:r w:rsidRPr="009218FA">
              <w:rPr>
                <w:color w:val="000000"/>
                <w:sz w:val="18"/>
                <w:szCs w:val="18"/>
              </w:rPr>
              <w:t>TOTAL LIABILITIES AND EQUITY</w:t>
            </w:r>
          </w:p>
        </w:tc>
        <w:tc>
          <w:tcPr>
            <w:tcW w:w="1134" w:type="dxa"/>
            <w:shd w:val="clear" w:color="auto" w:fill="auto"/>
            <w:noWrap/>
            <w:vAlign w:val="center"/>
            <w:hideMark/>
          </w:tcPr>
          <w:p w14:paraId="72DE1460" w14:textId="77777777" w:rsidR="009218FA" w:rsidRPr="009218FA" w:rsidRDefault="009218FA" w:rsidP="00984781">
            <w:pPr>
              <w:pStyle w:val="ExhibitText"/>
              <w:jc w:val="right"/>
              <w:rPr>
                <w:color w:val="000000"/>
                <w:sz w:val="18"/>
                <w:szCs w:val="18"/>
              </w:rPr>
            </w:pPr>
            <w:r w:rsidRPr="009218FA">
              <w:rPr>
                <w:color w:val="000000"/>
                <w:sz w:val="18"/>
                <w:szCs w:val="18"/>
              </w:rPr>
              <w:t>3,145.7</w:t>
            </w:r>
          </w:p>
        </w:tc>
        <w:tc>
          <w:tcPr>
            <w:tcW w:w="1134" w:type="dxa"/>
            <w:shd w:val="clear" w:color="auto" w:fill="auto"/>
            <w:noWrap/>
            <w:vAlign w:val="center"/>
            <w:hideMark/>
          </w:tcPr>
          <w:p w14:paraId="4CC0976B" w14:textId="77777777" w:rsidR="009218FA" w:rsidRPr="009218FA" w:rsidRDefault="009218FA" w:rsidP="00984781">
            <w:pPr>
              <w:pStyle w:val="ExhibitText"/>
              <w:jc w:val="right"/>
              <w:rPr>
                <w:color w:val="000000"/>
                <w:sz w:val="18"/>
                <w:szCs w:val="18"/>
              </w:rPr>
            </w:pPr>
            <w:r w:rsidRPr="009218FA">
              <w:rPr>
                <w:color w:val="000000"/>
                <w:sz w:val="18"/>
                <w:szCs w:val="18"/>
              </w:rPr>
              <w:t>3,114.9</w:t>
            </w:r>
          </w:p>
        </w:tc>
        <w:tc>
          <w:tcPr>
            <w:tcW w:w="1103" w:type="dxa"/>
            <w:shd w:val="clear" w:color="000000" w:fill="auto"/>
            <w:noWrap/>
            <w:vAlign w:val="center"/>
            <w:hideMark/>
          </w:tcPr>
          <w:p w14:paraId="137DB71F" w14:textId="77777777" w:rsidR="009218FA" w:rsidRPr="009218FA" w:rsidRDefault="009218FA" w:rsidP="00984781">
            <w:pPr>
              <w:pStyle w:val="ExhibitText"/>
              <w:jc w:val="right"/>
              <w:rPr>
                <w:color w:val="000000"/>
                <w:sz w:val="18"/>
                <w:szCs w:val="18"/>
              </w:rPr>
            </w:pPr>
            <w:r w:rsidRPr="009218FA">
              <w:rPr>
                <w:color w:val="000000"/>
                <w:sz w:val="18"/>
                <w:szCs w:val="18"/>
              </w:rPr>
              <w:t>2</w:t>
            </w:r>
            <w:r w:rsidR="00A47D06">
              <w:rPr>
                <w:color w:val="000000"/>
                <w:sz w:val="18"/>
                <w:szCs w:val="18"/>
              </w:rPr>
              <w:t>,</w:t>
            </w:r>
            <w:r w:rsidRPr="009218FA">
              <w:rPr>
                <w:color w:val="000000"/>
                <w:sz w:val="18"/>
                <w:szCs w:val="18"/>
              </w:rPr>
              <w:t>974.3</w:t>
            </w:r>
          </w:p>
        </w:tc>
      </w:tr>
    </w:tbl>
    <w:p w14:paraId="29337865" w14:textId="77777777" w:rsidR="009218FA" w:rsidRPr="00565022" w:rsidRDefault="009218FA" w:rsidP="009218FA">
      <w:pPr>
        <w:rPr>
          <w:lang w:val="en-AU"/>
        </w:rPr>
      </w:pPr>
    </w:p>
    <w:p w14:paraId="369E8E50" w14:textId="5A9280AD" w:rsidR="009218FA" w:rsidRPr="00225878" w:rsidRDefault="009F5CA7" w:rsidP="009218FA">
      <w:pPr>
        <w:pStyle w:val="Footnote"/>
        <w:rPr>
          <w:lang w:val="en-AU"/>
        </w:rPr>
      </w:pPr>
      <w:r w:rsidRPr="00DD7406">
        <w:rPr>
          <w:lang w:val="en-AU"/>
        </w:rPr>
        <w:t>Note: Figures rounded to nearest hundred thousand</w:t>
      </w:r>
      <w:r w:rsidR="00C3140F">
        <w:rPr>
          <w:lang w:val="en-AU"/>
        </w:rPr>
        <w:t>; API</w:t>
      </w:r>
      <w:r w:rsidR="001A359C">
        <w:rPr>
          <w:lang w:val="en-AU"/>
        </w:rPr>
        <w:t>C</w:t>
      </w:r>
      <w:r w:rsidR="00C3140F">
        <w:rPr>
          <w:lang w:val="en-AU"/>
        </w:rPr>
        <w:t xml:space="preserve"> = a</w:t>
      </w:r>
      <w:r w:rsidR="00C3140F" w:rsidRPr="00C3140F">
        <w:rPr>
          <w:lang w:val="en-AU"/>
        </w:rPr>
        <w:t xml:space="preserve">dditional </w:t>
      </w:r>
      <w:r w:rsidR="00C3140F">
        <w:rPr>
          <w:lang w:val="en-AU"/>
        </w:rPr>
        <w:t>paid-i</w:t>
      </w:r>
      <w:r w:rsidR="00C3140F" w:rsidRPr="00C3140F">
        <w:rPr>
          <w:lang w:val="en-AU"/>
        </w:rPr>
        <w:t xml:space="preserve">n </w:t>
      </w:r>
      <w:r w:rsidR="00C3140F">
        <w:rPr>
          <w:lang w:val="en-AU"/>
        </w:rPr>
        <w:t>c</w:t>
      </w:r>
      <w:r w:rsidR="00C3140F" w:rsidRPr="00C3140F">
        <w:rPr>
          <w:lang w:val="en-AU"/>
        </w:rPr>
        <w:t>apital</w:t>
      </w:r>
      <w:r w:rsidR="00C3140F">
        <w:rPr>
          <w:lang w:val="en-AU"/>
        </w:rPr>
        <w:t>.</w:t>
      </w:r>
    </w:p>
    <w:p w14:paraId="7BC661CF" w14:textId="55901B55" w:rsidR="009218FA" w:rsidRPr="00565022" w:rsidRDefault="009F5CA7" w:rsidP="009218FA">
      <w:pPr>
        <w:pStyle w:val="Footnote"/>
        <w:rPr>
          <w:lang w:val="en-AU"/>
        </w:rPr>
      </w:pPr>
      <w:r w:rsidRPr="00DD7406">
        <w:rPr>
          <w:lang w:val="en-AU"/>
        </w:rPr>
        <w:t>Source: Bloomberg data</w:t>
      </w:r>
      <w:r w:rsidR="00A15912">
        <w:rPr>
          <w:lang w:val="en-AU"/>
        </w:rPr>
        <w:t>.</w:t>
      </w:r>
    </w:p>
    <w:p w14:paraId="04A33EBC" w14:textId="77777777" w:rsidR="009218FA" w:rsidRPr="00565022" w:rsidRDefault="009218FA" w:rsidP="009218FA">
      <w:pPr>
        <w:pStyle w:val="Footnote"/>
        <w:rPr>
          <w:lang w:val="en-AU"/>
        </w:rPr>
      </w:pPr>
    </w:p>
    <w:p w14:paraId="05AA6195" w14:textId="77777777" w:rsidR="009218FA" w:rsidRPr="00565022" w:rsidRDefault="009218FA" w:rsidP="009218FA">
      <w:pPr>
        <w:rPr>
          <w:lang w:val="en-AU"/>
        </w:rPr>
      </w:pPr>
    </w:p>
    <w:p w14:paraId="746E35D7" w14:textId="77777777" w:rsidR="009218FA" w:rsidRDefault="009218FA" w:rsidP="009218FA">
      <w:pPr>
        <w:rPr>
          <w:lang w:val="en-AU"/>
        </w:rPr>
      </w:pPr>
    </w:p>
    <w:p w14:paraId="43147975" w14:textId="77777777" w:rsidR="009218FA" w:rsidRDefault="009218FA" w:rsidP="009218FA">
      <w:pPr>
        <w:rPr>
          <w:lang w:val="en-AU"/>
        </w:rPr>
      </w:pPr>
    </w:p>
    <w:p w14:paraId="03845D31" w14:textId="77777777" w:rsidR="009218FA" w:rsidRDefault="009218FA" w:rsidP="009218FA">
      <w:pPr>
        <w:rPr>
          <w:lang w:val="en-AU"/>
        </w:rPr>
      </w:pPr>
    </w:p>
    <w:p w14:paraId="07F7D28F" w14:textId="77777777" w:rsidR="009218FA" w:rsidRDefault="009218FA" w:rsidP="009218FA">
      <w:pPr>
        <w:rPr>
          <w:lang w:val="en-AU"/>
        </w:rPr>
      </w:pPr>
    </w:p>
    <w:p w14:paraId="49555C70" w14:textId="77777777" w:rsidR="009218FA" w:rsidRPr="00565022" w:rsidRDefault="009218FA" w:rsidP="009218FA">
      <w:pPr>
        <w:rPr>
          <w:lang w:val="en-AU"/>
        </w:rPr>
      </w:pPr>
    </w:p>
    <w:p w14:paraId="6AC82022" w14:textId="77777777" w:rsidR="009218FA" w:rsidRDefault="009218FA" w:rsidP="009218FA">
      <w:pPr>
        <w:rPr>
          <w:lang w:val="en-AU"/>
        </w:rPr>
      </w:pPr>
    </w:p>
    <w:p w14:paraId="1A85A453" w14:textId="77777777" w:rsidR="009218FA" w:rsidRDefault="009218FA" w:rsidP="009218FA">
      <w:pPr>
        <w:rPr>
          <w:lang w:val="en-AU"/>
        </w:rPr>
      </w:pPr>
    </w:p>
    <w:p w14:paraId="0BCC9985" w14:textId="77777777" w:rsidR="009218FA" w:rsidRPr="00565022" w:rsidRDefault="009218FA" w:rsidP="009218FA">
      <w:pPr>
        <w:pStyle w:val="ExhibitHeading"/>
      </w:pPr>
      <w:r w:rsidRPr="00565022">
        <w:lastRenderedPageBreak/>
        <w:t xml:space="preserve">Exhibit </w:t>
      </w:r>
      <w:r w:rsidR="004F0E33">
        <w:t>2</w:t>
      </w:r>
      <w:r>
        <w:t xml:space="preserve">: </w:t>
      </w:r>
      <w:r w:rsidR="00076974">
        <w:t xml:space="preserve">Medibank’s </w:t>
      </w:r>
      <w:r w:rsidRPr="00565022">
        <w:t>HISTORICAL INCOME STATEMENTS FOR YEARS ENDED JUNE 30</w:t>
      </w:r>
    </w:p>
    <w:p w14:paraId="432A4734" w14:textId="77777777" w:rsidR="009218FA" w:rsidRPr="00565022" w:rsidRDefault="009218FA" w:rsidP="009218FA">
      <w:pPr>
        <w:pStyle w:val="ExhibitHeading"/>
      </w:pPr>
      <w:r w:rsidRPr="00565022">
        <w:t xml:space="preserve">(amounts in millions </w:t>
      </w:r>
      <w:r w:rsidR="00A47D06">
        <w:t xml:space="preserve">of </w:t>
      </w:r>
      <w:r w:rsidRPr="00565022">
        <w:t>AU</w:t>
      </w:r>
      <w:r w:rsidR="00A47D06">
        <w:t xml:space="preserve">stralian </w:t>
      </w:r>
      <w:r w:rsidRPr="00565022">
        <w:t>D</w:t>
      </w:r>
      <w:r w:rsidR="00A47D06">
        <w:t>ollars,</w:t>
      </w:r>
      <w:r w:rsidRPr="00565022">
        <w:t xml:space="preserve"> except per share)</w:t>
      </w:r>
    </w:p>
    <w:p w14:paraId="47FA5F18" w14:textId="77777777" w:rsidR="009218FA" w:rsidRPr="00565022" w:rsidRDefault="009218FA" w:rsidP="009218FA">
      <w:pPr>
        <w:pStyle w:val="ExhibitHeading"/>
        <w:rPr>
          <w:lang w:val="en-AU"/>
        </w:rPr>
      </w:pPr>
    </w:p>
    <w:tbl>
      <w:tblPr>
        <w:tblW w:w="69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8"/>
        <w:gridCol w:w="1073"/>
        <w:gridCol w:w="1073"/>
        <w:gridCol w:w="1087"/>
      </w:tblGrid>
      <w:tr w:rsidR="009218FA" w:rsidRPr="00565022" w14:paraId="7BF51DC9" w14:textId="77777777" w:rsidTr="00263A51">
        <w:trPr>
          <w:trHeight w:val="348"/>
          <w:jc w:val="center"/>
        </w:trPr>
        <w:tc>
          <w:tcPr>
            <w:tcW w:w="3718" w:type="dxa"/>
            <w:shd w:val="clear" w:color="auto" w:fill="auto"/>
            <w:noWrap/>
            <w:hideMark/>
          </w:tcPr>
          <w:p w14:paraId="6B1F0750" w14:textId="77777777" w:rsidR="009218FA" w:rsidRPr="009218FA" w:rsidRDefault="009218FA" w:rsidP="009218FA">
            <w:pPr>
              <w:pStyle w:val="ExhibitText"/>
              <w:rPr>
                <w:sz w:val="18"/>
                <w:szCs w:val="18"/>
              </w:rPr>
            </w:pPr>
          </w:p>
        </w:tc>
        <w:tc>
          <w:tcPr>
            <w:tcW w:w="1073" w:type="dxa"/>
            <w:shd w:val="clear" w:color="auto" w:fill="auto"/>
            <w:noWrap/>
            <w:vAlign w:val="center"/>
            <w:hideMark/>
          </w:tcPr>
          <w:p w14:paraId="206881F9" w14:textId="77777777" w:rsidR="009218FA" w:rsidRPr="009218FA" w:rsidRDefault="009218FA" w:rsidP="009218FA">
            <w:pPr>
              <w:pStyle w:val="ExhibitText"/>
              <w:jc w:val="center"/>
              <w:rPr>
                <w:b/>
                <w:bCs/>
                <w:color w:val="000000"/>
                <w:sz w:val="18"/>
                <w:szCs w:val="18"/>
              </w:rPr>
            </w:pPr>
            <w:r w:rsidRPr="009218FA">
              <w:rPr>
                <w:b/>
                <w:bCs/>
                <w:color w:val="000000"/>
                <w:sz w:val="18"/>
                <w:szCs w:val="18"/>
              </w:rPr>
              <w:t>2012</w:t>
            </w:r>
          </w:p>
        </w:tc>
        <w:tc>
          <w:tcPr>
            <w:tcW w:w="1073" w:type="dxa"/>
            <w:shd w:val="clear" w:color="auto" w:fill="auto"/>
            <w:noWrap/>
            <w:vAlign w:val="center"/>
            <w:hideMark/>
          </w:tcPr>
          <w:p w14:paraId="644EF550" w14:textId="77777777" w:rsidR="009218FA" w:rsidRPr="009218FA" w:rsidRDefault="009218FA" w:rsidP="009218FA">
            <w:pPr>
              <w:pStyle w:val="ExhibitText"/>
              <w:jc w:val="center"/>
              <w:rPr>
                <w:b/>
                <w:bCs/>
                <w:color w:val="000000"/>
                <w:sz w:val="18"/>
                <w:szCs w:val="18"/>
              </w:rPr>
            </w:pPr>
            <w:r w:rsidRPr="009218FA">
              <w:rPr>
                <w:b/>
                <w:bCs/>
                <w:color w:val="000000"/>
                <w:sz w:val="18"/>
                <w:szCs w:val="18"/>
              </w:rPr>
              <w:t>2013</w:t>
            </w:r>
          </w:p>
        </w:tc>
        <w:tc>
          <w:tcPr>
            <w:tcW w:w="1087" w:type="dxa"/>
            <w:shd w:val="clear" w:color="auto" w:fill="auto"/>
            <w:noWrap/>
            <w:vAlign w:val="center"/>
            <w:hideMark/>
          </w:tcPr>
          <w:p w14:paraId="4425DF52" w14:textId="77777777" w:rsidR="009218FA" w:rsidRPr="009218FA" w:rsidRDefault="009218FA" w:rsidP="009218FA">
            <w:pPr>
              <w:pStyle w:val="ExhibitText"/>
              <w:jc w:val="center"/>
              <w:rPr>
                <w:b/>
                <w:bCs/>
                <w:color w:val="000000"/>
                <w:sz w:val="18"/>
                <w:szCs w:val="18"/>
              </w:rPr>
            </w:pPr>
            <w:r w:rsidRPr="009218FA">
              <w:rPr>
                <w:b/>
                <w:bCs/>
                <w:color w:val="000000"/>
                <w:sz w:val="18"/>
                <w:szCs w:val="18"/>
              </w:rPr>
              <w:t>2014</w:t>
            </w:r>
          </w:p>
        </w:tc>
      </w:tr>
      <w:tr w:rsidR="009218FA" w:rsidRPr="00565022" w14:paraId="6AFA1D18" w14:textId="77777777" w:rsidTr="00263A51">
        <w:trPr>
          <w:trHeight w:val="348"/>
          <w:jc w:val="center"/>
        </w:trPr>
        <w:tc>
          <w:tcPr>
            <w:tcW w:w="3718" w:type="dxa"/>
            <w:shd w:val="clear" w:color="auto" w:fill="auto"/>
            <w:noWrap/>
            <w:hideMark/>
          </w:tcPr>
          <w:p w14:paraId="05848F6D" w14:textId="77777777" w:rsidR="009218FA" w:rsidRPr="009218FA" w:rsidRDefault="009218FA" w:rsidP="009218FA">
            <w:pPr>
              <w:pStyle w:val="ExhibitText"/>
              <w:rPr>
                <w:b/>
                <w:bCs/>
                <w:color w:val="000000"/>
                <w:sz w:val="18"/>
                <w:szCs w:val="18"/>
              </w:rPr>
            </w:pPr>
          </w:p>
        </w:tc>
        <w:tc>
          <w:tcPr>
            <w:tcW w:w="1073" w:type="dxa"/>
            <w:shd w:val="clear" w:color="auto" w:fill="auto"/>
            <w:noWrap/>
            <w:vAlign w:val="center"/>
            <w:hideMark/>
          </w:tcPr>
          <w:p w14:paraId="497EEF2F" w14:textId="77777777" w:rsidR="009218FA" w:rsidRPr="009218FA" w:rsidRDefault="009218FA" w:rsidP="009218FA">
            <w:pPr>
              <w:pStyle w:val="ExhibitText"/>
              <w:jc w:val="right"/>
              <w:rPr>
                <w:sz w:val="18"/>
                <w:szCs w:val="18"/>
              </w:rPr>
            </w:pPr>
          </w:p>
        </w:tc>
        <w:tc>
          <w:tcPr>
            <w:tcW w:w="1073" w:type="dxa"/>
            <w:shd w:val="clear" w:color="auto" w:fill="auto"/>
            <w:noWrap/>
            <w:vAlign w:val="center"/>
            <w:hideMark/>
          </w:tcPr>
          <w:p w14:paraId="25AACCD2" w14:textId="77777777" w:rsidR="009218FA" w:rsidRPr="009218FA" w:rsidRDefault="009218FA" w:rsidP="009218FA">
            <w:pPr>
              <w:pStyle w:val="ExhibitText"/>
              <w:jc w:val="right"/>
              <w:rPr>
                <w:sz w:val="18"/>
                <w:szCs w:val="18"/>
              </w:rPr>
            </w:pPr>
          </w:p>
        </w:tc>
        <w:tc>
          <w:tcPr>
            <w:tcW w:w="1087" w:type="dxa"/>
            <w:shd w:val="clear" w:color="auto" w:fill="auto"/>
            <w:noWrap/>
            <w:vAlign w:val="center"/>
            <w:hideMark/>
          </w:tcPr>
          <w:p w14:paraId="2480599A" w14:textId="77777777" w:rsidR="009218FA" w:rsidRPr="009218FA" w:rsidRDefault="009218FA" w:rsidP="009218FA">
            <w:pPr>
              <w:pStyle w:val="ExhibitText"/>
              <w:jc w:val="right"/>
              <w:rPr>
                <w:sz w:val="18"/>
                <w:szCs w:val="18"/>
              </w:rPr>
            </w:pPr>
          </w:p>
        </w:tc>
      </w:tr>
      <w:tr w:rsidR="009218FA" w:rsidRPr="00565022" w14:paraId="60143F6C" w14:textId="77777777" w:rsidTr="00263A51">
        <w:trPr>
          <w:trHeight w:val="348"/>
          <w:jc w:val="center"/>
        </w:trPr>
        <w:tc>
          <w:tcPr>
            <w:tcW w:w="3718" w:type="dxa"/>
            <w:shd w:val="clear" w:color="auto" w:fill="auto"/>
            <w:noWrap/>
            <w:vAlign w:val="center"/>
            <w:hideMark/>
          </w:tcPr>
          <w:p w14:paraId="183B0BBF" w14:textId="77777777" w:rsidR="009218FA" w:rsidRPr="009218FA" w:rsidRDefault="009218FA" w:rsidP="00984781">
            <w:pPr>
              <w:pStyle w:val="ExhibitText"/>
              <w:jc w:val="left"/>
              <w:rPr>
                <w:b/>
                <w:bCs/>
                <w:color w:val="000000"/>
                <w:sz w:val="18"/>
                <w:szCs w:val="18"/>
              </w:rPr>
            </w:pPr>
            <w:r w:rsidRPr="009218FA">
              <w:rPr>
                <w:b/>
                <w:bCs/>
                <w:color w:val="000000"/>
                <w:sz w:val="18"/>
                <w:szCs w:val="18"/>
              </w:rPr>
              <w:t>TOTAL REVENUE</w:t>
            </w:r>
          </w:p>
        </w:tc>
        <w:tc>
          <w:tcPr>
            <w:tcW w:w="1073" w:type="dxa"/>
            <w:shd w:val="clear" w:color="auto" w:fill="auto"/>
            <w:noWrap/>
            <w:vAlign w:val="center"/>
            <w:hideMark/>
          </w:tcPr>
          <w:p w14:paraId="2C3E52C3" w14:textId="77777777" w:rsidR="009218FA" w:rsidRPr="009218FA" w:rsidRDefault="009218FA" w:rsidP="009218FA">
            <w:pPr>
              <w:pStyle w:val="ExhibitText"/>
              <w:jc w:val="right"/>
              <w:rPr>
                <w:b/>
                <w:bCs/>
                <w:color w:val="000000"/>
                <w:sz w:val="18"/>
                <w:szCs w:val="18"/>
              </w:rPr>
            </w:pPr>
            <w:r w:rsidRPr="009218FA">
              <w:rPr>
                <w:b/>
                <w:bCs/>
                <w:color w:val="000000"/>
                <w:sz w:val="18"/>
                <w:szCs w:val="18"/>
              </w:rPr>
              <w:t>5,400.40</w:t>
            </w:r>
          </w:p>
        </w:tc>
        <w:tc>
          <w:tcPr>
            <w:tcW w:w="1073" w:type="dxa"/>
            <w:shd w:val="clear" w:color="auto" w:fill="auto"/>
            <w:noWrap/>
            <w:vAlign w:val="center"/>
            <w:hideMark/>
          </w:tcPr>
          <w:p w14:paraId="6DF9DB67" w14:textId="77777777" w:rsidR="009218FA" w:rsidRPr="009218FA" w:rsidRDefault="009218FA" w:rsidP="009218FA">
            <w:pPr>
              <w:pStyle w:val="ExhibitText"/>
              <w:jc w:val="right"/>
              <w:rPr>
                <w:b/>
                <w:bCs/>
                <w:color w:val="000000"/>
                <w:sz w:val="18"/>
                <w:szCs w:val="18"/>
              </w:rPr>
            </w:pPr>
            <w:r w:rsidRPr="009218FA">
              <w:rPr>
                <w:b/>
                <w:bCs/>
                <w:color w:val="000000"/>
                <w:sz w:val="18"/>
                <w:szCs w:val="18"/>
              </w:rPr>
              <w:t>6,005.00</w:t>
            </w:r>
          </w:p>
        </w:tc>
        <w:tc>
          <w:tcPr>
            <w:tcW w:w="1087" w:type="dxa"/>
            <w:shd w:val="clear" w:color="auto" w:fill="auto"/>
            <w:noWrap/>
            <w:vAlign w:val="center"/>
            <w:hideMark/>
          </w:tcPr>
          <w:p w14:paraId="2562F315" w14:textId="77777777" w:rsidR="009218FA" w:rsidRPr="009218FA" w:rsidRDefault="009218FA" w:rsidP="009218FA">
            <w:pPr>
              <w:pStyle w:val="ExhibitText"/>
              <w:jc w:val="right"/>
              <w:rPr>
                <w:b/>
                <w:bCs/>
                <w:color w:val="000000"/>
                <w:sz w:val="18"/>
                <w:szCs w:val="18"/>
              </w:rPr>
            </w:pPr>
            <w:r w:rsidRPr="009218FA">
              <w:rPr>
                <w:b/>
                <w:bCs/>
                <w:color w:val="000000"/>
                <w:sz w:val="18"/>
                <w:szCs w:val="18"/>
              </w:rPr>
              <w:t>6,493.70</w:t>
            </w:r>
          </w:p>
        </w:tc>
      </w:tr>
      <w:tr w:rsidR="009218FA" w:rsidRPr="00565022" w14:paraId="7BE4C0E4" w14:textId="77777777" w:rsidTr="00263A51">
        <w:trPr>
          <w:trHeight w:val="348"/>
          <w:jc w:val="center"/>
        </w:trPr>
        <w:tc>
          <w:tcPr>
            <w:tcW w:w="3718" w:type="dxa"/>
            <w:shd w:val="clear" w:color="auto" w:fill="auto"/>
            <w:noWrap/>
            <w:vAlign w:val="center"/>
            <w:hideMark/>
          </w:tcPr>
          <w:p w14:paraId="03D2076D" w14:textId="5D8A31EE" w:rsidR="009218FA" w:rsidRPr="009218FA" w:rsidRDefault="009218FA" w:rsidP="00984781">
            <w:pPr>
              <w:pStyle w:val="ExhibitText"/>
              <w:jc w:val="left"/>
              <w:rPr>
                <w:color w:val="000000"/>
                <w:sz w:val="18"/>
                <w:szCs w:val="18"/>
              </w:rPr>
            </w:pPr>
            <w:r w:rsidRPr="009218FA">
              <w:rPr>
                <w:color w:val="000000"/>
                <w:sz w:val="18"/>
                <w:szCs w:val="18"/>
              </w:rPr>
              <w:t xml:space="preserve">Net </w:t>
            </w:r>
            <w:r w:rsidR="00941BAA">
              <w:rPr>
                <w:color w:val="000000"/>
                <w:sz w:val="18"/>
                <w:szCs w:val="18"/>
              </w:rPr>
              <w:t>p</w:t>
            </w:r>
            <w:r w:rsidRPr="009218FA">
              <w:rPr>
                <w:color w:val="000000"/>
                <w:sz w:val="18"/>
                <w:szCs w:val="18"/>
              </w:rPr>
              <w:t xml:space="preserve">remiums </w:t>
            </w:r>
            <w:r w:rsidR="00941BAA">
              <w:rPr>
                <w:color w:val="000000"/>
                <w:sz w:val="18"/>
                <w:szCs w:val="18"/>
              </w:rPr>
              <w:t>e</w:t>
            </w:r>
            <w:r w:rsidRPr="009218FA">
              <w:rPr>
                <w:color w:val="000000"/>
                <w:sz w:val="18"/>
                <w:szCs w:val="18"/>
              </w:rPr>
              <w:t>arned</w:t>
            </w:r>
          </w:p>
        </w:tc>
        <w:tc>
          <w:tcPr>
            <w:tcW w:w="1073" w:type="dxa"/>
            <w:shd w:val="clear" w:color="auto" w:fill="auto"/>
            <w:noWrap/>
            <w:vAlign w:val="center"/>
            <w:hideMark/>
          </w:tcPr>
          <w:p w14:paraId="2B73975F" w14:textId="77777777" w:rsidR="009218FA" w:rsidRPr="009218FA" w:rsidRDefault="009218FA" w:rsidP="009218FA">
            <w:pPr>
              <w:pStyle w:val="ExhibitText"/>
              <w:jc w:val="right"/>
              <w:rPr>
                <w:color w:val="000000"/>
                <w:sz w:val="18"/>
                <w:szCs w:val="18"/>
              </w:rPr>
            </w:pPr>
            <w:r w:rsidRPr="009218FA">
              <w:rPr>
                <w:color w:val="000000"/>
                <w:sz w:val="18"/>
                <w:szCs w:val="18"/>
              </w:rPr>
              <w:t>5,062.30</w:t>
            </w:r>
          </w:p>
        </w:tc>
        <w:tc>
          <w:tcPr>
            <w:tcW w:w="1073" w:type="dxa"/>
            <w:shd w:val="clear" w:color="auto" w:fill="auto"/>
            <w:noWrap/>
            <w:vAlign w:val="center"/>
            <w:hideMark/>
          </w:tcPr>
          <w:p w14:paraId="0C82E8E3" w14:textId="77777777" w:rsidR="009218FA" w:rsidRPr="009218FA" w:rsidRDefault="009218FA" w:rsidP="009218FA">
            <w:pPr>
              <w:pStyle w:val="ExhibitText"/>
              <w:jc w:val="right"/>
              <w:rPr>
                <w:color w:val="000000"/>
                <w:sz w:val="18"/>
                <w:szCs w:val="18"/>
              </w:rPr>
            </w:pPr>
            <w:r w:rsidRPr="009218FA">
              <w:rPr>
                <w:color w:val="000000"/>
                <w:sz w:val="18"/>
                <w:szCs w:val="18"/>
              </w:rPr>
              <w:t>5,344.10</w:t>
            </w:r>
          </w:p>
        </w:tc>
        <w:tc>
          <w:tcPr>
            <w:tcW w:w="1087" w:type="dxa"/>
            <w:shd w:val="clear" w:color="auto" w:fill="auto"/>
            <w:noWrap/>
            <w:vAlign w:val="center"/>
            <w:hideMark/>
          </w:tcPr>
          <w:p w14:paraId="152D09FC" w14:textId="77777777" w:rsidR="009218FA" w:rsidRPr="009218FA" w:rsidRDefault="009218FA" w:rsidP="009218FA">
            <w:pPr>
              <w:pStyle w:val="ExhibitText"/>
              <w:jc w:val="right"/>
              <w:rPr>
                <w:color w:val="000000"/>
                <w:sz w:val="18"/>
                <w:szCs w:val="18"/>
              </w:rPr>
            </w:pPr>
            <w:r w:rsidRPr="009218FA">
              <w:rPr>
                <w:color w:val="000000"/>
                <w:sz w:val="18"/>
                <w:szCs w:val="18"/>
              </w:rPr>
              <w:t>5,648.70</w:t>
            </w:r>
          </w:p>
        </w:tc>
      </w:tr>
      <w:tr w:rsidR="009218FA" w:rsidRPr="00565022" w14:paraId="4189BBAE" w14:textId="77777777" w:rsidTr="00263A51">
        <w:trPr>
          <w:trHeight w:val="348"/>
          <w:jc w:val="center"/>
        </w:trPr>
        <w:tc>
          <w:tcPr>
            <w:tcW w:w="3718" w:type="dxa"/>
            <w:shd w:val="clear" w:color="auto" w:fill="auto"/>
            <w:noWrap/>
            <w:vAlign w:val="center"/>
            <w:hideMark/>
          </w:tcPr>
          <w:p w14:paraId="11C8DB73" w14:textId="19AA6203" w:rsidR="009218FA" w:rsidRPr="009218FA" w:rsidRDefault="009218FA" w:rsidP="00984781">
            <w:pPr>
              <w:pStyle w:val="ExhibitText"/>
              <w:jc w:val="left"/>
              <w:rPr>
                <w:color w:val="000000"/>
                <w:sz w:val="18"/>
                <w:szCs w:val="18"/>
              </w:rPr>
            </w:pPr>
            <w:r w:rsidRPr="009218FA">
              <w:rPr>
                <w:color w:val="000000"/>
                <w:sz w:val="18"/>
                <w:szCs w:val="18"/>
              </w:rPr>
              <w:t xml:space="preserve">Investment </w:t>
            </w:r>
            <w:r w:rsidR="00941BAA">
              <w:rPr>
                <w:color w:val="000000"/>
                <w:sz w:val="18"/>
                <w:szCs w:val="18"/>
              </w:rPr>
              <w:t>i</w:t>
            </w:r>
            <w:r w:rsidRPr="009218FA">
              <w:rPr>
                <w:color w:val="000000"/>
                <w:sz w:val="18"/>
                <w:szCs w:val="18"/>
              </w:rPr>
              <w:t>ncome</w:t>
            </w:r>
          </w:p>
        </w:tc>
        <w:tc>
          <w:tcPr>
            <w:tcW w:w="1073" w:type="dxa"/>
            <w:shd w:val="clear" w:color="auto" w:fill="auto"/>
            <w:noWrap/>
            <w:vAlign w:val="center"/>
            <w:hideMark/>
          </w:tcPr>
          <w:p w14:paraId="61977E8D" w14:textId="77777777" w:rsidR="009218FA" w:rsidRPr="009218FA" w:rsidRDefault="009218FA" w:rsidP="009218FA">
            <w:pPr>
              <w:pStyle w:val="ExhibitText"/>
              <w:jc w:val="right"/>
              <w:rPr>
                <w:color w:val="000000"/>
                <w:sz w:val="18"/>
                <w:szCs w:val="18"/>
              </w:rPr>
            </w:pPr>
            <w:r w:rsidRPr="009218FA">
              <w:rPr>
                <w:color w:val="000000"/>
                <w:sz w:val="18"/>
                <w:szCs w:val="18"/>
              </w:rPr>
              <w:t>43.4</w:t>
            </w:r>
          </w:p>
        </w:tc>
        <w:tc>
          <w:tcPr>
            <w:tcW w:w="1073" w:type="dxa"/>
            <w:shd w:val="clear" w:color="auto" w:fill="auto"/>
            <w:noWrap/>
            <w:vAlign w:val="center"/>
            <w:hideMark/>
          </w:tcPr>
          <w:p w14:paraId="0BDED4C5" w14:textId="77777777" w:rsidR="009218FA" w:rsidRPr="009218FA" w:rsidRDefault="009218FA" w:rsidP="009218FA">
            <w:pPr>
              <w:pStyle w:val="ExhibitText"/>
              <w:jc w:val="right"/>
              <w:rPr>
                <w:color w:val="000000"/>
                <w:sz w:val="18"/>
                <w:szCs w:val="18"/>
              </w:rPr>
            </w:pPr>
            <w:r w:rsidRPr="009218FA">
              <w:rPr>
                <w:color w:val="000000"/>
                <w:sz w:val="18"/>
                <w:szCs w:val="18"/>
              </w:rPr>
              <w:t>144.4</w:t>
            </w:r>
          </w:p>
        </w:tc>
        <w:tc>
          <w:tcPr>
            <w:tcW w:w="1087" w:type="dxa"/>
            <w:shd w:val="clear" w:color="auto" w:fill="auto"/>
            <w:noWrap/>
            <w:vAlign w:val="center"/>
            <w:hideMark/>
          </w:tcPr>
          <w:p w14:paraId="7E955278" w14:textId="77777777" w:rsidR="009218FA" w:rsidRPr="009218FA" w:rsidRDefault="009218FA" w:rsidP="009218FA">
            <w:pPr>
              <w:pStyle w:val="ExhibitText"/>
              <w:jc w:val="right"/>
              <w:rPr>
                <w:color w:val="000000"/>
                <w:sz w:val="18"/>
                <w:szCs w:val="18"/>
              </w:rPr>
            </w:pPr>
            <w:r w:rsidRPr="009218FA">
              <w:rPr>
                <w:color w:val="000000"/>
                <w:sz w:val="18"/>
                <w:szCs w:val="18"/>
              </w:rPr>
              <w:t>113.9</w:t>
            </w:r>
          </w:p>
        </w:tc>
      </w:tr>
      <w:tr w:rsidR="009218FA" w:rsidRPr="00565022" w14:paraId="45E49A7F" w14:textId="77777777" w:rsidTr="00263A51">
        <w:trPr>
          <w:trHeight w:val="395"/>
          <w:jc w:val="center"/>
        </w:trPr>
        <w:tc>
          <w:tcPr>
            <w:tcW w:w="3718" w:type="dxa"/>
            <w:shd w:val="clear" w:color="auto" w:fill="auto"/>
            <w:noWrap/>
            <w:vAlign w:val="center"/>
            <w:hideMark/>
          </w:tcPr>
          <w:p w14:paraId="5BF1E63D" w14:textId="735D78F2" w:rsidR="009218FA" w:rsidRPr="009218FA" w:rsidRDefault="009218FA" w:rsidP="00984781">
            <w:pPr>
              <w:pStyle w:val="ExhibitText"/>
              <w:jc w:val="left"/>
              <w:rPr>
                <w:color w:val="000000"/>
                <w:sz w:val="18"/>
                <w:szCs w:val="18"/>
              </w:rPr>
            </w:pPr>
            <w:r w:rsidRPr="009218FA">
              <w:rPr>
                <w:color w:val="000000"/>
                <w:sz w:val="18"/>
                <w:szCs w:val="18"/>
              </w:rPr>
              <w:t xml:space="preserve">Other </w:t>
            </w:r>
            <w:r w:rsidR="00941BAA">
              <w:rPr>
                <w:color w:val="000000"/>
                <w:sz w:val="18"/>
                <w:szCs w:val="18"/>
              </w:rPr>
              <w:t>o</w:t>
            </w:r>
            <w:r w:rsidRPr="009218FA">
              <w:rPr>
                <w:color w:val="000000"/>
                <w:sz w:val="18"/>
                <w:szCs w:val="18"/>
              </w:rPr>
              <w:t xml:space="preserve">perating </w:t>
            </w:r>
            <w:r w:rsidR="00941BAA">
              <w:rPr>
                <w:color w:val="000000"/>
                <w:sz w:val="18"/>
                <w:szCs w:val="18"/>
              </w:rPr>
              <w:t>i</w:t>
            </w:r>
            <w:r w:rsidRPr="009218FA">
              <w:rPr>
                <w:color w:val="000000"/>
                <w:sz w:val="18"/>
                <w:szCs w:val="18"/>
              </w:rPr>
              <w:t>ncome</w:t>
            </w:r>
          </w:p>
        </w:tc>
        <w:tc>
          <w:tcPr>
            <w:tcW w:w="1073" w:type="dxa"/>
            <w:shd w:val="clear" w:color="auto" w:fill="auto"/>
            <w:noWrap/>
            <w:vAlign w:val="center"/>
            <w:hideMark/>
          </w:tcPr>
          <w:p w14:paraId="6A1A9ECE" w14:textId="77777777" w:rsidR="009218FA" w:rsidRPr="009218FA" w:rsidRDefault="009218FA" w:rsidP="009218FA">
            <w:pPr>
              <w:pStyle w:val="ExhibitText"/>
              <w:jc w:val="right"/>
              <w:rPr>
                <w:color w:val="000000"/>
                <w:sz w:val="18"/>
                <w:szCs w:val="18"/>
              </w:rPr>
            </w:pPr>
            <w:r w:rsidRPr="009218FA">
              <w:rPr>
                <w:color w:val="000000"/>
                <w:sz w:val="18"/>
                <w:szCs w:val="18"/>
              </w:rPr>
              <w:t>294.7</w:t>
            </w:r>
          </w:p>
        </w:tc>
        <w:tc>
          <w:tcPr>
            <w:tcW w:w="1073" w:type="dxa"/>
            <w:shd w:val="clear" w:color="auto" w:fill="auto"/>
            <w:noWrap/>
            <w:vAlign w:val="center"/>
            <w:hideMark/>
          </w:tcPr>
          <w:p w14:paraId="1A4B2D37" w14:textId="77777777" w:rsidR="009218FA" w:rsidRPr="009218FA" w:rsidRDefault="009218FA" w:rsidP="009218FA">
            <w:pPr>
              <w:pStyle w:val="ExhibitText"/>
              <w:jc w:val="right"/>
              <w:rPr>
                <w:color w:val="000000"/>
                <w:sz w:val="18"/>
                <w:szCs w:val="18"/>
              </w:rPr>
            </w:pPr>
            <w:r w:rsidRPr="009218FA">
              <w:rPr>
                <w:color w:val="000000"/>
                <w:sz w:val="18"/>
                <w:szCs w:val="18"/>
              </w:rPr>
              <w:t>516.6</w:t>
            </w:r>
          </w:p>
        </w:tc>
        <w:tc>
          <w:tcPr>
            <w:tcW w:w="1087" w:type="dxa"/>
            <w:shd w:val="clear" w:color="auto" w:fill="auto"/>
            <w:noWrap/>
            <w:vAlign w:val="center"/>
            <w:hideMark/>
          </w:tcPr>
          <w:p w14:paraId="51124B6E" w14:textId="77777777" w:rsidR="009218FA" w:rsidRPr="009218FA" w:rsidRDefault="009218FA" w:rsidP="009218FA">
            <w:pPr>
              <w:pStyle w:val="ExhibitText"/>
              <w:jc w:val="right"/>
              <w:rPr>
                <w:color w:val="000000"/>
                <w:sz w:val="18"/>
                <w:szCs w:val="18"/>
              </w:rPr>
            </w:pPr>
            <w:r w:rsidRPr="009218FA">
              <w:rPr>
                <w:color w:val="000000"/>
                <w:sz w:val="18"/>
                <w:szCs w:val="18"/>
              </w:rPr>
              <w:t>733.4</w:t>
            </w:r>
          </w:p>
        </w:tc>
      </w:tr>
      <w:tr w:rsidR="009218FA" w:rsidRPr="00565022" w14:paraId="0C388993" w14:textId="77777777" w:rsidTr="00263A51">
        <w:trPr>
          <w:trHeight w:val="348"/>
          <w:jc w:val="center"/>
        </w:trPr>
        <w:tc>
          <w:tcPr>
            <w:tcW w:w="3718" w:type="dxa"/>
            <w:shd w:val="clear" w:color="auto" w:fill="auto"/>
            <w:noWrap/>
            <w:vAlign w:val="center"/>
          </w:tcPr>
          <w:p w14:paraId="6E07C450" w14:textId="77777777" w:rsidR="009218FA" w:rsidRPr="009218FA" w:rsidRDefault="009218FA" w:rsidP="00984781">
            <w:pPr>
              <w:pStyle w:val="ExhibitText"/>
              <w:jc w:val="left"/>
              <w:rPr>
                <w:b/>
                <w:bCs/>
                <w:color w:val="000000"/>
                <w:sz w:val="18"/>
                <w:szCs w:val="18"/>
              </w:rPr>
            </w:pPr>
          </w:p>
        </w:tc>
        <w:tc>
          <w:tcPr>
            <w:tcW w:w="1073" w:type="dxa"/>
            <w:shd w:val="clear" w:color="auto" w:fill="auto"/>
            <w:noWrap/>
            <w:vAlign w:val="center"/>
          </w:tcPr>
          <w:p w14:paraId="3B032A86" w14:textId="77777777" w:rsidR="009218FA" w:rsidRPr="009218FA" w:rsidRDefault="009218FA" w:rsidP="009218FA">
            <w:pPr>
              <w:pStyle w:val="ExhibitText"/>
              <w:jc w:val="right"/>
              <w:rPr>
                <w:b/>
                <w:bCs/>
                <w:color w:val="000000"/>
                <w:sz w:val="18"/>
                <w:szCs w:val="18"/>
              </w:rPr>
            </w:pPr>
          </w:p>
        </w:tc>
        <w:tc>
          <w:tcPr>
            <w:tcW w:w="1073" w:type="dxa"/>
            <w:shd w:val="clear" w:color="auto" w:fill="auto"/>
            <w:noWrap/>
            <w:vAlign w:val="center"/>
          </w:tcPr>
          <w:p w14:paraId="03831B18" w14:textId="77777777" w:rsidR="009218FA" w:rsidRPr="009218FA" w:rsidRDefault="009218FA" w:rsidP="009218FA">
            <w:pPr>
              <w:pStyle w:val="ExhibitText"/>
              <w:jc w:val="right"/>
              <w:rPr>
                <w:b/>
                <w:bCs/>
                <w:color w:val="000000"/>
                <w:sz w:val="18"/>
                <w:szCs w:val="18"/>
              </w:rPr>
            </w:pPr>
          </w:p>
        </w:tc>
        <w:tc>
          <w:tcPr>
            <w:tcW w:w="1087" w:type="dxa"/>
            <w:shd w:val="clear" w:color="auto" w:fill="auto"/>
            <w:noWrap/>
            <w:vAlign w:val="center"/>
          </w:tcPr>
          <w:p w14:paraId="57B314F9" w14:textId="77777777" w:rsidR="009218FA" w:rsidRPr="009218FA" w:rsidRDefault="009218FA" w:rsidP="009218FA">
            <w:pPr>
              <w:pStyle w:val="ExhibitText"/>
              <w:jc w:val="right"/>
              <w:rPr>
                <w:b/>
                <w:bCs/>
                <w:color w:val="000000"/>
                <w:sz w:val="18"/>
                <w:szCs w:val="18"/>
              </w:rPr>
            </w:pPr>
          </w:p>
        </w:tc>
      </w:tr>
      <w:tr w:rsidR="009218FA" w:rsidRPr="00565022" w14:paraId="41EF6D33" w14:textId="77777777" w:rsidTr="00263A51">
        <w:trPr>
          <w:trHeight w:val="348"/>
          <w:jc w:val="center"/>
        </w:trPr>
        <w:tc>
          <w:tcPr>
            <w:tcW w:w="3718" w:type="dxa"/>
            <w:shd w:val="clear" w:color="auto" w:fill="auto"/>
            <w:noWrap/>
            <w:vAlign w:val="center"/>
            <w:hideMark/>
          </w:tcPr>
          <w:p w14:paraId="70027C34" w14:textId="77777777" w:rsidR="009218FA" w:rsidRPr="009218FA" w:rsidRDefault="009218FA" w:rsidP="00984781">
            <w:pPr>
              <w:pStyle w:val="ExhibitText"/>
              <w:jc w:val="left"/>
              <w:rPr>
                <w:b/>
                <w:bCs/>
                <w:color w:val="000000"/>
                <w:sz w:val="18"/>
                <w:szCs w:val="18"/>
              </w:rPr>
            </w:pPr>
            <w:r w:rsidRPr="009218FA">
              <w:rPr>
                <w:b/>
                <w:bCs/>
                <w:color w:val="000000"/>
                <w:sz w:val="18"/>
                <w:szCs w:val="18"/>
              </w:rPr>
              <w:t xml:space="preserve">TOTAL COST OF </w:t>
            </w:r>
            <w:r w:rsidRPr="00326209">
              <w:rPr>
                <w:b/>
                <w:bCs/>
                <w:color w:val="000000"/>
                <w:sz w:val="18"/>
                <w:szCs w:val="18"/>
              </w:rPr>
              <w:t>SALES</w:t>
            </w:r>
          </w:p>
        </w:tc>
        <w:tc>
          <w:tcPr>
            <w:tcW w:w="1073" w:type="dxa"/>
            <w:shd w:val="clear" w:color="auto" w:fill="auto"/>
            <w:noWrap/>
            <w:vAlign w:val="center"/>
            <w:hideMark/>
          </w:tcPr>
          <w:p w14:paraId="2A63D2C0" w14:textId="77777777" w:rsidR="009218FA" w:rsidRPr="009218FA" w:rsidRDefault="009218FA" w:rsidP="009218FA">
            <w:pPr>
              <w:pStyle w:val="ExhibitText"/>
              <w:jc w:val="right"/>
              <w:rPr>
                <w:b/>
                <w:bCs/>
                <w:color w:val="000000"/>
                <w:sz w:val="18"/>
                <w:szCs w:val="18"/>
              </w:rPr>
            </w:pPr>
            <w:r w:rsidRPr="009218FA">
              <w:rPr>
                <w:b/>
                <w:bCs/>
                <w:color w:val="000000"/>
                <w:sz w:val="18"/>
                <w:szCs w:val="18"/>
              </w:rPr>
              <w:t>5,202.30</w:t>
            </w:r>
          </w:p>
        </w:tc>
        <w:tc>
          <w:tcPr>
            <w:tcW w:w="1073" w:type="dxa"/>
            <w:shd w:val="clear" w:color="auto" w:fill="auto"/>
            <w:noWrap/>
            <w:vAlign w:val="center"/>
            <w:hideMark/>
          </w:tcPr>
          <w:p w14:paraId="5298CCF7" w14:textId="77777777" w:rsidR="009218FA" w:rsidRPr="009218FA" w:rsidRDefault="009218FA" w:rsidP="009218FA">
            <w:pPr>
              <w:pStyle w:val="ExhibitText"/>
              <w:jc w:val="right"/>
              <w:rPr>
                <w:b/>
                <w:bCs/>
                <w:color w:val="000000"/>
                <w:sz w:val="18"/>
                <w:szCs w:val="18"/>
              </w:rPr>
            </w:pPr>
            <w:r w:rsidRPr="009218FA">
              <w:rPr>
                <w:b/>
                <w:bCs/>
                <w:color w:val="000000"/>
                <w:sz w:val="18"/>
                <w:szCs w:val="18"/>
              </w:rPr>
              <w:t>5,683.90</w:t>
            </w:r>
          </w:p>
        </w:tc>
        <w:tc>
          <w:tcPr>
            <w:tcW w:w="1087" w:type="dxa"/>
            <w:shd w:val="clear" w:color="auto" w:fill="auto"/>
            <w:noWrap/>
            <w:vAlign w:val="center"/>
            <w:hideMark/>
          </w:tcPr>
          <w:p w14:paraId="4AFC08EE" w14:textId="77777777" w:rsidR="009218FA" w:rsidRPr="009218FA" w:rsidRDefault="009218FA" w:rsidP="009218FA">
            <w:pPr>
              <w:pStyle w:val="ExhibitText"/>
              <w:jc w:val="right"/>
              <w:rPr>
                <w:b/>
                <w:bCs/>
                <w:color w:val="000000"/>
                <w:sz w:val="18"/>
                <w:szCs w:val="18"/>
              </w:rPr>
            </w:pPr>
            <w:r w:rsidRPr="009218FA">
              <w:rPr>
                <w:b/>
                <w:bCs/>
                <w:color w:val="000000"/>
                <w:sz w:val="18"/>
                <w:szCs w:val="18"/>
              </w:rPr>
              <w:t>6,143.90</w:t>
            </w:r>
          </w:p>
        </w:tc>
      </w:tr>
      <w:tr w:rsidR="009218FA" w:rsidRPr="00565022" w14:paraId="49ACE72B" w14:textId="77777777" w:rsidTr="00263A51">
        <w:trPr>
          <w:trHeight w:val="348"/>
          <w:jc w:val="center"/>
        </w:trPr>
        <w:tc>
          <w:tcPr>
            <w:tcW w:w="3718" w:type="dxa"/>
            <w:shd w:val="clear" w:color="auto" w:fill="auto"/>
            <w:noWrap/>
            <w:vAlign w:val="center"/>
            <w:hideMark/>
          </w:tcPr>
          <w:p w14:paraId="193D1618" w14:textId="77777777" w:rsidR="009218FA" w:rsidRPr="009218FA" w:rsidRDefault="009218FA" w:rsidP="00984781">
            <w:pPr>
              <w:pStyle w:val="ExhibitText"/>
              <w:jc w:val="left"/>
              <w:rPr>
                <w:color w:val="000000"/>
                <w:sz w:val="18"/>
                <w:szCs w:val="18"/>
              </w:rPr>
            </w:pPr>
            <w:r w:rsidRPr="009218FA">
              <w:rPr>
                <w:color w:val="000000"/>
                <w:sz w:val="18"/>
                <w:szCs w:val="18"/>
              </w:rPr>
              <w:t>Claims and losses</w:t>
            </w:r>
          </w:p>
        </w:tc>
        <w:tc>
          <w:tcPr>
            <w:tcW w:w="1073" w:type="dxa"/>
            <w:shd w:val="clear" w:color="auto" w:fill="auto"/>
            <w:noWrap/>
            <w:vAlign w:val="center"/>
            <w:hideMark/>
          </w:tcPr>
          <w:p w14:paraId="57856505" w14:textId="7481524C" w:rsidR="009218FA" w:rsidRPr="009218FA" w:rsidRDefault="00F025C8" w:rsidP="009218FA">
            <w:pPr>
              <w:pStyle w:val="ExhibitText"/>
              <w:jc w:val="right"/>
              <w:rPr>
                <w:color w:val="000000"/>
                <w:sz w:val="18"/>
                <w:szCs w:val="18"/>
              </w:rPr>
            </w:pPr>
            <w:r w:rsidRPr="00F025C8">
              <w:rPr>
                <w:color w:val="000000"/>
                <w:sz w:val="18"/>
                <w:szCs w:val="18"/>
              </w:rPr>
              <w:t>−</w:t>
            </w:r>
            <w:r w:rsidR="009218FA" w:rsidRPr="009218FA">
              <w:rPr>
                <w:color w:val="000000"/>
                <w:sz w:val="18"/>
                <w:szCs w:val="18"/>
              </w:rPr>
              <w:t>4</w:t>
            </w:r>
            <w:r w:rsidR="00941BAA">
              <w:rPr>
                <w:color w:val="000000"/>
                <w:sz w:val="18"/>
                <w:szCs w:val="18"/>
              </w:rPr>
              <w:t>,</w:t>
            </w:r>
            <w:r w:rsidR="009218FA" w:rsidRPr="009218FA">
              <w:rPr>
                <w:color w:val="000000"/>
                <w:sz w:val="18"/>
                <w:szCs w:val="18"/>
              </w:rPr>
              <w:t>305.2</w:t>
            </w:r>
          </w:p>
        </w:tc>
        <w:tc>
          <w:tcPr>
            <w:tcW w:w="1073" w:type="dxa"/>
            <w:shd w:val="clear" w:color="auto" w:fill="auto"/>
            <w:noWrap/>
            <w:vAlign w:val="center"/>
            <w:hideMark/>
          </w:tcPr>
          <w:p w14:paraId="3381438A" w14:textId="203F2DD0" w:rsidR="009218FA" w:rsidRPr="009218FA" w:rsidRDefault="00F025C8" w:rsidP="009218FA">
            <w:pPr>
              <w:pStyle w:val="ExhibitText"/>
              <w:jc w:val="right"/>
              <w:rPr>
                <w:color w:val="000000"/>
                <w:sz w:val="18"/>
                <w:szCs w:val="18"/>
              </w:rPr>
            </w:pPr>
            <w:r w:rsidRPr="00F025C8">
              <w:rPr>
                <w:color w:val="000000"/>
                <w:sz w:val="18"/>
                <w:szCs w:val="18"/>
              </w:rPr>
              <w:t>−</w:t>
            </w:r>
            <w:r w:rsidR="009218FA" w:rsidRPr="009218FA">
              <w:rPr>
                <w:color w:val="000000"/>
                <w:sz w:val="18"/>
                <w:szCs w:val="18"/>
              </w:rPr>
              <w:t>4</w:t>
            </w:r>
            <w:r w:rsidR="00941BAA">
              <w:rPr>
                <w:color w:val="000000"/>
                <w:sz w:val="18"/>
                <w:szCs w:val="18"/>
              </w:rPr>
              <w:t>,</w:t>
            </w:r>
            <w:r w:rsidR="009218FA" w:rsidRPr="009218FA">
              <w:rPr>
                <w:color w:val="000000"/>
                <w:sz w:val="18"/>
                <w:szCs w:val="18"/>
              </w:rPr>
              <w:t>594.3</w:t>
            </w:r>
          </w:p>
        </w:tc>
        <w:tc>
          <w:tcPr>
            <w:tcW w:w="1087" w:type="dxa"/>
            <w:shd w:val="clear" w:color="auto" w:fill="auto"/>
            <w:noWrap/>
            <w:vAlign w:val="center"/>
            <w:hideMark/>
          </w:tcPr>
          <w:p w14:paraId="0108CCFE" w14:textId="32CD564F" w:rsidR="009218FA" w:rsidRPr="009218FA" w:rsidRDefault="00F025C8" w:rsidP="009218FA">
            <w:pPr>
              <w:pStyle w:val="ExhibitText"/>
              <w:jc w:val="right"/>
              <w:rPr>
                <w:color w:val="000000"/>
                <w:sz w:val="18"/>
                <w:szCs w:val="18"/>
              </w:rPr>
            </w:pPr>
            <w:r w:rsidRPr="00F025C8">
              <w:rPr>
                <w:color w:val="000000"/>
                <w:sz w:val="18"/>
                <w:szCs w:val="18"/>
              </w:rPr>
              <w:t>−</w:t>
            </w:r>
            <w:r w:rsidR="009218FA" w:rsidRPr="009218FA">
              <w:rPr>
                <w:color w:val="000000"/>
                <w:sz w:val="18"/>
                <w:szCs w:val="18"/>
              </w:rPr>
              <w:t>4</w:t>
            </w:r>
            <w:r w:rsidR="00941BAA">
              <w:rPr>
                <w:color w:val="000000"/>
                <w:sz w:val="18"/>
                <w:szCs w:val="18"/>
              </w:rPr>
              <w:t>,</w:t>
            </w:r>
            <w:r w:rsidR="009218FA" w:rsidRPr="009218FA">
              <w:rPr>
                <w:color w:val="000000"/>
                <w:sz w:val="18"/>
                <w:szCs w:val="18"/>
              </w:rPr>
              <w:t>854.2</w:t>
            </w:r>
          </w:p>
        </w:tc>
      </w:tr>
      <w:tr w:rsidR="009218FA" w:rsidRPr="00565022" w14:paraId="535FE884" w14:textId="77777777" w:rsidTr="00263A51">
        <w:trPr>
          <w:trHeight w:val="348"/>
          <w:jc w:val="center"/>
        </w:trPr>
        <w:tc>
          <w:tcPr>
            <w:tcW w:w="3718" w:type="dxa"/>
            <w:shd w:val="clear" w:color="auto" w:fill="auto"/>
            <w:noWrap/>
            <w:vAlign w:val="center"/>
            <w:hideMark/>
          </w:tcPr>
          <w:p w14:paraId="092D2DA0" w14:textId="77777777" w:rsidR="009218FA" w:rsidRPr="009218FA" w:rsidRDefault="009218FA" w:rsidP="00984781">
            <w:pPr>
              <w:pStyle w:val="ExhibitText"/>
              <w:jc w:val="left"/>
              <w:rPr>
                <w:color w:val="000000"/>
                <w:sz w:val="18"/>
                <w:szCs w:val="18"/>
              </w:rPr>
            </w:pPr>
            <w:r w:rsidRPr="009218FA">
              <w:rPr>
                <w:color w:val="000000"/>
                <w:sz w:val="18"/>
                <w:szCs w:val="18"/>
              </w:rPr>
              <w:t>Underwriting expense and acquisition cost</w:t>
            </w:r>
          </w:p>
        </w:tc>
        <w:tc>
          <w:tcPr>
            <w:tcW w:w="1073" w:type="dxa"/>
            <w:shd w:val="clear" w:color="auto" w:fill="auto"/>
            <w:noWrap/>
            <w:vAlign w:val="center"/>
            <w:hideMark/>
          </w:tcPr>
          <w:p w14:paraId="253BF944" w14:textId="0A74F510" w:rsidR="009218FA" w:rsidRPr="009218FA" w:rsidRDefault="00F025C8" w:rsidP="009218FA">
            <w:pPr>
              <w:pStyle w:val="ExhibitText"/>
              <w:jc w:val="right"/>
              <w:rPr>
                <w:color w:val="000000"/>
                <w:sz w:val="18"/>
                <w:szCs w:val="18"/>
              </w:rPr>
            </w:pPr>
            <w:r w:rsidRPr="00F025C8">
              <w:rPr>
                <w:color w:val="000000"/>
                <w:sz w:val="18"/>
                <w:szCs w:val="18"/>
              </w:rPr>
              <w:t>−</w:t>
            </w:r>
            <w:r w:rsidR="009218FA" w:rsidRPr="009218FA">
              <w:rPr>
                <w:color w:val="000000"/>
                <w:sz w:val="18"/>
                <w:szCs w:val="18"/>
              </w:rPr>
              <w:t>538.6</w:t>
            </w:r>
          </w:p>
        </w:tc>
        <w:tc>
          <w:tcPr>
            <w:tcW w:w="1073" w:type="dxa"/>
            <w:shd w:val="clear" w:color="auto" w:fill="auto"/>
            <w:noWrap/>
            <w:vAlign w:val="center"/>
            <w:hideMark/>
          </w:tcPr>
          <w:p w14:paraId="08D66AA4" w14:textId="43EA0A8E" w:rsidR="009218FA" w:rsidRPr="009218FA" w:rsidRDefault="00F025C8" w:rsidP="009218FA">
            <w:pPr>
              <w:pStyle w:val="ExhibitText"/>
              <w:jc w:val="right"/>
              <w:rPr>
                <w:color w:val="000000"/>
                <w:sz w:val="18"/>
                <w:szCs w:val="18"/>
              </w:rPr>
            </w:pPr>
            <w:r w:rsidRPr="00F025C8">
              <w:rPr>
                <w:color w:val="000000"/>
                <w:sz w:val="18"/>
                <w:szCs w:val="18"/>
              </w:rPr>
              <w:t>−</w:t>
            </w:r>
            <w:r w:rsidR="009218FA" w:rsidRPr="009218FA">
              <w:rPr>
                <w:color w:val="000000"/>
                <w:sz w:val="18"/>
                <w:szCs w:val="18"/>
              </w:rPr>
              <w:t>509.1</w:t>
            </w:r>
          </w:p>
        </w:tc>
        <w:tc>
          <w:tcPr>
            <w:tcW w:w="1087" w:type="dxa"/>
            <w:shd w:val="clear" w:color="auto" w:fill="auto"/>
            <w:noWrap/>
            <w:vAlign w:val="center"/>
            <w:hideMark/>
          </w:tcPr>
          <w:p w14:paraId="24C5CD40" w14:textId="04A3B5B8" w:rsidR="009218FA" w:rsidRPr="009218FA" w:rsidRDefault="00F025C8" w:rsidP="009218FA">
            <w:pPr>
              <w:pStyle w:val="ExhibitText"/>
              <w:jc w:val="right"/>
              <w:rPr>
                <w:color w:val="000000"/>
                <w:sz w:val="18"/>
                <w:szCs w:val="18"/>
              </w:rPr>
            </w:pPr>
            <w:r w:rsidRPr="00F025C8">
              <w:rPr>
                <w:color w:val="000000"/>
                <w:sz w:val="18"/>
                <w:szCs w:val="18"/>
              </w:rPr>
              <w:t>−</w:t>
            </w:r>
            <w:r w:rsidR="009218FA" w:rsidRPr="009218FA">
              <w:rPr>
                <w:color w:val="000000"/>
                <w:sz w:val="18"/>
                <w:szCs w:val="18"/>
              </w:rPr>
              <w:t>520.1</w:t>
            </w:r>
          </w:p>
        </w:tc>
      </w:tr>
      <w:tr w:rsidR="009218FA" w:rsidRPr="00565022" w14:paraId="7F4F1342" w14:textId="77777777" w:rsidTr="00263A51">
        <w:trPr>
          <w:trHeight w:val="348"/>
          <w:jc w:val="center"/>
        </w:trPr>
        <w:tc>
          <w:tcPr>
            <w:tcW w:w="3718" w:type="dxa"/>
            <w:shd w:val="clear" w:color="auto" w:fill="auto"/>
            <w:noWrap/>
            <w:vAlign w:val="center"/>
            <w:hideMark/>
          </w:tcPr>
          <w:p w14:paraId="2167E8BF" w14:textId="77777777" w:rsidR="009218FA" w:rsidRPr="009218FA" w:rsidRDefault="009218FA" w:rsidP="00984781">
            <w:pPr>
              <w:pStyle w:val="ExhibitText"/>
              <w:jc w:val="left"/>
              <w:rPr>
                <w:color w:val="000000"/>
                <w:sz w:val="18"/>
                <w:szCs w:val="18"/>
              </w:rPr>
            </w:pPr>
            <w:r w:rsidRPr="009218FA">
              <w:rPr>
                <w:color w:val="000000"/>
                <w:sz w:val="18"/>
                <w:szCs w:val="18"/>
              </w:rPr>
              <w:t>Other operating expenses*</w:t>
            </w:r>
          </w:p>
        </w:tc>
        <w:tc>
          <w:tcPr>
            <w:tcW w:w="1073" w:type="dxa"/>
            <w:shd w:val="clear" w:color="auto" w:fill="auto"/>
            <w:noWrap/>
            <w:vAlign w:val="center"/>
            <w:hideMark/>
          </w:tcPr>
          <w:p w14:paraId="2A58A43B" w14:textId="177EF5F0" w:rsidR="009218FA" w:rsidRPr="009218FA" w:rsidRDefault="00F025C8" w:rsidP="009218FA">
            <w:pPr>
              <w:pStyle w:val="ExhibitText"/>
              <w:jc w:val="right"/>
              <w:rPr>
                <w:color w:val="000000"/>
                <w:sz w:val="18"/>
                <w:szCs w:val="18"/>
              </w:rPr>
            </w:pPr>
            <w:r w:rsidRPr="00F025C8">
              <w:rPr>
                <w:color w:val="000000"/>
                <w:sz w:val="18"/>
                <w:szCs w:val="18"/>
              </w:rPr>
              <w:t>−</w:t>
            </w:r>
            <w:r w:rsidR="009218FA" w:rsidRPr="009218FA">
              <w:rPr>
                <w:color w:val="000000"/>
                <w:sz w:val="18"/>
                <w:szCs w:val="18"/>
              </w:rPr>
              <w:t>358.4</w:t>
            </w:r>
          </w:p>
        </w:tc>
        <w:tc>
          <w:tcPr>
            <w:tcW w:w="1073" w:type="dxa"/>
            <w:shd w:val="clear" w:color="auto" w:fill="auto"/>
            <w:noWrap/>
            <w:vAlign w:val="center"/>
            <w:hideMark/>
          </w:tcPr>
          <w:p w14:paraId="25A131CB" w14:textId="7CADC476" w:rsidR="009218FA" w:rsidRPr="009218FA" w:rsidRDefault="00F025C8" w:rsidP="009218FA">
            <w:pPr>
              <w:pStyle w:val="ExhibitText"/>
              <w:jc w:val="right"/>
              <w:rPr>
                <w:color w:val="000000"/>
                <w:sz w:val="18"/>
                <w:szCs w:val="18"/>
              </w:rPr>
            </w:pPr>
            <w:r w:rsidRPr="00F025C8">
              <w:rPr>
                <w:color w:val="000000"/>
                <w:sz w:val="18"/>
                <w:szCs w:val="18"/>
              </w:rPr>
              <w:t>−</w:t>
            </w:r>
            <w:r w:rsidR="009218FA" w:rsidRPr="009218FA">
              <w:rPr>
                <w:color w:val="000000"/>
                <w:sz w:val="18"/>
                <w:szCs w:val="18"/>
              </w:rPr>
              <w:t>580.5</w:t>
            </w:r>
          </w:p>
        </w:tc>
        <w:tc>
          <w:tcPr>
            <w:tcW w:w="1087" w:type="dxa"/>
            <w:shd w:val="clear" w:color="auto" w:fill="auto"/>
            <w:noWrap/>
            <w:vAlign w:val="center"/>
            <w:hideMark/>
          </w:tcPr>
          <w:p w14:paraId="340001BA" w14:textId="3156DFA0" w:rsidR="009218FA" w:rsidRPr="009218FA" w:rsidRDefault="00F025C8" w:rsidP="009218FA">
            <w:pPr>
              <w:pStyle w:val="ExhibitText"/>
              <w:jc w:val="right"/>
              <w:rPr>
                <w:color w:val="000000"/>
                <w:sz w:val="18"/>
                <w:szCs w:val="18"/>
              </w:rPr>
            </w:pPr>
            <w:r w:rsidRPr="00F025C8">
              <w:rPr>
                <w:color w:val="000000"/>
                <w:sz w:val="18"/>
                <w:szCs w:val="18"/>
              </w:rPr>
              <w:t>−</w:t>
            </w:r>
            <w:r w:rsidR="009218FA" w:rsidRPr="009218FA">
              <w:rPr>
                <w:color w:val="000000"/>
                <w:sz w:val="18"/>
                <w:szCs w:val="18"/>
              </w:rPr>
              <w:t>769.6</w:t>
            </w:r>
          </w:p>
        </w:tc>
      </w:tr>
      <w:tr w:rsidR="009218FA" w:rsidRPr="00565022" w14:paraId="519FD637" w14:textId="77777777" w:rsidTr="00263A51">
        <w:trPr>
          <w:trHeight w:val="348"/>
          <w:jc w:val="center"/>
        </w:trPr>
        <w:tc>
          <w:tcPr>
            <w:tcW w:w="3718" w:type="dxa"/>
            <w:shd w:val="clear" w:color="auto" w:fill="auto"/>
            <w:noWrap/>
            <w:vAlign w:val="center"/>
            <w:hideMark/>
          </w:tcPr>
          <w:p w14:paraId="17A2D140" w14:textId="77777777" w:rsidR="009218FA" w:rsidRPr="009218FA" w:rsidRDefault="009218FA" w:rsidP="00984781">
            <w:pPr>
              <w:pStyle w:val="ExhibitText"/>
              <w:jc w:val="left"/>
              <w:rPr>
                <w:color w:val="000000"/>
                <w:sz w:val="18"/>
                <w:szCs w:val="18"/>
              </w:rPr>
            </w:pPr>
          </w:p>
        </w:tc>
        <w:tc>
          <w:tcPr>
            <w:tcW w:w="1073" w:type="dxa"/>
            <w:shd w:val="clear" w:color="auto" w:fill="auto"/>
            <w:noWrap/>
            <w:vAlign w:val="center"/>
            <w:hideMark/>
          </w:tcPr>
          <w:p w14:paraId="5C424AE8" w14:textId="77777777" w:rsidR="009218FA" w:rsidRPr="009218FA" w:rsidRDefault="009218FA" w:rsidP="009218FA">
            <w:pPr>
              <w:pStyle w:val="ExhibitText"/>
              <w:jc w:val="right"/>
              <w:rPr>
                <w:sz w:val="18"/>
                <w:szCs w:val="18"/>
              </w:rPr>
            </w:pPr>
          </w:p>
        </w:tc>
        <w:tc>
          <w:tcPr>
            <w:tcW w:w="1073" w:type="dxa"/>
            <w:shd w:val="clear" w:color="auto" w:fill="auto"/>
            <w:noWrap/>
            <w:vAlign w:val="center"/>
            <w:hideMark/>
          </w:tcPr>
          <w:p w14:paraId="76408B22" w14:textId="77777777" w:rsidR="009218FA" w:rsidRPr="009218FA" w:rsidRDefault="009218FA" w:rsidP="009218FA">
            <w:pPr>
              <w:pStyle w:val="ExhibitText"/>
              <w:jc w:val="right"/>
              <w:rPr>
                <w:sz w:val="18"/>
                <w:szCs w:val="18"/>
              </w:rPr>
            </w:pPr>
          </w:p>
        </w:tc>
        <w:tc>
          <w:tcPr>
            <w:tcW w:w="1087" w:type="dxa"/>
            <w:shd w:val="clear" w:color="auto" w:fill="auto"/>
            <w:noWrap/>
            <w:vAlign w:val="center"/>
            <w:hideMark/>
          </w:tcPr>
          <w:p w14:paraId="252683ED" w14:textId="77777777" w:rsidR="009218FA" w:rsidRPr="009218FA" w:rsidRDefault="009218FA" w:rsidP="009218FA">
            <w:pPr>
              <w:pStyle w:val="ExhibitText"/>
              <w:jc w:val="right"/>
              <w:rPr>
                <w:sz w:val="18"/>
                <w:szCs w:val="18"/>
              </w:rPr>
            </w:pPr>
          </w:p>
        </w:tc>
      </w:tr>
      <w:tr w:rsidR="009218FA" w:rsidRPr="00565022" w14:paraId="4BF13971" w14:textId="77777777" w:rsidTr="00263A51">
        <w:trPr>
          <w:trHeight w:val="348"/>
          <w:jc w:val="center"/>
        </w:trPr>
        <w:tc>
          <w:tcPr>
            <w:tcW w:w="3718" w:type="dxa"/>
            <w:shd w:val="clear" w:color="auto" w:fill="auto"/>
            <w:noWrap/>
            <w:vAlign w:val="center"/>
            <w:hideMark/>
          </w:tcPr>
          <w:p w14:paraId="7BE9E1E1" w14:textId="77777777" w:rsidR="009218FA" w:rsidRPr="009218FA" w:rsidRDefault="009218FA" w:rsidP="00984781">
            <w:pPr>
              <w:pStyle w:val="ExhibitText"/>
              <w:jc w:val="left"/>
              <w:rPr>
                <w:b/>
                <w:bCs/>
                <w:color w:val="000000"/>
                <w:sz w:val="18"/>
                <w:szCs w:val="18"/>
              </w:rPr>
            </w:pPr>
            <w:r w:rsidRPr="009218FA">
              <w:rPr>
                <w:b/>
                <w:bCs/>
                <w:color w:val="000000"/>
                <w:sz w:val="18"/>
                <w:szCs w:val="18"/>
              </w:rPr>
              <w:t>OPERATING INCOME (LOSS)</w:t>
            </w:r>
          </w:p>
        </w:tc>
        <w:tc>
          <w:tcPr>
            <w:tcW w:w="1073" w:type="dxa"/>
            <w:shd w:val="clear" w:color="auto" w:fill="auto"/>
            <w:noWrap/>
            <w:vAlign w:val="center"/>
            <w:hideMark/>
          </w:tcPr>
          <w:p w14:paraId="568B7623" w14:textId="77777777" w:rsidR="009218FA" w:rsidRPr="009218FA" w:rsidRDefault="009218FA" w:rsidP="009218FA">
            <w:pPr>
              <w:pStyle w:val="ExhibitText"/>
              <w:jc w:val="right"/>
              <w:rPr>
                <w:b/>
                <w:bCs/>
                <w:color w:val="000000"/>
                <w:sz w:val="18"/>
                <w:szCs w:val="18"/>
              </w:rPr>
            </w:pPr>
            <w:r w:rsidRPr="009218FA">
              <w:rPr>
                <w:b/>
                <w:bCs/>
                <w:color w:val="000000"/>
                <w:sz w:val="18"/>
                <w:szCs w:val="18"/>
              </w:rPr>
              <w:t>198.1</w:t>
            </w:r>
          </w:p>
        </w:tc>
        <w:tc>
          <w:tcPr>
            <w:tcW w:w="1073" w:type="dxa"/>
            <w:shd w:val="clear" w:color="auto" w:fill="auto"/>
            <w:noWrap/>
            <w:vAlign w:val="center"/>
            <w:hideMark/>
          </w:tcPr>
          <w:p w14:paraId="3F40113B" w14:textId="77777777" w:rsidR="009218FA" w:rsidRPr="009218FA" w:rsidRDefault="009218FA" w:rsidP="009218FA">
            <w:pPr>
              <w:pStyle w:val="ExhibitText"/>
              <w:jc w:val="right"/>
              <w:rPr>
                <w:b/>
                <w:bCs/>
                <w:color w:val="000000"/>
                <w:sz w:val="18"/>
                <w:szCs w:val="18"/>
              </w:rPr>
            </w:pPr>
            <w:r w:rsidRPr="009218FA">
              <w:rPr>
                <w:b/>
                <w:bCs/>
                <w:color w:val="000000"/>
                <w:sz w:val="18"/>
                <w:szCs w:val="18"/>
              </w:rPr>
              <w:t>321.1</w:t>
            </w:r>
          </w:p>
        </w:tc>
        <w:tc>
          <w:tcPr>
            <w:tcW w:w="1087" w:type="dxa"/>
            <w:shd w:val="clear" w:color="auto" w:fill="auto"/>
            <w:noWrap/>
            <w:vAlign w:val="center"/>
            <w:hideMark/>
          </w:tcPr>
          <w:p w14:paraId="17E1C938" w14:textId="77777777" w:rsidR="009218FA" w:rsidRPr="009218FA" w:rsidRDefault="009218FA" w:rsidP="009218FA">
            <w:pPr>
              <w:pStyle w:val="ExhibitText"/>
              <w:jc w:val="right"/>
              <w:rPr>
                <w:b/>
                <w:bCs/>
                <w:color w:val="000000"/>
                <w:sz w:val="18"/>
                <w:szCs w:val="18"/>
              </w:rPr>
            </w:pPr>
            <w:r w:rsidRPr="009218FA">
              <w:rPr>
                <w:b/>
                <w:bCs/>
                <w:color w:val="000000"/>
                <w:sz w:val="18"/>
                <w:szCs w:val="18"/>
              </w:rPr>
              <w:t>349.80</w:t>
            </w:r>
          </w:p>
        </w:tc>
      </w:tr>
      <w:tr w:rsidR="009218FA" w:rsidRPr="00565022" w14:paraId="303998DA" w14:textId="77777777" w:rsidTr="00263A51">
        <w:trPr>
          <w:trHeight w:val="348"/>
          <w:jc w:val="center"/>
        </w:trPr>
        <w:tc>
          <w:tcPr>
            <w:tcW w:w="3718" w:type="dxa"/>
            <w:shd w:val="clear" w:color="auto" w:fill="auto"/>
            <w:noWrap/>
            <w:vAlign w:val="center"/>
            <w:hideMark/>
          </w:tcPr>
          <w:p w14:paraId="00358490" w14:textId="77777777" w:rsidR="009218FA" w:rsidRPr="009218FA" w:rsidRDefault="009218FA" w:rsidP="00984781">
            <w:pPr>
              <w:pStyle w:val="ExhibitText"/>
              <w:jc w:val="left"/>
              <w:rPr>
                <w:b/>
                <w:bCs/>
                <w:color w:val="000000"/>
                <w:sz w:val="18"/>
                <w:szCs w:val="18"/>
              </w:rPr>
            </w:pPr>
          </w:p>
        </w:tc>
        <w:tc>
          <w:tcPr>
            <w:tcW w:w="1073" w:type="dxa"/>
            <w:shd w:val="clear" w:color="auto" w:fill="auto"/>
            <w:noWrap/>
            <w:vAlign w:val="center"/>
            <w:hideMark/>
          </w:tcPr>
          <w:p w14:paraId="202B39FE" w14:textId="77777777" w:rsidR="009218FA" w:rsidRPr="009218FA" w:rsidRDefault="009218FA" w:rsidP="009218FA">
            <w:pPr>
              <w:pStyle w:val="ExhibitText"/>
              <w:jc w:val="right"/>
              <w:rPr>
                <w:sz w:val="18"/>
                <w:szCs w:val="18"/>
              </w:rPr>
            </w:pPr>
          </w:p>
        </w:tc>
        <w:tc>
          <w:tcPr>
            <w:tcW w:w="1073" w:type="dxa"/>
            <w:shd w:val="clear" w:color="auto" w:fill="auto"/>
            <w:noWrap/>
            <w:vAlign w:val="center"/>
            <w:hideMark/>
          </w:tcPr>
          <w:p w14:paraId="355C8929" w14:textId="77777777" w:rsidR="009218FA" w:rsidRPr="009218FA" w:rsidRDefault="009218FA" w:rsidP="009218FA">
            <w:pPr>
              <w:pStyle w:val="ExhibitText"/>
              <w:jc w:val="right"/>
              <w:rPr>
                <w:sz w:val="18"/>
                <w:szCs w:val="18"/>
              </w:rPr>
            </w:pPr>
          </w:p>
        </w:tc>
        <w:tc>
          <w:tcPr>
            <w:tcW w:w="1087" w:type="dxa"/>
            <w:shd w:val="clear" w:color="auto" w:fill="auto"/>
            <w:noWrap/>
            <w:vAlign w:val="center"/>
            <w:hideMark/>
          </w:tcPr>
          <w:p w14:paraId="3A06C17D" w14:textId="77777777" w:rsidR="009218FA" w:rsidRPr="009218FA" w:rsidRDefault="009218FA" w:rsidP="009218FA">
            <w:pPr>
              <w:pStyle w:val="ExhibitText"/>
              <w:jc w:val="right"/>
              <w:rPr>
                <w:sz w:val="18"/>
                <w:szCs w:val="18"/>
              </w:rPr>
            </w:pPr>
          </w:p>
        </w:tc>
      </w:tr>
      <w:tr w:rsidR="009218FA" w:rsidRPr="00565022" w14:paraId="69C277F9" w14:textId="77777777" w:rsidTr="00263A51">
        <w:trPr>
          <w:trHeight w:val="348"/>
          <w:jc w:val="center"/>
        </w:trPr>
        <w:tc>
          <w:tcPr>
            <w:tcW w:w="3718" w:type="dxa"/>
            <w:shd w:val="clear" w:color="auto" w:fill="auto"/>
            <w:noWrap/>
            <w:vAlign w:val="center"/>
            <w:hideMark/>
          </w:tcPr>
          <w:p w14:paraId="2CA99EC4" w14:textId="77777777" w:rsidR="009218FA" w:rsidRPr="009218FA" w:rsidRDefault="009218FA" w:rsidP="00984781">
            <w:pPr>
              <w:pStyle w:val="ExhibitText"/>
              <w:jc w:val="left"/>
              <w:rPr>
                <w:color w:val="000000"/>
                <w:sz w:val="18"/>
                <w:szCs w:val="18"/>
              </w:rPr>
            </w:pPr>
            <w:r w:rsidRPr="009218FA">
              <w:rPr>
                <w:color w:val="000000"/>
                <w:sz w:val="18"/>
                <w:szCs w:val="18"/>
              </w:rPr>
              <w:t>Other non-operating income</w:t>
            </w:r>
          </w:p>
        </w:tc>
        <w:tc>
          <w:tcPr>
            <w:tcW w:w="1073" w:type="dxa"/>
            <w:shd w:val="clear" w:color="auto" w:fill="auto"/>
            <w:noWrap/>
            <w:vAlign w:val="center"/>
            <w:hideMark/>
          </w:tcPr>
          <w:p w14:paraId="023C8831" w14:textId="77777777" w:rsidR="009218FA" w:rsidRPr="009218FA" w:rsidRDefault="009218FA" w:rsidP="009218FA">
            <w:pPr>
              <w:pStyle w:val="ExhibitText"/>
              <w:jc w:val="right"/>
              <w:rPr>
                <w:color w:val="000000"/>
                <w:sz w:val="18"/>
                <w:szCs w:val="18"/>
              </w:rPr>
            </w:pPr>
            <w:r w:rsidRPr="009218FA">
              <w:rPr>
                <w:color w:val="000000"/>
                <w:sz w:val="18"/>
                <w:szCs w:val="18"/>
              </w:rPr>
              <w:t>2.4</w:t>
            </w:r>
          </w:p>
        </w:tc>
        <w:tc>
          <w:tcPr>
            <w:tcW w:w="1073" w:type="dxa"/>
            <w:shd w:val="clear" w:color="auto" w:fill="auto"/>
            <w:noWrap/>
            <w:vAlign w:val="center"/>
            <w:hideMark/>
          </w:tcPr>
          <w:p w14:paraId="6741821C" w14:textId="77777777" w:rsidR="009218FA" w:rsidRPr="009218FA" w:rsidRDefault="009218FA" w:rsidP="009218FA">
            <w:pPr>
              <w:pStyle w:val="ExhibitText"/>
              <w:jc w:val="right"/>
              <w:rPr>
                <w:color w:val="000000"/>
                <w:sz w:val="18"/>
                <w:szCs w:val="18"/>
              </w:rPr>
            </w:pPr>
            <w:r w:rsidRPr="009218FA">
              <w:rPr>
                <w:color w:val="000000"/>
                <w:sz w:val="18"/>
                <w:szCs w:val="18"/>
              </w:rPr>
              <w:t>1.6</w:t>
            </w:r>
          </w:p>
        </w:tc>
        <w:tc>
          <w:tcPr>
            <w:tcW w:w="1087" w:type="dxa"/>
            <w:shd w:val="clear" w:color="auto" w:fill="auto"/>
            <w:noWrap/>
            <w:vAlign w:val="center"/>
            <w:hideMark/>
          </w:tcPr>
          <w:p w14:paraId="572962DC" w14:textId="77777777" w:rsidR="009218FA" w:rsidRPr="009218FA" w:rsidRDefault="009218FA" w:rsidP="009218FA">
            <w:pPr>
              <w:pStyle w:val="ExhibitText"/>
              <w:jc w:val="right"/>
              <w:rPr>
                <w:color w:val="000000"/>
                <w:sz w:val="18"/>
                <w:szCs w:val="18"/>
              </w:rPr>
            </w:pPr>
            <w:r w:rsidRPr="009218FA">
              <w:rPr>
                <w:color w:val="000000"/>
                <w:sz w:val="18"/>
                <w:szCs w:val="18"/>
              </w:rPr>
              <w:t>0</w:t>
            </w:r>
          </w:p>
        </w:tc>
      </w:tr>
      <w:tr w:rsidR="009218FA" w:rsidRPr="00565022" w14:paraId="68238648" w14:textId="77777777" w:rsidTr="00263A51">
        <w:trPr>
          <w:trHeight w:val="348"/>
          <w:jc w:val="center"/>
        </w:trPr>
        <w:tc>
          <w:tcPr>
            <w:tcW w:w="3718" w:type="dxa"/>
            <w:shd w:val="clear" w:color="auto" w:fill="auto"/>
            <w:noWrap/>
            <w:vAlign w:val="center"/>
            <w:hideMark/>
          </w:tcPr>
          <w:p w14:paraId="6481746E" w14:textId="77777777" w:rsidR="009218FA" w:rsidRPr="009218FA" w:rsidRDefault="009218FA" w:rsidP="00984781">
            <w:pPr>
              <w:pStyle w:val="ExhibitText"/>
              <w:jc w:val="left"/>
              <w:rPr>
                <w:color w:val="000000"/>
                <w:sz w:val="18"/>
                <w:szCs w:val="18"/>
              </w:rPr>
            </w:pPr>
            <w:r w:rsidRPr="009218FA">
              <w:rPr>
                <w:color w:val="000000"/>
                <w:sz w:val="18"/>
                <w:szCs w:val="18"/>
              </w:rPr>
              <w:t>Abnormal losses (gains)</w:t>
            </w:r>
          </w:p>
        </w:tc>
        <w:tc>
          <w:tcPr>
            <w:tcW w:w="1073" w:type="dxa"/>
            <w:shd w:val="clear" w:color="auto" w:fill="auto"/>
            <w:noWrap/>
            <w:vAlign w:val="center"/>
            <w:hideMark/>
          </w:tcPr>
          <w:p w14:paraId="555C8C28" w14:textId="6CCDC13B" w:rsidR="009218FA" w:rsidRPr="009218FA" w:rsidRDefault="00F025C8" w:rsidP="009218FA">
            <w:pPr>
              <w:pStyle w:val="ExhibitText"/>
              <w:jc w:val="right"/>
              <w:rPr>
                <w:color w:val="000000"/>
                <w:sz w:val="18"/>
                <w:szCs w:val="18"/>
              </w:rPr>
            </w:pPr>
            <w:r w:rsidRPr="00F025C8">
              <w:rPr>
                <w:color w:val="000000"/>
                <w:sz w:val="18"/>
                <w:szCs w:val="18"/>
              </w:rPr>
              <w:t>−</w:t>
            </w:r>
            <w:r w:rsidR="009218FA" w:rsidRPr="009218FA">
              <w:rPr>
                <w:color w:val="000000"/>
                <w:sz w:val="18"/>
                <w:szCs w:val="18"/>
              </w:rPr>
              <w:t>3.2</w:t>
            </w:r>
          </w:p>
        </w:tc>
        <w:tc>
          <w:tcPr>
            <w:tcW w:w="1073" w:type="dxa"/>
            <w:shd w:val="clear" w:color="auto" w:fill="auto"/>
            <w:noWrap/>
            <w:vAlign w:val="center"/>
            <w:hideMark/>
          </w:tcPr>
          <w:p w14:paraId="5A79BF75" w14:textId="2C7AF8E9" w:rsidR="009218FA" w:rsidRPr="009218FA" w:rsidRDefault="00F025C8" w:rsidP="009218FA">
            <w:pPr>
              <w:pStyle w:val="ExhibitText"/>
              <w:jc w:val="right"/>
              <w:rPr>
                <w:color w:val="000000"/>
                <w:sz w:val="18"/>
                <w:szCs w:val="18"/>
              </w:rPr>
            </w:pPr>
            <w:r w:rsidRPr="00F025C8">
              <w:rPr>
                <w:color w:val="000000"/>
                <w:sz w:val="18"/>
                <w:szCs w:val="18"/>
              </w:rPr>
              <w:t>−</w:t>
            </w:r>
            <w:r w:rsidR="009218FA" w:rsidRPr="009218FA">
              <w:rPr>
                <w:color w:val="000000"/>
                <w:sz w:val="18"/>
                <w:szCs w:val="18"/>
              </w:rPr>
              <w:t>7.6</w:t>
            </w:r>
          </w:p>
        </w:tc>
        <w:tc>
          <w:tcPr>
            <w:tcW w:w="1087" w:type="dxa"/>
            <w:shd w:val="clear" w:color="auto" w:fill="auto"/>
            <w:noWrap/>
            <w:vAlign w:val="center"/>
            <w:hideMark/>
          </w:tcPr>
          <w:p w14:paraId="0BB2DF0C" w14:textId="04ABBB85" w:rsidR="009218FA" w:rsidRPr="009218FA" w:rsidRDefault="00F025C8" w:rsidP="009218FA">
            <w:pPr>
              <w:pStyle w:val="ExhibitText"/>
              <w:jc w:val="right"/>
              <w:rPr>
                <w:color w:val="000000"/>
                <w:sz w:val="18"/>
                <w:szCs w:val="18"/>
              </w:rPr>
            </w:pPr>
            <w:r w:rsidRPr="00F025C8">
              <w:rPr>
                <w:color w:val="000000"/>
                <w:sz w:val="18"/>
                <w:szCs w:val="18"/>
              </w:rPr>
              <w:t>−</w:t>
            </w:r>
            <w:r w:rsidR="009218FA" w:rsidRPr="009218FA">
              <w:rPr>
                <w:color w:val="000000"/>
                <w:sz w:val="18"/>
                <w:szCs w:val="18"/>
              </w:rPr>
              <w:t>132.9</w:t>
            </w:r>
          </w:p>
        </w:tc>
      </w:tr>
      <w:tr w:rsidR="009218FA" w:rsidRPr="00565022" w14:paraId="202B0290" w14:textId="77777777" w:rsidTr="00263A51">
        <w:trPr>
          <w:trHeight w:val="348"/>
          <w:jc w:val="center"/>
        </w:trPr>
        <w:tc>
          <w:tcPr>
            <w:tcW w:w="3718" w:type="dxa"/>
            <w:shd w:val="clear" w:color="auto" w:fill="auto"/>
            <w:noWrap/>
            <w:vAlign w:val="center"/>
            <w:hideMark/>
          </w:tcPr>
          <w:p w14:paraId="35E35777" w14:textId="77777777" w:rsidR="009218FA" w:rsidRPr="009218FA" w:rsidRDefault="009218FA" w:rsidP="00984781">
            <w:pPr>
              <w:pStyle w:val="ExhibitText"/>
              <w:jc w:val="left"/>
              <w:rPr>
                <w:color w:val="000000"/>
                <w:sz w:val="18"/>
                <w:szCs w:val="18"/>
              </w:rPr>
            </w:pPr>
            <w:r w:rsidRPr="009218FA">
              <w:rPr>
                <w:color w:val="000000"/>
                <w:sz w:val="18"/>
                <w:szCs w:val="18"/>
              </w:rPr>
              <w:t>Asset write-down</w:t>
            </w:r>
          </w:p>
        </w:tc>
        <w:tc>
          <w:tcPr>
            <w:tcW w:w="1073" w:type="dxa"/>
            <w:shd w:val="clear" w:color="auto" w:fill="auto"/>
            <w:noWrap/>
            <w:vAlign w:val="center"/>
            <w:hideMark/>
          </w:tcPr>
          <w:p w14:paraId="6D9F4BDE" w14:textId="77777777" w:rsidR="009218FA" w:rsidRPr="009218FA" w:rsidRDefault="009218FA" w:rsidP="009218FA">
            <w:pPr>
              <w:pStyle w:val="ExhibitText"/>
              <w:jc w:val="right"/>
              <w:rPr>
                <w:color w:val="000000"/>
                <w:sz w:val="18"/>
                <w:szCs w:val="18"/>
              </w:rPr>
            </w:pPr>
            <w:r w:rsidRPr="009218FA">
              <w:rPr>
                <w:color w:val="000000"/>
                <w:sz w:val="18"/>
                <w:szCs w:val="18"/>
              </w:rPr>
              <w:t>3.2</w:t>
            </w:r>
          </w:p>
        </w:tc>
        <w:tc>
          <w:tcPr>
            <w:tcW w:w="1073" w:type="dxa"/>
            <w:shd w:val="clear" w:color="auto" w:fill="auto"/>
            <w:noWrap/>
            <w:vAlign w:val="center"/>
            <w:hideMark/>
          </w:tcPr>
          <w:p w14:paraId="132E631C" w14:textId="77777777" w:rsidR="009218FA" w:rsidRPr="009218FA" w:rsidRDefault="009218FA" w:rsidP="009218FA">
            <w:pPr>
              <w:pStyle w:val="ExhibitText"/>
              <w:jc w:val="right"/>
              <w:rPr>
                <w:color w:val="000000"/>
                <w:sz w:val="18"/>
                <w:szCs w:val="18"/>
              </w:rPr>
            </w:pPr>
            <w:r w:rsidRPr="009218FA">
              <w:rPr>
                <w:color w:val="000000"/>
                <w:sz w:val="18"/>
                <w:szCs w:val="18"/>
              </w:rPr>
              <w:t>0.3</w:t>
            </w:r>
          </w:p>
        </w:tc>
        <w:tc>
          <w:tcPr>
            <w:tcW w:w="1087" w:type="dxa"/>
            <w:shd w:val="clear" w:color="auto" w:fill="auto"/>
            <w:noWrap/>
            <w:vAlign w:val="center"/>
            <w:hideMark/>
          </w:tcPr>
          <w:p w14:paraId="759CEC88" w14:textId="77777777" w:rsidR="009218FA" w:rsidRPr="009218FA" w:rsidRDefault="009218FA" w:rsidP="009218FA">
            <w:pPr>
              <w:pStyle w:val="ExhibitText"/>
              <w:jc w:val="right"/>
              <w:rPr>
                <w:color w:val="000000"/>
                <w:sz w:val="18"/>
                <w:szCs w:val="18"/>
              </w:rPr>
            </w:pPr>
            <w:r w:rsidRPr="009218FA">
              <w:rPr>
                <w:color w:val="000000"/>
                <w:sz w:val="18"/>
                <w:szCs w:val="18"/>
              </w:rPr>
              <w:t>2.3</w:t>
            </w:r>
          </w:p>
        </w:tc>
      </w:tr>
      <w:tr w:rsidR="009218FA" w:rsidRPr="00565022" w14:paraId="001A43F2" w14:textId="77777777" w:rsidTr="00263A51">
        <w:trPr>
          <w:trHeight w:val="348"/>
          <w:jc w:val="center"/>
        </w:trPr>
        <w:tc>
          <w:tcPr>
            <w:tcW w:w="3718" w:type="dxa"/>
            <w:shd w:val="clear" w:color="auto" w:fill="auto"/>
            <w:noWrap/>
            <w:vAlign w:val="center"/>
            <w:hideMark/>
          </w:tcPr>
          <w:p w14:paraId="2D0E0A2F" w14:textId="77777777" w:rsidR="009218FA" w:rsidRPr="009218FA" w:rsidRDefault="009218FA" w:rsidP="00984781">
            <w:pPr>
              <w:pStyle w:val="ExhibitText"/>
              <w:jc w:val="left"/>
              <w:rPr>
                <w:color w:val="000000"/>
                <w:sz w:val="18"/>
                <w:szCs w:val="18"/>
              </w:rPr>
            </w:pPr>
            <w:r w:rsidRPr="009218FA">
              <w:rPr>
                <w:color w:val="000000"/>
                <w:sz w:val="18"/>
                <w:szCs w:val="18"/>
              </w:rPr>
              <w:t>Impairment of goodwill</w:t>
            </w:r>
          </w:p>
        </w:tc>
        <w:tc>
          <w:tcPr>
            <w:tcW w:w="1073" w:type="dxa"/>
            <w:shd w:val="clear" w:color="auto" w:fill="auto"/>
            <w:noWrap/>
            <w:vAlign w:val="center"/>
            <w:hideMark/>
          </w:tcPr>
          <w:p w14:paraId="0EA96593" w14:textId="77777777" w:rsidR="009218FA" w:rsidRPr="009218FA" w:rsidRDefault="009218FA" w:rsidP="009218FA">
            <w:pPr>
              <w:pStyle w:val="ExhibitText"/>
              <w:jc w:val="right"/>
              <w:rPr>
                <w:color w:val="000000"/>
                <w:sz w:val="18"/>
                <w:szCs w:val="18"/>
              </w:rPr>
            </w:pPr>
            <w:r w:rsidRPr="009218FA">
              <w:rPr>
                <w:color w:val="000000"/>
                <w:sz w:val="18"/>
                <w:szCs w:val="18"/>
              </w:rPr>
              <w:t>-</w:t>
            </w:r>
          </w:p>
        </w:tc>
        <w:tc>
          <w:tcPr>
            <w:tcW w:w="1073" w:type="dxa"/>
            <w:shd w:val="clear" w:color="auto" w:fill="auto"/>
            <w:noWrap/>
            <w:vAlign w:val="center"/>
            <w:hideMark/>
          </w:tcPr>
          <w:p w14:paraId="13AA6A3C" w14:textId="4B458B9F" w:rsidR="009218FA" w:rsidRPr="009218FA" w:rsidRDefault="00F025C8" w:rsidP="009218FA">
            <w:pPr>
              <w:pStyle w:val="ExhibitText"/>
              <w:jc w:val="right"/>
              <w:rPr>
                <w:color w:val="000000"/>
                <w:sz w:val="18"/>
                <w:szCs w:val="18"/>
              </w:rPr>
            </w:pPr>
            <w:r w:rsidRPr="00F025C8">
              <w:rPr>
                <w:color w:val="000000"/>
                <w:sz w:val="18"/>
                <w:szCs w:val="18"/>
              </w:rPr>
              <w:t>−</w:t>
            </w:r>
            <w:r w:rsidR="009218FA" w:rsidRPr="009218FA">
              <w:rPr>
                <w:color w:val="000000"/>
                <w:sz w:val="18"/>
                <w:szCs w:val="18"/>
              </w:rPr>
              <w:t>0.1</w:t>
            </w:r>
          </w:p>
        </w:tc>
        <w:tc>
          <w:tcPr>
            <w:tcW w:w="1087" w:type="dxa"/>
            <w:shd w:val="clear" w:color="auto" w:fill="auto"/>
            <w:noWrap/>
            <w:vAlign w:val="center"/>
            <w:hideMark/>
          </w:tcPr>
          <w:p w14:paraId="0BBA2B42" w14:textId="460A3657" w:rsidR="009218FA" w:rsidRPr="009218FA" w:rsidRDefault="00F025C8" w:rsidP="009218FA">
            <w:pPr>
              <w:pStyle w:val="ExhibitText"/>
              <w:jc w:val="right"/>
              <w:rPr>
                <w:color w:val="000000"/>
                <w:sz w:val="18"/>
                <w:szCs w:val="18"/>
              </w:rPr>
            </w:pPr>
            <w:r w:rsidRPr="00F025C8">
              <w:rPr>
                <w:color w:val="000000"/>
                <w:sz w:val="18"/>
                <w:szCs w:val="18"/>
              </w:rPr>
              <w:t>−</w:t>
            </w:r>
            <w:r w:rsidR="009218FA" w:rsidRPr="009218FA">
              <w:rPr>
                <w:color w:val="000000"/>
                <w:sz w:val="18"/>
                <w:szCs w:val="18"/>
              </w:rPr>
              <w:t>88.9</w:t>
            </w:r>
          </w:p>
        </w:tc>
      </w:tr>
      <w:tr w:rsidR="009218FA" w:rsidRPr="00565022" w14:paraId="3B639359" w14:textId="77777777" w:rsidTr="00263A51">
        <w:trPr>
          <w:trHeight w:val="348"/>
          <w:jc w:val="center"/>
        </w:trPr>
        <w:tc>
          <w:tcPr>
            <w:tcW w:w="3718" w:type="dxa"/>
            <w:shd w:val="clear" w:color="auto" w:fill="auto"/>
            <w:noWrap/>
            <w:vAlign w:val="center"/>
            <w:hideMark/>
          </w:tcPr>
          <w:p w14:paraId="0AAD3A8A" w14:textId="77777777" w:rsidR="009218FA" w:rsidRPr="009218FA" w:rsidRDefault="009218FA" w:rsidP="00984781">
            <w:pPr>
              <w:pStyle w:val="ExhibitText"/>
              <w:jc w:val="left"/>
              <w:rPr>
                <w:color w:val="000000"/>
                <w:sz w:val="18"/>
                <w:szCs w:val="18"/>
              </w:rPr>
            </w:pPr>
            <w:r w:rsidRPr="009218FA">
              <w:rPr>
                <w:color w:val="000000"/>
                <w:sz w:val="18"/>
                <w:szCs w:val="18"/>
              </w:rPr>
              <w:t>Impairment of intangibles</w:t>
            </w:r>
          </w:p>
        </w:tc>
        <w:tc>
          <w:tcPr>
            <w:tcW w:w="1073" w:type="dxa"/>
            <w:shd w:val="clear" w:color="auto" w:fill="auto"/>
            <w:noWrap/>
            <w:vAlign w:val="center"/>
            <w:hideMark/>
          </w:tcPr>
          <w:p w14:paraId="32AB6646" w14:textId="77777777" w:rsidR="009218FA" w:rsidRPr="009218FA" w:rsidRDefault="009218FA" w:rsidP="009218FA">
            <w:pPr>
              <w:pStyle w:val="ExhibitText"/>
              <w:jc w:val="right"/>
              <w:rPr>
                <w:color w:val="000000"/>
                <w:sz w:val="18"/>
                <w:szCs w:val="18"/>
              </w:rPr>
            </w:pPr>
            <w:r w:rsidRPr="009218FA">
              <w:rPr>
                <w:color w:val="000000"/>
                <w:sz w:val="18"/>
                <w:szCs w:val="18"/>
              </w:rPr>
              <w:t>-</w:t>
            </w:r>
          </w:p>
        </w:tc>
        <w:tc>
          <w:tcPr>
            <w:tcW w:w="1073" w:type="dxa"/>
            <w:shd w:val="clear" w:color="auto" w:fill="auto"/>
            <w:noWrap/>
            <w:vAlign w:val="center"/>
            <w:hideMark/>
          </w:tcPr>
          <w:p w14:paraId="747F5EBD" w14:textId="10D390CF" w:rsidR="009218FA" w:rsidRPr="009218FA" w:rsidRDefault="00F025C8" w:rsidP="009218FA">
            <w:pPr>
              <w:pStyle w:val="ExhibitText"/>
              <w:jc w:val="right"/>
              <w:rPr>
                <w:color w:val="000000"/>
                <w:sz w:val="18"/>
                <w:szCs w:val="18"/>
              </w:rPr>
            </w:pPr>
            <w:r w:rsidRPr="00F025C8">
              <w:rPr>
                <w:color w:val="000000"/>
                <w:sz w:val="18"/>
                <w:szCs w:val="18"/>
              </w:rPr>
              <w:t>−</w:t>
            </w:r>
            <w:r w:rsidR="009218FA" w:rsidRPr="009218FA">
              <w:rPr>
                <w:color w:val="000000"/>
                <w:sz w:val="18"/>
                <w:szCs w:val="18"/>
              </w:rPr>
              <w:t>7.8</w:t>
            </w:r>
          </w:p>
        </w:tc>
        <w:tc>
          <w:tcPr>
            <w:tcW w:w="1087" w:type="dxa"/>
            <w:shd w:val="clear" w:color="auto" w:fill="auto"/>
            <w:noWrap/>
            <w:vAlign w:val="center"/>
            <w:hideMark/>
          </w:tcPr>
          <w:p w14:paraId="55626904" w14:textId="1F670994" w:rsidR="009218FA" w:rsidRPr="009218FA" w:rsidRDefault="00F025C8" w:rsidP="009218FA">
            <w:pPr>
              <w:pStyle w:val="ExhibitText"/>
              <w:jc w:val="right"/>
              <w:rPr>
                <w:color w:val="000000"/>
                <w:sz w:val="18"/>
                <w:szCs w:val="18"/>
              </w:rPr>
            </w:pPr>
            <w:r w:rsidRPr="00F025C8">
              <w:rPr>
                <w:color w:val="000000"/>
                <w:sz w:val="18"/>
                <w:szCs w:val="18"/>
              </w:rPr>
              <w:t>−</w:t>
            </w:r>
            <w:r w:rsidR="009218FA" w:rsidRPr="009218FA">
              <w:rPr>
                <w:color w:val="000000"/>
                <w:sz w:val="18"/>
                <w:szCs w:val="18"/>
              </w:rPr>
              <w:t>11.3</w:t>
            </w:r>
          </w:p>
        </w:tc>
      </w:tr>
      <w:tr w:rsidR="009218FA" w:rsidRPr="00565022" w14:paraId="4E4A30A7" w14:textId="77777777" w:rsidTr="00263A51">
        <w:trPr>
          <w:trHeight w:val="348"/>
          <w:jc w:val="center"/>
        </w:trPr>
        <w:tc>
          <w:tcPr>
            <w:tcW w:w="3718" w:type="dxa"/>
            <w:shd w:val="clear" w:color="auto" w:fill="auto"/>
            <w:noWrap/>
            <w:vAlign w:val="center"/>
            <w:hideMark/>
          </w:tcPr>
          <w:p w14:paraId="76188F73" w14:textId="77777777" w:rsidR="009218FA" w:rsidRPr="009218FA" w:rsidRDefault="009218FA" w:rsidP="00984781">
            <w:pPr>
              <w:pStyle w:val="ExhibitText"/>
              <w:jc w:val="left"/>
              <w:rPr>
                <w:color w:val="000000"/>
                <w:sz w:val="18"/>
                <w:szCs w:val="18"/>
              </w:rPr>
            </w:pPr>
            <w:r w:rsidRPr="009218FA">
              <w:rPr>
                <w:color w:val="000000"/>
                <w:sz w:val="18"/>
                <w:szCs w:val="18"/>
              </w:rPr>
              <w:t>Restructuring</w:t>
            </w:r>
          </w:p>
        </w:tc>
        <w:tc>
          <w:tcPr>
            <w:tcW w:w="1073" w:type="dxa"/>
            <w:shd w:val="clear" w:color="auto" w:fill="auto"/>
            <w:noWrap/>
            <w:vAlign w:val="center"/>
            <w:hideMark/>
          </w:tcPr>
          <w:p w14:paraId="274431FB" w14:textId="77777777" w:rsidR="009218FA" w:rsidRPr="009218FA" w:rsidRDefault="009218FA" w:rsidP="009218FA">
            <w:pPr>
              <w:pStyle w:val="ExhibitText"/>
              <w:jc w:val="right"/>
              <w:rPr>
                <w:color w:val="000000"/>
                <w:sz w:val="18"/>
                <w:szCs w:val="18"/>
              </w:rPr>
            </w:pPr>
            <w:r w:rsidRPr="009218FA">
              <w:rPr>
                <w:color w:val="000000"/>
                <w:sz w:val="18"/>
                <w:szCs w:val="18"/>
              </w:rPr>
              <w:t>-</w:t>
            </w:r>
          </w:p>
        </w:tc>
        <w:tc>
          <w:tcPr>
            <w:tcW w:w="1073" w:type="dxa"/>
            <w:shd w:val="clear" w:color="auto" w:fill="auto"/>
            <w:noWrap/>
            <w:vAlign w:val="center"/>
            <w:hideMark/>
          </w:tcPr>
          <w:p w14:paraId="7E3E1FC1" w14:textId="77777777" w:rsidR="009218FA" w:rsidRPr="009218FA" w:rsidRDefault="009218FA" w:rsidP="009218FA">
            <w:pPr>
              <w:pStyle w:val="ExhibitText"/>
              <w:jc w:val="right"/>
              <w:rPr>
                <w:color w:val="000000"/>
                <w:sz w:val="18"/>
                <w:szCs w:val="18"/>
              </w:rPr>
            </w:pPr>
            <w:r w:rsidRPr="009218FA">
              <w:rPr>
                <w:color w:val="000000"/>
                <w:sz w:val="18"/>
                <w:szCs w:val="18"/>
              </w:rPr>
              <w:t>-</w:t>
            </w:r>
          </w:p>
        </w:tc>
        <w:tc>
          <w:tcPr>
            <w:tcW w:w="1087" w:type="dxa"/>
            <w:shd w:val="clear" w:color="auto" w:fill="auto"/>
            <w:noWrap/>
            <w:vAlign w:val="center"/>
            <w:hideMark/>
          </w:tcPr>
          <w:p w14:paraId="30552A72" w14:textId="4EE724F8" w:rsidR="009218FA" w:rsidRPr="009218FA" w:rsidRDefault="00F025C8" w:rsidP="009218FA">
            <w:pPr>
              <w:pStyle w:val="ExhibitText"/>
              <w:jc w:val="right"/>
              <w:rPr>
                <w:color w:val="000000"/>
                <w:sz w:val="18"/>
                <w:szCs w:val="18"/>
              </w:rPr>
            </w:pPr>
            <w:r w:rsidRPr="00F025C8">
              <w:rPr>
                <w:color w:val="000000"/>
                <w:sz w:val="18"/>
                <w:szCs w:val="18"/>
              </w:rPr>
              <w:t>−</w:t>
            </w:r>
            <w:r w:rsidR="009218FA" w:rsidRPr="009218FA">
              <w:rPr>
                <w:color w:val="000000"/>
                <w:sz w:val="18"/>
                <w:szCs w:val="18"/>
              </w:rPr>
              <w:t>35.1</w:t>
            </w:r>
          </w:p>
        </w:tc>
      </w:tr>
      <w:tr w:rsidR="009218FA" w:rsidRPr="00565022" w14:paraId="0C3332EF" w14:textId="77777777" w:rsidTr="00263A51">
        <w:trPr>
          <w:trHeight w:val="348"/>
          <w:jc w:val="center"/>
        </w:trPr>
        <w:tc>
          <w:tcPr>
            <w:tcW w:w="3718" w:type="dxa"/>
            <w:shd w:val="clear" w:color="auto" w:fill="auto"/>
            <w:noWrap/>
            <w:vAlign w:val="center"/>
            <w:hideMark/>
          </w:tcPr>
          <w:p w14:paraId="0F395D53" w14:textId="77777777" w:rsidR="009218FA" w:rsidRPr="009218FA" w:rsidRDefault="009218FA" w:rsidP="00984781">
            <w:pPr>
              <w:pStyle w:val="ExhibitText"/>
              <w:jc w:val="left"/>
              <w:rPr>
                <w:color w:val="000000"/>
                <w:sz w:val="18"/>
                <w:szCs w:val="18"/>
              </w:rPr>
            </w:pPr>
          </w:p>
        </w:tc>
        <w:tc>
          <w:tcPr>
            <w:tcW w:w="1073" w:type="dxa"/>
            <w:shd w:val="clear" w:color="auto" w:fill="auto"/>
            <w:noWrap/>
            <w:vAlign w:val="center"/>
            <w:hideMark/>
          </w:tcPr>
          <w:p w14:paraId="26BDE6C9" w14:textId="77777777" w:rsidR="009218FA" w:rsidRPr="009218FA" w:rsidRDefault="009218FA" w:rsidP="009218FA">
            <w:pPr>
              <w:pStyle w:val="ExhibitText"/>
              <w:jc w:val="right"/>
              <w:rPr>
                <w:sz w:val="18"/>
                <w:szCs w:val="18"/>
              </w:rPr>
            </w:pPr>
          </w:p>
        </w:tc>
        <w:tc>
          <w:tcPr>
            <w:tcW w:w="1073" w:type="dxa"/>
            <w:shd w:val="clear" w:color="auto" w:fill="auto"/>
            <w:noWrap/>
            <w:vAlign w:val="center"/>
            <w:hideMark/>
          </w:tcPr>
          <w:p w14:paraId="5E4B783F" w14:textId="77777777" w:rsidR="009218FA" w:rsidRPr="009218FA" w:rsidRDefault="009218FA" w:rsidP="009218FA">
            <w:pPr>
              <w:pStyle w:val="ExhibitText"/>
              <w:jc w:val="right"/>
              <w:rPr>
                <w:sz w:val="18"/>
                <w:szCs w:val="18"/>
              </w:rPr>
            </w:pPr>
          </w:p>
        </w:tc>
        <w:tc>
          <w:tcPr>
            <w:tcW w:w="1087" w:type="dxa"/>
            <w:shd w:val="clear" w:color="auto" w:fill="auto"/>
            <w:noWrap/>
            <w:vAlign w:val="center"/>
            <w:hideMark/>
          </w:tcPr>
          <w:p w14:paraId="1050F0D1" w14:textId="77777777" w:rsidR="009218FA" w:rsidRPr="009218FA" w:rsidRDefault="009218FA" w:rsidP="009218FA">
            <w:pPr>
              <w:pStyle w:val="ExhibitText"/>
              <w:jc w:val="right"/>
              <w:rPr>
                <w:sz w:val="18"/>
                <w:szCs w:val="18"/>
              </w:rPr>
            </w:pPr>
          </w:p>
        </w:tc>
      </w:tr>
      <w:tr w:rsidR="009218FA" w:rsidRPr="00565022" w14:paraId="61CF6998" w14:textId="77777777" w:rsidTr="00263A51">
        <w:trPr>
          <w:trHeight w:val="348"/>
          <w:jc w:val="center"/>
        </w:trPr>
        <w:tc>
          <w:tcPr>
            <w:tcW w:w="3718" w:type="dxa"/>
            <w:shd w:val="clear" w:color="auto" w:fill="auto"/>
            <w:noWrap/>
            <w:vAlign w:val="center"/>
            <w:hideMark/>
          </w:tcPr>
          <w:p w14:paraId="2335A65C" w14:textId="77777777" w:rsidR="009218FA" w:rsidRPr="009218FA" w:rsidRDefault="009218FA" w:rsidP="00984781">
            <w:pPr>
              <w:pStyle w:val="ExhibitText"/>
              <w:jc w:val="left"/>
              <w:rPr>
                <w:b/>
                <w:bCs/>
                <w:color w:val="000000"/>
                <w:sz w:val="18"/>
                <w:szCs w:val="18"/>
              </w:rPr>
            </w:pPr>
            <w:r w:rsidRPr="004B0073">
              <w:rPr>
                <w:b/>
                <w:bCs/>
                <w:color w:val="000000"/>
                <w:sz w:val="18"/>
                <w:szCs w:val="18"/>
              </w:rPr>
              <w:t>PRE</w:t>
            </w:r>
            <w:r w:rsidR="004B0073">
              <w:rPr>
                <w:b/>
                <w:bCs/>
                <w:color w:val="000000"/>
                <w:sz w:val="18"/>
                <w:szCs w:val="18"/>
              </w:rPr>
              <w:t>-</w:t>
            </w:r>
            <w:r w:rsidRPr="004B0073">
              <w:rPr>
                <w:b/>
                <w:bCs/>
                <w:color w:val="000000"/>
                <w:sz w:val="18"/>
                <w:szCs w:val="18"/>
              </w:rPr>
              <w:t>TAX</w:t>
            </w:r>
            <w:r w:rsidRPr="009218FA">
              <w:rPr>
                <w:b/>
                <w:bCs/>
                <w:color w:val="000000"/>
                <w:sz w:val="18"/>
                <w:szCs w:val="18"/>
              </w:rPr>
              <w:t xml:space="preserve"> INCOME (GAAP)</w:t>
            </w:r>
          </w:p>
        </w:tc>
        <w:tc>
          <w:tcPr>
            <w:tcW w:w="1073" w:type="dxa"/>
            <w:shd w:val="clear" w:color="auto" w:fill="auto"/>
            <w:noWrap/>
            <w:vAlign w:val="center"/>
            <w:hideMark/>
          </w:tcPr>
          <w:p w14:paraId="5C3BDF5A" w14:textId="77777777" w:rsidR="009218FA" w:rsidRPr="009218FA" w:rsidRDefault="009218FA" w:rsidP="009218FA">
            <w:pPr>
              <w:pStyle w:val="ExhibitText"/>
              <w:jc w:val="right"/>
              <w:rPr>
                <w:b/>
                <w:bCs/>
                <w:color w:val="000000"/>
                <w:sz w:val="18"/>
                <w:szCs w:val="18"/>
              </w:rPr>
            </w:pPr>
            <w:r w:rsidRPr="009218FA">
              <w:rPr>
                <w:b/>
                <w:bCs/>
                <w:color w:val="000000"/>
                <w:sz w:val="18"/>
                <w:szCs w:val="18"/>
              </w:rPr>
              <w:t>197.3</w:t>
            </w:r>
          </w:p>
        </w:tc>
        <w:tc>
          <w:tcPr>
            <w:tcW w:w="1073" w:type="dxa"/>
            <w:shd w:val="clear" w:color="auto" w:fill="auto"/>
            <w:noWrap/>
            <w:vAlign w:val="center"/>
            <w:hideMark/>
          </w:tcPr>
          <w:p w14:paraId="7FF467EB" w14:textId="77777777" w:rsidR="009218FA" w:rsidRPr="009218FA" w:rsidRDefault="009218FA" w:rsidP="009218FA">
            <w:pPr>
              <w:pStyle w:val="ExhibitText"/>
              <w:jc w:val="right"/>
              <w:rPr>
                <w:b/>
                <w:bCs/>
                <w:color w:val="000000"/>
                <w:sz w:val="18"/>
                <w:szCs w:val="18"/>
              </w:rPr>
            </w:pPr>
            <w:r w:rsidRPr="009218FA">
              <w:rPr>
                <w:b/>
                <w:bCs/>
                <w:color w:val="000000"/>
                <w:sz w:val="18"/>
                <w:szCs w:val="18"/>
              </w:rPr>
              <w:t>315</w:t>
            </w:r>
          </w:p>
        </w:tc>
        <w:tc>
          <w:tcPr>
            <w:tcW w:w="1087" w:type="dxa"/>
            <w:shd w:val="clear" w:color="auto" w:fill="auto"/>
            <w:noWrap/>
            <w:vAlign w:val="center"/>
            <w:hideMark/>
          </w:tcPr>
          <w:p w14:paraId="5E43959C" w14:textId="77777777" w:rsidR="009218FA" w:rsidRPr="009218FA" w:rsidRDefault="009218FA" w:rsidP="009218FA">
            <w:pPr>
              <w:pStyle w:val="ExhibitText"/>
              <w:jc w:val="right"/>
              <w:rPr>
                <w:b/>
                <w:bCs/>
                <w:color w:val="000000"/>
                <w:sz w:val="18"/>
                <w:szCs w:val="18"/>
              </w:rPr>
            </w:pPr>
            <w:r w:rsidRPr="009218FA">
              <w:rPr>
                <w:b/>
                <w:bCs/>
                <w:color w:val="000000"/>
                <w:sz w:val="18"/>
                <w:szCs w:val="18"/>
              </w:rPr>
              <w:t>216.9</w:t>
            </w:r>
          </w:p>
        </w:tc>
      </w:tr>
      <w:tr w:rsidR="009218FA" w:rsidRPr="00565022" w14:paraId="40F16D95" w14:textId="77777777" w:rsidTr="00263A51">
        <w:trPr>
          <w:trHeight w:val="348"/>
          <w:jc w:val="center"/>
        </w:trPr>
        <w:tc>
          <w:tcPr>
            <w:tcW w:w="3718" w:type="dxa"/>
            <w:shd w:val="clear" w:color="auto" w:fill="auto"/>
            <w:noWrap/>
            <w:vAlign w:val="center"/>
            <w:hideMark/>
          </w:tcPr>
          <w:p w14:paraId="6D12E9F2" w14:textId="77777777" w:rsidR="009218FA" w:rsidRPr="009218FA" w:rsidRDefault="009218FA" w:rsidP="00984781">
            <w:pPr>
              <w:pStyle w:val="ExhibitText"/>
              <w:jc w:val="left"/>
              <w:rPr>
                <w:b/>
                <w:bCs/>
                <w:color w:val="000000"/>
                <w:sz w:val="18"/>
                <w:szCs w:val="18"/>
              </w:rPr>
            </w:pPr>
          </w:p>
        </w:tc>
        <w:tc>
          <w:tcPr>
            <w:tcW w:w="1073" w:type="dxa"/>
            <w:shd w:val="clear" w:color="auto" w:fill="auto"/>
            <w:noWrap/>
            <w:vAlign w:val="center"/>
            <w:hideMark/>
          </w:tcPr>
          <w:p w14:paraId="09A5E12D" w14:textId="77777777" w:rsidR="009218FA" w:rsidRPr="009218FA" w:rsidRDefault="009218FA" w:rsidP="009218FA">
            <w:pPr>
              <w:pStyle w:val="ExhibitText"/>
              <w:jc w:val="right"/>
              <w:rPr>
                <w:sz w:val="18"/>
                <w:szCs w:val="18"/>
              </w:rPr>
            </w:pPr>
          </w:p>
        </w:tc>
        <w:tc>
          <w:tcPr>
            <w:tcW w:w="1073" w:type="dxa"/>
            <w:shd w:val="clear" w:color="auto" w:fill="auto"/>
            <w:noWrap/>
            <w:vAlign w:val="center"/>
            <w:hideMark/>
          </w:tcPr>
          <w:p w14:paraId="3BBC435B" w14:textId="77777777" w:rsidR="009218FA" w:rsidRPr="009218FA" w:rsidRDefault="009218FA" w:rsidP="009218FA">
            <w:pPr>
              <w:pStyle w:val="ExhibitText"/>
              <w:jc w:val="right"/>
              <w:rPr>
                <w:sz w:val="18"/>
                <w:szCs w:val="18"/>
              </w:rPr>
            </w:pPr>
          </w:p>
        </w:tc>
        <w:tc>
          <w:tcPr>
            <w:tcW w:w="1087" w:type="dxa"/>
            <w:shd w:val="clear" w:color="auto" w:fill="auto"/>
            <w:noWrap/>
            <w:vAlign w:val="center"/>
            <w:hideMark/>
          </w:tcPr>
          <w:p w14:paraId="4070C2E4" w14:textId="77777777" w:rsidR="009218FA" w:rsidRPr="009218FA" w:rsidRDefault="009218FA" w:rsidP="009218FA">
            <w:pPr>
              <w:pStyle w:val="ExhibitText"/>
              <w:jc w:val="right"/>
              <w:rPr>
                <w:sz w:val="18"/>
                <w:szCs w:val="18"/>
              </w:rPr>
            </w:pPr>
          </w:p>
        </w:tc>
      </w:tr>
      <w:tr w:rsidR="009218FA" w:rsidRPr="00565022" w14:paraId="5E1A36A5" w14:textId="77777777" w:rsidTr="00263A51">
        <w:trPr>
          <w:trHeight w:val="348"/>
          <w:jc w:val="center"/>
        </w:trPr>
        <w:tc>
          <w:tcPr>
            <w:tcW w:w="3718" w:type="dxa"/>
            <w:shd w:val="clear" w:color="auto" w:fill="auto"/>
            <w:noWrap/>
            <w:vAlign w:val="center"/>
            <w:hideMark/>
          </w:tcPr>
          <w:p w14:paraId="0905D548" w14:textId="77777777" w:rsidR="009218FA" w:rsidRPr="009218FA" w:rsidRDefault="009218FA" w:rsidP="00984781">
            <w:pPr>
              <w:pStyle w:val="ExhibitText"/>
              <w:jc w:val="left"/>
              <w:rPr>
                <w:color w:val="000000"/>
                <w:sz w:val="18"/>
                <w:szCs w:val="18"/>
              </w:rPr>
            </w:pPr>
            <w:r w:rsidRPr="009218FA">
              <w:rPr>
                <w:color w:val="000000"/>
                <w:sz w:val="18"/>
                <w:szCs w:val="18"/>
              </w:rPr>
              <w:t xml:space="preserve">Income tax expense </w:t>
            </w:r>
          </w:p>
        </w:tc>
        <w:tc>
          <w:tcPr>
            <w:tcW w:w="1073" w:type="dxa"/>
            <w:shd w:val="clear" w:color="auto" w:fill="auto"/>
            <w:noWrap/>
            <w:vAlign w:val="center"/>
            <w:hideMark/>
          </w:tcPr>
          <w:p w14:paraId="3FD3F111" w14:textId="14820C66" w:rsidR="009218FA" w:rsidRPr="009218FA" w:rsidRDefault="00F025C8" w:rsidP="009218FA">
            <w:pPr>
              <w:pStyle w:val="ExhibitText"/>
              <w:jc w:val="right"/>
              <w:rPr>
                <w:b/>
                <w:bCs/>
                <w:color w:val="000000"/>
                <w:sz w:val="18"/>
                <w:szCs w:val="18"/>
              </w:rPr>
            </w:pPr>
            <w:r w:rsidRPr="00F025C8">
              <w:rPr>
                <w:b/>
                <w:bCs/>
                <w:color w:val="000000"/>
                <w:sz w:val="18"/>
                <w:szCs w:val="18"/>
              </w:rPr>
              <w:t>−</w:t>
            </w:r>
            <w:r w:rsidR="009218FA" w:rsidRPr="009218FA">
              <w:rPr>
                <w:b/>
                <w:bCs/>
                <w:color w:val="000000"/>
                <w:sz w:val="18"/>
                <w:szCs w:val="18"/>
              </w:rPr>
              <w:t>70.7</w:t>
            </w:r>
          </w:p>
        </w:tc>
        <w:tc>
          <w:tcPr>
            <w:tcW w:w="1073" w:type="dxa"/>
            <w:shd w:val="clear" w:color="auto" w:fill="auto"/>
            <w:noWrap/>
            <w:vAlign w:val="center"/>
            <w:hideMark/>
          </w:tcPr>
          <w:p w14:paraId="40D3DEB6" w14:textId="5C225169" w:rsidR="009218FA" w:rsidRPr="009218FA" w:rsidRDefault="00F025C8" w:rsidP="009218FA">
            <w:pPr>
              <w:pStyle w:val="ExhibitText"/>
              <w:jc w:val="right"/>
              <w:rPr>
                <w:b/>
                <w:bCs/>
                <w:color w:val="000000"/>
                <w:sz w:val="18"/>
                <w:szCs w:val="18"/>
              </w:rPr>
            </w:pPr>
            <w:r w:rsidRPr="00F025C8">
              <w:rPr>
                <w:b/>
                <w:bCs/>
                <w:color w:val="000000"/>
                <w:sz w:val="18"/>
                <w:szCs w:val="18"/>
              </w:rPr>
              <w:t>−</w:t>
            </w:r>
            <w:r w:rsidR="009218FA" w:rsidRPr="009218FA">
              <w:rPr>
                <w:b/>
                <w:bCs/>
                <w:color w:val="000000"/>
                <w:sz w:val="18"/>
                <w:szCs w:val="18"/>
              </w:rPr>
              <w:t>82.3</w:t>
            </w:r>
          </w:p>
        </w:tc>
        <w:tc>
          <w:tcPr>
            <w:tcW w:w="1087" w:type="dxa"/>
            <w:shd w:val="clear" w:color="auto" w:fill="auto"/>
            <w:noWrap/>
            <w:vAlign w:val="center"/>
            <w:hideMark/>
          </w:tcPr>
          <w:p w14:paraId="1B13B52D" w14:textId="2B9A175E" w:rsidR="009218FA" w:rsidRPr="009218FA" w:rsidRDefault="00F025C8" w:rsidP="009218FA">
            <w:pPr>
              <w:pStyle w:val="ExhibitText"/>
              <w:jc w:val="right"/>
              <w:rPr>
                <w:b/>
                <w:bCs/>
                <w:color w:val="000000"/>
                <w:sz w:val="18"/>
                <w:szCs w:val="18"/>
              </w:rPr>
            </w:pPr>
            <w:r w:rsidRPr="00F025C8">
              <w:rPr>
                <w:b/>
                <w:bCs/>
                <w:color w:val="000000"/>
                <w:sz w:val="18"/>
                <w:szCs w:val="18"/>
              </w:rPr>
              <w:t>−</w:t>
            </w:r>
            <w:r w:rsidR="009218FA" w:rsidRPr="009218FA">
              <w:rPr>
                <w:b/>
                <w:bCs/>
                <w:color w:val="000000"/>
                <w:sz w:val="18"/>
                <w:szCs w:val="18"/>
              </w:rPr>
              <w:t>86.1</w:t>
            </w:r>
          </w:p>
        </w:tc>
      </w:tr>
      <w:tr w:rsidR="009218FA" w:rsidRPr="00565022" w14:paraId="43B94A93" w14:textId="77777777" w:rsidTr="00263A51">
        <w:trPr>
          <w:trHeight w:val="348"/>
          <w:jc w:val="center"/>
        </w:trPr>
        <w:tc>
          <w:tcPr>
            <w:tcW w:w="3718" w:type="dxa"/>
            <w:shd w:val="clear" w:color="auto" w:fill="auto"/>
            <w:noWrap/>
            <w:vAlign w:val="center"/>
            <w:hideMark/>
          </w:tcPr>
          <w:p w14:paraId="2EAF33BB" w14:textId="77777777" w:rsidR="009218FA" w:rsidRPr="009218FA" w:rsidRDefault="009218FA" w:rsidP="00984781">
            <w:pPr>
              <w:pStyle w:val="ExhibitText"/>
              <w:jc w:val="left"/>
              <w:rPr>
                <w:color w:val="000000"/>
                <w:sz w:val="18"/>
                <w:szCs w:val="18"/>
              </w:rPr>
            </w:pPr>
            <w:r w:rsidRPr="009218FA">
              <w:rPr>
                <w:color w:val="000000"/>
                <w:sz w:val="18"/>
                <w:szCs w:val="18"/>
              </w:rPr>
              <w:t>Current income tax</w:t>
            </w:r>
          </w:p>
        </w:tc>
        <w:tc>
          <w:tcPr>
            <w:tcW w:w="1073" w:type="dxa"/>
            <w:shd w:val="clear" w:color="auto" w:fill="auto"/>
            <w:noWrap/>
            <w:vAlign w:val="center"/>
            <w:hideMark/>
          </w:tcPr>
          <w:p w14:paraId="126053F8" w14:textId="517F2C0B" w:rsidR="009218FA" w:rsidRPr="009218FA" w:rsidRDefault="00F025C8" w:rsidP="009218FA">
            <w:pPr>
              <w:pStyle w:val="ExhibitText"/>
              <w:jc w:val="right"/>
              <w:rPr>
                <w:color w:val="000000"/>
                <w:sz w:val="18"/>
                <w:szCs w:val="18"/>
              </w:rPr>
            </w:pPr>
            <w:r w:rsidRPr="00F025C8">
              <w:rPr>
                <w:color w:val="000000"/>
                <w:sz w:val="18"/>
                <w:szCs w:val="18"/>
              </w:rPr>
              <w:t>−</w:t>
            </w:r>
            <w:r w:rsidR="009218FA" w:rsidRPr="009218FA">
              <w:rPr>
                <w:color w:val="000000"/>
                <w:sz w:val="18"/>
                <w:szCs w:val="18"/>
              </w:rPr>
              <w:t>63.5</w:t>
            </w:r>
          </w:p>
        </w:tc>
        <w:tc>
          <w:tcPr>
            <w:tcW w:w="1073" w:type="dxa"/>
            <w:shd w:val="clear" w:color="auto" w:fill="auto"/>
            <w:noWrap/>
            <w:vAlign w:val="center"/>
            <w:hideMark/>
          </w:tcPr>
          <w:p w14:paraId="14820C11" w14:textId="16C972FF" w:rsidR="009218FA" w:rsidRPr="009218FA" w:rsidRDefault="00F025C8" w:rsidP="009218FA">
            <w:pPr>
              <w:pStyle w:val="ExhibitText"/>
              <w:jc w:val="right"/>
              <w:rPr>
                <w:color w:val="000000"/>
                <w:sz w:val="18"/>
                <w:szCs w:val="18"/>
              </w:rPr>
            </w:pPr>
            <w:r w:rsidRPr="00F025C8">
              <w:rPr>
                <w:color w:val="000000"/>
                <w:sz w:val="18"/>
                <w:szCs w:val="18"/>
              </w:rPr>
              <w:t>−</w:t>
            </w:r>
            <w:r w:rsidR="009218FA" w:rsidRPr="009218FA">
              <w:rPr>
                <w:color w:val="000000"/>
                <w:sz w:val="18"/>
                <w:szCs w:val="18"/>
              </w:rPr>
              <w:t>73.6</w:t>
            </w:r>
          </w:p>
        </w:tc>
        <w:tc>
          <w:tcPr>
            <w:tcW w:w="1087" w:type="dxa"/>
            <w:shd w:val="clear" w:color="auto" w:fill="auto"/>
            <w:noWrap/>
            <w:vAlign w:val="center"/>
            <w:hideMark/>
          </w:tcPr>
          <w:p w14:paraId="5C1599C7" w14:textId="494D61AD" w:rsidR="009218FA" w:rsidRPr="009218FA" w:rsidRDefault="00F025C8" w:rsidP="009218FA">
            <w:pPr>
              <w:pStyle w:val="ExhibitText"/>
              <w:jc w:val="right"/>
              <w:rPr>
                <w:color w:val="000000"/>
                <w:sz w:val="18"/>
                <w:szCs w:val="18"/>
              </w:rPr>
            </w:pPr>
            <w:r w:rsidRPr="00F025C8">
              <w:rPr>
                <w:color w:val="000000"/>
                <w:sz w:val="18"/>
                <w:szCs w:val="18"/>
              </w:rPr>
              <w:t>−</w:t>
            </w:r>
            <w:r w:rsidR="009218FA" w:rsidRPr="009218FA">
              <w:rPr>
                <w:color w:val="000000"/>
                <w:sz w:val="18"/>
                <w:szCs w:val="18"/>
              </w:rPr>
              <w:t>94.9</w:t>
            </w:r>
          </w:p>
        </w:tc>
      </w:tr>
      <w:tr w:rsidR="009218FA" w:rsidRPr="00565022" w14:paraId="252327B2" w14:textId="77777777" w:rsidTr="00263A51">
        <w:trPr>
          <w:trHeight w:val="348"/>
          <w:jc w:val="center"/>
        </w:trPr>
        <w:tc>
          <w:tcPr>
            <w:tcW w:w="3718" w:type="dxa"/>
            <w:shd w:val="clear" w:color="auto" w:fill="auto"/>
            <w:noWrap/>
            <w:vAlign w:val="center"/>
            <w:hideMark/>
          </w:tcPr>
          <w:p w14:paraId="366EB6BB" w14:textId="77777777" w:rsidR="009218FA" w:rsidRPr="009218FA" w:rsidRDefault="009218FA" w:rsidP="00984781">
            <w:pPr>
              <w:pStyle w:val="ExhibitText"/>
              <w:jc w:val="left"/>
              <w:rPr>
                <w:color w:val="000000"/>
                <w:sz w:val="18"/>
                <w:szCs w:val="18"/>
              </w:rPr>
            </w:pPr>
            <w:r w:rsidRPr="009218FA">
              <w:rPr>
                <w:color w:val="000000"/>
                <w:sz w:val="18"/>
                <w:szCs w:val="18"/>
              </w:rPr>
              <w:t>Deferred income tax</w:t>
            </w:r>
          </w:p>
        </w:tc>
        <w:tc>
          <w:tcPr>
            <w:tcW w:w="1073" w:type="dxa"/>
            <w:shd w:val="clear" w:color="auto" w:fill="auto"/>
            <w:noWrap/>
            <w:vAlign w:val="center"/>
            <w:hideMark/>
          </w:tcPr>
          <w:p w14:paraId="5064E8CB" w14:textId="38A8F6CD" w:rsidR="009218FA" w:rsidRPr="009218FA" w:rsidRDefault="00F025C8" w:rsidP="009218FA">
            <w:pPr>
              <w:pStyle w:val="ExhibitText"/>
              <w:jc w:val="right"/>
              <w:rPr>
                <w:color w:val="000000"/>
                <w:sz w:val="18"/>
                <w:szCs w:val="18"/>
              </w:rPr>
            </w:pPr>
            <w:r w:rsidRPr="00F025C8">
              <w:rPr>
                <w:color w:val="000000"/>
                <w:sz w:val="18"/>
                <w:szCs w:val="18"/>
              </w:rPr>
              <w:t>−</w:t>
            </w:r>
            <w:r w:rsidR="009218FA" w:rsidRPr="009218FA">
              <w:rPr>
                <w:color w:val="000000"/>
                <w:sz w:val="18"/>
                <w:szCs w:val="18"/>
              </w:rPr>
              <w:t>7.1</w:t>
            </w:r>
          </w:p>
        </w:tc>
        <w:tc>
          <w:tcPr>
            <w:tcW w:w="1073" w:type="dxa"/>
            <w:shd w:val="clear" w:color="auto" w:fill="auto"/>
            <w:noWrap/>
            <w:vAlign w:val="center"/>
            <w:hideMark/>
          </w:tcPr>
          <w:p w14:paraId="4A438AD0" w14:textId="4510DEDA" w:rsidR="009218FA" w:rsidRPr="009218FA" w:rsidRDefault="00F025C8" w:rsidP="009218FA">
            <w:pPr>
              <w:pStyle w:val="ExhibitText"/>
              <w:jc w:val="right"/>
              <w:rPr>
                <w:color w:val="000000"/>
                <w:sz w:val="18"/>
                <w:szCs w:val="18"/>
              </w:rPr>
            </w:pPr>
            <w:r w:rsidRPr="00F025C8">
              <w:rPr>
                <w:color w:val="000000"/>
                <w:sz w:val="18"/>
                <w:szCs w:val="18"/>
              </w:rPr>
              <w:t>−</w:t>
            </w:r>
            <w:r w:rsidR="009218FA" w:rsidRPr="009218FA">
              <w:rPr>
                <w:color w:val="000000"/>
                <w:sz w:val="18"/>
                <w:szCs w:val="18"/>
              </w:rPr>
              <w:t>8.7</w:t>
            </w:r>
          </w:p>
        </w:tc>
        <w:tc>
          <w:tcPr>
            <w:tcW w:w="1087" w:type="dxa"/>
            <w:shd w:val="clear" w:color="auto" w:fill="auto"/>
            <w:noWrap/>
            <w:vAlign w:val="center"/>
            <w:hideMark/>
          </w:tcPr>
          <w:p w14:paraId="1C3129F4" w14:textId="77777777" w:rsidR="009218FA" w:rsidRPr="009218FA" w:rsidRDefault="009218FA" w:rsidP="009218FA">
            <w:pPr>
              <w:pStyle w:val="ExhibitText"/>
              <w:jc w:val="right"/>
              <w:rPr>
                <w:color w:val="000000"/>
                <w:sz w:val="18"/>
                <w:szCs w:val="18"/>
              </w:rPr>
            </w:pPr>
            <w:r w:rsidRPr="009218FA">
              <w:rPr>
                <w:color w:val="000000"/>
                <w:sz w:val="18"/>
                <w:szCs w:val="18"/>
              </w:rPr>
              <w:t>8.8</w:t>
            </w:r>
          </w:p>
        </w:tc>
      </w:tr>
      <w:tr w:rsidR="009218FA" w:rsidRPr="00565022" w14:paraId="41E8168E" w14:textId="77777777" w:rsidTr="00263A51">
        <w:trPr>
          <w:trHeight w:val="348"/>
          <w:jc w:val="center"/>
        </w:trPr>
        <w:tc>
          <w:tcPr>
            <w:tcW w:w="3718" w:type="dxa"/>
            <w:shd w:val="clear" w:color="auto" w:fill="auto"/>
            <w:noWrap/>
            <w:vAlign w:val="center"/>
            <w:hideMark/>
          </w:tcPr>
          <w:p w14:paraId="50B69807" w14:textId="77777777" w:rsidR="009218FA" w:rsidRPr="009218FA" w:rsidRDefault="009218FA" w:rsidP="00984781">
            <w:pPr>
              <w:pStyle w:val="ExhibitText"/>
              <w:jc w:val="left"/>
              <w:rPr>
                <w:color w:val="000000"/>
                <w:sz w:val="18"/>
                <w:szCs w:val="18"/>
              </w:rPr>
            </w:pPr>
            <w:r w:rsidRPr="009218FA">
              <w:rPr>
                <w:color w:val="000000"/>
                <w:sz w:val="18"/>
                <w:szCs w:val="18"/>
              </w:rPr>
              <w:t>Tax allowance/credit</w:t>
            </w:r>
          </w:p>
        </w:tc>
        <w:tc>
          <w:tcPr>
            <w:tcW w:w="1073" w:type="dxa"/>
            <w:shd w:val="clear" w:color="auto" w:fill="auto"/>
            <w:noWrap/>
            <w:vAlign w:val="center"/>
            <w:hideMark/>
          </w:tcPr>
          <w:p w14:paraId="07F31F82" w14:textId="77777777" w:rsidR="009218FA" w:rsidRPr="009218FA" w:rsidRDefault="009218FA" w:rsidP="009218FA">
            <w:pPr>
              <w:pStyle w:val="ExhibitText"/>
              <w:jc w:val="right"/>
              <w:rPr>
                <w:color w:val="000000"/>
                <w:sz w:val="18"/>
                <w:szCs w:val="18"/>
              </w:rPr>
            </w:pPr>
            <w:r w:rsidRPr="009218FA">
              <w:rPr>
                <w:color w:val="000000"/>
                <w:sz w:val="18"/>
                <w:szCs w:val="18"/>
              </w:rPr>
              <w:t>-</w:t>
            </w:r>
          </w:p>
        </w:tc>
        <w:tc>
          <w:tcPr>
            <w:tcW w:w="1073" w:type="dxa"/>
            <w:shd w:val="clear" w:color="auto" w:fill="auto"/>
            <w:noWrap/>
            <w:vAlign w:val="center"/>
            <w:hideMark/>
          </w:tcPr>
          <w:p w14:paraId="150C8556" w14:textId="77777777" w:rsidR="009218FA" w:rsidRPr="009218FA" w:rsidRDefault="009218FA" w:rsidP="009218FA">
            <w:pPr>
              <w:pStyle w:val="ExhibitText"/>
              <w:jc w:val="right"/>
              <w:rPr>
                <w:color w:val="000000"/>
                <w:sz w:val="18"/>
                <w:szCs w:val="18"/>
              </w:rPr>
            </w:pPr>
            <w:r w:rsidRPr="009218FA">
              <w:rPr>
                <w:color w:val="000000"/>
                <w:sz w:val="18"/>
                <w:szCs w:val="18"/>
              </w:rPr>
              <w:t>-</w:t>
            </w:r>
          </w:p>
        </w:tc>
        <w:tc>
          <w:tcPr>
            <w:tcW w:w="1087" w:type="dxa"/>
            <w:shd w:val="clear" w:color="auto" w:fill="auto"/>
            <w:noWrap/>
            <w:vAlign w:val="center"/>
            <w:hideMark/>
          </w:tcPr>
          <w:p w14:paraId="1C63F62E" w14:textId="77777777" w:rsidR="009218FA" w:rsidRPr="009218FA" w:rsidRDefault="009218FA" w:rsidP="009218FA">
            <w:pPr>
              <w:pStyle w:val="ExhibitText"/>
              <w:jc w:val="right"/>
              <w:rPr>
                <w:color w:val="000000"/>
                <w:sz w:val="18"/>
                <w:szCs w:val="18"/>
              </w:rPr>
            </w:pPr>
            <w:r w:rsidRPr="009218FA">
              <w:rPr>
                <w:color w:val="000000"/>
                <w:sz w:val="18"/>
                <w:szCs w:val="18"/>
              </w:rPr>
              <w:t>-</w:t>
            </w:r>
          </w:p>
        </w:tc>
      </w:tr>
      <w:tr w:rsidR="009218FA" w:rsidRPr="00565022" w14:paraId="595D70EA" w14:textId="77777777" w:rsidTr="00263A51">
        <w:trPr>
          <w:trHeight w:val="348"/>
          <w:jc w:val="center"/>
        </w:trPr>
        <w:tc>
          <w:tcPr>
            <w:tcW w:w="3718" w:type="dxa"/>
            <w:shd w:val="clear" w:color="auto" w:fill="auto"/>
            <w:noWrap/>
            <w:vAlign w:val="center"/>
            <w:hideMark/>
          </w:tcPr>
          <w:p w14:paraId="7FB6293D" w14:textId="77777777" w:rsidR="009218FA" w:rsidRPr="009218FA" w:rsidRDefault="009218FA" w:rsidP="00984781">
            <w:pPr>
              <w:pStyle w:val="ExhibitText"/>
              <w:jc w:val="left"/>
              <w:rPr>
                <w:color w:val="000000"/>
                <w:sz w:val="18"/>
                <w:szCs w:val="18"/>
              </w:rPr>
            </w:pPr>
          </w:p>
        </w:tc>
        <w:tc>
          <w:tcPr>
            <w:tcW w:w="1073" w:type="dxa"/>
            <w:shd w:val="clear" w:color="auto" w:fill="auto"/>
            <w:noWrap/>
            <w:vAlign w:val="center"/>
            <w:hideMark/>
          </w:tcPr>
          <w:p w14:paraId="0A58F955" w14:textId="77777777" w:rsidR="009218FA" w:rsidRPr="009218FA" w:rsidRDefault="009218FA" w:rsidP="009218FA">
            <w:pPr>
              <w:pStyle w:val="ExhibitText"/>
              <w:jc w:val="right"/>
              <w:rPr>
                <w:sz w:val="18"/>
                <w:szCs w:val="18"/>
              </w:rPr>
            </w:pPr>
          </w:p>
        </w:tc>
        <w:tc>
          <w:tcPr>
            <w:tcW w:w="1073" w:type="dxa"/>
            <w:shd w:val="clear" w:color="auto" w:fill="auto"/>
            <w:noWrap/>
            <w:vAlign w:val="center"/>
            <w:hideMark/>
          </w:tcPr>
          <w:p w14:paraId="1261E236" w14:textId="77777777" w:rsidR="009218FA" w:rsidRPr="009218FA" w:rsidRDefault="009218FA" w:rsidP="009218FA">
            <w:pPr>
              <w:pStyle w:val="ExhibitText"/>
              <w:jc w:val="right"/>
              <w:rPr>
                <w:sz w:val="18"/>
                <w:szCs w:val="18"/>
              </w:rPr>
            </w:pPr>
          </w:p>
        </w:tc>
        <w:tc>
          <w:tcPr>
            <w:tcW w:w="1087" w:type="dxa"/>
            <w:shd w:val="clear" w:color="auto" w:fill="auto"/>
            <w:noWrap/>
            <w:vAlign w:val="center"/>
            <w:hideMark/>
          </w:tcPr>
          <w:p w14:paraId="502FEB29" w14:textId="77777777" w:rsidR="009218FA" w:rsidRPr="009218FA" w:rsidRDefault="009218FA" w:rsidP="009218FA">
            <w:pPr>
              <w:pStyle w:val="ExhibitText"/>
              <w:jc w:val="right"/>
              <w:rPr>
                <w:sz w:val="18"/>
                <w:szCs w:val="18"/>
              </w:rPr>
            </w:pPr>
          </w:p>
        </w:tc>
      </w:tr>
      <w:tr w:rsidR="009218FA" w:rsidRPr="00565022" w14:paraId="6FF31DFD" w14:textId="77777777" w:rsidTr="00263A51">
        <w:trPr>
          <w:trHeight w:val="348"/>
          <w:jc w:val="center"/>
        </w:trPr>
        <w:tc>
          <w:tcPr>
            <w:tcW w:w="3718" w:type="dxa"/>
            <w:shd w:val="clear" w:color="auto" w:fill="auto"/>
            <w:noWrap/>
            <w:vAlign w:val="center"/>
            <w:hideMark/>
          </w:tcPr>
          <w:p w14:paraId="70C1A5DC" w14:textId="77777777" w:rsidR="009218FA" w:rsidRPr="009218FA" w:rsidRDefault="009218FA" w:rsidP="00984781">
            <w:pPr>
              <w:pStyle w:val="ExhibitText"/>
              <w:jc w:val="left"/>
              <w:rPr>
                <w:b/>
                <w:bCs/>
                <w:color w:val="000000"/>
                <w:sz w:val="18"/>
                <w:szCs w:val="18"/>
              </w:rPr>
            </w:pPr>
            <w:r w:rsidRPr="009218FA">
              <w:rPr>
                <w:b/>
                <w:bCs/>
                <w:color w:val="000000"/>
                <w:sz w:val="18"/>
                <w:szCs w:val="18"/>
              </w:rPr>
              <w:t>NET INCOME (GAAP)</w:t>
            </w:r>
          </w:p>
        </w:tc>
        <w:tc>
          <w:tcPr>
            <w:tcW w:w="1073" w:type="dxa"/>
            <w:shd w:val="clear" w:color="auto" w:fill="auto"/>
            <w:noWrap/>
            <w:vAlign w:val="center"/>
            <w:hideMark/>
          </w:tcPr>
          <w:p w14:paraId="5004D57E" w14:textId="77777777" w:rsidR="009218FA" w:rsidRPr="009218FA" w:rsidRDefault="009218FA" w:rsidP="009218FA">
            <w:pPr>
              <w:pStyle w:val="ExhibitText"/>
              <w:jc w:val="right"/>
              <w:rPr>
                <w:b/>
                <w:bCs/>
                <w:color w:val="000000"/>
                <w:sz w:val="18"/>
                <w:szCs w:val="18"/>
              </w:rPr>
            </w:pPr>
            <w:r w:rsidRPr="009218FA">
              <w:rPr>
                <w:b/>
                <w:bCs/>
                <w:color w:val="000000"/>
                <w:sz w:val="18"/>
                <w:szCs w:val="18"/>
              </w:rPr>
              <w:t>126.6</w:t>
            </w:r>
          </w:p>
        </w:tc>
        <w:tc>
          <w:tcPr>
            <w:tcW w:w="1073" w:type="dxa"/>
            <w:shd w:val="clear" w:color="auto" w:fill="auto"/>
            <w:noWrap/>
            <w:vAlign w:val="center"/>
            <w:hideMark/>
          </w:tcPr>
          <w:p w14:paraId="647F2441" w14:textId="77777777" w:rsidR="009218FA" w:rsidRPr="009218FA" w:rsidRDefault="009218FA" w:rsidP="009218FA">
            <w:pPr>
              <w:pStyle w:val="ExhibitText"/>
              <w:jc w:val="right"/>
              <w:rPr>
                <w:b/>
                <w:bCs/>
                <w:color w:val="000000"/>
                <w:sz w:val="18"/>
                <w:szCs w:val="18"/>
              </w:rPr>
            </w:pPr>
            <w:r w:rsidRPr="009218FA">
              <w:rPr>
                <w:b/>
                <w:bCs/>
                <w:color w:val="000000"/>
                <w:sz w:val="18"/>
                <w:szCs w:val="18"/>
              </w:rPr>
              <w:t>232.7</w:t>
            </w:r>
          </w:p>
        </w:tc>
        <w:tc>
          <w:tcPr>
            <w:tcW w:w="1087" w:type="dxa"/>
            <w:shd w:val="clear" w:color="auto" w:fill="auto"/>
            <w:noWrap/>
            <w:vAlign w:val="center"/>
            <w:hideMark/>
          </w:tcPr>
          <w:p w14:paraId="7C9EB783" w14:textId="77777777" w:rsidR="009218FA" w:rsidRPr="009218FA" w:rsidRDefault="009218FA" w:rsidP="009218FA">
            <w:pPr>
              <w:pStyle w:val="ExhibitText"/>
              <w:jc w:val="right"/>
              <w:rPr>
                <w:b/>
                <w:bCs/>
                <w:color w:val="000000"/>
                <w:sz w:val="18"/>
                <w:szCs w:val="18"/>
              </w:rPr>
            </w:pPr>
            <w:r w:rsidRPr="009218FA">
              <w:rPr>
                <w:b/>
                <w:bCs/>
                <w:color w:val="000000"/>
                <w:sz w:val="18"/>
                <w:szCs w:val="18"/>
              </w:rPr>
              <w:t>130.8</w:t>
            </w:r>
          </w:p>
        </w:tc>
      </w:tr>
    </w:tbl>
    <w:p w14:paraId="5CD2676C" w14:textId="77777777" w:rsidR="009218FA" w:rsidRPr="009218FA" w:rsidRDefault="009218FA" w:rsidP="009218FA">
      <w:pPr>
        <w:pStyle w:val="Footnote"/>
      </w:pPr>
    </w:p>
    <w:p w14:paraId="38E4AD6D" w14:textId="31B65175" w:rsidR="009218FA" w:rsidRPr="009218FA" w:rsidRDefault="009218FA" w:rsidP="009218FA">
      <w:pPr>
        <w:pStyle w:val="Footnote"/>
      </w:pPr>
      <w:r w:rsidRPr="009218FA">
        <w:t xml:space="preserve">Note: </w:t>
      </w:r>
      <w:r w:rsidR="00941BAA">
        <w:t>F</w:t>
      </w:r>
      <w:r w:rsidRPr="009218FA">
        <w:t>igures roun</w:t>
      </w:r>
      <w:r w:rsidR="00A15912">
        <w:t xml:space="preserve">ded to nearest hundred thousand; </w:t>
      </w:r>
      <w:r w:rsidRPr="009218FA">
        <w:t xml:space="preserve">* </w:t>
      </w:r>
      <w:r w:rsidR="00941BAA">
        <w:t>“</w:t>
      </w:r>
      <w:r w:rsidRPr="009218FA">
        <w:t>Other operating expenses</w:t>
      </w:r>
      <w:r w:rsidR="00941BAA">
        <w:t>”</w:t>
      </w:r>
      <w:r w:rsidRPr="009218FA">
        <w:t xml:space="preserve"> includes depreciation and amorti</w:t>
      </w:r>
      <w:r w:rsidR="00D04C0C">
        <w:t>z</w:t>
      </w:r>
      <w:r w:rsidRPr="009218FA">
        <w:t>ation figures</w:t>
      </w:r>
      <w:r w:rsidR="00941BAA">
        <w:t>,</w:t>
      </w:r>
      <w:r w:rsidRPr="009218FA">
        <w:t xml:space="preserve"> as per cash flow statement.</w:t>
      </w:r>
    </w:p>
    <w:p w14:paraId="37DE0704" w14:textId="3A5FB4F8" w:rsidR="00A847A4" w:rsidRPr="009218FA" w:rsidRDefault="00A847A4" w:rsidP="00A847A4">
      <w:pPr>
        <w:pStyle w:val="Footnote"/>
      </w:pPr>
      <w:r w:rsidRPr="009218FA">
        <w:t>Source: Bloomberg data</w:t>
      </w:r>
      <w:r w:rsidR="00A15912">
        <w:t>.</w:t>
      </w:r>
    </w:p>
    <w:p w14:paraId="5BBFE4D1" w14:textId="77777777" w:rsidR="009218FA" w:rsidRDefault="009218FA" w:rsidP="009218FA">
      <w:pPr>
        <w:jc w:val="center"/>
        <w:rPr>
          <w:b/>
        </w:rPr>
      </w:pPr>
    </w:p>
    <w:p w14:paraId="6BBA00E3" w14:textId="77777777" w:rsidR="009218FA" w:rsidRDefault="009218FA" w:rsidP="009218FA">
      <w:pPr>
        <w:jc w:val="center"/>
        <w:rPr>
          <w:b/>
        </w:rPr>
      </w:pPr>
    </w:p>
    <w:p w14:paraId="59C0F1EF" w14:textId="77777777" w:rsidR="009218FA" w:rsidRDefault="009218FA" w:rsidP="009218FA">
      <w:pPr>
        <w:jc w:val="center"/>
        <w:rPr>
          <w:b/>
        </w:rPr>
      </w:pPr>
    </w:p>
    <w:p w14:paraId="70A7ED56" w14:textId="77777777" w:rsidR="00E24130" w:rsidRDefault="009218FA" w:rsidP="009218FA">
      <w:pPr>
        <w:pStyle w:val="ExhibitHeading"/>
      </w:pPr>
      <w:r w:rsidRPr="00565022">
        <w:lastRenderedPageBreak/>
        <w:t xml:space="preserve">Exhibit </w:t>
      </w:r>
      <w:r w:rsidR="004F0E33">
        <w:t>3</w:t>
      </w:r>
      <w:r>
        <w:t xml:space="preserve">: </w:t>
      </w:r>
      <w:r w:rsidR="00076974">
        <w:t xml:space="preserve">medibank’s </w:t>
      </w:r>
      <w:r w:rsidRPr="00565022">
        <w:t>HISTORIC</w:t>
      </w:r>
      <w:r w:rsidR="00076974">
        <w:t>al</w:t>
      </w:r>
      <w:r w:rsidRPr="00565022">
        <w:t xml:space="preserve"> CASH FLOW STATEMENT </w:t>
      </w:r>
    </w:p>
    <w:p w14:paraId="75490223" w14:textId="77777777" w:rsidR="009218FA" w:rsidRPr="00565022" w:rsidRDefault="009218FA" w:rsidP="009218FA">
      <w:pPr>
        <w:pStyle w:val="ExhibitHeading"/>
      </w:pPr>
      <w:r w:rsidRPr="00565022">
        <w:t>FOR YEAR ENDED JUNE 30</w:t>
      </w:r>
      <w:r w:rsidR="00E24130">
        <w:t>,</w:t>
      </w:r>
      <w:r w:rsidRPr="00565022">
        <w:t xml:space="preserve"> 2014</w:t>
      </w:r>
    </w:p>
    <w:p w14:paraId="0CE3E956" w14:textId="3E76DA4B" w:rsidR="009218FA" w:rsidRPr="00565022" w:rsidRDefault="009218FA" w:rsidP="009218FA">
      <w:pPr>
        <w:pStyle w:val="ExhibitHeading"/>
      </w:pPr>
      <w:r w:rsidRPr="00565022">
        <w:t xml:space="preserve">(amounts in millions </w:t>
      </w:r>
      <w:r w:rsidR="005164AE">
        <w:t xml:space="preserve">of </w:t>
      </w:r>
      <w:r w:rsidRPr="00565022">
        <w:t>AU</w:t>
      </w:r>
      <w:r w:rsidR="00941BAA">
        <w:t xml:space="preserve">stralian </w:t>
      </w:r>
      <w:r w:rsidRPr="00565022">
        <w:t>D</w:t>
      </w:r>
      <w:r w:rsidR="00941BAA">
        <w:t>ollars,</w:t>
      </w:r>
      <w:r w:rsidRPr="00565022">
        <w:t xml:space="preserve"> except per share)</w:t>
      </w:r>
    </w:p>
    <w:p w14:paraId="1E7B3C05" w14:textId="77777777" w:rsidR="009218FA" w:rsidRPr="00263A51" w:rsidRDefault="009218FA" w:rsidP="009218FA">
      <w:pPr>
        <w:pStyle w:val="ExhibitHeading"/>
      </w:pPr>
    </w:p>
    <w:tbl>
      <w:tblPr>
        <w:tblW w:w="79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7"/>
        <w:gridCol w:w="1276"/>
        <w:gridCol w:w="1276"/>
        <w:gridCol w:w="1417"/>
      </w:tblGrid>
      <w:tr w:rsidR="009218FA" w:rsidRPr="00565022" w14:paraId="743CD3DD" w14:textId="77777777" w:rsidTr="00263A51">
        <w:trPr>
          <w:trHeight w:val="320"/>
          <w:jc w:val="center"/>
        </w:trPr>
        <w:tc>
          <w:tcPr>
            <w:tcW w:w="3967" w:type="dxa"/>
            <w:shd w:val="clear" w:color="auto" w:fill="auto"/>
            <w:noWrap/>
            <w:hideMark/>
          </w:tcPr>
          <w:p w14:paraId="78BA52FF" w14:textId="77777777" w:rsidR="009218FA" w:rsidRPr="009218FA" w:rsidRDefault="009218FA" w:rsidP="009218FA">
            <w:pPr>
              <w:pStyle w:val="ExhibitText"/>
              <w:rPr>
                <w:sz w:val="18"/>
                <w:szCs w:val="18"/>
              </w:rPr>
            </w:pPr>
          </w:p>
        </w:tc>
        <w:tc>
          <w:tcPr>
            <w:tcW w:w="1276" w:type="dxa"/>
            <w:shd w:val="clear" w:color="auto" w:fill="auto"/>
            <w:noWrap/>
            <w:vAlign w:val="center"/>
            <w:hideMark/>
          </w:tcPr>
          <w:p w14:paraId="1F0EEFE8" w14:textId="77777777" w:rsidR="009218FA" w:rsidRPr="009218FA" w:rsidRDefault="009218FA" w:rsidP="009218FA">
            <w:pPr>
              <w:pStyle w:val="ExhibitText"/>
              <w:jc w:val="center"/>
              <w:rPr>
                <w:sz w:val="18"/>
                <w:szCs w:val="18"/>
              </w:rPr>
            </w:pPr>
            <w:r w:rsidRPr="009218FA">
              <w:rPr>
                <w:sz w:val="18"/>
                <w:szCs w:val="18"/>
              </w:rPr>
              <w:t>2012</w:t>
            </w:r>
          </w:p>
        </w:tc>
        <w:tc>
          <w:tcPr>
            <w:tcW w:w="1276" w:type="dxa"/>
            <w:shd w:val="clear" w:color="auto" w:fill="auto"/>
            <w:noWrap/>
            <w:vAlign w:val="center"/>
            <w:hideMark/>
          </w:tcPr>
          <w:p w14:paraId="1B166715" w14:textId="77777777" w:rsidR="009218FA" w:rsidRPr="009218FA" w:rsidRDefault="009218FA" w:rsidP="009218FA">
            <w:pPr>
              <w:pStyle w:val="ExhibitText"/>
              <w:jc w:val="center"/>
              <w:rPr>
                <w:sz w:val="18"/>
                <w:szCs w:val="18"/>
              </w:rPr>
            </w:pPr>
            <w:r w:rsidRPr="009218FA">
              <w:rPr>
                <w:sz w:val="18"/>
                <w:szCs w:val="18"/>
              </w:rPr>
              <w:t>2013</w:t>
            </w:r>
          </w:p>
        </w:tc>
        <w:tc>
          <w:tcPr>
            <w:tcW w:w="1417" w:type="dxa"/>
            <w:shd w:val="clear" w:color="auto" w:fill="auto"/>
            <w:noWrap/>
            <w:vAlign w:val="center"/>
            <w:hideMark/>
          </w:tcPr>
          <w:p w14:paraId="457D5543" w14:textId="77777777" w:rsidR="009218FA" w:rsidRPr="009218FA" w:rsidRDefault="009218FA" w:rsidP="009218FA">
            <w:pPr>
              <w:pStyle w:val="ExhibitText"/>
              <w:jc w:val="center"/>
              <w:rPr>
                <w:sz w:val="18"/>
                <w:szCs w:val="18"/>
              </w:rPr>
            </w:pPr>
            <w:r w:rsidRPr="009218FA">
              <w:rPr>
                <w:sz w:val="18"/>
                <w:szCs w:val="18"/>
              </w:rPr>
              <w:t>2014</w:t>
            </w:r>
          </w:p>
        </w:tc>
      </w:tr>
      <w:tr w:rsidR="009218FA" w:rsidRPr="00565022" w14:paraId="429422A9" w14:textId="77777777" w:rsidTr="00263A51">
        <w:trPr>
          <w:trHeight w:val="320"/>
          <w:jc w:val="center"/>
        </w:trPr>
        <w:tc>
          <w:tcPr>
            <w:tcW w:w="3967" w:type="dxa"/>
            <w:shd w:val="clear" w:color="auto" w:fill="auto"/>
            <w:noWrap/>
            <w:hideMark/>
          </w:tcPr>
          <w:p w14:paraId="5C98AE09" w14:textId="77777777" w:rsidR="009218FA" w:rsidRPr="009218FA" w:rsidRDefault="009218FA" w:rsidP="009218FA">
            <w:pPr>
              <w:pStyle w:val="ExhibitText"/>
              <w:rPr>
                <w:b/>
                <w:bCs/>
                <w:color w:val="000000"/>
                <w:sz w:val="18"/>
                <w:szCs w:val="18"/>
              </w:rPr>
            </w:pPr>
          </w:p>
        </w:tc>
        <w:tc>
          <w:tcPr>
            <w:tcW w:w="1276" w:type="dxa"/>
            <w:shd w:val="clear" w:color="auto" w:fill="auto"/>
            <w:noWrap/>
            <w:vAlign w:val="center"/>
            <w:hideMark/>
          </w:tcPr>
          <w:p w14:paraId="685966B5" w14:textId="77777777" w:rsidR="009218FA" w:rsidRPr="009218FA" w:rsidRDefault="009218FA" w:rsidP="009218FA">
            <w:pPr>
              <w:pStyle w:val="ExhibitText"/>
              <w:jc w:val="right"/>
              <w:rPr>
                <w:sz w:val="18"/>
                <w:szCs w:val="18"/>
              </w:rPr>
            </w:pPr>
          </w:p>
        </w:tc>
        <w:tc>
          <w:tcPr>
            <w:tcW w:w="1276" w:type="dxa"/>
            <w:shd w:val="clear" w:color="auto" w:fill="auto"/>
            <w:noWrap/>
            <w:vAlign w:val="center"/>
            <w:hideMark/>
          </w:tcPr>
          <w:p w14:paraId="48C62CFB" w14:textId="77777777" w:rsidR="009218FA" w:rsidRPr="009218FA" w:rsidRDefault="009218FA" w:rsidP="009218FA">
            <w:pPr>
              <w:pStyle w:val="ExhibitText"/>
              <w:jc w:val="right"/>
              <w:rPr>
                <w:sz w:val="18"/>
                <w:szCs w:val="18"/>
              </w:rPr>
            </w:pPr>
          </w:p>
        </w:tc>
        <w:tc>
          <w:tcPr>
            <w:tcW w:w="1417" w:type="dxa"/>
            <w:shd w:val="clear" w:color="auto" w:fill="auto"/>
            <w:noWrap/>
            <w:vAlign w:val="center"/>
            <w:hideMark/>
          </w:tcPr>
          <w:p w14:paraId="75B8835B" w14:textId="77777777" w:rsidR="009218FA" w:rsidRPr="009218FA" w:rsidRDefault="009218FA" w:rsidP="009218FA">
            <w:pPr>
              <w:pStyle w:val="ExhibitText"/>
              <w:jc w:val="right"/>
              <w:rPr>
                <w:sz w:val="18"/>
                <w:szCs w:val="18"/>
              </w:rPr>
            </w:pPr>
          </w:p>
        </w:tc>
      </w:tr>
      <w:tr w:rsidR="009218FA" w:rsidRPr="00565022" w14:paraId="6214C580" w14:textId="77777777" w:rsidTr="00263A51">
        <w:trPr>
          <w:trHeight w:val="320"/>
          <w:jc w:val="center"/>
        </w:trPr>
        <w:tc>
          <w:tcPr>
            <w:tcW w:w="3967" w:type="dxa"/>
            <w:shd w:val="clear" w:color="auto" w:fill="auto"/>
            <w:noWrap/>
            <w:vAlign w:val="center"/>
            <w:hideMark/>
          </w:tcPr>
          <w:p w14:paraId="480276C0" w14:textId="77777777" w:rsidR="009218FA" w:rsidRPr="009218FA" w:rsidRDefault="009218FA" w:rsidP="00984781">
            <w:pPr>
              <w:pStyle w:val="ExhibitText"/>
              <w:jc w:val="left"/>
              <w:rPr>
                <w:b/>
                <w:bCs/>
                <w:color w:val="000000"/>
                <w:sz w:val="18"/>
                <w:szCs w:val="18"/>
              </w:rPr>
            </w:pPr>
            <w:r w:rsidRPr="009218FA">
              <w:rPr>
                <w:b/>
                <w:bCs/>
                <w:color w:val="000000"/>
                <w:sz w:val="18"/>
                <w:szCs w:val="18"/>
              </w:rPr>
              <w:t>CASH FROM OPERATING ACTIVITIES</w:t>
            </w:r>
          </w:p>
        </w:tc>
        <w:tc>
          <w:tcPr>
            <w:tcW w:w="1276" w:type="dxa"/>
            <w:shd w:val="clear" w:color="auto" w:fill="auto"/>
            <w:noWrap/>
            <w:vAlign w:val="center"/>
            <w:hideMark/>
          </w:tcPr>
          <w:p w14:paraId="219276EC" w14:textId="77777777" w:rsidR="009218FA" w:rsidRPr="009218FA" w:rsidRDefault="009218FA" w:rsidP="009218FA">
            <w:pPr>
              <w:pStyle w:val="ExhibitText"/>
              <w:jc w:val="right"/>
              <w:rPr>
                <w:sz w:val="18"/>
                <w:szCs w:val="18"/>
              </w:rPr>
            </w:pPr>
          </w:p>
        </w:tc>
        <w:tc>
          <w:tcPr>
            <w:tcW w:w="1276" w:type="dxa"/>
            <w:shd w:val="clear" w:color="auto" w:fill="auto"/>
            <w:noWrap/>
            <w:vAlign w:val="center"/>
            <w:hideMark/>
          </w:tcPr>
          <w:p w14:paraId="0AE9070A" w14:textId="77777777" w:rsidR="009218FA" w:rsidRPr="009218FA" w:rsidRDefault="009218FA" w:rsidP="009218FA">
            <w:pPr>
              <w:pStyle w:val="ExhibitText"/>
              <w:jc w:val="right"/>
              <w:rPr>
                <w:sz w:val="18"/>
                <w:szCs w:val="18"/>
              </w:rPr>
            </w:pPr>
          </w:p>
        </w:tc>
        <w:tc>
          <w:tcPr>
            <w:tcW w:w="1417" w:type="dxa"/>
            <w:shd w:val="clear" w:color="auto" w:fill="auto"/>
            <w:noWrap/>
            <w:vAlign w:val="center"/>
            <w:hideMark/>
          </w:tcPr>
          <w:p w14:paraId="28BFD32A" w14:textId="77777777" w:rsidR="009218FA" w:rsidRPr="009218FA" w:rsidRDefault="009218FA" w:rsidP="009218FA">
            <w:pPr>
              <w:pStyle w:val="ExhibitText"/>
              <w:jc w:val="right"/>
              <w:rPr>
                <w:sz w:val="18"/>
                <w:szCs w:val="18"/>
              </w:rPr>
            </w:pPr>
          </w:p>
        </w:tc>
      </w:tr>
      <w:tr w:rsidR="009218FA" w:rsidRPr="00565022" w14:paraId="1F564462" w14:textId="77777777" w:rsidTr="00263A51">
        <w:trPr>
          <w:trHeight w:val="320"/>
          <w:jc w:val="center"/>
        </w:trPr>
        <w:tc>
          <w:tcPr>
            <w:tcW w:w="3967" w:type="dxa"/>
            <w:shd w:val="clear" w:color="auto" w:fill="auto"/>
            <w:noWrap/>
            <w:vAlign w:val="center"/>
            <w:hideMark/>
          </w:tcPr>
          <w:p w14:paraId="51E9B822" w14:textId="77777777" w:rsidR="009218FA" w:rsidRPr="009218FA" w:rsidRDefault="009218FA" w:rsidP="00984781">
            <w:pPr>
              <w:pStyle w:val="ExhibitText"/>
              <w:jc w:val="left"/>
              <w:rPr>
                <w:color w:val="000000"/>
                <w:sz w:val="18"/>
                <w:szCs w:val="18"/>
              </w:rPr>
            </w:pPr>
            <w:r w:rsidRPr="009218FA">
              <w:rPr>
                <w:color w:val="000000"/>
                <w:sz w:val="18"/>
                <w:szCs w:val="18"/>
              </w:rPr>
              <w:t>Net income</w:t>
            </w:r>
          </w:p>
        </w:tc>
        <w:tc>
          <w:tcPr>
            <w:tcW w:w="1276" w:type="dxa"/>
            <w:shd w:val="clear" w:color="auto" w:fill="auto"/>
            <w:noWrap/>
            <w:vAlign w:val="center"/>
            <w:hideMark/>
          </w:tcPr>
          <w:p w14:paraId="0E49DB21" w14:textId="77777777" w:rsidR="009218FA" w:rsidRPr="009218FA" w:rsidRDefault="009218FA" w:rsidP="009218FA">
            <w:pPr>
              <w:pStyle w:val="ExhibitText"/>
              <w:jc w:val="right"/>
              <w:rPr>
                <w:sz w:val="18"/>
                <w:szCs w:val="18"/>
              </w:rPr>
            </w:pPr>
            <w:r w:rsidRPr="009218FA">
              <w:rPr>
                <w:sz w:val="18"/>
                <w:szCs w:val="18"/>
              </w:rPr>
              <w:t>126.6</w:t>
            </w:r>
          </w:p>
        </w:tc>
        <w:tc>
          <w:tcPr>
            <w:tcW w:w="1276" w:type="dxa"/>
            <w:shd w:val="clear" w:color="auto" w:fill="auto"/>
            <w:noWrap/>
            <w:vAlign w:val="center"/>
            <w:hideMark/>
          </w:tcPr>
          <w:p w14:paraId="42682E3F" w14:textId="77777777" w:rsidR="009218FA" w:rsidRPr="009218FA" w:rsidRDefault="009218FA" w:rsidP="009218FA">
            <w:pPr>
              <w:pStyle w:val="ExhibitText"/>
              <w:jc w:val="right"/>
              <w:rPr>
                <w:sz w:val="18"/>
                <w:szCs w:val="18"/>
              </w:rPr>
            </w:pPr>
            <w:r w:rsidRPr="009218FA">
              <w:rPr>
                <w:sz w:val="18"/>
                <w:szCs w:val="18"/>
              </w:rPr>
              <w:t>232.7</w:t>
            </w:r>
          </w:p>
        </w:tc>
        <w:tc>
          <w:tcPr>
            <w:tcW w:w="1417" w:type="dxa"/>
            <w:shd w:val="clear" w:color="auto" w:fill="auto"/>
            <w:noWrap/>
            <w:vAlign w:val="center"/>
            <w:hideMark/>
          </w:tcPr>
          <w:p w14:paraId="31C2F5A3" w14:textId="77777777" w:rsidR="009218FA" w:rsidRPr="009218FA" w:rsidRDefault="009218FA" w:rsidP="009218FA">
            <w:pPr>
              <w:pStyle w:val="ExhibitText"/>
              <w:jc w:val="right"/>
              <w:rPr>
                <w:sz w:val="18"/>
                <w:szCs w:val="18"/>
              </w:rPr>
            </w:pPr>
            <w:r w:rsidRPr="009218FA">
              <w:rPr>
                <w:sz w:val="18"/>
                <w:szCs w:val="18"/>
              </w:rPr>
              <w:t>130.8</w:t>
            </w:r>
          </w:p>
        </w:tc>
      </w:tr>
      <w:tr w:rsidR="009218FA" w:rsidRPr="00565022" w14:paraId="6918238C" w14:textId="77777777" w:rsidTr="00263A51">
        <w:trPr>
          <w:trHeight w:val="320"/>
          <w:jc w:val="center"/>
        </w:trPr>
        <w:tc>
          <w:tcPr>
            <w:tcW w:w="3967" w:type="dxa"/>
            <w:shd w:val="clear" w:color="auto" w:fill="auto"/>
            <w:noWrap/>
            <w:vAlign w:val="center"/>
            <w:hideMark/>
          </w:tcPr>
          <w:p w14:paraId="4B8A3918" w14:textId="77777777" w:rsidR="009218FA" w:rsidRPr="009218FA" w:rsidRDefault="009218FA" w:rsidP="00984781">
            <w:pPr>
              <w:pStyle w:val="ExhibitText"/>
              <w:jc w:val="left"/>
              <w:rPr>
                <w:color w:val="000000"/>
                <w:sz w:val="18"/>
                <w:szCs w:val="18"/>
              </w:rPr>
            </w:pPr>
            <w:r w:rsidRPr="009218FA">
              <w:rPr>
                <w:color w:val="000000"/>
                <w:sz w:val="18"/>
                <w:szCs w:val="18"/>
              </w:rPr>
              <w:t>Depreciation and amortization</w:t>
            </w:r>
          </w:p>
        </w:tc>
        <w:tc>
          <w:tcPr>
            <w:tcW w:w="1276" w:type="dxa"/>
            <w:shd w:val="clear" w:color="auto" w:fill="auto"/>
            <w:noWrap/>
            <w:vAlign w:val="center"/>
            <w:hideMark/>
          </w:tcPr>
          <w:p w14:paraId="10BD313A" w14:textId="77777777" w:rsidR="009218FA" w:rsidRPr="009218FA" w:rsidRDefault="009218FA" w:rsidP="009218FA">
            <w:pPr>
              <w:pStyle w:val="ExhibitText"/>
              <w:jc w:val="right"/>
              <w:rPr>
                <w:sz w:val="18"/>
                <w:szCs w:val="18"/>
              </w:rPr>
            </w:pPr>
            <w:r w:rsidRPr="009218FA">
              <w:rPr>
                <w:sz w:val="18"/>
                <w:szCs w:val="18"/>
              </w:rPr>
              <w:t>52.6</w:t>
            </w:r>
          </w:p>
        </w:tc>
        <w:tc>
          <w:tcPr>
            <w:tcW w:w="1276" w:type="dxa"/>
            <w:shd w:val="clear" w:color="auto" w:fill="auto"/>
            <w:noWrap/>
            <w:vAlign w:val="center"/>
            <w:hideMark/>
          </w:tcPr>
          <w:p w14:paraId="451639F0" w14:textId="77777777" w:rsidR="009218FA" w:rsidRPr="009218FA" w:rsidRDefault="009218FA" w:rsidP="009218FA">
            <w:pPr>
              <w:pStyle w:val="ExhibitText"/>
              <w:jc w:val="right"/>
              <w:rPr>
                <w:sz w:val="18"/>
                <w:szCs w:val="18"/>
              </w:rPr>
            </w:pPr>
            <w:r w:rsidRPr="009218FA">
              <w:rPr>
                <w:sz w:val="18"/>
                <w:szCs w:val="18"/>
              </w:rPr>
              <w:t>54.1</w:t>
            </w:r>
          </w:p>
        </w:tc>
        <w:tc>
          <w:tcPr>
            <w:tcW w:w="1417" w:type="dxa"/>
            <w:shd w:val="clear" w:color="auto" w:fill="auto"/>
            <w:noWrap/>
            <w:vAlign w:val="center"/>
            <w:hideMark/>
          </w:tcPr>
          <w:p w14:paraId="00B98B0D" w14:textId="77777777" w:rsidR="009218FA" w:rsidRPr="009218FA" w:rsidRDefault="009218FA" w:rsidP="009218FA">
            <w:pPr>
              <w:pStyle w:val="ExhibitText"/>
              <w:jc w:val="right"/>
              <w:rPr>
                <w:sz w:val="18"/>
                <w:szCs w:val="18"/>
              </w:rPr>
            </w:pPr>
            <w:r w:rsidRPr="009218FA">
              <w:rPr>
                <w:sz w:val="18"/>
                <w:szCs w:val="18"/>
              </w:rPr>
              <w:t>56.4</w:t>
            </w:r>
          </w:p>
        </w:tc>
      </w:tr>
      <w:tr w:rsidR="009218FA" w:rsidRPr="00565022" w14:paraId="5F86E82C" w14:textId="77777777" w:rsidTr="00263A51">
        <w:trPr>
          <w:trHeight w:val="320"/>
          <w:jc w:val="center"/>
        </w:trPr>
        <w:tc>
          <w:tcPr>
            <w:tcW w:w="3967" w:type="dxa"/>
            <w:shd w:val="clear" w:color="auto" w:fill="auto"/>
            <w:noWrap/>
            <w:vAlign w:val="center"/>
            <w:hideMark/>
          </w:tcPr>
          <w:p w14:paraId="5E18AA0B" w14:textId="77777777" w:rsidR="009218FA" w:rsidRPr="009218FA" w:rsidRDefault="009218FA" w:rsidP="00984781">
            <w:pPr>
              <w:pStyle w:val="ExhibitText"/>
              <w:jc w:val="left"/>
              <w:rPr>
                <w:color w:val="000000"/>
                <w:sz w:val="18"/>
                <w:szCs w:val="18"/>
              </w:rPr>
            </w:pPr>
            <w:r w:rsidRPr="009218FA">
              <w:rPr>
                <w:color w:val="000000"/>
                <w:sz w:val="18"/>
                <w:szCs w:val="18"/>
              </w:rPr>
              <w:t>Other non-cash adjustments</w:t>
            </w:r>
          </w:p>
        </w:tc>
        <w:tc>
          <w:tcPr>
            <w:tcW w:w="1276" w:type="dxa"/>
            <w:shd w:val="clear" w:color="auto" w:fill="auto"/>
            <w:noWrap/>
            <w:vAlign w:val="center"/>
            <w:hideMark/>
          </w:tcPr>
          <w:p w14:paraId="73405AC9" w14:textId="33423CDE" w:rsidR="009218FA" w:rsidRPr="009218FA" w:rsidRDefault="00F025C8" w:rsidP="009218FA">
            <w:pPr>
              <w:pStyle w:val="ExhibitText"/>
              <w:jc w:val="right"/>
              <w:rPr>
                <w:sz w:val="18"/>
                <w:szCs w:val="18"/>
              </w:rPr>
            </w:pPr>
            <w:r w:rsidRPr="00F025C8">
              <w:rPr>
                <w:sz w:val="18"/>
                <w:szCs w:val="18"/>
              </w:rPr>
              <w:t>−</w:t>
            </w:r>
            <w:r w:rsidR="009218FA" w:rsidRPr="009218FA">
              <w:rPr>
                <w:sz w:val="18"/>
                <w:szCs w:val="18"/>
              </w:rPr>
              <w:t>142.6</w:t>
            </w:r>
          </w:p>
        </w:tc>
        <w:tc>
          <w:tcPr>
            <w:tcW w:w="1276" w:type="dxa"/>
            <w:shd w:val="clear" w:color="auto" w:fill="auto"/>
            <w:noWrap/>
            <w:vAlign w:val="center"/>
            <w:hideMark/>
          </w:tcPr>
          <w:p w14:paraId="06E7B55A" w14:textId="0F25EB2A" w:rsidR="009218FA" w:rsidRPr="009218FA" w:rsidRDefault="00F025C8" w:rsidP="009218FA">
            <w:pPr>
              <w:pStyle w:val="ExhibitText"/>
              <w:jc w:val="right"/>
              <w:rPr>
                <w:sz w:val="18"/>
                <w:szCs w:val="18"/>
              </w:rPr>
            </w:pPr>
            <w:r w:rsidRPr="00F025C8">
              <w:rPr>
                <w:sz w:val="18"/>
                <w:szCs w:val="18"/>
              </w:rPr>
              <w:t>−</w:t>
            </w:r>
            <w:r w:rsidR="009218FA" w:rsidRPr="009218FA">
              <w:rPr>
                <w:sz w:val="18"/>
                <w:szCs w:val="18"/>
              </w:rPr>
              <w:t>141.1</w:t>
            </w:r>
          </w:p>
        </w:tc>
        <w:tc>
          <w:tcPr>
            <w:tcW w:w="1417" w:type="dxa"/>
            <w:shd w:val="clear" w:color="auto" w:fill="auto"/>
            <w:noWrap/>
            <w:vAlign w:val="center"/>
            <w:hideMark/>
          </w:tcPr>
          <w:p w14:paraId="0224F991" w14:textId="3CBB6DEB" w:rsidR="009218FA" w:rsidRPr="009218FA" w:rsidRDefault="00426CBF" w:rsidP="009218FA">
            <w:pPr>
              <w:pStyle w:val="ExhibitText"/>
              <w:jc w:val="right"/>
              <w:rPr>
                <w:sz w:val="18"/>
                <w:szCs w:val="18"/>
              </w:rPr>
            </w:pPr>
            <w:r w:rsidRPr="00F025C8">
              <w:rPr>
                <w:sz w:val="18"/>
                <w:szCs w:val="18"/>
              </w:rPr>
              <w:t>−</w:t>
            </w:r>
            <w:r w:rsidR="009218FA" w:rsidRPr="009218FA">
              <w:rPr>
                <w:sz w:val="18"/>
                <w:szCs w:val="18"/>
              </w:rPr>
              <w:t>5.5</w:t>
            </w:r>
          </w:p>
        </w:tc>
      </w:tr>
      <w:tr w:rsidR="009218FA" w:rsidRPr="00565022" w14:paraId="0ED69519" w14:textId="77777777" w:rsidTr="00263A51">
        <w:trPr>
          <w:trHeight w:val="320"/>
          <w:jc w:val="center"/>
        </w:trPr>
        <w:tc>
          <w:tcPr>
            <w:tcW w:w="3967" w:type="dxa"/>
            <w:shd w:val="clear" w:color="auto" w:fill="auto"/>
            <w:noWrap/>
            <w:vAlign w:val="center"/>
            <w:hideMark/>
          </w:tcPr>
          <w:p w14:paraId="5585B82D" w14:textId="77777777" w:rsidR="009218FA" w:rsidRPr="009218FA" w:rsidRDefault="009218FA" w:rsidP="00984781">
            <w:pPr>
              <w:pStyle w:val="ExhibitText"/>
              <w:jc w:val="left"/>
              <w:rPr>
                <w:color w:val="000000"/>
                <w:sz w:val="18"/>
                <w:szCs w:val="18"/>
              </w:rPr>
            </w:pPr>
            <w:r w:rsidRPr="009218FA">
              <w:rPr>
                <w:color w:val="000000"/>
                <w:sz w:val="18"/>
                <w:szCs w:val="18"/>
              </w:rPr>
              <w:t>Changes in non-cash capital (working capital)</w:t>
            </w:r>
          </w:p>
        </w:tc>
        <w:tc>
          <w:tcPr>
            <w:tcW w:w="1276" w:type="dxa"/>
            <w:shd w:val="clear" w:color="auto" w:fill="auto"/>
            <w:noWrap/>
            <w:vAlign w:val="center"/>
            <w:hideMark/>
          </w:tcPr>
          <w:p w14:paraId="05F77F2D" w14:textId="77777777" w:rsidR="009218FA" w:rsidRPr="009218FA" w:rsidRDefault="009218FA" w:rsidP="009218FA">
            <w:pPr>
              <w:pStyle w:val="ExhibitText"/>
              <w:jc w:val="right"/>
              <w:rPr>
                <w:sz w:val="18"/>
                <w:szCs w:val="18"/>
              </w:rPr>
            </w:pPr>
            <w:r w:rsidRPr="009218FA">
              <w:rPr>
                <w:sz w:val="18"/>
                <w:szCs w:val="18"/>
              </w:rPr>
              <w:t>77.6</w:t>
            </w:r>
          </w:p>
        </w:tc>
        <w:tc>
          <w:tcPr>
            <w:tcW w:w="1276" w:type="dxa"/>
            <w:shd w:val="clear" w:color="auto" w:fill="auto"/>
            <w:noWrap/>
            <w:vAlign w:val="center"/>
            <w:hideMark/>
          </w:tcPr>
          <w:p w14:paraId="02D69940" w14:textId="7D74AB08" w:rsidR="009218FA" w:rsidRPr="009218FA" w:rsidRDefault="00F025C8" w:rsidP="009218FA">
            <w:pPr>
              <w:pStyle w:val="ExhibitText"/>
              <w:jc w:val="right"/>
              <w:rPr>
                <w:sz w:val="18"/>
                <w:szCs w:val="18"/>
              </w:rPr>
            </w:pPr>
            <w:r w:rsidRPr="00F025C8">
              <w:rPr>
                <w:sz w:val="18"/>
                <w:szCs w:val="18"/>
              </w:rPr>
              <w:t>−</w:t>
            </w:r>
            <w:r w:rsidR="009218FA" w:rsidRPr="009218FA">
              <w:rPr>
                <w:sz w:val="18"/>
                <w:szCs w:val="18"/>
              </w:rPr>
              <w:t>41.2</w:t>
            </w:r>
          </w:p>
        </w:tc>
        <w:tc>
          <w:tcPr>
            <w:tcW w:w="1417" w:type="dxa"/>
            <w:shd w:val="clear" w:color="auto" w:fill="auto"/>
            <w:noWrap/>
            <w:vAlign w:val="center"/>
            <w:hideMark/>
          </w:tcPr>
          <w:p w14:paraId="7DC1CCB1" w14:textId="77777777" w:rsidR="009218FA" w:rsidRPr="009218FA" w:rsidRDefault="009218FA" w:rsidP="009218FA">
            <w:pPr>
              <w:pStyle w:val="ExhibitText"/>
              <w:jc w:val="right"/>
              <w:rPr>
                <w:sz w:val="18"/>
                <w:szCs w:val="18"/>
              </w:rPr>
            </w:pPr>
            <w:r w:rsidRPr="009218FA">
              <w:rPr>
                <w:sz w:val="18"/>
                <w:szCs w:val="18"/>
              </w:rPr>
              <w:t>131.2</w:t>
            </w:r>
          </w:p>
        </w:tc>
      </w:tr>
      <w:tr w:rsidR="009218FA" w:rsidRPr="00565022" w14:paraId="481777D4" w14:textId="77777777" w:rsidTr="00263A51">
        <w:trPr>
          <w:trHeight w:val="320"/>
          <w:jc w:val="center"/>
        </w:trPr>
        <w:tc>
          <w:tcPr>
            <w:tcW w:w="3967" w:type="dxa"/>
            <w:shd w:val="clear" w:color="auto" w:fill="auto"/>
            <w:noWrap/>
            <w:vAlign w:val="center"/>
            <w:hideMark/>
          </w:tcPr>
          <w:p w14:paraId="59228EC3" w14:textId="77777777" w:rsidR="009218FA" w:rsidRPr="009218FA" w:rsidRDefault="009218FA" w:rsidP="00984781">
            <w:pPr>
              <w:pStyle w:val="ExhibitText"/>
              <w:jc w:val="left"/>
              <w:rPr>
                <w:color w:val="000000"/>
                <w:sz w:val="18"/>
                <w:szCs w:val="18"/>
              </w:rPr>
            </w:pPr>
            <w:r w:rsidRPr="009218FA">
              <w:rPr>
                <w:color w:val="000000"/>
                <w:sz w:val="18"/>
                <w:szCs w:val="18"/>
              </w:rPr>
              <w:t>CASH FROM OPERATING ACTIVITIES</w:t>
            </w:r>
          </w:p>
        </w:tc>
        <w:tc>
          <w:tcPr>
            <w:tcW w:w="1276" w:type="dxa"/>
            <w:shd w:val="clear" w:color="auto" w:fill="auto"/>
            <w:noWrap/>
            <w:vAlign w:val="center"/>
            <w:hideMark/>
          </w:tcPr>
          <w:p w14:paraId="1DCBAEE6" w14:textId="77777777" w:rsidR="009218FA" w:rsidRPr="009218FA" w:rsidRDefault="009218FA" w:rsidP="009218FA">
            <w:pPr>
              <w:pStyle w:val="ExhibitText"/>
              <w:jc w:val="right"/>
              <w:rPr>
                <w:sz w:val="18"/>
                <w:szCs w:val="18"/>
              </w:rPr>
            </w:pPr>
            <w:r w:rsidRPr="009218FA">
              <w:rPr>
                <w:sz w:val="18"/>
                <w:szCs w:val="18"/>
              </w:rPr>
              <w:t>114.2</w:t>
            </w:r>
          </w:p>
        </w:tc>
        <w:tc>
          <w:tcPr>
            <w:tcW w:w="1276" w:type="dxa"/>
            <w:shd w:val="clear" w:color="auto" w:fill="auto"/>
            <w:noWrap/>
            <w:vAlign w:val="center"/>
            <w:hideMark/>
          </w:tcPr>
          <w:p w14:paraId="2A018227" w14:textId="77777777" w:rsidR="009218FA" w:rsidRPr="009218FA" w:rsidRDefault="009218FA" w:rsidP="009218FA">
            <w:pPr>
              <w:pStyle w:val="ExhibitText"/>
              <w:jc w:val="right"/>
              <w:rPr>
                <w:sz w:val="18"/>
                <w:szCs w:val="18"/>
              </w:rPr>
            </w:pPr>
            <w:r w:rsidRPr="009218FA">
              <w:rPr>
                <w:sz w:val="18"/>
                <w:szCs w:val="18"/>
              </w:rPr>
              <w:t>104.5</w:t>
            </w:r>
          </w:p>
        </w:tc>
        <w:tc>
          <w:tcPr>
            <w:tcW w:w="1417" w:type="dxa"/>
            <w:shd w:val="clear" w:color="auto" w:fill="auto"/>
            <w:noWrap/>
            <w:vAlign w:val="center"/>
            <w:hideMark/>
          </w:tcPr>
          <w:p w14:paraId="16EAC86B" w14:textId="77777777" w:rsidR="009218FA" w:rsidRPr="009218FA" w:rsidRDefault="009218FA" w:rsidP="009218FA">
            <w:pPr>
              <w:pStyle w:val="ExhibitText"/>
              <w:jc w:val="right"/>
              <w:rPr>
                <w:sz w:val="18"/>
                <w:szCs w:val="18"/>
              </w:rPr>
            </w:pPr>
            <w:r w:rsidRPr="009218FA">
              <w:rPr>
                <w:sz w:val="18"/>
                <w:szCs w:val="18"/>
              </w:rPr>
              <w:t>312.8</w:t>
            </w:r>
          </w:p>
        </w:tc>
      </w:tr>
      <w:tr w:rsidR="009218FA" w:rsidRPr="00565022" w14:paraId="1E0F2B13" w14:textId="77777777" w:rsidTr="00263A51">
        <w:trPr>
          <w:trHeight w:val="320"/>
          <w:jc w:val="center"/>
        </w:trPr>
        <w:tc>
          <w:tcPr>
            <w:tcW w:w="3967" w:type="dxa"/>
            <w:shd w:val="clear" w:color="auto" w:fill="auto"/>
            <w:noWrap/>
            <w:vAlign w:val="center"/>
            <w:hideMark/>
          </w:tcPr>
          <w:p w14:paraId="475CDA61" w14:textId="77777777" w:rsidR="009218FA" w:rsidRPr="009218FA" w:rsidRDefault="009218FA" w:rsidP="00984781">
            <w:pPr>
              <w:pStyle w:val="ExhibitText"/>
              <w:jc w:val="left"/>
              <w:rPr>
                <w:color w:val="000000"/>
                <w:sz w:val="18"/>
                <w:szCs w:val="18"/>
              </w:rPr>
            </w:pPr>
          </w:p>
        </w:tc>
        <w:tc>
          <w:tcPr>
            <w:tcW w:w="1276" w:type="dxa"/>
            <w:shd w:val="clear" w:color="auto" w:fill="auto"/>
            <w:noWrap/>
            <w:vAlign w:val="center"/>
            <w:hideMark/>
          </w:tcPr>
          <w:p w14:paraId="50329753" w14:textId="77777777" w:rsidR="009218FA" w:rsidRPr="009218FA" w:rsidRDefault="009218FA" w:rsidP="009218FA">
            <w:pPr>
              <w:pStyle w:val="ExhibitText"/>
              <w:jc w:val="right"/>
              <w:rPr>
                <w:sz w:val="18"/>
                <w:szCs w:val="18"/>
              </w:rPr>
            </w:pPr>
          </w:p>
        </w:tc>
        <w:tc>
          <w:tcPr>
            <w:tcW w:w="1276" w:type="dxa"/>
            <w:shd w:val="clear" w:color="auto" w:fill="auto"/>
            <w:noWrap/>
            <w:vAlign w:val="center"/>
            <w:hideMark/>
          </w:tcPr>
          <w:p w14:paraId="3FE42E0F" w14:textId="77777777" w:rsidR="009218FA" w:rsidRPr="009218FA" w:rsidRDefault="009218FA" w:rsidP="009218FA">
            <w:pPr>
              <w:pStyle w:val="ExhibitText"/>
              <w:jc w:val="right"/>
              <w:rPr>
                <w:sz w:val="18"/>
                <w:szCs w:val="18"/>
              </w:rPr>
            </w:pPr>
          </w:p>
        </w:tc>
        <w:tc>
          <w:tcPr>
            <w:tcW w:w="1417" w:type="dxa"/>
            <w:shd w:val="clear" w:color="auto" w:fill="auto"/>
            <w:noWrap/>
            <w:vAlign w:val="center"/>
            <w:hideMark/>
          </w:tcPr>
          <w:p w14:paraId="2FC7C64C" w14:textId="77777777" w:rsidR="009218FA" w:rsidRPr="009218FA" w:rsidRDefault="009218FA" w:rsidP="009218FA">
            <w:pPr>
              <w:pStyle w:val="ExhibitText"/>
              <w:jc w:val="right"/>
              <w:rPr>
                <w:sz w:val="18"/>
                <w:szCs w:val="18"/>
              </w:rPr>
            </w:pPr>
          </w:p>
        </w:tc>
      </w:tr>
      <w:tr w:rsidR="009218FA" w:rsidRPr="00565022" w14:paraId="267A53F0" w14:textId="77777777" w:rsidTr="00263A51">
        <w:trPr>
          <w:trHeight w:val="320"/>
          <w:jc w:val="center"/>
        </w:trPr>
        <w:tc>
          <w:tcPr>
            <w:tcW w:w="3967" w:type="dxa"/>
            <w:shd w:val="clear" w:color="auto" w:fill="auto"/>
            <w:noWrap/>
            <w:vAlign w:val="center"/>
            <w:hideMark/>
          </w:tcPr>
          <w:p w14:paraId="46F44D19" w14:textId="77777777" w:rsidR="009218FA" w:rsidRPr="009218FA" w:rsidRDefault="009218FA" w:rsidP="00984781">
            <w:pPr>
              <w:pStyle w:val="ExhibitText"/>
              <w:jc w:val="left"/>
              <w:rPr>
                <w:b/>
                <w:bCs/>
                <w:color w:val="000000"/>
                <w:sz w:val="18"/>
                <w:szCs w:val="18"/>
              </w:rPr>
            </w:pPr>
            <w:r w:rsidRPr="009218FA">
              <w:rPr>
                <w:b/>
                <w:bCs/>
                <w:color w:val="000000"/>
                <w:sz w:val="18"/>
                <w:szCs w:val="18"/>
              </w:rPr>
              <w:t>CASH FROM INVESTING ACTIVITIES</w:t>
            </w:r>
          </w:p>
        </w:tc>
        <w:tc>
          <w:tcPr>
            <w:tcW w:w="1276" w:type="dxa"/>
            <w:shd w:val="clear" w:color="auto" w:fill="auto"/>
            <w:noWrap/>
            <w:vAlign w:val="center"/>
            <w:hideMark/>
          </w:tcPr>
          <w:p w14:paraId="253E7FB7" w14:textId="77777777" w:rsidR="009218FA" w:rsidRPr="009218FA" w:rsidRDefault="009218FA" w:rsidP="009218FA">
            <w:pPr>
              <w:pStyle w:val="ExhibitText"/>
              <w:jc w:val="right"/>
              <w:rPr>
                <w:sz w:val="18"/>
                <w:szCs w:val="18"/>
              </w:rPr>
            </w:pPr>
          </w:p>
        </w:tc>
        <w:tc>
          <w:tcPr>
            <w:tcW w:w="1276" w:type="dxa"/>
            <w:shd w:val="clear" w:color="auto" w:fill="auto"/>
            <w:noWrap/>
            <w:vAlign w:val="center"/>
            <w:hideMark/>
          </w:tcPr>
          <w:p w14:paraId="69B65BD5" w14:textId="77777777" w:rsidR="009218FA" w:rsidRPr="009218FA" w:rsidRDefault="009218FA" w:rsidP="009218FA">
            <w:pPr>
              <w:pStyle w:val="ExhibitText"/>
              <w:jc w:val="right"/>
              <w:rPr>
                <w:sz w:val="18"/>
                <w:szCs w:val="18"/>
              </w:rPr>
            </w:pPr>
          </w:p>
        </w:tc>
        <w:tc>
          <w:tcPr>
            <w:tcW w:w="1417" w:type="dxa"/>
            <w:shd w:val="clear" w:color="auto" w:fill="auto"/>
            <w:noWrap/>
            <w:vAlign w:val="center"/>
            <w:hideMark/>
          </w:tcPr>
          <w:p w14:paraId="13EDD7BE" w14:textId="77777777" w:rsidR="009218FA" w:rsidRPr="009218FA" w:rsidRDefault="009218FA" w:rsidP="009218FA">
            <w:pPr>
              <w:pStyle w:val="ExhibitText"/>
              <w:jc w:val="right"/>
              <w:rPr>
                <w:sz w:val="18"/>
                <w:szCs w:val="18"/>
              </w:rPr>
            </w:pPr>
          </w:p>
        </w:tc>
      </w:tr>
      <w:tr w:rsidR="009218FA" w:rsidRPr="00565022" w14:paraId="546188F9" w14:textId="77777777" w:rsidTr="00263A51">
        <w:trPr>
          <w:trHeight w:val="320"/>
          <w:jc w:val="center"/>
        </w:trPr>
        <w:tc>
          <w:tcPr>
            <w:tcW w:w="3967" w:type="dxa"/>
            <w:shd w:val="clear" w:color="auto" w:fill="auto"/>
            <w:noWrap/>
            <w:vAlign w:val="center"/>
            <w:hideMark/>
          </w:tcPr>
          <w:p w14:paraId="3DF2F5B4" w14:textId="77777777" w:rsidR="009218FA" w:rsidRPr="009218FA" w:rsidRDefault="009218FA" w:rsidP="00984781">
            <w:pPr>
              <w:pStyle w:val="ExhibitText"/>
              <w:jc w:val="left"/>
              <w:rPr>
                <w:color w:val="000000"/>
                <w:sz w:val="18"/>
                <w:szCs w:val="18"/>
              </w:rPr>
            </w:pPr>
            <w:r w:rsidRPr="009218FA">
              <w:rPr>
                <w:color w:val="000000"/>
                <w:sz w:val="18"/>
                <w:szCs w:val="18"/>
              </w:rPr>
              <w:t>Disposal of fixed assets</w:t>
            </w:r>
          </w:p>
        </w:tc>
        <w:tc>
          <w:tcPr>
            <w:tcW w:w="1276" w:type="dxa"/>
            <w:shd w:val="clear" w:color="auto" w:fill="auto"/>
            <w:noWrap/>
            <w:vAlign w:val="center"/>
            <w:hideMark/>
          </w:tcPr>
          <w:p w14:paraId="2CC8DA3A" w14:textId="77777777" w:rsidR="009218FA" w:rsidRPr="009218FA" w:rsidRDefault="009218FA" w:rsidP="009218FA">
            <w:pPr>
              <w:pStyle w:val="ExhibitText"/>
              <w:jc w:val="right"/>
              <w:rPr>
                <w:sz w:val="18"/>
                <w:szCs w:val="18"/>
              </w:rPr>
            </w:pPr>
            <w:r w:rsidRPr="009218FA">
              <w:rPr>
                <w:sz w:val="18"/>
                <w:szCs w:val="18"/>
              </w:rPr>
              <w:t>0.6</w:t>
            </w:r>
          </w:p>
        </w:tc>
        <w:tc>
          <w:tcPr>
            <w:tcW w:w="1276" w:type="dxa"/>
            <w:shd w:val="clear" w:color="auto" w:fill="auto"/>
            <w:noWrap/>
            <w:vAlign w:val="center"/>
            <w:hideMark/>
          </w:tcPr>
          <w:p w14:paraId="3068A2C3" w14:textId="77777777" w:rsidR="009218FA" w:rsidRPr="009218FA" w:rsidRDefault="009218FA" w:rsidP="009218FA">
            <w:pPr>
              <w:pStyle w:val="ExhibitText"/>
              <w:jc w:val="right"/>
              <w:rPr>
                <w:sz w:val="18"/>
                <w:szCs w:val="18"/>
              </w:rPr>
            </w:pPr>
            <w:r w:rsidRPr="009218FA">
              <w:rPr>
                <w:sz w:val="18"/>
                <w:szCs w:val="18"/>
              </w:rPr>
              <w:t>1.1</w:t>
            </w:r>
          </w:p>
        </w:tc>
        <w:tc>
          <w:tcPr>
            <w:tcW w:w="1417" w:type="dxa"/>
            <w:shd w:val="clear" w:color="auto" w:fill="auto"/>
            <w:noWrap/>
            <w:vAlign w:val="center"/>
            <w:hideMark/>
          </w:tcPr>
          <w:p w14:paraId="3938D574" w14:textId="77777777" w:rsidR="009218FA" w:rsidRPr="009218FA" w:rsidRDefault="009218FA" w:rsidP="009218FA">
            <w:pPr>
              <w:pStyle w:val="ExhibitText"/>
              <w:jc w:val="right"/>
              <w:rPr>
                <w:sz w:val="18"/>
                <w:szCs w:val="18"/>
              </w:rPr>
            </w:pPr>
            <w:r w:rsidRPr="009218FA">
              <w:rPr>
                <w:sz w:val="18"/>
                <w:szCs w:val="18"/>
              </w:rPr>
              <w:t>4.5</w:t>
            </w:r>
          </w:p>
        </w:tc>
      </w:tr>
      <w:tr w:rsidR="009218FA" w:rsidRPr="00565022" w14:paraId="15F4D55C" w14:textId="77777777" w:rsidTr="00263A51">
        <w:trPr>
          <w:trHeight w:val="320"/>
          <w:jc w:val="center"/>
        </w:trPr>
        <w:tc>
          <w:tcPr>
            <w:tcW w:w="3967" w:type="dxa"/>
            <w:shd w:val="clear" w:color="auto" w:fill="auto"/>
            <w:noWrap/>
            <w:vAlign w:val="center"/>
            <w:hideMark/>
          </w:tcPr>
          <w:p w14:paraId="3CD09D63" w14:textId="77777777" w:rsidR="009218FA" w:rsidRPr="009218FA" w:rsidRDefault="009218FA" w:rsidP="00984781">
            <w:pPr>
              <w:pStyle w:val="ExhibitText"/>
              <w:jc w:val="left"/>
              <w:rPr>
                <w:color w:val="000000"/>
                <w:sz w:val="18"/>
                <w:szCs w:val="18"/>
              </w:rPr>
            </w:pPr>
            <w:r w:rsidRPr="009218FA">
              <w:rPr>
                <w:color w:val="000000"/>
                <w:sz w:val="18"/>
                <w:szCs w:val="18"/>
              </w:rPr>
              <w:t>Capital expenditures</w:t>
            </w:r>
          </w:p>
        </w:tc>
        <w:tc>
          <w:tcPr>
            <w:tcW w:w="1276" w:type="dxa"/>
            <w:shd w:val="clear" w:color="auto" w:fill="auto"/>
            <w:noWrap/>
            <w:vAlign w:val="center"/>
            <w:hideMark/>
          </w:tcPr>
          <w:p w14:paraId="2A32AC25" w14:textId="7FD249DD" w:rsidR="009218FA" w:rsidRPr="009218FA" w:rsidRDefault="00F025C8" w:rsidP="009218FA">
            <w:pPr>
              <w:pStyle w:val="ExhibitText"/>
              <w:jc w:val="right"/>
              <w:rPr>
                <w:sz w:val="18"/>
                <w:szCs w:val="18"/>
              </w:rPr>
            </w:pPr>
            <w:r w:rsidRPr="00F025C8">
              <w:rPr>
                <w:sz w:val="18"/>
                <w:szCs w:val="18"/>
              </w:rPr>
              <w:t>−</w:t>
            </w:r>
            <w:r w:rsidR="009218FA" w:rsidRPr="009218FA">
              <w:rPr>
                <w:sz w:val="18"/>
                <w:szCs w:val="18"/>
              </w:rPr>
              <w:t>14.5</w:t>
            </w:r>
          </w:p>
        </w:tc>
        <w:tc>
          <w:tcPr>
            <w:tcW w:w="1276" w:type="dxa"/>
            <w:shd w:val="clear" w:color="auto" w:fill="auto"/>
            <w:noWrap/>
            <w:vAlign w:val="center"/>
            <w:hideMark/>
          </w:tcPr>
          <w:p w14:paraId="7502BE5C" w14:textId="41689C25" w:rsidR="009218FA" w:rsidRPr="009218FA" w:rsidRDefault="00F025C8" w:rsidP="009218FA">
            <w:pPr>
              <w:pStyle w:val="ExhibitText"/>
              <w:jc w:val="right"/>
              <w:rPr>
                <w:sz w:val="18"/>
                <w:szCs w:val="18"/>
              </w:rPr>
            </w:pPr>
            <w:r w:rsidRPr="00F025C8">
              <w:rPr>
                <w:sz w:val="18"/>
                <w:szCs w:val="18"/>
              </w:rPr>
              <w:t>−</w:t>
            </w:r>
            <w:r w:rsidR="009218FA" w:rsidRPr="009218FA">
              <w:rPr>
                <w:sz w:val="18"/>
                <w:szCs w:val="18"/>
              </w:rPr>
              <w:t>27.5</w:t>
            </w:r>
          </w:p>
        </w:tc>
        <w:tc>
          <w:tcPr>
            <w:tcW w:w="1417" w:type="dxa"/>
            <w:shd w:val="clear" w:color="auto" w:fill="auto"/>
            <w:noWrap/>
            <w:vAlign w:val="center"/>
            <w:hideMark/>
          </w:tcPr>
          <w:p w14:paraId="054DD519" w14:textId="653B10D4" w:rsidR="009218FA" w:rsidRPr="009218FA" w:rsidRDefault="00F025C8" w:rsidP="009218FA">
            <w:pPr>
              <w:pStyle w:val="ExhibitText"/>
              <w:jc w:val="right"/>
              <w:rPr>
                <w:sz w:val="18"/>
                <w:szCs w:val="18"/>
              </w:rPr>
            </w:pPr>
            <w:r w:rsidRPr="00F025C8">
              <w:rPr>
                <w:sz w:val="18"/>
                <w:szCs w:val="18"/>
              </w:rPr>
              <w:t>−</w:t>
            </w:r>
            <w:r w:rsidR="009218FA" w:rsidRPr="009218FA">
              <w:rPr>
                <w:sz w:val="18"/>
                <w:szCs w:val="18"/>
              </w:rPr>
              <w:t>69.2</w:t>
            </w:r>
          </w:p>
        </w:tc>
      </w:tr>
      <w:tr w:rsidR="009218FA" w:rsidRPr="00565022" w14:paraId="4E6F8409" w14:textId="77777777" w:rsidTr="00263A51">
        <w:trPr>
          <w:trHeight w:val="320"/>
          <w:jc w:val="center"/>
        </w:trPr>
        <w:tc>
          <w:tcPr>
            <w:tcW w:w="3967" w:type="dxa"/>
            <w:shd w:val="clear" w:color="auto" w:fill="auto"/>
            <w:noWrap/>
            <w:vAlign w:val="center"/>
            <w:hideMark/>
          </w:tcPr>
          <w:p w14:paraId="6CA9E384" w14:textId="77777777" w:rsidR="009218FA" w:rsidRPr="009218FA" w:rsidRDefault="009218FA" w:rsidP="00984781">
            <w:pPr>
              <w:pStyle w:val="ExhibitText"/>
              <w:jc w:val="left"/>
              <w:rPr>
                <w:color w:val="000000"/>
                <w:sz w:val="18"/>
                <w:szCs w:val="18"/>
              </w:rPr>
            </w:pPr>
            <w:r w:rsidRPr="009218FA">
              <w:rPr>
                <w:color w:val="000000"/>
                <w:sz w:val="18"/>
                <w:szCs w:val="18"/>
              </w:rPr>
              <w:t>Increase in investments</w:t>
            </w:r>
          </w:p>
        </w:tc>
        <w:tc>
          <w:tcPr>
            <w:tcW w:w="1276" w:type="dxa"/>
            <w:shd w:val="clear" w:color="auto" w:fill="auto"/>
            <w:noWrap/>
            <w:vAlign w:val="center"/>
            <w:hideMark/>
          </w:tcPr>
          <w:p w14:paraId="4C8A2887" w14:textId="2601899B" w:rsidR="009218FA" w:rsidRPr="009218FA" w:rsidRDefault="00F025C8" w:rsidP="009218FA">
            <w:pPr>
              <w:pStyle w:val="ExhibitText"/>
              <w:jc w:val="right"/>
              <w:rPr>
                <w:sz w:val="18"/>
                <w:szCs w:val="18"/>
              </w:rPr>
            </w:pPr>
            <w:r w:rsidRPr="00F025C8">
              <w:rPr>
                <w:sz w:val="18"/>
                <w:szCs w:val="18"/>
              </w:rPr>
              <w:t>−</w:t>
            </w:r>
            <w:r w:rsidR="009218FA" w:rsidRPr="009218FA">
              <w:rPr>
                <w:sz w:val="18"/>
                <w:szCs w:val="18"/>
              </w:rPr>
              <w:t>1</w:t>
            </w:r>
            <w:r w:rsidR="00791CAE">
              <w:rPr>
                <w:sz w:val="18"/>
                <w:szCs w:val="18"/>
              </w:rPr>
              <w:t>,</w:t>
            </w:r>
            <w:r w:rsidR="009218FA" w:rsidRPr="009218FA">
              <w:rPr>
                <w:sz w:val="18"/>
                <w:szCs w:val="18"/>
              </w:rPr>
              <w:t>125.5</w:t>
            </w:r>
          </w:p>
        </w:tc>
        <w:tc>
          <w:tcPr>
            <w:tcW w:w="1276" w:type="dxa"/>
            <w:shd w:val="clear" w:color="auto" w:fill="auto"/>
            <w:noWrap/>
            <w:vAlign w:val="center"/>
            <w:hideMark/>
          </w:tcPr>
          <w:p w14:paraId="6B419A55" w14:textId="2408CB10" w:rsidR="009218FA" w:rsidRPr="009218FA" w:rsidRDefault="00F025C8" w:rsidP="009218FA">
            <w:pPr>
              <w:pStyle w:val="ExhibitText"/>
              <w:jc w:val="right"/>
              <w:rPr>
                <w:sz w:val="18"/>
                <w:szCs w:val="18"/>
              </w:rPr>
            </w:pPr>
            <w:r w:rsidRPr="00F025C8">
              <w:rPr>
                <w:sz w:val="18"/>
                <w:szCs w:val="18"/>
              </w:rPr>
              <w:t>−</w:t>
            </w:r>
            <w:r w:rsidR="009218FA" w:rsidRPr="009218FA">
              <w:rPr>
                <w:sz w:val="18"/>
                <w:szCs w:val="18"/>
              </w:rPr>
              <w:t>936.9</w:t>
            </w:r>
          </w:p>
        </w:tc>
        <w:tc>
          <w:tcPr>
            <w:tcW w:w="1417" w:type="dxa"/>
            <w:shd w:val="clear" w:color="auto" w:fill="auto"/>
            <w:noWrap/>
            <w:vAlign w:val="center"/>
            <w:hideMark/>
          </w:tcPr>
          <w:p w14:paraId="4ECAA02B" w14:textId="0062F0CB" w:rsidR="009218FA" w:rsidRPr="009218FA" w:rsidRDefault="00F025C8" w:rsidP="009218FA">
            <w:pPr>
              <w:pStyle w:val="ExhibitText"/>
              <w:jc w:val="right"/>
              <w:rPr>
                <w:sz w:val="18"/>
                <w:szCs w:val="18"/>
              </w:rPr>
            </w:pPr>
            <w:r w:rsidRPr="00F025C8">
              <w:rPr>
                <w:sz w:val="18"/>
                <w:szCs w:val="18"/>
              </w:rPr>
              <w:t>−</w:t>
            </w:r>
            <w:r w:rsidR="009218FA" w:rsidRPr="009218FA">
              <w:rPr>
                <w:sz w:val="18"/>
                <w:szCs w:val="18"/>
              </w:rPr>
              <w:t>1</w:t>
            </w:r>
            <w:r w:rsidR="00791CAE">
              <w:rPr>
                <w:sz w:val="18"/>
                <w:szCs w:val="18"/>
              </w:rPr>
              <w:t>,</w:t>
            </w:r>
            <w:r w:rsidR="009218FA" w:rsidRPr="009218FA">
              <w:rPr>
                <w:sz w:val="18"/>
                <w:szCs w:val="18"/>
              </w:rPr>
              <w:t>163.8</w:t>
            </w:r>
          </w:p>
        </w:tc>
      </w:tr>
      <w:tr w:rsidR="009218FA" w:rsidRPr="00565022" w14:paraId="10A6D290" w14:textId="77777777" w:rsidTr="00263A51">
        <w:trPr>
          <w:trHeight w:val="320"/>
          <w:jc w:val="center"/>
        </w:trPr>
        <w:tc>
          <w:tcPr>
            <w:tcW w:w="3967" w:type="dxa"/>
            <w:shd w:val="clear" w:color="auto" w:fill="auto"/>
            <w:noWrap/>
            <w:vAlign w:val="center"/>
            <w:hideMark/>
          </w:tcPr>
          <w:p w14:paraId="2729351F" w14:textId="77777777" w:rsidR="009218FA" w:rsidRPr="009218FA" w:rsidRDefault="009218FA" w:rsidP="00984781">
            <w:pPr>
              <w:pStyle w:val="ExhibitText"/>
              <w:jc w:val="left"/>
              <w:rPr>
                <w:color w:val="000000"/>
                <w:sz w:val="18"/>
                <w:szCs w:val="18"/>
              </w:rPr>
            </w:pPr>
            <w:r w:rsidRPr="009218FA">
              <w:rPr>
                <w:color w:val="000000"/>
                <w:sz w:val="18"/>
                <w:szCs w:val="18"/>
              </w:rPr>
              <w:t>Decrease in investments</w:t>
            </w:r>
          </w:p>
        </w:tc>
        <w:tc>
          <w:tcPr>
            <w:tcW w:w="1276" w:type="dxa"/>
            <w:shd w:val="clear" w:color="auto" w:fill="auto"/>
            <w:noWrap/>
            <w:vAlign w:val="center"/>
            <w:hideMark/>
          </w:tcPr>
          <w:p w14:paraId="72E7B6A8" w14:textId="77777777" w:rsidR="009218FA" w:rsidRPr="009218FA" w:rsidRDefault="009218FA" w:rsidP="009218FA">
            <w:pPr>
              <w:pStyle w:val="ExhibitText"/>
              <w:jc w:val="right"/>
              <w:rPr>
                <w:sz w:val="18"/>
                <w:szCs w:val="18"/>
              </w:rPr>
            </w:pPr>
            <w:r w:rsidRPr="009218FA">
              <w:rPr>
                <w:sz w:val="18"/>
                <w:szCs w:val="18"/>
              </w:rPr>
              <w:t>956.6</w:t>
            </w:r>
          </w:p>
        </w:tc>
        <w:tc>
          <w:tcPr>
            <w:tcW w:w="1276" w:type="dxa"/>
            <w:shd w:val="clear" w:color="auto" w:fill="auto"/>
            <w:noWrap/>
            <w:vAlign w:val="center"/>
            <w:hideMark/>
          </w:tcPr>
          <w:p w14:paraId="3E57476A" w14:textId="77777777" w:rsidR="009218FA" w:rsidRPr="009218FA" w:rsidRDefault="009218FA" w:rsidP="009218FA">
            <w:pPr>
              <w:pStyle w:val="ExhibitText"/>
              <w:jc w:val="right"/>
              <w:rPr>
                <w:sz w:val="18"/>
                <w:szCs w:val="18"/>
              </w:rPr>
            </w:pPr>
            <w:r w:rsidRPr="009218FA">
              <w:rPr>
                <w:sz w:val="18"/>
                <w:szCs w:val="18"/>
              </w:rPr>
              <w:t>1</w:t>
            </w:r>
            <w:r w:rsidR="00791CAE">
              <w:rPr>
                <w:sz w:val="18"/>
                <w:szCs w:val="18"/>
              </w:rPr>
              <w:t>,</w:t>
            </w:r>
            <w:r w:rsidRPr="009218FA">
              <w:rPr>
                <w:sz w:val="18"/>
                <w:szCs w:val="18"/>
              </w:rPr>
              <w:t>247.1</w:t>
            </w:r>
          </w:p>
        </w:tc>
        <w:tc>
          <w:tcPr>
            <w:tcW w:w="1417" w:type="dxa"/>
            <w:shd w:val="clear" w:color="auto" w:fill="auto"/>
            <w:noWrap/>
            <w:vAlign w:val="center"/>
            <w:hideMark/>
          </w:tcPr>
          <w:p w14:paraId="355B7511" w14:textId="77777777" w:rsidR="009218FA" w:rsidRPr="009218FA" w:rsidRDefault="009218FA" w:rsidP="009218FA">
            <w:pPr>
              <w:pStyle w:val="ExhibitText"/>
              <w:jc w:val="right"/>
              <w:rPr>
                <w:sz w:val="18"/>
                <w:szCs w:val="18"/>
              </w:rPr>
            </w:pPr>
            <w:r w:rsidRPr="009218FA">
              <w:rPr>
                <w:sz w:val="18"/>
                <w:szCs w:val="18"/>
              </w:rPr>
              <w:t>1</w:t>
            </w:r>
            <w:r w:rsidR="00791CAE">
              <w:rPr>
                <w:sz w:val="18"/>
                <w:szCs w:val="18"/>
              </w:rPr>
              <w:t>,</w:t>
            </w:r>
            <w:r w:rsidRPr="009218FA">
              <w:rPr>
                <w:sz w:val="18"/>
                <w:szCs w:val="18"/>
              </w:rPr>
              <w:t>159.3</w:t>
            </w:r>
          </w:p>
        </w:tc>
      </w:tr>
      <w:tr w:rsidR="009218FA" w:rsidRPr="00565022" w14:paraId="2D344A1F" w14:textId="77777777" w:rsidTr="00263A51">
        <w:trPr>
          <w:trHeight w:val="365"/>
          <w:jc w:val="center"/>
        </w:trPr>
        <w:tc>
          <w:tcPr>
            <w:tcW w:w="3967" w:type="dxa"/>
            <w:shd w:val="clear" w:color="auto" w:fill="auto"/>
            <w:noWrap/>
            <w:vAlign w:val="center"/>
            <w:hideMark/>
          </w:tcPr>
          <w:p w14:paraId="6AE8996E" w14:textId="77777777" w:rsidR="009218FA" w:rsidRPr="009218FA" w:rsidRDefault="009218FA" w:rsidP="00984781">
            <w:pPr>
              <w:pStyle w:val="ExhibitText"/>
              <w:jc w:val="left"/>
              <w:rPr>
                <w:color w:val="000000"/>
                <w:sz w:val="18"/>
                <w:szCs w:val="18"/>
              </w:rPr>
            </w:pPr>
            <w:r w:rsidRPr="009218FA">
              <w:rPr>
                <w:color w:val="000000"/>
                <w:sz w:val="18"/>
                <w:szCs w:val="18"/>
              </w:rPr>
              <w:t>Other investing activities</w:t>
            </w:r>
          </w:p>
        </w:tc>
        <w:tc>
          <w:tcPr>
            <w:tcW w:w="1276" w:type="dxa"/>
            <w:shd w:val="clear" w:color="auto" w:fill="auto"/>
            <w:noWrap/>
            <w:vAlign w:val="center"/>
            <w:hideMark/>
          </w:tcPr>
          <w:p w14:paraId="7852F6DC" w14:textId="77777777" w:rsidR="009218FA" w:rsidRPr="009218FA" w:rsidRDefault="009218FA" w:rsidP="009218FA">
            <w:pPr>
              <w:pStyle w:val="ExhibitText"/>
              <w:jc w:val="right"/>
              <w:rPr>
                <w:sz w:val="18"/>
                <w:szCs w:val="18"/>
              </w:rPr>
            </w:pPr>
            <w:r w:rsidRPr="009218FA">
              <w:rPr>
                <w:sz w:val="18"/>
                <w:szCs w:val="18"/>
              </w:rPr>
              <w:t>35.0</w:t>
            </w:r>
          </w:p>
        </w:tc>
        <w:tc>
          <w:tcPr>
            <w:tcW w:w="1276" w:type="dxa"/>
            <w:shd w:val="clear" w:color="auto" w:fill="auto"/>
            <w:noWrap/>
            <w:vAlign w:val="center"/>
            <w:hideMark/>
          </w:tcPr>
          <w:p w14:paraId="21D55753" w14:textId="77777777" w:rsidR="009218FA" w:rsidRPr="009218FA" w:rsidRDefault="009218FA" w:rsidP="009218FA">
            <w:pPr>
              <w:pStyle w:val="ExhibitText"/>
              <w:jc w:val="right"/>
              <w:rPr>
                <w:sz w:val="18"/>
                <w:szCs w:val="18"/>
              </w:rPr>
            </w:pPr>
            <w:r w:rsidRPr="009218FA">
              <w:rPr>
                <w:sz w:val="18"/>
                <w:szCs w:val="18"/>
              </w:rPr>
              <w:t>43.4</w:t>
            </w:r>
          </w:p>
        </w:tc>
        <w:tc>
          <w:tcPr>
            <w:tcW w:w="1417" w:type="dxa"/>
            <w:shd w:val="clear" w:color="auto" w:fill="auto"/>
            <w:noWrap/>
            <w:vAlign w:val="center"/>
            <w:hideMark/>
          </w:tcPr>
          <w:p w14:paraId="1083D94E" w14:textId="77777777" w:rsidR="009218FA" w:rsidRPr="009218FA" w:rsidRDefault="009218FA" w:rsidP="009218FA">
            <w:pPr>
              <w:pStyle w:val="ExhibitText"/>
              <w:jc w:val="right"/>
              <w:rPr>
                <w:sz w:val="18"/>
                <w:szCs w:val="18"/>
              </w:rPr>
            </w:pPr>
            <w:r w:rsidRPr="009218FA">
              <w:rPr>
                <w:sz w:val="18"/>
                <w:szCs w:val="18"/>
              </w:rPr>
              <w:t>11.0</w:t>
            </w:r>
          </w:p>
        </w:tc>
      </w:tr>
      <w:tr w:rsidR="009218FA" w:rsidRPr="00565022" w14:paraId="5213ACF4" w14:textId="77777777" w:rsidTr="00263A51">
        <w:trPr>
          <w:trHeight w:val="320"/>
          <w:jc w:val="center"/>
        </w:trPr>
        <w:tc>
          <w:tcPr>
            <w:tcW w:w="3967" w:type="dxa"/>
            <w:shd w:val="clear" w:color="auto" w:fill="auto"/>
            <w:noWrap/>
            <w:vAlign w:val="center"/>
            <w:hideMark/>
          </w:tcPr>
          <w:p w14:paraId="4A0C575C" w14:textId="77777777" w:rsidR="009218FA" w:rsidRPr="009218FA" w:rsidRDefault="009218FA" w:rsidP="00984781">
            <w:pPr>
              <w:pStyle w:val="ExhibitText"/>
              <w:jc w:val="left"/>
              <w:rPr>
                <w:color w:val="000000"/>
                <w:sz w:val="18"/>
                <w:szCs w:val="18"/>
              </w:rPr>
            </w:pPr>
            <w:r w:rsidRPr="009218FA">
              <w:rPr>
                <w:color w:val="000000"/>
                <w:sz w:val="18"/>
                <w:szCs w:val="18"/>
              </w:rPr>
              <w:t>CASH FROM INVESTING ACTIVITIES</w:t>
            </w:r>
          </w:p>
        </w:tc>
        <w:tc>
          <w:tcPr>
            <w:tcW w:w="1276" w:type="dxa"/>
            <w:shd w:val="clear" w:color="auto" w:fill="auto"/>
            <w:noWrap/>
            <w:vAlign w:val="center"/>
            <w:hideMark/>
          </w:tcPr>
          <w:p w14:paraId="568044EE" w14:textId="6EBC5643" w:rsidR="009218FA" w:rsidRPr="009218FA" w:rsidRDefault="00F025C8" w:rsidP="009218FA">
            <w:pPr>
              <w:pStyle w:val="ExhibitText"/>
              <w:jc w:val="right"/>
              <w:rPr>
                <w:sz w:val="18"/>
                <w:szCs w:val="18"/>
              </w:rPr>
            </w:pPr>
            <w:r w:rsidRPr="00F025C8">
              <w:rPr>
                <w:sz w:val="18"/>
                <w:szCs w:val="18"/>
              </w:rPr>
              <w:t>−</w:t>
            </w:r>
            <w:r w:rsidR="009218FA" w:rsidRPr="009218FA">
              <w:rPr>
                <w:sz w:val="18"/>
                <w:szCs w:val="18"/>
              </w:rPr>
              <w:t>147.9</w:t>
            </w:r>
          </w:p>
        </w:tc>
        <w:tc>
          <w:tcPr>
            <w:tcW w:w="1276" w:type="dxa"/>
            <w:shd w:val="clear" w:color="auto" w:fill="auto"/>
            <w:noWrap/>
            <w:vAlign w:val="center"/>
            <w:hideMark/>
          </w:tcPr>
          <w:p w14:paraId="11E13681" w14:textId="77777777" w:rsidR="009218FA" w:rsidRPr="009218FA" w:rsidRDefault="009218FA" w:rsidP="009218FA">
            <w:pPr>
              <w:pStyle w:val="ExhibitText"/>
              <w:jc w:val="right"/>
              <w:rPr>
                <w:sz w:val="18"/>
                <w:szCs w:val="18"/>
              </w:rPr>
            </w:pPr>
            <w:r w:rsidRPr="009218FA">
              <w:rPr>
                <w:sz w:val="18"/>
                <w:szCs w:val="18"/>
              </w:rPr>
              <w:t>327.2</w:t>
            </w:r>
          </w:p>
        </w:tc>
        <w:tc>
          <w:tcPr>
            <w:tcW w:w="1417" w:type="dxa"/>
            <w:shd w:val="clear" w:color="auto" w:fill="auto"/>
            <w:noWrap/>
            <w:vAlign w:val="center"/>
            <w:hideMark/>
          </w:tcPr>
          <w:p w14:paraId="07F4B6C1" w14:textId="4A464339" w:rsidR="009218FA" w:rsidRPr="009218FA" w:rsidRDefault="00426CBF" w:rsidP="009218FA">
            <w:pPr>
              <w:pStyle w:val="ExhibitText"/>
              <w:jc w:val="right"/>
              <w:rPr>
                <w:sz w:val="18"/>
                <w:szCs w:val="18"/>
              </w:rPr>
            </w:pPr>
            <w:r w:rsidRPr="00F025C8">
              <w:rPr>
                <w:sz w:val="18"/>
                <w:szCs w:val="18"/>
              </w:rPr>
              <w:t>−</w:t>
            </w:r>
            <w:r w:rsidR="009218FA" w:rsidRPr="009218FA">
              <w:rPr>
                <w:sz w:val="18"/>
                <w:szCs w:val="18"/>
              </w:rPr>
              <w:t>58.2</w:t>
            </w:r>
          </w:p>
        </w:tc>
      </w:tr>
      <w:tr w:rsidR="009218FA" w:rsidRPr="00565022" w14:paraId="43D15891" w14:textId="77777777" w:rsidTr="00263A51">
        <w:trPr>
          <w:trHeight w:val="320"/>
          <w:jc w:val="center"/>
        </w:trPr>
        <w:tc>
          <w:tcPr>
            <w:tcW w:w="3967" w:type="dxa"/>
            <w:shd w:val="clear" w:color="auto" w:fill="auto"/>
            <w:noWrap/>
            <w:vAlign w:val="center"/>
            <w:hideMark/>
          </w:tcPr>
          <w:p w14:paraId="57DEF83D" w14:textId="77777777" w:rsidR="009218FA" w:rsidRPr="009218FA" w:rsidRDefault="009218FA" w:rsidP="00984781">
            <w:pPr>
              <w:pStyle w:val="ExhibitText"/>
              <w:jc w:val="left"/>
              <w:rPr>
                <w:color w:val="000000"/>
                <w:sz w:val="18"/>
                <w:szCs w:val="18"/>
              </w:rPr>
            </w:pPr>
          </w:p>
        </w:tc>
        <w:tc>
          <w:tcPr>
            <w:tcW w:w="1276" w:type="dxa"/>
            <w:shd w:val="clear" w:color="auto" w:fill="auto"/>
            <w:noWrap/>
            <w:vAlign w:val="center"/>
            <w:hideMark/>
          </w:tcPr>
          <w:p w14:paraId="1FE60FB5" w14:textId="77777777" w:rsidR="009218FA" w:rsidRPr="009218FA" w:rsidRDefault="009218FA" w:rsidP="009218FA">
            <w:pPr>
              <w:pStyle w:val="ExhibitText"/>
              <w:jc w:val="right"/>
              <w:rPr>
                <w:sz w:val="18"/>
                <w:szCs w:val="18"/>
              </w:rPr>
            </w:pPr>
          </w:p>
        </w:tc>
        <w:tc>
          <w:tcPr>
            <w:tcW w:w="1276" w:type="dxa"/>
            <w:shd w:val="clear" w:color="auto" w:fill="auto"/>
            <w:noWrap/>
            <w:vAlign w:val="center"/>
            <w:hideMark/>
          </w:tcPr>
          <w:p w14:paraId="57F55A89" w14:textId="77777777" w:rsidR="009218FA" w:rsidRPr="009218FA" w:rsidRDefault="009218FA" w:rsidP="009218FA">
            <w:pPr>
              <w:pStyle w:val="ExhibitText"/>
              <w:jc w:val="right"/>
              <w:rPr>
                <w:sz w:val="18"/>
                <w:szCs w:val="18"/>
              </w:rPr>
            </w:pPr>
          </w:p>
        </w:tc>
        <w:tc>
          <w:tcPr>
            <w:tcW w:w="1417" w:type="dxa"/>
            <w:shd w:val="clear" w:color="auto" w:fill="auto"/>
            <w:noWrap/>
            <w:vAlign w:val="center"/>
            <w:hideMark/>
          </w:tcPr>
          <w:p w14:paraId="7A9F140E" w14:textId="77777777" w:rsidR="009218FA" w:rsidRPr="009218FA" w:rsidRDefault="009218FA" w:rsidP="009218FA">
            <w:pPr>
              <w:pStyle w:val="ExhibitText"/>
              <w:jc w:val="right"/>
              <w:rPr>
                <w:sz w:val="18"/>
                <w:szCs w:val="18"/>
              </w:rPr>
            </w:pPr>
          </w:p>
        </w:tc>
      </w:tr>
      <w:tr w:rsidR="009218FA" w:rsidRPr="00565022" w14:paraId="47D33368" w14:textId="77777777" w:rsidTr="00263A51">
        <w:trPr>
          <w:trHeight w:val="320"/>
          <w:jc w:val="center"/>
        </w:trPr>
        <w:tc>
          <w:tcPr>
            <w:tcW w:w="3967" w:type="dxa"/>
            <w:shd w:val="clear" w:color="auto" w:fill="auto"/>
            <w:noWrap/>
            <w:vAlign w:val="center"/>
            <w:hideMark/>
          </w:tcPr>
          <w:p w14:paraId="513F99B4" w14:textId="77777777" w:rsidR="009218FA" w:rsidRPr="009218FA" w:rsidRDefault="009218FA" w:rsidP="00984781">
            <w:pPr>
              <w:pStyle w:val="ExhibitText"/>
              <w:jc w:val="left"/>
              <w:rPr>
                <w:b/>
                <w:bCs/>
                <w:color w:val="000000"/>
                <w:sz w:val="18"/>
                <w:szCs w:val="18"/>
              </w:rPr>
            </w:pPr>
            <w:r w:rsidRPr="009218FA">
              <w:rPr>
                <w:b/>
                <w:bCs/>
                <w:color w:val="000000"/>
                <w:sz w:val="18"/>
                <w:szCs w:val="18"/>
              </w:rPr>
              <w:t>CASH FROM FINANCING ACTIVITIES</w:t>
            </w:r>
          </w:p>
        </w:tc>
        <w:tc>
          <w:tcPr>
            <w:tcW w:w="1276" w:type="dxa"/>
            <w:shd w:val="clear" w:color="auto" w:fill="auto"/>
            <w:noWrap/>
            <w:vAlign w:val="center"/>
            <w:hideMark/>
          </w:tcPr>
          <w:p w14:paraId="0FF85EDE" w14:textId="77777777" w:rsidR="009218FA" w:rsidRPr="009218FA" w:rsidRDefault="009218FA" w:rsidP="009218FA">
            <w:pPr>
              <w:pStyle w:val="ExhibitText"/>
              <w:jc w:val="right"/>
              <w:rPr>
                <w:sz w:val="18"/>
                <w:szCs w:val="18"/>
              </w:rPr>
            </w:pPr>
          </w:p>
        </w:tc>
        <w:tc>
          <w:tcPr>
            <w:tcW w:w="1276" w:type="dxa"/>
            <w:shd w:val="clear" w:color="auto" w:fill="auto"/>
            <w:noWrap/>
            <w:vAlign w:val="center"/>
            <w:hideMark/>
          </w:tcPr>
          <w:p w14:paraId="465C2145" w14:textId="77777777" w:rsidR="009218FA" w:rsidRPr="009218FA" w:rsidRDefault="009218FA" w:rsidP="009218FA">
            <w:pPr>
              <w:pStyle w:val="ExhibitText"/>
              <w:jc w:val="right"/>
              <w:rPr>
                <w:sz w:val="18"/>
                <w:szCs w:val="18"/>
              </w:rPr>
            </w:pPr>
          </w:p>
        </w:tc>
        <w:tc>
          <w:tcPr>
            <w:tcW w:w="1417" w:type="dxa"/>
            <w:shd w:val="clear" w:color="auto" w:fill="auto"/>
            <w:noWrap/>
            <w:vAlign w:val="center"/>
            <w:hideMark/>
          </w:tcPr>
          <w:p w14:paraId="57753DDD" w14:textId="77777777" w:rsidR="009218FA" w:rsidRPr="009218FA" w:rsidRDefault="009218FA" w:rsidP="009218FA">
            <w:pPr>
              <w:pStyle w:val="ExhibitText"/>
              <w:jc w:val="right"/>
              <w:rPr>
                <w:sz w:val="18"/>
                <w:szCs w:val="18"/>
              </w:rPr>
            </w:pPr>
          </w:p>
        </w:tc>
      </w:tr>
      <w:tr w:rsidR="009218FA" w:rsidRPr="00565022" w14:paraId="0D5CE4CE" w14:textId="77777777" w:rsidTr="00263A51">
        <w:trPr>
          <w:trHeight w:val="320"/>
          <w:jc w:val="center"/>
        </w:trPr>
        <w:tc>
          <w:tcPr>
            <w:tcW w:w="3967" w:type="dxa"/>
            <w:shd w:val="clear" w:color="auto" w:fill="auto"/>
            <w:noWrap/>
            <w:vAlign w:val="center"/>
            <w:hideMark/>
          </w:tcPr>
          <w:p w14:paraId="0C67FABF" w14:textId="77777777" w:rsidR="009218FA" w:rsidRPr="009218FA" w:rsidRDefault="009218FA" w:rsidP="00984781">
            <w:pPr>
              <w:pStyle w:val="ExhibitText"/>
              <w:jc w:val="left"/>
              <w:rPr>
                <w:color w:val="000000"/>
                <w:sz w:val="18"/>
                <w:szCs w:val="18"/>
              </w:rPr>
            </w:pPr>
            <w:r w:rsidRPr="009218FA">
              <w:rPr>
                <w:color w:val="000000"/>
                <w:sz w:val="18"/>
                <w:szCs w:val="18"/>
              </w:rPr>
              <w:t>Dividends paid</w:t>
            </w:r>
          </w:p>
        </w:tc>
        <w:tc>
          <w:tcPr>
            <w:tcW w:w="1276" w:type="dxa"/>
            <w:shd w:val="clear" w:color="auto" w:fill="auto"/>
            <w:noWrap/>
            <w:vAlign w:val="center"/>
            <w:hideMark/>
          </w:tcPr>
          <w:p w14:paraId="0C0B1C53" w14:textId="77777777" w:rsidR="009218FA" w:rsidRPr="009218FA" w:rsidRDefault="009218FA" w:rsidP="009218FA">
            <w:pPr>
              <w:pStyle w:val="ExhibitText"/>
              <w:jc w:val="right"/>
              <w:rPr>
                <w:sz w:val="18"/>
                <w:szCs w:val="18"/>
              </w:rPr>
            </w:pPr>
            <w:r w:rsidRPr="009218FA">
              <w:rPr>
                <w:sz w:val="18"/>
                <w:szCs w:val="18"/>
              </w:rPr>
              <w:t>-</w:t>
            </w:r>
          </w:p>
        </w:tc>
        <w:tc>
          <w:tcPr>
            <w:tcW w:w="1276" w:type="dxa"/>
            <w:shd w:val="clear" w:color="auto" w:fill="auto"/>
            <w:noWrap/>
            <w:vAlign w:val="center"/>
            <w:hideMark/>
          </w:tcPr>
          <w:p w14:paraId="214A52B4" w14:textId="048DC5BE" w:rsidR="009218FA" w:rsidRPr="009218FA" w:rsidRDefault="00F025C8" w:rsidP="009218FA">
            <w:pPr>
              <w:pStyle w:val="ExhibitText"/>
              <w:jc w:val="right"/>
              <w:rPr>
                <w:sz w:val="18"/>
                <w:szCs w:val="18"/>
              </w:rPr>
            </w:pPr>
            <w:r w:rsidRPr="00F025C8">
              <w:rPr>
                <w:sz w:val="18"/>
                <w:szCs w:val="18"/>
              </w:rPr>
              <w:t>−</w:t>
            </w:r>
            <w:r w:rsidR="009218FA" w:rsidRPr="009218FA">
              <w:rPr>
                <w:sz w:val="18"/>
                <w:szCs w:val="18"/>
              </w:rPr>
              <w:t>150.3</w:t>
            </w:r>
          </w:p>
        </w:tc>
        <w:tc>
          <w:tcPr>
            <w:tcW w:w="1417" w:type="dxa"/>
            <w:shd w:val="clear" w:color="auto" w:fill="auto"/>
            <w:noWrap/>
            <w:vAlign w:val="center"/>
            <w:hideMark/>
          </w:tcPr>
          <w:p w14:paraId="3B537FDC" w14:textId="4DE7A9F1" w:rsidR="009218FA" w:rsidRPr="009218FA" w:rsidRDefault="00F025C8" w:rsidP="009218FA">
            <w:pPr>
              <w:pStyle w:val="ExhibitText"/>
              <w:jc w:val="right"/>
              <w:rPr>
                <w:sz w:val="18"/>
                <w:szCs w:val="18"/>
              </w:rPr>
            </w:pPr>
            <w:r w:rsidRPr="00F025C8">
              <w:rPr>
                <w:sz w:val="18"/>
                <w:szCs w:val="18"/>
              </w:rPr>
              <w:t>−</w:t>
            </w:r>
            <w:r w:rsidR="009218FA" w:rsidRPr="009218FA">
              <w:rPr>
                <w:sz w:val="18"/>
                <w:szCs w:val="18"/>
              </w:rPr>
              <w:t>441.7</w:t>
            </w:r>
          </w:p>
        </w:tc>
      </w:tr>
      <w:tr w:rsidR="009218FA" w:rsidRPr="00565022" w14:paraId="229E1676" w14:textId="77777777" w:rsidTr="00263A51">
        <w:trPr>
          <w:trHeight w:val="320"/>
          <w:jc w:val="center"/>
        </w:trPr>
        <w:tc>
          <w:tcPr>
            <w:tcW w:w="3967" w:type="dxa"/>
            <w:shd w:val="clear" w:color="auto" w:fill="auto"/>
            <w:noWrap/>
            <w:vAlign w:val="center"/>
            <w:hideMark/>
          </w:tcPr>
          <w:p w14:paraId="3FC26A0F" w14:textId="77777777" w:rsidR="009218FA" w:rsidRPr="009218FA" w:rsidRDefault="009218FA" w:rsidP="00984781">
            <w:pPr>
              <w:pStyle w:val="ExhibitText"/>
              <w:jc w:val="left"/>
              <w:rPr>
                <w:color w:val="000000"/>
                <w:sz w:val="18"/>
                <w:szCs w:val="18"/>
              </w:rPr>
            </w:pPr>
            <w:r w:rsidRPr="009218FA">
              <w:rPr>
                <w:color w:val="000000"/>
                <w:sz w:val="18"/>
                <w:szCs w:val="18"/>
              </w:rPr>
              <w:t>CASH FROM FINANCING ACTIVITIES</w:t>
            </w:r>
          </w:p>
        </w:tc>
        <w:tc>
          <w:tcPr>
            <w:tcW w:w="1276" w:type="dxa"/>
            <w:shd w:val="clear" w:color="auto" w:fill="auto"/>
            <w:noWrap/>
            <w:vAlign w:val="center"/>
            <w:hideMark/>
          </w:tcPr>
          <w:p w14:paraId="206B9645" w14:textId="77777777" w:rsidR="009218FA" w:rsidRPr="009218FA" w:rsidRDefault="009218FA" w:rsidP="009218FA">
            <w:pPr>
              <w:pStyle w:val="ExhibitText"/>
              <w:jc w:val="right"/>
              <w:rPr>
                <w:sz w:val="18"/>
                <w:szCs w:val="18"/>
              </w:rPr>
            </w:pPr>
            <w:r w:rsidRPr="009218FA">
              <w:rPr>
                <w:sz w:val="18"/>
                <w:szCs w:val="18"/>
              </w:rPr>
              <w:t>-</w:t>
            </w:r>
          </w:p>
        </w:tc>
        <w:tc>
          <w:tcPr>
            <w:tcW w:w="1276" w:type="dxa"/>
            <w:shd w:val="clear" w:color="auto" w:fill="auto"/>
            <w:noWrap/>
            <w:vAlign w:val="center"/>
            <w:hideMark/>
          </w:tcPr>
          <w:p w14:paraId="5A70A038" w14:textId="4B6F6AED" w:rsidR="009218FA" w:rsidRPr="009218FA" w:rsidRDefault="00F025C8" w:rsidP="009218FA">
            <w:pPr>
              <w:pStyle w:val="ExhibitText"/>
              <w:jc w:val="right"/>
              <w:rPr>
                <w:sz w:val="18"/>
                <w:szCs w:val="18"/>
              </w:rPr>
            </w:pPr>
            <w:r w:rsidRPr="00F025C8">
              <w:rPr>
                <w:sz w:val="18"/>
                <w:szCs w:val="18"/>
              </w:rPr>
              <w:t>−</w:t>
            </w:r>
            <w:r w:rsidR="009218FA" w:rsidRPr="009218FA">
              <w:rPr>
                <w:sz w:val="18"/>
                <w:szCs w:val="18"/>
              </w:rPr>
              <w:t>150.3</w:t>
            </w:r>
          </w:p>
        </w:tc>
        <w:tc>
          <w:tcPr>
            <w:tcW w:w="1417" w:type="dxa"/>
            <w:shd w:val="clear" w:color="auto" w:fill="auto"/>
            <w:noWrap/>
            <w:vAlign w:val="center"/>
            <w:hideMark/>
          </w:tcPr>
          <w:p w14:paraId="2DBF654D" w14:textId="0C65E0EA" w:rsidR="009218FA" w:rsidRPr="009218FA" w:rsidRDefault="00F025C8" w:rsidP="009218FA">
            <w:pPr>
              <w:pStyle w:val="ExhibitText"/>
              <w:jc w:val="right"/>
              <w:rPr>
                <w:sz w:val="18"/>
                <w:szCs w:val="18"/>
              </w:rPr>
            </w:pPr>
            <w:r w:rsidRPr="00F025C8">
              <w:rPr>
                <w:sz w:val="18"/>
                <w:szCs w:val="18"/>
              </w:rPr>
              <w:t>−</w:t>
            </w:r>
            <w:r w:rsidR="009218FA" w:rsidRPr="009218FA">
              <w:rPr>
                <w:sz w:val="18"/>
                <w:szCs w:val="18"/>
              </w:rPr>
              <w:t>441.7</w:t>
            </w:r>
          </w:p>
        </w:tc>
      </w:tr>
      <w:tr w:rsidR="009218FA" w:rsidRPr="00565022" w14:paraId="2F27B983" w14:textId="77777777" w:rsidTr="00263A51">
        <w:trPr>
          <w:trHeight w:val="320"/>
          <w:jc w:val="center"/>
        </w:trPr>
        <w:tc>
          <w:tcPr>
            <w:tcW w:w="3967" w:type="dxa"/>
            <w:shd w:val="clear" w:color="auto" w:fill="auto"/>
            <w:noWrap/>
            <w:vAlign w:val="center"/>
          </w:tcPr>
          <w:p w14:paraId="25D07E64" w14:textId="77777777" w:rsidR="009218FA" w:rsidRPr="009218FA" w:rsidRDefault="009218FA" w:rsidP="00984781">
            <w:pPr>
              <w:pStyle w:val="ExhibitText"/>
              <w:jc w:val="left"/>
              <w:rPr>
                <w:color w:val="000000"/>
                <w:sz w:val="18"/>
                <w:szCs w:val="18"/>
              </w:rPr>
            </w:pPr>
          </w:p>
        </w:tc>
        <w:tc>
          <w:tcPr>
            <w:tcW w:w="1276" w:type="dxa"/>
            <w:shd w:val="clear" w:color="auto" w:fill="auto"/>
            <w:noWrap/>
            <w:vAlign w:val="center"/>
          </w:tcPr>
          <w:p w14:paraId="4A8D8DC8" w14:textId="77777777" w:rsidR="009218FA" w:rsidRPr="009218FA" w:rsidRDefault="009218FA" w:rsidP="009218FA">
            <w:pPr>
              <w:pStyle w:val="ExhibitText"/>
              <w:jc w:val="right"/>
              <w:rPr>
                <w:sz w:val="18"/>
                <w:szCs w:val="18"/>
              </w:rPr>
            </w:pPr>
          </w:p>
        </w:tc>
        <w:tc>
          <w:tcPr>
            <w:tcW w:w="1276" w:type="dxa"/>
            <w:shd w:val="clear" w:color="auto" w:fill="auto"/>
            <w:noWrap/>
            <w:vAlign w:val="center"/>
          </w:tcPr>
          <w:p w14:paraId="33850820" w14:textId="77777777" w:rsidR="009218FA" w:rsidRPr="009218FA" w:rsidRDefault="009218FA" w:rsidP="009218FA">
            <w:pPr>
              <w:pStyle w:val="ExhibitText"/>
              <w:jc w:val="right"/>
              <w:rPr>
                <w:sz w:val="18"/>
                <w:szCs w:val="18"/>
              </w:rPr>
            </w:pPr>
          </w:p>
        </w:tc>
        <w:tc>
          <w:tcPr>
            <w:tcW w:w="1417" w:type="dxa"/>
            <w:shd w:val="clear" w:color="auto" w:fill="auto"/>
            <w:noWrap/>
            <w:vAlign w:val="center"/>
          </w:tcPr>
          <w:p w14:paraId="11957EA2" w14:textId="77777777" w:rsidR="009218FA" w:rsidRPr="009218FA" w:rsidRDefault="009218FA" w:rsidP="009218FA">
            <w:pPr>
              <w:pStyle w:val="ExhibitText"/>
              <w:jc w:val="right"/>
              <w:rPr>
                <w:sz w:val="18"/>
                <w:szCs w:val="18"/>
              </w:rPr>
            </w:pPr>
          </w:p>
        </w:tc>
      </w:tr>
      <w:tr w:rsidR="009218FA" w:rsidRPr="00565022" w14:paraId="0724EA4A" w14:textId="77777777" w:rsidTr="00263A51">
        <w:trPr>
          <w:trHeight w:val="320"/>
          <w:jc w:val="center"/>
        </w:trPr>
        <w:tc>
          <w:tcPr>
            <w:tcW w:w="3967" w:type="dxa"/>
            <w:shd w:val="clear" w:color="auto" w:fill="auto"/>
            <w:noWrap/>
            <w:vAlign w:val="center"/>
            <w:hideMark/>
          </w:tcPr>
          <w:p w14:paraId="220493F5" w14:textId="77777777" w:rsidR="009218FA" w:rsidRPr="009218FA" w:rsidRDefault="009218FA" w:rsidP="00984781">
            <w:pPr>
              <w:pStyle w:val="ExhibitText"/>
              <w:jc w:val="left"/>
              <w:rPr>
                <w:b/>
                <w:color w:val="000000"/>
                <w:sz w:val="18"/>
                <w:szCs w:val="18"/>
              </w:rPr>
            </w:pPr>
            <w:r w:rsidRPr="009218FA">
              <w:rPr>
                <w:b/>
                <w:color w:val="000000"/>
                <w:sz w:val="18"/>
                <w:szCs w:val="18"/>
              </w:rPr>
              <w:t>NET CHANGES IN CASH</w:t>
            </w:r>
          </w:p>
        </w:tc>
        <w:tc>
          <w:tcPr>
            <w:tcW w:w="1276" w:type="dxa"/>
            <w:shd w:val="clear" w:color="auto" w:fill="auto"/>
            <w:noWrap/>
            <w:vAlign w:val="center"/>
            <w:hideMark/>
          </w:tcPr>
          <w:p w14:paraId="24ACEEC7" w14:textId="3B722A2E" w:rsidR="009218FA" w:rsidRPr="009218FA" w:rsidRDefault="00F025C8" w:rsidP="009218FA">
            <w:pPr>
              <w:pStyle w:val="ExhibitText"/>
              <w:jc w:val="right"/>
              <w:rPr>
                <w:sz w:val="18"/>
                <w:szCs w:val="18"/>
              </w:rPr>
            </w:pPr>
            <w:r w:rsidRPr="00F025C8">
              <w:rPr>
                <w:sz w:val="18"/>
                <w:szCs w:val="18"/>
              </w:rPr>
              <w:t>−</w:t>
            </w:r>
            <w:r w:rsidR="009218FA" w:rsidRPr="009218FA">
              <w:rPr>
                <w:sz w:val="18"/>
                <w:szCs w:val="18"/>
              </w:rPr>
              <w:t>33.6</w:t>
            </w:r>
          </w:p>
        </w:tc>
        <w:tc>
          <w:tcPr>
            <w:tcW w:w="1276" w:type="dxa"/>
            <w:shd w:val="clear" w:color="auto" w:fill="auto"/>
            <w:noWrap/>
            <w:vAlign w:val="center"/>
            <w:hideMark/>
          </w:tcPr>
          <w:p w14:paraId="19511ACB" w14:textId="77777777" w:rsidR="009218FA" w:rsidRPr="009218FA" w:rsidRDefault="009218FA" w:rsidP="009218FA">
            <w:pPr>
              <w:pStyle w:val="ExhibitText"/>
              <w:jc w:val="right"/>
              <w:rPr>
                <w:sz w:val="18"/>
                <w:szCs w:val="18"/>
              </w:rPr>
            </w:pPr>
            <w:r w:rsidRPr="009218FA">
              <w:rPr>
                <w:sz w:val="18"/>
                <w:szCs w:val="18"/>
              </w:rPr>
              <w:t>281.3</w:t>
            </w:r>
          </w:p>
        </w:tc>
        <w:tc>
          <w:tcPr>
            <w:tcW w:w="1417" w:type="dxa"/>
            <w:shd w:val="clear" w:color="auto" w:fill="auto"/>
            <w:noWrap/>
            <w:vAlign w:val="center"/>
            <w:hideMark/>
          </w:tcPr>
          <w:p w14:paraId="577D90B2" w14:textId="25C8F0E4" w:rsidR="009218FA" w:rsidRPr="009218FA" w:rsidRDefault="00F025C8" w:rsidP="009218FA">
            <w:pPr>
              <w:pStyle w:val="ExhibitText"/>
              <w:jc w:val="right"/>
              <w:rPr>
                <w:sz w:val="18"/>
                <w:szCs w:val="18"/>
              </w:rPr>
            </w:pPr>
            <w:r w:rsidRPr="00F025C8">
              <w:rPr>
                <w:sz w:val="18"/>
                <w:szCs w:val="18"/>
              </w:rPr>
              <w:t>−</w:t>
            </w:r>
            <w:r w:rsidR="009218FA" w:rsidRPr="009218FA">
              <w:rPr>
                <w:sz w:val="18"/>
                <w:szCs w:val="18"/>
              </w:rPr>
              <w:t>187.1</w:t>
            </w:r>
          </w:p>
        </w:tc>
      </w:tr>
    </w:tbl>
    <w:p w14:paraId="2E3CC265" w14:textId="77777777" w:rsidR="009218FA" w:rsidRPr="004350B2" w:rsidRDefault="009218FA" w:rsidP="004350B2">
      <w:pPr>
        <w:pStyle w:val="Footnote"/>
      </w:pPr>
    </w:p>
    <w:p w14:paraId="007FE9A7" w14:textId="787A2031" w:rsidR="009218FA" w:rsidRPr="004350B2" w:rsidRDefault="009218FA" w:rsidP="004350B2">
      <w:pPr>
        <w:pStyle w:val="Footnote"/>
      </w:pPr>
      <w:r w:rsidRPr="004350B2">
        <w:t xml:space="preserve">Note: </w:t>
      </w:r>
      <w:r w:rsidR="00791CAE">
        <w:t>F</w:t>
      </w:r>
      <w:r w:rsidRPr="004350B2">
        <w:t>igures rounded to nearest hundred thousand.</w:t>
      </w:r>
    </w:p>
    <w:p w14:paraId="46336E6E" w14:textId="04AE622B" w:rsidR="00A847A4" w:rsidRPr="004350B2" w:rsidRDefault="00A847A4" w:rsidP="00A847A4">
      <w:pPr>
        <w:pStyle w:val="Footnote"/>
      </w:pPr>
      <w:r w:rsidRPr="004350B2">
        <w:t>Source: Bloomberg data</w:t>
      </w:r>
      <w:r w:rsidR="00A15912">
        <w:t>.</w:t>
      </w:r>
    </w:p>
    <w:p w14:paraId="3E2045BB" w14:textId="77777777" w:rsidR="004350B2" w:rsidRDefault="004350B2" w:rsidP="009218FA">
      <w:pPr>
        <w:jc w:val="center"/>
        <w:rPr>
          <w:b/>
        </w:rPr>
      </w:pPr>
    </w:p>
    <w:p w14:paraId="771FFF15" w14:textId="77777777" w:rsidR="004350B2" w:rsidRDefault="004350B2" w:rsidP="009218FA">
      <w:pPr>
        <w:jc w:val="center"/>
        <w:rPr>
          <w:b/>
        </w:rPr>
      </w:pPr>
    </w:p>
    <w:p w14:paraId="2189B4E7" w14:textId="77777777" w:rsidR="004350B2" w:rsidRDefault="004350B2" w:rsidP="009218FA">
      <w:pPr>
        <w:jc w:val="center"/>
        <w:rPr>
          <w:b/>
        </w:rPr>
      </w:pPr>
    </w:p>
    <w:p w14:paraId="3AEDC787" w14:textId="77777777" w:rsidR="004350B2" w:rsidRDefault="004350B2" w:rsidP="009218FA">
      <w:pPr>
        <w:jc w:val="center"/>
        <w:rPr>
          <w:b/>
        </w:rPr>
      </w:pPr>
    </w:p>
    <w:p w14:paraId="4F0C5611" w14:textId="77777777" w:rsidR="004350B2" w:rsidRDefault="004350B2" w:rsidP="009218FA">
      <w:pPr>
        <w:jc w:val="center"/>
        <w:rPr>
          <w:b/>
        </w:rPr>
      </w:pPr>
    </w:p>
    <w:p w14:paraId="274EA3B8" w14:textId="77777777" w:rsidR="004350B2" w:rsidRDefault="004350B2" w:rsidP="009218FA">
      <w:pPr>
        <w:jc w:val="center"/>
        <w:rPr>
          <w:b/>
        </w:rPr>
      </w:pPr>
    </w:p>
    <w:p w14:paraId="0EEB7FA5" w14:textId="77777777" w:rsidR="004350B2" w:rsidRDefault="004350B2" w:rsidP="009218FA">
      <w:pPr>
        <w:jc w:val="center"/>
        <w:rPr>
          <w:b/>
        </w:rPr>
      </w:pPr>
    </w:p>
    <w:p w14:paraId="7B8CA073" w14:textId="77777777" w:rsidR="004350B2" w:rsidRDefault="004350B2" w:rsidP="009218FA">
      <w:pPr>
        <w:jc w:val="center"/>
        <w:rPr>
          <w:b/>
        </w:rPr>
      </w:pPr>
    </w:p>
    <w:p w14:paraId="5CF44EDE" w14:textId="77777777" w:rsidR="0098580C" w:rsidRDefault="0098580C" w:rsidP="004350B2">
      <w:pPr>
        <w:pStyle w:val="ExhibitHeading"/>
      </w:pPr>
    </w:p>
    <w:p w14:paraId="2382747D" w14:textId="77777777" w:rsidR="0098580C" w:rsidRDefault="0098580C" w:rsidP="004350B2">
      <w:pPr>
        <w:pStyle w:val="ExhibitHeading"/>
      </w:pPr>
    </w:p>
    <w:p w14:paraId="5EBBB115" w14:textId="77777777" w:rsidR="0098580C" w:rsidRDefault="0098580C" w:rsidP="004350B2">
      <w:pPr>
        <w:pStyle w:val="ExhibitHeading"/>
      </w:pPr>
    </w:p>
    <w:p w14:paraId="61854C04" w14:textId="77777777" w:rsidR="0098580C" w:rsidRDefault="0098580C" w:rsidP="004350B2">
      <w:pPr>
        <w:pStyle w:val="ExhibitHeading"/>
      </w:pPr>
    </w:p>
    <w:p w14:paraId="51C22A0A" w14:textId="77777777" w:rsidR="0098580C" w:rsidRDefault="0098580C" w:rsidP="004350B2">
      <w:pPr>
        <w:pStyle w:val="ExhibitHeading"/>
      </w:pPr>
    </w:p>
    <w:p w14:paraId="20D3B3C0" w14:textId="77777777" w:rsidR="0098580C" w:rsidRDefault="0098580C" w:rsidP="004350B2">
      <w:pPr>
        <w:pStyle w:val="ExhibitHeading"/>
      </w:pPr>
    </w:p>
    <w:p w14:paraId="49164EBC" w14:textId="77777777" w:rsidR="0098580C" w:rsidRDefault="0098580C" w:rsidP="00DD7406">
      <w:pPr>
        <w:pStyle w:val="ExhibitHeading"/>
        <w:jc w:val="left"/>
      </w:pPr>
    </w:p>
    <w:p w14:paraId="77D75EE8" w14:textId="77777777" w:rsidR="0098580C" w:rsidRDefault="0098580C" w:rsidP="004350B2">
      <w:pPr>
        <w:pStyle w:val="ExhibitHeading"/>
      </w:pPr>
    </w:p>
    <w:p w14:paraId="1C60D79B" w14:textId="77777777" w:rsidR="009218FA" w:rsidRPr="00565022" w:rsidRDefault="009218FA" w:rsidP="004350B2">
      <w:pPr>
        <w:pStyle w:val="ExhibitHeading"/>
      </w:pPr>
      <w:r w:rsidRPr="00565022">
        <w:lastRenderedPageBreak/>
        <w:t xml:space="preserve">Exhibit </w:t>
      </w:r>
      <w:r w:rsidR="004F0E33">
        <w:t>4</w:t>
      </w:r>
      <w:r w:rsidR="004350B2">
        <w:t xml:space="preserve">: </w:t>
      </w:r>
      <w:r w:rsidRPr="00565022">
        <w:t>MEDIBANK PRIVATE STRATEGIC FOCUS AREAS</w:t>
      </w:r>
    </w:p>
    <w:p w14:paraId="4A3C0962" w14:textId="77777777" w:rsidR="009218FA" w:rsidRPr="00565022" w:rsidRDefault="009218FA" w:rsidP="009218FA">
      <w:pPr>
        <w:rPr>
          <w:lang w:val="en-AU"/>
        </w:rPr>
      </w:pPr>
    </w:p>
    <w:tbl>
      <w:tblPr>
        <w:tblW w:w="8222" w:type="dxa"/>
        <w:jc w:val="center"/>
        <w:tblLayout w:type="fixed"/>
        <w:tblLook w:val="04A0" w:firstRow="1" w:lastRow="0" w:firstColumn="1" w:lastColumn="0" w:noHBand="0" w:noVBand="1"/>
      </w:tblPr>
      <w:tblGrid>
        <w:gridCol w:w="3119"/>
        <w:gridCol w:w="5103"/>
      </w:tblGrid>
      <w:tr w:rsidR="009218FA" w:rsidRPr="00565022" w14:paraId="5E9E26D0" w14:textId="77777777" w:rsidTr="00984781">
        <w:trPr>
          <w:trHeight w:val="493"/>
          <w:jc w:val="center"/>
        </w:trPr>
        <w:tc>
          <w:tcPr>
            <w:tcW w:w="82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40D7A7" w14:textId="77777777" w:rsidR="009218FA" w:rsidRPr="004350B2" w:rsidRDefault="009218FA" w:rsidP="009218FA">
            <w:pPr>
              <w:jc w:val="center"/>
              <w:rPr>
                <w:rFonts w:ascii="Arial" w:hAnsi="Arial" w:cs="Arial"/>
              </w:rPr>
            </w:pPr>
            <w:r w:rsidRPr="004350B2">
              <w:rPr>
                <w:rFonts w:ascii="Arial" w:hAnsi="Arial" w:cs="Arial"/>
                <w:b/>
                <w:bCs/>
                <w:color w:val="000000"/>
              </w:rPr>
              <w:t>STRATEGIC FOCUS AREAS</w:t>
            </w:r>
          </w:p>
        </w:tc>
      </w:tr>
      <w:tr w:rsidR="009218FA" w:rsidRPr="00565022" w14:paraId="6C340B84" w14:textId="77777777" w:rsidTr="00984781">
        <w:trPr>
          <w:trHeight w:val="1466"/>
          <w:jc w:val="center"/>
        </w:trPr>
        <w:tc>
          <w:tcPr>
            <w:tcW w:w="3119" w:type="dxa"/>
            <w:tcBorders>
              <w:top w:val="nil"/>
              <w:left w:val="single" w:sz="4" w:space="0" w:color="auto"/>
              <w:bottom w:val="single" w:sz="4" w:space="0" w:color="auto"/>
              <w:right w:val="nil"/>
            </w:tcBorders>
            <w:shd w:val="clear" w:color="auto" w:fill="auto"/>
            <w:noWrap/>
            <w:vAlign w:val="center"/>
            <w:hideMark/>
          </w:tcPr>
          <w:p w14:paraId="7443F138" w14:textId="77777777" w:rsidR="009218FA" w:rsidRPr="004350B2" w:rsidRDefault="009218FA" w:rsidP="009218FA">
            <w:pPr>
              <w:pStyle w:val="ListParagraph"/>
              <w:numPr>
                <w:ilvl w:val="0"/>
                <w:numId w:val="28"/>
              </w:numPr>
              <w:ind w:left="459" w:hanging="425"/>
              <w:jc w:val="left"/>
              <w:rPr>
                <w:rFonts w:ascii="Arial" w:eastAsia="Times New Roman" w:hAnsi="Arial" w:cs="Arial"/>
                <w:b/>
                <w:color w:val="000000"/>
                <w:sz w:val="18"/>
                <w:szCs w:val="18"/>
              </w:rPr>
            </w:pPr>
            <w:r w:rsidRPr="004350B2">
              <w:rPr>
                <w:rFonts w:ascii="Arial" w:eastAsia="Times New Roman" w:hAnsi="Arial" w:cs="Arial"/>
                <w:b/>
                <w:color w:val="000000"/>
                <w:sz w:val="18"/>
                <w:szCs w:val="18"/>
              </w:rPr>
              <w:t>Profitable revenue growth through disciplined customer acquisition and retention initiatives</w:t>
            </w:r>
          </w:p>
        </w:tc>
        <w:tc>
          <w:tcPr>
            <w:tcW w:w="5103" w:type="dxa"/>
            <w:tcBorders>
              <w:top w:val="nil"/>
              <w:left w:val="nil"/>
              <w:bottom w:val="single" w:sz="4" w:space="0" w:color="auto"/>
              <w:right w:val="single" w:sz="4" w:space="0" w:color="auto"/>
            </w:tcBorders>
            <w:shd w:val="clear" w:color="auto" w:fill="auto"/>
            <w:noWrap/>
            <w:vAlign w:val="center"/>
            <w:hideMark/>
          </w:tcPr>
          <w:p w14:paraId="6D89F49E" w14:textId="77777777" w:rsidR="009218FA" w:rsidRPr="004350B2" w:rsidRDefault="009218FA" w:rsidP="009218FA">
            <w:pPr>
              <w:pStyle w:val="ListParagraph"/>
              <w:numPr>
                <w:ilvl w:val="0"/>
                <w:numId w:val="29"/>
              </w:numPr>
              <w:jc w:val="left"/>
              <w:rPr>
                <w:rFonts w:ascii="Arial" w:eastAsia="Times New Roman" w:hAnsi="Arial" w:cs="Arial"/>
                <w:color w:val="000000"/>
                <w:sz w:val="18"/>
                <w:szCs w:val="18"/>
              </w:rPr>
            </w:pPr>
            <w:r w:rsidRPr="004350B2">
              <w:rPr>
                <w:rFonts w:ascii="Arial" w:eastAsia="Times New Roman" w:hAnsi="Arial" w:cs="Arial"/>
                <w:color w:val="000000"/>
                <w:sz w:val="18"/>
                <w:szCs w:val="18"/>
              </w:rPr>
              <w:t>Investment in digital capabilities</w:t>
            </w:r>
          </w:p>
          <w:p w14:paraId="607A343A" w14:textId="77777777" w:rsidR="009218FA" w:rsidRPr="004350B2" w:rsidRDefault="009218FA" w:rsidP="009218FA">
            <w:pPr>
              <w:pStyle w:val="ListParagraph"/>
              <w:numPr>
                <w:ilvl w:val="0"/>
                <w:numId w:val="29"/>
              </w:numPr>
              <w:jc w:val="left"/>
              <w:rPr>
                <w:rFonts w:ascii="Arial" w:eastAsia="Times New Roman" w:hAnsi="Arial" w:cs="Arial"/>
                <w:color w:val="000000"/>
                <w:sz w:val="18"/>
                <w:szCs w:val="18"/>
              </w:rPr>
            </w:pPr>
            <w:r w:rsidRPr="004350B2">
              <w:rPr>
                <w:rFonts w:ascii="Arial" w:eastAsia="Times New Roman" w:hAnsi="Arial" w:cs="Arial"/>
                <w:color w:val="000000"/>
                <w:sz w:val="18"/>
                <w:szCs w:val="18"/>
              </w:rPr>
              <w:t>Alignment of distribution to customer preferences</w:t>
            </w:r>
          </w:p>
          <w:p w14:paraId="4B328563" w14:textId="77777777" w:rsidR="009218FA" w:rsidRPr="004350B2" w:rsidRDefault="009218FA" w:rsidP="009218FA">
            <w:pPr>
              <w:pStyle w:val="ListParagraph"/>
              <w:numPr>
                <w:ilvl w:val="0"/>
                <w:numId w:val="29"/>
              </w:numPr>
              <w:jc w:val="left"/>
              <w:rPr>
                <w:rFonts w:ascii="Arial" w:eastAsia="Times New Roman" w:hAnsi="Arial" w:cs="Arial"/>
                <w:color w:val="000000"/>
                <w:sz w:val="18"/>
                <w:szCs w:val="18"/>
              </w:rPr>
            </w:pPr>
            <w:r w:rsidRPr="004350B2">
              <w:rPr>
                <w:rFonts w:ascii="Arial" w:eastAsia="Times New Roman" w:hAnsi="Arial" w:cs="Arial"/>
                <w:color w:val="000000"/>
                <w:sz w:val="18"/>
                <w:szCs w:val="18"/>
              </w:rPr>
              <w:t>Development of customized products to meet customer needs</w:t>
            </w:r>
          </w:p>
        </w:tc>
      </w:tr>
      <w:tr w:rsidR="009218FA" w:rsidRPr="00565022" w14:paraId="55FA9089" w14:textId="77777777" w:rsidTr="00984781">
        <w:trPr>
          <w:trHeight w:val="1781"/>
          <w:jc w:val="center"/>
        </w:trPr>
        <w:tc>
          <w:tcPr>
            <w:tcW w:w="3119" w:type="dxa"/>
            <w:tcBorders>
              <w:top w:val="single" w:sz="4" w:space="0" w:color="auto"/>
              <w:left w:val="single" w:sz="4" w:space="0" w:color="auto"/>
              <w:bottom w:val="single" w:sz="4" w:space="0" w:color="auto"/>
              <w:right w:val="nil"/>
            </w:tcBorders>
            <w:shd w:val="clear" w:color="auto" w:fill="auto"/>
            <w:noWrap/>
            <w:vAlign w:val="center"/>
          </w:tcPr>
          <w:p w14:paraId="23AABE04" w14:textId="19A7BD3B" w:rsidR="009218FA" w:rsidRPr="004350B2" w:rsidRDefault="009218FA" w:rsidP="009218FA">
            <w:pPr>
              <w:pStyle w:val="ListParagraph"/>
              <w:numPr>
                <w:ilvl w:val="0"/>
                <w:numId w:val="28"/>
              </w:numPr>
              <w:ind w:left="459" w:hanging="425"/>
              <w:jc w:val="left"/>
              <w:rPr>
                <w:rFonts w:ascii="Arial" w:eastAsia="Times New Roman" w:hAnsi="Arial" w:cs="Arial"/>
                <w:b/>
                <w:color w:val="000000"/>
                <w:sz w:val="18"/>
                <w:szCs w:val="18"/>
              </w:rPr>
            </w:pPr>
            <w:r w:rsidRPr="004350B2">
              <w:rPr>
                <w:rFonts w:ascii="Arial" w:eastAsia="Times New Roman" w:hAnsi="Arial" w:cs="Arial"/>
                <w:b/>
                <w:color w:val="000000"/>
                <w:sz w:val="18"/>
                <w:szCs w:val="18"/>
              </w:rPr>
              <w:t xml:space="preserve">Active enhancement of </w:t>
            </w:r>
            <w:r w:rsidR="00006348">
              <w:rPr>
                <w:rFonts w:ascii="Arial" w:eastAsia="Times New Roman" w:hAnsi="Arial" w:cs="Arial"/>
                <w:b/>
                <w:color w:val="000000"/>
                <w:sz w:val="18"/>
                <w:szCs w:val="18"/>
              </w:rPr>
              <w:t>h</w:t>
            </w:r>
            <w:r w:rsidRPr="004350B2">
              <w:rPr>
                <w:rFonts w:ascii="Arial" w:eastAsia="Times New Roman" w:hAnsi="Arial" w:cs="Arial"/>
                <w:b/>
                <w:color w:val="000000"/>
                <w:sz w:val="18"/>
                <w:szCs w:val="18"/>
              </w:rPr>
              <w:t xml:space="preserve">ealth </w:t>
            </w:r>
            <w:r w:rsidR="00006348">
              <w:rPr>
                <w:rFonts w:ascii="Arial" w:eastAsia="Times New Roman" w:hAnsi="Arial" w:cs="Arial"/>
                <w:b/>
                <w:color w:val="000000"/>
                <w:sz w:val="18"/>
                <w:szCs w:val="18"/>
              </w:rPr>
              <w:t>i</w:t>
            </w:r>
            <w:r w:rsidRPr="004350B2">
              <w:rPr>
                <w:rFonts w:ascii="Arial" w:eastAsia="Times New Roman" w:hAnsi="Arial" w:cs="Arial"/>
                <w:b/>
                <w:color w:val="000000"/>
                <w:sz w:val="18"/>
                <w:szCs w:val="18"/>
              </w:rPr>
              <w:t>nsurance underwriting margins</w:t>
            </w:r>
          </w:p>
        </w:tc>
        <w:tc>
          <w:tcPr>
            <w:tcW w:w="5103" w:type="dxa"/>
            <w:tcBorders>
              <w:top w:val="single" w:sz="4" w:space="0" w:color="auto"/>
              <w:left w:val="nil"/>
              <w:bottom w:val="single" w:sz="4" w:space="0" w:color="auto"/>
              <w:right w:val="single" w:sz="4" w:space="0" w:color="auto"/>
            </w:tcBorders>
            <w:shd w:val="clear" w:color="auto" w:fill="auto"/>
            <w:noWrap/>
            <w:vAlign w:val="center"/>
          </w:tcPr>
          <w:p w14:paraId="68486B0E" w14:textId="53134691" w:rsidR="009218FA" w:rsidRPr="004350B2" w:rsidRDefault="009218FA" w:rsidP="009218FA">
            <w:pPr>
              <w:pStyle w:val="ListParagraph"/>
              <w:numPr>
                <w:ilvl w:val="0"/>
                <w:numId w:val="30"/>
              </w:numPr>
              <w:jc w:val="left"/>
              <w:rPr>
                <w:rFonts w:ascii="Arial" w:eastAsia="Times New Roman" w:hAnsi="Arial" w:cs="Arial"/>
                <w:color w:val="000000"/>
                <w:sz w:val="18"/>
                <w:szCs w:val="18"/>
              </w:rPr>
            </w:pPr>
            <w:r w:rsidRPr="004350B2">
              <w:rPr>
                <w:rFonts w:ascii="Arial" w:eastAsia="Times New Roman" w:hAnsi="Arial" w:cs="Arial"/>
                <w:color w:val="000000"/>
                <w:sz w:val="18"/>
                <w:szCs w:val="18"/>
              </w:rPr>
              <w:t>Management of claims expenses through relationships with hospitals, product redesign, assisting benefits utilization for high-need clients, and reducing improper claims</w:t>
            </w:r>
          </w:p>
          <w:p w14:paraId="3D3FDC7E" w14:textId="2587117C" w:rsidR="009218FA" w:rsidRPr="004350B2" w:rsidRDefault="009218FA" w:rsidP="009218FA">
            <w:pPr>
              <w:pStyle w:val="ListParagraph"/>
              <w:numPr>
                <w:ilvl w:val="0"/>
                <w:numId w:val="30"/>
              </w:numPr>
              <w:jc w:val="left"/>
              <w:rPr>
                <w:rFonts w:ascii="Arial" w:eastAsia="Times New Roman" w:hAnsi="Arial" w:cs="Arial"/>
                <w:color w:val="000000"/>
                <w:sz w:val="18"/>
                <w:szCs w:val="18"/>
              </w:rPr>
            </w:pPr>
            <w:r w:rsidRPr="004350B2">
              <w:rPr>
                <w:rFonts w:ascii="Arial" w:eastAsia="Times New Roman" w:hAnsi="Arial" w:cs="Arial"/>
                <w:color w:val="000000"/>
                <w:sz w:val="18"/>
                <w:szCs w:val="18"/>
              </w:rPr>
              <w:t>Increased focus on patient outcome quality, achieved by selective contracting with healthcare providers</w:t>
            </w:r>
          </w:p>
        </w:tc>
      </w:tr>
      <w:tr w:rsidR="009218FA" w:rsidRPr="00565022" w14:paraId="619BAB36" w14:textId="77777777" w:rsidTr="00984781">
        <w:trPr>
          <w:trHeight w:val="1520"/>
          <w:jc w:val="center"/>
        </w:trPr>
        <w:tc>
          <w:tcPr>
            <w:tcW w:w="3119" w:type="dxa"/>
            <w:tcBorders>
              <w:top w:val="single" w:sz="4" w:space="0" w:color="auto"/>
              <w:left w:val="single" w:sz="4" w:space="0" w:color="auto"/>
              <w:bottom w:val="single" w:sz="4" w:space="0" w:color="auto"/>
              <w:right w:val="nil"/>
            </w:tcBorders>
            <w:shd w:val="clear" w:color="auto" w:fill="auto"/>
            <w:noWrap/>
            <w:vAlign w:val="center"/>
          </w:tcPr>
          <w:p w14:paraId="0887AB8B" w14:textId="77777777" w:rsidR="009218FA" w:rsidRPr="004350B2" w:rsidRDefault="009218FA" w:rsidP="009218FA">
            <w:pPr>
              <w:pStyle w:val="ListParagraph"/>
              <w:numPr>
                <w:ilvl w:val="0"/>
                <w:numId w:val="28"/>
              </w:numPr>
              <w:ind w:left="459" w:hanging="425"/>
              <w:jc w:val="left"/>
              <w:rPr>
                <w:rFonts w:ascii="Arial" w:eastAsia="Times New Roman" w:hAnsi="Arial" w:cs="Arial"/>
                <w:b/>
                <w:color w:val="000000"/>
                <w:sz w:val="18"/>
                <w:szCs w:val="18"/>
              </w:rPr>
            </w:pPr>
            <w:r w:rsidRPr="004350B2">
              <w:rPr>
                <w:rFonts w:ascii="Arial" w:eastAsia="Times New Roman" w:hAnsi="Arial" w:cs="Arial"/>
                <w:b/>
                <w:color w:val="000000"/>
                <w:sz w:val="18"/>
                <w:szCs w:val="18"/>
              </w:rPr>
              <w:t>Operational excellence to reduce costs and improve the customer experience</w:t>
            </w:r>
          </w:p>
        </w:tc>
        <w:tc>
          <w:tcPr>
            <w:tcW w:w="5103" w:type="dxa"/>
            <w:tcBorders>
              <w:top w:val="single" w:sz="4" w:space="0" w:color="auto"/>
              <w:left w:val="nil"/>
              <w:bottom w:val="single" w:sz="4" w:space="0" w:color="auto"/>
              <w:right w:val="single" w:sz="4" w:space="0" w:color="auto"/>
            </w:tcBorders>
            <w:shd w:val="clear" w:color="auto" w:fill="auto"/>
            <w:noWrap/>
            <w:vAlign w:val="center"/>
          </w:tcPr>
          <w:p w14:paraId="57CCA9D1" w14:textId="5072709B" w:rsidR="009218FA" w:rsidRPr="004350B2" w:rsidRDefault="009218FA" w:rsidP="009218FA">
            <w:pPr>
              <w:pStyle w:val="ListParagraph"/>
              <w:numPr>
                <w:ilvl w:val="0"/>
                <w:numId w:val="30"/>
              </w:numPr>
              <w:jc w:val="left"/>
              <w:rPr>
                <w:rFonts w:ascii="Arial" w:eastAsia="Times New Roman" w:hAnsi="Arial" w:cs="Arial"/>
                <w:color w:val="000000"/>
                <w:sz w:val="18"/>
                <w:szCs w:val="18"/>
              </w:rPr>
            </w:pPr>
            <w:r w:rsidRPr="004350B2">
              <w:rPr>
                <w:rFonts w:ascii="Arial" w:eastAsia="Times New Roman" w:hAnsi="Arial" w:cs="Arial"/>
                <w:color w:val="000000"/>
                <w:sz w:val="18"/>
                <w:szCs w:val="18"/>
              </w:rPr>
              <w:t>Focus on cost</w:t>
            </w:r>
            <w:r w:rsidR="00006348">
              <w:rPr>
                <w:rFonts w:ascii="Arial" w:eastAsia="Times New Roman" w:hAnsi="Arial" w:cs="Arial"/>
                <w:color w:val="000000"/>
                <w:sz w:val="18"/>
                <w:szCs w:val="18"/>
              </w:rPr>
              <w:t>-</w:t>
            </w:r>
            <w:r w:rsidRPr="004350B2">
              <w:rPr>
                <w:rFonts w:ascii="Arial" w:eastAsia="Times New Roman" w:hAnsi="Arial" w:cs="Arial"/>
                <w:color w:val="000000"/>
                <w:sz w:val="18"/>
                <w:szCs w:val="18"/>
              </w:rPr>
              <w:t xml:space="preserve">reduction programs to reduce the management expense ratio and overheads </w:t>
            </w:r>
            <w:r w:rsidR="00006348">
              <w:rPr>
                <w:rFonts w:ascii="Arial" w:eastAsia="Times New Roman" w:hAnsi="Arial" w:cs="Arial"/>
                <w:color w:val="000000"/>
                <w:sz w:val="18"/>
                <w:szCs w:val="18"/>
              </w:rPr>
              <w:t>through</w:t>
            </w:r>
            <w:r w:rsidRPr="004350B2">
              <w:rPr>
                <w:rFonts w:ascii="Arial" w:eastAsia="Times New Roman" w:hAnsi="Arial" w:cs="Arial"/>
                <w:color w:val="000000"/>
                <w:sz w:val="18"/>
                <w:szCs w:val="18"/>
              </w:rPr>
              <w:t xml:space="preserve"> simplification of operational processes and reviews of activities within the </w:t>
            </w:r>
            <w:r w:rsidR="00006348">
              <w:rPr>
                <w:rFonts w:ascii="Arial" w:eastAsia="Times New Roman" w:hAnsi="Arial" w:cs="Arial"/>
                <w:color w:val="000000"/>
                <w:sz w:val="18"/>
                <w:szCs w:val="18"/>
              </w:rPr>
              <w:t>c</w:t>
            </w:r>
            <w:r w:rsidRPr="004350B2">
              <w:rPr>
                <w:rFonts w:ascii="Arial" w:eastAsia="Times New Roman" w:hAnsi="Arial" w:cs="Arial"/>
                <w:color w:val="000000"/>
                <w:sz w:val="18"/>
                <w:szCs w:val="18"/>
              </w:rPr>
              <w:t xml:space="preserve">omplementary </w:t>
            </w:r>
            <w:r w:rsidR="00006348">
              <w:rPr>
                <w:rFonts w:ascii="Arial" w:eastAsia="Times New Roman" w:hAnsi="Arial" w:cs="Arial"/>
                <w:color w:val="000000"/>
                <w:sz w:val="18"/>
                <w:szCs w:val="18"/>
              </w:rPr>
              <w:t>s</w:t>
            </w:r>
            <w:r w:rsidRPr="004350B2">
              <w:rPr>
                <w:rFonts w:ascii="Arial" w:eastAsia="Times New Roman" w:hAnsi="Arial" w:cs="Arial"/>
                <w:color w:val="000000"/>
                <w:sz w:val="18"/>
                <w:szCs w:val="18"/>
              </w:rPr>
              <w:t>ervices segment</w:t>
            </w:r>
          </w:p>
        </w:tc>
      </w:tr>
      <w:tr w:rsidR="009218FA" w:rsidRPr="00565022" w14:paraId="65DD53F8" w14:textId="77777777" w:rsidTr="00984781">
        <w:trPr>
          <w:trHeight w:val="1709"/>
          <w:jc w:val="center"/>
        </w:trPr>
        <w:tc>
          <w:tcPr>
            <w:tcW w:w="3119" w:type="dxa"/>
            <w:tcBorders>
              <w:top w:val="single" w:sz="4" w:space="0" w:color="auto"/>
              <w:left w:val="single" w:sz="4" w:space="0" w:color="auto"/>
              <w:bottom w:val="single" w:sz="4" w:space="0" w:color="auto"/>
              <w:right w:val="nil"/>
            </w:tcBorders>
            <w:shd w:val="clear" w:color="auto" w:fill="auto"/>
            <w:noWrap/>
            <w:vAlign w:val="center"/>
          </w:tcPr>
          <w:p w14:paraId="2C043339" w14:textId="5156CBF0" w:rsidR="009218FA" w:rsidRPr="004350B2" w:rsidRDefault="009218FA" w:rsidP="009218FA">
            <w:pPr>
              <w:pStyle w:val="ListParagraph"/>
              <w:numPr>
                <w:ilvl w:val="0"/>
                <w:numId w:val="28"/>
              </w:numPr>
              <w:ind w:left="459" w:hanging="425"/>
              <w:jc w:val="left"/>
              <w:rPr>
                <w:rFonts w:ascii="Arial" w:eastAsia="Times New Roman" w:hAnsi="Arial" w:cs="Arial"/>
                <w:b/>
                <w:color w:val="000000"/>
                <w:sz w:val="18"/>
                <w:szCs w:val="18"/>
              </w:rPr>
            </w:pPr>
            <w:r w:rsidRPr="004350B2">
              <w:rPr>
                <w:rFonts w:ascii="Arial" w:eastAsia="Times New Roman" w:hAnsi="Arial" w:cs="Arial"/>
                <w:b/>
                <w:color w:val="000000"/>
                <w:sz w:val="18"/>
                <w:szCs w:val="18"/>
              </w:rPr>
              <w:t>Lever</w:t>
            </w:r>
            <w:r w:rsidR="00E24130">
              <w:rPr>
                <w:rFonts w:ascii="Arial" w:eastAsia="Times New Roman" w:hAnsi="Arial" w:cs="Arial"/>
                <w:b/>
                <w:color w:val="000000"/>
                <w:sz w:val="18"/>
                <w:szCs w:val="18"/>
              </w:rPr>
              <w:t>ag</w:t>
            </w:r>
            <w:r w:rsidR="00A549F0">
              <w:rPr>
                <w:rFonts w:ascii="Arial" w:eastAsia="Times New Roman" w:hAnsi="Arial" w:cs="Arial"/>
                <w:b/>
                <w:color w:val="000000"/>
                <w:sz w:val="18"/>
                <w:szCs w:val="18"/>
              </w:rPr>
              <w:t>ing</w:t>
            </w:r>
            <w:r w:rsidRPr="004350B2">
              <w:rPr>
                <w:rFonts w:ascii="Arial" w:eastAsia="Times New Roman" w:hAnsi="Arial" w:cs="Arial"/>
                <w:b/>
                <w:color w:val="000000"/>
                <w:sz w:val="18"/>
                <w:szCs w:val="18"/>
              </w:rPr>
              <w:t xml:space="preserve"> or extending core capabilities to address growth opportunities in the broader health and insurance industries</w:t>
            </w:r>
          </w:p>
        </w:tc>
        <w:tc>
          <w:tcPr>
            <w:tcW w:w="5103" w:type="dxa"/>
            <w:tcBorders>
              <w:top w:val="single" w:sz="4" w:space="0" w:color="auto"/>
              <w:left w:val="nil"/>
              <w:bottom w:val="single" w:sz="4" w:space="0" w:color="auto"/>
              <w:right w:val="single" w:sz="4" w:space="0" w:color="auto"/>
            </w:tcBorders>
            <w:shd w:val="clear" w:color="auto" w:fill="auto"/>
            <w:noWrap/>
            <w:vAlign w:val="center"/>
          </w:tcPr>
          <w:p w14:paraId="382DEE2B" w14:textId="77777777" w:rsidR="009218FA" w:rsidRPr="004350B2" w:rsidRDefault="009218FA" w:rsidP="009218FA">
            <w:pPr>
              <w:pStyle w:val="ListParagraph"/>
              <w:numPr>
                <w:ilvl w:val="0"/>
                <w:numId w:val="30"/>
              </w:numPr>
              <w:jc w:val="left"/>
              <w:rPr>
                <w:rFonts w:ascii="Arial" w:eastAsia="Times New Roman" w:hAnsi="Arial" w:cs="Arial"/>
                <w:color w:val="000000"/>
                <w:sz w:val="18"/>
                <w:szCs w:val="18"/>
              </w:rPr>
            </w:pPr>
            <w:r w:rsidRPr="004350B2">
              <w:rPr>
                <w:rFonts w:ascii="Arial" w:eastAsia="Times New Roman" w:hAnsi="Arial" w:cs="Arial"/>
                <w:color w:val="000000"/>
                <w:sz w:val="18"/>
                <w:szCs w:val="18"/>
              </w:rPr>
              <w:t>Reduction in claims expenses by strategic investments in businesses that augment Medibank’s health management capabilities</w:t>
            </w:r>
          </w:p>
          <w:p w14:paraId="5516C701" w14:textId="09DAAA08" w:rsidR="009218FA" w:rsidRPr="004350B2" w:rsidRDefault="009218FA" w:rsidP="009218FA">
            <w:pPr>
              <w:pStyle w:val="ListParagraph"/>
              <w:numPr>
                <w:ilvl w:val="0"/>
                <w:numId w:val="30"/>
              </w:numPr>
              <w:jc w:val="left"/>
              <w:rPr>
                <w:rFonts w:ascii="Arial" w:eastAsia="Times New Roman" w:hAnsi="Arial" w:cs="Arial"/>
                <w:color w:val="000000"/>
                <w:sz w:val="18"/>
                <w:szCs w:val="18"/>
              </w:rPr>
            </w:pPr>
            <w:r w:rsidRPr="004350B2">
              <w:rPr>
                <w:rFonts w:ascii="Arial" w:eastAsia="Times New Roman" w:hAnsi="Arial" w:cs="Arial"/>
                <w:color w:val="000000"/>
                <w:sz w:val="18"/>
                <w:szCs w:val="18"/>
              </w:rPr>
              <w:t>Accessing new markets and opportunities for which Medibank’s core capabilities may be utili</w:t>
            </w:r>
            <w:r w:rsidR="00006348">
              <w:rPr>
                <w:rFonts w:ascii="Arial" w:eastAsia="Times New Roman" w:hAnsi="Arial" w:cs="Arial"/>
                <w:color w:val="000000"/>
                <w:sz w:val="18"/>
                <w:szCs w:val="18"/>
              </w:rPr>
              <w:t>z</w:t>
            </w:r>
            <w:r w:rsidRPr="004350B2">
              <w:rPr>
                <w:rFonts w:ascii="Arial" w:eastAsia="Times New Roman" w:hAnsi="Arial" w:cs="Arial"/>
                <w:color w:val="000000"/>
                <w:sz w:val="18"/>
                <w:szCs w:val="18"/>
              </w:rPr>
              <w:t>ed</w:t>
            </w:r>
          </w:p>
        </w:tc>
      </w:tr>
      <w:tr w:rsidR="009218FA" w:rsidRPr="00565022" w14:paraId="3B48CE11" w14:textId="77777777" w:rsidTr="00984781">
        <w:trPr>
          <w:trHeight w:val="1781"/>
          <w:jc w:val="center"/>
        </w:trPr>
        <w:tc>
          <w:tcPr>
            <w:tcW w:w="3119" w:type="dxa"/>
            <w:tcBorders>
              <w:top w:val="single" w:sz="4" w:space="0" w:color="auto"/>
              <w:left w:val="single" w:sz="4" w:space="0" w:color="auto"/>
              <w:bottom w:val="single" w:sz="4" w:space="0" w:color="auto"/>
              <w:right w:val="nil"/>
            </w:tcBorders>
            <w:shd w:val="clear" w:color="auto" w:fill="auto"/>
            <w:noWrap/>
            <w:vAlign w:val="center"/>
          </w:tcPr>
          <w:p w14:paraId="76EB2C6E" w14:textId="28CE2DED" w:rsidR="009218FA" w:rsidRPr="004350B2" w:rsidRDefault="009218FA" w:rsidP="00B86B0B">
            <w:pPr>
              <w:pStyle w:val="ListParagraph"/>
              <w:numPr>
                <w:ilvl w:val="0"/>
                <w:numId w:val="28"/>
              </w:numPr>
              <w:ind w:left="459" w:hanging="425"/>
              <w:jc w:val="left"/>
              <w:rPr>
                <w:rFonts w:ascii="Arial" w:eastAsia="Times New Roman" w:hAnsi="Arial" w:cs="Arial"/>
                <w:b/>
                <w:color w:val="000000"/>
                <w:sz w:val="18"/>
                <w:szCs w:val="18"/>
              </w:rPr>
            </w:pPr>
            <w:r w:rsidRPr="004350B2">
              <w:rPr>
                <w:rFonts w:ascii="Arial" w:eastAsia="Times New Roman" w:hAnsi="Arial" w:cs="Arial"/>
                <w:b/>
                <w:color w:val="000000"/>
                <w:sz w:val="18"/>
                <w:szCs w:val="18"/>
              </w:rPr>
              <w:t xml:space="preserve">Investment </w:t>
            </w:r>
            <w:r w:rsidR="00B86B0B">
              <w:rPr>
                <w:rFonts w:ascii="Arial" w:eastAsia="Times New Roman" w:hAnsi="Arial" w:cs="Arial"/>
                <w:b/>
                <w:color w:val="000000"/>
                <w:sz w:val="18"/>
                <w:szCs w:val="18"/>
              </w:rPr>
              <w:t>in</w:t>
            </w:r>
            <w:r w:rsidR="00B86B0B" w:rsidRPr="004350B2">
              <w:rPr>
                <w:rFonts w:ascii="Arial" w:eastAsia="Times New Roman" w:hAnsi="Arial" w:cs="Arial"/>
                <w:b/>
                <w:color w:val="000000"/>
                <w:sz w:val="18"/>
                <w:szCs w:val="18"/>
              </w:rPr>
              <w:t xml:space="preserve"> </w:t>
            </w:r>
            <w:r w:rsidRPr="004350B2">
              <w:rPr>
                <w:rFonts w:ascii="Arial" w:eastAsia="Times New Roman" w:hAnsi="Arial" w:cs="Arial"/>
                <w:b/>
                <w:color w:val="000000"/>
                <w:sz w:val="18"/>
                <w:szCs w:val="18"/>
              </w:rPr>
              <w:t>people and capabilities</w:t>
            </w:r>
          </w:p>
        </w:tc>
        <w:tc>
          <w:tcPr>
            <w:tcW w:w="5103" w:type="dxa"/>
            <w:tcBorders>
              <w:top w:val="single" w:sz="4" w:space="0" w:color="auto"/>
              <w:left w:val="nil"/>
              <w:bottom w:val="single" w:sz="4" w:space="0" w:color="auto"/>
              <w:right w:val="single" w:sz="4" w:space="0" w:color="auto"/>
            </w:tcBorders>
            <w:shd w:val="clear" w:color="auto" w:fill="auto"/>
            <w:noWrap/>
            <w:vAlign w:val="center"/>
          </w:tcPr>
          <w:p w14:paraId="371461E9" w14:textId="77777777" w:rsidR="009218FA" w:rsidRPr="004350B2" w:rsidRDefault="009218FA" w:rsidP="009218FA">
            <w:pPr>
              <w:pStyle w:val="ListParagraph"/>
              <w:numPr>
                <w:ilvl w:val="0"/>
                <w:numId w:val="30"/>
              </w:numPr>
              <w:jc w:val="left"/>
              <w:rPr>
                <w:rFonts w:ascii="Arial" w:eastAsia="Times New Roman" w:hAnsi="Arial" w:cs="Arial"/>
                <w:color w:val="000000"/>
                <w:sz w:val="18"/>
                <w:szCs w:val="18"/>
              </w:rPr>
            </w:pPr>
            <w:r w:rsidRPr="004350B2">
              <w:rPr>
                <w:rFonts w:ascii="Arial" w:eastAsia="Times New Roman" w:hAnsi="Arial" w:cs="Arial"/>
                <w:color w:val="000000"/>
                <w:sz w:val="18"/>
                <w:szCs w:val="18"/>
              </w:rPr>
              <w:t>Development of Medibank’s human capital through strengthened management, employee engagement, and leadership development</w:t>
            </w:r>
          </w:p>
          <w:p w14:paraId="23FCFB7E" w14:textId="77777777" w:rsidR="009218FA" w:rsidRPr="004350B2" w:rsidRDefault="009218FA" w:rsidP="009218FA">
            <w:pPr>
              <w:pStyle w:val="ListParagraph"/>
              <w:numPr>
                <w:ilvl w:val="0"/>
                <w:numId w:val="30"/>
              </w:numPr>
              <w:jc w:val="left"/>
              <w:rPr>
                <w:rFonts w:ascii="Arial" w:eastAsia="Times New Roman" w:hAnsi="Arial" w:cs="Arial"/>
                <w:color w:val="000000"/>
                <w:sz w:val="18"/>
                <w:szCs w:val="18"/>
              </w:rPr>
            </w:pPr>
            <w:r w:rsidRPr="004350B2">
              <w:rPr>
                <w:rFonts w:ascii="Arial" w:eastAsia="Times New Roman" w:hAnsi="Arial" w:cs="Arial"/>
                <w:color w:val="000000"/>
                <w:sz w:val="18"/>
                <w:szCs w:val="18"/>
              </w:rPr>
              <w:t>Improvement in workplace environment to increase efficiency and effectiveness, including consolidation of sites</w:t>
            </w:r>
          </w:p>
        </w:tc>
      </w:tr>
    </w:tbl>
    <w:p w14:paraId="73162BFA" w14:textId="77777777" w:rsidR="009218FA" w:rsidRPr="00565022" w:rsidRDefault="009218FA" w:rsidP="004350B2">
      <w:pPr>
        <w:pStyle w:val="Footnote"/>
        <w:rPr>
          <w:lang w:val="en-AU"/>
        </w:rPr>
      </w:pPr>
    </w:p>
    <w:p w14:paraId="34A212CD" w14:textId="31F77784" w:rsidR="009218FA" w:rsidRPr="004350B2" w:rsidRDefault="009218FA" w:rsidP="004350B2">
      <w:pPr>
        <w:pStyle w:val="Footnote"/>
      </w:pPr>
      <w:r w:rsidRPr="004350B2">
        <w:t xml:space="preserve">Source: </w:t>
      </w:r>
      <w:r w:rsidR="00006348">
        <w:t>M</w:t>
      </w:r>
      <w:r w:rsidRPr="004350B2">
        <w:t xml:space="preserve">odified from </w:t>
      </w:r>
      <w:r w:rsidR="003972C9">
        <w:rPr>
          <w:lang w:val="en-AU"/>
        </w:rPr>
        <w:t xml:space="preserve">Medibank Private, </w:t>
      </w:r>
      <w:r w:rsidR="003972C9" w:rsidRPr="00C35632">
        <w:rPr>
          <w:i/>
        </w:rPr>
        <w:t xml:space="preserve">Share in the </w:t>
      </w:r>
      <w:r w:rsidR="003972C9">
        <w:rPr>
          <w:i/>
        </w:rPr>
        <w:t>F</w:t>
      </w:r>
      <w:r w:rsidR="003972C9" w:rsidRPr="00C35632">
        <w:rPr>
          <w:i/>
        </w:rPr>
        <w:t>uture of Medibank Private</w:t>
      </w:r>
      <w:r w:rsidR="003972C9" w:rsidRPr="003972C9">
        <w:t xml:space="preserve"> </w:t>
      </w:r>
      <w:r w:rsidR="003972C9">
        <w:t>(</w:t>
      </w:r>
      <w:r w:rsidR="003972C9">
        <w:rPr>
          <w:lang w:val="en-AU"/>
        </w:rPr>
        <w:t xml:space="preserve">October 2014), </w:t>
      </w:r>
      <w:r w:rsidR="00135B37">
        <w:rPr>
          <w:rFonts w:eastAsiaTheme="minorHAnsi"/>
        </w:rPr>
        <w:t xml:space="preserve">accessed March 23, 2017, </w:t>
      </w:r>
      <w:r w:rsidR="00E24130" w:rsidRPr="001D1D1E">
        <w:rPr>
          <w:lang w:val="en-AU"/>
        </w:rPr>
        <w:t>www.medibank.com.au/content/dam/medibank/About-Us/pdfs/privatisation/Medibank-Private-Prospectus.pdf</w:t>
      </w:r>
      <w:r w:rsidR="00E24130">
        <w:rPr>
          <w:lang w:val="en-AU"/>
        </w:rPr>
        <w:t>.</w:t>
      </w:r>
    </w:p>
    <w:p w14:paraId="48B81B6A" w14:textId="77777777" w:rsidR="009218FA" w:rsidRDefault="009218FA" w:rsidP="004350B2">
      <w:pPr>
        <w:pStyle w:val="Footnote"/>
        <w:rPr>
          <w:lang w:val="en-AU"/>
        </w:rPr>
      </w:pPr>
    </w:p>
    <w:p w14:paraId="5A007C49" w14:textId="77777777" w:rsidR="009218FA" w:rsidRPr="00565022" w:rsidRDefault="009218FA" w:rsidP="009218FA">
      <w:pPr>
        <w:rPr>
          <w:lang w:val="en-AU"/>
        </w:rPr>
      </w:pPr>
    </w:p>
    <w:p w14:paraId="5FACE0FF" w14:textId="77777777" w:rsidR="004350B2" w:rsidRDefault="004350B2" w:rsidP="004350B2">
      <w:pPr>
        <w:pStyle w:val="ExhibitHeading"/>
      </w:pPr>
    </w:p>
    <w:p w14:paraId="064086BC" w14:textId="77777777" w:rsidR="004350B2" w:rsidRDefault="004350B2" w:rsidP="004350B2">
      <w:pPr>
        <w:pStyle w:val="ExhibitHeading"/>
      </w:pPr>
    </w:p>
    <w:p w14:paraId="747D8394" w14:textId="77777777" w:rsidR="004350B2" w:rsidRDefault="004350B2" w:rsidP="004350B2">
      <w:pPr>
        <w:pStyle w:val="ExhibitHeading"/>
      </w:pPr>
    </w:p>
    <w:p w14:paraId="0E2DC831" w14:textId="77777777" w:rsidR="004350B2" w:rsidRDefault="004350B2" w:rsidP="004350B2">
      <w:pPr>
        <w:pStyle w:val="ExhibitHeading"/>
      </w:pPr>
    </w:p>
    <w:p w14:paraId="0D65CA5C" w14:textId="77777777" w:rsidR="004350B2" w:rsidRDefault="004350B2" w:rsidP="004350B2">
      <w:pPr>
        <w:pStyle w:val="ExhibitHeading"/>
      </w:pPr>
    </w:p>
    <w:p w14:paraId="1510D4A3" w14:textId="77777777" w:rsidR="004350B2" w:rsidRDefault="004350B2" w:rsidP="004350B2">
      <w:pPr>
        <w:pStyle w:val="ExhibitHeading"/>
      </w:pPr>
    </w:p>
    <w:p w14:paraId="41BA20F2" w14:textId="77777777" w:rsidR="004350B2" w:rsidRDefault="004350B2" w:rsidP="004350B2">
      <w:pPr>
        <w:pStyle w:val="ExhibitHeading"/>
      </w:pPr>
    </w:p>
    <w:p w14:paraId="1C8EB271" w14:textId="77777777" w:rsidR="004350B2" w:rsidRDefault="004350B2" w:rsidP="004350B2">
      <w:pPr>
        <w:pStyle w:val="ExhibitHeading"/>
      </w:pPr>
    </w:p>
    <w:p w14:paraId="29605A51" w14:textId="77777777" w:rsidR="004350B2" w:rsidRDefault="004350B2" w:rsidP="004350B2">
      <w:pPr>
        <w:pStyle w:val="ExhibitHeading"/>
      </w:pPr>
    </w:p>
    <w:p w14:paraId="707590EB" w14:textId="77777777" w:rsidR="004350B2" w:rsidRDefault="004350B2" w:rsidP="004350B2">
      <w:pPr>
        <w:pStyle w:val="ExhibitHeading"/>
      </w:pPr>
    </w:p>
    <w:p w14:paraId="694569C0" w14:textId="77777777" w:rsidR="009218FA" w:rsidRPr="00565022" w:rsidRDefault="009218FA" w:rsidP="004350B2">
      <w:pPr>
        <w:pStyle w:val="ExhibitHeading"/>
      </w:pPr>
      <w:r w:rsidRPr="00565022">
        <w:lastRenderedPageBreak/>
        <w:t xml:space="preserve">Exhibit </w:t>
      </w:r>
      <w:r w:rsidR="004F0E33">
        <w:t>5</w:t>
      </w:r>
      <w:r w:rsidR="004350B2">
        <w:t xml:space="preserve">: </w:t>
      </w:r>
      <w:r w:rsidR="00A73090">
        <w:t xml:space="preserve">Medibank’s </w:t>
      </w:r>
      <w:r w:rsidRPr="00565022">
        <w:t>MANAGEMENT EXPENSE RATIOS, PRIVATE HEALTH INSURANCE INDUSTRY</w:t>
      </w:r>
    </w:p>
    <w:p w14:paraId="26F6D79F" w14:textId="77777777" w:rsidR="009218FA" w:rsidRPr="00565022" w:rsidRDefault="009218FA" w:rsidP="004350B2">
      <w:pPr>
        <w:pStyle w:val="ExhibitHeading"/>
      </w:pPr>
    </w:p>
    <w:p w14:paraId="66BAC5AD" w14:textId="77777777" w:rsidR="009218FA" w:rsidRPr="00565022" w:rsidRDefault="009218FA" w:rsidP="009218FA">
      <w:pPr>
        <w:rPr>
          <w:lang w:val="en-AU"/>
        </w:rPr>
      </w:pPr>
      <w:r w:rsidRPr="00E32353">
        <w:rPr>
          <w:noProof/>
        </w:rPr>
        <w:drawing>
          <wp:inline distT="0" distB="0" distL="0" distR="0" wp14:anchorId="7010D316" wp14:editId="7F032351">
            <wp:extent cx="5760000" cy="28800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3E72AA" w14:textId="77777777" w:rsidR="009218FA" w:rsidRPr="004350B2" w:rsidRDefault="009218FA" w:rsidP="004350B2">
      <w:pPr>
        <w:pStyle w:val="Footnote"/>
      </w:pPr>
    </w:p>
    <w:p w14:paraId="44C19E0D" w14:textId="7DB0E196" w:rsidR="009218FA" w:rsidRPr="004350B2" w:rsidRDefault="009218FA" w:rsidP="004350B2">
      <w:pPr>
        <w:pStyle w:val="Footnote"/>
      </w:pPr>
      <w:r w:rsidRPr="004350B2">
        <w:t xml:space="preserve">Source: </w:t>
      </w:r>
      <w:r w:rsidR="00006348">
        <w:t>M</w:t>
      </w:r>
      <w:r w:rsidRPr="004350B2">
        <w:t xml:space="preserve">odified from </w:t>
      </w:r>
      <w:r w:rsidR="003972C9">
        <w:rPr>
          <w:lang w:val="en-AU"/>
        </w:rPr>
        <w:t xml:space="preserve">Medibank Private, </w:t>
      </w:r>
      <w:r w:rsidR="003972C9" w:rsidRPr="00C35632">
        <w:rPr>
          <w:i/>
        </w:rPr>
        <w:t xml:space="preserve">Share in the </w:t>
      </w:r>
      <w:r w:rsidR="003972C9">
        <w:rPr>
          <w:i/>
        </w:rPr>
        <w:t>F</w:t>
      </w:r>
      <w:r w:rsidR="003972C9" w:rsidRPr="00C35632">
        <w:rPr>
          <w:i/>
        </w:rPr>
        <w:t>uture of Medibank Private</w:t>
      </w:r>
      <w:r w:rsidR="003972C9" w:rsidRPr="003972C9">
        <w:t xml:space="preserve"> </w:t>
      </w:r>
      <w:r w:rsidR="003972C9">
        <w:t>(</w:t>
      </w:r>
      <w:r w:rsidR="003972C9">
        <w:rPr>
          <w:lang w:val="en-AU"/>
        </w:rPr>
        <w:t>October 2014),</w:t>
      </w:r>
      <w:r w:rsidR="00E24130">
        <w:rPr>
          <w:lang w:val="en-AU"/>
        </w:rPr>
        <w:t xml:space="preserve"> </w:t>
      </w:r>
      <w:r w:rsidR="00135B37">
        <w:rPr>
          <w:rFonts w:eastAsiaTheme="minorHAnsi"/>
        </w:rPr>
        <w:t xml:space="preserve">accessed March 23, 2017, </w:t>
      </w:r>
      <w:r w:rsidR="00E24130" w:rsidRPr="001D1D1E">
        <w:rPr>
          <w:lang w:val="en-AU"/>
        </w:rPr>
        <w:t>www.medibank.com.au/content/dam/medibank/About-Us/pdfs/privatisation/Medibank-Private-Prospectus.pdf</w:t>
      </w:r>
      <w:r w:rsidR="00E24130">
        <w:rPr>
          <w:lang w:val="en-AU"/>
        </w:rPr>
        <w:t>.</w:t>
      </w:r>
    </w:p>
    <w:p w14:paraId="52D93EB3" w14:textId="77777777" w:rsidR="009218FA" w:rsidRDefault="009218FA" w:rsidP="004350B2">
      <w:pPr>
        <w:pStyle w:val="Footnote"/>
        <w:rPr>
          <w:lang w:val="en-AU"/>
        </w:rPr>
      </w:pPr>
    </w:p>
    <w:p w14:paraId="73473B08" w14:textId="77777777" w:rsidR="004350B2" w:rsidRDefault="004350B2" w:rsidP="004350B2">
      <w:pPr>
        <w:pStyle w:val="Footnote"/>
        <w:rPr>
          <w:lang w:val="en-AU"/>
        </w:rPr>
      </w:pPr>
    </w:p>
    <w:p w14:paraId="0EB0923A" w14:textId="4CD72B7C" w:rsidR="009218FA" w:rsidRDefault="009218FA" w:rsidP="004350B2">
      <w:pPr>
        <w:pStyle w:val="ExhibitHeading"/>
      </w:pPr>
      <w:r>
        <w:t xml:space="preserve">Exhibit </w:t>
      </w:r>
      <w:r w:rsidR="004F0E33">
        <w:t>6</w:t>
      </w:r>
      <w:r w:rsidR="004350B2">
        <w:t xml:space="preserve">: </w:t>
      </w:r>
      <w:r w:rsidRPr="00565022">
        <w:t xml:space="preserve">TOTAL AUSTRALIA HEALTHCARE EXPENDITURE, </w:t>
      </w:r>
      <w:r w:rsidR="009F5CA7" w:rsidRPr="00DD7406">
        <w:t>FY03</w:t>
      </w:r>
      <w:r w:rsidR="00326209">
        <w:t>–</w:t>
      </w:r>
      <w:r w:rsidR="009F5CA7" w:rsidRPr="00DD7406">
        <w:t>FY13</w:t>
      </w:r>
    </w:p>
    <w:p w14:paraId="26E67956" w14:textId="77777777" w:rsidR="004350B2" w:rsidRPr="00565022" w:rsidRDefault="004350B2" w:rsidP="004350B2">
      <w:pPr>
        <w:pStyle w:val="ExhibitHeading"/>
        <w:rPr>
          <w:lang w:val="en-AU"/>
        </w:rPr>
      </w:pPr>
    </w:p>
    <w:p w14:paraId="72C9AFE8" w14:textId="77777777" w:rsidR="009218FA" w:rsidRPr="00565022" w:rsidRDefault="009218FA" w:rsidP="009218FA">
      <w:pPr>
        <w:rPr>
          <w:lang w:val="en-AU"/>
        </w:rPr>
      </w:pPr>
      <w:r w:rsidRPr="00E32353">
        <w:rPr>
          <w:noProof/>
        </w:rPr>
        <w:drawing>
          <wp:inline distT="0" distB="0" distL="0" distR="0" wp14:anchorId="2FD1C7AC" wp14:editId="1DE5CCFB">
            <wp:extent cx="5760000" cy="2516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E6E450D" w14:textId="77777777" w:rsidR="009218FA" w:rsidRPr="00565022" w:rsidRDefault="009218FA" w:rsidP="004350B2">
      <w:pPr>
        <w:pStyle w:val="Footnote"/>
        <w:rPr>
          <w:lang w:val="en-AU"/>
        </w:rPr>
      </w:pPr>
    </w:p>
    <w:p w14:paraId="2D74DCE3" w14:textId="415F5346" w:rsidR="0087159A" w:rsidRDefault="0087159A" w:rsidP="004350B2">
      <w:pPr>
        <w:pStyle w:val="Footnote"/>
        <w:rPr>
          <w:lang w:val="en-AU"/>
        </w:rPr>
      </w:pPr>
      <w:r>
        <w:rPr>
          <w:lang w:val="en-AU"/>
        </w:rPr>
        <w:t xml:space="preserve">Note: All dollar amounts are in </w:t>
      </w:r>
      <w:r w:rsidR="00C041A3">
        <w:t>Australian dollar</w:t>
      </w:r>
      <w:r w:rsidR="001A359C">
        <w:t>s</w:t>
      </w:r>
      <w:r w:rsidR="00C041A3">
        <w:t>;</w:t>
      </w:r>
      <w:r w:rsidR="00C041A3" w:rsidRPr="00D955D5">
        <w:rPr>
          <w:lang w:val="en-AU"/>
        </w:rPr>
        <w:t xml:space="preserve"> </w:t>
      </w:r>
      <w:r w:rsidR="00C041A3">
        <w:rPr>
          <w:lang w:val="en-AU"/>
        </w:rPr>
        <w:t>US$1 = AU$1.1796 on November 30, 2014</w:t>
      </w:r>
      <w:r w:rsidR="001A359C">
        <w:rPr>
          <w:lang w:val="en-AU"/>
        </w:rPr>
        <w:t>.</w:t>
      </w:r>
    </w:p>
    <w:p w14:paraId="275BE19C" w14:textId="05CB2125" w:rsidR="009218FA" w:rsidRPr="00565022" w:rsidRDefault="009218FA" w:rsidP="004350B2">
      <w:pPr>
        <w:pStyle w:val="Footnote"/>
        <w:rPr>
          <w:lang w:val="en-AU"/>
        </w:rPr>
      </w:pPr>
      <w:r w:rsidRPr="00565022">
        <w:rPr>
          <w:lang w:val="en-AU"/>
        </w:rPr>
        <w:t xml:space="preserve">Source: </w:t>
      </w:r>
      <w:r w:rsidR="00006348">
        <w:rPr>
          <w:lang w:val="en-AU"/>
        </w:rPr>
        <w:t>M</w:t>
      </w:r>
      <w:r w:rsidRPr="00565022">
        <w:rPr>
          <w:lang w:val="en-AU"/>
        </w:rPr>
        <w:t xml:space="preserve">odified from </w:t>
      </w:r>
      <w:r w:rsidR="003972C9">
        <w:rPr>
          <w:lang w:val="en-AU"/>
        </w:rPr>
        <w:t xml:space="preserve">Medibank Private, </w:t>
      </w:r>
      <w:r w:rsidR="003972C9" w:rsidRPr="00C35632">
        <w:rPr>
          <w:i/>
        </w:rPr>
        <w:t xml:space="preserve">Share in the </w:t>
      </w:r>
      <w:r w:rsidR="003972C9">
        <w:rPr>
          <w:i/>
        </w:rPr>
        <w:t>F</w:t>
      </w:r>
      <w:r w:rsidR="003972C9" w:rsidRPr="00C35632">
        <w:rPr>
          <w:i/>
        </w:rPr>
        <w:t>uture of Medibank Private</w:t>
      </w:r>
      <w:r w:rsidR="003972C9" w:rsidRPr="003972C9">
        <w:t xml:space="preserve"> </w:t>
      </w:r>
      <w:r w:rsidR="003972C9">
        <w:t>(</w:t>
      </w:r>
      <w:r w:rsidR="003972C9">
        <w:rPr>
          <w:lang w:val="en-AU"/>
        </w:rPr>
        <w:t xml:space="preserve">October 2014), </w:t>
      </w:r>
      <w:r w:rsidR="00135B37">
        <w:rPr>
          <w:rFonts w:eastAsiaTheme="minorHAnsi"/>
        </w:rPr>
        <w:t xml:space="preserve">accessed March 23, 2017, </w:t>
      </w:r>
      <w:r w:rsidR="00E24130" w:rsidRPr="001D1D1E">
        <w:rPr>
          <w:lang w:val="en-AU"/>
        </w:rPr>
        <w:t>www.medibank.com.au/content/dam/medibank/About-Us/pdfs/privatisation/Medibank-Private-Prospectus.pdf</w:t>
      </w:r>
      <w:r w:rsidR="00E24130">
        <w:rPr>
          <w:lang w:val="en-AU"/>
        </w:rPr>
        <w:t>.</w:t>
      </w:r>
    </w:p>
    <w:p w14:paraId="0AEAE801" w14:textId="77777777" w:rsidR="009218FA" w:rsidRPr="00565022" w:rsidRDefault="009218FA" w:rsidP="009218FA">
      <w:pPr>
        <w:rPr>
          <w:lang w:val="en-AU"/>
        </w:rPr>
      </w:pPr>
    </w:p>
    <w:p w14:paraId="70D32908" w14:textId="77777777" w:rsidR="004350B2" w:rsidRDefault="004350B2" w:rsidP="004350B2">
      <w:pPr>
        <w:pStyle w:val="Footnote"/>
      </w:pPr>
    </w:p>
    <w:p w14:paraId="6FD9FA5C" w14:textId="77777777" w:rsidR="004350B2" w:rsidRDefault="004350B2" w:rsidP="004350B2">
      <w:pPr>
        <w:pStyle w:val="Footnote"/>
      </w:pPr>
    </w:p>
    <w:p w14:paraId="5CF91402" w14:textId="77777777" w:rsidR="004350B2" w:rsidRDefault="004350B2" w:rsidP="004350B2">
      <w:pPr>
        <w:pStyle w:val="Footnote"/>
      </w:pPr>
    </w:p>
    <w:p w14:paraId="5A8182D7" w14:textId="77777777" w:rsidR="004350B2" w:rsidRDefault="004350B2" w:rsidP="004350B2">
      <w:pPr>
        <w:pStyle w:val="Footnote"/>
      </w:pPr>
    </w:p>
    <w:p w14:paraId="596B4A4C" w14:textId="77777777" w:rsidR="009218FA" w:rsidRPr="00565022" w:rsidRDefault="009218FA" w:rsidP="004350B2">
      <w:pPr>
        <w:pStyle w:val="ExhibitHeading"/>
      </w:pPr>
      <w:r>
        <w:lastRenderedPageBreak/>
        <w:t xml:space="preserve">Exhibit </w:t>
      </w:r>
      <w:r w:rsidR="004F0E33">
        <w:t>7</w:t>
      </w:r>
      <w:r w:rsidR="004350B2">
        <w:t xml:space="preserve">: </w:t>
      </w:r>
      <w:r w:rsidRPr="00565022">
        <w:t>TOP 10 P</w:t>
      </w:r>
      <w:r w:rsidR="00006348">
        <w:t xml:space="preserve">rivate </w:t>
      </w:r>
      <w:r w:rsidRPr="00565022">
        <w:t>H</w:t>
      </w:r>
      <w:r w:rsidR="00006348">
        <w:t xml:space="preserve">ealth </w:t>
      </w:r>
      <w:r w:rsidRPr="00565022">
        <w:t>I</w:t>
      </w:r>
      <w:r w:rsidR="00006348">
        <w:t>nsurance</w:t>
      </w:r>
      <w:r w:rsidRPr="00565022">
        <w:t xml:space="preserve"> INDUSTRY MARKET SHARE IN AUSTRALIA </w:t>
      </w:r>
      <w:r w:rsidRPr="00565022">
        <w:br/>
        <w:t>(ranked by number of policyholders)</w:t>
      </w:r>
    </w:p>
    <w:p w14:paraId="040E1A22" w14:textId="77777777" w:rsidR="009218FA" w:rsidRPr="00263A51" w:rsidRDefault="009218FA" w:rsidP="009218FA">
      <w:pPr>
        <w:jc w:val="center"/>
        <w:rPr>
          <w:b/>
          <w:sz w:val="6"/>
          <w:szCs w:val="6"/>
        </w:rPr>
      </w:pPr>
    </w:p>
    <w:p w14:paraId="2C0D39A2" w14:textId="77777777" w:rsidR="009218FA" w:rsidRPr="00565022" w:rsidRDefault="009218FA" w:rsidP="004350B2">
      <w:pPr>
        <w:jc w:val="center"/>
        <w:rPr>
          <w:lang w:val="en-AU"/>
        </w:rPr>
      </w:pPr>
      <w:r w:rsidRPr="00E32353">
        <w:rPr>
          <w:noProof/>
        </w:rPr>
        <w:drawing>
          <wp:inline distT="0" distB="0" distL="0" distR="0" wp14:anchorId="13F57534" wp14:editId="7D64F52E">
            <wp:extent cx="5443267" cy="2234241"/>
            <wp:effectExtent l="0" t="0" r="508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68C6EF" w14:textId="77777777" w:rsidR="009218FA" w:rsidRPr="00263A51" w:rsidRDefault="009218FA" w:rsidP="004350B2">
      <w:pPr>
        <w:pStyle w:val="Footnote"/>
        <w:rPr>
          <w:sz w:val="12"/>
          <w:szCs w:val="12"/>
          <w:lang w:val="en-AU"/>
        </w:rPr>
      </w:pPr>
    </w:p>
    <w:p w14:paraId="55B00CD1" w14:textId="456C94FF" w:rsidR="00176CBE" w:rsidRPr="009C0898" w:rsidRDefault="00176CBE" w:rsidP="00964DF6">
      <w:pPr>
        <w:pStyle w:val="Footnote"/>
        <w:rPr>
          <w:lang w:val="en-AU"/>
        </w:rPr>
      </w:pPr>
      <w:r>
        <w:rPr>
          <w:lang w:val="en-AU"/>
        </w:rPr>
        <w:t>Note: PHI = private health insurance; HCF =</w:t>
      </w:r>
      <w:r w:rsidR="0087159A">
        <w:rPr>
          <w:lang w:val="en-AU"/>
        </w:rPr>
        <w:t xml:space="preserve"> The Hospitals Contribution Fund of Australia; </w:t>
      </w:r>
      <w:r w:rsidRPr="009C0898">
        <w:rPr>
          <w:lang w:val="en-AU"/>
        </w:rPr>
        <w:t>NIB =</w:t>
      </w:r>
      <w:r w:rsidR="00964DF6" w:rsidRPr="009C0898">
        <w:rPr>
          <w:lang w:val="en-AU"/>
        </w:rPr>
        <w:t xml:space="preserve"> </w:t>
      </w:r>
      <w:r w:rsidR="00964DF6" w:rsidRPr="009C0898">
        <w:t xml:space="preserve">NIB Health Funds Ltd.; </w:t>
      </w:r>
      <w:r w:rsidRPr="009C0898">
        <w:rPr>
          <w:lang w:val="en-AU"/>
        </w:rPr>
        <w:t xml:space="preserve">HBF = </w:t>
      </w:r>
      <w:r w:rsidR="00964DF6" w:rsidRPr="009C0898">
        <w:t>HBF Health Limited;</w:t>
      </w:r>
      <w:r w:rsidRPr="009C0898">
        <w:rPr>
          <w:lang w:val="en-AU"/>
        </w:rPr>
        <w:t xml:space="preserve"> GMHBA = </w:t>
      </w:r>
      <w:r w:rsidR="00964DF6" w:rsidRPr="009C0898">
        <w:rPr>
          <w:lang w:val="en-AU"/>
        </w:rPr>
        <w:t>GMHBA Limited</w:t>
      </w:r>
      <w:r w:rsidRPr="009C0898">
        <w:rPr>
          <w:lang w:val="en-AU"/>
        </w:rPr>
        <w:t>; CBHS =</w:t>
      </w:r>
      <w:r w:rsidR="00964DF6" w:rsidRPr="009C0898">
        <w:rPr>
          <w:lang w:val="en-AU"/>
        </w:rPr>
        <w:t xml:space="preserve"> Corporate Health Property Limited</w:t>
      </w:r>
      <w:r w:rsidR="005164AE">
        <w:rPr>
          <w:lang w:val="en-AU"/>
        </w:rPr>
        <w:t>.</w:t>
      </w:r>
    </w:p>
    <w:p w14:paraId="58A47273" w14:textId="498AF048" w:rsidR="009218FA" w:rsidRPr="00565022" w:rsidRDefault="009218FA" w:rsidP="004350B2">
      <w:pPr>
        <w:pStyle w:val="Footnote"/>
        <w:rPr>
          <w:lang w:val="en-AU"/>
        </w:rPr>
      </w:pPr>
      <w:r w:rsidRPr="009C0898">
        <w:rPr>
          <w:lang w:val="en-AU"/>
        </w:rPr>
        <w:t xml:space="preserve">Source: </w:t>
      </w:r>
      <w:r w:rsidR="00006348" w:rsidRPr="009C0898">
        <w:rPr>
          <w:lang w:val="en-AU"/>
        </w:rPr>
        <w:t>M</w:t>
      </w:r>
      <w:r w:rsidRPr="009C0898">
        <w:rPr>
          <w:lang w:val="en-AU"/>
        </w:rPr>
        <w:t xml:space="preserve">odified from </w:t>
      </w:r>
      <w:r w:rsidR="00FF582F">
        <w:rPr>
          <w:lang w:val="en-AU"/>
        </w:rPr>
        <w:t xml:space="preserve">Medibank Private, </w:t>
      </w:r>
      <w:r w:rsidR="00FF582F" w:rsidRPr="00C35632">
        <w:rPr>
          <w:i/>
        </w:rPr>
        <w:t xml:space="preserve">Share in the </w:t>
      </w:r>
      <w:r w:rsidR="00FF582F">
        <w:rPr>
          <w:i/>
        </w:rPr>
        <w:t>F</w:t>
      </w:r>
      <w:r w:rsidR="00FF582F" w:rsidRPr="00C35632">
        <w:rPr>
          <w:i/>
        </w:rPr>
        <w:t>uture of Medibank Private</w:t>
      </w:r>
      <w:r w:rsidR="00FF582F" w:rsidRPr="003972C9">
        <w:t xml:space="preserve"> </w:t>
      </w:r>
      <w:r w:rsidR="00FF582F">
        <w:t>(</w:t>
      </w:r>
      <w:r w:rsidR="00FF582F">
        <w:rPr>
          <w:lang w:val="en-AU"/>
        </w:rPr>
        <w:t>October 2014),</w:t>
      </w:r>
      <w:r w:rsidR="00E24130">
        <w:rPr>
          <w:lang w:val="en-AU"/>
        </w:rPr>
        <w:t xml:space="preserve"> </w:t>
      </w:r>
      <w:r w:rsidR="00135B37">
        <w:rPr>
          <w:rFonts w:eastAsiaTheme="minorHAnsi"/>
        </w:rPr>
        <w:t xml:space="preserve">accessed March 23, 2017, </w:t>
      </w:r>
      <w:r w:rsidR="00E24130" w:rsidRPr="001D1D1E">
        <w:rPr>
          <w:lang w:val="en-AU"/>
        </w:rPr>
        <w:t>www.medibank.com.au/content/dam/medibank/About-Us/pdfs/privatisation/Medibank-Private-Prospectus.pdf</w:t>
      </w:r>
      <w:r w:rsidR="00E24130">
        <w:rPr>
          <w:lang w:val="en-AU"/>
        </w:rPr>
        <w:t>.</w:t>
      </w:r>
    </w:p>
    <w:p w14:paraId="37C78563" w14:textId="77777777" w:rsidR="009218FA" w:rsidRPr="00263A51" w:rsidRDefault="009218FA" w:rsidP="00263A51">
      <w:pPr>
        <w:pStyle w:val="Footnote"/>
      </w:pPr>
    </w:p>
    <w:p w14:paraId="7C54F81C" w14:textId="77777777" w:rsidR="009218FA" w:rsidRPr="00263A51" w:rsidRDefault="009218FA" w:rsidP="00263A51">
      <w:pPr>
        <w:pStyle w:val="Footnote"/>
      </w:pPr>
    </w:p>
    <w:p w14:paraId="017815DC" w14:textId="5A6049D4" w:rsidR="009218FA" w:rsidRDefault="009218FA" w:rsidP="004350B2">
      <w:pPr>
        <w:pStyle w:val="ExhibitHeading"/>
      </w:pPr>
      <w:r>
        <w:t xml:space="preserve">Exhibit </w:t>
      </w:r>
      <w:r w:rsidR="004F0E33">
        <w:t>8</w:t>
      </w:r>
      <w:r w:rsidR="004350B2">
        <w:t xml:space="preserve">: </w:t>
      </w:r>
      <w:r w:rsidR="00006348">
        <w:t>assumptions for medibank’s five-</w:t>
      </w:r>
      <w:r w:rsidRPr="00565022">
        <w:t>YEAR OUTLOOK</w:t>
      </w:r>
    </w:p>
    <w:p w14:paraId="76EB4B0C" w14:textId="77777777" w:rsidR="004350B2" w:rsidRPr="00263A51" w:rsidRDefault="004350B2" w:rsidP="004350B2">
      <w:pPr>
        <w:pStyle w:val="ExhibitHeading"/>
        <w:rPr>
          <w:sz w:val="12"/>
          <w:szCs w:val="12"/>
          <w:lang w:val="en-AU"/>
        </w:rPr>
      </w:pPr>
    </w:p>
    <w:tbl>
      <w:tblPr>
        <w:tblW w:w="8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374"/>
        <w:gridCol w:w="977"/>
        <w:gridCol w:w="977"/>
        <w:gridCol w:w="977"/>
        <w:gridCol w:w="978"/>
        <w:gridCol w:w="977"/>
      </w:tblGrid>
      <w:tr w:rsidR="009218FA" w14:paraId="0AAD7B0D" w14:textId="77777777" w:rsidTr="001A359C">
        <w:trPr>
          <w:trHeight w:val="405"/>
          <w:jc w:val="center"/>
        </w:trPr>
        <w:tc>
          <w:tcPr>
            <w:tcW w:w="3374" w:type="dxa"/>
            <w:vAlign w:val="center"/>
          </w:tcPr>
          <w:p w14:paraId="3BAAF90E" w14:textId="77777777" w:rsidR="009218FA" w:rsidRPr="004350B2" w:rsidRDefault="009218FA" w:rsidP="009218FA">
            <w:pPr>
              <w:widowControl w:val="0"/>
              <w:autoSpaceDE w:val="0"/>
              <w:autoSpaceDN w:val="0"/>
              <w:adjustRightInd w:val="0"/>
              <w:rPr>
                <w:rFonts w:ascii="Arial" w:hAnsi="Arial" w:cs="Arial"/>
                <w:b/>
                <w:bCs/>
                <w:color w:val="000000"/>
                <w:sz w:val="18"/>
                <w:szCs w:val="18"/>
              </w:rPr>
            </w:pPr>
            <w:r w:rsidRPr="004350B2">
              <w:rPr>
                <w:rFonts w:ascii="Arial" w:hAnsi="Arial" w:cs="Arial"/>
                <w:b/>
                <w:bCs/>
                <w:color w:val="000000"/>
                <w:sz w:val="18"/>
                <w:szCs w:val="18"/>
              </w:rPr>
              <w:t>Assumption</w:t>
            </w:r>
          </w:p>
        </w:tc>
        <w:tc>
          <w:tcPr>
            <w:tcW w:w="977" w:type="dxa"/>
            <w:shd w:val="solid" w:color="FFFFFF" w:fill="auto"/>
            <w:vAlign w:val="center"/>
          </w:tcPr>
          <w:p w14:paraId="29217078" w14:textId="25351A60" w:rsidR="009218FA" w:rsidRPr="004350B2" w:rsidRDefault="009218FA" w:rsidP="009218FA">
            <w:pPr>
              <w:widowControl w:val="0"/>
              <w:autoSpaceDE w:val="0"/>
              <w:autoSpaceDN w:val="0"/>
              <w:adjustRightInd w:val="0"/>
              <w:jc w:val="center"/>
              <w:rPr>
                <w:rFonts w:ascii="Arial" w:hAnsi="Arial" w:cs="Arial"/>
                <w:color w:val="000000"/>
                <w:sz w:val="18"/>
                <w:szCs w:val="18"/>
              </w:rPr>
            </w:pPr>
            <w:r w:rsidRPr="004350B2">
              <w:rPr>
                <w:rFonts w:ascii="Arial" w:hAnsi="Arial" w:cs="Arial"/>
                <w:color w:val="000000"/>
                <w:sz w:val="18"/>
                <w:szCs w:val="18"/>
              </w:rPr>
              <w:t>FY</w:t>
            </w:r>
            <w:r w:rsidR="00176CBE">
              <w:rPr>
                <w:rFonts w:ascii="Arial" w:hAnsi="Arial" w:cs="Arial"/>
                <w:color w:val="000000"/>
                <w:sz w:val="18"/>
                <w:szCs w:val="18"/>
              </w:rPr>
              <w:t xml:space="preserve"> </w:t>
            </w:r>
            <w:r w:rsidRPr="004350B2">
              <w:rPr>
                <w:rFonts w:ascii="Arial" w:hAnsi="Arial" w:cs="Arial"/>
                <w:color w:val="000000"/>
                <w:sz w:val="18"/>
                <w:szCs w:val="18"/>
              </w:rPr>
              <w:t>2015</w:t>
            </w:r>
          </w:p>
        </w:tc>
        <w:tc>
          <w:tcPr>
            <w:tcW w:w="977" w:type="dxa"/>
            <w:shd w:val="solid" w:color="FFFFFF" w:fill="auto"/>
            <w:vAlign w:val="center"/>
          </w:tcPr>
          <w:p w14:paraId="02E47208" w14:textId="01419744" w:rsidR="009218FA" w:rsidRPr="004350B2" w:rsidRDefault="009218FA" w:rsidP="009218FA">
            <w:pPr>
              <w:widowControl w:val="0"/>
              <w:autoSpaceDE w:val="0"/>
              <w:autoSpaceDN w:val="0"/>
              <w:adjustRightInd w:val="0"/>
              <w:jc w:val="center"/>
              <w:rPr>
                <w:rFonts w:ascii="Arial" w:hAnsi="Arial" w:cs="Arial"/>
                <w:color w:val="000000"/>
                <w:sz w:val="18"/>
                <w:szCs w:val="18"/>
              </w:rPr>
            </w:pPr>
            <w:r w:rsidRPr="004350B2">
              <w:rPr>
                <w:rFonts w:ascii="Arial" w:hAnsi="Arial" w:cs="Arial"/>
                <w:color w:val="000000"/>
                <w:sz w:val="18"/>
                <w:szCs w:val="18"/>
              </w:rPr>
              <w:t>FY</w:t>
            </w:r>
            <w:r w:rsidR="00176CBE">
              <w:rPr>
                <w:rFonts w:ascii="Arial" w:hAnsi="Arial" w:cs="Arial"/>
                <w:color w:val="000000"/>
                <w:sz w:val="18"/>
                <w:szCs w:val="18"/>
              </w:rPr>
              <w:t xml:space="preserve"> </w:t>
            </w:r>
            <w:r w:rsidRPr="004350B2">
              <w:rPr>
                <w:rFonts w:ascii="Arial" w:hAnsi="Arial" w:cs="Arial"/>
                <w:color w:val="000000"/>
                <w:sz w:val="18"/>
                <w:szCs w:val="18"/>
              </w:rPr>
              <w:t>2016</w:t>
            </w:r>
          </w:p>
        </w:tc>
        <w:tc>
          <w:tcPr>
            <w:tcW w:w="977" w:type="dxa"/>
            <w:shd w:val="solid" w:color="FFFFFF" w:fill="auto"/>
            <w:vAlign w:val="center"/>
          </w:tcPr>
          <w:p w14:paraId="10F7467F" w14:textId="4C54BCA2" w:rsidR="009218FA" w:rsidRPr="004350B2" w:rsidRDefault="009218FA" w:rsidP="009218FA">
            <w:pPr>
              <w:widowControl w:val="0"/>
              <w:autoSpaceDE w:val="0"/>
              <w:autoSpaceDN w:val="0"/>
              <w:adjustRightInd w:val="0"/>
              <w:jc w:val="center"/>
              <w:rPr>
                <w:rFonts w:ascii="Arial" w:hAnsi="Arial" w:cs="Arial"/>
                <w:color w:val="000000"/>
                <w:sz w:val="18"/>
                <w:szCs w:val="18"/>
              </w:rPr>
            </w:pPr>
            <w:r w:rsidRPr="004350B2">
              <w:rPr>
                <w:rFonts w:ascii="Arial" w:hAnsi="Arial" w:cs="Arial"/>
                <w:color w:val="000000"/>
                <w:sz w:val="18"/>
                <w:szCs w:val="18"/>
              </w:rPr>
              <w:t>FY</w:t>
            </w:r>
            <w:r w:rsidR="00176CBE">
              <w:rPr>
                <w:rFonts w:ascii="Arial" w:hAnsi="Arial" w:cs="Arial"/>
                <w:color w:val="000000"/>
                <w:sz w:val="18"/>
                <w:szCs w:val="18"/>
              </w:rPr>
              <w:t xml:space="preserve"> </w:t>
            </w:r>
            <w:r w:rsidRPr="004350B2">
              <w:rPr>
                <w:rFonts w:ascii="Arial" w:hAnsi="Arial" w:cs="Arial"/>
                <w:color w:val="000000"/>
                <w:sz w:val="18"/>
                <w:szCs w:val="18"/>
              </w:rPr>
              <w:t>2017</w:t>
            </w:r>
          </w:p>
        </w:tc>
        <w:tc>
          <w:tcPr>
            <w:tcW w:w="978" w:type="dxa"/>
            <w:shd w:val="solid" w:color="FFFFFF" w:fill="auto"/>
            <w:vAlign w:val="center"/>
          </w:tcPr>
          <w:p w14:paraId="79582258" w14:textId="69D55DC7" w:rsidR="009218FA" w:rsidRPr="004350B2" w:rsidRDefault="009218FA" w:rsidP="009218FA">
            <w:pPr>
              <w:widowControl w:val="0"/>
              <w:autoSpaceDE w:val="0"/>
              <w:autoSpaceDN w:val="0"/>
              <w:adjustRightInd w:val="0"/>
              <w:jc w:val="center"/>
              <w:rPr>
                <w:rFonts w:ascii="Arial" w:hAnsi="Arial" w:cs="Arial"/>
                <w:color w:val="000000"/>
                <w:sz w:val="18"/>
                <w:szCs w:val="18"/>
              </w:rPr>
            </w:pPr>
            <w:r w:rsidRPr="004350B2">
              <w:rPr>
                <w:rFonts w:ascii="Arial" w:hAnsi="Arial" w:cs="Arial"/>
                <w:color w:val="000000"/>
                <w:sz w:val="18"/>
                <w:szCs w:val="18"/>
              </w:rPr>
              <w:t>FY</w:t>
            </w:r>
            <w:r w:rsidR="00176CBE">
              <w:rPr>
                <w:rFonts w:ascii="Arial" w:hAnsi="Arial" w:cs="Arial"/>
                <w:color w:val="000000"/>
                <w:sz w:val="18"/>
                <w:szCs w:val="18"/>
              </w:rPr>
              <w:t xml:space="preserve"> </w:t>
            </w:r>
            <w:r w:rsidRPr="004350B2">
              <w:rPr>
                <w:rFonts w:ascii="Arial" w:hAnsi="Arial" w:cs="Arial"/>
                <w:color w:val="000000"/>
                <w:sz w:val="18"/>
                <w:szCs w:val="18"/>
              </w:rPr>
              <w:t>2018</w:t>
            </w:r>
          </w:p>
        </w:tc>
        <w:tc>
          <w:tcPr>
            <w:tcW w:w="977" w:type="dxa"/>
            <w:shd w:val="solid" w:color="FFFFFF" w:fill="auto"/>
            <w:vAlign w:val="center"/>
          </w:tcPr>
          <w:p w14:paraId="452A8141" w14:textId="397B992C" w:rsidR="009218FA" w:rsidRPr="004350B2" w:rsidRDefault="009218FA" w:rsidP="009218FA">
            <w:pPr>
              <w:widowControl w:val="0"/>
              <w:autoSpaceDE w:val="0"/>
              <w:autoSpaceDN w:val="0"/>
              <w:adjustRightInd w:val="0"/>
              <w:jc w:val="center"/>
              <w:rPr>
                <w:rFonts w:ascii="Arial" w:hAnsi="Arial" w:cs="Arial"/>
                <w:color w:val="000000"/>
                <w:sz w:val="18"/>
                <w:szCs w:val="18"/>
              </w:rPr>
            </w:pPr>
            <w:r w:rsidRPr="004350B2">
              <w:rPr>
                <w:rFonts w:ascii="Arial" w:hAnsi="Arial" w:cs="Arial"/>
                <w:color w:val="000000"/>
                <w:sz w:val="18"/>
                <w:szCs w:val="18"/>
              </w:rPr>
              <w:t>FY</w:t>
            </w:r>
            <w:r w:rsidR="00176CBE">
              <w:rPr>
                <w:rFonts w:ascii="Arial" w:hAnsi="Arial" w:cs="Arial"/>
                <w:color w:val="000000"/>
                <w:sz w:val="18"/>
                <w:szCs w:val="18"/>
              </w:rPr>
              <w:t xml:space="preserve"> </w:t>
            </w:r>
            <w:r w:rsidRPr="004350B2">
              <w:rPr>
                <w:rFonts w:ascii="Arial" w:hAnsi="Arial" w:cs="Arial"/>
                <w:color w:val="000000"/>
                <w:sz w:val="18"/>
                <w:szCs w:val="18"/>
              </w:rPr>
              <w:t>2019</w:t>
            </w:r>
          </w:p>
        </w:tc>
      </w:tr>
      <w:tr w:rsidR="009218FA" w14:paraId="5C7DF827" w14:textId="77777777" w:rsidTr="001A359C">
        <w:trPr>
          <w:trHeight w:val="405"/>
          <w:jc w:val="center"/>
        </w:trPr>
        <w:tc>
          <w:tcPr>
            <w:tcW w:w="3374" w:type="dxa"/>
            <w:vAlign w:val="center"/>
          </w:tcPr>
          <w:p w14:paraId="3C564C6F" w14:textId="77777777" w:rsidR="009218FA" w:rsidRPr="00176CBE" w:rsidRDefault="009218FA" w:rsidP="009218FA">
            <w:pPr>
              <w:widowControl w:val="0"/>
              <w:autoSpaceDE w:val="0"/>
              <w:autoSpaceDN w:val="0"/>
              <w:adjustRightInd w:val="0"/>
              <w:rPr>
                <w:rFonts w:ascii="Arial" w:hAnsi="Arial" w:cs="Arial"/>
                <w:bCs/>
                <w:color w:val="000000"/>
                <w:sz w:val="18"/>
                <w:szCs w:val="18"/>
              </w:rPr>
            </w:pPr>
            <w:r w:rsidRPr="00176CBE">
              <w:rPr>
                <w:rFonts w:ascii="Arial" w:hAnsi="Arial" w:cs="Arial"/>
                <w:bCs/>
                <w:color w:val="000000"/>
                <w:sz w:val="18"/>
                <w:szCs w:val="18"/>
              </w:rPr>
              <w:t>Revenue growth</w:t>
            </w:r>
          </w:p>
        </w:tc>
        <w:tc>
          <w:tcPr>
            <w:tcW w:w="977" w:type="dxa"/>
            <w:vAlign w:val="center"/>
          </w:tcPr>
          <w:p w14:paraId="55BF0654" w14:textId="77777777" w:rsidR="009218FA" w:rsidRPr="004350B2" w:rsidRDefault="009218FA" w:rsidP="00176CBE">
            <w:pPr>
              <w:widowControl w:val="0"/>
              <w:autoSpaceDE w:val="0"/>
              <w:autoSpaceDN w:val="0"/>
              <w:adjustRightInd w:val="0"/>
              <w:jc w:val="right"/>
              <w:rPr>
                <w:rFonts w:ascii="Arial" w:hAnsi="Arial" w:cs="Arial"/>
                <w:color w:val="000000"/>
                <w:sz w:val="18"/>
                <w:szCs w:val="18"/>
              </w:rPr>
            </w:pPr>
            <w:r w:rsidRPr="004350B2">
              <w:rPr>
                <w:rFonts w:ascii="Arial" w:hAnsi="Arial" w:cs="Arial"/>
                <w:color w:val="000000"/>
                <w:sz w:val="18"/>
                <w:szCs w:val="18"/>
              </w:rPr>
              <w:t>6.00%</w:t>
            </w:r>
          </w:p>
        </w:tc>
        <w:tc>
          <w:tcPr>
            <w:tcW w:w="977" w:type="dxa"/>
            <w:vAlign w:val="center"/>
          </w:tcPr>
          <w:p w14:paraId="1C62B3B6" w14:textId="77777777" w:rsidR="009218FA" w:rsidRPr="004350B2" w:rsidRDefault="009218FA" w:rsidP="00176CBE">
            <w:pPr>
              <w:widowControl w:val="0"/>
              <w:autoSpaceDE w:val="0"/>
              <w:autoSpaceDN w:val="0"/>
              <w:adjustRightInd w:val="0"/>
              <w:jc w:val="right"/>
              <w:rPr>
                <w:rFonts w:ascii="Arial" w:hAnsi="Arial" w:cs="Arial"/>
                <w:color w:val="000000"/>
                <w:sz w:val="18"/>
                <w:szCs w:val="18"/>
              </w:rPr>
            </w:pPr>
            <w:r w:rsidRPr="004350B2">
              <w:rPr>
                <w:rFonts w:ascii="Arial" w:hAnsi="Arial" w:cs="Arial"/>
                <w:color w:val="000000"/>
                <w:sz w:val="18"/>
                <w:szCs w:val="18"/>
              </w:rPr>
              <w:t>6.00%</w:t>
            </w:r>
          </w:p>
        </w:tc>
        <w:tc>
          <w:tcPr>
            <w:tcW w:w="977" w:type="dxa"/>
            <w:vAlign w:val="center"/>
          </w:tcPr>
          <w:p w14:paraId="119515E0" w14:textId="77777777" w:rsidR="009218FA" w:rsidRPr="004350B2" w:rsidRDefault="009218FA" w:rsidP="00176CBE">
            <w:pPr>
              <w:widowControl w:val="0"/>
              <w:autoSpaceDE w:val="0"/>
              <w:autoSpaceDN w:val="0"/>
              <w:adjustRightInd w:val="0"/>
              <w:jc w:val="right"/>
              <w:rPr>
                <w:rFonts w:ascii="Arial" w:hAnsi="Arial" w:cs="Arial"/>
                <w:color w:val="000000"/>
                <w:sz w:val="18"/>
                <w:szCs w:val="18"/>
              </w:rPr>
            </w:pPr>
            <w:r w:rsidRPr="004350B2">
              <w:rPr>
                <w:rFonts w:ascii="Arial" w:hAnsi="Arial" w:cs="Arial"/>
                <w:color w:val="000000"/>
                <w:sz w:val="18"/>
                <w:szCs w:val="18"/>
              </w:rPr>
              <w:t>5.75%</w:t>
            </w:r>
          </w:p>
        </w:tc>
        <w:tc>
          <w:tcPr>
            <w:tcW w:w="978" w:type="dxa"/>
            <w:vAlign w:val="center"/>
          </w:tcPr>
          <w:p w14:paraId="1F74F42A" w14:textId="77777777" w:rsidR="009218FA" w:rsidRPr="004350B2" w:rsidRDefault="009218FA" w:rsidP="00176CBE">
            <w:pPr>
              <w:widowControl w:val="0"/>
              <w:autoSpaceDE w:val="0"/>
              <w:autoSpaceDN w:val="0"/>
              <w:adjustRightInd w:val="0"/>
              <w:jc w:val="right"/>
              <w:rPr>
                <w:rFonts w:ascii="Arial" w:hAnsi="Arial" w:cs="Arial"/>
                <w:color w:val="000000"/>
                <w:sz w:val="18"/>
                <w:szCs w:val="18"/>
              </w:rPr>
            </w:pPr>
            <w:r w:rsidRPr="004350B2">
              <w:rPr>
                <w:rFonts w:ascii="Arial" w:hAnsi="Arial" w:cs="Arial"/>
                <w:color w:val="000000"/>
                <w:sz w:val="18"/>
                <w:szCs w:val="18"/>
              </w:rPr>
              <w:t>5.75%</w:t>
            </w:r>
          </w:p>
        </w:tc>
        <w:tc>
          <w:tcPr>
            <w:tcW w:w="977" w:type="dxa"/>
            <w:vAlign w:val="center"/>
          </w:tcPr>
          <w:p w14:paraId="64C7B52A" w14:textId="77777777" w:rsidR="009218FA" w:rsidRPr="004350B2" w:rsidRDefault="009218FA" w:rsidP="00176CBE">
            <w:pPr>
              <w:widowControl w:val="0"/>
              <w:autoSpaceDE w:val="0"/>
              <w:autoSpaceDN w:val="0"/>
              <w:adjustRightInd w:val="0"/>
              <w:jc w:val="right"/>
              <w:rPr>
                <w:rFonts w:ascii="Arial" w:hAnsi="Arial" w:cs="Arial"/>
                <w:color w:val="000000"/>
                <w:sz w:val="18"/>
                <w:szCs w:val="18"/>
              </w:rPr>
            </w:pPr>
            <w:r w:rsidRPr="004350B2">
              <w:rPr>
                <w:rFonts w:ascii="Arial" w:hAnsi="Arial" w:cs="Arial"/>
                <w:color w:val="000000"/>
                <w:sz w:val="18"/>
                <w:szCs w:val="18"/>
              </w:rPr>
              <w:t>5.75%</w:t>
            </w:r>
          </w:p>
        </w:tc>
      </w:tr>
      <w:tr w:rsidR="009218FA" w14:paraId="01878EEE" w14:textId="77777777" w:rsidTr="001A359C">
        <w:trPr>
          <w:trHeight w:val="405"/>
          <w:jc w:val="center"/>
        </w:trPr>
        <w:tc>
          <w:tcPr>
            <w:tcW w:w="3374" w:type="dxa"/>
            <w:vAlign w:val="center"/>
          </w:tcPr>
          <w:p w14:paraId="67A5DF96" w14:textId="77777777" w:rsidR="009218FA" w:rsidRPr="00176CBE" w:rsidRDefault="009218FA" w:rsidP="009218FA">
            <w:pPr>
              <w:widowControl w:val="0"/>
              <w:autoSpaceDE w:val="0"/>
              <w:autoSpaceDN w:val="0"/>
              <w:adjustRightInd w:val="0"/>
              <w:rPr>
                <w:rFonts w:ascii="Arial" w:hAnsi="Arial" w:cs="Arial"/>
                <w:bCs/>
                <w:color w:val="000000"/>
                <w:sz w:val="18"/>
                <w:szCs w:val="18"/>
              </w:rPr>
            </w:pPr>
            <w:r w:rsidRPr="00176CBE">
              <w:rPr>
                <w:rFonts w:ascii="Arial" w:hAnsi="Arial" w:cs="Arial"/>
                <w:bCs/>
                <w:color w:val="000000"/>
                <w:sz w:val="18"/>
                <w:szCs w:val="18"/>
              </w:rPr>
              <w:t>EBITDA margin</w:t>
            </w:r>
          </w:p>
        </w:tc>
        <w:tc>
          <w:tcPr>
            <w:tcW w:w="977" w:type="dxa"/>
            <w:vAlign w:val="center"/>
          </w:tcPr>
          <w:p w14:paraId="617F5B27" w14:textId="77777777" w:rsidR="009218FA" w:rsidRPr="004350B2" w:rsidRDefault="009218FA" w:rsidP="00176CBE">
            <w:pPr>
              <w:widowControl w:val="0"/>
              <w:autoSpaceDE w:val="0"/>
              <w:autoSpaceDN w:val="0"/>
              <w:adjustRightInd w:val="0"/>
              <w:jc w:val="right"/>
              <w:rPr>
                <w:rFonts w:ascii="Arial" w:hAnsi="Arial" w:cs="Arial"/>
                <w:color w:val="000000"/>
                <w:sz w:val="18"/>
                <w:szCs w:val="18"/>
              </w:rPr>
            </w:pPr>
            <w:r w:rsidRPr="004350B2">
              <w:rPr>
                <w:rFonts w:ascii="Arial" w:hAnsi="Arial" w:cs="Arial"/>
                <w:color w:val="000000"/>
                <w:sz w:val="18"/>
                <w:szCs w:val="18"/>
              </w:rPr>
              <w:t>6.00%</w:t>
            </w:r>
          </w:p>
        </w:tc>
        <w:tc>
          <w:tcPr>
            <w:tcW w:w="977" w:type="dxa"/>
            <w:vAlign w:val="center"/>
          </w:tcPr>
          <w:p w14:paraId="6DD8C2F4" w14:textId="77777777" w:rsidR="009218FA" w:rsidRPr="004350B2" w:rsidRDefault="009218FA" w:rsidP="00176CBE">
            <w:pPr>
              <w:widowControl w:val="0"/>
              <w:autoSpaceDE w:val="0"/>
              <w:autoSpaceDN w:val="0"/>
              <w:adjustRightInd w:val="0"/>
              <w:jc w:val="right"/>
              <w:rPr>
                <w:rFonts w:ascii="Arial" w:hAnsi="Arial" w:cs="Arial"/>
                <w:color w:val="000000"/>
                <w:sz w:val="18"/>
                <w:szCs w:val="18"/>
              </w:rPr>
            </w:pPr>
            <w:r w:rsidRPr="004350B2">
              <w:rPr>
                <w:rFonts w:ascii="Arial" w:hAnsi="Arial" w:cs="Arial"/>
                <w:color w:val="000000"/>
                <w:sz w:val="18"/>
                <w:szCs w:val="18"/>
              </w:rPr>
              <w:t>6.00%</w:t>
            </w:r>
          </w:p>
        </w:tc>
        <w:tc>
          <w:tcPr>
            <w:tcW w:w="977" w:type="dxa"/>
            <w:vAlign w:val="center"/>
          </w:tcPr>
          <w:p w14:paraId="2FBBF80A" w14:textId="77777777" w:rsidR="009218FA" w:rsidRPr="004350B2" w:rsidRDefault="009218FA" w:rsidP="00176CBE">
            <w:pPr>
              <w:widowControl w:val="0"/>
              <w:autoSpaceDE w:val="0"/>
              <w:autoSpaceDN w:val="0"/>
              <w:adjustRightInd w:val="0"/>
              <w:jc w:val="right"/>
              <w:rPr>
                <w:rFonts w:ascii="Arial" w:hAnsi="Arial" w:cs="Arial"/>
                <w:color w:val="000000"/>
                <w:sz w:val="18"/>
                <w:szCs w:val="18"/>
              </w:rPr>
            </w:pPr>
            <w:r w:rsidRPr="004350B2">
              <w:rPr>
                <w:rFonts w:ascii="Arial" w:hAnsi="Arial" w:cs="Arial"/>
                <w:color w:val="000000"/>
                <w:sz w:val="18"/>
                <w:szCs w:val="18"/>
              </w:rPr>
              <w:t>6.00%</w:t>
            </w:r>
          </w:p>
        </w:tc>
        <w:tc>
          <w:tcPr>
            <w:tcW w:w="978" w:type="dxa"/>
            <w:vAlign w:val="center"/>
          </w:tcPr>
          <w:p w14:paraId="5927529A" w14:textId="77777777" w:rsidR="009218FA" w:rsidRPr="004350B2" w:rsidRDefault="009218FA" w:rsidP="00176CBE">
            <w:pPr>
              <w:widowControl w:val="0"/>
              <w:autoSpaceDE w:val="0"/>
              <w:autoSpaceDN w:val="0"/>
              <w:adjustRightInd w:val="0"/>
              <w:jc w:val="right"/>
              <w:rPr>
                <w:rFonts w:ascii="Arial" w:hAnsi="Arial" w:cs="Arial"/>
                <w:color w:val="000000"/>
                <w:sz w:val="18"/>
                <w:szCs w:val="18"/>
              </w:rPr>
            </w:pPr>
            <w:r w:rsidRPr="004350B2">
              <w:rPr>
                <w:rFonts w:ascii="Arial" w:hAnsi="Arial" w:cs="Arial"/>
                <w:color w:val="000000"/>
                <w:sz w:val="18"/>
                <w:szCs w:val="18"/>
              </w:rPr>
              <w:t>6.00%</w:t>
            </w:r>
          </w:p>
        </w:tc>
        <w:tc>
          <w:tcPr>
            <w:tcW w:w="977" w:type="dxa"/>
            <w:vAlign w:val="center"/>
          </w:tcPr>
          <w:p w14:paraId="5498B5E9" w14:textId="77777777" w:rsidR="009218FA" w:rsidRPr="004350B2" w:rsidRDefault="009218FA" w:rsidP="00176CBE">
            <w:pPr>
              <w:widowControl w:val="0"/>
              <w:autoSpaceDE w:val="0"/>
              <w:autoSpaceDN w:val="0"/>
              <w:adjustRightInd w:val="0"/>
              <w:jc w:val="right"/>
              <w:rPr>
                <w:rFonts w:ascii="Arial" w:hAnsi="Arial" w:cs="Arial"/>
                <w:color w:val="000000"/>
                <w:sz w:val="18"/>
                <w:szCs w:val="18"/>
              </w:rPr>
            </w:pPr>
            <w:r w:rsidRPr="004350B2">
              <w:rPr>
                <w:rFonts w:ascii="Arial" w:hAnsi="Arial" w:cs="Arial"/>
                <w:color w:val="000000"/>
                <w:sz w:val="18"/>
                <w:szCs w:val="18"/>
              </w:rPr>
              <w:t>6.00%</w:t>
            </w:r>
          </w:p>
        </w:tc>
      </w:tr>
      <w:tr w:rsidR="009218FA" w14:paraId="4E173858" w14:textId="77777777" w:rsidTr="001A359C">
        <w:trPr>
          <w:trHeight w:val="405"/>
          <w:jc w:val="center"/>
        </w:trPr>
        <w:tc>
          <w:tcPr>
            <w:tcW w:w="3374" w:type="dxa"/>
            <w:vAlign w:val="center"/>
          </w:tcPr>
          <w:p w14:paraId="4882E76C" w14:textId="5B2DB164" w:rsidR="009218FA" w:rsidRPr="00176CBE" w:rsidRDefault="009218FA" w:rsidP="00263A51">
            <w:pPr>
              <w:widowControl w:val="0"/>
              <w:autoSpaceDE w:val="0"/>
              <w:autoSpaceDN w:val="0"/>
              <w:adjustRightInd w:val="0"/>
              <w:rPr>
                <w:rFonts w:ascii="Arial" w:hAnsi="Arial" w:cs="Arial"/>
                <w:bCs/>
                <w:color w:val="000000"/>
                <w:sz w:val="18"/>
                <w:szCs w:val="18"/>
              </w:rPr>
            </w:pPr>
            <w:r w:rsidRPr="00176CBE">
              <w:rPr>
                <w:rFonts w:ascii="Arial" w:hAnsi="Arial" w:cs="Arial"/>
                <w:bCs/>
                <w:color w:val="000000"/>
                <w:sz w:val="18"/>
                <w:szCs w:val="18"/>
              </w:rPr>
              <w:t>Changes in working capital (</w:t>
            </w:r>
            <w:r w:rsidR="00A15912" w:rsidRPr="00176CBE">
              <w:rPr>
                <w:rFonts w:ascii="Arial" w:hAnsi="Arial" w:cs="Arial"/>
                <w:bCs/>
                <w:color w:val="000000"/>
                <w:sz w:val="18"/>
                <w:szCs w:val="18"/>
              </w:rPr>
              <w:t>million AU</w:t>
            </w:r>
            <w:r w:rsidR="00263A51">
              <w:rPr>
                <w:rFonts w:ascii="Arial" w:hAnsi="Arial" w:cs="Arial"/>
                <w:bCs/>
                <w:color w:val="000000"/>
                <w:sz w:val="18"/>
                <w:szCs w:val="18"/>
              </w:rPr>
              <w:t>$</w:t>
            </w:r>
            <w:r w:rsidRPr="00176CBE">
              <w:rPr>
                <w:rFonts w:ascii="Arial" w:hAnsi="Arial" w:cs="Arial"/>
                <w:bCs/>
                <w:color w:val="000000"/>
                <w:sz w:val="18"/>
                <w:szCs w:val="18"/>
              </w:rPr>
              <w:t>)</w:t>
            </w:r>
          </w:p>
        </w:tc>
        <w:tc>
          <w:tcPr>
            <w:tcW w:w="977" w:type="dxa"/>
            <w:vAlign w:val="center"/>
          </w:tcPr>
          <w:p w14:paraId="60F50575" w14:textId="4AF279DF" w:rsidR="009218FA" w:rsidRPr="004350B2" w:rsidRDefault="009A0A46" w:rsidP="00176CBE">
            <w:pPr>
              <w:widowControl w:val="0"/>
              <w:autoSpaceDE w:val="0"/>
              <w:autoSpaceDN w:val="0"/>
              <w:adjustRightInd w:val="0"/>
              <w:jc w:val="right"/>
              <w:rPr>
                <w:rFonts w:ascii="Arial" w:hAnsi="Arial" w:cs="Arial"/>
                <w:color w:val="000000"/>
                <w:sz w:val="18"/>
                <w:szCs w:val="18"/>
              </w:rPr>
            </w:pPr>
            <w:r w:rsidRPr="00F025C8">
              <w:rPr>
                <w:sz w:val="18"/>
                <w:szCs w:val="18"/>
              </w:rPr>
              <w:t>−</w:t>
            </w:r>
            <w:r w:rsidR="009218FA" w:rsidRPr="004350B2">
              <w:rPr>
                <w:rFonts w:ascii="Arial" w:hAnsi="Arial" w:cs="Arial"/>
                <w:color w:val="000000"/>
                <w:sz w:val="18"/>
                <w:szCs w:val="18"/>
              </w:rPr>
              <w:t>25</w:t>
            </w:r>
          </w:p>
        </w:tc>
        <w:tc>
          <w:tcPr>
            <w:tcW w:w="977" w:type="dxa"/>
            <w:vAlign w:val="center"/>
          </w:tcPr>
          <w:p w14:paraId="32DF3C09" w14:textId="533A2E50" w:rsidR="009218FA" w:rsidRPr="004350B2" w:rsidRDefault="009A0A46" w:rsidP="00176CBE">
            <w:pPr>
              <w:widowControl w:val="0"/>
              <w:autoSpaceDE w:val="0"/>
              <w:autoSpaceDN w:val="0"/>
              <w:adjustRightInd w:val="0"/>
              <w:jc w:val="right"/>
              <w:rPr>
                <w:rFonts w:ascii="Arial" w:hAnsi="Arial" w:cs="Arial"/>
                <w:color w:val="000000"/>
                <w:sz w:val="18"/>
                <w:szCs w:val="18"/>
              </w:rPr>
            </w:pPr>
            <w:r w:rsidRPr="00F025C8">
              <w:rPr>
                <w:sz w:val="18"/>
                <w:szCs w:val="18"/>
              </w:rPr>
              <w:t>−</w:t>
            </w:r>
            <w:r w:rsidR="009218FA" w:rsidRPr="004350B2">
              <w:rPr>
                <w:rFonts w:ascii="Arial" w:hAnsi="Arial" w:cs="Arial"/>
                <w:color w:val="000000"/>
                <w:sz w:val="18"/>
                <w:szCs w:val="18"/>
              </w:rPr>
              <w:t>26.4</w:t>
            </w:r>
          </w:p>
        </w:tc>
        <w:tc>
          <w:tcPr>
            <w:tcW w:w="977" w:type="dxa"/>
            <w:vAlign w:val="center"/>
          </w:tcPr>
          <w:p w14:paraId="390EF9A4" w14:textId="7A0F85C8" w:rsidR="009218FA" w:rsidRPr="004350B2" w:rsidRDefault="009A0A46" w:rsidP="00176CBE">
            <w:pPr>
              <w:widowControl w:val="0"/>
              <w:autoSpaceDE w:val="0"/>
              <w:autoSpaceDN w:val="0"/>
              <w:adjustRightInd w:val="0"/>
              <w:jc w:val="right"/>
              <w:rPr>
                <w:rFonts w:ascii="Arial" w:hAnsi="Arial" w:cs="Arial"/>
                <w:color w:val="000000"/>
                <w:sz w:val="18"/>
                <w:szCs w:val="18"/>
              </w:rPr>
            </w:pPr>
            <w:r w:rsidRPr="00F025C8">
              <w:rPr>
                <w:sz w:val="18"/>
                <w:szCs w:val="18"/>
              </w:rPr>
              <w:t>−</w:t>
            </w:r>
            <w:r w:rsidR="009218FA" w:rsidRPr="004350B2">
              <w:rPr>
                <w:rFonts w:ascii="Arial" w:hAnsi="Arial" w:cs="Arial"/>
                <w:color w:val="000000"/>
                <w:sz w:val="18"/>
                <w:szCs w:val="18"/>
              </w:rPr>
              <w:t>27.8</w:t>
            </w:r>
          </w:p>
        </w:tc>
        <w:tc>
          <w:tcPr>
            <w:tcW w:w="978" w:type="dxa"/>
            <w:vAlign w:val="center"/>
          </w:tcPr>
          <w:p w14:paraId="0E8BD04A" w14:textId="408C37E0" w:rsidR="009218FA" w:rsidRPr="004350B2" w:rsidRDefault="009A0A46" w:rsidP="00176CBE">
            <w:pPr>
              <w:widowControl w:val="0"/>
              <w:autoSpaceDE w:val="0"/>
              <w:autoSpaceDN w:val="0"/>
              <w:adjustRightInd w:val="0"/>
              <w:jc w:val="right"/>
              <w:rPr>
                <w:rFonts w:ascii="Arial" w:hAnsi="Arial" w:cs="Arial"/>
                <w:color w:val="000000"/>
                <w:sz w:val="18"/>
                <w:szCs w:val="18"/>
              </w:rPr>
            </w:pPr>
            <w:r w:rsidRPr="00F025C8">
              <w:rPr>
                <w:sz w:val="18"/>
                <w:szCs w:val="18"/>
              </w:rPr>
              <w:t>−</w:t>
            </w:r>
            <w:r w:rsidR="009218FA" w:rsidRPr="004350B2">
              <w:rPr>
                <w:rFonts w:ascii="Arial" w:hAnsi="Arial" w:cs="Arial"/>
                <w:color w:val="000000"/>
                <w:sz w:val="18"/>
                <w:szCs w:val="18"/>
              </w:rPr>
              <w:t>29.4</w:t>
            </w:r>
          </w:p>
        </w:tc>
        <w:tc>
          <w:tcPr>
            <w:tcW w:w="977" w:type="dxa"/>
            <w:vAlign w:val="center"/>
          </w:tcPr>
          <w:p w14:paraId="24C253D7" w14:textId="5E486DB5" w:rsidR="009218FA" w:rsidRPr="004350B2" w:rsidRDefault="009A0A46" w:rsidP="00176CBE">
            <w:pPr>
              <w:widowControl w:val="0"/>
              <w:autoSpaceDE w:val="0"/>
              <w:autoSpaceDN w:val="0"/>
              <w:adjustRightInd w:val="0"/>
              <w:jc w:val="right"/>
              <w:rPr>
                <w:rFonts w:ascii="Arial" w:hAnsi="Arial" w:cs="Arial"/>
                <w:color w:val="000000"/>
                <w:sz w:val="18"/>
                <w:szCs w:val="18"/>
              </w:rPr>
            </w:pPr>
            <w:r w:rsidRPr="00F025C8">
              <w:rPr>
                <w:sz w:val="18"/>
                <w:szCs w:val="18"/>
              </w:rPr>
              <w:t>−</w:t>
            </w:r>
            <w:r w:rsidR="009218FA" w:rsidRPr="004350B2">
              <w:rPr>
                <w:rFonts w:ascii="Arial" w:hAnsi="Arial" w:cs="Arial"/>
                <w:color w:val="000000"/>
                <w:sz w:val="18"/>
                <w:szCs w:val="18"/>
              </w:rPr>
              <w:t>31.1</w:t>
            </w:r>
          </w:p>
        </w:tc>
      </w:tr>
      <w:tr w:rsidR="009218FA" w14:paraId="558DF73E" w14:textId="77777777" w:rsidTr="001A359C">
        <w:trPr>
          <w:trHeight w:val="405"/>
          <w:jc w:val="center"/>
        </w:trPr>
        <w:tc>
          <w:tcPr>
            <w:tcW w:w="3374" w:type="dxa"/>
            <w:vAlign w:val="center"/>
          </w:tcPr>
          <w:p w14:paraId="6BD96E9E" w14:textId="779DB8FF" w:rsidR="009218FA" w:rsidRPr="00176CBE" w:rsidRDefault="009218FA" w:rsidP="00263A51">
            <w:pPr>
              <w:widowControl w:val="0"/>
              <w:autoSpaceDE w:val="0"/>
              <w:autoSpaceDN w:val="0"/>
              <w:adjustRightInd w:val="0"/>
              <w:rPr>
                <w:rFonts w:ascii="Arial" w:hAnsi="Arial" w:cs="Arial"/>
                <w:bCs/>
                <w:color w:val="000000"/>
                <w:sz w:val="18"/>
                <w:szCs w:val="18"/>
              </w:rPr>
            </w:pPr>
            <w:r w:rsidRPr="00176CBE">
              <w:rPr>
                <w:rFonts w:ascii="Arial" w:hAnsi="Arial" w:cs="Arial"/>
                <w:bCs/>
                <w:color w:val="000000"/>
                <w:sz w:val="18"/>
                <w:szCs w:val="18"/>
              </w:rPr>
              <w:t>Capital expenditure (</w:t>
            </w:r>
            <w:r w:rsidR="00A15912" w:rsidRPr="00176CBE">
              <w:rPr>
                <w:rFonts w:ascii="Arial" w:hAnsi="Arial" w:cs="Arial"/>
                <w:bCs/>
                <w:color w:val="000000"/>
                <w:sz w:val="18"/>
                <w:szCs w:val="18"/>
              </w:rPr>
              <w:t xml:space="preserve">million </w:t>
            </w:r>
            <w:r w:rsidRPr="00176CBE">
              <w:rPr>
                <w:rFonts w:ascii="Arial" w:hAnsi="Arial" w:cs="Arial"/>
                <w:bCs/>
                <w:color w:val="000000"/>
                <w:sz w:val="18"/>
                <w:szCs w:val="18"/>
              </w:rPr>
              <w:t>AU</w:t>
            </w:r>
            <w:r w:rsidR="00263A51">
              <w:rPr>
                <w:rFonts w:ascii="Arial" w:hAnsi="Arial" w:cs="Arial"/>
                <w:bCs/>
                <w:color w:val="000000"/>
                <w:sz w:val="18"/>
                <w:szCs w:val="18"/>
              </w:rPr>
              <w:t>$</w:t>
            </w:r>
            <w:r w:rsidRPr="00176CBE">
              <w:rPr>
                <w:rFonts w:ascii="Arial" w:hAnsi="Arial" w:cs="Arial"/>
                <w:bCs/>
                <w:color w:val="000000"/>
                <w:sz w:val="18"/>
                <w:szCs w:val="18"/>
              </w:rPr>
              <w:t>)</w:t>
            </w:r>
          </w:p>
        </w:tc>
        <w:tc>
          <w:tcPr>
            <w:tcW w:w="977" w:type="dxa"/>
            <w:vAlign w:val="center"/>
          </w:tcPr>
          <w:p w14:paraId="0F759DC2" w14:textId="77777777" w:rsidR="009218FA" w:rsidRPr="004350B2" w:rsidRDefault="009218FA" w:rsidP="00176CBE">
            <w:pPr>
              <w:widowControl w:val="0"/>
              <w:autoSpaceDE w:val="0"/>
              <w:autoSpaceDN w:val="0"/>
              <w:adjustRightInd w:val="0"/>
              <w:jc w:val="right"/>
              <w:rPr>
                <w:rFonts w:ascii="Arial" w:hAnsi="Arial" w:cs="Arial"/>
                <w:color w:val="000000"/>
                <w:sz w:val="18"/>
                <w:szCs w:val="18"/>
              </w:rPr>
            </w:pPr>
            <w:r w:rsidRPr="004350B2">
              <w:rPr>
                <w:rFonts w:ascii="Arial" w:hAnsi="Arial" w:cs="Arial"/>
                <w:color w:val="000000"/>
                <w:sz w:val="18"/>
                <w:szCs w:val="18"/>
              </w:rPr>
              <w:t>15.0</w:t>
            </w:r>
          </w:p>
        </w:tc>
        <w:tc>
          <w:tcPr>
            <w:tcW w:w="977" w:type="dxa"/>
            <w:vAlign w:val="center"/>
          </w:tcPr>
          <w:p w14:paraId="2E31E6C8" w14:textId="77777777" w:rsidR="009218FA" w:rsidRPr="004350B2" w:rsidRDefault="009218FA" w:rsidP="00176CBE">
            <w:pPr>
              <w:widowControl w:val="0"/>
              <w:autoSpaceDE w:val="0"/>
              <w:autoSpaceDN w:val="0"/>
              <w:adjustRightInd w:val="0"/>
              <w:jc w:val="right"/>
              <w:rPr>
                <w:rFonts w:ascii="Arial" w:hAnsi="Arial" w:cs="Arial"/>
                <w:color w:val="000000"/>
                <w:sz w:val="18"/>
                <w:szCs w:val="18"/>
              </w:rPr>
            </w:pPr>
            <w:r w:rsidRPr="004350B2">
              <w:rPr>
                <w:rFonts w:ascii="Arial" w:hAnsi="Arial" w:cs="Arial"/>
                <w:color w:val="000000"/>
                <w:sz w:val="18"/>
                <w:szCs w:val="18"/>
              </w:rPr>
              <w:t>15.6</w:t>
            </w:r>
          </w:p>
        </w:tc>
        <w:tc>
          <w:tcPr>
            <w:tcW w:w="977" w:type="dxa"/>
            <w:vAlign w:val="center"/>
          </w:tcPr>
          <w:p w14:paraId="4B6F4F30" w14:textId="77777777" w:rsidR="009218FA" w:rsidRPr="004350B2" w:rsidRDefault="009218FA" w:rsidP="00176CBE">
            <w:pPr>
              <w:widowControl w:val="0"/>
              <w:autoSpaceDE w:val="0"/>
              <w:autoSpaceDN w:val="0"/>
              <w:adjustRightInd w:val="0"/>
              <w:jc w:val="right"/>
              <w:rPr>
                <w:rFonts w:ascii="Arial" w:hAnsi="Arial" w:cs="Arial"/>
                <w:color w:val="000000"/>
                <w:sz w:val="18"/>
                <w:szCs w:val="18"/>
              </w:rPr>
            </w:pPr>
            <w:r w:rsidRPr="004350B2">
              <w:rPr>
                <w:rFonts w:ascii="Arial" w:hAnsi="Arial" w:cs="Arial"/>
                <w:color w:val="000000"/>
                <w:sz w:val="18"/>
                <w:szCs w:val="18"/>
              </w:rPr>
              <w:t>16.2</w:t>
            </w:r>
          </w:p>
        </w:tc>
        <w:tc>
          <w:tcPr>
            <w:tcW w:w="978" w:type="dxa"/>
            <w:vAlign w:val="center"/>
          </w:tcPr>
          <w:p w14:paraId="083DB7B0" w14:textId="77777777" w:rsidR="009218FA" w:rsidRPr="004350B2" w:rsidRDefault="009218FA" w:rsidP="00176CBE">
            <w:pPr>
              <w:widowControl w:val="0"/>
              <w:autoSpaceDE w:val="0"/>
              <w:autoSpaceDN w:val="0"/>
              <w:adjustRightInd w:val="0"/>
              <w:jc w:val="right"/>
              <w:rPr>
                <w:rFonts w:ascii="Arial" w:hAnsi="Arial" w:cs="Arial"/>
                <w:color w:val="000000"/>
                <w:sz w:val="18"/>
                <w:szCs w:val="18"/>
              </w:rPr>
            </w:pPr>
            <w:r w:rsidRPr="004350B2">
              <w:rPr>
                <w:rFonts w:ascii="Arial" w:hAnsi="Arial" w:cs="Arial"/>
                <w:color w:val="000000"/>
                <w:sz w:val="18"/>
                <w:szCs w:val="18"/>
              </w:rPr>
              <w:t>16.9</w:t>
            </w:r>
          </w:p>
        </w:tc>
        <w:tc>
          <w:tcPr>
            <w:tcW w:w="977" w:type="dxa"/>
            <w:vAlign w:val="center"/>
          </w:tcPr>
          <w:p w14:paraId="42BC86D8" w14:textId="77777777" w:rsidR="009218FA" w:rsidRPr="004350B2" w:rsidRDefault="009218FA" w:rsidP="00176CBE">
            <w:pPr>
              <w:widowControl w:val="0"/>
              <w:autoSpaceDE w:val="0"/>
              <w:autoSpaceDN w:val="0"/>
              <w:adjustRightInd w:val="0"/>
              <w:jc w:val="right"/>
              <w:rPr>
                <w:rFonts w:ascii="Arial" w:hAnsi="Arial" w:cs="Arial"/>
                <w:color w:val="000000"/>
                <w:sz w:val="18"/>
                <w:szCs w:val="18"/>
              </w:rPr>
            </w:pPr>
            <w:r w:rsidRPr="004350B2">
              <w:rPr>
                <w:rFonts w:ascii="Arial" w:hAnsi="Arial" w:cs="Arial"/>
                <w:color w:val="000000"/>
                <w:sz w:val="18"/>
                <w:szCs w:val="18"/>
              </w:rPr>
              <w:t>17.5</w:t>
            </w:r>
          </w:p>
        </w:tc>
      </w:tr>
      <w:tr w:rsidR="009218FA" w14:paraId="4195BBEA" w14:textId="77777777" w:rsidTr="001A359C">
        <w:trPr>
          <w:trHeight w:val="405"/>
          <w:jc w:val="center"/>
        </w:trPr>
        <w:tc>
          <w:tcPr>
            <w:tcW w:w="3374" w:type="dxa"/>
            <w:vAlign w:val="center"/>
          </w:tcPr>
          <w:p w14:paraId="4252D925" w14:textId="77777777" w:rsidR="009218FA" w:rsidRPr="00176CBE" w:rsidRDefault="009218FA" w:rsidP="009218FA">
            <w:pPr>
              <w:widowControl w:val="0"/>
              <w:autoSpaceDE w:val="0"/>
              <w:autoSpaceDN w:val="0"/>
              <w:adjustRightInd w:val="0"/>
              <w:rPr>
                <w:rFonts w:ascii="Arial" w:hAnsi="Arial" w:cs="Arial"/>
                <w:bCs/>
                <w:color w:val="000000"/>
                <w:sz w:val="18"/>
                <w:szCs w:val="18"/>
              </w:rPr>
            </w:pPr>
            <w:r w:rsidRPr="00176CBE">
              <w:rPr>
                <w:rFonts w:ascii="Arial" w:hAnsi="Arial" w:cs="Arial"/>
                <w:bCs/>
                <w:color w:val="000000"/>
                <w:sz w:val="18"/>
                <w:szCs w:val="18"/>
              </w:rPr>
              <w:t>Nominal GDP</w:t>
            </w:r>
          </w:p>
        </w:tc>
        <w:tc>
          <w:tcPr>
            <w:tcW w:w="977" w:type="dxa"/>
            <w:vAlign w:val="center"/>
          </w:tcPr>
          <w:p w14:paraId="7F612F30" w14:textId="77777777" w:rsidR="009218FA" w:rsidRPr="004350B2" w:rsidRDefault="009218FA" w:rsidP="00176CBE">
            <w:pPr>
              <w:widowControl w:val="0"/>
              <w:autoSpaceDE w:val="0"/>
              <w:autoSpaceDN w:val="0"/>
              <w:adjustRightInd w:val="0"/>
              <w:jc w:val="right"/>
              <w:rPr>
                <w:rFonts w:ascii="Arial" w:hAnsi="Arial" w:cs="Arial"/>
                <w:color w:val="000000"/>
                <w:sz w:val="18"/>
                <w:szCs w:val="18"/>
              </w:rPr>
            </w:pPr>
            <w:r w:rsidRPr="004350B2">
              <w:rPr>
                <w:rFonts w:ascii="Arial" w:hAnsi="Arial" w:cs="Arial"/>
                <w:color w:val="000000"/>
                <w:sz w:val="18"/>
                <w:szCs w:val="18"/>
              </w:rPr>
              <w:t>3.5%</w:t>
            </w:r>
          </w:p>
        </w:tc>
        <w:tc>
          <w:tcPr>
            <w:tcW w:w="977" w:type="dxa"/>
            <w:vAlign w:val="center"/>
          </w:tcPr>
          <w:p w14:paraId="4E5C40F8" w14:textId="77777777" w:rsidR="009218FA" w:rsidRPr="004350B2" w:rsidRDefault="009218FA" w:rsidP="00176CBE">
            <w:pPr>
              <w:widowControl w:val="0"/>
              <w:autoSpaceDE w:val="0"/>
              <w:autoSpaceDN w:val="0"/>
              <w:adjustRightInd w:val="0"/>
              <w:jc w:val="right"/>
              <w:rPr>
                <w:rFonts w:ascii="Arial" w:hAnsi="Arial" w:cs="Arial"/>
                <w:color w:val="000000"/>
                <w:sz w:val="18"/>
                <w:szCs w:val="18"/>
              </w:rPr>
            </w:pPr>
            <w:r w:rsidRPr="004350B2">
              <w:rPr>
                <w:rFonts w:ascii="Arial" w:hAnsi="Arial" w:cs="Arial"/>
                <w:color w:val="000000"/>
                <w:sz w:val="18"/>
                <w:szCs w:val="18"/>
              </w:rPr>
              <w:t>4.0%</w:t>
            </w:r>
          </w:p>
        </w:tc>
        <w:tc>
          <w:tcPr>
            <w:tcW w:w="977" w:type="dxa"/>
            <w:vAlign w:val="center"/>
          </w:tcPr>
          <w:p w14:paraId="44353FBD" w14:textId="77777777" w:rsidR="009218FA" w:rsidRPr="004350B2" w:rsidRDefault="009218FA" w:rsidP="00176CBE">
            <w:pPr>
              <w:widowControl w:val="0"/>
              <w:autoSpaceDE w:val="0"/>
              <w:autoSpaceDN w:val="0"/>
              <w:adjustRightInd w:val="0"/>
              <w:jc w:val="right"/>
              <w:rPr>
                <w:rFonts w:ascii="Arial" w:hAnsi="Arial" w:cs="Arial"/>
                <w:color w:val="000000"/>
                <w:sz w:val="18"/>
                <w:szCs w:val="18"/>
              </w:rPr>
            </w:pPr>
            <w:r w:rsidRPr="004350B2">
              <w:rPr>
                <w:rFonts w:ascii="Arial" w:hAnsi="Arial" w:cs="Arial"/>
                <w:color w:val="000000"/>
                <w:sz w:val="18"/>
                <w:szCs w:val="18"/>
              </w:rPr>
              <w:t>4.0%</w:t>
            </w:r>
          </w:p>
        </w:tc>
        <w:tc>
          <w:tcPr>
            <w:tcW w:w="978" w:type="dxa"/>
            <w:vAlign w:val="center"/>
          </w:tcPr>
          <w:p w14:paraId="49DB00BD" w14:textId="77777777" w:rsidR="009218FA" w:rsidRPr="004350B2" w:rsidRDefault="009218FA" w:rsidP="00176CBE">
            <w:pPr>
              <w:widowControl w:val="0"/>
              <w:autoSpaceDE w:val="0"/>
              <w:autoSpaceDN w:val="0"/>
              <w:adjustRightInd w:val="0"/>
              <w:jc w:val="right"/>
              <w:rPr>
                <w:rFonts w:ascii="Arial" w:hAnsi="Arial" w:cs="Arial"/>
                <w:color w:val="000000"/>
                <w:sz w:val="18"/>
                <w:szCs w:val="18"/>
              </w:rPr>
            </w:pPr>
            <w:r w:rsidRPr="004350B2">
              <w:rPr>
                <w:rFonts w:ascii="Arial" w:hAnsi="Arial" w:cs="Arial"/>
                <w:color w:val="000000"/>
                <w:sz w:val="18"/>
                <w:szCs w:val="18"/>
              </w:rPr>
              <w:t>4.0%</w:t>
            </w:r>
          </w:p>
        </w:tc>
        <w:tc>
          <w:tcPr>
            <w:tcW w:w="977" w:type="dxa"/>
            <w:vAlign w:val="center"/>
          </w:tcPr>
          <w:p w14:paraId="71B82CA5" w14:textId="77777777" w:rsidR="009218FA" w:rsidRPr="004350B2" w:rsidRDefault="009218FA" w:rsidP="00176CBE">
            <w:pPr>
              <w:widowControl w:val="0"/>
              <w:autoSpaceDE w:val="0"/>
              <w:autoSpaceDN w:val="0"/>
              <w:adjustRightInd w:val="0"/>
              <w:jc w:val="right"/>
              <w:rPr>
                <w:rFonts w:ascii="Arial" w:hAnsi="Arial" w:cs="Arial"/>
                <w:color w:val="000000"/>
                <w:sz w:val="18"/>
                <w:szCs w:val="18"/>
              </w:rPr>
            </w:pPr>
            <w:r w:rsidRPr="004350B2">
              <w:rPr>
                <w:rFonts w:ascii="Arial" w:hAnsi="Arial" w:cs="Arial"/>
                <w:color w:val="000000"/>
                <w:sz w:val="18"/>
                <w:szCs w:val="18"/>
              </w:rPr>
              <w:t>4.0%</w:t>
            </w:r>
          </w:p>
        </w:tc>
      </w:tr>
    </w:tbl>
    <w:p w14:paraId="2856D128" w14:textId="77777777" w:rsidR="009218FA" w:rsidRPr="004350B2" w:rsidRDefault="009218FA" w:rsidP="004350B2">
      <w:pPr>
        <w:pStyle w:val="Footnote"/>
      </w:pPr>
    </w:p>
    <w:p w14:paraId="1FEADAC3" w14:textId="39FABC79" w:rsidR="00A15912" w:rsidRDefault="00A15912" w:rsidP="004350B2">
      <w:pPr>
        <w:pStyle w:val="Footnote"/>
      </w:pPr>
      <w:r>
        <w:t>Note: AU</w:t>
      </w:r>
      <w:r w:rsidR="00263A51">
        <w:t>$</w:t>
      </w:r>
      <w:r>
        <w:t xml:space="preserve"> = Australian dollar</w:t>
      </w:r>
      <w:r w:rsidR="00D955D5">
        <w:t>;</w:t>
      </w:r>
      <w:r w:rsidR="00D955D5" w:rsidRPr="00D955D5">
        <w:rPr>
          <w:lang w:val="en-AU"/>
        </w:rPr>
        <w:t xml:space="preserve"> </w:t>
      </w:r>
      <w:r w:rsidR="00D955D5">
        <w:rPr>
          <w:lang w:val="en-AU"/>
        </w:rPr>
        <w:t>US$1 = AU$1.1796 on November 30, 2014</w:t>
      </w:r>
      <w:r>
        <w:t>.</w:t>
      </w:r>
    </w:p>
    <w:p w14:paraId="25A2BA82" w14:textId="2D923765" w:rsidR="009218FA" w:rsidRPr="004350B2" w:rsidRDefault="009218FA" w:rsidP="004350B2">
      <w:pPr>
        <w:pStyle w:val="Footnote"/>
      </w:pPr>
      <w:r w:rsidRPr="004350B2">
        <w:t xml:space="preserve">Source: </w:t>
      </w:r>
      <w:r w:rsidR="00135B37">
        <w:t>Case authors’ estimates</w:t>
      </w:r>
      <w:r w:rsidR="006579E7">
        <w:t>.</w:t>
      </w:r>
    </w:p>
    <w:p w14:paraId="6ED9D1EF" w14:textId="77777777" w:rsidR="009218FA" w:rsidRPr="00263A51" w:rsidRDefault="009218FA" w:rsidP="00135B37">
      <w:pPr>
        <w:pStyle w:val="Footnote"/>
      </w:pPr>
    </w:p>
    <w:p w14:paraId="149C0413" w14:textId="77777777" w:rsidR="007E5EDC" w:rsidRPr="00263A51" w:rsidRDefault="007E5EDC" w:rsidP="00135B37">
      <w:pPr>
        <w:pStyle w:val="Footnote"/>
      </w:pPr>
    </w:p>
    <w:p w14:paraId="40551309" w14:textId="77777777" w:rsidR="009218FA" w:rsidRDefault="009218FA" w:rsidP="004350B2">
      <w:pPr>
        <w:pStyle w:val="ExhibitHeading"/>
      </w:pPr>
      <w:r>
        <w:t xml:space="preserve">Exhibit </w:t>
      </w:r>
      <w:r w:rsidR="004F0E33">
        <w:t>9</w:t>
      </w:r>
      <w:r w:rsidR="004350B2">
        <w:t xml:space="preserve">: </w:t>
      </w:r>
      <w:r w:rsidRPr="00565022">
        <w:t>WEIGHTED AVERAGE COST OF CAPITAL ASSUMPTIONS</w:t>
      </w:r>
    </w:p>
    <w:p w14:paraId="1AC81AB6" w14:textId="77777777" w:rsidR="004350B2" w:rsidRPr="00263A51" w:rsidRDefault="004350B2" w:rsidP="004350B2">
      <w:pPr>
        <w:pStyle w:val="ExhibitHeading"/>
        <w:rPr>
          <w:sz w:val="12"/>
          <w:szCs w:val="12"/>
        </w:rPr>
      </w:pPr>
    </w:p>
    <w:tbl>
      <w:tblPr>
        <w:tblW w:w="30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2"/>
        <w:gridCol w:w="985"/>
      </w:tblGrid>
      <w:tr w:rsidR="009218FA" w:rsidRPr="00565022" w14:paraId="114F07FD" w14:textId="77777777" w:rsidTr="001A359C">
        <w:trPr>
          <w:trHeight w:val="364"/>
          <w:jc w:val="center"/>
        </w:trPr>
        <w:tc>
          <w:tcPr>
            <w:tcW w:w="3057" w:type="dxa"/>
            <w:gridSpan w:val="2"/>
            <w:shd w:val="clear" w:color="auto" w:fill="auto"/>
            <w:noWrap/>
            <w:vAlign w:val="center"/>
            <w:hideMark/>
          </w:tcPr>
          <w:p w14:paraId="09B574D0" w14:textId="77777777" w:rsidR="009218FA" w:rsidRPr="004350B2" w:rsidRDefault="009218FA" w:rsidP="009218FA">
            <w:pPr>
              <w:rPr>
                <w:rFonts w:ascii="Arial" w:hAnsi="Arial" w:cs="Arial"/>
                <w:color w:val="000000"/>
                <w:sz w:val="18"/>
                <w:szCs w:val="18"/>
              </w:rPr>
            </w:pPr>
            <w:r w:rsidRPr="004350B2">
              <w:rPr>
                <w:rFonts w:ascii="Arial" w:hAnsi="Arial" w:cs="Arial"/>
                <w:b/>
                <w:bCs/>
                <w:color w:val="000000"/>
                <w:sz w:val="18"/>
                <w:szCs w:val="18"/>
              </w:rPr>
              <w:t>ASSUMPTIONS</w:t>
            </w:r>
          </w:p>
        </w:tc>
      </w:tr>
      <w:tr w:rsidR="009218FA" w:rsidRPr="00565022" w14:paraId="3A02C82E" w14:textId="77777777" w:rsidTr="001A359C">
        <w:trPr>
          <w:trHeight w:val="364"/>
          <w:jc w:val="center"/>
        </w:trPr>
        <w:tc>
          <w:tcPr>
            <w:tcW w:w="2072" w:type="dxa"/>
            <w:shd w:val="clear" w:color="auto" w:fill="auto"/>
            <w:noWrap/>
            <w:vAlign w:val="center"/>
            <w:hideMark/>
          </w:tcPr>
          <w:p w14:paraId="1FF21FC5" w14:textId="77777777" w:rsidR="009218FA" w:rsidRPr="00176CBE" w:rsidRDefault="009218FA" w:rsidP="009218FA">
            <w:pPr>
              <w:rPr>
                <w:rFonts w:ascii="Arial" w:hAnsi="Arial" w:cs="Arial"/>
                <w:bCs/>
                <w:color w:val="000000"/>
                <w:sz w:val="18"/>
                <w:szCs w:val="18"/>
              </w:rPr>
            </w:pPr>
            <w:r w:rsidRPr="00176CBE">
              <w:rPr>
                <w:rFonts w:ascii="Arial" w:hAnsi="Arial" w:cs="Arial"/>
                <w:bCs/>
                <w:color w:val="000000"/>
                <w:sz w:val="18"/>
                <w:szCs w:val="18"/>
              </w:rPr>
              <w:t>Risk-free rate</w:t>
            </w:r>
          </w:p>
        </w:tc>
        <w:tc>
          <w:tcPr>
            <w:tcW w:w="984" w:type="dxa"/>
            <w:shd w:val="clear" w:color="auto" w:fill="auto"/>
            <w:noWrap/>
            <w:vAlign w:val="center"/>
            <w:hideMark/>
          </w:tcPr>
          <w:p w14:paraId="26B99E83" w14:textId="77777777" w:rsidR="009218FA" w:rsidRPr="00176CBE" w:rsidRDefault="009218FA" w:rsidP="00176CBE">
            <w:pPr>
              <w:jc w:val="right"/>
              <w:rPr>
                <w:rFonts w:ascii="Arial" w:hAnsi="Arial" w:cs="Arial"/>
                <w:bCs/>
                <w:color w:val="000000"/>
                <w:sz w:val="18"/>
                <w:szCs w:val="18"/>
              </w:rPr>
            </w:pPr>
            <w:r w:rsidRPr="00176CBE">
              <w:rPr>
                <w:rFonts w:ascii="Arial" w:hAnsi="Arial" w:cs="Arial"/>
                <w:bCs/>
                <w:color w:val="000000"/>
                <w:sz w:val="18"/>
                <w:szCs w:val="18"/>
              </w:rPr>
              <w:t>5.25%</w:t>
            </w:r>
          </w:p>
        </w:tc>
      </w:tr>
      <w:tr w:rsidR="009218FA" w:rsidRPr="00565022" w14:paraId="568DFE6A" w14:textId="77777777" w:rsidTr="001A359C">
        <w:trPr>
          <w:trHeight w:val="364"/>
          <w:jc w:val="center"/>
        </w:trPr>
        <w:tc>
          <w:tcPr>
            <w:tcW w:w="2072" w:type="dxa"/>
            <w:shd w:val="clear" w:color="auto" w:fill="auto"/>
            <w:noWrap/>
            <w:vAlign w:val="center"/>
            <w:hideMark/>
          </w:tcPr>
          <w:p w14:paraId="17C65638" w14:textId="1BDC9FAA" w:rsidR="009218FA" w:rsidRPr="00176CBE" w:rsidRDefault="009218FA" w:rsidP="009218FA">
            <w:pPr>
              <w:rPr>
                <w:rFonts w:ascii="Arial" w:hAnsi="Arial" w:cs="Arial"/>
                <w:bCs/>
                <w:color w:val="000000"/>
                <w:sz w:val="18"/>
                <w:szCs w:val="18"/>
              </w:rPr>
            </w:pPr>
            <w:r w:rsidRPr="00176CBE">
              <w:rPr>
                <w:rFonts w:ascii="Arial" w:hAnsi="Arial" w:cs="Arial"/>
                <w:bCs/>
                <w:color w:val="000000"/>
                <w:sz w:val="18"/>
                <w:szCs w:val="18"/>
              </w:rPr>
              <w:t>Risk</w:t>
            </w:r>
            <w:r w:rsidR="00B309CD" w:rsidRPr="00176CBE">
              <w:rPr>
                <w:rFonts w:ascii="Arial" w:hAnsi="Arial" w:cs="Arial"/>
                <w:bCs/>
                <w:color w:val="000000"/>
                <w:sz w:val="18"/>
                <w:szCs w:val="18"/>
              </w:rPr>
              <w:t xml:space="preserve"> </w:t>
            </w:r>
            <w:r w:rsidRPr="00176CBE">
              <w:rPr>
                <w:rFonts w:ascii="Arial" w:hAnsi="Arial" w:cs="Arial"/>
                <w:bCs/>
                <w:color w:val="000000"/>
                <w:sz w:val="18"/>
                <w:szCs w:val="18"/>
              </w:rPr>
              <w:t>premium</w:t>
            </w:r>
          </w:p>
        </w:tc>
        <w:tc>
          <w:tcPr>
            <w:tcW w:w="984" w:type="dxa"/>
            <w:shd w:val="clear" w:color="auto" w:fill="auto"/>
            <w:noWrap/>
            <w:vAlign w:val="center"/>
            <w:hideMark/>
          </w:tcPr>
          <w:p w14:paraId="2EE65D17" w14:textId="77777777" w:rsidR="009218FA" w:rsidRPr="00176CBE" w:rsidRDefault="009218FA" w:rsidP="00176CBE">
            <w:pPr>
              <w:jc w:val="right"/>
              <w:rPr>
                <w:rFonts w:ascii="Arial" w:hAnsi="Arial" w:cs="Arial"/>
                <w:bCs/>
                <w:color w:val="000000"/>
                <w:sz w:val="18"/>
                <w:szCs w:val="18"/>
              </w:rPr>
            </w:pPr>
            <w:r w:rsidRPr="00176CBE">
              <w:rPr>
                <w:rFonts w:ascii="Arial" w:hAnsi="Arial" w:cs="Arial"/>
                <w:bCs/>
                <w:color w:val="000000"/>
                <w:sz w:val="18"/>
                <w:szCs w:val="18"/>
              </w:rPr>
              <w:t>6.00%</w:t>
            </w:r>
          </w:p>
        </w:tc>
      </w:tr>
      <w:tr w:rsidR="009218FA" w:rsidRPr="00565022" w14:paraId="6D1977EF" w14:textId="77777777" w:rsidTr="001A359C">
        <w:trPr>
          <w:trHeight w:val="364"/>
          <w:jc w:val="center"/>
        </w:trPr>
        <w:tc>
          <w:tcPr>
            <w:tcW w:w="2072" w:type="dxa"/>
            <w:shd w:val="clear" w:color="auto" w:fill="auto"/>
            <w:noWrap/>
            <w:vAlign w:val="center"/>
            <w:hideMark/>
          </w:tcPr>
          <w:p w14:paraId="20661827" w14:textId="77777777" w:rsidR="009218FA" w:rsidRPr="00176CBE" w:rsidRDefault="009218FA" w:rsidP="009218FA">
            <w:pPr>
              <w:rPr>
                <w:rFonts w:ascii="Arial" w:hAnsi="Arial" w:cs="Arial"/>
                <w:bCs/>
                <w:color w:val="000000"/>
                <w:sz w:val="18"/>
                <w:szCs w:val="18"/>
              </w:rPr>
            </w:pPr>
            <w:r w:rsidRPr="00176CBE">
              <w:rPr>
                <w:rFonts w:ascii="Arial" w:hAnsi="Arial" w:cs="Arial"/>
                <w:bCs/>
                <w:color w:val="000000"/>
                <w:sz w:val="18"/>
                <w:szCs w:val="18"/>
              </w:rPr>
              <w:t>Beta</w:t>
            </w:r>
          </w:p>
        </w:tc>
        <w:tc>
          <w:tcPr>
            <w:tcW w:w="984" w:type="dxa"/>
            <w:shd w:val="clear" w:color="auto" w:fill="auto"/>
            <w:noWrap/>
            <w:vAlign w:val="center"/>
            <w:hideMark/>
          </w:tcPr>
          <w:p w14:paraId="07B95C60" w14:textId="77777777" w:rsidR="009218FA" w:rsidRPr="00176CBE" w:rsidRDefault="009218FA" w:rsidP="00176CBE">
            <w:pPr>
              <w:jc w:val="right"/>
              <w:rPr>
                <w:rFonts w:ascii="Arial" w:hAnsi="Arial" w:cs="Arial"/>
                <w:bCs/>
                <w:color w:val="000000"/>
                <w:sz w:val="18"/>
                <w:szCs w:val="18"/>
              </w:rPr>
            </w:pPr>
            <w:r w:rsidRPr="00176CBE">
              <w:rPr>
                <w:rFonts w:ascii="Arial" w:hAnsi="Arial" w:cs="Arial"/>
                <w:bCs/>
                <w:color w:val="000000"/>
                <w:sz w:val="18"/>
                <w:szCs w:val="18"/>
              </w:rPr>
              <w:t>0.61</w:t>
            </w:r>
          </w:p>
        </w:tc>
      </w:tr>
      <w:tr w:rsidR="009218FA" w:rsidRPr="00565022" w14:paraId="43446B0B" w14:textId="77777777" w:rsidTr="001A359C">
        <w:trPr>
          <w:trHeight w:val="364"/>
          <w:jc w:val="center"/>
        </w:trPr>
        <w:tc>
          <w:tcPr>
            <w:tcW w:w="2072" w:type="dxa"/>
            <w:shd w:val="clear" w:color="auto" w:fill="auto"/>
            <w:noWrap/>
            <w:vAlign w:val="center"/>
            <w:hideMark/>
          </w:tcPr>
          <w:p w14:paraId="051AFA59" w14:textId="725B912E" w:rsidR="009218FA" w:rsidRPr="00176CBE" w:rsidRDefault="009218FA" w:rsidP="008A3F95">
            <w:pPr>
              <w:rPr>
                <w:rFonts w:ascii="Arial" w:hAnsi="Arial" w:cs="Arial"/>
                <w:bCs/>
                <w:color w:val="000000"/>
                <w:sz w:val="18"/>
                <w:szCs w:val="18"/>
              </w:rPr>
            </w:pPr>
            <w:r w:rsidRPr="00176CBE">
              <w:rPr>
                <w:rFonts w:ascii="Arial" w:hAnsi="Arial" w:cs="Arial"/>
                <w:bCs/>
                <w:color w:val="000000"/>
                <w:sz w:val="18"/>
                <w:szCs w:val="18"/>
              </w:rPr>
              <w:t xml:space="preserve">Pre-tax </w:t>
            </w:r>
            <w:r w:rsidR="008A3F95">
              <w:rPr>
                <w:rFonts w:ascii="Arial" w:hAnsi="Arial" w:cs="Arial"/>
                <w:bCs/>
                <w:color w:val="000000"/>
                <w:sz w:val="18"/>
                <w:szCs w:val="18"/>
              </w:rPr>
              <w:t>c</w:t>
            </w:r>
            <w:r w:rsidR="008A3F95" w:rsidRPr="00176CBE">
              <w:rPr>
                <w:rFonts w:ascii="Arial" w:hAnsi="Arial" w:cs="Arial"/>
                <w:bCs/>
                <w:color w:val="000000"/>
                <w:sz w:val="18"/>
                <w:szCs w:val="18"/>
              </w:rPr>
              <w:t xml:space="preserve">ost </w:t>
            </w:r>
            <w:r w:rsidRPr="00176CBE">
              <w:rPr>
                <w:rFonts w:ascii="Arial" w:hAnsi="Arial" w:cs="Arial"/>
                <w:bCs/>
                <w:color w:val="000000"/>
                <w:sz w:val="18"/>
                <w:szCs w:val="18"/>
              </w:rPr>
              <w:t xml:space="preserve">of </w:t>
            </w:r>
            <w:r w:rsidR="008A3F95">
              <w:rPr>
                <w:rFonts w:ascii="Arial" w:hAnsi="Arial" w:cs="Arial"/>
                <w:bCs/>
                <w:color w:val="000000"/>
                <w:sz w:val="18"/>
                <w:szCs w:val="18"/>
              </w:rPr>
              <w:t>d</w:t>
            </w:r>
            <w:r w:rsidR="008A3F95" w:rsidRPr="00176CBE">
              <w:rPr>
                <w:rFonts w:ascii="Arial" w:hAnsi="Arial" w:cs="Arial"/>
                <w:bCs/>
                <w:color w:val="000000"/>
                <w:sz w:val="18"/>
                <w:szCs w:val="18"/>
              </w:rPr>
              <w:t>ebt</w:t>
            </w:r>
          </w:p>
        </w:tc>
        <w:tc>
          <w:tcPr>
            <w:tcW w:w="984" w:type="dxa"/>
            <w:shd w:val="clear" w:color="auto" w:fill="auto"/>
            <w:noWrap/>
            <w:vAlign w:val="center"/>
            <w:hideMark/>
          </w:tcPr>
          <w:p w14:paraId="7702D8CF" w14:textId="77777777" w:rsidR="009218FA" w:rsidRPr="00176CBE" w:rsidRDefault="009218FA" w:rsidP="00176CBE">
            <w:pPr>
              <w:jc w:val="right"/>
              <w:rPr>
                <w:rFonts w:ascii="Arial" w:hAnsi="Arial" w:cs="Arial"/>
                <w:bCs/>
                <w:color w:val="000000"/>
                <w:sz w:val="18"/>
                <w:szCs w:val="18"/>
              </w:rPr>
            </w:pPr>
            <w:r w:rsidRPr="00176CBE">
              <w:rPr>
                <w:rFonts w:ascii="Arial" w:hAnsi="Arial" w:cs="Arial"/>
                <w:bCs/>
                <w:color w:val="000000"/>
                <w:sz w:val="18"/>
                <w:szCs w:val="18"/>
              </w:rPr>
              <w:t>6.50%</w:t>
            </w:r>
          </w:p>
        </w:tc>
      </w:tr>
      <w:tr w:rsidR="009218FA" w:rsidRPr="00565022" w14:paraId="0CE538B8" w14:textId="77777777" w:rsidTr="001A359C">
        <w:trPr>
          <w:trHeight w:val="364"/>
          <w:jc w:val="center"/>
        </w:trPr>
        <w:tc>
          <w:tcPr>
            <w:tcW w:w="2072" w:type="dxa"/>
            <w:shd w:val="clear" w:color="auto" w:fill="auto"/>
            <w:noWrap/>
            <w:vAlign w:val="center"/>
            <w:hideMark/>
          </w:tcPr>
          <w:p w14:paraId="32CB69ED" w14:textId="77777777" w:rsidR="009218FA" w:rsidRPr="00176CBE" w:rsidRDefault="009218FA" w:rsidP="009218FA">
            <w:pPr>
              <w:rPr>
                <w:rFonts w:ascii="Arial" w:hAnsi="Arial" w:cs="Arial"/>
                <w:bCs/>
                <w:color w:val="000000"/>
                <w:sz w:val="18"/>
                <w:szCs w:val="18"/>
              </w:rPr>
            </w:pPr>
            <w:r w:rsidRPr="00176CBE">
              <w:rPr>
                <w:rFonts w:ascii="Arial" w:hAnsi="Arial" w:cs="Arial"/>
                <w:bCs/>
                <w:color w:val="000000"/>
                <w:sz w:val="18"/>
                <w:szCs w:val="18"/>
              </w:rPr>
              <w:t>Debt at time of offering</w:t>
            </w:r>
          </w:p>
        </w:tc>
        <w:tc>
          <w:tcPr>
            <w:tcW w:w="984" w:type="dxa"/>
            <w:shd w:val="clear" w:color="auto" w:fill="auto"/>
            <w:noWrap/>
            <w:vAlign w:val="center"/>
            <w:hideMark/>
          </w:tcPr>
          <w:p w14:paraId="40AB7646" w14:textId="77777777" w:rsidR="009218FA" w:rsidRPr="00176CBE" w:rsidRDefault="009218FA" w:rsidP="00176CBE">
            <w:pPr>
              <w:jc w:val="right"/>
              <w:rPr>
                <w:rFonts w:ascii="Arial" w:hAnsi="Arial" w:cs="Arial"/>
                <w:bCs/>
                <w:color w:val="000000"/>
                <w:sz w:val="18"/>
                <w:szCs w:val="18"/>
              </w:rPr>
            </w:pPr>
            <w:r w:rsidRPr="00176CBE">
              <w:rPr>
                <w:rFonts w:ascii="Arial" w:hAnsi="Arial" w:cs="Arial"/>
                <w:bCs/>
                <w:color w:val="000000"/>
                <w:sz w:val="18"/>
                <w:szCs w:val="18"/>
              </w:rPr>
              <w:t>0</w:t>
            </w:r>
          </w:p>
        </w:tc>
      </w:tr>
      <w:tr w:rsidR="009218FA" w:rsidRPr="00565022" w14:paraId="63DA9746" w14:textId="77777777" w:rsidTr="001A359C">
        <w:trPr>
          <w:trHeight w:val="364"/>
          <w:jc w:val="center"/>
        </w:trPr>
        <w:tc>
          <w:tcPr>
            <w:tcW w:w="2072" w:type="dxa"/>
            <w:shd w:val="clear" w:color="auto" w:fill="auto"/>
            <w:noWrap/>
            <w:vAlign w:val="center"/>
            <w:hideMark/>
          </w:tcPr>
          <w:p w14:paraId="50BDA3CA" w14:textId="3DDD8121" w:rsidR="009218FA" w:rsidRPr="00176CBE" w:rsidRDefault="009218FA" w:rsidP="008A3F95">
            <w:pPr>
              <w:rPr>
                <w:rFonts w:ascii="Arial" w:hAnsi="Arial" w:cs="Arial"/>
                <w:bCs/>
                <w:color w:val="000000"/>
                <w:sz w:val="18"/>
                <w:szCs w:val="18"/>
              </w:rPr>
            </w:pPr>
            <w:r w:rsidRPr="00176CBE">
              <w:rPr>
                <w:rFonts w:ascii="Arial" w:hAnsi="Arial" w:cs="Arial"/>
                <w:bCs/>
                <w:color w:val="000000"/>
                <w:sz w:val="18"/>
                <w:szCs w:val="18"/>
              </w:rPr>
              <w:t xml:space="preserve">Tax </w:t>
            </w:r>
            <w:r w:rsidR="008A3F95">
              <w:rPr>
                <w:rFonts w:ascii="Arial" w:hAnsi="Arial" w:cs="Arial"/>
                <w:bCs/>
                <w:color w:val="000000"/>
                <w:sz w:val="18"/>
                <w:szCs w:val="18"/>
              </w:rPr>
              <w:t>r</w:t>
            </w:r>
            <w:r w:rsidR="008A3F95" w:rsidRPr="00176CBE">
              <w:rPr>
                <w:rFonts w:ascii="Arial" w:hAnsi="Arial" w:cs="Arial"/>
                <w:bCs/>
                <w:color w:val="000000"/>
                <w:sz w:val="18"/>
                <w:szCs w:val="18"/>
              </w:rPr>
              <w:t>ate</w:t>
            </w:r>
          </w:p>
        </w:tc>
        <w:tc>
          <w:tcPr>
            <w:tcW w:w="984" w:type="dxa"/>
            <w:shd w:val="clear" w:color="auto" w:fill="auto"/>
            <w:noWrap/>
            <w:vAlign w:val="center"/>
            <w:hideMark/>
          </w:tcPr>
          <w:p w14:paraId="16415806" w14:textId="77777777" w:rsidR="009218FA" w:rsidRPr="00176CBE" w:rsidRDefault="009218FA" w:rsidP="00176CBE">
            <w:pPr>
              <w:jc w:val="right"/>
              <w:rPr>
                <w:rFonts w:ascii="Arial" w:hAnsi="Arial" w:cs="Arial"/>
                <w:bCs/>
                <w:color w:val="000000"/>
                <w:sz w:val="18"/>
                <w:szCs w:val="18"/>
              </w:rPr>
            </w:pPr>
            <w:r w:rsidRPr="00176CBE">
              <w:rPr>
                <w:rFonts w:ascii="Arial" w:hAnsi="Arial" w:cs="Arial"/>
                <w:bCs/>
                <w:color w:val="000000"/>
                <w:sz w:val="18"/>
                <w:szCs w:val="18"/>
              </w:rPr>
              <w:t>30%</w:t>
            </w:r>
          </w:p>
        </w:tc>
      </w:tr>
    </w:tbl>
    <w:p w14:paraId="0BAA2D38" w14:textId="77777777" w:rsidR="001A359C" w:rsidRDefault="001A359C" w:rsidP="004350B2">
      <w:pPr>
        <w:pStyle w:val="Footnote"/>
      </w:pPr>
    </w:p>
    <w:p w14:paraId="5CF2F794" w14:textId="67EB20C9" w:rsidR="009218FA" w:rsidRPr="004350B2" w:rsidRDefault="009218FA" w:rsidP="004350B2">
      <w:pPr>
        <w:pStyle w:val="Footnote"/>
      </w:pPr>
      <w:r w:rsidRPr="004350B2">
        <w:t xml:space="preserve">Source: </w:t>
      </w:r>
      <w:r w:rsidR="00135B37">
        <w:t>Case authors’ estimates</w:t>
      </w:r>
      <w:r w:rsidR="006579E7">
        <w:t>.</w:t>
      </w:r>
    </w:p>
    <w:sectPr w:rsidR="009218FA" w:rsidRPr="004350B2" w:rsidSect="00EB5410">
      <w:headerReference w:type="default" r:id="rId13"/>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EB4A5" w14:textId="77777777" w:rsidR="00546393" w:rsidRDefault="00546393" w:rsidP="00D75295">
      <w:r>
        <w:separator/>
      </w:r>
    </w:p>
  </w:endnote>
  <w:endnote w:type="continuationSeparator" w:id="0">
    <w:p w14:paraId="7D06685B" w14:textId="77777777" w:rsidR="00546393" w:rsidRDefault="00546393"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Times">
    <w:altName w:val="﷽﷽﷽﷽﷽﷽﷽﷽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FAAE6" w14:textId="77777777" w:rsidR="00546393" w:rsidRDefault="00546393" w:rsidP="00D75295">
      <w:r>
        <w:separator/>
      </w:r>
    </w:p>
  </w:footnote>
  <w:footnote w:type="continuationSeparator" w:id="0">
    <w:p w14:paraId="2B33BB3C" w14:textId="77777777" w:rsidR="00546393" w:rsidRDefault="00546393" w:rsidP="00D75295">
      <w:r>
        <w:continuationSeparator/>
      </w:r>
    </w:p>
  </w:footnote>
  <w:footnote w:id="1">
    <w:p w14:paraId="50A2164D" w14:textId="77777777" w:rsidR="00546393" w:rsidRPr="001F4B82" w:rsidRDefault="00546393" w:rsidP="001F4B82">
      <w:pPr>
        <w:pStyle w:val="Footnote"/>
        <w:rPr>
          <w:lang w:val="en-AU"/>
        </w:rPr>
      </w:pPr>
      <w:r>
        <w:rPr>
          <w:rStyle w:val="FootnoteReference"/>
        </w:rPr>
        <w:footnoteRef/>
      </w:r>
      <w:r>
        <w:t xml:space="preserve"> </w:t>
      </w:r>
      <w:r>
        <w:rPr>
          <w:lang w:val="en-AU"/>
        </w:rPr>
        <w:t xml:space="preserve">This case has been written on the basis of published sources only. Consequently, the interpretation and perspective presented in this case are not necessarily those of Medibank or any of its employees. </w:t>
      </w:r>
    </w:p>
  </w:footnote>
  <w:footnote w:id="2">
    <w:p w14:paraId="753E57C5" w14:textId="6D530C83" w:rsidR="00546393" w:rsidRPr="001F4B82" w:rsidRDefault="00546393" w:rsidP="001F4B82">
      <w:pPr>
        <w:pStyle w:val="Footnote"/>
        <w:rPr>
          <w:lang w:val="en-AU"/>
        </w:rPr>
      </w:pPr>
      <w:r>
        <w:rPr>
          <w:rStyle w:val="FootnoteReference"/>
        </w:rPr>
        <w:footnoteRef/>
      </w:r>
      <w:r>
        <w:t xml:space="preserve"> </w:t>
      </w:r>
      <w:r>
        <w:rPr>
          <w:lang w:val="en-AU"/>
        </w:rPr>
        <w:t xml:space="preserve">All figures are in Australian dollars unless otherwise specified; US$1 = AU$1.1796 on November 30, 2014. </w:t>
      </w:r>
    </w:p>
  </w:footnote>
  <w:footnote w:id="3">
    <w:p w14:paraId="4C99D7A0" w14:textId="254DA2E5" w:rsidR="00546393" w:rsidRPr="003C0936" w:rsidRDefault="00546393" w:rsidP="00C041A3">
      <w:pPr>
        <w:pStyle w:val="Footnote"/>
      </w:pPr>
      <w:r w:rsidRPr="00984781">
        <w:rPr>
          <w:rStyle w:val="FootnoteReference"/>
        </w:rPr>
        <w:footnoteRef/>
      </w:r>
      <w:r w:rsidRPr="00984781">
        <w:t xml:space="preserve"> Luke Buckmaster and Jerome Davidson, </w:t>
      </w:r>
      <w:r w:rsidRPr="00263A51">
        <w:rPr>
          <w:rFonts w:eastAsiaTheme="minorHAnsi"/>
          <w:i/>
        </w:rPr>
        <w:t>The Proposed Sale of Medibank Private: Historical, Legal and Policy Perspectives</w:t>
      </w:r>
      <w:r>
        <w:rPr>
          <w:rFonts w:eastAsiaTheme="minorHAnsi"/>
          <w:i/>
        </w:rPr>
        <w:t xml:space="preserve"> </w:t>
      </w:r>
      <w:r>
        <w:rPr>
          <w:rFonts w:eastAsiaTheme="minorHAnsi"/>
        </w:rPr>
        <w:t>(</w:t>
      </w:r>
      <w:r w:rsidRPr="00984781">
        <w:t xml:space="preserve">Department of Parliamentary Services, </w:t>
      </w:r>
      <w:r w:rsidRPr="00984781">
        <w:rPr>
          <w:rFonts w:eastAsiaTheme="minorHAnsi"/>
        </w:rPr>
        <w:t>September 1, 2006</w:t>
      </w:r>
      <w:r>
        <w:rPr>
          <w:rFonts w:eastAsiaTheme="minorHAnsi"/>
        </w:rPr>
        <w:t>)</w:t>
      </w:r>
      <w:r w:rsidRPr="00984781">
        <w:rPr>
          <w:rFonts w:eastAsiaTheme="minorHAnsi"/>
        </w:rPr>
        <w:t xml:space="preserve">, 13, </w:t>
      </w:r>
      <w:r>
        <w:rPr>
          <w:rFonts w:eastAsiaTheme="minorHAnsi"/>
        </w:rPr>
        <w:t xml:space="preserve">accessed March 23, 2017, </w:t>
      </w:r>
      <w:r w:rsidRPr="00984781">
        <w:rPr>
          <w:rFonts w:eastAsiaTheme="minorHAnsi"/>
        </w:rPr>
        <w:t>www.aph.gov.au/binaries/library/pubs/rb</w:t>
      </w:r>
      <w:r>
        <w:rPr>
          <w:rFonts w:eastAsiaTheme="minorHAnsi"/>
        </w:rPr>
        <w:t xml:space="preserve"> </w:t>
      </w:r>
      <w:r w:rsidRPr="00984781">
        <w:rPr>
          <w:rFonts w:eastAsiaTheme="minorHAnsi"/>
        </w:rPr>
        <w:t>/2006-07/07rb02.pdf.</w:t>
      </w:r>
    </w:p>
  </w:footnote>
  <w:footnote w:id="4">
    <w:p w14:paraId="73BA0B90" w14:textId="68E1E51C" w:rsidR="00546393" w:rsidRPr="003A1C85" w:rsidRDefault="00546393" w:rsidP="003A1C85">
      <w:pPr>
        <w:pStyle w:val="Footnote"/>
        <w:rPr>
          <w:rFonts w:eastAsiaTheme="minorHAnsi"/>
        </w:rPr>
      </w:pPr>
      <w:r w:rsidRPr="00263A51">
        <w:rPr>
          <w:rStyle w:val="FootnoteReference"/>
        </w:rPr>
        <w:footnoteRef/>
      </w:r>
      <w:r w:rsidRPr="003A1C85">
        <w:t xml:space="preserve"> </w:t>
      </w:r>
      <w:r>
        <w:t>Luke Buckmaster and Jerome Davidson, op. cit.</w:t>
      </w:r>
    </w:p>
  </w:footnote>
  <w:footnote w:id="5">
    <w:p w14:paraId="435A7BD6" w14:textId="7879904F" w:rsidR="00546393" w:rsidRPr="00975032" w:rsidRDefault="00546393" w:rsidP="003A1C85">
      <w:pPr>
        <w:pStyle w:val="Footnote"/>
        <w:rPr>
          <w:lang w:val="en-AU"/>
        </w:rPr>
      </w:pPr>
      <w:r w:rsidRPr="00984781">
        <w:rPr>
          <w:vertAlign w:val="superscript"/>
        </w:rPr>
        <w:footnoteRef/>
      </w:r>
      <w:r w:rsidRPr="003A1C85">
        <w:t xml:space="preserve"> Morningstar Equity Research</w:t>
      </w:r>
      <w:r>
        <w:t xml:space="preserve">, </w:t>
      </w:r>
      <w:r w:rsidRPr="00263A51">
        <w:rPr>
          <w:i/>
        </w:rPr>
        <w:t>Medibank Well Positioned for Long-Term Growth: Investors Should Pre-Register for the Medibank IPO</w:t>
      </w:r>
      <w:r>
        <w:t xml:space="preserve"> </w:t>
      </w:r>
      <w:r w:rsidR="00C4400C">
        <w:t>(</w:t>
      </w:r>
      <w:r>
        <w:t>September 24, 2014</w:t>
      </w:r>
      <w:r w:rsidR="00C4400C">
        <w:t>)</w:t>
      </w:r>
      <w:r>
        <w:t xml:space="preserve">, </w:t>
      </w:r>
      <w:r>
        <w:rPr>
          <w:rFonts w:eastAsiaTheme="minorHAnsi"/>
        </w:rPr>
        <w:t xml:space="preserve">accessed March 23, 2017, </w:t>
      </w:r>
      <w:r w:rsidRPr="003B289F">
        <w:t>https://morgans.com.au/Branches/QLD/kedron/~/media/</w:t>
      </w:r>
      <w:r>
        <w:t xml:space="preserve"> </w:t>
      </w:r>
      <w:r w:rsidRPr="003B289F">
        <w:t>968C7C82F64D48DA8B8267AC12382F28.ashx</w:t>
      </w:r>
      <w:r w:rsidRPr="003A1C85">
        <w:t>.</w:t>
      </w:r>
      <w:r w:rsidRPr="00975032">
        <w:rPr>
          <w:sz w:val="22"/>
          <w:szCs w:val="22"/>
        </w:rPr>
        <w:t xml:space="preserve"> </w:t>
      </w:r>
    </w:p>
  </w:footnote>
  <w:footnote w:id="6">
    <w:p w14:paraId="66BC82B5" w14:textId="038A0F5A" w:rsidR="00546393" w:rsidRPr="007523E0" w:rsidRDefault="00546393" w:rsidP="00984781">
      <w:pPr>
        <w:pStyle w:val="Footnote"/>
      </w:pPr>
      <w:r w:rsidRPr="00984781">
        <w:rPr>
          <w:rStyle w:val="FootnoteReference"/>
        </w:rPr>
        <w:footnoteRef/>
      </w:r>
      <w:r w:rsidRPr="00984781">
        <w:t xml:space="preserve"> </w:t>
      </w:r>
      <w:r>
        <w:t xml:space="preserve">“A Timeline of Healthcare Innovation,” Medibank, </w:t>
      </w:r>
      <w:r>
        <w:rPr>
          <w:rFonts w:eastAsiaTheme="minorHAnsi"/>
        </w:rPr>
        <w:t xml:space="preserve">accessed March 23, 2017, </w:t>
      </w:r>
      <w:r w:rsidRPr="00984781">
        <w:t>www.medibank.com.au/about/company/overview/history</w:t>
      </w:r>
      <w:r>
        <w:t>.</w:t>
      </w:r>
    </w:p>
  </w:footnote>
  <w:footnote w:id="7">
    <w:p w14:paraId="014DA992" w14:textId="604CF619" w:rsidR="00546393" w:rsidRPr="003A1C85" w:rsidRDefault="00546393" w:rsidP="003A1C85">
      <w:pPr>
        <w:pStyle w:val="Footnote"/>
        <w:rPr>
          <w:highlight w:val="green"/>
          <w:lang w:val="en-AU"/>
        </w:rPr>
      </w:pPr>
      <w:r>
        <w:rPr>
          <w:rStyle w:val="FootnoteReference"/>
        </w:rPr>
        <w:footnoteRef/>
      </w:r>
      <w:r>
        <w:t xml:space="preserve"> </w:t>
      </w:r>
      <w:r>
        <w:rPr>
          <w:lang w:val="en-AU"/>
        </w:rPr>
        <w:t xml:space="preserve">Medibank Private, </w:t>
      </w:r>
      <w:r w:rsidRPr="00263A51">
        <w:rPr>
          <w:i/>
        </w:rPr>
        <w:t xml:space="preserve">Share in the </w:t>
      </w:r>
      <w:r>
        <w:rPr>
          <w:i/>
        </w:rPr>
        <w:t>F</w:t>
      </w:r>
      <w:r w:rsidRPr="00263A51">
        <w:rPr>
          <w:i/>
        </w:rPr>
        <w:t>uture of Medibank Private</w:t>
      </w:r>
      <w:r w:rsidRPr="003972C9">
        <w:t xml:space="preserve"> </w:t>
      </w:r>
      <w:r>
        <w:t>(</w:t>
      </w:r>
      <w:r>
        <w:rPr>
          <w:lang w:val="en-AU"/>
        </w:rPr>
        <w:t xml:space="preserve">October 2014), 38, </w:t>
      </w:r>
      <w:r>
        <w:rPr>
          <w:rFonts w:eastAsiaTheme="minorHAnsi"/>
        </w:rPr>
        <w:t xml:space="preserve">accessed March 23, 2017, </w:t>
      </w:r>
      <w:r w:rsidRPr="001D1D1E">
        <w:rPr>
          <w:lang w:val="en-AU"/>
        </w:rPr>
        <w:t>www.medibank.com.au/content/dam/medibank/About-Us/pdfs/privatisation/Medibank-Private-Prospectus.pdf</w:t>
      </w:r>
      <w:r>
        <w:rPr>
          <w:lang w:val="en-AU"/>
        </w:rPr>
        <w:t>.</w:t>
      </w:r>
    </w:p>
  </w:footnote>
  <w:footnote w:id="8">
    <w:p w14:paraId="1B6EFDF0" w14:textId="03B68CF7" w:rsidR="00546393" w:rsidRPr="003A1C85" w:rsidRDefault="00546393" w:rsidP="003A1C85">
      <w:pPr>
        <w:pStyle w:val="Footnote"/>
        <w:rPr>
          <w:lang w:val="en-AU"/>
        </w:rPr>
      </w:pPr>
      <w:r w:rsidRPr="00CE2920">
        <w:rPr>
          <w:rStyle w:val="FootnoteReference"/>
        </w:rPr>
        <w:footnoteRef/>
      </w:r>
      <w:r w:rsidRPr="00CE2920">
        <w:t xml:space="preserve"> </w:t>
      </w:r>
      <w:r>
        <w:rPr>
          <w:lang w:val="en-AU"/>
        </w:rPr>
        <w:t>Ibid., 13.</w:t>
      </w:r>
    </w:p>
  </w:footnote>
  <w:footnote w:id="9">
    <w:p w14:paraId="0C10A700" w14:textId="34BEAE32" w:rsidR="00546393" w:rsidRPr="00DA5105" w:rsidRDefault="00546393" w:rsidP="003A1C85">
      <w:pPr>
        <w:pStyle w:val="Footnote"/>
        <w:rPr>
          <w:lang w:val="en-AU"/>
        </w:rPr>
      </w:pPr>
      <w:r>
        <w:rPr>
          <w:rStyle w:val="FootnoteReference"/>
        </w:rPr>
        <w:footnoteRef/>
      </w:r>
      <w:r>
        <w:t xml:space="preserve"> Luke Buckmaster and Jerome Davidson, op. cit. </w:t>
      </w:r>
    </w:p>
  </w:footnote>
  <w:footnote w:id="10">
    <w:p w14:paraId="4F111749" w14:textId="1B066B3E" w:rsidR="00546393" w:rsidRPr="00546393" w:rsidRDefault="00546393" w:rsidP="00546393">
      <w:pPr>
        <w:pStyle w:val="Footnote"/>
        <w:rPr>
          <w:lang w:val="en-AU"/>
        </w:rPr>
      </w:pPr>
      <w:r>
        <w:rPr>
          <w:rStyle w:val="FootnoteReference"/>
        </w:rPr>
        <w:footnoteRef/>
      </w:r>
      <w:r>
        <w:t xml:space="preserve"> </w:t>
      </w:r>
      <w:r w:rsidRPr="00403E03">
        <w:rPr>
          <w:lang w:val="en-AU"/>
        </w:rPr>
        <w:t xml:space="preserve">Medibank Private, </w:t>
      </w:r>
      <w:r w:rsidRPr="00C4400C">
        <w:rPr>
          <w:i/>
          <w:lang w:val="en-AU"/>
        </w:rPr>
        <w:t>Share in the Future of Medibank Private</w:t>
      </w:r>
      <w:r w:rsidR="00C4400C">
        <w:rPr>
          <w:lang w:val="en-AU"/>
        </w:rPr>
        <w:t>, op. cit.</w:t>
      </w:r>
    </w:p>
  </w:footnote>
  <w:footnote w:id="11">
    <w:p w14:paraId="74598718" w14:textId="10114544" w:rsidR="00546393" w:rsidRPr="00546393" w:rsidRDefault="00546393" w:rsidP="00546393">
      <w:pPr>
        <w:pStyle w:val="Footnote"/>
        <w:rPr>
          <w:lang w:val="en-AU"/>
        </w:rPr>
      </w:pPr>
      <w:r>
        <w:rPr>
          <w:rStyle w:val="FootnoteReference"/>
        </w:rPr>
        <w:footnoteRef/>
      </w:r>
      <w:r>
        <w:t xml:space="preserve"> </w:t>
      </w:r>
      <w:r>
        <w:rPr>
          <w:lang w:val="en-AU"/>
        </w:rPr>
        <w:t>(147.4/68.8)</w:t>
      </w:r>
      <w:r>
        <w:rPr>
          <w:vertAlign w:val="superscript"/>
          <w:lang w:val="en-AU"/>
        </w:rPr>
        <w:t>(1/10)</w:t>
      </w:r>
      <w:r>
        <w:rPr>
          <w:lang w:val="en-AU"/>
        </w:rPr>
        <w:t>-1 = 7.9%</w:t>
      </w:r>
    </w:p>
  </w:footnote>
  <w:footnote w:id="12">
    <w:p w14:paraId="75E35C90" w14:textId="2D0E2A21" w:rsidR="00546393" w:rsidRPr="00E4746A" w:rsidRDefault="00546393" w:rsidP="0066410F">
      <w:pPr>
        <w:pStyle w:val="Footnote"/>
        <w:rPr>
          <w:lang w:val="en-AU"/>
        </w:rPr>
      </w:pPr>
      <w:r w:rsidRPr="00E4746A">
        <w:rPr>
          <w:rStyle w:val="FootnoteReference"/>
        </w:rPr>
        <w:footnoteRef/>
      </w:r>
      <w:r w:rsidRPr="00E4746A">
        <w:t xml:space="preserve"> </w:t>
      </w:r>
      <w:r w:rsidRPr="00E4746A">
        <w:rPr>
          <w:lang w:val="en-AU"/>
        </w:rPr>
        <w:t>Medibank Private, op. cit., 27.</w:t>
      </w:r>
    </w:p>
  </w:footnote>
  <w:footnote w:id="13">
    <w:p w14:paraId="2E62F34B" w14:textId="47D56237" w:rsidR="00546393" w:rsidRPr="00E4746A" w:rsidRDefault="00546393" w:rsidP="003A1C85">
      <w:pPr>
        <w:pStyle w:val="Footnote"/>
        <w:rPr>
          <w:lang w:val="en-AU"/>
        </w:rPr>
      </w:pPr>
      <w:r w:rsidRPr="00E4746A">
        <w:rPr>
          <w:rStyle w:val="FootnoteReference"/>
        </w:rPr>
        <w:footnoteRef/>
      </w:r>
      <w:r w:rsidRPr="00E4746A">
        <w:t xml:space="preserve"> Australian Institute of Health and Welfare, </w:t>
      </w:r>
      <w:r w:rsidRPr="00263A51">
        <w:rPr>
          <w:i/>
        </w:rPr>
        <w:t>Australia’s Health 2014</w:t>
      </w:r>
      <w:r w:rsidRPr="00E4746A">
        <w:t xml:space="preserve"> </w:t>
      </w:r>
      <w:r>
        <w:t>(</w:t>
      </w:r>
      <w:r w:rsidRPr="00E4746A">
        <w:t>May 22, 2014</w:t>
      </w:r>
      <w:r>
        <w:t>)</w:t>
      </w:r>
      <w:r w:rsidRPr="00E4746A">
        <w:t xml:space="preserve">, </w:t>
      </w:r>
      <w:r>
        <w:rPr>
          <w:rFonts w:eastAsiaTheme="minorHAnsi"/>
        </w:rPr>
        <w:t xml:space="preserve">accessed March 23, 2017, </w:t>
      </w:r>
      <w:r w:rsidRPr="00E4746A">
        <w:t>www.aihw.gov.au/WorkArea/DownloadAsset.aspx?id=60129548150.</w:t>
      </w:r>
    </w:p>
  </w:footnote>
  <w:footnote w:id="14">
    <w:p w14:paraId="251C4091" w14:textId="09A20EE0" w:rsidR="00546393" w:rsidRPr="00E4746A" w:rsidRDefault="00546393" w:rsidP="003A1C85">
      <w:pPr>
        <w:pStyle w:val="Footnote"/>
        <w:rPr>
          <w:lang w:val="en-AU"/>
        </w:rPr>
      </w:pPr>
      <w:r w:rsidRPr="00E4746A">
        <w:rPr>
          <w:rStyle w:val="FootnoteReference"/>
        </w:rPr>
        <w:footnoteRef/>
      </w:r>
      <w:r w:rsidRPr="00E4746A">
        <w:t xml:space="preserve"> Luke Buckmaster and Jerome Davidson, op. cit. </w:t>
      </w:r>
    </w:p>
  </w:footnote>
  <w:footnote w:id="15">
    <w:p w14:paraId="47E5B69E" w14:textId="23206013" w:rsidR="00546393" w:rsidRPr="00E4746A" w:rsidRDefault="00546393" w:rsidP="003A1C85">
      <w:pPr>
        <w:pStyle w:val="Footnote"/>
        <w:rPr>
          <w:lang w:val="en-AU"/>
        </w:rPr>
      </w:pPr>
      <w:r w:rsidRPr="00E4746A">
        <w:rPr>
          <w:rStyle w:val="FootnoteReference"/>
        </w:rPr>
        <w:footnoteRef/>
      </w:r>
      <w:r w:rsidRPr="00E4746A">
        <w:t xml:space="preserve"> Private Health Insurance Administration Council, </w:t>
      </w:r>
      <w:r w:rsidRPr="00263A51">
        <w:rPr>
          <w:i/>
        </w:rPr>
        <w:t>Membership and Coverage</w:t>
      </w:r>
      <w:r w:rsidRPr="00E4746A">
        <w:t xml:space="preserve"> (2015), </w:t>
      </w:r>
      <w:r>
        <w:rPr>
          <w:rFonts w:eastAsiaTheme="minorHAnsi"/>
        </w:rPr>
        <w:t xml:space="preserve">accessed March 23, 2017, </w:t>
      </w:r>
      <w:r w:rsidRPr="00E4746A">
        <w:t>www.apra.gov.au/PHI/PHIAC-Archive/Documents/MembCoverage-Mar15.pdf.</w:t>
      </w:r>
    </w:p>
  </w:footnote>
  <w:footnote w:id="16">
    <w:p w14:paraId="529BB13A" w14:textId="62BCD411" w:rsidR="00546393" w:rsidRPr="00E4746A" w:rsidRDefault="00546393" w:rsidP="003A1C85">
      <w:pPr>
        <w:pStyle w:val="Footnote"/>
        <w:rPr>
          <w:lang w:val="en-AU"/>
        </w:rPr>
      </w:pPr>
      <w:r w:rsidRPr="00E4746A">
        <w:rPr>
          <w:rStyle w:val="FootnoteReference"/>
        </w:rPr>
        <w:footnoteRef/>
      </w:r>
      <w:r w:rsidRPr="00E4746A">
        <w:t xml:space="preserve"> Medibank Private, op. cit., 28.</w:t>
      </w:r>
    </w:p>
  </w:footnote>
  <w:footnote w:id="17">
    <w:p w14:paraId="39EAD224" w14:textId="59AF3897" w:rsidR="00546393" w:rsidRPr="00E4746A" w:rsidRDefault="00546393" w:rsidP="003A1C85">
      <w:pPr>
        <w:pStyle w:val="Footnote"/>
      </w:pPr>
      <w:r w:rsidRPr="00263A51">
        <w:rPr>
          <w:rStyle w:val="FootnoteReference"/>
        </w:rPr>
        <w:footnoteRef/>
      </w:r>
      <w:r w:rsidRPr="00E4746A">
        <w:t xml:space="preserve"> Private Health Insurance Administration Council</w:t>
      </w:r>
      <w:r>
        <w:t>,</w:t>
      </w:r>
      <w:r w:rsidRPr="00E4746A">
        <w:t xml:space="preserve"> </w:t>
      </w:r>
      <w:r w:rsidRPr="00263A51">
        <w:rPr>
          <w:i/>
        </w:rPr>
        <w:t>Quarterly Statistics</w:t>
      </w:r>
      <w:r w:rsidRPr="00E4746A">
        <w:t xml:space="preserve"> </w:t>
      </w:r>
      <w:r>
        <w:t>(</w:t>
      </w:r>
      <w:r w:rsidRPr="00E4746A">
        <w:t>June 2014</w:t>
      </w:r>
      <w:r>
        <w:t>)</w:t>
      </w:r>
      <w:r w:rsidRPr="00E4746A">
        <w:t xml:space="preserve">, </w:t>
      </w:r>
      <w:r>
        <w:rPr>
          <w:rFonts w:eastAsiaTheme="minorHAnsi"/>
        </w:rPr>
        <w:t xml:space="preserve">accessed March 23, 2017, </w:t>
      </w:r>
      <w:r w:rsidRPr="00E4746A">
        <w:t>www.apra.gov.au/PHI/PHIAC-Archive/Documents/Report-06-2014.pdf.</w:t>
      </w:r>
      <w:r>
        <w:t xml:space="preserve"> </w:t>
      </w:r>
    </w:p>
  </w:footnote>
  <w:footnote w:id="18">
    <w:p w14:paraId="008C8147" w14:textId="4C480EDC" w:rsidR="00546393" w:rsidRPr="00E4746A" w:rsidRDefault="00546393" w:rsidP="003A1C85">
      <w:pPr>
        <w:pStyle w:val="Footnote"/>
        <w:rPr>
          <w:lang w:val="en-AU"/>
        </w:rPr>
      </w:pPr>
      <w:r w:rsidRPr="00E4746A">
        <w:rPr>
          <w:rStyle w:val="FootnoteReference"/>
        </w:rPr>
        <w:footnoteRef/>
      </w:r>
      <w:r w:rsidRPr="00E4746A">
        <w:t xml:space="preserve"> “Australian Demographic Statistics: Annual Population Change,” Australian Bureau of Statistics, June 2014, </w:t>
      </w:r>
      <w:r>
        <w:rPr>
          <w:rFonts w:eastAsiaTheme="minorHAnsi"/>
        </w:rPr>
        <w:t xml:space="preserve">accessed March 23, 2017, </w:t>
      </w:r>
      <w:r w:rsidRPr="00E4746A">
        <w:t xml:space="preserve">www.abs.gov.au/AUSSTATS/abs@.nsf/Lookup/3101.0Main+Features1Jun%202014?OpenDocument. </w:t>
      </w:r>
    </w:p>
  </w:footnote>
  <w:footnote w:id="19">
    <w:p w14:paraId="29483E3C" w14:textId="4FBE2105" w:rsidR="00546393" w:rsidRPr="00E32353" w:rsidRDefault="00546393" w:rsidP="009218FA">
      <w:pPr>
        <w:pStyle w:val="Footnote"/>
      </w:pPr>
      <w:r w:rsidRPr="00263A51">
        <w:rPr>
          <w:rStyle w:val="FootnoteReference"/>
        </w:rPr>
        <w:footnoteRef/>
      </w:r>
      <w:r w:rsidRPr="00E4746A">
        <w:t xml:space="preserve"> Credit Suisse, </w:t>
      </w:r>
      <w:r w:rsidRPr="00263A51">
        <w:rPr>
          <w:i/>
        </w:rPr>
        <w:t>Global Wealth Report 2013</w:t>
      </w:r>
      <w:r w:rsidRPr="00E4746A">
        <w:t xml:space="preserve"> </w:t>
      </w:r>
      <w:r>
        <w:t>(</w:t>
      </w:r>
      <w:r w:rsidRPr="00E4746A">
        <w:t>October 2013</w:t>
      </w:r>
      <w:r>
        <w:t>)</w:t>
      </w:r>
      <w:r w:rsidRPr="00E4746A">
        <w:t xml:space="preserve">, 8, </w:t>
      </w:r>
      <w:r>
        <w:rPr>
          <w:rFonts w:eastAsiaTheme="minorHAnsi"/>
        </w:rPr>
        <w:t xml:space="preserve">accessed March 23, 2017, </w:t>
      </w:r>
      <w:r w:rsidRPr="00E4746A">
        <w:t>https://publications.credit-suisse.com/tasks/render/file/?fileID=BCDB1364-A105-0560-1332EC9100FF5C83.</w:t>
      </w:r>
      <w:r>
        <w:t xml:space="preserve"> </w:t>
      </w:r>
    </w:p>
  </w:footnote>
  <w:footnote w:id="20">
    <w:p w14:paraId="708C9560" w14:textId="1099385E" w:rsidR="00546393" w:rsidRPr="006579E7" w:rsidRDefault="00546393" w:rsidP="006579E7">
      <w:pPr>
        <w:pStyle w:val="Footnote"/>
        <w:rPr>
          <w:lang w:val="en-AU"/>
        </w:rPr>
      </w:pPr>
      <w:r w:rsidRPr="006579E7">
        <w:rPr>
          <w:rStyle w:val="FootnoteReference"/>
        </w:rPr>
        <w:footnoteRef/>
      </w:r>
      <w:r>
        <w:t xml:space="preserve"> </w:t>
      </w:r>
      <w:r w:rsidRPr="006579E7">
        <w:t xml:space="preserve">Australian Institute of Health and Welfare, </w:t>
      </w:r>
      <w:r w:rsidRPr="00263A51">
        <w:rPr>
          <w:i/>
        </w:rPr>
        <w:t>Health Expenditure Australia 2013–14</w:t>
      </w:r>
      <w:r w:rsidRPr="006579E7">
        <w:t xml:space="preserve"> </w:t>
      </w:r>
      <w:r>
        <w:t>(</w:t>
      </w:r>
      <w:r w:rsidRPr="006579E7">
        <w:t>2015</w:t>
      </w:r>
      <w:r>
        <w:t>)</w:t>
      </w:r>
      <w:r w:rsidRPr="006579E7">
        <w:t xml:space="preserve">, 6, </w:t>
      </w:r>
      <w:r>
        <w:rPr>
          <w:rFonts w:eastAsiaTheme="minorHAnsi"/>
        </w:rPr>
        <w:t xml:space="preserve">accessed March 23, 2017, </w:t>
      </w:r>
      <w:r w:rsidRPr="006579E7">
        <w:t>www.aihw.gov.au/WorkArea/DownloadAsset.aspx?id=60129552833.</w:t>
      </w:r>
    </w:p>
  </w:footnote>
  <w:footnote w:id="21">
    <w:p w14:paraId="53885B8A" w14:textId="57075D9C" w:rsidR="00546393" w:rsidRPr="002B403D" w:rsidRDefault="00546393" w:rsidP="002B403D">
      <w:pPr>
        <w:pStyle w:val="Footnote"/>
        <w:rPr>
          <w:lang w:val="en-AU"/>
        </w:rPr>
      </w:pPr>
      <w:r>
        <w:rPr>
          <w:rStyle w:val="FootnoteReference"/>
        </w:rPr>
        <w:footnoteRef/>
      </w:r>
      <w:r>
        <w:t xml:space="preserve"> </w:t>
      </w:r>
      <w:r>
        <w:rPr>
          <w:lang w:val="en-AU"/>
        </w:rPr>
        <w:t xml:space="preserve">Medibank Private, op. cit., 38–39. </w:t>
      </w:r>
    </w:p>
  </w:footnote>
  <w:footnote w:id="22">
    <w:p w14:paraId="312C9703" w14:textId="7744CAF7" w:rsidR="00546393" w:rsidRPr="002B403D" w:rsidRDefault="00546393" w:rsidP="002B403D">
      <w:pPr>
        <w:pStyle w:val="Footnote"/>
        <w:rPr>
          <w:lang w:val="en-AU"/>
        </w:rPr>
      </w:pPr>
      <w:r>
        <w:rPr>
          <w:rStyle w:val="FootnoteReference"/>
        </w:rPr>
        <w:footnoteRef/>
      </w:r>
      <w:r>
        <w:t xml:space="preserve"> “</w:t>
      </w:r>
      <w:r w:rsidRPr="00DD7406">
        <w:t>Australian Demographic Statistics: Annual Population Change</w:t>
      </w:r>
      <w:r w:rsidRPr="008F2057">
        <w:t>,</w:t>
      </w:r>
      <w:r>
        <w:t>” Australian Bureau of Statistics, op. cit.</w:t>
      </w:r>
    </w:p>
  </w:footnote>
  <w:footnote w:id="23">
    <w:p w14:paraId="16AA1008" w14:textId="190E2024" w:rsidR="00546393" w:rsidRPr="002B403D" w:rsidRDefault="00546393" w:rsidP="002B403D">
      <w:pPr>
        <w:pStyle w:val="Footnote"/>
        <w:rPr>
          <w:lang w:val="en-AU"/>
        </w:rPr>
      </w:pPr>
      <w:r>
        <w:rPr>
          <w:rStyle w:val="FootnoteReference"/>
        </w:rPr>
        <w:footnoteRef/>
      </w:r>
      <w:r>
        <w:t xml:space="preserve"> </w:t>
      </w:r>
      <w:r>
        <w:rPr>
          <w:lang w:val="en-AU"/>
        </w:rPr>
        <w:t xml:space="preserve">Medibank Private, op. cit., 3. </w:t>
      </w:r>
    </w:p>
  </w:footnote>
  <w:footnote w:id="24">
    <w:p w14:paraId="1535B064" w14:textId="252B66C2" w:rsidR="00546393" w:rsidRPr="002B403D" w:rsidRDefault="00546393" w:rsidP="002B403D">
      <w:pPr>
        <w:pStyle w:val="Footnote"/>
        <w:rPr>
          <w:lang w:val="en-AU"/>
        </w:rPr>
      </w:pPr>
      <w:r>
        <w:rPr>
          <w:rStyle w:val="FootnoteReference"/>
        </w:rPr>
        <w:footnoteRef/>
      </w:r>
      <w:r>
        <w:t xml:space="preserve"> “Insurance Explained,” Medibank, accessed January 7, 2017, </w:t>
      </w:r>
      <w:r w:rsidRPr="007075C9">
        <w:t>www.medibank.com.au/health-in</w:t>
      </w:r>
      <w:r>
        <w:t xml:space="preserve">surance/use/insurance-explained. </w:t>
      </w:r>
    </w:p>
  </w:footnote>
  <w:footnote w:id="25">
    <w:p w14:paraId="5E9349B0" w14:textId="61D62A0D" w:rsidR="00546393" w:rsidRPr="006579E7" w:rsidRDefault="00546393" w:rsidP="006579E7">
      <w:pPr>
        <w:pStyle w:val="Footnote"/>
      </w:pPr>
      <w:r w:rsidRPr="006579E7">
        <w:rPr>
          <w:rStyle w:val="FootnoteReference"/>
        </w:rPr>
        <w:footnoteRef/>
      </w:r>
      <w:r>
        <w:t xml:space="preserve"> Medibank</w:t>
      </w:r>
      <w:r w:rsidRPr="006579E7">
        <w:t xml:space="preserve">, </w:t>
      </w:r>
      <w:r w:rsidRPr="00263A51">
        <w:rPr>
          <w:i/>
        </w:rPr>
        <w:t>Medibank Private Limited Share Offer - Pre-Quotation Disclosure</w:t>
      </w:r>
      <w:r>
        <w:t xml:space="preserve"> (</w:t>
      </w:r>
      <w:r w:rsidRPr="006579E7">
        <w:t>November</w:t>
      </w:r>
      <w:r>
        <w:t xml:space="preserve"> </w:t>
      </w:r>
      <w:r w:rsidRPr="006579E7">
        <w:t>25, 2014</w:t>
      </w:r>
      <w:r>
        <w:t>)</w:t>
      </w:r>
      <w:r w:rsidRPr="006579E7">
        <w:t xml:space="preserve">, </w:t>
      </w:r>
      <w:r w:rsidR="00135B37">
        <w:rPr>
          <w:rFonts w:eastAsiaTheme="minorHAnsi"/>
        </w:rPr>
        <w:t xml:space="preserve">accessed March 23, 2017, </w:t>
      </w:r>
      <w:r w:rsidRPr="00263A51">
        <w:t>www.asx.com.au</w:t>
      </w:r>
      <w:r w:rsidRPr="006579E7">
        <w:t>/asxpdf/20141124/pdf/42tywgnjk43vcj.pdf.</w:t>
      </w:r>
    </w:p>
  </w:footnote>
  <w:footnote w:id="26">
    <w:p w14:paraId="51AA4ED6" w14:textId="77777777" w:rsidR="00546393" w:rsidRPr="002B403D" w:rsidRDefault="00546393" w:rsidP="00984781">
      <w:pPr>
        <w:pStyle w:val="Footnote"/>
        <w:rPr>
          <w:lang w:val="en-AU"/>
        </w:rPr>
      </w:pPr>
      <w:r>
        <w:rPr>
          <w:rStyle w:val="FootnoteReference"/>
        </w:rPr>
        <w:footnoteRef/>
      </w:r>
      <w:r>
        <w:t xml:space="preserve"> </w:t>
      </w:r>
      <w:r>
        <w:rPr>
          <w:lang w:val="en-AU"/>
        </w:rPr>
        <w:t xml:space="preserve">Medibank Private, op. cit., 3. </w:t>
      </w:r>
    </w:p>
  </w:footnote>
  <w:footnote w:id="27">
    <w:p w14:paraId="2BC40291" w14:textId="1169C835" w:rsidR="00546393" w:rsidRPr="0026216C" w:rsidRDefault="00546393" w:rsidP="002B403D">
      <w:pPr>
        <w:pStyle w:val="Footnote"/>
        <w:rPr>
          <w:lang w:val="en-AU"/>
        </w:rPr>
      </w:pPr>
      <w:r>
        <w:rPr>
          <w:rStyle w:val="FootnoteReference"/>
        </w:rPr>
        <w:footnoteRef/>
      </w:r>
      <w:r>
        <w:t xml:space="preserve"> </w:t>
      </w:r>
      <w:r>
        <w:rPr>
          <w:lang w:val="en-AU"/>
        </w:rPr>
        <w:t xml:space="preserve">Medibank Private, op. cit., 116.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9EE96" w14:textId="55ABC211" w:rsidR="00546393" w:rsidRDefault="00546393"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70950">
      <w:rPr>
        <w:rFonts w:ascii="Arial" w:hAnsi="Arial"/>
        <w:b/>
        <w:noProof/>
      </w:rPr>
      <w:t>13</w:t>
    </w:r>
    <w:r>
      <w:rPr>
        <w:rFonts w:ascii="Arial" w:hAnsi="Arial"/>
        <w:b/>
      </w:rPr>
      <w:fldChar w:fldCharType="end"/>
    </w:r>
    <w:r>
      <w:rPr>
        <w:rFonts w:ascii="Arial" w:hAnsi="Arial"/>
        <w:b/>
      </w:rPr>
      <w:tab/>
    </w:r>
    <w:r w:rsidR="00F70950">
      <w:rPr>
        <w:rFonts w:ascii="Arial" w:hAnsi="Arial"/>
        <w:b/>
      </w:rPr>
      <w:t>9B17N009</w:t>
    </w:r>
  </w:p>
  <w:p w14:paraId="6972C310" w14:textId="77777777" w:rsidR="00546393" w:rsidRPr="00C92CC4" w:rsidRDefault="00546393">
    <w:pPr>
      <w:pStyle w:val="Header"/>
      <w:rPr>
        <w:sz w:val="18"/>
        <w:szCs w:val="18"/>
      </w:rPr>
    </w:pPr>
  </w:p>
  <w:p w14:paraId="72B21D18" w14:textId="77777777" w:rsidR="00546393" w:rsidRPr="00C92CC4" w:rsidRDefault="00546393">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30C579B"/>
    <w:multiLevelType w:val="hybridMultilevel"/>
    <w:tmpl w:val="96B654B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4B96115A"/>
    <w:multiLevelType w:val="hybridMultilevel"/>
    <w:tmpl w:val="CFAA2C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557291C"/>
    <w:multiLevelType w:val="hybridMultilevel"/>
    <w:tmpl w:val="B8449C4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5"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6" w15:restartNumberingAfterBreak="0">
    <w:nsid w:val="707467F3"/>
    <w:multiLevelType w:val="multilevel"/>
    <w:tmpl w:val="26ECAD72"/>
    <w:lvl w:ilvl="0">
      <w:start w:val="1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1"/>
  </w:num>
  <w:num w:numId="15">
    <w:abstractNumId w:val="23"/>
  </w:num>
  <w:num w:numId="16">
    <w:abstractNumId w:val="24"/>
  </w:num>
  <w:num w:numId="17">
    <w:abstractNumId w:val="15"/>
  </w:num>
  <w:num w:numId="18">
    <w:abstractNumId w:val="25"/>
  </w:num>
  <w:num w:numId="19">
    <w:abstractNumId w:val="11"/>
  </w:num>
  <w:num w:numId="20">
    <w:abstractNumId w:val="10"/>
  </w:num>
  <w:num w:numId="21">
    <w:abstractNumId w:val="27"/>
  </w:num>
  <w:num w:numId="22">
    <w:abstractNumId w:val="18"/>
  </w:num>
  <w:num w:numId="23">
    <w:abstractNumId w:val="28"/>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8"/>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8"/>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17"/>
  </w:num>
  <w:num w:numId="29">
    <w:abstractNumId w:val="20"/>
  </w:num>
  <w:num w:numId="30">
    <w:abstractNumId w:val="22"/>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6348"/>
    <w:rsid w:val="000066A2"/>
    <w:rsid w:val="00013360"/>
    <w:rsid w:val="00013950"/>
    <w:rsid w:val="000147A6"/>
    <w:rsid w:val="00020713"/>
    <w:rsid w:val="000216CE"/>
    <w:rsid w:val="00023BA2"/>
    <w:rsid w:val="0002428F"/>
    <w:rsid w:val="00025DC7"/>
    <w:rsid w:val="00026486"/>
    <w:rsid w:val="00044ECC"/>
    <w:rsid w:val="00047D15"/>
    <w:rsid w:val="000531D3"/>
    <w:rsid w:val="000546DF"/>
    <w:rsid w:val="0005646B"/>
    <w:rsid w:val="0005651F"/>
    <w:rsid w:val="0005762C"/>
    <w:rsid w:val="0006072A"/>
    <w:rsid w:val="0007648C"/>
    <w:rsid w:val="00076974"/>
    <w:rsid w:val="00080B9D"/>
    <w:rsid w:val="0008102D"/>
    <w:rsid w:val="000861EF"/>
    <w:rsid w:val="00090104"/>
    <w:rsid w:val="000923AC"/>
    <w:rsid w:val="0009280E"/>
    <w:rsid w:val="00094C0E"/>
    <w:rsid w:val="00095296"/>
    <w:rsid w:val="0009763B"/>
    <w:rsid w:val="000C1436"/>
    <w:rsid w:val="000C1638"/>
    <w:rsid w:val="000C2D4A"/>
    <w:rsid w:val="000C6E47"/>
    <w:rsid w:val="000C741F"/>
    <w:rsid w:val="000D65EC"/>
    <w:rsid w:val="000D70F6"/>
    <w:rsid w:val="000E0E04"/>
    <w:rsid w:val="000E2C9C"/>
    <w:rsid w:val="000F0C22"/>
    <w:rsid w:val="000F6B09"/>
    <w:rsid w:val="000F6FDC"/>
    <w:rsid w:val="0010325C"/>
    <w:rsid w:val="00104567"/>
    <w:rsid w:val="00104D4C"/>
    <w:rsid w:val="00126157"/>
    <w:rsid w:val="0012732D"/>
    <w:rsid w:val="00127AAE"/>
    <w:rsid w:val="001302B9"/>
    <w:rsid w:val="00135B37"/>
    <w:rsid w:val="00135E4B"/>
    <w:rsid w:val="0014102A"/>
    <w:rsid w:val="00142D93"/>
    <w:rsid w:val="00154FC9"/>
    <w:rsid w:val="00166EE8"/>
    <w:rsid w:val="00176CBE"/>
    <w:rsid w:val="00176D1F"/>
    <w:rsid w:val="0017716E"/>
    <w:rsid w:val="00191209"/>
    <w:rsid w:val="0019241A"/>
    <w:rsid w:val="0019471D"/>
    <w:rsid w:val="0019698A"/>
    <w:rsid w:val="001970E1"/>
    <w:rsid w:val="001A1F89"/>
    <w:rsid w:val="001A359C"/>
    <w:rsid w:val="001A4CC2"/>
    <w:rsid w:val="001A5335"/>
    <w:rsid w:val="001A6CD8"/>
    <w:rsid w:val="001A752D"/>
    <w:rsid w:val="001C00F8"/>
    <w:rsid w:val="001C0BEC"/>
    <w:rsid w:val="001C5FC8"/>
    <w:rsid w:val="001C6257"/>
    <w:rsid w:val="001C7D90"/>
    <w:rsid w:val="001D0F33"/>
    <w:rsid w:val="001D25B3"/>
    <w:rsid w:val="001E34CC"/>
    <w:rsid w:val="001E6486"/>
    <w:rsid w:val="001F02CE"/>
    <w:rsid w:val="001F2587"/>
    <w:rsid w:val="001F4B82"/>
    <w:rsid w:val="00203AA1"/>
    <w:rsid w:val="002045D0"/>
    <w:rsid w:val="00204925"/>
    <w:rsid w:val="00210D72"/>
    <w:rsid w:val="00213E98"/>
    <w:rsid w:val="00225878"/>
    <w:rsid w:val="00227AC7"/>
    <w:rsid w:val="00247347"/>
    <w:rsid w:val="00251C74"/>
    <w:rsid w:val="002529A9"/>
    <w:rsid w:val="0025397E"/>
    <w:rsid w:val="002605D2"/>
    <w:rsid w:val="00261C16"/>
    <w:rsid w:val="00263A51"/>
    <w:rsid w:val="002645AB"/>
    <w:rsid w:val="002728A7"/>
    <w:rsid w:val="00275E76"/>
    <w:rsid w:val="002778FF"/>
    <w:rsid w:val="002808C3"/>
    <w:rsid w:val="00285D64"/>
    <w:rsid w:val="00292814"/>
    <w:rsid w:val="002A22B2"/>
    <w:rsid w:val="002A26EA"/>
    <w:rsid w:val="002A6AEB"/>
    <w:rsid w:val="002B20EC"/>
    <w:rsid w:val="002B403D"/>
    <w:rsid w:val="002B78F8"/>
    <w:rsid w:val="002C34A4"/>
    <w:rsid w:val="002C5BB6"/>
    <w:rsid w:val="002D2A6D"/>
    <w:rsid w:val="002D58F6"/>
    <w:rsid w:val="002D6513"/>
    <w:rsid w:val="002D745C"/>
    <w:rsid w:val="002E32F0"/>
    <w:rsid w:val="002F3B5D"/>
    <w:rsid w:val="002F4206"/>
    <w:rsid w:val="002F460C"/>
    <w:rsid w:val="002F48D6"/>
    <w:rsid w:val="00320A85"/>
    <w:rsid w:val="00320AF5"/>
    <w:rsid w:val="00321C12"/>
    <w:rsid w:val="003226D1"/>
    <w:rsid w:val="00326209"/>
    <w:rsid w:val="00326562"/>
    <w:rsid w:val="00327B9E"/>
    <w:rsid w:val="00327EE1"/>
    <w:rsid w:val="003331FE"/>
    <w:rsid w:val="003377B1"/>
    <w:rsid w:val="00343565"/>
    <w:rsid w:val="00352882"/>
    <w:rsid w:val="00354899"/>
    <w:rsid w:val="003558BD"/>
    <w:rsid w:val="00355FD6"/>
    <w:rsid w:val="00356803"/>
    <w:rsid w:val="00361C8E"/>
    <w:rsid w:val="00364A5C"/>
    <w:rsid w:val="003721B3"/>
    <w:rsid w:val="003733AE"/>
    <w:rsid w:val="00373FB1"/>
    <w:rsid w:val="00374B26"/>
    <w:rsid w:val="00395948"/>
    <w:rsid w:val="003972C9"/>
    <w:rsid w:val="003A1C85"/>
    <w:rsid w:val="003A5611"/>
    <w:rsid w:val="003B289F"/>
    <w:rsid w:val="003B30D8"/>
    <w:rsid w:val="003B7EF2"/>
    <w:rsid w:val="003C0936"/>
    <w:rsid w:val="003C3FA4"/>
    <w:rsid w:val="003D127F"/>
    <w:rsid w:val="003D43F0"/>
    <w:rsid w:val="003D7EDE"/>
    <w:rsid w:val="003E53A6"/>
    <w:rsid w:val="003F2B0C"/>
    <w:rsid w:val="00400B45"/>
    <w:rsid w:val="00403E03"/>
    <w:rsid w:val="004048AC"/>
    <w:rsid w:val="00405B81"/>
    <w:rsid w:val="00405C81"/>
    <w:rsid w:val="00410E5B"/>
    <w:rsid w:val="004132D0"/>
    <w:rsid w:val="004221E4"/>
    <w:rsid w:val="00426CBF"/>
    <w:rsid w:val="004350B2"/>
    <w:rsid w:val="00437622"/>
    <w:rsid w:val="00442830"/>
    <w:rsid w:val="0044306E"/>
    <w:rsid w:val="00446934"/>
    <w:rsid w:val="00452EE6"/>
    <w:rsid w:val="00462608"/>
    <w:rsid w:val="00466035"/>
    <w:rsid w:val="00471088"/>
    <w:rsid w:val="004751CB"/>
    <w:rsid w:val="00477437"/>
    <w:rsid w:val="00482C85"/>
    <w:rsid w:val="00483AF9"/>
    <w:rsid w:val="00486BF8"/>
    <w:rsid w:val="004913ED"/>
    <w:rsid w:val="004B0073"/>
    <w:rsid w:val="004B165A"/>
    <w:rsid w:val="004B1CCB"/>
    <w:rsid w:val="004B1E60"/>
    <w:rsid w:val="004B2CC6"/>
    <w:rsid w:val="004B4715"/>
    <w:rsid w:val="004B72D2"/>
    <w:rsid w:val="004B75DE"/>
    <w:rsid w:val="004C6E6C"/>
    <w:rsid w:val="004D454D"/>
    <w:rsid w:val="004D73A5"/>
    <w:rsid w:val="004E407D"/>
    <w:rsid w:val="004E7DB3"/>
    <w:rsid w:val="004F0E33"/>
    <w:rsid w:val="005164AE"/>
    <w:rsid w:val="005165AA"/>
    <w:rsid w:val="0052263E"/>
    <w:rsid w:val="00523259"/>
    <w:rsid w:val="00525FCB"/>
    <w:rsid w:val="00532CF5"/>
    <w:rsid w:val="00541301"/>
    <w:rsid w:val="00546393"/>
    <w:rsid w:val="005500F9"/>
    <w:rsid w:val="005521F4"/>
    <w:rsid w:val="005528CB"/>
    <w:rsid w:val="00561E49"/>
    <w:rsid w:val="00566771"/>
    <w:rsid w:val="00570CBD"/>
    <w:rsid w:val="00572DA4"/>
    <w:rsid w:val="00581E2E"/>
    <w:rsid w:val="00584F15"/>
    <w:rsid w:val="00586C96"/>
    <w:rsid w:val="005960E3"/>
    <w:rsid w:val="005A7FA8"/>
    <w:rsid w:val="005B4E21"/>
    <w:rsid w:val="005B6AD5"/>
    <w:rsid w:val="005B7620"/>
    <w:rsid w:val="005C0E3A"/>
    <w:rsid w:val="005C5D1E"/>
    <w:rsid w:val="005D06FC"/>
    <w:rsid w:val="005D0AB4"/>
    <w:rsid w:val="005E3130"/>
    <w:rsid w:val="005E7006"/>
    <w:rsid w:val="005F700B"/>
    <w:rsid w:val="00600484"/>
    <w:rsid w:val="00604B18"/>
    <w:rsid w:val="006109F8"/>
    <w:rsid w:val="00610BBD"/>
    <w:rsid w:val="00615676"/>
    <w:rsid w:val="006163F7"/>
    <w:rsid w:val="006205C0"/>
    <w:rsid w:val="00620DC3"/>
    <w:rsid w:val="006220AA"/>
    <w:rsid w:val="00632366"/>
    <w:rsid w:val="00633674"/>
    <w:rsid w:val="00633B9F"/>
    <w:rsid w:val="006369BC"/>
    <w:rsid w:val="0064055B"/>
    <w:rsid w:val="00642D89"/>
    <w:rsid w:val="00643D26"/>
    <w:rsid w:val="00652606"/>
    <w:rsid w:val="006579E7"/>
    <w:rsid w:val="0066410F"/>
    <w:rsid w:val="0066620B"/>
    <w:rsid w:val="006663EB"/>
    <w:rsid w:val="00667E87"/>
    <w:rsid w:val="00671DE1"/>
    <w:rsid w:val="0067244A"/>
    <w:rsid w:val="006724FE"/>
    <w:rsid w:val="0067375A"/>
    <w:rsid w:val="00682754"/>
    <w:rsid w:val="00683EA3"/>
    <w:rsid w:val="00687DAD"/>
    <w:rsid w:val="006A070A"/>
    <w:rsid w:val="006A1438"/>
    <w:rsid w:val="006A54F2"/>
    <w:rsid w:val="006A58A9"/>
    <w:rsid w:val="006A606D"/>
    <w:rsid w:val="006B1845"/>
    <w:rsid w:val="006B51DA"/>
    <w:rsid w:val="006B7F7A"/>
    <w:rsid w:val="006C0371"/>
    <w:rsid w:val="006C08B6"/>
    <w:rsid w:val="006C0B1A"/>
    <w:rsid w:val="006C4384"/>
    <w:rsid w:val="006C5116"/>
    <w:rsid w:val="006C6065"/>
    <w:rsid w:val="006C7F9F"/>
    <w:rsid w:val="006E205E"/>
    <w:rsid w:val="006E2F6D"/>
    <w:rsid w:val="006E58F6"/>
    <w:rsid w:val="006E77E1"/>
    <w:rsid w:val="006F131D"/>
    <w:rsid w:val="00701088"/>
    <w:rsid w:val="00706B86"/>
    <w:rsid w:val="00712BB9"/>
    <w:rsid w:val="00714A15"/>
    <w:rsid w:val="007208DD"/>
    <w:rsid w:val="00720EB4"/>
    <w:rsid w:val="00722093"/>
    <w:rsid w:val="00725507"/>
    <w:rsid w:val="0074216F"/>
    <w:rsid w:val="00742A41"/>
    <w:rsid w:val="00750CDE"/>
    <w:rsid w:val="007523E0"/>
    <w:rsid w:val="00752BCD"/>
    <w:rsid w:val="00754E32"/>
    <w:rsid w:val="007610B7"/>
    <w:rsid w:val="00765615"/>
    <w:rsid w:val="00766DA1"/>
    <w:rsid w:val="00767D96"/>
    <w:rsid w:val="0078064A"/>
    <w:rsid w:val="00781547"/>
    <w:rsid w:val="007866A6"/>
    <w:rsid w:val="0079149F"/>
    <w:rsid w:val="00791CAE"/>
    <w:rsid w:val="007A130D"/>
    <w:rsid w:val="007A3D9C"/>
    <w:rsid w:val="007B5B79"/>
    <w:rsid w:val="007B6498"/>
    <w:rsid w:val="007B7EEE"/>
    <w:rsid w:val="007C37E7"/>
    <w:rsid w:val="007C3AB2"/>
    <w:rsid w:val="007C513E"/>
    <w:rsid w:val="007C7B64"/>
    <w:rsid w:val="007D4102"/>
    <w:rsid w:val="007D41FD"/>
    <w:rsid w:val="007D6146"/>
    <w:rsid w:val="007E5921"/>
    <w:rsid w:val="007E5EDC"/>
    <w:rsid w:val="007E6316"/>
    <w:rsid w:val="007E7485"/>
    <w:rsid w:val="007F1242"/>
    <w:rsid w:val="007F280F"/>
    <w:rsid w:val="007F4BED"/>
    <w:rsid w:val="007F51FC"/>
    <w:rsid w:val="007F5B70"/>
    <w:rsid w:val="00802EBB"/>
    <w:rsid w:val="00807329"/>
    <w:rsid w:val="00811F5A"/>
    <w:rsid w:val="008139D7"/>
    <w:rsid w:val="00821FFC"/>
    <w:rsid w:val="008250C4"/>
    <w:rsid w:val="008271CA"/>
    <w:rsid w:val="00833C3C"/>
    <w:rsid w:val="008467D5"/>
    <w:rsid w:val="0085105B"/>
    <w:rsid w:val="00856D9F"/>
    <w:rsid w:val="008575B3"/>
    <w:rsid w:val="00866F6D"/>
    <w:rsid w:val="0087159A"/>
    <w:rsid w:val="00873C28"/>
    <w:rsid w:val="008775AF"/>
    <w:rsid w:val="00880A73"/>
    <w:rsid w:val="00882E85"/>
    <w:rsid w:val="008864D5"/>
    <w:rsid w:val="00896100"/>
    <w:rsid w:val="00897BC9"/>
    <w:rsid w:val="008A3F95"/>
    <w:rsid w:val="008A4DC4"/>
    <w:rsid w:val="008A717A"/>
    <w:rsid w:val="008B287A"/>
    <w:rsid w:val="008B3322"/>
    <w:rsid w:val="008C039C"/>
    <w:rsid w:val="008D02BC"/>
    <w:rsid w:val="008D07C9"/>
    <w:rsid w:val="008D1C53"/>
    <w:rsid w:val="008D616E"/>
    <w:rsid w:val="008D74BA"/>
    <w:rsid w:val="008E1585"/>
    <w:rsid w:val="008E28D0"/>
    <w:rsid w:val="008F2057"/>
    <w:rsid w:val="008F4C9E"/>
    <w:rsid w:val="009067A4"/>
    <w:rsid w:val="00907075"/>
    <w:rsid w:val="0090722E"/>
    <w:rsid w:val="009072FE"/>
    <w:rsid w:val="00913633"/>
    <w:rsid w:val="0091766B"/>
    <w:rsid w:val="009218FA"/>
    <w:rsid w:val="00927A23"/>
    <w:rsid w:val="00930586"/>
    <w:rsid w:val="00930DFC"/>
    <w:rsid w:val="00930E79"/>
    <w:rsid w:val="009340DB"/>
    <w:rsid w:val="00941BAA"/>
    <w:rsid w:val="00943A49"/>
    <w:rsid w:val="00951774"/>
    <w:rsid w:val="009612E9"/>
    <w:rsid w:val="00964DF6"/>
    <w:rsid w:val="009654DE"/>
    <w:rsid w:val="00965718"/>
    <w:rsid w:val="00972498"/>
    <w:rsid w:val="009729B1"/>
    <w:rsid w:val="00974CC6"/>
    <w:rsid w:val="00975032"/>
    <w:rsid w:val="009751D9"/>
    <w:rsid w:val="00976AD4"/>
    <w:rsid w:val="00984781"/>
    <w:rsid w:val="0098580C"/>
    <w:rsid w:val="00987337"/>
    <w:rsid w:val="00997571"/>
    <w:rsid w:val="009A06CB"/>
    <w:rsid w:val="009A0A46"/>
    <w:rsid w:val="009A312F"/>
    <w:rsid w:val="009A5300"/>
    <w:rsid w:val="009A5348"/>
    <w:rsid w:val="009A589E"/>
    <w:rsid w:val="009A67BB"/>
    <w:rsid w:val="009B2124"/>
    <w:rsid w:val="009B52D9"/>
    <w:rsid w:val="009B6E15"/>
    <w:rsid w:val="009C0898"/>
    <w:rsid w:val="009C76D5"/>
    <w:rsid w:val="009D4429"/>
    <w:rsid w:val="009D53F2"/>
    <w:rsid w:val="009D6D3B"/>
    <w:rsid w:val="009F5CA7"/>
    <w:rsid w:val="009F7AA4"/>
    <w:rsid w:val="00A02390"/>
    <w:rsid w:val="00A02D2B"/>
    <w:rsid w:val="00A14B2A"/>
    <w:rsid w:val="00A15912"/>
    <w:rsid w:val="00A331CB"/>
    <w:rsid w:val="00A42306"/>
    <w:rsid w:val="00A47D06"/>
    <w:rsid w:val="00A549F0"/>
    <w:rsid w:val="00A54AB0"/>
    <w:rsid w:val="00A559DB"/>
    <w:rsid w:val="00A57F8C"/>
    <w:rsid w:val="00A60DF4"/>
    <w:rsid w:val="00A64BD6"/>
    <w:rsid w:val="00A73090"/>
    <w:rsid w:val="00A77262"/>
    <w:rsid w:val="00A804C8"/>
    <w:rsid w:val="00A847A4"/>
    <w:rsid w:val="00A95D9E"/>
    <w:rsid w:val="00AA1C1D"/>
    <w:rsid w:val="00AA32C8"/>
    <w:rsid w:val="00AB0299"/>
    <w:rsid w:val="00AB195E"/>
    <w:rsid w:val="00AC07D4"/>
    <w:rsid w:val="00AC44E3"/>
    <w:rsid w:val="00AC4B04"/>
    <w:rsid w:val="00AD021D"/>
    <w:rsid w:val="00AD4DA3"/>
    <w:rsid w:val="00AE6D58"/>
    <w:rsid w:val="00AE711E"/>
    <w:rsid w:val="00AF183B"/>
    <w:rsid w:val="00AF35FC"/>
    <w:rsid w:val="00AF523E"/>
    <w:rsid w:val="00AF5498"/>
    <w:rsid w:val="00AF5ED2"/>
    <w:rsid w:val="00B03639"/>
    <w:rsid w:val="00B05E88"/>
    <w:rsid w:val="00B0652A"/>
    <w:rsid w:val="00B06D18"/>
    <w:rsid w:val="00B121BE"/>
    <w:rsid w:val="00B2148A"/>
    <w:rsid w:val="00B23482"/>
    <w:rsid w:val="00B24589"/>
    <w:rsid w:val="00B309CD"/>
    <w:rsid w:val="00B3757D"/>
    <w:rsid w:val="00B40937"/>
    <w:rsid w:val="00B423EF"/>
    <w:rsid w:val="00B42473"/>
    <w:rsid w:val="00B453DE"/>
    <w:rsid w:val="00B4742F"/>
    <w:rsid w:val="00B476F2"/>
    <w:rsid w:val="00B5013F"/>
    <w:rsid w:val="00B60A80"/>
    <w:rsid w:val="00B73700"/>
    <w:rsid w:val="00B74C9B"/>
    <w:rsid w:val="00B80861"/>
    <w:rsid w:val="00B81526"/>
    <w:rsid w:val="00B85D73"/>
    <w:rsid w:val="00B86B0B"/>
    <w:rsid w:val="00B901F9"/>
    <w:rsid w:val="00B91EC2"/>
    <w:rsid w:val="00B974ED"/>
    <w:rsid w:val="00BA2109"/>
    <w:rsid w:val="00BB5562"/>
    <w:rsid w:val="00BC23DA"/>
    <w:rsid w:val="00BC535B"/>
    <w:rsid w:val="00BD0076"/>
    <w:rsid w:val="00BD61A5"/>
    <w:rsid w:val="00BD6A6B"/>
    <w:rsid w:val="00BD6EFB"/>
    <w:rsid w:val="00BE37EC"/>
    <w:rsid w:val="00BE6420"/>
    <w:rsid w:val="00BF58D4"/>
    <w:rsid w:val="00C040C0"/>
    <w:rsid w:val="00C041A3"/>
    <w:rsid w:val="00C120B6"/>
    <w:rsid w:val="00C155ED"/>
    <w:rsid w:val="00C15BE2"/>
    <w:rsid w:val="00C21667"/>
    <w:rsid w:val="00C22219"/>
    <w:rsid w:val="00C23A4D"/>
    <w:rsid w:val="00C3053C"/>
    <w:rsid w:val="00C3140F"/>
    <w:rsid w:val="00C3447F"/>
    <w:rsid w:val="00C35DA7"/>
    <w:rsid w:val="00C4400C"/>
    <w:rsid w:val="00C44C05"/>
    <w:rsid w:val="00C45FBA"/>
    <w:rsid w:val="00C50469"/>
    <w:rsid w:val="00C52C29"/>
    <w:rsid w:val="00C637B4"/>
    <w:rsid w:val="00C64B42"/>
    <w:rsid w:val="00C65829"/>
    <w:rsid w:val="00C75EE1"/>
    <w:rsid w:val="00C81491"/>
    <w:rsid w:val="00C81676"/>
    <w:rsid w:val="00C81BEF"/>
    <w:rsid w:val="00C845F4"/>
    <w:rsid w:val="00C847AC"/>
    <w:rsid w:val="00C916FE"/>
    <w:rsid w:val="00C92CC4"/>
    <w:rsid w:val="00C95629"/>
    <w:rsid w:val="00CA0AFB"/>
    <w:rsid w:val="00CA2CE1"/>
    <w:rsid w:val="00CA3976"/>
    <w:rsid w:val="00CA57EA"/>
    <w:rsid w:val="00CA5B84"/>
    <w:rsid w:val="00CA639A"/>
    <w:rsid w:val="00CA757B"/>
    <w:rsid w:val="00CC1787"/>
    <w:rsid w:val="00CC182C"/>
    <w:rsid w:val="00CC2E4C"/>
    <w:rsid w:val="00CD0824"/>
    <w:rsid w:val="00CD1925"/>
    <w:rsid w:val="00CD21F7"/>
    <w:rsid w:val="00CD2908"/>
    <w:rsid w:val="00CD3AED"/>
    <w:rsid w:val="00CD6E7E"/>
    <w:rsid w:val="00CE2920"/>
    <w:rsid w:val="00CE3809"/>
    <w:rsid w:val="00CF1A70"/>
    <w:rsid w:val="00CF3D2C"/>
    <w:rsid w:val="00CF71A2"/>
    <w:rsid w:val="00CF738A"/>
    <w:rsid w:val="00D03A82"/>
    <w:rsid w:val="00D04C0C"/>
    <w:rsid w:val="00D15344"/>
    <w:rsid w:val="00D1660B"/>
    <w:rsid w:val="00D27510"/>
    <w:rsid w:val="00D31BEC"/>
    <w:rsid w:val="00D33D1A"/>
    <w:rsid w:val="00D4349D"/>
    <w:rsid w:val="00D52E5C"/>
    <w:rsid w:val="00D63150"/>
    <w:rsid w:val="00D6344A"/>
    <w:rsid w:val="00D64A32"/>
    <w:rsid w:val="00D64DC8"/>
    <w:rsid w:val="00D64EFC"/>
    <w:rsid w:val="00D67E2F"/>
    <w:rsid w:val="00D75295"/>
    <w:rsid w:val="00D75400"/>
    <w:rsid w:val="00D76CE9"/>
    <w:rsid w:val="00D84A65"/>
    <w:rsid w:val="00D9301E"/>
    <w:rsid w:val="00D93A61"/>
    <w:rsid w:val="00D955D5"/>
    <w:rsid w:val="00D97F12"/>
    <w:rsid w:val="00DA2856"/>
    <w:rsid w:val="00DA6644"/>
    <w:rsid w:val="00DB42E7"/>
    <w:rsid w:val="00DB4EB8"/>
    <w:rsid w:val="00DD1F12"/>
    <w:rsid w:val="00DD3F65"/>
    <w:rsid w:val="00DD69A4"/>
    <w:rsid w:val="00DD7406"/>
    <w:rsid w:val="00DE362D"/>
    <w:rsid w:val="00DF32C2"/>
    <w:rsid w:val="00DF64EA"/>
    <w:rsid w:val="00E00858"/>
    <w:rsid w:val="00E00AF9"/>
    <w:rsid w:val="00E10A20"/>
    <w:rsid w:val="00E1582A"/>
    <w:rsid w:val="00E17CD9"/>
    <w:rsid w:val="00E23CFD"/>
    <w:rsid w:val="00E24130"/>
    <w:rsid w:val="00E32373"/>
    <w:rsid w:val="00E4053F"/>
    <w:rsid w:val="00E40552"/>
    <w:rsid w:val="00E471A7"/>
    <w:rsid w:val="00E4746A"/>
    <w:rsid w:val="00E61B02"/>
    <w:rsid w:val="00E635CF"/>
    <w:rsid w:val="00E65436"/>
    <w:rsid w:val="00E65B45"/>
    <w:rsid w:val="00E67BC1"/>
    <w:rsid w:val="00E708D5"/>
    <w:rsid w:val="00E740B3"/>
    <w:rsid w:val="00E75CEF"/>
    <w:rsid w:val="00E80EFD"/>
    <w:rsid w:val="00E86E2E"/>
    <w:rsid w:val="00E91B50"/>
    <w:rsid w:val="00E941B7"/>
    <w:rsid w:val="00E978CD"/>
    <w:rsid w:val="00EA2644"/>
    <w:rsid w:val="00EB226B"/>
    <w:rsid w:val="00EB252B"/>
    <w:rsid w:val="00EB5401"/>
    <w:rsid w:val="00EB5410"/>
    <w:rsid w:val="00EB7E34"/>
    <w:rsid w:val="00EC340D"/>
    <w:rsid w:val="00EC356B"/>
    <w:rsid w:val="00EC4BB1"/>
    <w:rsid w:val="00EC5602"/>
    <w:rsid w:val="00EC6E0A"/>
    <w:rsid w:val="00ED4E18"/>
    <w:rsid w:val="00EE117B"/>
    <w:rsid w:val="00EE1F37"/>
    <w:rsid w:val="00EF3B38"/>
    <w:rsid w:val="00F0159C"/>
    <w:rsid w:val="00F024FF"/>
    <w:rsid w:val="00F025C8"/>
    <w:rsid w:val="00F02B78"/>
    <w:rsid w:val="00F02FEA"/>
    <w:rsid w:val="00F05AFF"/>
    <w:rsid w:val="00F105B7"/>
    <w:rsid w:val="00F17A21"/>
    <w:rsid w:val="00F30E9C"/>
    <w:rsid w:val="00F42930"/>
    <w:rsid w:val="00F42F08"/>
    <w:rsid w:val="00F43B86"/>
    <w:rsid w:val="00F50E91"/>
    <w:rsid w:val="00F50ED9"/>
    <w:rsid w:val="00F51281"/>
    <w:rsid w:val="00F57D29"/>
    <w:rsid w:val="00F612C2"/>
    <w:rsid w:val="00F63050"/>
    <w:rsid w:val="00F70950"/>
    <w:rsid w:val="00F727C0"/>
    <w:rsid w:val="00F8171B"/>
    <w:rsid w:val="00F8222C"/>
    <w:rsid w:val="00F87A39"/>
    <w:rsid w:val="00F92A99"/>
    <w:rsid w:val="00F94DF8"/>
    <w:rsid w:val="00F96201"/>
    <w:rsid w:val="00F97130"/>
    <w:rsid w:val="00FA2925"/>
    <w:rsid w:val="00FB128E"/>
    <w:rsid w:val="00FB13ED"/>
    <w:rsid w:val="00FB1A0A"/>
    <w:rsid w:val="00FB2E47"/>
    <w:rsid w:val="00FC30E9"/>
    <w:rsid w:val="00FC31E6"/>
    <w:rsid w:val="00FD0B18"/>
    <w:rsid w:val="00FD0F82"/>
    <w:rsid w:val="00FD1687"/>
    <w:rsid w:val="00FE39AC"/>
    <w:rsid w:val="00FE714F"/>
    <w:rsid w:val="00FF05C8"/>
    <w:rsid w:val="00FF1EC3"/>
    <w:rsid w:val="00FF582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48E5D7B6"/>
  <w15:docId w15:val="{2F00359F-F5DA-49B7-AFAB-99ED39111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casehead10">
    <w:name w:val="casehead1"/>
    <w:basedOn w:val="Normal"/>
    <w:next w:val="BodyText"/>
    <w:rsid w:val="009218FA"/>
    <w:pPr>
      <w:jc w:val="both"/>
    </w:pPr>
    <w:rPr>
      <w:rFonts w:ascii="Arial" w:hAnsi="Arial"/>
      <w:b/>
      <w:caps/>
      <w:sz w:val="24"/>
      <w:szCs w:val="24"/>
    </w:rPr>
  </w:style>
  <w:style w:type="character" w:styleId="FollowedHyperlink">
    <w:name w:val="FollowedHyperlink"/>
    <w:basedOn w:val="DefaultParagraphFont"/>
    <w:uiPriority w:val="99"/>
    <w:semiHidden/>
    <w:unhideWhenUsed/>
    <w:rsid w:val="003331FE"/>
    <w:rPr>
      <w:color w:val="800080" w:themeColor="followedHyperlink"/>
      <w:u w:val="single"/>
    </w:rPr>
  </w:style>
  <w:style w:type="table" w:customStyle="1" w:styleId="TableGrid1">
    <w:name w:val="Table Grid1"/>
    <w:basedOn w:val="TableNormal"/>
    <w:next w:val="TableGrid"/>
    <w:uiPriority w:val="59"/>
    <w:rsid w:val="00DB4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B4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69866">
      <w:bodyDiv w:val="1"/>
      <w:marLeft w:val="0"/>
      <w:marRight w:val="0"/>
      <w:marTop w:val="0"/>
      <w:marBottom w:val="0"/>
      <w:divBdr>
        <w:top w:val="none" w:sz="0" w:space="0" w:color="auto"/>
        <w:left w:val="none" w:sz="0" w:space="0" w:color="auto"/>
        <w:bottom w:val="none" w:sz="0" w:space="0" w:color="auto"/>
        <w:right w:val="none" w:sz="0" w:space="0" w:color="auto"/>
      </w:divBdr>
      <w:divsChild>
        <w:div w:id="1671133940">
          <w:marLeft w:val="0"/>
          <w:marRight w:val="0"/>
          <w:marTop w:val="0"/>
          <w:marBottom w:val="0"/>
          <w:divBdr>
            <w:top w:val="none" w:sz="0" w:space="0" w:color="auto"/>
            <w:left w:val="none" w:sz="0" w:space="0" w:color="auto"/>
            <w:bottom w:val="none" w:sz="0" w:space="0" w:color="auto"/>
            <w:right w:val="none" w:sz="0" w:space="0" w:color="auto"/>
          </w:divBdr>
          <w:divsChild>
            <w:div w:id="736366061">
              <w:marLeft w:val="0"/>
              <w:marRight w:val="0"/>
              <w:marTop w:val="0"/>
              <w:marBottom w:val="0"/>
              <w:divBdr>
                <w:top w:val="none" w:sz="0" w:space="0" w:color="auto"/>
                <w:left w:val="none" w:sz="0" w:space="0" w:color="auto"/>
                <w:bottom w:val="none" w:sz="0" w:space="0" w:color="auto"/>
                <w:right w:val="none" w:sz="0" w:space="0" w:color="auto"/>
              </w:divBdr>
              <w:divsChild>
                <w:div w:id="1148666942">
                  <w:marLeft w:val="0"/>
                  <w:marRight w:val="0"/>
                  <w:marTop w:val="0"/>
                  <w:marBottom w:val="0"/>
                  <w:divBdr>
                    <w:top w:val="none" w:sz="0" w:space="0" w:color="auto"/>
                    <w:left w:val="none" w:sz="0" w:space="0" w:color="auto"/>
                    <w:bottom w:val="none" w:sz="0" w:space="0" w:color="auto"/>
                    <w:right w:val="none" w:sz="0" w:space="0" w:color="auto"/>
                  </w:divBdr>
                </w:div>
              </w:divsChild>
            </w:div>
            <w:div w:id="1407874118">
              <w:marLeft w:val="0"/>
              <w:marRight w:val="0"/>
              <w:marTop w:val="0"/>
              <w:marBottom w:val="0"/>
              <w:divBdr>
                <w:top w:val="none" w:sz="0" w:space="0" w:color="auto"/>
                <w:left w:val="none" w:sz="0" w:space="0" w:color="auto"/>
                <w:bottom w:val="none" w:sz="0" w:space="0" w:color="auto"/>
                <w:right w:val="none" w:sz="0" w:space="0" w:color="auto"/>
              </w:divBdr>
              <w:divsChild>
                <w:div w:id="1526552477">
                  <w:marLeft w:val="0"/>
                  <w:marRight w:val="0"/>
                  <w:marTop w:val="0"/>
                  <w:marBottom w:val="0"/>
                  <w:divBdr>
                    <w:top w:val="none" w:sz="0" w:space="0" w:color="auto"/>
                    <w:left w:val="none" w:sz="0" w:space="0" w:color="auto"/>
                    <w:bottom w:val="none" w:sz="0" w:space="0" w:color="auto"/>
                    <w:right w:val="none" w:sz="0" w:space="0" w:color="auto"/>
                  </w:divBdr>
                </w:div>
              </w:divsChild>
            </w:div>
            <w:div w:id="1195773031">
              <w:marLeft w:val="0"/>
              <w:marRight w:val="0"/>
              <w:marTop w:val="0"/>
              <w:marBottom w:val="0"/>
              <w:divBdr>
                <w:top w:val="none" w:sz="0" w:space="0" w:color="auto"/>
                <w:left w:val="none" w:sz="0" w:space="0" w:color="auto"/>
                <w:bottom w:val="none" w:sz="0" w:space="0" w:color="auto"/>
                <w:right w:val="none" w:sz="0" w:space="0" w:color="auto"/>
              </w:divBdr>
              <w:divsChild>
                <w:div w:id="1273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24577">
      <w:bodyDiv w:val="1"/>
      <w:marLeft w:val="0"/>
      <w:marRight w:val="0"/>
      <w:marTop w:val="0"/>
      <w:marBottom w:val="0"/>
      <w:divBdr>
        <w:top w:val="none" w:sz="0" w:space="0" w:color="auto"/>
        <w:left w:val="none" w:sz="0" w:space="0" w:color="auto"/>
        <w:bottom w:val="none" w:sz="0" w:space="0" w:color="auto"/>
        <w:right w:val="none" w:sz="0" w:space="0" w:color="auto"/>
      </w:divBdr>
      <w:divsChild>
        <w:div w:id="235167691">
          <w:marLeft w:val="0"/>
          <w:marRight w:val="0"/>
          <w:marTop w:val="0"/>
          <w:marBottom w:val="0"/>
          <w:divBdr>
            <w:top w:val="none" w:sz="0" w:space="0" w:color="auto"/>
            <w:left w:val="none" w:sz="0" w:space="0" w:color="auto"/>
            <w:bottom w:val="none" w:sz="0" w:space="0" w:color="auto"/>
            <w:right w:val="none" w:sz="0" w:space="0" w:color="auto"/>
          </w:divBdr>
          <w:divsChild>
            <w:div w:id="528837009">
              <w:marLeft w:val="0"/>
              <w:marRight w:val="0"/>
              <w:marTop w:val="0"/>
              <w:marBottom w:val="0"/>
              <w:divBdr>
                <w:top w:val="none" w:sz="0" w:space="0" w:color="auto"/>
                <w:left w:val="none" w:sz="0" w:space="0" w:color="auto"/>
                <w:bottom w:val="none" w:sz="0" w:space="0" w:color="auto"/>
                <w:right w:val="none" w:sz="0" w:space="0" w:color="auto"/>
              </w:divBdr>
              <w:divsChild>
                <w:div w:id="82759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06341">
      <w:bodyDiv w:val="1"/>
      <w:marLeft w:val="0"/>
      <w:marRight w:val="0"/>
      <w:marTop w:val="0"/>
      <w:marBottom w:val="0"/>
      <w:divBdr>
        <w:top w:val="none" w:sz="0" w:space="0" w:color="auto"/>
        <w:left w:val="none" w:sz="0" w:space="0" w:color="auto"/>
        <w:bottom w:val="none" w:sz="0" w:space="0" w:color="auto"/>
        <w:right w:val="none" w:sz="0" w:space="0" w:color="auto"/>
      </w:divBdr>
    </w:div>
    <w:div w:id="1876917459">
      <w:bodyDiv w:val="1"/>
      <w:marLeft w:val="0"/>
      <w:marRight w:val="0"/>
      <w:marTop w:val="0"/>
      <w:marBottom w:val="0"/>
      <w:divBdr>
        <w:top w:val="none" w:sz="0" w:space="0" w:color="auto"/>
        <w:left w:val="none" w:sz="0" w:space="0" w:color="auto"/>
        <w:bottom w:val="none" w:sz="0" w:space="0" w:color="auto"/>
        <w:right w:val="none" w:sz="0" w:space="0" w:color="auto"/>
      </w:divBdr>
    </w:div>
    <w:div w:id="1937588703">
      <w:bodyDiv w:val="1"/>
      <w:marLeft w:val="0"/>
      <w:marRight w:val="0"/>
      <w:marTop w:val="0"/>
      <w:marBottom w:val="0"/>
      <w:divBdr>
        <w:top w:val="none" w:sz="0" w:space="0" w:color="auto"/>
        <w:left w:val="none" w:sz="0" w:space="0" w:color="auto"/>
        <w:bottom w:val="none" w:sz="0" w:space="0" w:color="auto"/>
        <w:right w:val="none" w:sz="0" w:space="0" w:color="auto"/>
      </w:divBdr>
      <w:divsChild>
        <w:div w:id="877862060">
          <w:marLeft w:val="0"/>
          <w:marRight w:val="0"/>
          <w:marTop w:val="0"/>
          <w:marBottom w:val="0"/>
          <w:divBdr>
            <w:top w:val="none" w:sz="0" w:space="0" w:color="auto"/>
            <w:left w:val="none" w:sz="0" w:space="0" w:color="auto"/>
            <w:bottom w:val="none" w:sz="0" w:space="0" w:color="auto"/>
            <w:right w:val="none" w:sz="0" w:space="0" w:color="auto"/>
          </w:divBdr>
          <w:divsChild>
            <w:div w:id="1191721626">
              <w:marLeft w:val="0"/>
              <w:marRight w:val="0"/>
              <w:marTop w:val="0"/>
              <w:marBottom w:val="0"/>
              <w:divBdr>
                <w:top w:val="none" w:sz="0" w:space="0" w:color="auto"/>
                <w:left w:val="none" w:sz="0" w:space="0" w:color="auto"/>
                <w:bottom w:val="none" w:sz="0" w:space="0" w:color="auto"/>
                <w:right w:val="none" w:sz="0" w:space="0" w:color="auto"/>
              </w:divBdr>
              <w:divsChild>
                <w:div w:id="10365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29195">
      <w:bodyDiv w:val="1"/>
      <w:marLeft w:val="0"/>
      <w:marRight w:val="0"/>
      <w:marTop w:val="0"/>
      <w:marBottom w:val="0"/>
      <w:divBdr>
        <w:top w:val="none" w:sz="0" w:space="0" w:color="auto"/>
        <w:left w:val="none" w:sz="0" w:space="0" w:color="auto"/>
        <w:bottom w:val="none" w:sz="0" w:space="0" w:color="auto"/>
        <w:right w:val="none" w:sz="0" w:space="0" w:color="auto"/>
      </w:divBdr>
      <w:divsChild>
        <w:div w:id="2009096002">
          <w:marLeft w:val="0"/>
          <w:marRight w:val="0"/>
          <w:marTop w:val="0"/>
          <w:marBottom w:val="0"/>
          <w:divBdr>
            <w:top w:val="none" w:sz="0" w:space="0" w:color="auto"/>
            <w:left w:val="none" w:sz="0" w:space="0" w:color="auto"/>
            <w:bottom w:val="none" w:sz="0" w:space="0" w:color="auto"/>
            <w:right w:val="none" w:sz="0" w:space="0" w:color="auto"/>
          </w:divBdr>
          <w:divsChild>
            <w:div w:id="809204888">
              <w:marLeft w:val="0"/>
              <w:marRight w:val="0"/>
              <w:marTop w:val="0"/>
              <w:marBottom w:val="0"/>
              <w:divBdr>
                <w:top w:val="none" w:sz="0" w:space="0" w:color="auto"/>
                <w:left w:val="none" w:sz="0" w:space="0" w:color="auto"/>
                <w:bottom w:val="none" w:sz="0" w:space="0" w:color="auto"/>
                <w:right w:val="none" w:sz="0" w:space="0" w:color="auto"/>
              </w:divBdr>
              <w:divsChild>
                <w:div w:id="58623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Users\barrynewell\Desktop\MEdibank.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barrynewell\Desktop\MEdibank.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barrynewell\Desktop\MEdiban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Diagrams!$A$53</c:f>
              <c:strCache>
                <c:ptCount val="1"/>
                <c:pt idx="0">
                  <c:v>Medibank Private</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Diagrams!$B$52:$D$52</c:f>
              <c:strCache>
                <c:ptCount val="3"/>
                <c:pt idx="0">
                  <c:v>FY12</c:v>
                </c:pt>
                <c:pt idx="1">
                  <c:v>FY13</c:v>
                </c:pt>
                <c:pt idx="2">
                  <c:v>FY14</c:v>
                </c:pt>
              </c:strCache>
            </c:strRef>
          </c:cat>
          <c:val>
            <c:numRef>
              <c:f>Diagrams!$B$53:$D$53</c:f>
              <c:numCache>
                <c:formatCode>0.0%</c:formatCode>
                <c:ptCount val="3"/>
                <c:pt idx="0">
                  <c:v>0.10199999999999999</c:v>
                </c:pt>
                <c:pt idx="1">
                  <c:v>9.1999999999999998E-2</c:v>
                </c:pt>
                <c:pt idx="2">
                  <c:v>8.6999999999999994E-2</c:v>
                </c:pt>
              </c:numCache>
            </c:numRef>
          </c:val>
          <c:extLst>
            <c:ext xmlns:c16="http://schemas.microsoft.com/office/drawing/2014/chart" uri="{C3380CC4-5D6E-409C-BE32-E72D297353CC}">
              <c16:uniqueId val="{00000000-FDDD-4869-86FC-EDD9ACF84633}"/>
            </c:ext>
          </c:extLst>
        </c:ser>
        <c:ser>
          <c:idx val="1"/>
          <c:order val="1"/>
          <c:tx>
            <c:strRef>
              <c:f>Diagrams!$A$54</c:f>
              <c:strCache>
                <c:ptCount val="1"/>
                <c:pt idx="0">
                  <c:v>Rest of industry</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Diagrams!$B$52:$D$52</c:f>
              <c:strCache>
                <c:ptCount val="3"/>
                <c:pt idx="0">
                  <c:v>FY12</c:v>
                </c:pt>
                <c:pt idx="1">
                  <c:v>FY13</c:v>
                </c:pt>
                <c:pt idx="2">
                  <c:v>FY14</c:v>
                </c:pt>
              </c:strCache>
            </c:strRef>
          </c:cat>
          <c:val>
            <c:numRef>
              <c:f>Diagrams!$B$54:$D$54</c:f>
              <c:numCache>
                <c:formatCode>0.0%</c:formatCode>
                <c:ptCount val="3"/>
                <c:pt idx="0">
                  <c:v>8.9000000000000107E-2</c:v>
                </c:pt>
                <c:pt idx="1">
                  <c:v>8.5999999999999993E-2</c:v>
                </c:pt>
                <c:pt idx="2">
                  <c:v>8.4000000000000005E-2</c:v>
                </c:pt>
              </c:numCache>
            </c:numRef>
          </c:val>
          <c:extLst>
            <c:ext xmlns:c16="http://schemas.microsoft.com/office/drawing/2014/chart" uri="{C3380CC4-5D6E-409C-BE32-E72D297353CC}">
              <c16:uniqueId val="{00000001-FDDD-4869-86FC-EDD9ACF84633}"/>
            </c:ext>
          </c:extLst>
        </c:ser>
        <c:dLbls>
          <c:showLegendKey val="0"/>
          <c:showVal val="0"/>
          <c:showCatName val="0"/>
          <c:showSerName val="0"/>
          <c:showPercent val="0"/>
          <c:showBubbleSize val="0"/>
        </c:dLbls>
        <c:gapWidth val="219"/>
        <c:overlap val="-27"/>
        <c:axId val="4572592"/>
        <c:axId val="161000112"/>
      </c:barChart>
      <c:catAx>
        <c:axId val="4572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00112"/>
        <c:crosses val="autoZero"/>
        <c:auto val="1"/>
        <c:lblAlgn val="ctr"/>
        <c:lblOffset val="100"/>
        <c:noMultiLvlLbl val="0"/>
      </c:catAx>
      <c:valAx>
        <c:axId val="16100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Management expense ratio (%)</a:t>
                </a:r>
              </a:p>
            </c:rich>
          </c:tx>
          <c:overlay val="0"/>
          <c:spPr>
            <a:noFill/>
            <a:ln>
              <a:noFill/>
            </a:ln>
            <a:effectLst/>
          </c:sp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72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Diagrams!$A$19</c:f>
              <c:strCache>
                <c:ptCount val="1"/>
                <c:pt idx="0">
                  <c:v>Healthcare expenditure ($B)</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Diagrams!$B$18:$L$18</c:f>
              <c:strCache>
                <c:ptCount val="11"/>
                <c:pt idx="0">
                  <c:v>FY03</c:v>
                </c:pt>
                <c:pt idx="1">
                  <c:v>FY04</c:v>
                </c:pt>
                <c:pt idx="2">
                  <c:v>FY05</c:v>
                </c:pt>
                <c:pt idx="3">
                  <c:v>FY06</c:v>
                </c:pt>
                <c:pt idx="4">
                  <c:v>FY07</c:v>
                </c:pt>
                <c:pt idx="5">
                  <c:v>FY08</c:v>
                </c:pt>
                <c:pt idx="6">
                  <c:v>FY09</c:v>
                </c:pt>
                <c:pt idx="7">
                  <c:v>FY10</c:v>
                </c:pt>
                <c:pt idx="8">
                  <c:v>FY11</c:v>
                </c:pt>
                <c:pt idx="9">
                  <c:v>FY12</c:v>
                </c:pt>
                <c:pt idx="10">
                  <c:v>FY13</c:v>
                </c:pt>
              </c:strCache>
            </c:strRef>
          </c:cat>
          <c:val>
            <c:numRef>
              <c:f>Diagrams!$B$19:$L$19</c:f>
              <c:numCache>
                <c:formatCode>General</c:formatCode>
                <c:ptCount val="11"/>
                <c:pt idx="0">
                  <c:v>68.8</c:v>
                </c:pt>
                <c:pt idx="1">
                  <c:v>73.5</c:v>
                </c:pt>
                <c:pt idx="2">
                  <c:v>81.099999999999994</c:v>
                </c:pt>
                <c:pt idx="3">
                  <c:v>86.7</c:v>
                </c:pt>
                <c:pt idx="4">
                  <c:v>94.9</c:v>
                </c:pt>
                <c:pt idx="5">
                  <c:v>103.6</c:v>
                </c:pt>
                <c:pt idx="6">
                  <c:v>114.4</c:v>
                </c:pt>
                <c:pt idx="7">
                  <c:v>122.1</c:v>
                </c:pt>
                <c:pt idx="8">
                  <c:v>131.6</c:v>
                </c:pt>
                <c:pt idx="9">
                  <c:v>142</c:v>
                </c:pt>
                <c:pt idx="10">
                  <c:v>147.4</c:v>
                </c:pt>
              </c:numCache>
            </c:numRef>
          </c:val>
          <c:extLst>
            <c:ext xmlns:c16="http://schemas.microsoft.com/office/drawing/2014/chart" uri="{C3380CC4-5D6E-409C-BE32-E72D297353CC}">
              <c16:uniqueId val="{00000000-671F-48C0-9866-4B344D3E28BF}"/>
            </c:ext>
          </c:extLst>
        </c:ser>
        <c:dLbls>
          <c:showLegendKey val="0"/>
          <c:showVal val="0"/>
          <c:showCatName val="0"/>
          <c:showSerName val="0"/>
          <c:showPercent val="0"/>
          <c:showBubbleSize val="0"/>
        </c:dLbls>
        <c:gapWidth val="138"/>
        <c:overlap val="-27"/>
        <c:axId val="160778192"/>
        <c:axId val="160778576"/>
      </c:barChart>
      <c:lineChart>
        <c:grouping val="standard"/>
        <c:varyColors val="0"/>
        <c:ser>
          <c:idx val="1"/>
          <c:order val="1"/>
          <c:tx>
            <c:strRef>
              <c:f>Diagrams!$A$20</c:f>
              <c:strCache>
                <c:ptCount val="1"/>
                <c:pt idx="0">
                  <c:v>Healthcare expenditure (% of GDP)</c:v>
                </c:pt>
              </c:strCache>
            </c:strRef>
          </c:tx>
          <c:spPr>
            <a:ln w="28575" cap="rnd">
              <a:solidFill>
                <a:schemeClr val="dk1">
                  <a:tint val="55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Diagrams!$B$18:$L$18</c:f>
              <c:strCache>
                <c:ptCount val="11"/>
                <c:pt idx="0">
                  <c:v>FY03</c:v>
                </c:pt>
                <c:pt idx="1">
                  <c:v>FY04</c:v>
                </c:pt>
                <c:pt idx="2">
                  <c:v>FY05</c:v>
                </c:pt>
                <c:pt idx="3">
                  <c:v>FY06</c:v>
                </c:pt>
                <c:pt idx="4">
                  <c:v>FY07</c:v>
                </c:pt>
                <c:pt idx="5">
                  <c:v>FY08</c:v>
                </c:pt>
                <c:pt idx="6">
                  <c:v>FY09</c:v>
                </c:pt>
                <c:pt idx="7">
                  <c:v>FY10</c:v>
                </c:pt>
                <c:pt idx="8">
                  <c:v>FY11</c:v>
                </c:pt>
                <c:pt idx="9">
                  <c:v>FY12</c:v>
                </c:pt>
                <c:pt idx="10">
                  <c:v>FY13</c:v>
                </c:pt>
              </c:strCache>
            </c:strRef>
          </c:cat>
          <c:val>
            <c:numRef>
              <c:f>Diagrams!$B$20:$L$20</c:f>
              <c:numCache>
                <c:formatCode>0.0%</c:formatCode>
                <c:ptCount val="11"/>
                <c:pt idx="0">
                  <c:v>8.5999999999999993E-2</c:v>
                </c:pt>
                <c:pt idx="1">
                  <c:v>8.5000000000000006E-2</c:v>
                </c:pt>
                <c:pt idx="2">
                  <c:v>8.8000000000000106E-2</c:v>
                </c:pt>
                <c:pt idx="3">
                  <c:v>8.6999999999999994E-2</c:v>
                </c:pt>
                <c:pt idx="4">
                  <c:v>8.6999999999999994E-2</c:v>
                </c:pt>
                <c:pt idx="5">
                  <c:v>8.8000000000000106E-2</c:v>
                </c:pt>
                <c:pt idx="6">
                  <c:v>9.0999999999999998E-2</c:v>
                </c:pt>
                <c:pt idx="7">
                  <c:v>9.4E-2</c:v>
                </c:pt>
                <c:pt idx="8">
                  <c:v>9.4E-2</c:v>
                </c:pt>
                <c:pt idx="9">
                  <c:v>9.6000000000000002E-2</c:v>
                </c:pt>
                <c:pt idx="10">
                  <c:v>9.7000000000000003E-2</c:v>
                </c:pt>
              </c:numCache>
            </c:numRef>
          </c:val>
          <c:smooth val="0"/>
          <c:extLst>
            <c:ext xmlns:c16="http://schemas.microsoft.com/office/drawing/2014/chart" uri="{C3380CC4-5D6E-409C-BE32-E72D297353CC}">
              <c16:uniqueId val="{00000001-671F-48C0-9866-4B344D3E28BF}"/>
            </c:ext>
          </c:extLst>
        </c:ser>
        <c:dLbls>
          <c:showLegendKey val="0"/>
          <c:showVal val="0"/>
          <c:showCatName val="0"/>
          <c:showSerName val="0"/>
          <c:showPercent val="0"/>
          <c:showBubbleSize val="0"/>
        </c:dLbls>
        <c:marker val="1"/>
        <c:smooth val="0"/>
        <c:axId val="160824480"/>
        <c:axId val="160778960"/>
      </c:lineChart>
      <c:catAx>
        <c:axId val="160778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778576"/>
        <c:crosses val="autoZero"/>
        <c:auto val="1"/>
        <c:lblAlgn val="ctr"/>
        <c:lblOffset val="100"/>
        <c:noMultiLvlLbl val="0"/>
      </c:catAx>
      <c:valAx>
        <c:axId val="160778576"/>
        <c:scaling>
          <c:orientation val="minMax"/>
          <c:max val="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Healthcare expenditure ($B)</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778192"/>
        <c:crosses val="autoZero"/>
        <c:crossBetween val="between"/>
      </c:valAx>
      <c:valAx>
        <c:axId val="160778960"/>
        <c:scaling>
          <c:orientation val="minMax"/>
          <c:max val="0.1"/>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Healthcare expenditure (% of</a:t>
                </a:r>
                <a:r>
                  <a:rPr lang="en-US" baseline="0"/>
                  <a:t> GDP)</a:t>
                </a:r>
                <a:endParaRPr lang="en-US"/>
              </a:p>
            </c:rich>
          </c:tx>
          <c:overlay val="0"/>
          <c:spPr>
            <a:noFill/>
            <a:ln>
              <a:noFill/>
            </a:ln>
            <a:effectLst/>
          </c:sp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24480"/>
        <c:crosses val="max"/>
        <c:crossBetween val="between"/>
      </c:valAx>
      <c:catAx>
        <c:axId val="160824480"/>
        <c:scaling>
          <c:orientation val="minMax"/>
        </c:scaling>
        <c:delete val="1"/>
        <c:axPos val="b"/>
        <c:numFmt formatCode="General" sourceLinked="1"/>
        <c:majorTickMark val="none"/>
        <c:minorTickMark val="none"/>
        <c:tickLblPos val="none"/>
        <c:crossAx val="16077896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Diagrams!$B$80</c:f>
              <c:strCache>
                <c:ptCount val="1"/>
                <c:pt idx="0">
                  <c:v>Market Share</c:v>
                </c:pt>
              </c:strCache>
            </c:strRef>
          </c:tx>
          <c:spPr>
            <a:solidFill>
              <a:schemeClr val="dk1">
                <a:tint val="88500"/>
              </a:schemeClr>
            </a:solidFill>
            <a:ln>
              <a:noFill/>
            </a:ln>
            <a:effectLst/>
          </c:spPr>
          <c:invertIfNegative val="0"/>
          <c:cat>
            <c:strRef>
              <c:f>Diagrams!$A$81:$A$91</c:f>
              <c:strCache>
                <c:ptCount val="11"/>
                <c:pt idx="0">
                  <c:v>Medibank Private</c:v>
                </c:pt>
                <c:pt idx="1">
                  <c:v>Bupa</c:v>
                </c:pt>
                <c:pt idx="2">
                  <c:v>HCF</c:v>
                </c:pt>
                <c:pt idx="3">
                  <c:v>NIB</c:v>
                </c:pt>
                <c:pt idx="4">
                  <c:v>HBF</c:v>
                </c:pt>
                <c:pt idx="5">
                  <c:v>Australian Unity</c:v>
                </c:pt>
                <c:pt idx="6">
                  <c:v>Teachers Federation</c:v>
                </c:pt>
                <c:pt idx="7">
                  <c:v>GMHBA</c:v>
                </c:pt>
                <c:pt idx="8">
                  <c:v>Defence</c:v>
                </c:pt>
                <c:pt idx="9">
                  <c:v>CBHS</c:v>
                </c:pt>
                <c:pt idx="10">
                  <c:v>Other (24 funds)</c:v>
                </c:pt>
              </c:strCache>
            </c:strRef>
          </c:cat>
          <c:val>
            <c:numRef>
              <c:f>Diagrams!$B$81:$B$91</c:f>
              <c:numCache>
                <c:formatCode>0.0%</c:formatCode>
                <c:ptCount val="11"/>
                <c:pt idx="0">
                  <c:v>0.29499999999999998</c:v>
                </c:pt>
                <c:pt idx="1">
                  <c:v>0.26800000000000002</c:v>
                </c:pt>
                <c:pt idx="2">
                  <c:v>0.108</c:v>
                </c:pt>
                <c:pt idx="3">
                  <c:v>7.6999999999999999E-2</c:v>
                </c:pt>
                <c:pt idx="4">
                  <c:v>7.4999999999999997E-2</c:v>
                </c:pt>
                <c:pt idx="5">
                  <c:v>3.2000000000000001E-2</c:v>
                </c:pt>
                <c:pt idx="6">
                  <c:v>1.9E-2</c:v>
                </c:pt>
                <c:pt idx="7">
                  <c:v>1.9E-2</c:v>
                </c:pt>
                <c:pt idx="8">
                  <c:v>1.7000000000000001E-2</c:v>
                </c:pt>
                <c:pt idx="9">
                  <c:v>1.2999999999999999E-2</c:v>
                </c:pt>
                <c:pt idx="10">
                  <c:v>7.7000000000000096E-2</c:v>
                </c:pt>
              </c:numCache>
            </c:numRef>
          </c:val>
          <c:extLst>
            <c:ext xmlns:c16="http://schemas.microsoft.com/office/drawing/2014/chart" uri="{C3380CC4-5D6E-409C-BE32-E72D297353CC}">
              <c16:uniqueId val="{00000000-9073-451C-B88F-B707FC6682D9}"/>
            </c:ext>
          </c:extLst>
        </c:ser>
        <c:dLbls>
          <c:showLegendKey val="0"/>
          <c:showVal val="0"/>
          <c:showCatName val="0"/>
          <c:showSerName val="0"/>
          <c:showPercent val="0"/>
          <c:showBubbleSize val="0"/>
        </c:dLbls>
        <c:gapWidth val="219"/>
        <c:overlap val="-27"/>
        <c:axId val="160803592"/>
        <c:axId val="159681960"/>
      </c:barChart>
      <c:catAx>
        <c:axId val="160803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27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681960"/>
        <c:crosses val="autoZero"/>
        <c:auto val="1"/>
        <c:lblAlgn val="ctr"/>
        <c:lblOffset val="100"/>
        <c:noMultiLvlLbl val="0"/>
      </c:catAx>
      <c:valAx>
        <c:axId val="159681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Australian</a:t>
                </a:r>
                <a:r>
                  <a:rPr lang="en-US" baseline="0"/>
                  <a:t> PHI market share</a:t>
                </a:r>
                <a:endParaRPr lang="en-US"/>
              </a:p>
            </c:rich>
          </c:tx>
          <c:overlay val="0"/>
          <c:spPr>
            <a:noFill/>
            <a:ln>
              <a:noFill/>
            </a:ln>
            <a:effectLst/>
          </c:sp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8035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63CA5-CF07-42D9-9E47-0854F9085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4254</Words>
  <Characters>24253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Strome, Tiana</cp:lastModifiedBy>
  <cp:revision>3</cp:revision>
  <cp:lastPrinted>2017-02-01T18:14:00Z</cp:lastPrinted>
  <dcterms:created xsi:type="dcterms:W3CDTF">2022-09-28T12:22:00Z</dcterms:created>
  <dcterms:modified xsi:type="dcterms:W3CDTF">2022-09-28T13:39:00Z</dcterms:modified>
</cp:coreProperties>
</file>