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commentsExtended.xml" ContentType="application/vnd.openxmlformats-officedocument.wordprocessingml.commentsExtended+xml"/>
  <Override PartName="/word/people.xml" ContentType="application/vnd.openxmlformats-officedocument.wordprocessingml.people+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2B31A" w14:textId="60C466D9" w:rsidR="008467D5" w:rsidRPr="001B668D" w:rsidRDefault="000150CA" w:rsidP="008467D5">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GB" w:eastAsia="en-GB"/>
        </w:rPr>
        <w:drawing>
          <wp:inline distT="0" distB="0" distL="0" distR="0" wp14:anchorId="69AA7715" wp14:editId="4BA7622E">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C43CA1E" w14:textId="77777777" w:rsidR="00856D9F" w:rsidRPr="001B668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1FAD920E" w14:textId="1B052B7D" w:rsidR="00D75295" w:rsidRPr="001B668D" w:rsidRDefault="000150CA" w:rsidP="00F105B7">
      <w:pPr>
        <w:pStyle w:val="ProductNumber"/>
        <w:rPr>
          <w:lang w:val="en-GB"/>
        </w:rPr>
      </w:pPr>
      <w:r>
        <w:rPr>
          <w:lang w:val="en-GB"/>
        </w:rPr>
        <w:t>9B17N010</w:t>
      </w:r>
    </w:p>
    <w:p w14:paraId="60C8DC8E" w14:textId="77777777" w:rsidR="00D75295" w:rsidRPr="001B668D" w:rsidRDefault="00D75295" w:rsidP="00D75295">
      <w:pPr>
        <w:jc w:val="right"/>
        <w:rPr>
          <w:rFonts w:ascii="Arial" w:hAnsi="Arial"/>
          <w:b/>
          <w:sz w:val="28"/>
          <w:szCs w:val="28"/>
          <w:lang w:val="en-GB"/>
        </w:rPr>
      </w:pPr>
    </w:p>
    <w:p w14:paraId="14C219A4" w14:textId="77777777" w:rsidR="00866F6D" w:rsidRPr="001B668D" w:rsidRDefault="00866F6D" w:rsidP="00D75295">
      <w:pPr>
        <w:jc w:val="right"/>
        <w:rPr>
          <w:rFonts w:ascii="Arial" w:hAnsi="Arial"/>
          <w:b/>
          <w:sz w:val="28"/>
          <w:szCs w:val="28"/>
          <w:lang w:val="en-GB"/>
        </w:rPr>
      </w:pPr>
    </w:p>
    <w:p w14:paraId="755E6B30" w14:textId="6AA7240E" w:rsidR="00013360" w:rsidRPr="001B668D" w:rsidRDefault="009A249A" w:rsidP="00013360">
      <w:pPr>
        <w:pStyle w:val="CaseTitle"/>
        <w:spacing w:after="0" w:line="240" w:lineRule="auto"/>
        <w:rPr>
          <w:lang w:val="en-GB"/>
        </w:rPr>
      </w:pPr>
      <w:r w:rsidRPr="001B668D">
        <w:rPr>
          <w:lang w:val="en-GB"/>
        </w:rPr>
        <w:t>Note on Behavio</w:t>
      </w:r>
      <w:r w:rsidR="00002463" w:rsidRPr="001B668D">
        <w:rPr>
          <w:lang w:val="en-GB"/>
        </w:rPr>
        <w:t>U</w:t>
      </w:r>
      <w:r w:rsidRPr="001B668D">
        <w:rPr>
          <w:lang w:val="en-GB"/>
        </w:rPr>
        <w:t>ral Finance</w:t>
      </w:r>
    </w:p>
    <w:p w14:paraId="1EE2B7C8" w14:textId="77777777" w:rsidR="00CA3976" w:rsidRPr="001B668D" w:rsidRDefault="00CA3976" w:rsidP="00013360">
      <w:pPr>
        <w:pStyle w:val="CaseTitle"/>
        <w:spacing w:after="0" w:line="240" w:lineRule="auto"/>
        <w:rPr>
          <w:sz w:val="20"/>
          <w:szCs w:val="20"/>
          <w:lang w:val="en-GB"/>
        </w:rPr>
      </w:pPr>
    </w:p>
    <w:p w14:paraId="7AB140D4" w14:textId="77777777" w:rsidR="00013360" w:rsidRPr="001B668D" w:rsidRDefault="00013360" w:rsidP="00013360">
      <w:pPr>
        <w:pStyle w:val="CaseTitle"/>
        <w:spacing w:after="0" w:line="240" w:lineRule="auto"/>
        <w:rPr>
          <w:sz w:val="20"/>
          <w:szCs w:val="20"/>
          <w:lang w:val="en-GB"/>
        </w:rPr>
      </w:pPr>
    </w:p>
    <w:p w14:paraId="7D1108A9" w14:textId="39223F8E" w:rsidR="00013360" w:rsidRPr="001B668D" w:rsidRDefault="00257E8B" w:rsidP="00104567">
      <w:pPr>
        <w:pStyle w:val="StyleCopyrightStatementAfter0ptBottomSinglesolidline1"/>
        <w:rPr>
          <w:lang w:val="en-GB"/>
        </w:rPr>
      </w:pPr>
      <w:r w:rsidRPr="001B668D">
        <w:rPr>
          <w:lang w:val="en-GB"/>
        </w:rPr>
        <w:t>Michael Lay</w:t>
      </w:r>
      <w:r w:rsidR="007E5921" w:rsidRPr="001B668D">
        <w:rPr>
          <w:lang w:val="en-GB"/>
        </w:rPr>
        <w:t xml:space="preserve"> wrote this </w:t>
      </w:r>
      <w:r w:rsidR="00D83485" w:rsidRPr="001B668D">
        <w:rPr>
          <w:lang w:val="en-GB"/>
        </w:rPr>
        <w:t>note</w:t>
      </w:r>
      <w:r w:rsidR="007E5921" w:rsidRPr="001B668D">
        <w:rPr>
          <w:lang w:val="en-GB"/>
        </w:rPr>
        <w:t xml:space="preserve"> </w:t>
      </w:r>
      <w:r w:rsidRPr="001B668D">
        <w:rPr>
          <w:lang w:val="en-GB"/>
        </w:rPr>
        <w:t xml:space="preserve">under the supervision of Stephen Foerster and Amos Nadler </w:t>
      </w:r>
      <w:r w:rsidR="007E5921" w:rsidRPr="001B668D">
        <w:rPr>
          <w:lang w:val="en-GB"/>
        </w:rPr>
        <w:t>sol</w:t>
      </w:r>
      <w:r w:rsidR="00D75295" w:rsidRPr="001B668D">
        <w:rPr>
          <w:lang w:val="en-GB"/>
        </w:rPr>
        <w:t xml:space="preserve">ely to provide material for class discussion. The authors do not intend to </w:t>
      </w:r>
      <w:r w:rsidR="00D83485" w:rsidRPr="001B668D">
        <w:rPr>
          <w:lang w:val="en-GB"/>
        </w:rPr>
        <w:t>provide legal, tax, accounting</w:t>
      </w:r>
      <w:r w:rsidR="00C17C9C">
        <w:rPr>
          <w:lang w:val="en-GB"/>
        </w:rPr>
        <w:t>,</w:t>
      </w:r>
      <w:r w:rsidR="00D83485" w:rsidRPr="001B668D">
        <w:rPr>
          <w:lang w:val="en-GB"/>
        </w:rPr>
        <w:t xml:space="preserve"> or other professional advice. Such advice should be obtained from a qualified professional.</w:t>
      </w:r>
    </w:p>
    <w:p w14:paraId="11864125" w14:textId="77777777" w:rsidR="00013360" w:rsidRPr="001B668D" w:rsidRDefault="00013360" w:rsidP="00104567">
      <w:pPr>
        <w:pStyle w:val="StyleCopyrightStatementAfter0ptBottomSinglesolidline1"/>
        <w:rPr>
          <w:lang w:val="en-GB"/>
        </w:rPr>
      </w:pPr>
    </w:p>
    <w:p w14:paraId="667DE4C2" w14:textId="3189C9EC" w:rsidR="00856D9F" w:rsidRPr="001B668D" w:rsidRDefault="000150CA" w:rsidP="003B7EF2">
      <w:pPr>
        <w:pStyle w:val="StyleStyleCopyrightStatementAfter0ptBottomSinglesolid"/>
        <w:rPr>
          <w:lang w:val="en-GB"/>
        </w:rPr>
      </w:pPr>
      <w:r w:rsidRPr="00E23AB7">
        <w:t>This publication may not be transmitted, photocopied, digitized</w:t>
      </w:r>
      <w:r>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t>cases@ivey.ca</w:t>
        </w:r>
      </w:hyperlink>
      <w:r w:rsidRPr="00E23AB7">
        <w:t xml:space="preserve">; </w:t>
      </w:r>
      <w:hyperlink r:id="rId11" w:history="1">
        <w:r w:rsidRPr="00E23AB7">
          <w:t>www.iveycases.com</w:t>
        </w:r>
      </w:hyperlink>
      <w:r w:rsidRPr="00E23AB7">
        <w:t>.</w:t>
      </w:r>
    </w:p>
    <w:p w14:paraId="7650171D" w14:textId="77777777" w:rsidR="00856D9F" w:rsidRPr="001B668D" w:rsidRDefault="00856D9F" w:rsidP="003B7EF2">
      <w:pPr>
        <w:pStyle w:val="StyleStyleCopyrightStatementAfter0ptBottomSinglesolid"/>
        <w:rPr>
          <w:lang w:val="en-GB"/>
        </w:rPr>
      </w:pPr>
    </w:p>
    <w:p w14:paraId="7993AC17" w14:textId="77777777" w:rsidR="00856D9F" w:rsidRPr="001B668D" w:rsidRDefault="00856D9F" w:rsidP="003B7EF2">
      <w:pPr>
        <w:pStyle w:val="StyleStyleCopyrightStatementAfter0ptBottomSinglesolid"/>
        <w:rPr>
          <w:lang w:val="en-GB"/>
        </w:rPr>
      </w:pPr>
    </w:p>
    <w:p w14:paraId="313DF899" w14:textId="4012654F" w:rsidR="003B7EF2" w:rsidRPr="001B668D" w:rsidRDefault="000150CA" w:rsidP="003B7EF2">
      <w:pPr>
        <w:pStyle w:val="StyleStyleCopyrightStatementAfter0ptBottomSinglesolid"/>
        <w:rPr>
          <w:lang w:val="en-GB"/>
        </w:rPr>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3B7EF2" w:rsidRPr="001B668D">
        <w:rPr>
          <w:lang w:val="en-GB"/>
        </w:rPr>
        <w:tab/>
        <w:t xml:space="preserve">Version: </w:t>
      </w:r>
      <w:r w:rsidR="00361C8E" w:rsidRPr="001B668D">
        <w:rPr>
          <w:lang w:val="en-GB"/>
        </w:rPr>
        <w:t>201</w:t>
      </w:r>
      <w:r w:rsidR="007F51FC" w:rsidRPr="001B668D">
        <w:rPr>
          <w:lang w:val="en-GB"/>
        </w:rPr>
        <w:t>7</w:t>
      </w:r>
      <w:r w:rsidR="00361C8E" w:rsidRPr="001B668D">
        <w:rPr>
          <w:lang w:val="en-GB"/>
        </w:rPr>
        <w:t>-</w:t>
      </w:r>
      <w:r w:rsidR="00257E8B" w:rsidRPr="001B668D">
        <w:rPr>
          <w:lang w:val="en-GB"/>
        </w:rPr>
        <w:t>0</w:t>
      </w:r>
      <w:r w:rsidR="00CF3F70">
        <w:rPr>
          <w:lang w:val="en-GB"/>
        </w:rPr>
        <w:t>6</w:t>
      </w:r>
      <w:r w:rsidR="00361C8E" w:rsidRPr="001B668D">
        <w:rPr>
          <w:lang w:val="en-GB"/>
        </w:rPr>
        <w:t>-</w:t>
      </w:r>
      <w:r w:rsidR="00E56DDD" w:rsidRPr="001B668D">
        <w:rPr>
          <w:lang w:val="en-GB"/>
        </w:rPr>
        <w:t>0</w:t>
      </w:r>
      <w:r w:rsidR="00CF3F70">
        <w:rPr>
          <w:lang w:val="en-GB"/>
        </w:rPr>
        <w:t>9</w:t>
      </w:r>
    </w:p>
    <w:p w14:paraId="3176E45E" w14:textId="77777777" w:rsidR="003B7EF2" w:rsidRPr="00324F20" w:rsidRDefault="003B7EF2" w:rsidP="00104567">
      <w:pPr>
        <w:pStyle w:val="StyleCopyrightStatementAfter0ptBottomSinglesolidline1"/>
        <w:rPr>
          <w:rFonts w:ascii="Times New Roman" w:hAnsi="Times New Roman"/>
          <w:szCs w:val="16"/>
          <w:lang w:val="en-GB"/>
        </w:rPr>
      </w:pPr>
    </w:p>
    <w:p w14:paraId="5366A8D7" w14:textId="77777777" w:rsidR="00324F20" w:rsidRPr="00324F20" w:rsidRDefault="00324F20" w:rsidP="00104567">
      <w:pPr>
        <w:pStyle w:val="StyleCopyrightStatementAfter0ptBottomSinglesolidline1"/>
        <w:rPr>
          <w:rFonts w:ascii="Times New Roman" w:hAnsi="Times New Roman"/>
          <w:szCs w:val="16"/>
          <w:lang w:val="en-GB"/>
        </w:rPr>
      </w:pPr>
    </w:p>
    <w:p w14:paraId="3923BB5F" w14:textId="592DC69E" w:rsidR="009A249A" w:rsidRPr="001B668D" w:rsidRDefault="009A249A" w:rsidP="00447C0C">
      <w:pPr>
        <w:pStyle w:val="BodyTextMain"/>
        <w:rPr>
          <w:lang w:val="en-GB"/>
        </w:rPr>
      </w:pPr>
      <w:r w:rsidRPr="001B668D">
        <w:rPr>
          <w:lang w:val="en-GB"/>
        </w:rPr>
        <w:t>Behavioural finance is a sub-field of behavioural economics that specifically attempts to explain financial market</w:t>
      </w:r>
      <w:r w:rsidR="00C17C9C">
        <w:rPr>
          <w:lang w:val="en-GB"/>
        </w:rPr>
        <w:t>–</w:t>
      </w:r>
      <w:r w:rsidRPr="001B668D">
        <w:rPr>
          <w:lang w:val="en-GB"/>
        </w:rPr>
        <w:t>related behaviour. Behaviour</w:t>
      </w:r>
      <w:r w:rsidR="001B668D">
        <w:rPr>
          <w:lang w:val="en-GB"/>
        </w:rPr>
        <w:t>al</w:t>
      </w:r>
      <w:r w:rsidRPr="001B668D">
        <w:rPr>
          <w:lang w:val="en-GB"/>
        </w:rPr>
        <w:t xml:space="preserve"> economics (and thus behavioural finance) is a relatively new branch of study that formally began in the 1980s and has garnered increasing attention from economists </w:t>
      </w:r>
      <w:r w:rsidR="001B668D">
        <w:rPr>
          <w:lang w:val="en-GB"/>
        </w:rPr>
        <w:t>and</w:t>
      </w:r>
      <w:r w:rsidR="001B668D" w:rsidRPr="001B668D">
        <w:rPr>
          <w:lang w:val="en-GB"/>
        </w:rPr>
        <w:t xml:space="preserve"> </w:t>
      </w:r>
      <w:r w:rsidRPr="001B668D">
        <w:rPr>
          <w:lang w:val="en-GB"/>
        </w:rPr>
        <w:t xml:space="preserve">neuroscientists. This note provides an overview of </w:t>
      </w:r>
      <w:r w:rsidR="00AD3A97">
        <w:rPr>
          <w:lang w:val="en-GB"/>
        </w:rPr>
        <w:t xml:space="preserve">the </w:t>
      </w:r>
      <w:r w:rsidRPr="001B668D">
        <w:rPr>
          <w:lang w:val="en-GB"/>
        </w:rPr>
        <w:t xml:space="preserve">fundamental theories and empirical findings </w:t>
      </w:r>
      <w:r w:rsidR="00AD3A97">
        <w:rPr>
          <w:lang w:val="en-GB"/>
        </w:rPr>
        <w:t xml:space="preserve">in behavioural finance and </w:t>
      </w:r>
      <w:r w:rsidR="00AD5597">
        <w:rPr>
          <w:lang w:val="en-GB"/>
        </w:rPr>
        <w:t>describes</w:t>
      </w:r>
      <w:r w:rsidR="00AD5597" w:rsidRPr="001B668D">
        <w:rPr>
          <w:lang w:val="en-GB"/>
        </w:rPr>
        <w:t xml:space="preserve"> </w:t>
      </w:r>
      <w:r w:rsidRPr="001B668D">
        <w:rPr>
          <w:lang w:val="en-GB"/>
        </w:rPr>
        <w:t xml:space="preserve">recent </w:t>
      </w:r>
      <w:r w:rsidR="00F11457">
        <w:rPr>
          <w:lang w:val="en-GB"/>
        </w:rPr>
        <w:t>breakthroughs</w:t>
      </w:r>
      <w:r w:rsidR="00F11457" w:rsidRPr="001B668D">
        <w:rPr>
          <w:lang w:val="en-GB"/>
        </w:rPr>
        <w:t xml:space="preserve"> </w:t>
      </w:r>
      <w:r w:rsidRPr="001B668D">
        <w:rPr>
          <w:lang w:val="en-GB"/>
        </w:rPr>
        <w:t xml:space="preserve">that have expanded the breadth of the field. Furthermore, </w:t>
      </w:r>
      <w:r w:rsidR="00AD3A97">
        <w:rPr>
          <w:lang w:val="en-GB"/>
        </w:rPr>
        <w:t xml:space="preserve">this note </w:t>
      </w:r>
      <w:r w:rsidRPr="001B668D">
        <w:rPr>
          <w:lang w:val="en-GB"/>
        </w:rPr>
        <w:t>outline</w:t>
      </w:r>
      <w:r w:rsidR="0034366D" w:rsidRPr="001B668D">
        <w:rPr>
          <w:lang w:val="en-GB"/>
        </w:rPr>
        <w:t>s</w:t>
      </w:r>
      <w:r w:rsidRPr="001B668D">
        <w:rPr>
          <w:lang w:val="en-GB"/>
        </w:rPr>
        <w:t xml:space="preserve"> strategies that are used to correct irrational </w:t>
      </w:r>
      <w:r w:rsidR="00AD3A97">
        <w:rPr>
          <w:lang w:val="en-GB"/>
        </w:rPr>
        <w:t xml:space="preserve">financial </w:t>
      </w:r>
      <w:r w:rsidRPr="001B668D">
        <w:rPr>
          <w:lang w:val="en-GB"/>
        </w:rPr>
        <w:t>behaviour.</w:t>
      </w:r>
    </w:p>
    <w:p w14:paraId="2AD80175" w14:textId="77777777" w:rsidR="009A249A" w:rsidRPr="001B668D" w:rsidRDefault="009A249A" w:rsidP="00447C0C">
      <w:pPr>
        <w:pStyle w:val="BodyTextMain"/>
        <w:rPr>
          <w:lang w:val="en-GB"/>
        </w:rPr>
      </w:pPr>
    </w:p>
    <w:p w14:paraId="3BBCA618" w14:textId="77777777" w:rsidR="009A249A" w:rsidRPr="001B668D" w:rsidRDefault="009A249A" w:rsidP="00447C0C">
      <w:pPr>
        <w:pStyle w:val="BodyTextMain"/>
        <w:rPr>
          <w:lang w:val="en-GB"/>
        </w:rPr>
      </w:pPr>
    </w:p>
    <w:p w14:paraId="4F3CB039" w14:textId="20C51A66" w:rsidR="009A249A" w:rsidRPr="001B668D" w:rsidRDefault="00601F84" w:rsidP="00447C0C">
      <w:pPr>
        <w:pStyle w:val="Casehead1"/>
        <w:rPr>
          <w:lang w:val="en-GB"/>
        </w:rPr>
      </w:pPr>
      <w:r w:rsidRPr="001B668D">
        <w:rPr>
          <w:lang w:val="en-GB"/>
        </w:rPr>
        <w:t>TRADITIONAL FINANCIAL MODELS VERSUS BEHAVIO</w:t>
      </w:r>
      <w:r w:rsidR="001B2532">
        <w:rPr>
          <w:lang w:val="en-GB"/>
        </w:rPr>
        <w:t>u</w:t>
      </w:r>
      <w:r w:rsidRPr="001B668D">
        <w:rPr>
          <w:lang w:val="en-GB"/>
        </w:rPr>
        <w:t>RAL FINANCE</w:t>
      </w:r>
    </w:p>
    <w:p w14:paraId="66415BD0" w14:textId="77777777" w:rsidR="009A249A" w:rsidRPr="001B668D" w:rsidRDefault="009A249A" w:rsidP="00447C0C">
      <w:pPr>
        <w:pStyle w:val="BodyTextMain"/>
        <w:rPr>
          <w:lang w:val="en-GB"/>
        </w:rPr>
      </w:pPr>
    </w:p>
    <w:p w14:paraId="746C23FC" w14:textId="70ED4F84" w:rsidR="009A249A" w:rsidRPr="001B668D" w:rsidRDefault="00602072" w:rsidP="00447C0C">
      <w:pPr>
        <w:pStyle w:val="BodyTextMain"/>
        <w:rPr>
          <w:lang w:val="en-GB"/>
        </w:rPr>
      </w:pPr>
      <w:r w:rsidRPr="001B668D">
        <w:rPr>
          <w:lang w:val="en-GB"/>
        </w:rPr>
        <w:t>Most t</w:t>
      </w:r>
      <w:r w:rsidR="009A249A" w:rsidRPr="001B668D">
        <w:rPr>
          <w:lang w:val="en-GB"/>
        </w:rPr>
        <w:t xml:space="preserve">raditional financial </w:t>
      </w:r>
      <w:r w:rsidR="001B2532">
        <w:rPr>
          <w:lang w:val="en-GB"/>
        </w:rPr>
        <w:t>and</w:t>
      </w:r>
      <w:r w:rsidR="001B2532" w:rsidRPr="001B668D">
        <w:rPr>
          <w:lang w:val="en-GB"/>
        </w:rPr>
        <w:t xml:space="preserve"> </w:t>
      </w:r>
      <w:r w:rsidRPr="001B668D">
        <w:rPr>
          <w:lang w:val="en-GB"/>
        </w:rPr>
        <w:t xml:space="preserve">asset pricing </w:t>
      </w:r>
      <w:r w:rsidR="009A249A" w:rsidRPr="001B668D">
        <w:rPr>
          <w:lang w:val="en-GB"/>
        </w:rPr>
        <w:t xml:space="preserve">models, such as the </w:t>
      </w:r>
      <w:r w:rsidR="001B668D">
        <w:rPr>
          <w:lang w:val="en-GB"/>
        </w:rPr>
        <w:t>c</w:t>
      </w:r>
      <w:r w:rsidR="009A249A" w:rsidRPr="001B668D">
        <w:rPr>
          <w:lang w:val="en-GB"/>
        </w:rPr>
        <w:t xml:space="preserve">apital </w:t>
      </w:r>
      <w:r w:rsidR="001B668D">
        <w:rPr>
          <w:lang w:val="en-GB"/>
        </w:rPr>
        <w:t>a</w:t>
      </w:r>
      <w:r w:rsidR="009A249A" w:rsidRPr="001B668D">
        <w:rPr>
          <w:lang w:val="en-GB"/>
        </w:rPr>
        <w:t xml:space="preserve">sset </w:t>
      </w:r>
      <w:r w:rsidR="001B668D">
        <w:rPr>
          <w:lang w:val="en-GB"/>
        </w:rPr>
        <w:t>p</w:t>
      </w:r>
      <w:r w:rsidR="009A249A" w:rsidRPr="001B668D">
        <w:rPr>
          <w:lang w:val="en-GB"/>
        </w:rPr>
        <w:t xml:space="preserve">ricing </w:t>
      </w:r>
      <w:r w:rsidR="001B668D">
        <w:rPr>
          <w:lang w:val="en-GB"/>
        </w:rPr>
        <w:t>m</w:t>
      </w:r>
      <w:r w:rsidR="009A249A" w:rsidRPr="001B668D">
        <w:rPr>
          <w:lang w:val="en-GB"/>
        </w:rPr>
        <w:t xml:space="preserve">odel, </w:t>
      </w:r>
      <w:r w:rsidR="001B668D">
        <w:rPr>
          <w:lang w:val="en-GB"/>
        </w:rPr>
        <w:t>are based on</w:t>
      </w:r>
      <w:r w:rsidR="001B668D" w:rsidRPr="001B668D">
        <w:rPr>
          <w:lang w:val="en-GB"/>
        </w:rPr>
        <w:t xml:space="preserve"> </w:t>
      </w:r>
      <w:r w:rsidR="009A249A" w:rsidRPr="001B668D">
        <w:rPr>
          <w:lang w:val="en-GB"/>
        </w:rPr>
        <w:t>two key assumptions</w:t>
      </w:r>
      <w:r w:rsidR="0034366D" w:rsidRPr="001B668D">
        <w:rPr>
          <w:lang w:val="en-GB"/>
        </w:rPr>
        <w:t>:</w:t>
      </w:r>
      <w:r w:rsidR="009A249A" w:rsidRPr="001B668D">
        <w:rPr>
          <w:lang w:val="en-GB"/>
        </w:rPr>
        <w:t xml:space="preserve"> </w:t>
      </w:r>
      <w:r w:rsidR="001B668D">
        <w:rPr>
          <w:lang w:val="en-GB"/>
        </w:rPr>
        <w:t>f</w:t>
      </w:r>
      <w:r w:rsidR="009A249A" w:rsidRPr="001B668D">
        <w:rPr>
          <w:lang w:val="en-GB"/>
        </w:rPr>
        <w:t xml:space="preserve">irst, markets are frictionless, meaning there is no </w:t>
      </w:r>
      <w:r w:rsidR="006F318A">
        <w:rPr>
          <w:lang w:val="en-GB"/>
        </w:rPr>
        <w:t xml:space="preserve">transaction </w:t>
      </w:r>
      <w:r w:rsidR="009A249A" w:rsidRPr="001B668D">
        <w:rPr>
          <w:lang w:val="en-GB"/>
        </w:rPr>
        <w:t>cost to trade</w:t>
      </w:r>
      <w:r w:rsidR="0034366D" w:rsidRPr="001B668D">
        <w:rPr>
          <w:lang w:val="en-GB"/>
        </w:rPr>
        <w:t>; and</w:t>
      </w:r>
      <w:r w:rsidR="009A249A" w:rsidRPr="001B668D">
        <w:rPr>
          <w:lang w:val="en-GB"/>
        </w:rPr>
        <w:t xml:space="preserve"> </w:t>
      </w:r>
      <w:r w:rsidR="0034366D" w:rsidRPr="001B668D">
        <w:rPr>
          <w:lang w:val="en-GB"/>
        </w:rPr>
        <w:t>s</w:t>
      </w:r>
      <w:r w:rsidR="009A249A" w:rsidRPr="001B668D">
        <w:rPr>
          <w:lang w:val="en-GB"/>
        </w:rPr>
        <w:t xml:space="preserve">econd, </w:t>
      </w:r>
      <w:r w:rsidR="0034366D" w:rsidRPr="001B668D">
        <w:rPr>
          <w:lang w:val="en-GB"/>
        </w:rPr>
        <w:t xml:space="preserve">all </w:t>
      </w:r>
      <w:r w:rsidR="009A249A" w:rsidRPr="001B668D">
        <w:rPr>
          <w:lang w:val="en-GB"/>
        </w:rPr>
        <w:t xml:space="preserve">investors are rational. Rationality means that when new information is received, investors update their beliefs </w:t>
      </w:r>
      <w:r w:rsidR="001B2532">
        <w:rPr>
          <w:lang w:val="en-GB"/>
        </w:rPr>
        <w:t>appropriate</w:t>
      </w:r>
      <w:r w:rsidR="001B2532" w:rsidRPr="001B668D">
        <w:rPr>
          <w:lang w:val="en-GB"/>
        </w:rPr>
        <w:t>ly</w:t>
      </w:r>
      <w:r w:rsidR="009A249A" w:rsidRPr="001B668D">
        <w:rPr>
          <w:lang w:val="en-GB"/>
        </w:rPr>
        <w:t xml:space="preserve"> and</w:t>
      </w:r>
      <w:r w:rsidR="00AD5597" w:rsidRPr="001B668D">
        <w:rPr>
          <w:lang w:val="en-GB"/>
        </w:rPr>
        <w:t>,</w:t>
      </w:r>
      <w:r w:rsidR="009A249A" w:rsidRPr="001B668D">
        <w:rPr>
          <w:lang w:val="en-GB"/>
        </w:rPr>
        <w:t xml:space="preserve"> given their beliefs, investors make choices that are consistent with expected utility maximization, </w:t>
      </w:r>
      <w:r w:rsidRPr="001B668D">
        <w:rPr>
          <w:lang w:val="en-GB"/>
        </w:rPr>
        <w:t xml:space="preserve">implying </w:t>
      </w:r>
      <w:r w:rsidR="009A249A" w:rsidRPr="001B668D">
        <w:rPr>
          <w:lang w:val="en-GB"/>
        </w:rPr>
        <w:t xml:space="preserve">that they desire higher expected returns and lower risk. In other words, traditional models assume that the markets adhere to the </w:t>
      </w:r>
      <w:r w:rsidR="001B668D">
        <w:rPr>
          <w:lang w:val="en-GB"/>
        </w:rPr>
        <w:t>e</w:t>
      </w:r>
      <w:r w:rsidR="009A249A" w:rsidRPr="001B668D">
        <w:rPr>
          <w:lang w:val="en-GB"/>
        </w:rPr>
        <w:t xml:space="preserve">fficient </w:t>
      </w:r>
      <w:r w:rsidR="001B668D">
        <w:rPr>
          <w:lang w:val="en-GB"/>
        </w:rPr>
        <w:t>m</w:t>
      </w:r>
      <w:r w:rsidR="009A249A" w:rsidRPr="001B668D">
        <w:rPr>
          <w:lang w:val="en-GB"/>
        </w:rPr>
        <w:t xml:space="preserve">arket </w:t>
      </w:r>
      <w:r w:rsidR="001B668D">
        <w:rPr>
          <w:lang w:val="en-GB"/>
        </w:rPr>
        <w:t>h</w:t>
      </w:r>
      <w:r w:rsidR="009A249A" w:rsidRPr="001B668D">
        <w:rPr>
          <w:lang w:val="en-GB"/>
        </w:rPr>
        <w:t>ypothesis</w:t>
      </w:r>
      <w:r w:rsidRPr="001B668D">
        <w:rPr>
          <w:lang w:val="en-GB"/>
        </w:rPr>
        <w:t xml:space="preserve"> (EMH)</w:t>
      </w:r>
      <w:r w:rsidR="009A249A" w:rsidRPr="001B668D">
        <w:rPr>
          <w:lang w:val="en-GB"/>
        </w:rPr>
        <w:t xml:space="preserve">, in which market prices </w:t>
      </w:r>
      <w:r w:rsidR="0034366D" w:rsidRPr="001B668D">
        <w:rPr>
          <w:lang w:val="en-GB"/>
        </w:rPr>
        <w:t xml:space="preserve">fully and immediately </w:t>
      </w:r>
      <w:r w:rsidR="009A249A" w:rsidRPr="001B668D">
        <w:rPr>
          <w:lang w:val="en-GB"/>
        </w:rPr>
        <w:t xml:space="preserve">reflect </w:t>
      </w:r>
      <w:r w:rsidR="0034366D" w:rsidRPr="001B668D">
        <w:rPr>
          <w:lang w:val="en-GB"/>
        </w:rPr>
        <w:t xml:space="preserve">all relevant information and hence always equal </w:t>
      </w:r>
      <w:r w:rsidR="001B668D">
        <w:rPr>
          <w:lang w:val="en-GB"/>
        </w:rPr>
        <w:t xml:space="preserve">a </w:t>
      </w:r>
      <w:r w:rsidR="0034366D" w:rsidRPr="001B668D">
        <w:rPr>
          <w:lang w:val="en-GB"/>
        </w:rPr>
        <w:t xml:space="preserve">true </w:t>
      </w:r>
      <w:r w:rsidR="009A249A" w:rsidRPr="001B668D">
        <w:rPr>
          <w:lang w:val="en-GB"/>
        </w:rPr>
        <w:t>fundamental</w:t>
      </w:r>
      <w:r w:rsidR="001B668D">
        <w:rPr>
          <w:lang w:val="en-GB"/>
        </w:rPr>
        <w:t>,</w:t>
      </w:r>
      <w:r w:rsidR="009A249A" w:rsidRPr="001B668D">
        <w:rPr>
          <w:lang w:val="en-GB"/>
        </w:rPr>
        <w:t xml:space="preserve"> </w:t>
      </w:r>
      <w:r w:rsidR="0034366D" w:rsidRPr="001B668D">
        <w:rPr>
          <w:lang w:val="en-GB"/>
        </w:rPr>
        <w:t>or intrinsic</w:t>
      </w:r>
      <w:r w:rsidR="001B668D">
        <w:rPr>
          <w:lang w:val="en-GB"/>
        </w:rPr>
        <w:t>,</w:t>
      </w:r>
      <w:r w:rsidR="0034366D" w:rsidRPr="001B668D">
        <w:rPr>
          <w:lang w:val="en-GB"/>
        </w:rPr>
        <w:t xml:space="preserve"> </w:t>
      </w:r>
      <w:r w:rsidR="009A249A" w:rsidRPr="001B668D">
        <w:rPr>
          <w:lang w:val="en-GB"/>
        </w:rPr>
        <w:t xml:space="preserve">value. Therefore, </w:t>
      </w:r>
      <w:r w:rsidR="001B668D" w:rsidRPr="001B668D">
        <w:rPr>
          <w:lang w:val="en-GB"/>
        </w:rPr>
        <w:t xml:space="preserve">if the EMH holds, </w:t>
      </w:r>
      <w:r w:rsidR="009A249A" w:rsidRPr="001B668D">
        <w:rPr>
          <w:lang w:val="en-GB"/>
        </w:rPr>
        <w:t xml:space="preserve">the </w:t>
      </w:r>
      <w:r w:rsidR="0034366D" w:rsidRPr="001B668D">
        <w:rPr>
          <w:lang w:val="en-GB"/>
        </w:rPr>
        <w:t xml:space="preserve">key practical </w:t>
      </w:r>
      <w:r w:rsidR="009A249A" w:rsidRPr="001B668D">
        <w:rPr>
          <w:lang w:val="en-GB"/>
        </w:rPr>
        <w:t>implication for investors</w:t>
      </w:r>
      <w:r w:rsidR="0034366D" w:rsidRPr="001B668D">
        <w:rPr>
          <w:lang w:val="en-GB"/>
        </w:rPr>
        <w:t xml:space="preserve"> in equities</w:t>
      </w:r>
      <w:r w:rsidR="009A249A" w:rsidRPr="001B668D">
        <w:rPr>
          <w:lang w:val="en-GB"/>
        </w:rPr>
        <w:t xml:space="preserve"> is to buy and hold an index fund</w:t>
      </w:r>
      <w:r w:rsidR="0034366D" w:rsidRPr="001B668D">
        <w:rPr>
          <w:lang w:val="en-GB"/>
        </w:rPr>
        <w:t>, such as one that tracks the S&amp;P 500 index</w:t>
      </w:r>
      <w:r w:rsidR="009A249A" w:rsidRPr="001B668D">
        <w:rPr>
          <w:lang w:val="en-GB"/>
        </w:rPr>
        <w:t>.</w:t>
      </w:r>
    </w:p>
    <w:p w14:paraId="73AD6A30" w14:textId="77777777" w:rsidR="009A249A" w:rsidRPr="001B668D" w:rsidRDefault="009A249A" w:rsidP="00447C0C">
      <w:pPr>
        <w:pStyle w:val="BodyTextMain"/>
        <w:rPr>
          <w:lang w:val="en-GB"/>
        </w:rPr>
      </w:pPr>
    </w:p>
    <w:p w14:paraId="50651831" w14:textId="01038745" w:rsidR="00693B96" w:rsidRPr="001B668D" w:rsidRDefault="009A249A" w:rsidP="00447C0C">
      <w:pPr>
        <w:pStyle w:val="BodyTextMain"/>
        <w:rPr>
          <w:lang w:val="en-GB"/>
        </w:rPr>
      </w:pPr>
      <w:r w:rsidRPr="001B668D">
        <w:rPr>
          <w:lang w:val="en-GB"/>
        </w:rPr>
        <w:t xml:space="preserve">Behavioural finance does not </w:t>
      </w:r>
      <w:r w:rsidR="001B668D">
        <w:rPr>
          <w:lang w:val="en-GB"/>
        </w:rPr>
        <w:t>follow</w:t>
      </w:r>
      <w:r w:rsidR="001B668D" w:rsidRPr="001B668D">
        <w:rPr>
          <w:lang w:val="en-GB"/>
        </w:rPr>
        <w:t xml:space="preserve"> </w:t>
      </w:r>
      <w:r w:rsidR="0034366D" w:rsidRPr="001B668D">
        <w:rPr>
          <w:lang w:val="en-GB"/>
        </w:rPr>
        <w:t xml:space="preserve">the </w:t>
      </w:r>
      <w:r w:rsidRPr="001B668D">
        <w:rPr>
          <w:lang w:val="en-GB"/>
        </w:rPr>
        <w:t>same assumptions. Rather, behavioural finance simply observes how investors</w:t>
      </w:r>
      <w:r w:rsidR="00F11457">
        <w:rPr>
          <w:lang w:val="en-GB"/>
        </w:rPr>
        <w:t>, financial managers, and markets</w:t>
      </w:r>
      <w:r w:rsidRPr="001B668D">
        <w:rPr>
          <w:lang w:val="en-GB"/>
        </w:rPr>
        <w:t xml:space="preserve"> behave and then draws implications from the observed behaviour</w:t>
      </w:r>
      <w:r w:rsidR="0034366D" w:rsidRPr="001B668D">
        <w:rPr>
          <w:lang w:val="en-GB"/>
        </w:rPr>
        <w:t xml:space="preserve"> (see Exhibit 1)</w:t>
      </w:r>
      <w:r w:rsidRPr="001B668D">
        <w:rPr>
          <w:lang w:val="en-GB"/>
        </w:rPr>
        <w:t xml:space="preserve">. </w:t>
      </w:r>
      <w:r w:rsidR="00F767A1">
        <w:rPr>
          <w:lang w:val="en-GB"/>
        </w:rPr>
        <w:t>According to b</w:t>
      </w:r>
      <w:r w:rsidRPr="001B668D">
        <w:rPr>
          <w:lang w:val="en-GB"/>
        </w:rPr>
        <w:t>ehavioural finance</w:t>
      </w:r>
      <w:r w:rsidR="00F767A1">
        <w:rPr>
          <w:lang w:val="en-GB"/>
        </w:rPr>
        <w:t>,</w:t>
      </w:r>
      <w:r w:rsidRPr="001B668D">
        <w:rPr>
          <w:lang w:val="en-GB"/>
        </w:rPr>
        <w:t xml:space="preserve"> to accurately interpret empirical findings in finance, models should </w:t>
      </w:r>
      <w:r w:rsidR="00791A0C" w:rsidRPr="001B668D">
        <w:rPr>
          <w:lang w:val="en-GB"/>
        </w:rPr>
        <w:t>consider</w:t>
      </w:r>
      <w:r w:rsidRPr="001B668D">
        <w:rPr>
          <w:lang w:val="en-GB"/>
        </w:rPr>
        <w:t xml:space="preserve"> market frictions and investors who are not fully rational. Contrary to </w:t>
      </w:r>
      <w:r w:rsidR="00F767A1">
        <w:rPr>
          <w:lang w:val="en-GB"/>
        </w:rPr>
        <w:t xml:space="preserve">the assumptions of </w:t>
      </w:r>
      <w:r w:rsidRPr="001B668D">
        <w:rPr>
          <w:lang w:val="en-GB"/>
        </w:rPr>
        <w:t xml:space="preserve">traditional </w:t>
      </w:r>
      <w:r w:rsidR="00F767A1">
        <w:rPr>
          <w:lang w:val="en-GB"/>
        </w:rPr>
        <w:t xml:space="preserve">financial </w:t>
      </w:r>
      <w:r w:rsidR="00602072" w:rsidRPr="001B668D">
        <w:rPr>
          <w:lang w:val="en-GB"/>
        </w:rPr>
        <w:t>model</w:t>
      </w:r>
      <w:r w:rsidR="00F767A1">
        <w:rPr>
          <w:lang w:val="en-GB"/>
        </w:rPr>
        <w:t>s</w:t>
      </w:r>
      <w:r w:rsidRPr="001B668D">
        <w:rPr>
          <w:lang w:val="en-GB"/>
        </w:rPr>
        <w:t xml:space="preserve">, investors do not always update their beliefs </w:t>
      </w:r>
      <w:r w:rsidR="00F767A1">
        <w:rPr>
          <w:lang w:val="en-GB"/>
        </w:rPr>
        <w:t>appropriate</w:t>
      </w:r>
      <w:r w:rsidR="00F767A1" w:rsidRPr="001B668D">
        <w:rPr>
          <w:lang w:val="en-GB"/>
        </w:rPr>
        <w:t xml:space="preserve">ly </w:t>
      </w:r>
      <w:r w:rsidRPr="001B668D">
        <w:rPr>
          <w:lang w:val="en-GB"/>
        </w:rPr>
        <w:t>and do not always maximize expected utility. Furthermore, market price</w:t>
      </w:r>
      <w:r w:rsidR="00740454" w:rsidRPr="001B668D">
        <w:rPr>
          <w:lang w:val="en-GB"/>
        </w:rPr>
        <w:t>s</w:t>
      </w:r>
      <w:r w:rsidRPr="001B668D">
        <w:rPr>
          <w:lang w:val="en-GB"/>
        </w:rPr>
        <w:t xml:space="preserve"> do not always equal fundamental value. To understand these irrational phenomena, two core areas have been identified: limits to arbitrage and investor psychology.</w:t>
      </w:r>
      <w:r w:rsidR="00B819B0" w:rsidRPr="001B668D">
        <w:rPr>
          <w:lang w:val="en-GB"/>
        </w:rPr>
        <w:t xml:space="preserve"> These are the behavioural finance building blocks.</w:t>
      </w:r>
      <w:r w:rsidR="00693B96" w:rsidRPr="001B668D">
        <w:rPr>
          <w:rStyle w:val="EndnoteReference"/>
          <w:lang w:val="en-GB"/>
        </w:rPr>
        <w:endnoteReference w:id="1"/>
      </w:r>
    </w:p>
    <w:p w14:paraId="07C76265" w14:textId="77777777" w:rsidR="00693B96" w:rsidRDefault="00693B96" w:rsidP="00447C0C">
      <w:pPr>
        <w:pStyle w:val="BodyTextMain"/>
        <w:rPr>
          <w:lang w:val="en-GB"/>
        </w:rPr>
      </w:pPr>
    </w:p>
    <w:p w14:paraId="5B113E94" w14:textId="77777777" w:rsidR="00AD5597" w:rsidRPr="001B668D" w:rsidRDefault="00AD5597" w:rsidP="00447C0C">
      <w:pPr>
        <w:pStyle w:val="BodyTextMain"/>
        <w:rPr>
          <w:lang w:val="en-GB"/>
        </w:rPr>
      </w:pPr>
    </w:p>
    <w:p w14:paraId="07C3800C" w14:textId="77777777" w:rsidR="00693B96" w:rsidRPr="001B668D" w:rsidRDefault="00693B96" w:rsidP="00A32BF6">
      <w:pPr>
        <w:pStyle w:val="Casehead1"/>
        <w:keepNext/>
        <w:keepLines/>
        <w:rPr>
          <w:lang w:val="en-GB"/>
        </w:rPr>
      </w:pPr>
      <w:r w:rsidRPr="001B668D">
        <w:rPr>
          <w:lang w:val="en-GB"/>
        </w:rPr>
        <w:lastRenderedPageBreak/>
        <w:t>LIMITS TO ARBITRAGE</w:t>
      </w:r>
    </w:p>
    <w:p w14:paraId="7213FA5D" w14:textId="77777777" w:rsidR="00693B96" w:rsidRPr="001B668D" w:rsidRDefault="00693B96" w:rsidP="00A32BF6">
      <w:pPr>
        <w:pStyle w:val="BodyTextMain"/>
        <w:keepNext/>
        <w:keepLines/>
        <w:rPr>
          <w:lang w:val="en-GB"/>
        </w:rPr>
      </w:pPr>
    </w:p>
    <w:p w14:paraId="0378AFDC" w14:textId="74743606" w:rsidR="00693B96" w:rsidRPr="001B668D" w:rsidRDefault="00693B96" w:rsidP="00A32BF6">
      <w:pPr>
        <w:pStyle w:val="BodyTextMain"/>
        <w:keepNext/>
        <w:keepLines/>
        <w:rPr>
          <w:lang w:val="en-GB"/>
        </w:rPr>
      </w:pPr>
      <w:r w:rsidRPr="001B668D">
        <w:rPr>
          <w:lang w:val="en-GB"/>
        </w:rPr>
        <w:t xml:space="preserve">The EMH assumes that as soon as </w:t>
      </w:r>
      <w:r>
        <w:rPr>
          <w:lang w:val="en-GB"/>
        </w:rPr>
        <w:t xml:space="preserve">a </w:t>
      </w:r>
      <w:r w:rsidRPr="001B668D">
        <w:rPr>
          <w:lang w:val="en-GB"/>
        </w:rPr>
        <w:t xml:space="preserve">price deviates from </w:t>
      </w:r>
      <w:r>
        <w:rPr>
          <w:lang w:val="en-GB"/>
        </w:rPr>
        <w:t xml:space="preserve">its </w:t>
      </w:r>
      <w:r w:rsidRPr="001B668D">
        <w:rPr>
          <w:lang w:val="en-GB"/>
        </w:rPr>
        <w:t xml:space="preserve">fundamental value (i.e., mispricing occurs), rational traders will see an attractive trading opportunity and immediately seize it. This </w:t>
      </w:r>
      <w:r>
        <w:rPr>
          <w:lang w:val="en-GB"/>
        </w:rPr>
        <w:t xml:space="preserve">response </w:t>
      </w:r>
      <w:r w:rsidRPr="001B668D">
        <w:rPr>
          <w:lang w:val="en-GB"/>
        </w:rPr>
        <w:t xml:space="preserve">pushes the price back to </w:t>
      </w:r>
      <w:r>
        <w:rPr>
          <w:lang w:val="en-GB"/>
        </w:rPr>
        <w:t>its</w:t>
      </w:r>
      <w:r w:rsidRPr="001B668D">
        <w:rPr>
          <w:lang w:val="en-GB"/>
        </w:rPr>
        <w:t xml:space="preserve"> fundamental value, thereby correcting the mispricing</w:t>
      </w:r>
      <w:r>
        <w:rPr>
          <w:lang w:val="en-GB"/>
        </w:rPr>
        <w:t>,</w:t>
      </w:r>
      <w:r w:rsidRPr="001B668D">
        <w:rPr>
          <w:lang w:val="en-GB"/>
        </w:rPr>
        <w:t xml:space="preserve"> and the rational traders make “risk-free” profits, </w:t>
      </w:r>
      <w:r>
        <w:rPr>
          <w:lang w:val="en-GB"/>
        </w:rPr>
        <w:t>thereby gaining</w:t>
      </w:r>
      <w:r w:rsidRPr="001B668D">
        <w:rPr>
          <w:lang w:val="en-GB"/>
        </w:rPr>
        <w:t xml:space="preserve"> a “free lunch”</w:t>
      </w:r>
      <w:r>
        <w:rPr>
          <w:lang w:val="en-GB"/>
        </w:rPr>
        <w:t xml:space="preserve"> (i.e., making gains at no cost).</w:t>
      </w:r>
      <w:r w:rsidRPr="001B668D">
        <w:rPr>
          <w:lang w:val="en-GB"/>
        </w:rPr>
        <w:t xml:space="preserve"> Therefore, “prices are not right” equates to “free lunch.” This </w:t>
      </w:r>
      <w:r>
        <w:rPr>
          <w:lang w:val="en-GB"/>
        </w:rPr>
        <w:t xml:space="preserve">situation </w:t>
      </w:r>
      <w:r w:rsidRPr="001B668D">
        <w:rPr>
          <w:lang w:val="en-GB"/>
        </w:rPr>
        <w:t>is an example of arbitrage: an investment strategy that offers riskless profits at no cost. Subsequently, no “risk-free” profits can be made on correctly priced securities (i.e.</w:t>
      </w:r>
      <w:r>
        <w:rPr>
          <w:lang w:val="en-GB"/>
        </w:rPr>
        <w:t>,</w:t>
      </w:r>
      <w:r w:rsidRPr="001B668D">
        <w:rPr>
          <w:lang w:val="en-GB"/>
        </w:rPr>
        <w:t xml:space="preserve"> “prices are right” means “no free lunch”). </w:t>
      </w:r>
    </w:p>
    <w:p w14:paraId="47FF37F4" w14:textId="77777777" w:rsidR="00693B96" w:rsidRPr="001B668D" w:rsidRDefault="00693B96" w:rsidP="00447C0C">
      <w:pPr>
        <w:pStyle w:val="BodyTextMain"/>
        <w:rPr>
          <w:lang w:val="en-GB"/>
        </w:rPr>
      </w:pPr>
    </w:p>
    <w:p w14:paraId="25126BDA" w14:textId="1E7A6B83" w:rsidR="00693B96" w:rsidRPr="001B668D" w:rsidRDefault="00693B96" w:rsidP="00447C0C">
      <w:pPr>
        <w:pStyle w:val="BodyTextMain"/>
        <w:rPr>
          <w:u w:val="single"/>
          <w:lang w:val="en-GB"/>
        </w:rPr>
      </w:pPr>
      <w:r w:rsidRPr="001B668D">
        <w:rPr>
          <w:lang w:val="en-GB"/>
        </w:rPr>
        <w:t>Consider the following example</w:t>
      </w:r>
      <w:r w:rsidR="002C2CA6">
        <w:rPr>
          <w:lang w:val="en-GB"/>
        </w:rPr>
        <w:t>:</w:t>
      </w:r>
      <w:r w:rsidRPr="001B668D">
        <w:rPr>
          <w:lang w:val="en-GB"/>
        </w:rPr>
        <w:t xml:space="preserve"> Suppose Pepsi is trading at its fundamental value of $20 per share. Subsequently, a negative price shock caused by irrational traders pushes the price to $15</w:t>
      </w:r>
      <w:r>
        <w:rPr>
          <w:lang w:val="en-GB"/>
        </w:rPr>
        <w:t xml:space="preserve"> per share</w:t>
      </w:r>
      <w:r w:rsidRPr="001B668D">
        <w:rPr>
          <w:lang w:val="en-GB"/>
        </w:rPr>
        <w:t xml:space="preserve">. </w:t>
      </w:r>
      <w:r>
        <w:rPr>
          <w:lang w:val="en-GB"/>
        </w:rPr>
        <w:t>Supporters of the</w:t>
      </w:r>
      <w:r w:rsidRPr="001B668D">
        <w:rPr>
          <w:lang w:val="en-GB"/>
        </w:rPr>
        <w:t xml:space="preserve"> EMH would argue that rational traders would see this arbitrage opportunity and buy the security while shorting</w:t>
      </w:r>
      <w:r>
        <w:rPr>
          <w:rStyle w:val="EndnoteReference"/>
          <w:lang w:val="en-GB"/>
        </w:rPr>
        <w:endnoteReference w:id="2"/>
      </w:r>
      <w:r w:rsidRPr="001B668D">
        <w:rPr>
          <w:lang w:val="en-GB"/>
        </w:rPr>
        <w:t xml:space="preserve"> a “substitute” security, such as Coca</w:t>
      </w:r>
      <w:r w:rsidR="00B00DF5">
        <w:rPr>
          <w:lang w:val="en-GB"/>
        </w:rPr>
        <w:t>-</w:t>
      </w:r>
      <w:r w:rsidRPr="001B668D">
        <w:rPr>
          <w:lang w:val="en-GB"/>
        </w:rPr>
        <w:t xml:space="preserve">Cola. The buying pressure on Pepsi would push its price from $15 </w:t>
      </w:r>
      <w:r>
        <w:rPr>
          <w:lang w:val="en-GB"/>
        </w:rPr>
        <w:t xml:space="preserve">per share </w:t>
      </w:r>
      <w:r w:rsidRPr="001B668D">
        <w:rPr>
          <w:lang w:val="en-GB"/>
        </w:rPr>
        <w:t xml:space="preserve">back to $20 </w:t>
      </w:r>
      <w:r>
        <w:rPr>
          <w:lang w:val="en-GB"/>
        </w:rPr>
        <w:t xml:space="preserve">per share </w:t>
      </w:r>
      <w:r w:rsidRPr="001B668D">
        <w:rPr>
          <w:lang w:val="en-GB"/>
        </w:rPr>
        <w:t>to match its fundamental value. Therefore, “prices are not right” means “free lunch” for the rational arbitragers.</w:t>
      </w:r>
    </w:p>
    <w:p w14:paraId="4EC0465D" w14:textId="77777777" w:rsidR="00693B96" w:rsidRPr="001B668D" w:rsidRDefault="00693B96" w:rsidP="00447C0C">
      <w:pPr>
        <w:pStyle w:val="BodyTextMain"/>
        <w:rPr>
          <w:lang w:val="en-GB"/>
        </w:rPr>
      </w:pPr>
    </w:p>
    <w:p w14:paraId="41583228" w14:textId="597B308B" w:rsidR="00693B96" w:rsidRPr="001B668D" w:rsidRDefault="00693B96" w:rsidP="00447C0C">
      <w:pPr>
        <w:pStyle w:val="BodyTextMain"/>
        <w:rPr>
          <w:lang w:val="en-GB"/>
        </w:rPr>
      </w:pPr>
      <w:r>
        <w:rPr>
          <w:lang w:val="en-GB"/>
        </w:rPr>
        <w:t>Supporters of b</w:t>
      </w:r>
      <w:r w:rsidRPr="001B668D">
        <w:rPr>
          <w:lang w:val="en-GB"/>
        </w:rPr>
        <w:t xml:space="preserve">ehavioural finance </w:t>
      </w:r>
      <w:r>
        <w:rPr>
          <w:lang w:val="en-GB"/>
        </w:rPr>
        <w:t xml:space="preserve">would </w:t>
      </w:r>
      <w:r w:rsidRPr="001B668D">
        <w:rPr>
          <w:lang w:val="en-GB"/>
        </w:rPr>
        <w:t>disagree with the assumption that rational traders will correct the mispricing. Mispriced stocks may not return to their correct price due to further irrational behaviour. For instance, if the price of Pepsi f</w:t>
      </w:r>
      <w:r w:rsidR="002C2CA6">
        <w:rPr>
          <w:lang w:val="en-GB"/>
        </w:rPr>
        <w:t>a</w:t>
      </w:r>
      <w:r w:rsidRPr="001B668D">
        <w:rPr>
          <w:lang w:val="en-GB"/>
        </w:rPr>
        <w:t>ll</w:t>
      </w:r>
      <w:r w:rsidR="002C2CA6">
        <w:rPr>
          <w:lang w:val="en-GB"/>
        </w:rPr>
        <w:t>s</w:t>
      </w:r>
      <w:r w:rsidRPr="001B668D">
        <w:rPr>
          <w:lang w:val="en-GB"/>
        </w:rPr>
        <w:t xml:space="preserve"> from its fundamental value of $20 per share to $15</w:t>
      </w:r>
      <w:r>
        <w:rPr>
          <w:lang w:val="en-GB"/>
        </w:rPr>
        <w:t xml:space="preserve"> per share</w:t>
      </w:r>
      <w:r w:rsidRPr="001B668D">
        <w:rPr>
          <w:lang w:val="en-GB"/>
        </w:rPr>
        <w:t>, the price may continue to decline due to further sell</w:t>
      </w:r>
      <w:r>
        <w:rPr>
          <w:lang w:val="en-GB"/>
        </w:rPr>
        <w:t>-</w:t>
      </w:r>
      <w:r w:rsidRPr="001B668D">
        <w:rPr>
          <w:lang w:val="en-GB"/>
        </w:rPr>
        <w:t>off from irrational</w:t>
      </w:r>
      <w:r>
        <w:rPr>
          <w:lang w:val="en-GB"/>
        </w:rPr>
        <w:t>,</w:t>
      </w:r>
      <w:r w:rsidRPr="001B668D">
        <w:rPr>
          <w:lang w:val="en-GB"/>
        </w:rPr>
        <w:t xml:space="preserve"> or “noise</w:t>
      </w:r>
      <w:r>
        <w:rPr>
          <w:lang w:val="en-GB"/>
        </w:rPr>
        <w:t>,</w:t>
      </w:r>
      <w:r w:rsidRPr="001B668D">
        <w:rPr>
          <w:lang w:val="en-GB"/>
        </w:rPr>
        <w:t xml:space="preserve">” traders (i.e., those who trade </w:t>
      </w:r>
      <w:r>
        <w:rPr>
          <w:lang w:val="en-GB"/>
        </w:rPr>
        <w:t xml:space="preserve">based </w:t>
      </w:r>
      <w:r w:rsidRPr="001B668D">
        <w:rPr>
          <w:lang w:val="en-GB"/>
        </w:rPr>
        <w:t xml:space="preserve">on random “noise” rather than </w:t>
      </w:r>
      <w:r>
        <w:rPr>
          <w:lang w:val="en-GB"/>
        </w:rPr>
        <w:t xml:space="preserve">based on </w:t>
      </w:r>
      <w:r w:rsidRPr="001B668D">
        <w:rPr>
          <w:lang w:val="en-GB"/>
        </w:rPr>
        <w:t>pertinent information). The price-correcting strategy of arbitragers is now both risky and costly, and mispricing can remain and even widen</w:t>
      </w:r>
      <w:r>
        <w:rPr>
          <w:lang w:val="en-GB"/>
        </w:rPr>
        <w:t xml:space="preserve">, thereby removing </w:t>
      </w:r>
      <w:r w:rsidRPr="001B668D">
        <w:rPr>
          <w:lang w:val="en-GB"/>
        </w:rPr>
        <w:t xml:space="preserve">the </w:t>
      </w:r>
      <w:r>
        <w:rPr>
          <w:lang w:val="en-GB"/>
        </w:rPr>
        <w:t xml:space="preserve">opportunity for a </w:t>
      </w:r>
      <w:r w:rsidRPr="001B668D">
        <w:rPr>
          <w:lang w:val="en-GB"/>
        </w:rPr>
        <w:t xml:space="preserve">“free lunch” from arbitrage. </w:t>
      </w:r>
    </w:p>
    <w:p w14:paraId="6F88F03C" w14:textId="77777777" w:rsidR="00693B96" w:rsidRPr="001B668D" w:rsidRDefault="00693B96" w:rsidP="00447C0C">
      <w:pPr>
        <w:pStyle w:val="BodyTextMain"/>
        <w:rPr>
          <w:lang w:val="en-GB"/>
        </w:rPr>
      </w:pPr>
    </w:p>
    <w:p w14:paraId="57DDAE76" w14:textId="0B3DAB8C" w:rsidR="00693B96" w:rsidRPr="001B668D" w:rsidRDefault="00693B96" w:rsidP="00447C0C">
      <w:pPr>
        <w:pStyle w:val="BodyTextMain"/>
        <w:rPr>
          <w:lang w:val="en-GB"/>
        </w:rPr>
      </w:pPr>
      <w:r w:rsidRPr="001B668D">
        <w:rPr>
          <w:lang w:val="en-GB"/>
        </w:rPr>
        <w:t xml:space="preserve">The implication in this example is that arbitrage </w:t>
      </w:r>
      <w:r>
        <w:rPr>
          <w:lang w:val="en-GB"/>
        </w:rPr>
        <w:t xml:space="preserve">has its limits, </w:t>
      </w:r>
      <w:r w:rsidRPr="001B668D">
        <w:rPr>
          <w:lang w:val="en-GB"/>
        </w:rPr>
        <w:t xml:space="preserve">and that “no free lunch” can be true in an </w:t>
      </w:r>
      <w:r w:rsidRPr="001B668D">
        <w:rPr>
          <w:i/>
          <w:lang w:val="en-GB"/>
        </w:rPr>
        <w:t>in</w:t>
      </w:r>
      <w:r w:rsidRPr="001B668D">
        <w:rPr>
          <w:lang w:val="en-GB"/>
        </w:rPr>
        <w:t xml:space="preserve">efficient market since it may be difficult for rational traders to correct the mispricing caused by irrational traders. In other words, “no free lunch” does </w:t>
      </w:r>
      <w:r w:rsidRPr="001B668D">
        <w:rPr>
          <w:i/>
          <w:lang w:val="en-GB"/>
        </w:rPr>
        <w:t>not</w:t>
      </w:r>
      <w:r w:rsidRPr="001B668D">
        <w:rPr>
          <w:lang w:val="en-GB"/>
        </w:rPr>
        <w:t xml:space="preserve"> imply “</w:t>
      </w:r>
      <w:r>
        <w:rPr>
          <w:lang w:val="en-GB"/>
        </w:rPr>
        <w:t xml:space="preserve">the </w:t>
      </w:r>
      <w:r w:rsidRPr="001B668D">
        <w:rPr>
          <w:lang w:val="en-GB"/>
        </w:rPr>
        <w:t>prices are right.” The limits to arbitrage are numerous and can be divided into three categories: fundamental risk, noise trader risk, and implementation costs.</w:t>
      </w:r>
    </w:p>
    <w:p w14:paraId="6E7ABFE7" w14:textId="77777777" w:rsidR="00693B96" w:rsidRPr="001B668D" w:rsidRDefault="00693B96" w:rsidP="00447C0C">
      <w:pPr>
        <w:pStyle w:val="BodyTextMain"/>
        <w:rPr>
          <w:lang w:val="en-GB"/>
        </w:rPr>
      </w:pPr>
    </w:p>
    <w:p w14:paraId="7620F55B" w14:textId="77777777" w:rsidR="00693B96" w:rsidRPr="001B668D" w:rsidRDefault="00693B96" w:rsidP="00447C0C">
      <w:pPr>
        <w:pStyle w:val="BodyTextMain"/>
        <w:rPr>
          <w:lang w:val="en-GB"/>
        </w:rPr>
      </w:pPr>
    </w:p>
    <w:p w14:paraId="69718863" w14:textId="77777777" w:rsidR="00693B96" w:rsidRPr="001B668D" w:rsidRDefault="00693B96" w:rsidP="00447C0C">
      <w:pPr>
        <w:pStyle w:val="Casehead2"/>
        <w:rPr>
          <w:lang w:val="en-GB"/>
        </w:rPr>
      </w:pPr>
      <w:r w:rsidRPr="001B668D">
        <w:rPr>
          <w:lang w:val="en-GB"/>
        </w:rPr>
        <w:t>Fundamental Risk</w:t>
      </w:r>
    </w:p>
    <w:p w14:paraId="438A2032" w14:textId="77777777" w:rsidR="00693B96" w:rsidRPr="001B668D" w:rsidRDefault="00693B96" w:rsidP="00447C0C">
      <w:pPr>
        <w:pStyle w:val="BodyTextMain"/>
        <w:rPr>
          <w:lang w:val="en-GB"/>
        </w:rPr>
      </w:pPr>
    </w:p>
    <w:p w14:paraId="2501FD06" w14:textId="5A3CD7C5" w:rsidR="00693B96" w:rsidRPr="001B668D" w:rsidRDefault="00693B96" w:rsidP="00447C0C">
      <w:pPr>
        <w:pStyle w:val="BodyTextMain"/>
        <w:rPr>
          <w:lang w:val="en-GB"/>
        </w:rPr>
      </w:pPr>
      <w:r w:rsidRPr="001B668D">
        <w:rPr>
          <w:lang w:val="en-GB"/>
        </w:rPr>
        <w:t xml:space="preserve">When a rational trader buys Pepsi </w:t>
      </w:r>
      <w:r>
        <w:rPr>
          <w:lang w:val="en-GB"/>
        </w:rPr>
        <w:t xml:space="preserve">stock </w:t>
      </w:r>
      <w:r w:rsidRPr="001B668D">
        <w:rPr>
          <w:lang w:val="en-GB"/>
        </w:rPr>
        <w:t>at $15</w:t>
      </w:r>
      <w:r>
        <w:rPr>
          <w:lang w:val="en-GB"/>
        </w:rPr>
        <w:t xml:space="preserve"> per share</w:t>
      </w:r>
      <w:r w:rsidRPr="001B668D">
        <w:rPr>
          <w:lang w:val="en-GB"/>
        </w:rPr>
        <w:t xml:space="preserve">, one risk is that </w:t>
      </w:r>
      <w:r>
        <w:rPr>
          <w:lang w:val="en-GB"/>
        </w:rPr>
        <w:t xml:space="preserve">any announcement of </w:t>
      </w:r>
      <w:r w:rsidRPr="001B668D">
        <w:rPr>
          <w:lang w:val="en-GB"/>
        </w:rPr>
        <w:t xml:space="preserve">bad news related to Pepsi’s fundamental value could push the stock price further down and lead to a loss. Rational traders are aware of this risk, so they may </w:t>
      </w:r>
      <w:r>
        <w:rPr>
          <w:lang w:val="en-GB"/>
        </w:rPr>
        <w:t xml:space="preserve">choose to </w:t>
      </w:r>
      <w:r w:rsidRPr="001B668D">
        <w:rPr>
          <w:lang w:val="en-GB"/>
        </w:rPr>
        <w:t>hedge their Pepsi purchase by</w:t>
      </w:r>
      <w:r>
        <w:rPr>
          <w:lang w:val="en-GB"/>
        </w:rPr>
        <w:t>, at the same time,</w:t>
      </w:r>
      <w:r w:rsidRPr="001B668D">
        <w:rPr>
          <w:lang w:val="en-GB"/>
        </w:rPr>
        <w:t xml:space="preserve"> shorting a substitute security such as Coca</w:t>
      </w:r>
      <w:r>
        <w:rPr>
          <w:lang w:val="en-GB"/>
        </w:rPr>
        <w:t>-</w:t>
      </w:r>
      <w:r w:rsidRPr="001B668D">
        <w:rPr>
          <w:lang w:val="en-GB"/>
        </w:rPr>
        <w:t>Cola. However, perfect</w:t>
      </w:r>
      <w:r>
        <w:rPr>
          <w:lang w:val="en-GB"/>
        </w:rPr>
        <w:t>-</w:t>
      </w:r>
      <w:r w:rsidRPr="001B668D">
        <w:rPr>
          <w:lang w:val="en-GB"/>
        </w:rPr>
        <w:t>substitute securities are rare. Pepsi and Coca</w:t>
      </w:r>
      <w:r>
        <w:rPr>
          <w:lang w:val="en-GB"/>
        </w:rPr>
        <w:t>-</w:t>
      </w:r>
      <w:r w:rsidRPr="001B668D">
        <w:rPr>
          <w:lang w:val="en-GB"/>
        </w:rPr>
        <w:t xml:space="preserve">Cola sell comparable products, yet the two are still distinct companies. The failure to remove fundamental risk arises from this second observation. Shorting a substitute security may protect the rational trader from the adverse effects of industry-wide bad news, but it still leaves </w:t>
      </w:r>
      <w:r>
        <w:rPr>
          <w:lang w:val="en-GB"/>
        </w:rPr>
        <w:t>the trader</w:t>
      </w:r>
      <w:r w:rsidRPr="001B668D">
        <w:rPr>
          <w:lang w:val="en-GB"/>
        </w:rPr>
        <w:t xml:space="preserve"> vulnerable to bad news specific to Pepsi</w:t>
      </w:r>
      <w:r>
        <w:rPr>
          <w:lang w:val="en-GB"/>
        </w:rPr>
        <w:t>;</w:t>
      </w:r>
      <w:r w:rsidRPr="001B668D">
        <w:rPr>
          <w:lang w:val="en-GB"/>
        </w:rPr>
        <w:t xml:space="preserve"> thus</w:t>
      </w:r>
      <w:r>
        <w:rPr>
          <w:lang w:val="en-GB"/>
        </w:rPr>
        <w:t>,</w:t>
      </w:r>
      <w:r w:rsidRPr="001B668D">
        <w:rPr>
          <w:lang w:val="en-GB"/>
        </w:rPr>
        <w:t xml:space="preserve"> fundamental risk remains.</w:t>
      </w:r>
    </w:p>
    <w:p w14:paraId="5854A75E" w14:textId="77777777" w:rsidR="00693B96" w:rsidRPr="001B668D" w:rsidRDefault="00693B96" w:rsidP="00447C0C">
      <w:pPr>
        <w:pStyle w:val="BodyTextMain"/>
        <w:rPr>
          <w:lang w:val="en-GB"/>
        </w:rPr>
      </w:pPr>
    </w:p>
    <w:p w14:paraId="42A5B955" w14:textId="77777777" w:rsidR="00693B96" w:rsidRPr="001B668D" w:rsidRDefault="00693B96" w:rsidP="00447C0C">
      <w:pPr>
        <w:pStyle w:val="BodyTextMain"/>
        <w:rPr>
          <w:lang w:val="en-GB"/>
        </w:rPr>
      </w:pPr>
    </w:p>
    <w:p w14:paraId="6AC3D934" w14:textId="5DC03A9B" w:rsidR="00693B96" w:rsidRPr="001B668D" w:rsidRDefault="00693B96" w:rsidP="00447C0C">
      <w:pPr>
        <w:pStyle w:val="Casehead2"/>
        <w:rPr>
          <w:lang w:val="en-GB"/>
        </w:rPr>
      </w:pPr>
      <w:r w:rsidRPr="001B668D">
        <w:rPr>
          <w:lang w:val="en-GB"/>
        </w:rPr>
        <w:t>Noise Trader Risk</w:t>
      </w:r>
    </w:p>
    <w:p w14:paraId="76708C3C" w14:textId="77777777" w:rsidR="00693B96" w:rsidRPr="001B668D" w:rsidRDefault="00693B96" w:rsidP="00447C0C">
      <w:pPr>
        <w:pStyle w:val="BodyTextMain"/>
        <w:rPr>
          <w:lang w:val="en-GB"/>
        </w:rPr>
      </w:pPr>
    </w:p>
    <w:p w14:paraId="56C0CCA9" w14:textId="77446618" w:rsidR="00693B96" w:rsidRPr="001B668D" w:rsidRDefault="00693B96" w:rsidP="00447C0C">
      <w:pPr>
        <w:pStyle w:val="BodyTextMain"/>
        <w:rPr>
          <w:lang w:val="en-GB"/>
        </w:rPr>
      </w:pPr>
      <w:r w:rsidRPr="001B668D">
        <w:rPr>
          <w:lang w:val="en-GB"/>
        </w:rPr>
        <w:t xml:space="preserve">Rational traders take a position assuming that the market price will return to its fundamental value. Even if it is true that the market price will eventually equal the fundamental value, </w:t>
      </w:r>
      <w:r>
        <w:rPr>
          <w:lang w:val="en-GB"/>
        </w:rPr>
        <w:t xml:space="preserve">the </w:t>
      </w:r>
      <w:r w:rsidRPr="001B668D">
        <w:rPr>
          <w:lang w:val="en-GB"/>
        </w:rPr>
        <w:t>mispricing being exploited by rational traders can worsen in the short</w:t>
      </w:r>
      <w:r>
        <w:rPr>
          <w:lang w:val="en-GB"/>
        </w:rPr>
        <w:t xml:space="preserve"> </w:t>
      </w:r>
      <w:r w:rsidRPr="001B668D">
        <w:rPr>
          <w:lang w:val="en-GB"/>
        </w:rPr>
        <w:t>run</w:t>
      </w:r>
      <w:r w:rsidR="002C2CA6">
        <w:rPr>
          <w:lang w:val="en-GB"/>
        </w:rPr>
        <w:t>—</w:t>
      </w:r>
      <w:r w:rsidRPr="001B668D">
        <w:rPr>
          <w:lang w:val="en-GB"/>
        </w:rPr>
        <w:t xml:space="preserve">before </w:t>
      </w:r>
      <w:r>
        <w:rPr>
          <w:lang w:val="en-GB"/>
        </w:rPr>
        <w:t>the traders</w:t>
      </w:r>
      <w:r w:rsidRPr="001B668D">
        <w:rPr>
          <w:lang w:val="en-GB"/>
        </w:rPr>
        <w:t xml:space="preserve"> are ultimately profitable. </w:t>
      </w:r>
      <w:r>
        <w:rPr>
          <w:lang w:val="en-GB"/>
        </w:rPr>
        <w:t>For example, i</w:t>
      </w:r>
      <w:r w:rsidRPr="001B668D">
        <w:rPr>
          <w:lang w:val="en-GB"/>
        </w:rPr>
        <w:t xml:space="preserve">f the price of Pepsi has already fallen to $15 </w:t>
      </w:r>
      <w:r>
        <w:rPr>
          <w:lang w:val="en-GB"/>
        </w:rPr>
        <w:t xml:space="preserve">per share </w:t>
      </w:r>
      <w:r w:rsidRPr="001B668D">
        <w:rPr>
          <w:lang w:val="en-GB"/>
        </w:rPr>
        <w:t>from its fundamental value of $20</w:t>
      </w:r>
      <w:r>
        <w:rPr>
          <w:lang w:val="en-GB"/>
        </w:rPr>
        <w:t xml:space="preserve"> per </w:t>
      </w:r>
      <w:r>
        <w:rPr>
          <w:lang w:val="en-GB"/>
        </w:rPr>
        <w:lastRenderedPageBreak/>
        <w:t>share</w:t>
      </w:r>
      <w:r w:rsidRPr="001B668D">
        <w:rPr>
          <w:lang w:val="en-GB"/>
        </w:rPr>
        <w:t>, pessimistic noise traders may develop an even more pessimistic outlook, thereby creating a sell</w:t>
      </w:r>
      <w:r>
        <w:rPr>
          <w:lang w:val="en-GB"/>
        </w:rPr>
        <w:t>-</w:t>
      </w:r>
      <w:r w:rsidRPr="001B668D">
        <w:rPr>
          <w:lang w:val="en-GB"/>
        </w:rPr>
        <w:t>off that drives prices further down. Th</w:t>
      </w:r>
      <w:r>
        <w:rPr>
          <w:lang w:val="en-GB"/>
        </w:rPr>
        <w:t>e</w:t>
      </w:r>
      <w:r w:rsidRPr="001B668D">
        <w:rPr>
          <w:lang w:val="en-GB"/>
        </w:rPr>
        <w:t xml:space="preserve"> </w:t>
      </w:r>
      <w:r>
        <w:rPr>
          <w:lang w:val="en-GB"/>
        </w:rPr>
        <w:t xml:space="preserve">lowering share price </w:t>
      </w:r>
      <w:r w:rsidRPr="001B668D">
        <w:rPr>
          <w:lang w:val="en-GB"/>
        </w:rPr>
        <w:t>could force rational traders to exit their positions early</w:t>
      </w:r>
      <w:r>
        <w:rPr>
          <w:lang w:val="en-GB"/>
        </w:rPr>
        <w:t>,</w:t>
      </w:r>
      <w:r w:rsidRPr="001B668D">
        <w:rPr>
          <w:lang w:val="en-GB"/>
        </w:rPr>
        <w:t xml:space="preserve"> due to forced liquidation, such as margin calls</w:t>
      </w:r>
      <w:r w:rsidRPr="001B668D">
        <w:rPr>
          <w:rStyle w:val="EndnoteReference"/>
          <w:lang w:val="en-GB"/>
        </w:rPr>
        <w:endnoteReference w:id="3"/>
      </w:r>
      <w:r w:rsidRPr="001B668D">
        <w:rPr>
          <w:lang w:val="en-GB"/>
        </w:rPr>
        <w:t xml:space="preserve"> related to shorting. </w:t>
      </w:r>
    </w:p>
    <w:p w14:paraId="3D785AC4" w14:textId="77777777" w:rsidR="00693B96" w:rsidRPr="001B668D" w:rsidRDefault="00693B96" w:rsidP="00447C0C">
      <w:pPr>
        <w:pStyle w:val="BodyTextMain"/>
        <w:rPr>
          <w:lang w:val="en-GB"/>
        </w:rPr>
      </w:pPr>
    </w:p>
    <w:p w14:paraId="4D3EF635" w14:textId="3A0E3DF2" w:rsidR="00693B96" w:rsidRPr="00324F20" w:rsidRDefault="00693B96" w:rsidP="00447C0C">
      <w:pPr>
        <w:pStyle w:val="BodyTextMain"/>
        <w:rPr>
          <w:spacing w:val="-2"/>
          <w:lang w:val="en-GB"/>
        </w:rPr>
      </w:pPr>
      <w:r w:rsidRPr="00324F20">
        <w:rPr>
          <w:spacing w:val="-2"/>
          <w:lang w:val="en-GB"/>
        </w:rPr>
        <w:t>The risk of an early, forced liquidation occurring during a temporary worsening of the mispricing causes rational traders to be more cautious from the start, and constricts them to effectively focus on short-run performance. In other words, rational traders are often risk-averse and have short horizons for their positions.</w:t>
      </w:r>
    </w:p>
    <w:p w14:paraId="03782367" w14:textId="0FE5A2D3" w:rsidR="00693B96" w:rsidRPr="001B668D" w:rsidRDefault="00693B96" w:rsidP="00447C0C">
      <w:pPr>
        <w:pStyle w:val="BodyTextMain"/>
        <w:rPr>
          <w:lang w:val="en-GB"/>
        </w:rPr>
      </w:pPr>
    </w:p>
    <w:p w14:paraId="32F2D938" w14:textId="112A4996" w:rsidR="00693B96" w:rsidRPr="00324F20" w:rsidRDefault="00693B96" w:rsidP="00447C0C">
      <w:pPr>
        <w:pStyle w:val="BodyTextMain"/>
        <w:rPr>
          <w:rStyle w:val="BodyTextChar"/>
          <w:spacing w:val="-2"/>
          <w:lang w:val="en-GB"/>
        </w:rPr>
      </w:pPr>
      <w:r w:rsidRPr="00324F20">
        <w:rPr>
          <w:spacing w:val="-2"/>
          <w:lang w:val="en-GB"/>
        </w:rPr>
        <w:t xml:space="preserve">Some rational traders understand that noise traders are inevitable in the market and implement strategies oriented around particular types of noise trading. For example, rational traders may opt to trade in the same direction as noise traders. In this situation, “positive feedback” or “momentum” traders will buy more during a period when a particular security performed well in the previous period. Therefore, noise traders may push the price above the security’s fundamental value, but rather than sell or short the security, rational traders will buy it, expecting that the rise in price will attract additional </w:t>
      </w:r>
      <w:r w:rsidR="00AF4E45" w:rsidRPr="00324F20">
        <w:rPr>
          <w:spacing w:val="-2"/>
          <w:lang w:val="en-GB"/>
        </w:rPr>
        <w:t>positive-</w:t>
      </w:r>
      <w:r w:rsidRPr="00324F20">
        <w:rPr>
          <w:spacing w:val="-2"/>
          <w:lang w:val="en-GB"/>
        </w:rPr>
        <w:t>feedback traders who will push the price up even more. Thus, rational traders can exit at a profit, but only if they correctly anticipate the behaviour of the noise traders. As such, this strategy still holds an inherent risk.</w:t>
      </w:r>
    </w:p>
    <w:p w14:paraId="29841907" w14:textId="77777777" w:rsidR="00693B96" w:rsidRPr="001B668D" w:rsidRDefault="00693B96" w:rsidP="00447C0C">
      <w:pPr>
        <w:pStyle w:val="BodyTextMain"/>
        <w:rPr>
          <w:lang w:val="en-GB"/>
        </w:rPr>
      </w:pPr>
    </w:p>
    <w:p w14:paraId="24EB0D23" w14:textId="77777777" w:rsidR="00693B96" w:rsidRPr="001B668D" w:rsidRDefault="00693B96" w:rsidP="00447C0C">
      <w:pPr>
        <w:pStyle w:val="BodyTextMain"/>
        <w:rPr>
          <w:lang w:val="en-GB"/>
        </w:rPr>
      </w:pPr>
    </w:p>
    <w:p w14:paraId="4BC0F9A9" w14:textId="6A0BCBE0" w:rsidR="00693B96" w:rsidRPr="001B668D" w:rsidRDefault="00693B96" w:rsidP="00447C0C">
      <w:pPr>
        <w:pStyle w:val="Casehead2"/>
        <w:rPr>
          <w:lang w:val="en-GB"/>
        </w:rPr>
      </w:pPr>
      <w:r w:rsidRPr="001B668D">
        <w:rPr>
          <w:lang w:val="en-GB"/>
        </w:rPr>
        <w:t xml:space="preserve">Implementation Costs </w:t>
      </w:r>
    </w:p>
    <w:p w14:paraId="4536933F" w14:textId="77777777" w:rsidR="00693B96" w:rsidRPr="001B668D" w:rsidRDefault="00693B96" w:rsidP="00447C0C">
      <w:pPr>
        <w:pStyle w:val="BodyTextMain"/>
        <w:rPr>
          <w:lang w:val="en-GB"/>
        </w:rPr>
      </w:pPr>
    </w:p>
    <w:p w14:paraId="59BBC355" w14:textId="1E55BDE9" w:rsidR="00693B96" w:rsidRPr="001B668D" w:rsidRDefault="00AF4E45" w:rsidP="00447C0C">
      <w:pPr>
        <w:pStyle w:val="BodyTextMain"/>
        <w:rPr>
          <w:lang w:val="en-GB"/>
        </w:rPr>
      </w:pPr>
      <w:r>
        <w:rPr>
          <w:lang w:val="en-GB"/>
        </w:rPr>
        <w:t>The term “i</w:t>
      </w:r>
      <w:r w:rsidR="00693B96" w:rsidRPr="001B668D">
        <w:rPr>
          <w:lang w:val="en-GB"/>
        </w:rPr>
        <w:t>mplementation costs</w:t>
      </w:r>
      <w:r>
        <w:rPr>
          <w:lang w:val="en-GB"/>
        </w:rPr>
        <w:t>”</w:t>
      </w:r>
      <w:r w:rsidR="00693B96" w:rsidRPr="001B668D">
        <w:rPr>
          <w:lang w:val="en-GB"/>
        </w:rPr>
        <w:t xml:space="preserve"> refer</w:t>
      </w:r>
      <w:r>
        <w:rPr>
          <w:lang w:val="en-GB"/>
        </w:rPr>
        <w:t>s</w:t>
      </w:r>
      <w:r w:rsidR="00693B96" w:rsidRPr="001B668D">
        <w:rPr>
          <w:lang w:val="en-GB"/>
        </w:rPr>
        <w:t xml:space="preserve"> to the reality that</w:t>
      </w:r>
      <w:r>
        <w:rPr>
          <w:lang w:val="en-GB"/>
        </w:rPr>
        <w:t>,</w:t>
      </w:r>
      <w:r w:rsidR="00693B96" w:rsidRPr="001B668D">
        <w:rPr>
          <w:lang w:val="en-GB"/>
        </w:rPr>
        <w:t xml:space="preserve"> in actual securities exchanges, there are costs to trade, thereby showing that markets are not frictionless. A non-exhaustive list of these costs includes commissions, bid-ask spreads, price impact</w:t>
      </w:r>
      <w:r w:rsidR="00693B96">
        <w:rPr>
          <w:lang w:val="en-GB"/>
        </w:rPr>
        <w:t>s</w:t>
      </w:r>
      <w:r w:rsidR="00693B96" w:rsidRPr="001B668D">
        <w:rPr>
          <w:lang w:val="en-GB"/>
        </w:rPr>
        <w:t xml:space="preserve"> of trading large quantities of a security </w:t>
      </w:r>
      <w:r w:rsidR="00693B96">
        <w:rPr>
          <w:lang w:val="en-GB"/>
        </w:rPr>
        <w:t>(</w:t>
      </w:r>
      <w:r w:rsidR="00693B96" w:rsidRPr="001B668D">
        <w:rPr>
          <w:lang w:val="en-GB"/>
        </w:rPr>
        <w:t xml:space="preserve">and hence </w:t>
      </w:r>
      <w:r w:rsidR="00693B96">
        <w:rPr>
          <w:lang w:val="en-GB"/>
        </w:rPr>
        <w:t xml:space="preserve">of </w:t>
      </w:r>
      <w:r w:rsidR="00693B96" w:rsidRPr="001B668D">
        <w:rPr>
          <w:lang w:val="en-GB"/>
        </w:rPr>
        <w:t>affecting prices</w:t>
      </w:r>
      <w:r w:rsidR="00693B96">
        <w:rPr>
          <w:lang w:val="en-GB"/>
        </w:rPr>
        <w:t>)</w:t>
      </w:r>
      <w:r w:rsidR="00693B96" w:rsidRPr="001B668D">
        <w:rPr>
          <w:lang w:val="en-GB"/>
        </w:rPr>
        <w:t xml:space="preserve">, short-sale constraints (such as </w:t>
      </w:r>
      <w:r w:rsidR="00693B96">
        <w:rPr>
          <w:lang w:val="en-GB"/>
        </w:rPr>
        <w:t>locat</w:t>
      </w:r>
      <w:r w:rsidR="00693B96" w:rsidRPr="001B668D">
        <w:rPr>
          <w:lang w:val="en-GB"/>
        </w:rPr>
        <w:t xml:space="preserve">ing stocks to borrow), margin requirements, legal constraints, and the cost of finding and exploiting arbitrage. </w:t>
      </w:r>
      <w:r w:rsidR="00693B96">
        <w:rPr>
          <w:lang w:val="en-GB"/>
        </w:rPr>
        <w:t>According</w:t>
      </w:r>
      <w:r w:rsidR="00693B96" w:rsidRPr="001B668D">
        <w:rPr>
          <w:lang w:val="en-GB"/>
        </w:rPr>
        <w:t>ly, accruing all these costs make</w:t>
      </w:r>
      <w:r>
        <w:rPr>
          <w:lang w:val="en-GB"/>
        </w:rPr>
        <w:t>s</w:t>
      </w:r>
      <w:r w:rsidR="00693B96" w:rsidRPr="001B668D">
        <w:rPr>
          <w:lang w:val="en-GB"/>
        </w:rPr>
        <w:t xml:space="preserve"> price-correcting strategies more expensive.</w:t>
      </w:r>
    </w:p>
    <w:p w14:paraId="13417FDB" w14:textId="77777777" w:rsidR="00693B96" w:rsidRPr="001B668D" w:rsidRDefault="00693B96" w:rsidP="00447C0C">
      <w:pPr>
        <w:pStyle w:val="BodyTextMain"/>
        <w:rPr>
          <w:lang w:val="en-GB"/>
        </w:rPr>
      </w:pPr>
    </w:p>
    <w:p w14:paraId="52D29E38" w14:textId="77777777" w:rsidR="00693B96" w:rsidRPr="001B668D" w:rsidRDefault="00693B96" w:rsidP="00447C0C">
      <w:pPr>
        <w:pStyle w:val="BodyTextMain"/>
        <w:rPr>
          <w:lang w:val="en-GB"/>
        </w:rPr>
      </w:pPr>
    </w:p>
    <w:p w14:paraId="750CA3E1" w14:textId="77777777" w:rsidR="00693B96" w:rsidRPr="001B668D" w:rsidRDefault="00693B96" w:rsidP="00447C0C">
      <w:pPr>
        <w:pStyle w:val="Casehead1"/>
        <w:rPr>
          <w:lang w:val="en-GB"/>
        </w:rPr>
      </w:pPr>
      <w:r w:rsidRPr="001B668D">
        <w:rPr>
          <w:lang w:val="en-GB"/>
        </w:rPr>
        <w:t>INVESTOR PSYCHOLOGY</w:t>
      </w:r>
    </w:p>
    <w:p w14:paraId="00F7F144" w14:textId="77777777" w:rsidR="00693B96" w:rsidRPr="001B668D" w:rsidRDefault="00693B96" w:rsidP="00447C0C">
      <w:pPr>
        <w:pStyle w:val="BodyTextMain"/>
        <w:rPr>
          <w:lang w:val="en-GB"/>
        </w:rPr>
      </w:pPr>
    </w:p>
    <w:p w14:paraId="42EF815D" w14:textId="279060F9" w:rsidR="00693B96" w:rsidRPr="001B668D" w:rsidRDefault="00693B96" w:rsidP="00447C0C">
      <w:pPr>
        <w:pStyle w:val="BodyTextMain"/>
        <w:rPr>
          <w:lang w:val="en-GB"/>
        </w:rPr>
      </w:pPr>
      <w:r w:rsidRPr="001B668D">
        <w:rPr>
          <w:lang w:val="en-GB"/>
        </w:rPr>
        <w:t xml:space="preserve">This section describes the second behavioural finance building block: deviations from rationality that might be expected due to cognitive limitations, which can be characterized as irrational behaviour. From the early work of cognitive psychologists and further experimental evidence, it has become clear that </w:t>
      </w:r>
      <w:r>
        <w:rPr>
          <w:lang w:val="en-GB"/>
        </w:rPr>
        <w:t>(</w:t>
      </w:r>
      <w:r w:rsidRPr="001B668D">
        <w:rPr>
          <w:lang w:val="en-GB"/>
        </w:rPr>
        <w:t xml:space="preserve">1) how a decision is framed </w:t>
      </w:r>
      <w:r>
        <w:rPr>
          <w:lang w:val="en-GB"/>
        </w:rPr>
        <w:t>affects</w:t>
      </w:r>
      <w:r w:rsidRPr="001B668D">
        <w:rPr>
          <w:lang w:val="en-GB"/>
        </w:rPr>
        <w:t xml:space="preserve"> how th</w:t>
      </w:r>
      <w:r>
        <w:rPr>
          <w:lang w:val="en-GB"/>
        </w:rPr>
        <w:t>at</w:t>
      </w:r>
      <w:r w:rsidRPr="001B668D">
        <w:rPr>
          <w:lang w:val="en-GB"/>
        </w:rPr>
        <w:t xml:space="preserve"> decision is made; </w:t>
      </w:r>
      <w:r>
        <w:rPr>
          <w:lang w:val="en-GB"/>
        </w:rPr>
        <w:t>(</w:t>
      </w:r>
      <w:r w:rsidRPr="001B668D">
        <w:rPr>
          <w:lang w:val="en-GB"/>
        </w:rPr>
        <w:t>2) people have systematic cognitive biases that influence their beliefs and their preferences, thereby affecting their decision-making;</w:t>
      </w:r>
      <w:r w:rsidRPr="001B668D">
        <w:rPr>
          <w:rStyle w:val="EndnoteReference"/>
          <w:lang w:val="en-GB"/>
        </w:rPr>
        <w:endnoteReference w:id="4"/>
      </w:r>
      <w:r w:rsidRPr="001B668D">
        <w:rPr>
          <w:lang w:val="en-GB"/>
        </w:rPr>
        <w:t xml:space="preserve"> and </w:t>
      </w:r>
      <w:r>
        <w:rPr>
          <w:lang w:val="en-GB"/>
        </w:rPr>
        <w:t>(</w:t>
      </w:r>
      <w:r w:rsidRPr="001B668D">
        <w:rPr>
          <w:lang w:val="en-GB"/>
        </w:rPr>
        <w:t xml:space="preserve">3) people rely on rules of thumb </w:t>
      </w:r>
      <w:r>
        <w:rPr>
          <w:lang w:val="en-GB"/>
        </w:rPr>
        <w:t xml:space="preserve">(i.e., widely used principles) </w:t>
      </w:r>
      <w:r w:rsidRPr="001B668D">
        <w:rPr>
          <w:lang w:val="en-GB"/>
        </w:rPr>
        <w:t xml:space="preserve">or heuristics when making decisions, ignoring some important aspects related to the decision. </w:t>
      </w:r>
    </w:p>
    <w:p w14:paraId="07166AB4" w14:textId="77777777" w:rsidR="00693B96" w:rsidRPr="001B668D" w:rsidRDefault="00693B96" w:rsidP="00447C0C">
      <w:pPr>
        <w:pStyle w:val="BodyTextMain"/>
        <w:rPr>
          <w:lang w:val="en-GB"/>
        </w:rPr>
      </w:pPr>
    </w:p>
    <w:p w14:paraId="02081CBD" w14:textId="77777777" w:rsidR="00693B96" w:rsidRPr="001B668D" w:rsidRDefault="00693B96" w:rsidP="00447C0C">
      <w:pPr>
        <w:pStyle w:val="BodyTextMain"/>
        <w:rPr>
          <w:lang w:val="en-GB"/>
        </w:rPr>
      </w:pPr>
    </w:p>
    <w:p w14:paraId="34A80EC6" w14:textId="4092F829" w:rsidR="00693B96" w:rsidRPr="001B668D" w:rsidRDefault="00693B96" w:rsidP="00447C0C">
      <w:pPr>
        <w:pStyle w:val="Casehead2"/>
        <w:rPr>
          <w:lang w:val="en-GB"/>
        </w:rPr>
      </w:pPr>
      <w:r w:rsidRPr="001B668D">
        <w:rPr>
          <w:lang w:val="en-GB"/>
        </w:rPr>
        <w:t>Framing Effects</w:t>
      </w:r>
    </w:p>
    <w:p w14:paraId="2E4BA489" w14:textId="77777777" w:rsidR="00693B96" w:rsidRPr="001B668D" w:rsidRDefault="00693B96" w:rsidP="00447C0C">
      <w:pPr>
        <w:pStyle w:val="BodyTextMain"/>
        <w:rPr>
          <w:rStyle w:val="apple-converted-space"/>
          <w:lang w:val="en-GB"/>
        </w:rPr>
      </w:pPr>
    </w:p>
    <w:p w14:paraId="26F3F71C" w14:textId="275FE6EC" w:rsidR="00693B96" w:rsidRPr="001B668D" w:rsidRDefault="00693B96" w:rsidP="00447C0C">
      <w:pPr>
        <w:pStyle w:val="BodyTextMain"/>
        <w:rPr>
          <w:lang w:val="en-GB"/>
        </w:rPr>
      </w:pPr>
      <w:r w:rsidRPr="00DD6C8D">
        <w:t>Preferences are influenced by f</w:t>
      </w:r>
      <w:r w:rsidRPr="001B668D">
        <w:rPr>
          <w:lang w:val="en-GB"/>
        </w:rPr>
        <w:t xml:space="preserve">raming effects, whereby people respond differently depending on how information is presented. Put another way, choices can be presented in </w:t>
      </w:r>
      <w:r>
        <w:rPr>
          <w:lang w:val="en-GB"/>
        </w:rPr>
        <w:t xml:space="preserve">such a </w:t>
      </w:r>
      <w:r w:rsidRPr="001B668D">
        <w:rPr>
          <w:lang w:val="en-GB"/>
        </w:rPr>
        <w:t xml:space="preserve">way that </w:t>
      </w:r>
      <w:r>
        <w:rPr>
          <w:lang w:val="en-GB"/>
        </w:rPr>
        <w:t xml:space="preserve">they </w:t>
      </w:r>
      <w:r w:rsidRPr="001B668D">
        <w:rPr>
          <w:lang w:val="en-GB"/>
        </w:rPr>
        <w:t>highlight the positive or negative aspects of the same decision, th</w:t>
      </w:r>
      <w:r>
        <w:rPr>
          <w:lang w:val="en-GB"/>
        </w:rPr>
        <w:t>ereby</w:t>
      </w:r>
      <w:r w:rsidRPr="001B668D">
        <w:rPr>
          <w:lang w:val="en-GB"/>
        </w:rPr>
        <w:t xml:space="preserve"> changing the relative attractiveness (i.e., </w:t>
      </w:r>
      <w:r>
        <w:rPr>
          <w:lang w:val="en-GB"/>
        </w:rPr>
        <w:t xml:space="preserve">the </w:t>
      </w:r>
      <w:r w:rsidRPr="001B668D">
        <w:rPr>
          <w:lang w:val="en-GB"/>
        </w:rPr>
        <w:t xml:space="preserve">preference) of that choice. Some framing effects derive from </w:t>
      </w:r>
      <w:r>
        <w:rPr>
          <w:lang w:val="en-GB"/>
        </w:rPr>
        <w:t>p</w:t>
      </w:r>
      <w:r w:rsidRPr="001B668D">
        <w:rPr>
          <w:lang w:val="en-GB"/>
        </w:rPr>
        <w:t xml:space="preserve">rospect </w:t>
      </w:r>
      <w:r>
        <w:rPr>
          <w:lang w:val="en-GB"/>
        </w:rPr>
        <w:t>t</w:t>
      </w:r>
      <w:r w:rsidRPr="001B668D">
        <w:rPr>
          <w:lang w:val="en-GB"/>
        </w:rPr>
        <w:t>heory and are related to loss aversion and the disposition effect.</w:t>
      </w:r>
    </w:p>
    <w:p w14:paraId="785BB0C1" w14:textId="77777777" w:rsidR="00693B96" w:rsidRDefault="00693B96" w:rsidP="00447C0C">
      <w:pPr>
        <w:pStyle w:val="BodyTextMain"/>
        <w:rPr>
          <w:lang w:val="en-GB"/>
        </w:rPr>
      </w:pPr>
    </w:p>
    <w:p w14:paraId="160D9BFC" w14:textId="77777777" w:rsidR="00324F20" w:rsidRPr="001B668D" w:rsidRDefault="00324F20" w:rsidP="00447C0C">
      <w:pPr>
        <w:pStyle w:val="BodyTextMain"/>
        <w:rPr>
          <w:lang w:val="en-GB"/>
        </w:rPr>
      </w:pPr>
    </w:p>
    <w:p w14:paraId="35437C37" w14:textId="77777777" w:rsidR="00693B96" w:rsidRPr="001B668D" w:rsidRDefault="00693B96" w:rsidP="00447C0C">
      <w:pPr>
        <w:pStyle w:val="BodyTextMain"/>
        <w:rPr>
          <w:lang w:val="en-GB"/>
        </w:rPr>
      </w:pPr>
    </w:p>
    <w:p w14:paraId="7098D62B" w14:textId="77777777" w:rsidR="00693B96" w:rsidRPr="001B668D" w:rsidRDefault="00693B96" w:rsidP="00447C0C">
      <w:pPr>
        <w:pStyle w:val="Casehead3"/>
        <w:rPr>
          <w:lang w:val="en-GB"/>
        </w:rPr>
      </w:pPr>
      <w:r w:rsidRPr="001B668D">
        <w:rPr>
          <w:lang w:val="en-GB"/>
        </w:rPr>
        <w:lastRenderedPageBreak/>
        <w:t>Prospect Theory</w:t>
      </w:r>
    </w:p>
    <w:p w14:paraId="325D2BC7" w14:textId="77777777" w:rsidR="00693B96" w:rsidRPr="001B668D" w:rsidRDefault="00693B96" w:rsidP="00447C0C">
      <w:pPr>
        <w:pStyle w:val="BodyTextMain"/>
        <w:rPr>
          <w:lang w:val="en-GB"/>
        </w:rPr>
      </w:pPr>
    </w:p>
    <w:p w14:paraId="3B654A62" w14:textId="4902ECF0" w:rsidR="00693B96" w:rsidRPr="001B668D" w:rsidRDefault="00693B96" w:rsidP="00447C0C">
      <w:pPr>
        <w:pStyle w:val="BodyTextMain"/>
        <w:rPr>
          <w:lang w:val="en-GB"/>
        </w:rPr>
      </w:pPr>
      <w:r w:rsidRPr="001B668D">
        <w:rPr>
          <w:lang w:val="en-GB"/>
        </w:rPr>
        <w:t xml:space="preserve">Prospect </w:t>
      </w:r>
      <w:r>
        <w:rPr>
          <w:lang w:val="en-GB"/>
        </w:rPr>
        <w:t>t</w:t>
      </w:r>
      <w:r w:rsidRPr="001B668D">
        <w:rPr>
          <w:lang w:val="en-GB"/>
        </w:rPr>
        <w:t>heory is acclaimed for increasing recognition of the field of behavioural economics. It was developed by Daniel Kahneman and Amos Tversky,</w:t>
      </w:r>
      <w:r>
        <w:rPr>
          <w:rStyle w:val="EndnoteReference"/>
          <w:lang w:val="en-GB"/>
        </w:rPr>
        <w:endnoteReference w:id="5"/>
      </w:r>
      <w:r w:rsidRPr="001B668D">
        <w:rPr>
          <w:lang w:val="en-GB"/>
        </w:rPr>
        <w:t xml:space="preserve"> two psychologists who are arguably the “initiators” of behavioural economics. At its core, </w:t>
      </w:r>
      <w:r>
        <w:rPr>
          <w:lang w:val="en-GB"/>
        </w:rPr>
        <w:t>p</w:t>
      </w:r>
      <w:r w:rsidRPr="001B668D">
        <w:rPr>
          <w:lang w:val="en-GB"/>
        </w:rPr>
        <w:t xml:space="preserve">rospect </w:t>
      </w:r>
      <w:r>
        <w:rPr>
          <w:lang w:val="en-GB"/>
        </w:rPr>
        <w:t>t</w:t>
      </w:r>
      <w:r w:rsidRPr="001B668D">
        <w:rPr>
          <w:lang w:val="en-GB"/>
        </w:rPr>
        <w:t>heory is the idea that people weigh losses more heavily than gains. In other words, the pain from a loss of $10 feels worse than the pleasure</w:t>
      </w:r>
      <w:r>
        <w:rPr>
          <w:lang w:val="en-GB"/>
        </w:rPr>
        <w:t>,</w:t>
      </w:r>
      <w:r w:rsidRPr="001B668D">
        <w:rPr>
          <w:lang w:val="en-GB"/>
        </w:rPr>
        <w:t xml:space="preserve"> or “utility</w:t>
      </w:r>
      <w:r>
        <w:rPr>
          <w:lang w:val="en-GB"/>
        </w:rPr>
        <w:t>,</w:t>
      </w:r>
      <w:r w:rsidRPr="001B668D">
        <w:rPr>
          <w:lang w:val="en-GB"/>
        </w:rPr>
        <w:t xml:space="preserve">” felt from an equivalent gain of $10. </w:t>
      </w:r>
    </w:p>
    <w:p w14:paraId="37E36A51" w14:textId="77777777" w:rsidR="00693B96" w:rsidRPr="001B668D" w:rsidRDefault="00693B96" w:rsidP="00447C0C">
      <w:pPr>
        <w:pStyle w:val="BodyTextMain"/>
        <w:rPr>
          <w:lang w:val="en-GB"/>
        </w:rPr>
      </w:pPr>
    </w:p>
    <w:p w14:paraId="2A7281AA" w14:textId="1E78DA38" w:rsidR="00693B96" w:rsidRPr="001B668D" w:rsidRDefault="00693B96" w:rsidP="00447C0C">
      <w:pPr>
        <w:pStyle w:val="BodyTextMain"/>
        <w:rPr>
          <w:lang w:val="en-GB"/>
        </w:rPr>
      </w:pPr>
      <w:r w:rsidRPr="001B668D">
        <w:rPr>
          <w:lang w:val="en-GB"/>
        </w:rPr>
        <w:t>The graph in Exhibit 2 illustrates the non-linear relationship between gains and losses. The graph is asymmetrical, with the function for loss being steeper. The reference point, where the vertical</w:t>
      </w:r>
      <w:r>
        <w:rPr>
          <w:lang w:val="en-GB"/>
        </w:rPr>
        <w:t xml:space="preserve"> </w:t>
      </w:r>
      <w:r w:rsidRPr="001B668D">
        <w:rPr>
          <w:lang w:val="en-GB"/>
        </w:rPr>
        <w:t>axis intersects with the horizontal</w:t>
      </w:r>
      <w:r>
        <w:rPr>
          <w:lang w:val="en-GB"/>
        </w:rPr>
        <w:t xml:space="preserve"> </w:t>
      </w:r>
      <w:r w:rsidRPr="001B668D">
        <w:rPr>
          <w:lang w:val="en-GB"/>
        </w:rPr>
        <w:t>axis, is a key feature segregating gains and losses.</w:t>
      </w:r>
    </w:p>
    <w:p w14:paraId="05E5213E" w14:textId="77777777" w:rsidR="00693B96" w:rsidRPr="001B668D" w:rsidRDefault="00693B96" w:rsidP="00447C0C">
      <w:pPr>
        <w:pStyle w:val="BodyTextMain"/>
        <w:rPr>
          <w:lang w:val="en-GB"/>
        </w:rPr>
      </w:pPr>
    </w:p>
    <w:p w14:paraId="4238E9C4" w14:textId="77777777" w:rsidR="00693B96" w:rsidRPr="001B668D" w:rsidRDefault="00693B96" w:rsidP="00447C0C">
      <w:pPr>
        <w:pStyle w:val="BodyTextMain"/>
        <w:rPr>
          <w:highlight w:val="yellow"/>
          <w:lang w:val="en-GB"/>
        </w:rPr>
      </w:pPr>
    </w:p>
    <w:p w14:paraId="1C6CDE6B" w14:textId="77777777" w:rsidR="00693B96" w:rsidRPr="001B668D" w:rsidRDefault="00693B96" w:rsidP="00447C0C">
      <w:pPr>
        <w:pStyle w:val="Casehead3"/>
        <w:rPr>
          <w:lang w:val="en-GB"/>
        </w:rPr>
      </w:pPr>
      <w:r w:rsidRPr="001B668D">
        <w:rPr>
          <w:lang w:val="en-GB"/>
        </w:rPr>
        <w:t>Loss Aversion</w:t>
      </w:r>
    </w:p>
    <w:p w14:paraId="179D7D06" w14:textId="77777777" w:rsidR="00693B96" w:rsidRPr="001B668D" w:rsidRDefault="00693B96" w:rsidP="00447C0C">
      <w:pPr>
        <w:pStyle w:val="BodyTextMain"/>
        <w:rPr>
          <w:lang w:val="en-GB"/>
        </w:rPr>
      </w:pPr>
    </w:p>
    <w:p w14:paraId="0FD213F8" w14:textId="58C11D82" w:rsidR="00693B96" w:rsidRPr="001B668D" w:rsidRDefault="00693B96" w:rsidP="00447C0C">
      <w:pPr>
        <w:pStyle w:val="BodyTextMain"/>
        <w:rPr>
          <w:lang w:val="en-GB"/>
        </w:rPr>
      </w:pPr>
      <w:r w:rsidRPr="001B668D">
        <w:rPr>
          <w:lang w:val="en-GB"/>
        </w:rPr>
        <w:t>Kahneman and Tversky’s study showed that</w:t>
      </w:r>
      <w:r w:rsidR="00AF4E45">
        <w:rPr>
          <w:lang w:val="en-GB"/>
        </w:rPr>
        <w:t>,</w:t>
      </w:r>
      <w:r w:rsidRPr="001B668D">
        <w:rPr>
          <w:lang w:val="en-GB"/>
        </w:rPr>
        <w:t xml:space="preserve"> </w:t>
      </w:r>
      <w:r w:rsidR="00712E37">
        <w:rPr>
          <w:lang w:val="en-GB"/>
        </w:rPr>
        <w:t>when there is</w:t>
      </w:r>
      <w:r w:rsidR="00712E37" w:rsidRPr="001B668D">
        <w:rPr>
          <w:lang w:val="en-GB"/>
        </w:rPr>
        <w:t xml:space="preserve"> </w:t>
      </w:r>
      <w:r w:rsidRPr="001B668D">
        <w:rPr>
          <w:lang w:val="en-GB"/>
        </w:rPr>
        <w:t xml:space="preserve">a choice of receiving </w:t>
      </w:r>
      <w:r>
        <w:rPr>
          <w:lang w:val="en-GB"/>
        </w:rPr>
        <w:t xml:space="preserve">either </w:t>
      </w:r>
      <w:r w:rsidRPr="001B668D">
        <w:rPr>
          <w:lang w:val="en-GB"/>
        </w:rPr>
        <w:t>$10 with a 50 per</w:t>
      </w:r>
      <w:r>
        <w:rPr>
          <w:lang w:val="en-GB"/>
        </w:rPr>
        <w:t xml:space="preserve"> </w:t>
      </w:r>
      <w:r w:rsidRPr="001B668D">
        <w:rPr>
          <w:lang w:val="en-GB"/>
        </w:rPr>
        <w:t>cent probability (and zero otherwise) or $5 with 100 per</w:t>
      </w:r>
      <w:r>
        <w:rPr>
          <w:lang w:val="en-GB"/>
        </w:rPr>
        <w:t xml:space="preserve"> </w:t>
      </w:r>
      <w:r w:rsidRPr="001B668D">
        <w:rPr>
          <w:lang w:val="en-GB"/>
        </w:rPr>
        <w:t xml:space="preserve">cent probability, the popular choice would be </w:t>
      </w:r>
      <w:r w:rsidR="00712E37">
        <w:rPr>
          <w:lang w:val="en-GB"/>
        </w:rPr>
        <w:t xml:space="preserve">to </w:t>
      </w:r>
      <w:r w:rsidRPr="001B668D">
        <w:rPr>
          <w:lang w:val="en-GB"/>
        </w:rPr>
        <w:t>accept the sure $5. However, if individual</w:t>
      </w:r>
      <w:r w:rsidR="00712E37">
        <w:rPr>
          <w:lang w:val="en-GB"/>
        </w:rPr>
        <w:t>s</w:t>
      </w:r>
      <w:r w:rsidRPr="001B668D">
        <w:rPr>
          <w:lang w:val="en-GB"/>
        </w:rPr>
        <w:t xml:space="preserve"> initially receive $10 and </w:t>
      </w:r>
      <w:r w:rsidR="00712E37">
        <w:rPr>
          <w:lang w:val="en-GB"/>
        </w:rPr>
        <w:t>are</w:t>
      </w:r>
      <w:r w:rsidR="00712E37" w:rsidRPr="001B668D">
        <w:rPr>
          <w:lang w:val="en-GB"/>
        </w:rPr>
        <w:t xml:space="preserve"> </w:t>
      </w:r>
      <w:r w:rsidRPr="001B668D">
        <w:rPr>
          <w:lang w:val="en-GB"/>
        </w:rPr>
        <w:t>given the choice to either lose $10 with 50 per</w:t>
      </w:r>
      <w:r>
        <w:rPr>
          <w:lang w:val="en-GB"/>
        </w:rPr>
        <w:t xml:space="preserve"> </w:t>
      </w:r>
      <w:r w:rsidRPr="001B668D">
        <w:rPr>
          <w:lang w:val="en-GB"/>
        </w:rPr>
        <w:t>cent probability (and lose nothing otherwise) or lose $5 with 100 per</w:t>
      </w:r>
      <w:r>
        <w:rPr>
          <w:lang w:val="en-GB"/>
        </w:rPr>
        <w:t xml:space="preserve"> </w:t>
      </w:r>
      <w:r w:rsidRPr="001B668D">
        <w:rPr>
          <w:lang w:val="en-GB"/>
        </w:rPr>
        <w:t xml:space="preserve">cent certainty, </w:t>
      </w:r>
      <w:r w:rsidR="00712E37" w:rsidRPr="001B668D">
        <w:rPr>
          <w:lang w:val="en-GB"/>
        </w:rPr>
        <w:t xml:space="preserve">most </w:t>
      </w:r>
      <w:r w:rsidRPr="001B668D">
        <w:rPr>
          <w:lang w:val="en-GB"/>
        </w:rPr>
        <w:t>people choose the $10 loss-or</w:t>
      </w:r>
      <w:r>
        <w:rPr>
          <w:lang w:val="en-GB"/>
        </w:rPr>
        <w:t>-</w:t>
      </w:r>
      <w:r w:rsidRPr="001B668D">
        <w:rPr>
          <w:lang w:val="en-GB"/>
        </w:rPr>
        <w:t>no</w:t>
      </w:r>
      <w:r>
        <w:rPr>
          <w:lang w:val="en-GB"/>
        </w:rPr>
        <w:t>-</w:t>
      </w:r>
      <w:r w:rsidRPr="001B668D">
        <w:rPr>
          <w:lang w:val="en-GB"/>
        </w:rPr>
        <w:t>loss option.</w:t>
      </w:r>
      <w:r w:rsidRPr="00DD6C8D">
        <w:rPr>
          <w:rStyle w:val="EndnoteReference"/>
          <w:lang w:val="en-GB"/>
        </w:rPr>
        <w:endnoteReference w:id="6"/>
      </w:r>
      <w:r w:rsidRPr="001B668D">
        <w:rPr>
          <w:lang w:val="en-GB"/>
        </w:rPr>
        <w:t xml:space="preserve"> Note that</w:t>
      </w:r>
      <w:r w:rsidR="00BF2071">
        <w:rPr>
          <w:lang w:val="en-GB"/>
        </w:rPr>
        <w:t>,</w:t>
      </w:r>
      <w:r w:rsidRPr="001B668D">
        <w:rPr>
          <w:lang w:val="en-GB"/>
        </w:rPr>
        <w:t xml:space="preserve"> in both situations, the expected dollar amount that individuals could obtain is identical, yet they choose differently. The study showed that </w:t>
      </w:r>
      <w:r>
        <w:rPr>
          <w:lang w:val="en-GB"/>
        </w:rPr>
        <w:t xml:space="preserve">most </w:t>
      </w:r>
      <w:r w:rsidRPr="001B668D">
        <w:rPr>
          <w:lang w:val="en-GB"/>
        </w:rPr>
        <w:t>people are risk</w:t>
      </w:r>
      <w:r>
        <w:rPr>
          <w:lang w:val="en-GB"/>
        </w:rPr>
        <w:t>-</w:t>
      </w:r>
      <w:r w:rsidRPr="001B668D">
        <w:rPr>
          <w:lang w:val="en-GB"/>
        </w:rPr>
        <w:t>averse over gains, and risk-seeking over losses.</w:t>
      </w:r>
    </w:p>
    <w:p w14:paraId="0954BAD5" w14:textId="77777777" w:rsidR="00693B96" w:rsidRPr="001B668D" w:rsidRDefault="00693B96" w:rsidP="00447C0C">
      <w:pPr>
        <w:pStyle w:val="BodyTextMain"/>
        <w:rPr>
          <w:lang w:val="en-GB"/>
        </w:rPr>
      </w:pPr>
    </w:p>
    <w:p w14:paraId="12903787" w14:textId="272A4736" w:rsidR="00693B96" w:rsidRPr="001B668D" w:rsidRDefault="00693B96" w:rsidP="00447C0C">
      <w:pPr>
        <w:pStyle w:val="BodyTextMain"/>
        <w:rPr>
          <w:lang w:val="en-GB"/>
        </w:rPr>
      </w:pPr>
      <w:r w:rsidRPr="001B668D">
        <w:rPr>
          <w:lang w:val="en-GB"/>
        </w:rPr>
        <w:t>One implication of this theory is that losses loom larger than similar</w:t>
      </w:r>
      <w:r>
        <w:rPr>
          <w:lang w:val="en-GB"/>
        </w:rPr>
        <w:t>-</w:t>
      </w:r>
      <w:r w:rsidRPr="001B668D">
        <w:rPr>
          <w:lang w:val="en-GB"/>
        </w:rPr>
        <w:t>sized gains. This cognitive phenomenon is known as loss aversion. In other words, individuals have a greater sensitivity</w:t>
      </w:r>
      <w:r w:rsidR="00712E37" w:rsidRPr="001B668D">
        <w:rPr>
          <w:lang w:val="en-GB"/>
        </w:rPr>
        <w:t>—estimated at approximately two-and-a-half times</w:t>
      </w:r>
      <w:r w:rsidR="00712E37">
        <w:rPr>
          <w:lang w:val="en-GB"/>
        </w:rPr>
        <w:t xml:space="preserve"> as great—</w:t>
      </w:r>
      <w:r w:rsidRPr="001B668D">
        <w:rPr>
          <w:lang w:val="en-GB"/>
        </w:rPr>
        <w:t>to losses than to similar-size</w:t>
      </w:r>
      <w:r w:rsidR="00712E37">
        <w:rPr>
          <w:lang w:val="en-GB"/>
        </w:rPr>
        <w:t>d</w:t>
      </w:r>
      <w:r w:rsidRPr="001B668D">
        <w:rPr>
          <w:lang w:val="en-GB"/>
        </w:rPr>
        <w:t xml:space="preserve"> gains. Loss aversion can lead investors to behave in a risk-averse manner and often treat repeated risks in the same manner as one-time risks, thereby acting too conservatively. Further, risk aversion may not be constant, but may change markedly following wins and losses relative to a reference point. </w:t>
      </w:r>
    </w:p>
    <w:p w14:paraId="5B4796B0" w14:textId="35B97C1C" w:rsidR="00693B96" w:rsidRPr="001B668D" w:rsidRDefault="00693B96" w:rsidP="00447C0C">
      <w:pPr>
        <w:pStyle w:val="BodyTextMain"/>
        <w:rPr>
          <w:lang w:val="en-GB"/>
        </w:rPr>
      </w:pPr>
    </w:p>
    <w:p w14:paraId="27DB1B9C" w14:textId="77777777" w:rsidR="00693B96" w:rsidRPr="001B668D" w:rsidRDefault="00693B96" w:rsidP="00447C0C">
      <w:pPr>
        <w:pStyle w:val="BodyTextMain"/>
        <w:rPr>
          <w:lang w:val="en-GB"/>
        </w:rPr>
      </w:pPr>
    </w:p>
    <w:p w14:paraId="073229ED" w14:textId="31373952" w:rsidR="00693B96" w:rsidRPr="001B668D" w:rsidRDefault="00693B96" w:rsidP="00447C0C">
      <w:pPr>
        <w:pStyle w:val="Casehead3"/>
        <w:rPr>
          <w:lang w:val="en-GB"/>
        </w:rPr>
      </w:pPr>
      <w:r>
        <w:rPr>
          <w:lang w:val="en-GB"/>
        </w:rPr>
        <w:t xml:space="preserve">The </w:t>
      </w:r>
      <w:r w:rsidRPr="001B668D">
        <w:rPr>
          <w:lang w:val="en-GB"/>
        </w:rPr>
        <w:t>Disposition Effect</w:t>
      </w:r>
    </w:p>
    <w:p w14:paraId="2A7F2E68" w14:textId="77777777" w:rsidR="00693B96" w:rsidRPr="001B668D" w:rsidRDefault="00693B96" w:rsidP="00447C0C">
      <w:pPr>
        <w:pStyle w:val="BodyTextMain"/>
        <w:rPr>
          <w:lang w:val="en-GB"/>
        </w:rPr>
      </w:pPr>
    </w:p>
    <w:p w14:paraId="0A3A8808" w14:textId="1BFAB411" w:rsidR="00693B96" w:rsidRPr="001B668D" w:rsidRDefault="00693B96" w:rsidP="00447C0C">
      <w:pPr>
        <w:pStyle w:val="BodyTextMain"/>
        <w:rPr>
          <w:lang w:val="en-GB"/>
        </w:rPr>
      </w:pPr>
      <w:r w:rsidRPr="001B668D">
        <w:rPr>
          <w:lang w:val="en-GB"/>
        </w:rPr>
        <w:t xml:space="preserve">The disposition effect is a direct consequence of loss aversion as predicted by </w:t>
      </w:r>
      <w:r>
        <w:rPr>
          <w:lang w:val="en-GB"/>
        </w:rPr>
        <w:t>p</w:t>
      </w:r>
      <w:r w:rsidRPr="001B668D">
        <w:rPr>
          <w:lang w:val="en-GB"/>
        </w:rPr>
        <w:t xml:space="preserve">rospect </w:t>
      </w:r>
      <w:r>
        <w:rPr>
          <w:lang w:val="en-GB"/>
        </w:rPr>
        <w:t>t</w:t>
      </w:r>
      <w:r w:rsidRPr="001B668D">
        <w:rPr>
          <w:lang w:val="en-GB"/>
        </w:rPr>
        <w:t xml:space="preserve">heory. Put simply, investors tend to sell winners too soon due to risk aversion and </w:t>
      </w:r>
      <w:r w:rsidR="00712E37">
        <w:rPr>
          <w:lang w:val="en-GB"/>
        </w:rPr>
        <w:t xml:space="preserve">to </w:t>
      </w:r>
      <w:r w:rsidRPr="001B668D">
        <w:rPr>
          <w:lang w:val="en-GB"/>
        </w:rPr>
        <w:t xml:space="preserve">hold losers too long due to risk seeking in </w:t>
      </w:r>
      <w:r>
        <w:rPr>
          <w:lang w:val="en-GB"/>
        </w:rPr>
        <w:t>an effort</w:t>
      </w:r>
      <w:r w:rsidRPr="001B668D">
        <w:rPr>
          <w:lang w:val="en-GB"/>
        </w:rPr>
        <w:t xml:space="preserve"> to avoid realizing losses. For example,</w:t>
      </w:r>
      <w:r w:rsidRPr="001B668D">
        <w:rPr>
          <w:rStyle w:val="EndnoteReference"/>
          <w:lang w:val="en-GB"/>
        </w:rPr>
        <w:endnoteReference w:id="7"/>
      </w:r>
      <w:r w:rsidRPr="001B668D">
        <w:rPr>
          <w:lang w:val="en-GB"/>
        </w:rPr>
        <w:t xml:space="preserve"> suppose an investor purchased a stock last month for $50 and it is now selling for $60. Suppose also </w:t>
      </w:r>
      <w:r w:rsidR="00712E37">
        <w:rPr>
          <w:lang w:val="en-GB"/>
        </w:rPr>
        <w:t xml:space="preserve">that </w:t>
      </w:r>
      <w:r w:rsidRPr="001B668D">
        <w:rPr>
          <w:lang w:val="en-GB"/>
        </w:rPr>
        <w:t>there is a 50-50 chance that in the next month the stock will either decline back to $50 or increase to $70. The investor has the choice to sell now and realize a $10 gain or hold for one more month</w:t>
      </w:r>
      <w:r w:rsidR="00712E37">
        <w:rPr>
          <w:lang w:val="en-GB"/>
        </w:rPr>
        <w:t>,</w:t>
      </w:r>
      <w:r w:rsidRPr="001B668D">
        <w:rPr>
          <w:lang w:val="en-GB"/>
        </w:rPr>
        <w:t xml:space="preserve"> given the 50-50 odds of losing the sure $10 gain or gaining an additional $10. Prospect </w:t>
      </w:r>
      <w:r>
        <w:rPr>
          <w:lang w:val="en-GB"/>
        </w:rPr>
        <w:t>t</w:t>
      </w:r>
      <w:r w:rsidRPr="001B668D">
        <w:rPr>
          <w:lang w:val="en-GB"/>
        </w:rPr>
        <w:t>heory predicts the investor will choose the former, selling the winner.</w:t>
      </w:r>
    </w:p>
    <w:p w14:paraId="34080A07" w14:textId="77777777" w:rsidR="00693B96" w:rsidRPr="001B668D" w:rsidRDefault="00693B96" w:rsidP="00447C0C">
      <w:pPr>
        <w:pStyle w:val="BodyTextMain"/>
        <w:rPr>
          <w:lang w:val="en-GB"/>
        </w:rPr>
      </w:pPr>
    </w:p>
    <w:p w14:paraId="7B1732CD" w14:textId="50A92D87" w:rsidR="00693B96" w:rsidRPr="001B668D" w:rsidRDefault="00693B96" w:rsidP="00447C0C">
      <w:pPr>
        <w:pStyle w:val="BodyTextMain"/>
        <w:rPr>
          <w:lang w:val="en-GB"/>
        </w:rPr>
      </w:pPr>
      <w:r w:rsidRPr="001B668D">
        <w:rPr>
          <w:lang w:val="en-GB"/>
        </w:rPr>
        <w:t>Now suppose an investor purchased a stock last month for $50</w:t>
      </w:r>
      <w:r>
        <w:rPr>
          <w:lang w:val="en-GB"/>
        </w:rPr>
        <w:t>,</w:t>
      </w:r>
      <w:r w:rsidRPr="001B668D">
        <w:rPr>
          <w:lang w:val="en-GB"/>
        </w:rPr>
        <w:t xml:space="preserve"> and it is now selling for $40. Suppose also </w:t>
      </w:r>
      <w:r w:rsidR="00712E37">
        <w:rPr>
          <w:lang w:val="en-GB"/>
        </w:rPr>
        <w:t xml:space="preserve">that </w:t>
      </w:r>
      <w:r w:rsidRPr="001B668D">
        <w:rPr>
          <w:lang w:val="en-GB"/>
        </w:rPr>
        <w:t xml:space="preserve">there is a 50-50 chance that in the next month the stock will either decline to $30 or recover to $50. The investor has the choice to sell now and realize what had previously just been a $10 “paper loss” or hold for one more month given the 50-50 odds of either losing an additional $10 or “breaking even.” Prospect </w:t>
      </w:r>
      <w:r>
        <w:rPr>
          <w:lang w:val="en-GB"/>
        </w:rPr>
        <w:t>t</w:t>
      </w:r>
      <w:r w:rsidRPr="001B668D">
        <w:rPr>
          <w:lang w:val="en-GB"/>
        </w:rPr>
        <w:t>heory predicts the investor will choose the latter, holding on to the loser in hope that the price will increase and allow the</w:t>
      </w:r>
      <w:r>
        <w:rPr>
          <w:lang w:val="en-GB"/>
        </w:rPr>
        <w:t xml:space="preserve"> investor</w:t>
      </w:r>
      <w:r w:rsidRPr="001B668D">
        <w:rPr>
          <w:lang w:val="en-GB"/>
        </w:rPr>
        <w:t xml:space="preserve"> to avoid realizing a loss.</w:t>
      </w:r>
    </w:p>
    <w:p w14:paraId="4404E167" w14:textId="77777777" w:rsidR="00693B96" w:rsidRPr="001B668D" w:rsidRDefault="00693B96" w:rsidP="00447C0C">
      <w:pPr>
        <w:pStyle w:val="BodyTextMain"/>
        <w:rPr>
          <w:lang w:val="en-GB"/>
        </w:rPr>
      </w:pPr>
    </w:p>
    <w:p w14:paraId="0A47FADF" w14:textId="4920CB27" w:rsidR="00693B96" w:rsidRPr="001B668D" w:rsidRDefault="00693B96" w:rsidP="00447C0C">
      <w:pPr>
        <w:pStyle w:val="BodyTextMain"/>
        <w:rPr>
          <w:lang w:val="en-GB"/>
        </w:rPr>
      </w:pPr>
    </w:p>
    <w:p w14:paraId="564C38AA" w14:textId="472038A7" w:rsidR="00693B96" w:rsidRPr="001B668D" w:rsidRDefault="00693B96" w:rsidP="00447C0C">
      <w:pPr>
        <w:pStyle w:val="Casehead2"/>
        <w:rPr>
          <w:lang w:val="en-GB"/>
        </w:rPr>
      </w:pPr>
      <w:r w:rsidRPr="001B668D">
        <w:rPr>
          <w:lang w:val="en-GB"/>
        </w:rPr>
        <w:lastRenderedPageBreak/>
        <w:t>Biases</w:t>
      </w:r>
    </w:p>
    <w:p w14:paraId="4526B44A" w14:textId="77777777" w:rsidR="00693B96" w:rsidRPr="001B668D" w:rsidRDefault="00693B96" w:rsidP="00447C0C">
      <w:pPr>
        <w:pStyle w:val="BodyTextMain"/>
        <w:rPr>
          <w:lang w:val="en-GB"/>
        </w:rPr>
      </w:pPr>
    </w:p>
    <w:p w14:paraId="78DF4F40" w14:textId="6EC53F05" w:rsidR="00693B96" w:rsidRPr="001B668D" w:rsidRDefault="00693B96" w:rsidP="00447C0C">
      <w:pPr>
        <w:pStyle w:val="BodyTextMain"/>
        <w:rPr>
          <w:lang w:val="en-GB"/>
        </w:rPr>
      </w:pPr>
      <w:r w:rsidRPr="001B668D">
        <w:rPr>
          <w:lang w:val="en-GB"/>
        </w:rPr>
        <w:t>A bias is a preconceived or unreasoned inclination or outlook for or against someone or something. With a specific focus on financial markets, several major biases that affect investor decisions are excessive optimism, overconfidence, confirmation bias, and belief perseverance.</w:t>
      </w:r>
    </w:p>
    <w:p w14:paraId="29F03852" w14:textId="77777777" w:rsidR="00693B96" w:rsidRPr="001B668D" w:rsidRDefault="00693B96" w:rsidP="00447C0C">
      <w:pPr>
        <w:pStyle w:val="BodyTextMain"/>
        <w:rPr>
          <w:lang w:val="en-GB"/>
        </w:rPr>
      </w:pPr>
    </w:p>
    <w:p w14:paraId="2125915D" w14:textId="77777777" w:rsidR="00693B96" w:rsidRPr="001B668D" w:rsidRDefault="00693B96" w:rsidP="00447C0C">
      <w:pPr>
        <w:pStyle w:val="BodyTextMain"/>
        <w:rPr>
          <w:lang w:val="en-GB"/>
        </w:rPr>
      </w:pPr>
    </w:p>
    <w:p w14:paraId="7FAD752E" w14:textId="77777777" w:rsidR="00693B96" w:rsidRPr="001B668D" w:rsidRDefault="00693B96" w:rsidP="00447C0C">
      <w:pPr>
        <w:pStyle w:val="Casehead3"/>
        <w:rPr>
          <w:lang w:val="en-GB"/>
        </w:rPr>
      </w:pPr>
      <w:r w:rsidRPr="001B668D">
        <w:rPr>
          <w:lang w:val="en-GB"/>
        </w:rPr>
        <w:t>Excessive Optimism</w:t>
      </w:r>
    </w:p>
    <w:p w14:paraId="3C756C48" w14:textId="77777777" w:rsidR="00693B96" w:rsidRPr="001B668D" w:rsidRDefault="00693B96" w:rsidP="00447C0C">
      <w:pPr>
        <w:pStyle w:val="BodyTextMain"/>
        <w:rPr>
          <w:lang w:val="en-GB"/>
        </w:rPr>
      </w:pPr>
    </w:p>
    <w:p w14:paraId="7FC7E8AF" w14:textId="77777777" w:rsidR="00693B96" w:rsidRPr="001B668D" w:rsidRDefault="00693B96" w:rsidP="00447C0C">
      <w:pPr>
        <w:pStyle w:val="BodyTextMain"/>
        <w:rPr>
          <w:lang w:val="en-GB"/>
        </w:rPr>
      </w:pPr>
      <w:r w:rsidRPr="001B668D">
        <w:rPr>
          <w:lang w:val="en-GB"/>
        </w:rPr>
        <w:t xml:space="preserve">The excessive optimism bias is the overestimation of the frequency of favourable outcomes and the underestimation of the frequency of unfavourable outcomes. Therefore, investors display unrealistically hopeful views of their abilities and prospects. </w:t>
      </w:r>
    </w:p>
    <w:p w14:paraId="33367C4F" w14:textId="77777777" w:rsidR="00693B96" w:rsidRPr="001B668D" w:rsidRDefault="00693B96" w:rsidP="00447C0C">
      <w:pPr>
        <w:pStyle w:val="BodyTextMain"/>
        <w:rPr>
          <w:lang w:val="en-GB"/>
        </w:rPr>
      </w:pPr>
    </w:p>
    <w:p w14:paraId="4C4BAA8E" w14:textId="245A3B41" w:rsidR="00693B96" w:rsidRPr="001B668D" w:rsidRDefault="00693B96" w:rsidP="0008040F">
      <w:pPr>
        <w:pStyle w:val="BodyTextMain"/>
        <w:rPr>
          <w:lang w:val="en-GB"/>
        </w:rPr>
      </w:pPr>
      <w:r w:rsidRPr="001B668D">
        <w:rPr>
          <w:lang w:val="en-GB"/>
        </w:rPr>
        <w:t xml:space="preserve">For example, in mid-1999, some technology stocks (particularly </w:t>
      </w:r>
      <w:r>
        <w:rPr>
          <w:lang w:val="en-GB"/>
        </w:rPr>
        <w:t xml:space="preserve">those </w:t>
      </w:r>
      <w:r w:rsidRPr="001B668D">
        <w:rPr>
          <w:lang w:val="en-GB"/>
        </w:rPr>
        <w:t xml:space="preserve">related to the </w:t>
      </w:r>
      <w:r>
        <w:rPr>
          <w:lang w:val="en-GB"/>
        </w:rPr>
        <w:t>then-</w:t>
      </w:r>
      <w:r w:rsidRPr="001B668D">
        <w:rPr>
          <w:lang w:val="en-GB"/>
        </w:rPr>
        <w:t xml:space="preserve">nascent </w:t>
      </w:r>
      <w:r>
        <w:rPr>
          <w:lang w:val="en-GB"/>
        </w:rPr>
        <w:t>I</w:t>
      </w:r>
      <w:r w:rsidRPr="001B668D">
        <w:rPr>
          <w:lang w:val="en-GB"/>
        </w:rPr>
        <w:t xml:space="preserve">nternet) traded at price-earnings ratios upward of 100 times, whereas the long-run average was only </w:t>
      </w:r>
      <w:r>
        <w:rPr>
          <w:lang w:val="en-GB"/>
        </w:rPr>
        <w:t>approximately</w:t>
      </w:r>
      <w:r w:rsidRPr="001B668D">
        <w:rPr>
          <w:lang w:val="en-GB"/>
        </w:rPr>
        <w:t xml:space="preserve"> 16 times. </w:t>
      </w:r>
      <w:r>
        <w:rPr>
          <w:lang w:val="en-GB"/>
        </w:rPr>
        <w:t xml:space="preserve">To </w:t>
      </w:r>
      <w:r w:rsidRPr="001B668D">
        <w:rPr>
          <w:lang w:val="en-GB"/>
        </w:rPr>
        <w:t xml:space="preserve">justify </w:t>
      </w:r>
      <w:r>
        <w:rPr>
          <w:lang w:val="en-GB"/>
        </w:rPr>
        <w:t>the I</w:t>
      </w:r>
      <w:r w:rsidRPr="001B668D">
        <w:rPr>
          <w:lang w:val="en-GB"/>
        </w:rPr>
        <w:t>nternet company stock prices as of mid-1999,</w:t>
      </w:r>
      <w:r w:rsidRPr="001B668D">
        <w:rPr>
          <w:rStyle w:val="apple-converted-space"/>
          <w:lang w:val="en-GB"/>
        </w:rPr>
        <w:t xml:space="preserve"> based on reasonable assumptions related to expected price-earnings ratios and profit margins, investors were pricing anticipated annual revenue growth rates of </w:t>
      </w:r>
      <w:r>
        <w:rPr>
          <w:rStyle w:val="apple-converted-space"/>
          <w:lang w:val="en-GB"/>
        </w:rPr>
        <w:t>approximately</w:t>
      </w:r>
      <w:r w:rsidRPr="001B668D">
        <w:rPr>
          <w:rStyle w:val="apple-converted-space"/>
          <w:lang w:val="en-GB"/>
        </w:rPr>
        <w:t xml:space="preserve"> 80 per cent over five years</w:t>
      </w:r>
      <w:r w:rsidR="001F3DC6">
        <w:rPr>
          <w:rStyle w:val="apple-converted-space"/>
          <w:lang w:val="en-GB"/>
        </w:rPr>
        <w:t>,</w:t>
      </w:r>
      <w:r w:rsidRPr="001B668D">
        <w:rPr>
          <w:rStyle w:val="apple-converted-space"/>
          <w:lang w:val="en-GB"/>
        </w:rPr>
        <w:t xml:space="preserve"> even though many of these companies were currently unprofitable.</w:t>
      </w:r>
      <w:r w:rsidRPr="00910140">
        <w:rPr>
          <w:rStyle w:val="EndnoteReference"/>
          <w:lang w:val="en-GB"/>
        </w:rPr>
        <w:endnoteReference w:id="8"/>
      </w:r>
      <w:r w:rsidRPr="001B668D">
        <w:rPr>
          <w:rStyle w:val="apple-converted-space"/>
          <w:lang w:val="en-GB"/>
        </w:rPr>
        <w:t xml:space="preserve"> Such stocks were often referred to as </w:t>
      </w:r>
      <w:r>
        <w:rPr>
          <w:rStyle w:val="apple-converted-space"/>
          <w:lang w:val="en-GB"/>
        </w:rPr>
        <w:t xml:space="preserve">being </w:t>
      </w:r>
      <w:r w:rsidRPr="001B668D">
        <w:rPr>
          <w:rStyle w:val="apple-converted-space"/>
          <w:lang w:val="en-GB"/>
        </w:rPr>
        <w:t>“priced for perfection</w:t>
      </w:r>
      <w:r>
        <w:rPr>
          <w:rStyle w:val="apple-converted-space"/>
          <w:lang w:val="en-GB"/>
        </w:rPr>
        <w:t>,</w:t>
      </w:r>
      <w:r w:rsidRPr="001B668D">
        <w:rPr>
          <w:rStyle w:val="apple-converted-space"/>
          <w:lang w:val="en-GB"/>
        </w:rPr>
        <w:t>” implying that</w:t>
      </w:r>
      <w:r>
        <w:rPr>
          <w:rStyle w:val="apple-converted-space"/>
          <w:lang w:val="en-GB"/>
        </w:rPr>
        <w:t>, to justify their prices,</w:t>
      </w:r>
      <w:r w:rsidRPr="001B668D">
        <w:rPr>
          <w:rStyle w:val="apple-converted-space"/>
          <w:lang w:val="en-GB"/>
        </w:rPr>
        <w:t xml:space="preserve"> everything had to go right and nothing could go wrong. To put these expectations in perspective, Microsoft, one of the most successful </w:t>
      </w:r>
      <w:r w:rsidR="001F3DC6" w:rsidRPr="001B668D">
        <w:rPr>
          <w:rStyle w:val="apple-converted-space"/>
          <w:lang w:val="en-GB"/>
        </w:rPr>
        <w:t>early</w:t>
      </w:r>
      <w:r w:rsidR="001F3DC6">
        <w:rPr>
          <w:rStyle w:val="apple-converted-space"/>
          <w:lang w:val="en-GB"/>
        </w:rPr>
        <w:t>-</w:t>
      </w:r>
      <w:r w:rsidRPr="001B668D">
        <w:rPr>
          <w:rStyle w:val="apple-converted-space"/>
          <w:lang w:val="en-GB"/>
        </w:rPr>
        <w:t xml:space="preserve">stage public companies, grew its revenue in its first five years </w:t>
      </w:r>
      <w:r>
        <w:rPr>
          <w:rStyle w:val="apple-converted-space"/>
          <w:lang w:val="en-GB"/>
        </w:rPr>
        <w:t xml:space="preserve">after its initial public offering at a rate of </w:t>
      </w:r>
      <w:r w:rsidRPr="001B668D">
        <w:rPr>
          <w:rStyle w:val="apple-converted-space"/>
          <w:lang w:val="en-GB"/>
        </w:rPr>
        <w:t xml:space="preserve">“only” 50 per cent annually. </w:t>
      </w:r>
      <w:r w:rsidRPr="001B668D">
        <w:rPr>
          <w:lang w:val="en-GB"/>
        </w:rPr>
        <w:t xml:space="preserve">The resulting investment implication is that decisions being made from subjective and incorrect probabilities are likely to lead to mistakes. One possible solution for an investor is to </w:t>
      </w:r>
      <w:r>
        <w:rPr>
          <w:lang w:val="en-GB"/>
        </w:rPr>
        <w:t xml:space="preserve">first </w:t>
      </w:r>
      <w:r w:rsidRPr="001B668D">
        <w:rPr>
          <w:lang w:val="en-GB"/>
        </w:rPr>
        <w:t>critically assess the situation</w:t>
      </w:r>
      <w:r>
        <w:rPr>
          <w:lang w:val="en-GB"/>
        </w:rPr>
        <w:t>,</w:t>
      </w:r>
      <w:r w:rsidRPr="001B668D">
        <w:rPr>
          <w:lang w:val="en-GB"/>
        </w:rPr>
        <w:t xml:space="preserve"> and </w:t>
      </w:r>
      <w:r>
        <w:rPr>
          <w:lang w:val="en-GB"/>
        </w:rPr>
        <w:t xml:space="preserve">then </w:t>
      </w:r>
      <w:r w:rsidRPr="001B668D">
        <w:rPr>
          <w:lang w:val="en-GB"/>
        </w:rPr>
        <w:t xml:space="preserve">assign realistic probabilities to possible investment outcomes. </w:t>
      </w:r>
    </w:p>
    <w:p w14:paraId="0DDAEAD9" w14:textId="77777777" w:rsidR="00693B96" w:rsidRPr="001B668D" w:rsidRDefault="00693B96" w:rsidP="00447C0C">
      <w:pPr>
        <w:pStyle w:val="BodyTextMain"/>
        <w:rPr>
          <w:u w:val="single"/>
          <w:lang w:val="en-GB"/>
        </w:rPr>
      </w:pPr>
    </w:p>
    <w:p w14:paraId="22703178" w14:textId="77777777" w:rsidR="00693B96" w:rsidRPr="001B668D" w:rsidRDefault="00693B96" w:rsidP="00447C0C">
      <w:pPr>
        <w:pStyle w:val="BodyTextMain"/>
        <w:rPr>
          <w:lang w:val="en-GB"/>
        </w:rPr>
      </w:pPr>
    </w:p>
    <w:p w14:paraId="452689A2" w14:textId="77777777" w:rsidR="00693B96" w:rsidRPr="001B668D" w:rsidRDefault="00693B96" w:rsidP="00447C0C">
      <w:pPr>
        <w:pStyle w:val="Casehead3"/>
        <w:rPr>
          <w:lang w:val="en-GB"/>
        </w:rPr>
      </w:pPr>
      <w:r w:rsidRPr="001B668D">
        <w:rPr>
          <w:lang w:val="en-GB"/>
        </w:rPr>
        <w:t>Overconfidence</w:t>
      </w:r>
    </w:p>
    <w:p w14:paraId="727AD8CD" w14:textId="77777777" w:rsidR="00693B96" w:rsidRPr="001B668D" w:rsidRDefault="00693B96" w:rsidP="00447C0C">
      <w:pPr>
        <w:pStyle w:val="BodyTextMain"/>
        <w:rPr>
          <w:lang w:val="en-GB"/>
        </w:rPr>
      </w:pPr>
    </w:p>
    <w:p w14:paraId="6DDC1F37" w14:textId="74F17DB0" w:rsidR="00693B96" w:rsidRPr="001B668D" w:rsidRDefault="00693B96" w:rsidP="00447C0C">
      <w:pPr>
        <w:pStyle w:val="BodyTextMain"/>
        <w:rPr>
          <w:lang w:val="en-GB"/>
        </w:rPr>
      </w:pPr>
      <w:r w:rsidRPr="001B668D">
        <w:rPr>
          <w:lang w:val="en-GB"/>
        </w:rPr>
        <w:t xml:space="preserve">The overconfidence bias is the belief that one has more knowledge and ability than one actually </w:t>
      </w:r>
      <w:r>
        <w:rPr>
          <w:lang w:val="en-GB"/>
        </w:rPr>
        <w:t>has</w:t>
      </w:r>
      <w:r w:rsidRPr="001B668D">
        <w:rPr>
          <w:lang w:val="en-GB"/>
        </w:rPr>
        <w:t xml:space="preserve">. This bias leads to being overly convinced that one’s view or judgment is correct. Consequently, overconfident investors </w:t>
      </w:r>
      <w:r>
        <w:rPr>
          <w:lang w:val="en-GB"/>
        </w:rPr>
        <w:t xml:space="preserve">trade </w:t>
      </w:r>
      <w:r w:rsidRPr="001B668D">
        <w:rPr>
          <w:lang w:val="en-GB"/>
        </w:rPr>
        <w:t>excessively and earn lower returns, an effect most pronounced in males</w:t>
      </w:r>
      <w:r>
        <w:rPr>
          <w:lang w:val="en-GB"/>
        </w:rPr>
        <w:t>.</w:t>
      </w:r>
      <w:r w:rsidRPr="001B668D">
        <w:rPr>
          <w:lang w:val="en-GB"/>
        </w:rPr>
        <w:t xml:space="preserve"> </w:t>
      </w:r>
      <w:r>
        <w:rPr>
          <w:lang w:val="en-GB"/>
        </w:rPr>
        <w:t xml:space="preserve">The bias of overconfidence can </w:t>
      </w:r>
      <w:r w:rsidRPr="001B668D">
        <w:rPr>
          <w:lang w:val="en-GB"/>
        </w:rPr>
        <w:t>distort corporate investment.</w:t>
      </w:r>
      <w:r>
        <w:rPr>
          <w:rStyle w:val="EndnoteReference"/>
          <w:lang w:val="en-GB"/>
        </w:rPr>
        <w:endnoteReference w:id="9"/>
      </w:r>
      <w:r w:rsidRPr="001B668D">
        <w:rPr>
          <w:lang w:val="en-GB"/>
        </w:rPr>
        <w:t xml:space="preserve"> Overconfidence can take three distinct forms: over-precision, over-placement, and overestimation.</w:t>
      </w:r>
    </w:p>
    <w:p w14:paraId="30A66CCE" w14:textId="77777777" w:rsidR="00693B96" w:rsidRPr="001B668D" w:rsidRDefault="00693B96" w:rsidP="00447C0C">
      <w:pPr>
        <w:pStyle w:val="BodyTextMain"/>
        <w:rPr>
          <w:lang w:val="en-GB"/>
        </w:rPr>
      </w:pPr>
    </w:p>
    <w:p w14:paraId="7BA8DCFF" w14:textId="652CBBA1" w:rsidR="00693B96" w:rsidRPr="001B668D" w:rsidRDefault="00693B96" w:rsidP="00447C0C">
      <w:pPr>
        <w:pStyle w:val="BodyTextMain"/>
        <w:rPr>
          <w:lang w:val="en-GB"/>
        </w:rPr>
      </w:pPr>
      <w:r w:rsidRPr="001B668D">
        <w:rPr>
          <w:lang w:val="en-GB"/>
        </w:rPr>
        <w:t xml:space="preserve">In one study, when asked to provide a 98 per cent confidence interval for the level of the Dow Jones Industrial Index in a year, the confidence intervals of participants included the true value </w:t>
      </w:r>
      <w:r>
        <w:rPr>
          <w:lang w:val="en-GB"/>
        </w:rPr>
        <w:t xml:space="preserve">only </w:t>
      </w:r>
      <w:r w:rsidRPr="001B668D">
        <w:rPr>
          <w:lang w:val="en-GB"/>
        </w:rPr>
        <w:t>approximately 60 per cent of the time.</w:t>
      </w:r>
      <w:r>
        <w:rPr>
          <w:rStyle w:val="EndnoteReference"/>
          <w:lang w:val="en-GB"/>
        </w:rPr>
        <w:endnoteReference w:id="10"/>
      </w:r>
      <w:r w:rsidRPr="001B668D">
        <w:rPr>
          <w:lang w:val="en-GB"/>
        </w:rPr>
        <w:t xml:space="preserve"> The study concluded that the estimates were too narrow. This result is a feature known as over-precision, which is the tendency to express unwarranted certainty in the accuracy of one’s beliefs. </w:t>
      </w:r>
    </w:p>
    <w:p w14:paraId="18330B64" w14:textId="77777777" w:rsidR="00693B96" w:rsidRPr="001B668D" w:rsidRDefault="00693B96" w:rsidP="00447C0C">
      <w:pPr>
        <w:pStyle w:val="BodyTextMain"/>
        <w:rPr>
          <w:lang w:val="en-GB"/>
        </w:rPr>
      </w:pPr>
    </w:p>
    <w:p w14:paraId="7948AC67" w14:textId="0026FC97" w:rsidR="00693B96" w:rsidRPr="00324F20" w:rsidRDefault="00693B96" w:rsidP="00447C0C">
      <w:pPr>
        <w:pStyle w:val="BodyTextMain"/>
        <w:rPr>
          <w:spacing w:val="-2"/>
          <w:lang w:val="en-GB"/>
        </w:rPr>
      </w:pPr>
      <w:r w:rsidRPr="00324F20">
        <w:rPr>
          <w:spacing w:val="-2"/>
          <w:lang w:val="en-GB"/>
        </w:rPr>
        <w:t>The over-placement (i.e., the “above-average effect”) of one’s performance relative to others was shown in another study through a simple two-part survey question</w:t>
      </w:r>
      <w:r w:rsidR="00EB4B16" w:rsidRPr="00324F20">
        <w:rPr>
          <w:spacing w:val="-2"/>
          <w:lang w:val="en-GB"/>
        </w:rPr>
        <w:t>:</w:t>
      </w:r>
      <w:r w:rsidRPr="00324F20">
        <w:rPr>
          <w:spacing w:val="-2"/>
          <w:lang w:val="en-GB"/>
        </w:rPr>
        <w:t xml:space="preserve"> “Are you a good driver? Compared to other drivers you encounter</w:t>
      </w:r>
      <w:r w:rsidR="00EB4B16" w:rsidRPr="00324F20">
        <w:rPr>
          <w:spacing w:val="-2"/>
          <w:lang w:val="en-GB"/>
        </w:rPr>
        <w:t>,</w:t>
      </w:r>
      <w:r w:rsidRPr="00324F20">
        <w:rPr>
          <w:spacing w:val="-2"/>
          <w:lang w:val="en-GB"/>
        </w:rPr>
        <w:t xml:space="preserve"> are you above average, average, or below average?”</w:t>
      </w:r>
      <w:r w:rsidRPr="00324F20">
        <w:rPr>
          <w:rStyle w:val="EndnoteReference"/>
          <w:spacing w:val="-2"/>
          <w:lang w:val="en-GB"/>
        </w:rPr>
        <w:endnoteReference w:id="11"/>
      </w:r>
      <w:r w:rsidRPr="00324F20">
        <w:rPr>
          <w:spacing w:val="-2"/>
          <w:lang w:val="en-GB"/>
        </w:rPr>
        <w:t xml:space="preserve"> The results showed that more than 80 per cent of those surveyed believed they were above average, which is statistically not possible.</w:t>
      </w:r>
    </w:p>
    <w:p w14:paraId="740AEAA5" w14:textId="77777777" w:rsidR="00693B96" w:rsidRPr="001B668D" w:rsidRDefault="00693B96" w:rsidP="00447C0C">
      <w:pPr>
        <w:pStyle w:val="BodyTextMain"/>
        <w:rPr>
          <w:lang w:val="en-GB"/>
        </w:rPr>
      </w:pPr>
    </w:p>
    <w:p w14:paraId="0D98698C" w14:textId="1D0111BB" w:rsidR="00693B96" w:rsidRPr="001B668D" w:rsidRDefault="00693B96" w:rsidP="00447C0C">
      <w:pPr>
        <w:pStyle w:val="BodyTextMain"/>
        <w:rPr>
          <w:lang w:val="en-GB"/>
        </w:rPr>
      </w:pPr>
      <w:r w:rsidRPr="001B668D">
        <w:rPr>
          <w:lang w:val="en-GB"/>
        </w:rPr>
        <w:t>Over-estimation is the tendency to overvalue one’s performance or judgment. This type of overconfidence can stem from two other distinct cognitive errors</w:t>
      </w:r>
      <w:r w:rsidR="00EB4B16">
        <w:rPr>
          <w:lang w:val="en-GB"/>
        </w:rPr>
        <w:t>:</w:t>
      </w:r>
      <w:r w:rsidR="00EB4B16" w:rsidRPr="001B668D">
        <w:rPr>
          <w:lang w:val="en-GB"/>
        </w:rPr>
        <w:t xml:space="preserve"> </w:t>
      </w:r>
      <w:r w:rsidRPr="001B668D">
        <w:rPr>
          <w:lang w:val="en-GB"/>
        </w:rPr>
        <w:t xml:space="preserve">the self-attribution bias and </w:t>
      </w:r>
      <w:r w:rsidR="00EB4B16">
        <w:rPr>
          <w:lang w:val="en-GB"/>
        </w:rPr>
        <w:t xml:space="preserve">the </w:t>
      </w:r>
      <w:r w:rsidRPr="001B668D">
        <w:rPr>
          <w:lang w:val="en-GB"/>
        </w:rPr>
        <w:t xml:space="preserve">hindsight bias. Self-attribution bias is the tendency </w:t>
      </w:r>
      <w:r>
        <w:rPr>
          <w:lang w:val="en-GB"/>
        </w:rPr>
        <w:t xml:space="preserve">of individuals </w:t>
      </w:r>
      <w:r w:rsidRPr="001B668D">
        <w:rPr>
          <w:lang w:val="en-GB"/>
        </w:rPr>
        <w:t xml:space="preserve">to ascribe any success to their own talents while blaming </w:t>
      </w:r>
      <w:r w:rsidRPr="001B668D">
        <w:rPr>
          <w:lang w:val="en-GB"/>
        </w:rPr>
        <w:lastRenderedPageBreak/>
        <w:t>failure on bad luck</w:t>
      </w:r>
      <w:r>
        <w:rPr>
          <w:lang w:val="en-GB"/>
        </w:rPr>
        <w:t>;</w:t>
      </w:r>
      <w:r w:rsidRPr="001B668D">
        <w:rPr>
          <w:lang w:val="en-GB"/>
        </w:rPr>
        <w:t xml:space="preserve"> </w:t>
      </w:r>
      <w:r>
        <w:rPr>
          <w:lang w:val="en-GB"/>
        </w:rPr>
        <w:t>whereas</w:t>
      </w:r>
      <w:r w:rsidRPr="001B668D">
        <w:rPr>
          <w:lang w:val="en-GB"/>
        </w:rPr>
        <w:t xml:space="preserve"> hindsight bias is the tendency to believe that one predicted an event before it happened, </w:t>
      </w:r>
      <w:r>
        <w:rPr>
          <w:lang w:val="en-GB"/>
        </w:rPr>
        <w:t xml:space="preserve">a belief that is </w:t>
      </w:r>
      <w:r w:rsidRPr="001B668D">
        <w:rPr>
          <w:lang w:val="en-GB"/>
        </w:rPr>
        <w:t>stated after the event has already occurred (i.e., the “I-knew-it-all-along” bias). These biases may lead investors to believe that they can predict the future better than they can, thereby over-estimating their actual performance.</w:t>
      </w:r>
    </w:p>
    <w:p w14:paraId="2B15E8C4" w14:textId="77777777" w:rsidR="00693B96" w:rsidRPr="001B668D" w:rsidRDefault="00693B96" w:rsidP="00447C0C">
      <w:pPr>
        <w:pStyle w:val="BodyTextMain"/>
        <w:rPr>
          <w:lang w:val="en-GB"/>
        </w:rPr>
      </w:pPr>
    </w:p>
    <w:p w14:paraId="38EF7470" w14:textId="77777777" w:rsidR="00693B96" w:rsidRPr="001B668D" w:rsidRDefault="00693B96" w:rsidP="00447C0C">
      <w:pPr>
        <w:pStyle w:val="BodyTextMain"/>
        <w:rPr>
          <w:lang w:val="en-GB"/>
        </w:rPr>
      </w:pPr>
    </w:p>
    <w:p w14:paraId="5552B5D1" w14:textId="4A627C1B" w:rsidR="00693B96" w:rsidRPr="001B668D" w:rsidRDefault="00693B96" w:rsidP="00447C0C">
      <w:pPr>
        <w:pStyle w:val="Casehead3"/>
        <w:rPr>
          <w:lang w:val="en-GB"/>
        </w:rPr>
      </w:pPr>
      <w:r w:rsidRPr="001B668D">
        <w:rPr>
          <w:lang w:val="en-GB"/>
        </w:rPr>
        <w:t>Confirmation Bias</w:t>
      </w:r>
    </w:p>
    <w:p w14:paraId="6115F78E" w14:textId="77777777" w:rsidR="00693B96" w:rsidRPr="001B668D" w:rsidRDefault="00693B96" w:rsidP="00447C0C">
      <w:pPr>
        <w:pStyle w:val="BodyTextMain"/>
        <w:rPr>
          <w:lang w:val="en-GB"/>
        </w:rPr>
      </w:pPr>
    </w:p>
    <w:p w14:paraId="22C6DA41" w14:textId="634C3DBB" w:rsidR="00693B96" w:rsidRPr="001B668D" w:rsidRDefault="00693B96" w:rsidP="00447C0C">
      <w:pPr>
        <w:pStyle w:val="BodyTextMain"/>
        <w:rPr>
          <w:lang w:val="en-GB"/>
        </w:rPr>
      </w:pPr>
      <w:r w:rsidRPr="001B668D">
        <w:rPr>
          <w:lang w:val="en-GB"/>
        </w:rPr>
        <w:t>Confirmation bias is the tendency to search for</w:t>
      </w:r>
      <w:r>
        <w:rPr>
          <w:lang w:val="en-GB"/>
        </w:rPr>
        <w:t>,</w:t>
      </w:r>
      <w:r w:rsidRPr="001B668D">
        <w:rPr>
          <w:lang w:val="en-GB"/>
        </w:rPr>
        <w:t xml:space="preserve"> or interpret</w:t>
      </w:r>
      <w:r>
        <w:rPr>
          <w:lang w:val="en-GB"/>
        </w:rPr>
        <w:t>,</w:t>
      </w:r>
      <w:r w:rsidRPr="001B668D">
        <w:rPr>
          <w:lang w:val="en-GB"/>
        </w:rPr>
        <w:t xml:space="preserve"> information in a way that supports one’s preconceived beliefs. </w:t>
      </w:r>
      <w:r>
        <w:rPr>
          <w:lang w:val="en-GB"/>
        </w:rPr>
        <w:t>Individual who have confirmation bias</w:t>
      </w:r>
      <w:r w:rsidRPr="001B668D">
        <w:rPr>
          <w:lang w:val="en-GB"/>
        </w:rPr>
        <w:t xml:space="preserve"> would interpret ambiguous information as supporting </w:t>
      </w:r>
      <w:r>
        <w:rPr>
          <w:lang w:val="en-GB"/>
        </w:rPr>
        <w:t xml:space="preserve">their </w:t>
      </w:r>
      <w:r w:rsidRPr="001B668D">
        <w:rPr>
          <w:lang w:val="en-GB"/>
        </w:rPr>
        <w:t>prior views (i.e., hear</w:t>
      </w:r>
      <w:r>
        <w:rPr>
          <w:lang w:val="en-GB"/>
        </w:rPr>
        <w:t>ing only</w:t>
      </w:r>
      <w:r w:rsidRPr="001B668D">
        <w:rPr>
          <w:lang w:val="en-GB"/>
        </w:rPr>
        <w:t xml:space="preserve"> what they want to hear). In practice, people spend too much time searching for reasons to support their views and not enough time searching for reasons why their current views may be wrong. Furthermore, </w:t>
      </w:r>
      <w:r>
        <w:rPr>
          <w:lang w:val="en-GB"/>
        </w:rPr>
        <w:t>such people</w:t>
      </w:r>
      <w:r w:rsidRPr="001B668D">
        <w:rPr>
          <w:lang w:val="en-GB"/>
        </w:rPr>
        <w:t xml:space="preserve"> are resistant to changing their prior views, even when presented with compelling counter</w:t>
      </w:r>
      <w:r>
        <w:rPr>
          <w:lang w:val="en-GB"/>
        </w:rPr>
        <w:t>-</w:t>
      </w:r>
      <w:r w:rsidRPr="001B668D">
        <w:rPr>
          <w:lang w:val="en-GB"/>
        </w:rPr>
        <w:t>evidence.</w:t>
      </w:r>
      <w:r w:rsidRPr="001B668D">
        <w:rPr>
          <w:rStyle w:val="EndnoteReference"/>
          <w:lang w:val="en-GB"/>
        </w:rPr>
        <w:endnoteReference w:id="12"/>
      </w:r>
      <w:r w:rsidRPr="001B668D">
        <w:rPr>
          <w:lang w:val="en-GB"/>
        </w:rPr>
        <w:t xml:space="preserve"> This bias shows how investors may have incorrect belief formations. A potential counter to the confirmation bias is </w:t>
      </w:r>
      <w:r>
        <w:rPr>
          <w:lang w:val="en-GB"/>
        </w:rPr>
        <w:t>to</w:t>
      </w:r>
      <w:r w:rsidRPr="001B668D">
        <w:rPr>
          <w:lang w:val="en-GB"/>
        </w:rPr>
        <w:t xml:space="preserve"> play the “devil’s advocate” </w:t>
      </w:r>
      <w:r w:rsidR="00EB4B16" w:rsidRPr="001B668D">
        <w:rPr>
          <w:lang w:val="en-GB"/>
        </w:rPr>
        <w:t xml:space="preserve">before investing, </w:t>
      </w:r>
      <w:r>
        <w:rPr>
          <w:lang w:val="en-GB"/>
        </w:rPr>
        <w:t xml:space="preserve">for example, </w:t>
      </w:r>
      <w:r w:rsidRPr="001B668D">
        <w:rPr>
          <w:lang w:val="en-GB"/>
        </w:rPr>
        <w:t>by examining opposing views about a stock’s prospects.</w:t>
      </w:r>
    </w:p>
    <w:p w14:paraId="1A58C9D9" w14:textId="77777777" w:rsidR="00693B96" w:rsidRPr="001B668D" w:rsidRDefault="00693B96" w:rsidP="00447C0C">
      <w:pPr>
        <w:pStyle w:val="BodyTextMain"/>
        <w:rPr>
          <w:lang w:val="en-GB"/>
        </w:rPr>
      </w:pPr>
    </w:p>
    <w:p w14:paraId="0090C54C" w14:textId="77777777" w:rsidR="00693B96" w:rsidRPr="001B668D" w:rsidRDefault="00693B96" w:rsidP="00447C0C">
      <w:pPr>
        <w:pStyle w:val="BodyTextMain"/>
        <w:rPr>
          <w:lang w:val="en-GB"/>
        </w:rPr>
      </w:pPr>
    </w:p>
    <w:p w14:paraId="3724EE2E" w14:textId="6E1F8862" w:rsidR="00693B96" w:rsidRPr="001B668D" w:rsidRDefault="00693B96" w:rsidP="00447C0C">
      <w:pPr>
        <w:pStyle w:val="Casehead3"/>
        <w:rPr>
          <w:lang w:val="en-GB"/>
        </w:rPr>
      </w:pPr>
      <w:r w:rsidRPr="001B668D">
        <w:rPr>
          <w:lang w:val="en-GB"/>
        </w:rPr>
        <w:t>Belief Perseverance</w:t>
      </w:r>
    </w:p>
    <w:p w14:paraId="1ED22C16" w14:textId="77777777" w:rsidR="00693B96" w:rsidRPr="001B668D" w:rsidRDefault="00693B96" w:rsidP="00447C0C">
      <w:pPr>
        <w:pStyle w:val="BodyTextMain"/>
        <w:rPr>
          <w:lang w:val="en-GB"/>
        </w:rPr>
      </w:pPr>
    </w:p>
    <w:p w14:paraId="7FF20581" w14:textId="3E3455A4" w:rsidR="00693B96" w:rsidRPr="001B668D" w:rsidRDefault="00693B96" w:rsidP="00447C0C">
      <w:pPr>
        <w:pStyle w:val="BodyTextMain"/>
        <w:rPr>
          <w:lang w:val="en-GB"/>
        </w:rPr>
      </w:pPr>
      <w:r w:rsidRPr="001B668D">
        <w:rPr>
          <w:lang w:val="en-GB"/>
        </w:rPr>
        <w:t xml:space="preserve">Belief perseverance is the tendency </w:t>
      </w:r>
      <w:r>
        <w:rPr>
          <w:lang w:val="en-GB"/>
        </w:rPr>
        <w:t>of</w:t>
      </w:r>
      <w:r w:rsidRPr="001B668D">
        <w:rPr>
          <w:lang w:val="en-GB"/>
        </w:rPr>
        <w:t xml:space="preserve"> individual</w:t>
      </w:r>
      <w:r>
        <w:rPr>
          <w:lang w:val="en-GB"/>
        </w:rPr>
        <w:t>s</w:t>
      </w:r>
      <w:r w:rsidRPr="001B668D">
        <w:rPr>
          <w:lang w:val="en-GB"/>
        </w:rPr>
        <w:t xml:space="preserve"> to maintain a belief despite </w:t>
      </w:r>
      <w:r w:rsidR="00EB4B16">
        <w:rPr>
          <w:lang w:val="en-GB"/>
        </w:rPr>
        <w:t>the presence of</w:t>
      </w:r>
      <w:r w:rsidRPr="001B668D">
        <w:rPr>
          <w:lang w:val="en-GB"/>
        </w:rPr>
        <w:t xml:space="preserve"> contradicting evidence, </w:t>
      </w:r>
      <w:r>
        <w:rPr>
          <w:lang w:val="en-GB"/>
        </w:rPr>
        <w:t xml:space="preserve">which they </w:t>
      </w:r>
      <w:r w:rsidRPr="001B668D">
        <w:rPr>
          <w:lang w:val="en-GB"/>
        </w:rPr>
        <w:t xml:space="preserve">treat with excessive skepticism. </w:t>
      </w:r>
      <w:r>
        <w:rPr>
          <w:lang w:val="en-GB"/>
        </w:rPr>
        <w:t>Although</w:t>
      </w:r>
      <w:r w:rsidRPr="001B668D">
        <w:rPr>
          <w:lang w:val="en-GB"/>
        </w:rPr>
        <w:t xml:space="preserve"> confirmation bias can lead to a skewed belief by acknowledging </w:t>
      </w:r>
      <w:r>
        <w:rPr>
          <w:lang w:val="en-GB"/>
        </w:rPr>
        <w:t xml:space="preserve">only that </w:t>
      </w:r>
      <w:r w:rsidRPr="001B668D">
        <w:rPr>
          <w:lang w:val="en-GB"/>
        </w:rPr>
        <w:t xml:space="preserve">information that is consistent with </w:t>
      </w:r>
      <w:r w:rsidR="00EB4B16">
        <w:rPr>
          <w:lang w:val="en-GB"/>
        </w:rPr>
        <w:t>their</w:t>
      </w:r>
      <w:r w:rsidR="00EB4B16" w:rsidRPr="001B668D">
        <w:rPr>
          <w:lang w:val="en-GB"/>
        </w:rPr>
        <w:t xml:space="preserve"> </w:t>
      </w:r>
      <w:r w:rsidRPr="001B668D">
        <w:rPr>
          <w:lang w:val="en-GB"/>
        </w:rPr>
        <w:t xml:space="preserve">views, belief perseverance can lead to the same consequence of a skewed belief by actively rejecting </w:t>
      </w:r>
      <w:r>
        <w:rPr>
          <w:lang w:val="en-GB"/>
        </w:rPr>
        <w:t xml:space="preserve">any </w:t>
      </w:r>
      <w:r w:rsidRPr="001B668D">
        <w:rPr>
          <w:lang w:val="en-GB"/>
        </w:rPr>
        <w:t xml:space="preserve">opposing information. For example, an investor who initially believes in the </w:t>
      </w:r>
      <w:r>
        <w:rPr>
          <w:lang w:val="en-GB"/>
        </w:rPr>
        <w:t>efficient market hypothesis</w:t>
      </w:r>
      <w:r w:rsidRPr="001B668D">
        <w:rPr>
          <w:lang w:val="en-GB"/>
        </w:rPr>
        <w:t xml:space="preserve"> may continue to believe </w:t>
      </w:r>
      <w:r w:rsidR="00EB4B16">
        <w:rPr>
          <w:lang w:val="en-GB"/>
        </w:rPr>
        <w:t xml:space="preserve">in </w:t>
      </w:r>
      <w:r w:rsidRPr="001B668D">
        <w:rPr>
          <w:lang w:val="en-GB"/>
        </w:rPr>
        <w:t xml:space="preserve">it even </w:t>
      </w:r>
      <w:r>
        <w:rPr>
          <w:lang w:val="en-GB"/>
        </w:rPr>
        <w:t xml:space="preserve">when </w:t>
      </w:r>
      <w:r w:rsidRPr="001B668D">
        <w:rPr>
          <w:lang w:val="en-GB"/>
        </w:rPr>
        <w:t xml:space="preserve">substantial opposing evidence emerges. In some </w:t>
      </w:r>
      <w:r>
        <w:rPr>
          <w:lang w:val="en-GB"/>
        </w:rPr>
        <w:t>situations</w:t>
      </w:r>
      <w:r w:rsidRPr="001B668D">
        <w:rPr>
          <w:lang w:val="en-GB"/>
        </w:rPr>
        <w:t xml:space="preserve">, </w:t>
      </w:r>
      <w:r>
        <w:rPr>
          <w:lang w:val="en-GB"/>
        </w:rPr>
        <w:t>when</w:t>
      </w:r>
      <w:r w:rsidRPr="001B668D">
        <w:rPr>
          <w:lang w:val="en-GB"/>
        </w:rPr>
        <w:t xml:space="preserve"> belief perseverance is powerful enough, it can lead to a strong form of confirmation bias, where</w:t>
      </w:r>
      <w:r>
        <w:rPr>
          <w:lang w:val="en-GB"/>
        </w:rPr>
        <w:t>in</w:t>
      </w:r>
      <w:r w:rsidRPr="001B668D">
        <w:rPr>
          <w:lang w:val="en-GB"/>
        </w:rPr>
        <w:t xml:space="preserve"> people misinterpret counter</w:t>
      </w:r>
      <w:r>
        <w:rPr>
          <w:lang w:val="en-GB"/>
        </w:rPr>
        <w:t>-</w:t>
      </w:r>
      <w:r w:rsidRPr="001B668D">
        <w:rPr>
          <w:lang w:val="en-GB"/>
        </w:rPr>
        <w:t>evidence as favourable evidence.</w:t>
      </w:r>
      <w:r>
        <w:rPr>
          <w:rStyle w:val="EndnoteReference"/>
          <w:lang w:val="en-GB"/>
        </w:rPr>
        <w:endnoteReference w:id="13"/>
      </w:r>
      <w:r w:rsidRPr="001B668D">
        <w:rPr>
          <w:lang w:val="en-GB"/>
        </w:rPr>
        <w:t xml:space="preserve"> </w:t>
      </w:r>
    </w:p>
    <w:p w14:paraId="4EC8A212" w14:textId="77777777" w:rsidR="00693B96" w:rsidRPr="001B668D" w:rsidRDefault="00693B96" w:rsidP="00447C0C">
      <w:pPr>
        <w:pStyle w:val="BodyTextMain"/>
        <w:rPr>
          <w:lang w:val="en-GB"/>
        </w:rPr>
      </w:pPr>
    </w:p>
    <w:p w14:paraId="01FE70DF" w14:textId="77777777" w:rsidR="00693B96" w:rsidRPr="001B668D" w:rsidRDefault="00693B96" w:rsidP="00447C0C">
      <w:pPr>
        <w:pStyle w:val="BodyTextMain"/>
        <w:rPr>
          <w:lang w:val="en-GB"/>
        </w:rPr>
      </w:pPr>
    </w:p>
    <w:p w14:paraId="4A769BD9" w14:textId="7EC8CC4B" w:rsidR="00693B96" w:rsidRPr="001B668D" w:rsidRDefault="00693B96" w:rsidP="00447C0C">
      <w:pPr>
        <w:pStyle w:val="Casehead2"/>
        <w:rPr>
          <w:lang w:val="en-GB"/>
        </w:rPr>
      </w:pPr>
      <w:r w:rsidRPr="001B668D">
        <w:rPr>
          <w:lang w:val="en-GB"/>
        </w:rPr>
        <w:t>Heuristics</w:t>
      </w:r>
    </w:p>
    <w:p w14:paraId="4345B8FC" w14:textId="77777777" w:rsidR="00693B96" w:rsidRPr="001B668D" w:rsidRDefault="00693B96" w:rsidP="00447C0C">
      <w:pPr>
        <w:pStyle w:val="BodyTextMain"/>
        <w:rPr>
          <w:lang w:val="en-GB"/>
        </w:rPr>
      </w:pPr>
    </w:p>
    <w:p w14:paraId="61C28499" w14:textId="14D9DCC2" w:rsidR="00693B96" w:rsidRPr="001B668D" w:rsidRDefault="00693B96" w:rsidP="00447C0C">
      <w:pPr>
        <w:pStyle w:val="BodyTextMain"/>
        <w:rPr>
          <w:lang w:val="en-GB"/>
        </w:rPr>
      </w:pPr>
      <w:r w:rsidRPr="001B668D">
        <w:rPr>
          <w:lang w:val="en-GB"/>
        </w:rPr>
        <w:t xml:space="preserve">Heuristics are readily accessible mental processes that facilitate </w:t>
      </w:r>
      <w:r>
        <w:rPr>
          <w:lang w:val="en-GB"/>
        </w:rPr>
        <w:t xml:space="preserve">the </w:t>
      </w:r>
      <w:r w:rsidRPr="001B668D">
        <w:rPr>
          <w:lang w:val="en-GB"/>
        </w:rPr>
        <w:t xml:space="preserve">rapid retrieval of information or </w:t>
      </w:r>
      <w:r w:rsidR="00EB4B16">
        <w:rPr>
          <w:lang w:val="en-GB"/>
        </w:rPr>
        <w:t xml:space="preserve">rapid </w:t>
      </w:r>
      <w:r w:rsidRPr="001B668D">
        <w:rPr>
          <w:lang w:val="en-GB"/>
        </w:rPr>
        <w:t>problem</w:t>
      </w:r>
      <w:r w:rsidR="00EB4B16">
        <w:rPr>
          <w:lang w:val="en-GB"/>
        </w:rPr>
        <w:t xml:space="preserve"> </w:t>
      </w:r>
      <w:r w:rsidRPr="001B668D">
        <w:rPr>
          <w:lang w:val="en-GB"/>
        </w:rPr>
        <w:t>solving (i.e., mental “shortcuts</w:t>
      </w:r>
      <w:r w:rsidR="00EB4B16" w:rsidRPr="001B668D">
        <w:rPr>
          <w:lang w:val="en-GB"/>
        </w:rPr>
        <w:t>”)</w:t>
      </w:r>
      <w:r w:rsidR="00BF2071">
        <w:rPr>
          <w:lang w:val="en-GB"/>
        </w:rPr>
        <w:t xml:space="preserve"> and </w:t>
      </w:r>
      <w:r w:rsidR="00EB4B16">
        <w:rPr>
          <w:lang w:val="en-GB"/>
        </w:rPr>
        <w:t>are</w:t>
      </w:r>
      <w:r w:rsidR="00EB4B16" w:rsidRPr="001B668D">
        <w:rPr>
          <w:lang w:val="en-GB"/>
        </w:rPr>
        <w:t xml:space="preserve"> </w:t>
      </w:r>
      <w:r w:rsidRPr="001B668D">
        <w:rPr>
          <w:lang w:val="en-GB"/>
        </w:rPr>
        <w:t>usually derived from experiences of similar situations or cognitive defaults. Consequently, heuristics are sufficient for immediate goals but do not guarantee optimal or perfect results. As such, they are a flawed, and these rapid decision-making processes can lead to irrational behaviour. Several heuristics that affect investor decisions are representativeness, sample size neglect, anchoring, availability, and affect.</w:t>
      </w:r>
    </w:p>
    <w:p w14:paraId="139E5A6A" w14:textId="77777777" w:rsidR="00693B96" w:rsidRPr="001B668D" w:rsidRDefault="00693B96" w:rsidP="00447C0C">
      <w:pPr>
        <w:pStyle w:val="BodyTextMain"/>
        <w:rPr>
          <w:color w:val="252525"/>
          <w:shd w:val="clear" w:color="auto" w:fill="FFFFFF"/>
          <w:lang w:val="en-GB"/>
        </w:rPr>
      </w:pPr>
    </w:p>
    <w:p w14:paraId="5B54EF97" w14:textId="77777777" w:rsidR="00693B96" w:rsidRPr="001B668D" w:rsidRDefault="00693B96" w:rsidP="00447C0C">
      <w:pPr>
        <w:pStyle w:val="BodyTextMain"/>
        <w:rPr>
          <w:color w:val="252525"/>
          <w:shd w:val="clear" w:color="auto" w:fill="FFFFFF"/>
          <w:lang w:val="en-GB"/>
        </w:rPr>
      </w:pPr>
    </w:p>
    <w:p w14:paraId="3CFF4E94" w14:textId="77777777" w:rsidR="00693B96" w:rsidRPr="001B668D" w:rsidRDefault="00693B96" w:rsidP="00447C0C">
      <w:pPr>
        <w:pStyle w:val="Casehead3"/>
        <w:rPr>
          <w:lang w:val="en-GB"/>
        </w:rPr>
      </w:pPr>
      <w:r w:rsidRPr="001B668D">
        <w:rPr>
          <w:lang w:val="en-GB"/>
        </w:rPr>
        <w:t>Representativeness</w:t>
      </w:r>
    </w:p>
    <w:p w14:paraId="297654D7" w14:textId="77777777" w:rsidR="00693B96" w:rsidRPr="001B668D" w:rsidRDefault="00693B96" w:rsidP="00447C0C">
      <w:pPr>
        <w:pStyle w:val="BodyTextMain"/>
        <w:rPr>
          <w:lang w:val="en-GB"/>
        </w:rPr>
      </w:pPr>
    </w:p>
    <w:p w14:paraId="29B8B6BE" w14:textId="77777777" w:rsidR="00EB4B16" w:rsidRDefault="00693B96" w:rsidP="00447C0C">
      <w:pPr>
        <w:pStyle w:val="BodyTextMain"/>
        <w:rPr>
          <w:lang w:val="en-GB"/>
        </w:rPr>
      </w:pPr>
      <w:r w:rsidRPr="001B668D">
        <w:rPr>
          <w:lang w:val="en-GB"/>
        </w:rPr>
        <w:t>The representativeness heuristic is best illustrated through an example. Consider the following:</w:t>
      </w:r>
    </w:p>
    <w:p w14:paraId="0576E353" w14:textId="77777777" w:rsidR="00EB4B16" w:rsidRDefault="00EB4B16" w:rsidP="00447C0C">
      <w:pPr>
        <w:pStyle w:val="BodyTextMain"/>
        <w:rPr>
          <w:lang w:val="en-GB"/>
        </w:rPr>
      </w:pPr>
    </w:p>
    <w:p w14:paraId="077E7FE8" w14:textId="4FEF96C9" w:rsidR="00693B96" w:rsidRPr="001B668D" w:rsidRDefault="00693B96" w:rsidP="00EB4B16">
      <w:pPr>
        <w:pStyle w:val="BodyTextMain"/>
        <w:ind w:left="720"/>
        <w:rPr>
          <w:lang w:val="en-GB"/>
        </w:rPr>
      </w:pPr>
      <w:r w:rsidRPr="001B668D">
        <w:rPr>
          <w:lang w:val="en-GB"/>
        </w:rPr>
        <w:t>“Mary is quiet, studious, and concerned with social issues. While an undergraduate at Berkeley, she majored in English literature and environmental studies.” Given this information, indicate which of the following two cases is most probable:</w:t>
      </w:r>
    </w:p>
    <w:p w14:paraId="1AFDA912" w14:textId="628EA5BC" w:rsidR="00693B96" w:rsidRPr="001B668D" w:rsidRDefault="00693B96" w:rsidP="00EB4B16">
      <w:pPr>
        <w:pStyle w:val="BodyTextMain"/>
        <w:ind w:left="720"/>
        <w:rPr>
          <w:lang w:val="en-GB"/>
        </w:rPr>
      </w:pPr>
      <w:r w:rsidRPr="001B668D">
        <w:rPr>
          <w:lang w:val="en-GB"/>
        </w:rPr>
        <w:t>A. Mary is a librarian</w:t>
      </w:r>
      <w:r w:rsidR="004D56C7">
        <w:rPr>
          <w:lang w:val="en-GB"/>
        </w:rPr>
        <w:t>.</w:t>
      </w:r>
    </w:p>
    <w:p w14:paraId="104BDD73" w14:textId="1578F710" w:rsidR="00693B96" w:rsidRPr="001B668D" w:rsidRDefault="00693B96" w:rsidP="00EB4B16">
      <w:pPr>
        <w:pStyle w:val="BodyTextMain"/>
        <w:ind w:left="720"/>
        <w:rPr>
          <w:lang w:val="en-GB"/>
        </w:rPr>
      </w:pPr>
      <w:r w:rsidRPr="001B668D">
        <w:rPr>
          <w:lang w:val="en-GB"/>
        </w:rPr>
        <w:t>B. Mary is a librarian and an environmental organization member</w:t>
      </w:r>
      <w:r w:rsidR="004D56C7">
        <w:rPr>
          <w:lang w:val="en-GB"/>
        </w:rPr>
        <w:t>.</w:t>
      </w:r>
    </w:p>
    <w:p w14:paraId="0DE46490" w14:textId="65BC82F3" w:rsidR="00693B96" w:rsidRPr="001B668D" w:rsidRDefault="00693B96" w:rsidP="00447C0C">
      <w:pPr>
        <w:pStyle w:val="BodyTextMain"/>
        <w:rPr>
          <w:i/>
          <w:lang w:val="en-GB"/>
        </w:rPr>
      </w:pPr>
      <w:r w:rsidRPr="001B668D">
        <w:rPr>
          <w:lang w:val="en-GB"/>
        </w:rPr>
        <w:lastRenderedPageBreak/>
        <w:t>In this study conducted by Kahneman and Tversky,</w:t>
      </w:r>
      <w:r>
        <w:rPr>
          <w:rStyle w:val="EndnoteReference"/>
          <w:lang w:val="en-GB"/>
        </w:rPr>
        <w:endnoteReference w:id="14"/>
      </w:r>
      <w:r w:rsidRPr="001B668D">
        <w:rPr>
          <w:lang w:val="en-GB"/>
        </w:rPr>
        <w:t xml:space="preserve"> subjects assigned greater probability to B, which is statistically </w:t>
      </w:r>
      <w:r>
        <w:rPr>
          <w:lang w:val="en-GB"/>
        </w:rPr>
        <w:t xml:space="preserve">nearly </w:t>
      </w:r>
      <w:r w:rsidRPr="001B668D">
        <w:rPr>
          <w:lang w:val="en-GB"/>
        </w:rPr>
        <w:t xml:space="preserve">impossible since only a subset of librarians can also be environmental organization members. People put too much emphasis on the high probability that someone who matches the description B is Mary, thereby neglecting </w:t>
      </w:r>
      <w:r w:rsidR="00EB4B16">
        <w:rPr>
          <w:lang w:val="en-GB"/>
        </w:rPr>
        <w:t xml:space="preserve">the fact </w:t>
      </w:r>
      <w:r w:rsidRPr="001B668D">
        <w:rPr>
          <w:lang w:val="en-GB"/>
        </w:rPr>
        <w:t>that A is the more general case.</w:t>
      </w:r>
      <w:r w:rsidRPr="00F419AE">
        <w:rPr>
          <w:rStyle w:val="EndnoteReference"/>
          <w:lang w:val="en-GB"/>
        </w:rPr>
        <w:endnoteReference w:id="15"/>
      </w:r>
      <w:r w:rsidRPr="001B668D">
        <w:rPr>
          <w:lang w:val="en-GB"/>
        </w:rPr>
        <w:t xml:space="preserve"> Subsequently, this </w:t>
      </w:r>
      <w:r>
        <w:rPr>
          <w:lang w:val="en-GB"/>
        </w:rPr>
        <w:t xml:space="preserve">situation </w:t>
      </w:r>
      <w:r w:rsidRPr="001B668D">
        <w:rPr>
          <w:lang w:val="en-GB"/>
        </w:rPr>
        <w:t>illustrates how investors should not confuse what may appear to be a “good company” with a “good investment</w:t>
      </w:r>
      <w:r>
        <w:rPr>
          <w:lang w:val="en-GB"/>
        </w:rPr>
        <w:t>.</w:t>
      </w:r>
      <w:r w:rsidRPr="001B668D">
        <w:rPr>
          <w:lang w:val="en-GB"/>
        </w:rPr>
        <w:t xml:space="preserve">” Strictly speaking, investors should consider company products and services separately from the firm’s financial fundamentals and current stock valuation. </w:t>
      </w:r>
    </w:p>
    <w:p w14:paraId="37CCC9A6" w14:textId="77777777" w:rsidR="00693B96" w:rsidRPr="001B668D" w:rsidRDefault="00693B96" w:rsidP="00447C0C">
      <w:pPr>
        <w:pStyle w:val="BodyTextMain"/>
        <w:rPr>
          <w:lang w:val="en-GB"/>
        </w:rPr>
      </w:pPr>
    </w:p>
    <w:p w14:paraId="4660BD45" w14:textId="77777777" w:rsidR="00693B96" w:rsidRPr="001B668D" w:rsidRDefault="00693B96" w:rsidP="00447C0C">
      <w:pPr>
        <w:pStyle w:val="BodyTextMain"/>
        <w:rPr>
          <w:lang w:val="en-GB"/>
        </w:rPr>
      </w:pPr>
    </w:p>
    <w:p w14:paraId="0DF29DBD" w14:textId="77777777" w:rsidR="00693B96" w:rsidRPr="001B668D" w:rsidRDefault="00693B96" w:rsidP="00447C0C">
      <w:pPr>
        <w:pStyle w:val="Casehead3"/>
        <w:rPr>
          <w:lang w:val="en-GB"/>
        </w:rPr>
      </w:pPr>
      <w:r w:rsidRPr="001B668D">
        <w:rPr>
          <w:lang w:val="en-GB"/>
        </w:rPr>
        <w:t xml:space="preserve">Sample Size Neglect </w:t>
      </w:r>
    </w:p>
    <w:p w14:paraId="2F9A22B2" w14:textId="77777777" w:rsidR="00693B96" w:rsidRPr="001B668D" w:rsidRDefault="00693B96" w:rsidP="00447C0C">
      <w:pPr>
        <w:pStyle w:val="BodyTextMain"/>
        <w:rPr>
          <w:lang w:val="en-GB"/>
        </w:rPr>
      </w:pPr>
    </w:p>
    <w:p w14:paraId="4731C1A2" w14:textId="20CEFDE8" w:rsidR="00693B96" w:rsidRPr="001B668D" w:rsidRDefault="00693B96" w:rsidP="00447C0C">
      <w:pPr>
        <w:pStyle w:val="BodyTextMain"/>
        <w:rPr>
          <w:lang w:val="en-GB"/>
        </w:rPr>
      </w:pPr>
      <w:r w:rsidRPr="001B668D">
        <w:rPr>
          <w:lang w:val="en-GB"/>
        </w:rPr>
        <w:t xml:space="preserve">Sample size neglect is the tendency of representativeness to cause individuals to neglect </w:t>
      </w:r>
      <w:r>
        <w:rPr>
          <w:lang w:val="en-GB"/>
        </w:rPr>
        <w:t xml:space="preserve">the </w:t>
      </w:r>
      <w:r w:rsidRPr="001B668D">
        <w:rPr>
          <w:lang w:val="en-GB"/>
        </w:rPr>
        <w:t>small</w:t>
      </w:r>
      <w:r>
        <w:rPr>
          <w:lang w:val="en-GB"/>
        </w:rPr>
        <w:t>ness of</w:t>
      </w:r>
      <w:r w:rsidRPr="001B668D">
        <w:rPr>
          <w:lang w:val="en-GB"/>
        </w:rPr>
        <w:t xml:space="preserve"> sample sizes and generalize their claims. This neglect can lead to overreaction. </w:t>
      </w:r>
      <w:r>
        <w:rPr>
          <w:lang w:val="en-GB"/>
        </w:rPr>
        <w:t>For example, g</w:t>
      </w:r>
      <w:r w:rsidRPr="001B668D">
        <w:rPr>
          <w:lang w:val="en-GB"/>
        </w:rPr>
        <w:t>iven two sets of coin toss results, 3 heads/3 tails and 500 heads/500 tails, representativeness implies that people believe both sets are equally informative about the fairness of the coin. However, statistically</w:t>
      </w:r>
      <w:r>
        <w:rPr>
          <w:lang w:val="en-GB"/>
        </w:rPr>
        <w:t>,</w:t>
      </w:r>
      <w:r w:rsidRPr="001B668D">
        <w:rPr>
          <w:lang w:val="en-GB"/>
        </w:rPr>
        <w:t xml:space="preserve"> the larger set is much more informative.</w:t>
      </w:r>
    </w:p>
    <w:p w14:paraId="5ADE3BD1" w14:textId="77777777" w:rsidR="00693B96" w:rsidRPr="001B668D" w:rsidRDefault="00693B96" w:rsidP="00447C0C">
      <w:pPr>
        <w:pStyle w:val="BodyTextMain"/>
        <w:rPr>
          <w:lang w:val="en-GB"/>
        </w:rPr>
      </w:pPr>
    </w:p>
    <w:p w14:paraId="1AA9A435" w14:textId="626F33FB" w:rsidR="00693B96" w:rsidRPr="001B668D" w:rsidRDefault="00693B96" w:rsidP="00447C0C">
      <w:pPr>
        <w:pStyle w:val="BodyTextMain"/>
        <w:rPr>
          <w:lang w:val="en-GB"/>
        </w:rPr>
      </w:pPr>
      <w:r w:rsidRPr="001B668D">
        <w:rPr>
          <w:lang w:val="en-GB"/>
        </w:rPr>
        <w:t xml:space="preserve">If people do not initially know the data collection process, they will tend to prematurely arrive at conclusions based on too few data points. For example, a person may believe a financial analyst that picks four good stocks is talented because four successes are not representative of a bad or mediocre analyst. Put another way, this </w:t>
      </w:r>
      <w:r>
        <w:rPr>
          <w:lang w:val="en-GB"/>
        </w:rPr>
        <w:t xml:space="preserve">belief </w:t>
      </w:r>
      <w:r w:rsidRPr="001B668D">
        <w:rPr>
          <w:lang w:val="en-GB"/>
        </w:rPr>
        <w:t xml:space="preserve">is </w:t>
      </w:r>
      <w:r>
        <w:rPr>
          <w:lang w:val="en-GB"/>
        </w:rPr>
        <w:t xml:space="preserve">based on </w:t>
      </w:r>
      <w:r w:rsidRPr="001B668D">
        <w:rPr>
          <w:lang w:val="en-GB"/>
        </w:rPr>
        <w:t xml:space="preserve">the </w:t>
      </w:r>
      <w:r>
        <w:rPr>
          <w:lang w:val="en-GB"/>
        </w:rPr>
        <w:t>idea</w:t>
      </w:r>
      <w:r w:rsidRPr="001B668D">
        <w:rPr>
          <w:lang w:val="en-GB"/>
        </w:rPr>
        <w:t xml:space="preserve"> that even small samples will reflect the properties of the parent population (i.e., the “law of small numbers”).</w:t>
      </w:r>
      <w:r>
        <w:rPr>
          <w:rStyle w:val="EndnoteReference"/>
          <w:lang w:val="en-GB"/>
        </w:rPr>
        <w:endnoteReference w:id="16"/>
      </w:r>
      <w:r w:rsidRPr="001B668D">
        <w:rPr>
          <w:lang w:val="en-GB"/>
        </w:rPr>
        <w:t xml:space="preserve"> This belief generates the “hot hand fallacy” effect in basketball, where</w:t>
      </w:r>
      <w:r>
        <w:rPr>
          <w:lang w:val="en-GB"/>
        </w:rPr>
        <w:t>by</w:t>
      </w:r>
      <w:r w:rsidRPr="001B668D">
        <w:rPr>
          <w:lang w:val="en-GB"/>
        </w:rPr>
        <w:t xml:space="preserve"> people assume </w:t>
      </w:r>
      <w:r>
        <w:rPr>
          <w:lang w:val="en-GB"/>
        </w:rPr>
        <w:t xml:space="preserve">that </w:t>
      </w:r>
      <w:r w:rsidRPr="001B668D">
        <w:rPr>
          <w:lang w:val="en-GB"/>
        </w:rPr>
        <w:t xml:space="preserve">a player who has made a few baskets in a row is more likely to make another one. However, evidence is mixed as to whether </w:t>
      </w:r>
      <w:r>
        <w:rPr>
          <w:lang w:val="en-GB"/>
        </w:rPr>
        <w:t>such a belief</w:t>
      </w:r>
      <w:r w:rsidRPr="001B668D">
        <w:rPr>
          <w:lang w:val="en-GB"/>
        </w:rPr>
        <w:t xml:space="preserve"> is indeed a fallacy.</w:t>
      </w:r>
      <w:r>
        <w:rPr>
          <w:rStyle w:val="EndnoteReference"/>
          <w:lang w:val="en-GB"/>
        </w:rPr>
        <w:endnoteReference w:id="17"/>
      </w:r>
      <w:r w:rsidRPr="001B668D">
        <w:rPr>
          <w:lang w:val="en-GB"/>
        </w:rPr>
        <w:t xml:space="preserve"> </w:t>
      </w:r>
    </w:p>
    <w:p w14:paraId="790D5294" w14:textId="77777777" w:rsidR="00693B96" w:rsidRPr="001B668D" w:rsidRDefault="00693B96" w:rsidP="00447C0C">
      <w:pPr>
        <w:pStyle w:val="BodyTextMain"/>
        <w:rPr>
          <w:lang w:val="en-GB"/>
        </w:rPr>
      </w:pPr>
    </w:p>
    <w:p w14:paraId="0F25E2FE" w14:textId="0BF88C6E" w:rsidR="00693B96" w:rsidRPr="001B668D" w:rsidRDefault="00693B96" w:rsidP="00447C0C">
      <w:pPr>
        <w:pStyle w:val="BodyTextMain"/>
        <w:rPr>
          <w:lang w:val="en-GB"/>
        </w:rPr>
      </w:pPr>
      <w:r w:rsidRPr="001B668D">
        <w:rPr>
          <w:lang w:val="en-GB"/>
        </w:rPr>
        <w:t>If people know the data collection process in advance, the law of small numbers leads to the “gambler’s fallacy</w:t>
      </w:r>
      <w:r>
        <w:rPr>
          <w:lang w:val="en-GB"/>
        </w:rPr>
        <w:t>.</w:t>
      </w:r>
      <w:r w:rsidRPr="001B668D">
        <w:rPr>
          <w:lang w:val="en-GB"/>
        </w:rPr>
        <w:t xml:space="preserve">” </w:t>
      </w:r>
      <w:r>
        <w:rPr>
          <w:lang w:val="en-GB"/>
        </w:rPr>
        <w:t>That is, i</w:t>
      </w:r>
      <w:r w:rsidRPr="001B668D">
        <w:rPr>
          <w:lang w:val="en-GB"/>
        </w:rPr>
        <w:t xml:space="preserve">f a fair coin generates five heads in a row, some people will think, “tails are due” (i.e., </w:t>
      </w:r>
      <w:r w:rsidR="00F06DD8">
        <w:rPr>
          <w:lang w:val="en-GB"/>
        </w:rPr>
        <w:t xml:space="preserve">perceive </w:t>
      </w:r>
      <w:r>
        <w:rPr>
          <w:lang w:val="en-GB"/>
        </w:rPr>
        <w:t xml:space="preserve">a </w:t>
      </w:r>
      <w:r w:rsidRPr="001B668D">
        <w:rPr>
          <w:lang w:val="en-GB"/>
        </w:rPr>
        <w:t xml:space="preserve">need </w:t>
      </w:r>
      <w:r>
        <w:rPr>
          <w:lang w:val="en-GB"/>
        </w:rPr>
        <w:t xml:space="preserve">for </w:t>
      </w:r>
      <w:r w:rsidRPr="001B668D">
        <w:rPr>
          <w:lang w:val="en-GB"/>
        </w:rPr>
        <w:t>more tails to balance out the heads), believing that even a short sample should be representative of the fair coin.</w:t>
      </w:r>
      <w:r w:rsidRPr="00F419AE">
        <w:rPr>
          <w:rStyle w:val="EndnoteReference"/>
          <w:lang w:val="en-GB"/>
        </w:rPr>
        <w:endnoteReference w:id="18"/>
      </w:r>
    </w:p>
    <w:p w14:paraId="3B81DB0D" w14:textId="77777777" w:rsidR="00693B96" w:rsidRPr="001B668D" w:rsidRDefault="00693B96" w:rsidP="00447C0C">
      <w:pPr>
        <w:pStyle w:val="BodyTextMain"/>
        <w:rPr>
          <w:lang w:val="en-GB"/>
        </w:rPr>
      </w:pPr>
    </w:p>
    <w:p w14:paraId="7FBD6513" w14:textId="59301DDE" w:rsidR="00693B96" w:rsidRPr="001B668D" w:rsidRDefault="00693B96" w:rsidP="00447C0C">
      <w:pPr>
        <w:pStyle w:val="BodyTextMain"/>
        <w:rPr>
          <w:lang w:val="en-GB"/>
        </w:rPr>
      </w:pPr>
      <w:r w:rsidRPr="001B668D">
        <w:rPr>
          <w:lang w:val="en-GB"/>
        </w:rPr>
        <w:t xml:space="preserve">Sample size neglect has important investment implications. For example, it demonstrates that investors should be wary of assuming </w:t>
      </w:r>
      <w:r w:rsidR="00F06DD8" w:rsidRPr="001B668D">
        <w:rPr>
          <w:lang w:val="en-GB"/>
        </w:rPr>
        <w:t xml:space="preserve">that </w:t>
      </w:r>
      <w:r w:rsidRPr="001B668D">
        <w:rPr>
          <w:lang w:val="en-GB"/>
        </w:rPr>
        <w:t xml:space="preserve">mutual fund managers </w:t>
      </w:r>
      <w:r w:rsidR="00F06DD8">
        <w:rPr>
          <w:lang w:val="en-GB"/>
        </w:rPr>
        <w:t>in the</w:t>
      </w:r>
      <w:r w:rsidR="00F06DD8" w:rsidRPr="001B668D">
        <w:rPr>
          <w:lang w:val="en-GB"/>
        </w:rPr>
        <w:t xml:space="preserve"> </w:t>
      </w:r>
      <w:r w:rsidRPr="001B668D">
        <w:rPr>
          <w:lang w:val="en-GB"/>
        </w:rPr>
        <w:t xml:space="preserve">top quartile </w:t>
      </w:r>
      <w:r>
        <w:rPr>
          <w:lang w:val="en-GB"/>
        </w:rPr>
        <w:t>in the p</w:t>
      </w:r>
      <w:r w:rsidRPr="001B668D">
        <w:rPr>
          <w:lang w:val="en-GB"/>
        </w:rPr>
        <w:t xml:space="preserve">ast year have “hot hands” and thus will be in the top quartile </w:t>
      </w:r>
      <w:r>
        <w:rPr>
          <w:lang w:val="en-GB"/>
        </w:rPr>
        <w:t>in the current</w:t>
      </w:r>
      <w:r w:rsidRPr="001B668D">
        <w:rPr>
          <w:lang w:val="en-GB"/>
        </w:rPr>
        <w:t xml:space="preserve"> year</w:t>
      </w:r>
      <w:r>
        <w:rPr>
          <w:lang w:val="en-GB"/>
        </w:rPr>
        <w:t>;</w:t>
      </w:r>
      <w:r w:rsidRPr="001B668D">
        <w:rPr>
          <w:lang w:val="en-GB"/>
        </w:rPr>
        <w:t xml:space="preserve"> investors should </w:t>
      </w:r>
      <w:r>
        <w:rPr>
          <w:lang w:val="en-GB"/>
        </w:rPr>
        <w:t xml:space="preserve">thus </w:t>
      </w:r>
      <w:r w:rsidRPr="001B668D">
        <w:rPr>
          <w:lang w:val="en-GB"/>
        </w:rPr>
        <w:t>refrain from making decisions based on insufficient data.</w:t>
      </w:r>
    </w:p>
    <w:p w14:paraId="1FDB8490" w14:textId="77777777" w:rsidR="00693B96" w:rsidRPr="001B668D" w:rsidRDefault="00693B96" w:rsidP="00447C0C">
      <w:pPr>
        <w:pStyle w:val="BodyTextMain"/>
        <w:rPr>
          <w:lang w:val="en-GB"/>
        </w:rPr>
      </w:pPr>
    </w:p>
    <w:p w14:paraId="20E72C5C" w14:textId="77777777" w:rsidR="00693B96" w:rsidRPr="001B668D" w:rsidRDefault="00693B96" w:rsidP="00447C0C">
      <w:pPr>
        <w:pStyle w:val="BodyTextMain"/>
        <w:rPr>
          <w:sz w:val="24"/>
          <w:szCs w:val="24"/>
          <w:lang w:val="en-GB"/>
        </w:rPr>
      </w:pPr>
    </w:p>
    <w:p w14:paraId="5F9D9A77" w14:textId="77777777" w:rsidR="00693B96" w:rsidRPr="001B668D" w:rsidRDefault="00693B96" w:rsidP="00447C0C">
      <w:pPr>
        <w:pStyle w:val="Casehead3"/>
        <w:rPr>
          <w:lang w:val="en-GB"/>
        </w:rPr>
      </w:pPr>
      <w:r w:rsidRPr="001B668D">
        <w:rPr>
          <w:lang w:val="en-GB"/>
        </w:rPr>
        <w:t>Anchoring</w:t>
      </w:r>
    </w:p>
    <w:p w14:paraId="3C3BA74A" w14:textId="77777777" w:rsidR="00693B96" w:rsidRPr="001B668D" w:rsidRDefault="00693B96" w:rsidP="00447C0C">
      <w:pPr>
        <w:pStyle w:val="BodyTextMain"/>
        <w:rPr>
          <w:lang w:val="en-GB"/>
        </w:rPr>
      </w:pPr>
    </w:p>
    <w:p w14:paraId="703FDBC5" w14:textId="5A711631" w:rsidR="00693B96" w:rsidRPr="00324F20" w:rsidRDefault="00693B96" w:rsidP="00447C0C">
      <w:pPr>
        <w:pStyle w:val="BodyTextMain"/>
        <w:rPr>
          <w:spacing w:val="-2"/>
          <w:lang w:val="en-GB"/>
        </w:rPr>
      </w:pPr>
      <w:r w:rsidRPr="00324F20">
        <w:rPr>
          <w:spacing w:val="-2"/>
          <w:lang w:val="en-GB"/>
        </w:rPr>
        <w:t>Anchoring is the tendency to slowly adjust away from an initial and arbitrary value, underreact to new information, and therefore make an insufficient adjustment (i.e., “anchoring” too much on the initial value). In a study, Kahneman and Tversky</w:t>
      </w:r>
      <w:r w:rsidRPr="00324F20">
        <w:rPr>
          <w:rStyle w:val="EndnoteReference"/>
          <w:spacing w:val="-2"/>
          <w:lang w:val="en-GB"/>
        </w:rPr>
        <w:endnoteReference w:id="19"/>
      </w:r>
      <w:r w:rsidRPr="00324F20">
        <w:rPr>
          <w:spacing w:val="-2"/>
          <w:lang w:val="en-GB"/>
        </w:rPr>
        <w:t xml:space="preserve"> asked participants</w:t>
      </w:r>
      <w:r w:rsidR="00F06DD8" w:rsidRPr="00324F20">
        <w:rPr>
          <w:spacing w:val="-2"/>
          <w:lang w:val="en-GB"/>
        </w:rPr>
        <w:t>,</w:t>
      </w:r>
      <w:r w:rsidRPr="00324F20">
        <w:rPr>
          <w:spacing w:val="-2"/>
          <w:lang w:val="en-GB"/>
        </w:rPr>
        <w:t xml:space="preserve"> “What per</w:t>
      </w:r>
      <w:r w:rsidR="00F171CD" w:rsidRPr="00324F20">
        <w:rPr>
          <w:spacing w:val="-2"/>
          <w:lang w:val="en-GB"/>
        </w:rPr>
        <w:t xml:space="preserve"> </w:t>
      </w:r>
      <w:r w:rsidRPr="00324F20">
        <w:rPr>
          <w:spacing w:val="-2"/>
          <w:lang w:val="en-GB"/>
        </w:rPr>
        <w:t>cent of UN countries are African: higher or lower than [</w:t>
      </w:r>
      <w:r w:rsidRPr="00324F20">
        <w:rPr>
          <w:i/>
          <w:spacing w:val="-2"/>
          <w:lang w:val="en-GB"/>
        </w:rPr>
        <w:t>random number between 0 and 100</w:t>
      </w:r>
      <w:r w:rsidRPr="00324F20">
        <w:rPr>
          <w:spacing w:val="-2"/>
          <w:lang w:val="en-GB"/>
        </w:rPr>
        <w:t>] per cent?” They found that</w:t>
      </w:r>
      <w:r w:rsidR="00F06DD8" w:rsidRPr="00324F20">
        <w:rPr>
          <w:spacing w:val="-2"/>
          <w:lang w:val="en-GB"/>
        </w:rPr>
        <w:t>,</w:t>
      </w:r>
      <w:r w:rsidRPr="00324F20">
        <w:rPr>
          <w:spacing w:val="-2"/>
          <w:lang w:val="en-GB"/>
        </w:rPr>
        <w:t xml:space="preserve"> </w:t>
      </w:r>
      <w:r w:rsidR="00F06DD8" w:rsidRPr="00324F20">
        <w:rPr>
          <w:spacing w:val="-2"/>
          <w:lang w:val="en-GB"/>
        </w:rPr>
        <w:t xml:space="preserve">when the arbitrary comparison value was </w:t>
      </w:r>
      <w:r w:rsidRPr="00324F20">
        <w:rPr>
          <w:spacing w:val="-2"/>
          <w:lang w:val="en-GB"/>
        </w:rPr>
        <w:t xml:space="preserve">“10 per cent,” participants subsequently guessed “25 per cent” on average, and when </w:t>
      </w:r>
      <w:r w:rsidR="00F06DD8" w:rsidRPr="00324F20">
        <w:rPr>
          <w:spacing w:val="-2"/>
          <w:lang w:val="en-GB"/>
        </w:rPr>
        <w:t>the arbitrary comparison value was</w:t>
      </w:r>
      <w:r w:rsidRPr="00324F20">
        <w:rPr>
          <w:spacing w:val="-2"/>
          <w:lang w:val="en-GB"/>
        </w:rPr>
        <w:t>“60 per cent,” they subsequently guessed “45 per cent.” The implication is that</w:t>
      </w:r>
      <w:r w:rsidR="00F06DD8" w:rsidRPr="00324F20">
        <w:rPr>
          <w:spacing w:val="-2"/>
          <w:lang w:val="en-GB"/>
        </w:rPr>
        <w:t>,</w:t>
      </w:r>
      <w:r w:rsidRPr="00324F20">
        <w:rPr>
          <w:spacing w:val="-2"/>
          <w:lang w:val="en-GB"/>
        </w:rPr>
        <w:t xml:space="preserve"> when given new information, investors may update insufficiently. Therefore, investors should update their views with the full range of possibilities rather than continuing to base their views on the possibilities that were implied by previous data. In other words, investors should be prepared to update their beliefs about a stock’s prospect based on information that is not anchored in the past. </w:t>
      </w:r>
    </w:p>
    <w:p w14:paraId="5CDF19B6" w14:textId="0B44EEF5" w:rsidR="00693B96" w:rsidRPr="001B668D" w:rsidRDefault="00693B96" w:rsidP="00447C0C">
      <w:pPr>
        <w:pStyle w:val="BodyTextMain"/>
        <w:rPr>
          <w:lang w:val="en-GB"/>
        </w:rPr>
      </w:pPr>
    </w:p>
    <w:p w14:paraId="1114A2B9" w14:textId="77777777" w:rsidR="00693B96" w:rsidRPr="001B668D" w:rsidRDefault="00693B96" w:rsidP="00447C0C">
      <w:pPr>
        <w:pStyle w:val="Casehead3"/>
        <w:rPr>
          <w:lang w:val="en-GB"/>
        </w:rPr>
      </w:pPr>
      <w:r w:rsidRPr="001B668D">
        <w:rPr>
          <w:lang w:val="en-GB"/>
        </w:rPr>
        <w:lastRenderedPageBreak/>
        <w:t>Availability</w:t>
      </w:r>
    </w:p>
    <w:p w14:paraId="5FB35D16" w14:textId="77777777" w:rsidR="00693B96" w:rsidRPr="001B668D" w:rsidRDefault="00693B96" w:rsidP="00447C0C">
      <w:pPr>
        <w:pStyle w:val="BodyTextMain"/>
        <w:rPr>
          <w:lang w:val="en-GB"/>
        </w:rPr>
      </w:pPr>
    </w:p>
    <w:p w14:paraId="7F06F293" w14:textId="5AA6F9CD" w:rsidR="00693B96" w:rsidRPr="001B668D" w:rsidRDefault="00693B96" w:rsidP="00447C0C">
      <w:pPr>
        <w:pStyle w:val="BodyTextMain"/>
        <w:rPr>
          <w:lang w:val="en-GB"/>
        </w:rPr>
      </w:pPr>
      <w:r w:rsidRPr="001B668D">
        <w:rPr>
          <w:lang w:val="en-GB"/>
        </w:rPr>
        <w:t>When judging the probability of an event, people often search their memories for relevant information</w:t>
      </w:r>
      <w:r>
        <w:rPr>
          <w:lang w:val="en-GB"/>
        </w:rPr>
        <w:t>; however,</w:t>
      </w:r>
      <w:r w:rsidRPr="001B668D">
        <w:rPr>
          <w:lang w:val="en-GB"/>
        </w:rPr>
        <w:t xml:space="preserve"> </w:t>
      </w:r>
      <w:r>
        <w:rPr>
          <w:lang w:val="en-GB"/>
        </w:rPr>
        <w:t>n</w:t>
      </w:r>
      <w:r w:rsidRPr="001B668D">
        <w:rPr>
          <w:lang w:val="en-GB"/>
        </w:rPr>
        <w:t xml:space="preserve">ot all memories are equally retrievable or “available.” In simple terms, availability is synonymous with “what comes to mind.” Therefore, more recent and more salient events will weigh more heavily and may distort estimates of an event occurring. As such, people tend to overweight current information, </w:t>
      </w:r>
      <w:r>
        <w:rPr>
          <w:lang w:val="en-GB"/>
        </w:rPr>
        <w:t>thereby</w:t>
      </w:r>
      <w:r w:rsidRPr="001B668D">
        <w:rPr>
          <w:lang w:val="en-GB"/>
        </w:rPr>
        <w:t xml:space="preserve"> </w:t>
      </w:r>
      <w:r>
        <w:rPr>
          <w:lang w:val="en-GB"/>
        </w:rPr>
        <w:t>failing to</w:t>
      </w:r>
      <w:r w:rsidRPr="001B668D">
        <w:rPr>
          <w:lang w:val="en-GB"/>
        </w:rPr>
        <w:t xml:space="preserve"> consider all relevant information. For example, investors’ attention to investment categories (e.g., stocks, bonds, </w:t>
      </w:r>
      <w:r>
        <w:rPr>
          <w:lang w:val="en-GB"/>
        </w:rPr>
        <w:t xml:space="preserve">and </w:t>
      </w:r>
      <w:r w:rsidRPr="001B668D">
        <w:rPr>
          <w:lang w:val="en-GB"/>
        </w:rPr>
        <w:t>real estate) may be affected by the amount of public attention or inattention that is given to the different categories.</w:t>
      </w:r>
      <w:r w:rsidRPr="001B668D">
        <w:rPr>
          <w:rStyle w:val="EndnoteReference"/>
          <w:lang w:val="en-GB"/>
        </w:rPr>
        <w:endnoteReference w:id="20"/>
      </w:r>
      <w:r w:rsidRPr="001B668D">
        <w:rPr>
          <w:lang w:val="en-GB"/>
        </w:rPr>
        <w:t xml:space="preserve"> As well, investors tend to consider buying only </w:t>
      </w:r>
      <w:r>
        <w:rPr>
          <w:lang w:val="en-GB"/>
        </w:rPr>
        <w:t xml:space="preserve">those </w:t>
      </w:r>
      <w:r w:rsidRPr="001B668D">
        <w:rPr>
          <w:lang w:val="en-GB"/>
        </w:rPr>
        <w:t xml:space="preserve">stocks that have caught their attention (e.g., stocks that are in the news </w:t>
      </w:r>
      <w:r>
        <w:rPr>
          <w:lang w:val="en-GB"/>
        </w:rPr>
        <w:t xml:space="preserve">as a result of </w:t>
      </w:r>
      <w:r w:rsidRPr="001B668D">
        <w:rPr>
          <w:lang w:val="en-GB"/>
        </w:rPr>
        <w:t xml:space="preserve">experiencing </w:t>
      </w:r>
      <w:r>
        <w:rPr>
          <w:lang w:val="en-GB"/>
        </w:rPr>
        <w:t xml:space="preserve">either </w:t>
      </w:r>
      <w:r w:rsidRPr="001B668D">
        <w:rPr>
          <w:lang w:val="en-GB"/>
        </w:rPr>
        <w:t xml:space="preserve">abnormally high trading volume or </w:t>
      </w:r>
      <w:r>
        <w:rPr>
          <w:lang w:val="en-GB"/>
        </w:rPr>
        <w:t xml:space="preserve">an </w:t>
      </w:r>
      <w:r w:rsidRPr="001B668D">
        <w:rPr>
          <w:lang w:val="en-GB"/>
        </w:rPr>
        <w:t>extreme one</w:t>
      </w:r>
      <w:r>
        <w:rPr>
          <w:lang w:val="en-GB"/>
        </w:rPr>
        <w:t>-</w:t>
      </w:r>
      <w:r w:rsidRPr="001B668D">
        <w:rPr>
          <w:lang w:val="en-GB"/>
        </w:rPr>
        <w:t>day return).</w:t>
      </w:r>
      <w:r w:rsidRPr="001B668D">
        <w:rPr>
          <w:rStyle w:val="EndnoteReference"/>
          <w:lang w:val="en-GB"/>
        </w:rPr>
        <w:endnoteReference w:id="21"/>
      </w:r>
      <w:r w:rsidRPr="001B668D">
        <w:rPr>
          <w:lang w:val="en-GB"/>
        </w:rPr>
        <w:t xml:space="preserve"> </w:t>
      </w:r>
    </w:p>
    <w:p w14:paraId="4894EC96" w14:textId="77777777" w:rsidR="00693B96" w:rsidRPr="001B668D" w:rsidRDefault="00693B96" w:rsidP="00447C0C">
      <w:pPr>
        <w:pStyle w:val="BodyTextMain"/>
        <w:rPr>
          <w:lang w:val="en-GB"/>
        </w:rPr>
      </w:pPr>
    </w:p>
    <w:p w14:paraId="144501A6" w14:textId="77777777" w:rsidR="00693B96" w:rsidRPr="001B668D" w:rsidRDefault="00693B96" w:rsidP="00447C0C">
      <w:pPr>
        <w:pStyle w:val="BodyTextMain"/>
        <w:rPr>
          <w:lang w:val="en-GB"/>
        </w:rPr>
      </w:pPr>
    </w:p>
    <w:p w14:paraId="365CF7E6" w14:textId="77777777" w:rsidR="00693B96" w:rsidRPr="001B668D" w:rsidRDefault="00693B96" w:rsidP="00447C0C">
      <w:pPr>
        <w:pStyle w:val="Casehead3"/>
        <w:rPr>
          <w:lang w:val="en-GB"/>
        </w:rPr>
      </w:pPr>
      <w:r w:rsidRPr="001B668D">
        <w:rPr>
          <w:lang w:val="en-GB"/>
        </w:rPr>
        <w:t>Affect</w:t>
      </w:r>
    </w:p>
    <w:p w14:paraId="279F0E0B" w14:textId="77777777" w:rsidR="00693B96" w:rsidRPr="001B668D" w:rsidRDefault="00693B96" w:rsidP="00447C0C">
      <w:pPr>
        <w:pStyle w:val="BodyTextMain"/>
        <w:rPr>
          <w:lang w:val="en-GB"/>
        </w:rPr>
      </w:pPr>
    </w:p>
    <w:p w14:paraId="1BEA8D85" w14:textId="2D1F875F" w:rsidR="00693B96" w:rsidRPr="001B668D" w:rsidRDefault="00693B96" w:rsidP="00447C0C">
      <w:pPr>
        <w:pStyle w:val="BodyTextMain"/>
        <w:rPr>
          <w:lang w:val="en-GB"/>
        </w:rPr>
      </w:pPr>
      <w:r w:rsidRPr="001B668D">
        <w:rPr>
          <w:lang w:val="en-GB"/>
        </w:rPr>
        <w:t>The affect heuristic is the tendency to rely on instinct or emotional “gut feel” instead of formal analysis. Consequently, an investment that “feels right” may lead to a poor return. The implication for investors is that emotion and path dependence</w:t>
      </w:r>
      <w:r w:rsidRPr="00F419AE">
        <w:rPr>
          <w:rStyle w:val="EndnoteReference"/>
          <w:lang w:val="en-GB"/>
        </w:rPr>
        <w:endnoteReference w:id="22"/>
      </w:r>
      <w:r w:rsidRPr="001B668D">
        <w:rPr>
          <w:lang w:val="en-GB"/>
        </w:rPr>
        <w:t xml:space="preserve"> affect rational decision</w:t>
      </w:r>
      <w:r>
        <w:rPr>
          <w:lang w:val="en-GB"/>
        </w:rPr>
        <w:t>-</w:t>
      </w:r>
      <w:r w:rsidRPr="001B668D">
        <w:rPr>
          <w:lang w:val="en-GB"/>
        </w:rPr>
        <w:t xml:space="preserve">making. Therefore, </w:t>
      </w:r>
      <w:r>
        <w:rPr>
          <w:lang w:val="en-GB"/>
        </w:rPr>
        <w:t xml:space="preserve">when possible, to reduce the impact of emotion, </w:t>
      </w:r>
      <w:r w:rsidRPr="001B668D">
        <w:rPr>
          <w:lang w:val="en-GB"/>
        </w:rPr>
        <w:t>one should dedicate sufficient time to decision</w:t>
      </w:r>
      <w:r>
        <w:rPr>
          <w:lang w:val="en-GB"/>
        </w:rPr>
        <w:t>-</w:t>
      </w:r>
      <w:r w:rsidRPr="001B668D">
        <w:rPr>
          <w:lang w:val="en-GB"/>
        </w:rPr>
        <w:t>making and engage explicit or quantitative analysis</w:t>
      </w:r>
      <w:r>
        <w:rPr>
          <w:lang w:val="en-GB"/>
        </w:rPr>
        <w:t xml:space="preserve"> or both</w:t>
      </w:r>
      <w:r w:rsidRPr="001B668D">
        <w:rPr>
          <w:lang w:val="en-GB"/>
        </w:rPr>
        <w:t>.</w:t>
      </w:r>
    </w:p>
    <w:p w14:paraId="1043F2C6" w14:textId="77777777" w:rsidR="00693B96" w:rsidRPr="001B668D" w:rsidRDefault="00693B96" w:rsidP="00447C0C">
      <w:pPr>
        <w:pStyle w:val="BodyTextMain"/>
        <w:rPr>
          <w:lang w:val="en-GB"/>
        </w:rPr>
      </w:pPr>
    </w:p>
    <w:p w14:paraId="401C9246" w14:textId="68B7799D" w:rsidR="00693B96" w:rsidRPr="001B668D" w:rsidRDefault="00693B96" w:rsidP="00447C0C">
      <w:pPr>
        <w:pStyle w:val="BodyTextMain"/>
        <w:rPr>
          <w:lang w:val="en-GB"/>
        </w:rPr>
      </w:pPr>
    </w:p>
    <w:p w14:paraId="23245A74" w14:textId="2325D05D" w:rsidR="00693B96" w:rsidRPr="001B668D" w:rsidRDefault="00693B96" w:rsidP="00447C0C">
      <w:pPr>
        <w:pStyle w:val="Casehead1"/>
        <w:rPr>
          <w:lang w:val="en-GB"/>
        </w:rPr>
      </w:pPr>
      <w:r w:rsidRPr="001B668D">
        <w:rPr>
          <w:lang w:val="en-GB"/>
        </w:rPr>
        <w:t>biological explanations for irrational investment decisions</w:t>
      </w:r>
    </w:p>
    <w:p w14:paraId="44AED182" w14:textId="77777777" w:rsidR="00693B96" w:rsidRPr="001B668D" w:rsidRDefault="00693B96" w:rsidP="00447C0C">
      <w:pPr>
        <w:pStyle w:val="BodyTextMain"/>
        <w:rPr>
          <w:lang w:val="en-GB"/>
        </w:rPr>
      </w:pPr>
    </w:p>
    <w:p w14:paraId="01A83901" w14:textId="50DC96C8" w:rsidR="00693B96" w:rsidRPr="001B668D" w:rsidRDefault="00693B96" w:rsidP="00447C0C">
      <w:pPr>
        <w:pStyle w:val="BodyTextMain"/>
        <w:rPr>
          <w:lang w:val="en-GB"/>
        </w:rPr>
      </w:pPr>
      <w:r w:rsidRPr="001B668D">
        <w:rPr>
          <w:lang w:val="en-GB"/>
        </w:rPr>
        <w:t>Behavioural finance is still a relatively new field</w:t>
      </w:r>
      <w:r>
        <w:rPr>
          <w:lang w:val="en-GB"/>
        </w:rPr>
        <w:t>,</w:t>
      </w:r>
      <w:r w:rsidRPr="001B668D">
        <w:rPr>
          <w:lang w:val="en-GB"/>
        </w:rPr>
        <w:t xml:space="preserve"> and new theories and empirical studies on investor behaviour are constantly being published. A new field</w:t>
      </w:r>
      <w:r>
        <w:rPr>
          <w:lang w:val="en-GB"/>
        </w:rPr>
        <w:t>,</w:t>
      </w:r>
      <w:r w:rsidRPr="001B668D">
        <w:rPr>
          <w:lang w:val="en-GB"/>
        </w:rPr>
        <w:t xml:space="preserve"> called neurofinance</w:t>
      </w:r>
      <w:r>
        <w:rPr>
          <w:lang w:val="en-GB"/>
        </w:rPr>
        <w:t>,</w:t>
      </w:r>
      <w:r w:rsidRPr="001B668D">
        <w:rPr>
          <w:lang w:val="en-GB"/>
        </w:rPr>
        <w:t xml:space="preserve"> studies neurobiological factors that give rise to and affect investment behaviours and decisions. This interdisciplinary research combines neuroscience, behavioural endocrinology, and other biological streams to better understand </w:t>
      </w:r>
      <w:r>
        <w:rPr>
          <w:lang w:val="en-GB"/>
        </w:rPr>
        <w:t xml:space="preserve">the </w:t>
      </w:r>
      <w:r w:rsidRPr="001B668D">
        <w:rPr>
          <w:lang w:val="en-GB"/>
        </w:rPr>
        <w:t>complex processes that influence financial decision</w:t>
      </w:r>
      <w:r>
        <w:rPr>
          <w:lang w:val="en-GB"/>
        </w:rPr>
        <w:t>-</w:t>
      </w:r>
      <w:r w:rsidRPr="001B668D">
        <w:rPr>
          <w:lang w:val="en-GB"/>
        </w:rPr>
        <w:t xml:space="preserve">making. For example, gains and losses are computed in different parts of the brain, thereby providing a neurobiological explanation for the gain-loss asymmetry depicted in </w:t>
      </w:r>
      <w:r>
        <w:rPr>
          <w:lang w:val="en-GB"/>
        </w:rPr>
        <w:t>p</w:t>
      </w:r>
      <w:r w:rsidRPr="001B668D">
        <w:rPr>
          <w:lang w:val="en-GB"/>
        </w:rPr>
        <w:t xml:space="preserve">rospect </w:t>
      </w:r>
      <w:r>
        <w:rPr>
          <w:lang w:val="en-GB"/>
        </w:rPr>
        <w:t>t</w:t>
      </w:r>
      <w:r w:rsidRPr="001B668D">
        <w:rPr>
          <w:lang w:val="en-GB"/>
        </w:rPr>
        <w:t>heory.</w:t>
      </w:r>
      <w:r w:rsidRPr="001B668D">
        <w:rPr>
          <w:rStyle w:val="EndnoteReference"/>
          <w:lang w:val="en-GB"/>
        </w:rPr>
        <w:endnoteReference w:id="23"/>
      </w:r>
      <w:r w:rsidRPr="001B668D">
        <w:rPr>
          <w:lang w:val="en-GB"/>
        </w:rPr>
        <w:t xml:space="preserve"> Also, hormones</w:t>
      </w:r>
      <w:r w:rsidR="008766B2">
        <w:rPr>
          <w:lang w:val="en-GB"/>
        </w:rPr>
        <w:t xml:space="preserve"> (i.e., chemical messengers produced by the brain to </w:t>
      </w:r>
      <w:r w:rsidR="009C2925">
        <w:rPr>
          <w:lang w:val="en-GB"/>
        </w:rPr>
        <w:t>change</w:t>
      </w:r>
      <w:r w:rsidR="008766B2">
        <w:rPr>
          <w:lang w:val="en-GB"/>
        </w:rPr>
        <w:t xml:space="preserve"> behaviour) have been shown to affect cognition and </w:t>
      </w:r>
      <w:r w:rsidR="00194180">
        <w:rPr>
          <w:lang w:val="en-GB"/>
        </w:rPr>
        <w:t xml:space="preserve">financial </w:t>
      </w:r>
      <w:r w:rsidR="004F0229">
        <w:rPr>
          <w:lang w:val="en-GB"/>
        </w:rPr>
        <w:t>decision-</w:t>
      </w:r>
      <w:r w:rsidR="008766B2">
        <w:rPr>
          <w:lang w:val="en-GB"/>
        </w:rPr>
        <w:t>making. For example,</w:t>
      </w:r>
      <w:r w:rsidRPr="001B668D">
        <w:rPr>
          <w:lang w:val="en-GB"/>
        </w:rPr>
        <w:t xml:space="preserve"> </w:t>
      </w:r>
      <w:r w:rsidR="00404611">
        <w:rPr>
          <w:lang w:val="en-GB"/>
        </w:rPr>
        <w:t xml:space="preserve">the sex hormone </w:t>
      </w:r>
      <w:r w:rsidRPr="001B668D">
        <w:rPr>
          <w:lang w:val="en-GB"/>
        </w:rPr>
        <w:t xml:space="preserve">testosterone </w:t>
      </w:r>
      <w:r w:rsidR="008766B2">
        <w:rPr>
          <w:lang w:val="en-GB"/>
        </w:rPr>
        <w:t>has</w:t>
      </w:r>
      <w:r w:rsidR="008766B2" w:rsidRPr="001B668D">
        <w:rPr>
          <w:lang w:val="en-GB"/>
        </w:rPr>
        <w:t xml:space="preserve"> </w:t>
      </w:r>
      <w:r w:rsidRPr="001B668D">
        <w:rPr>
          <w:lang w:val="en-GB"/>
        </w:rPr>
        <w:t xml:space="preserve">been shown to </w:t>
      </w:r>
      <w:r w:rsidR="001254E2" w:rsidRPr="001B668D">
        <w:rPr>
          <w:lang w:val="en-GB"/>
        </w:rPr>
        <w:t>impair reflective thinking</w:t>
      </w:r>
      <w:r w:rsidR="001254E2">
        <w:rPr>
          <w:lang w:val="en-GB"/>
        </w:rPr>
        <w:t xml:space="preserve"> (which is </w:t>
      </w:r>
      <w:r w:rsidR="001254E2" w:rsidRPr="001B668D">
        <w:rPr>
          <w:lang w:val="en-GB"/>
        </w:rPr>
        <w:t>necessary in complex financial scenarios</w:t>
      </w:r>
      <w:r w:rsidR="001254E2">
        <w:rPr>
          <w:lang w:val="en-GB"/>
        </w:rPr>
        <w:t>) and</w:t>
      </w:r>
      <w:r w:rsidR="001254E2" w:rsidRPr="001B668D">
        <w:rPr>
          <w:lang w:val="en-GB"/>
        </w:rPr>
        <w:t xml:space="preserve"> </w:t>
      </w:r>
      <w:r w:rsidRPr="001B668D">
        <w:rPr>
          <w:lang w:val="en-GB"/>
        </w:rPr>
        <w:t xml:space="preserve">increase </w:t>
      </w:r>
      <w:r>
        <w:rPr>
          <w:lang w:val="en-GB"/>
        </w:rPr>
        <w:t xml:space="preserve">both </w:t>
      </w:r>
      <w:r w:rsidRPr="001B668D">
        <w:rPr>
          <w:lang w:val="en-GB"/>
        </w:rPr>
        <w:t xml:space="preserve">the size of stock market bubbles </w:t>
      </w:r>
      <w:r>
        <w:rPr>
          <w:lang w:val="en-GB"/>
        </w:rPr>
        <w:t xml:space="preserve">and the </w:t>
      </w:r>
      <w:r w:rsidRPr="001B668D">
        <w:rPr>
          <w:lang w:val="en-GB"/>
        </w:rPr>
        <w:t>willingness to invest in risky assets.</w:t>
      </w:r>
      <w:r>
        <w:rPr>
          <w:rStyle w:val="EndnoteReference"/>
          <w:lang w:val="en-GB"/>
        </w:rPr>
        <w:endnoteReference w:id="24"/>
      </w:r>
      <w:r w:rsidRPr="001B668D" w:rsidDel="001415B3">
        <w:rPr>
          <w:rStyle w:val="EndnoteReference"/>
          <w:sz w:val="24"/>
          <w:szCs w:val="24"/>
          <w:lang w:val="en-GB"/>
        </w:rPr>
        <w:t xml:space="preserve"> </w:t>
      </w:r>
      <w:r w:rsidRPr="001B668D">
        <w:rPr>
          <w:lang w:val="en-GB"/>
        </w:rPr>
        <w:t xml:space="preserve">Furthermore, chronic exposure to stress hormones makes people less willing to take risks. A study </w:t>
      </w:r>
      <w:r>
        <w:rPr>
          <w:lang w:val="en-GB"/>
        </w:rPr>
        <w:t xml:space="preserve">has </w:t>
      </w:r>
      <w:r w:rsidRPr="001B668D">
        <w:rPr>
          <w:lang w:val="en-GB"/>
        </w:rPr>
        <w:t>show</w:t>
      </w:r>
      <w:r>
        <w:rPr>
          <w:lang w:val="en-GB"/>
        </w:rPr>
        <w:t>n</w:t>
      </w:r>
      <w:r w:rsidRPr="001B668D">
        <w:rPr>
          <w:lang w:val="en-GB"/>
        </w:rPr>
        <w:t xml:space="preserve"> that in times of market volatility, cortisol levels increase</w:t>
      </w:r>
      <w:r>
        <w:rPr>
          <w:lang w:val="en-GB"/>
        </w:rPr>
        <w:t>,</w:t>
      </w:r>
      <w:r w:rsidRPr="001B668D">
        <w:rPr>
          <w:lang w:val="en-GB"/>
        </w:rPr>
        <w:t xml:space="preserve"> and the stress response is to decrease risk</w:t>
      </w:r>
      <w:r w:rsidR="00B00DF5">
        <w:rPr>
          <w:lang w:val="en-GB"/>
        </w:rPr>
        <w:t xml:space="preserve"> </w:t>
      </w:r>
      <w:r w:rsidRPr="001B668D">
        <w:rPr>
          <w:lang w:val="en-GB"/>
        </w:rPr>
        <w:t>taking in times of prolonged uncertainty.</w:t>
      </w:r>
      <w:r w:rsidRPr="00F419AE">
        <w:rPr>
          <w:rStyle w:val="EndnoteReference"/>
          <w:lang w:val="en-GB"/>
        </w:rPr>
        <w:endnoteReference w:id="25"/>
      </w:r>
      <w:r w:rsidRPr="001B668D">
        <w:rPr>
          <w:lang w:val="en-GB"/>
        </w:rPr>
        <w:t xml:space="preserve"> Together, convergent evidence </w:t>
      </w:r>
      <w:r>
        <w:rPr>
          <w:lang w:val="en-GB"/>
        </w:rPr>
        <w:t xml:space="preserve">suggests </w:t>
      </w:r>
      <w:r w:rsidRPr="001B668D">
        <w:rPr>
          <w:lang w:val="en-GB"/>
        </w:rPr>
        <w:t>that biological factors affect decision</w:t>
      </w:r>
      <w:r>
        <w:rPr>
          <w:lang w:val="en-GB"/>
        </w:rPr>
        <w:t>-</w:t>
      </w:r>
      <w:r w:rsidRPr="001B668D">
        <w:rPr>
          <w:lang w:val="en-GB"/>
        </w:rPr>
        <w:t xml:space="preserve">making. Additionally, studies suggest that sunshine, weather, and hours of daylight affect stock returns and investment decisions. Sunshine, which </w:t>
      </w:r>
      <w:r w:rsidR="00F87DD0">
        <w:rPr>
          <w:lang w:val="en-GB"/>
        </w:rPr>
        <w:t>contributes to</w:t>
      </w:r>
      <w:r w:rsidRPr="001B668D">
        <w:rPr>
          <w:lang w:val="en-GB"/>
        </w:rPr>
        <w:t xml:space="preserve"> positive mood, </w:t>
      </w:r>
      <w:r w:rsidR="00F87DD0">
        <w:rPr>
          <w:lang w:val="en-GB"/>
        </w:rPr>
        <w:t xml:space="preserve">has </w:t>
      </w:r>
      <w:r>
        <w:rPr>
          <w:lang w:val="en-GB"/>
        </w:rPr>
        <w:t>been found to be</w:t>
      </w:r>
      <w:r w:rsidRPr="001B668D">
        <w:rPr>
          <w:lang w:val="en-GB"/>
        </w:rPr>
        <w:t xml:space="preserve"> positively correlated with daily stock returns and, along with good weather, </w:t>
      </w:r>
      <w:r>
        <w:rPr>
          <w:lang w:val="en-GB"/>
        </w:rPr>
        <w:t xml:space="preserve">to </w:t>
      </w:r>
      <w:r w:rsidRPr="001B668D">
        <w:rPr>
          <w:lang w:val="en-GB"/>
        </w:rPr>
        <w:t>promote risk-taking behaviour.</w:t>
      </w:r>
      <w:r w:rsidRPr="00F419AE">
        <w:rPr>
          <w:rStyle w:val="EndnoteReference"/>
          <w:lang w:val="en-GB"/>
        </w:rPr>
        <w:endnoteReference w:id="26"/>
      </w:r>
      <w:r w:rsidRPr="001B668D">
        <w:rPr>
          <w:lang w:val="en-GB"/>
        </w:rPr>
        <w:t xml:space="preserve"> However, other weather conditions such as rain and snow </w:t>
      </w:r>
      <w:r>
        <w:rPr>
          <w:lang w:val="en-GB"/>
        </w:rPr>
        <w:t>have been</w:t>
      </w:r>
      <w:r w:rsidRPr="001B668D">
        <w:rPr>
          <w:lang w:val="en-GB"/>
        </w:rPr>
        <w:t xml:space="preserve"> shown to be unrelated to returns. Additionally, the shortness of daylight (particularly during fall and winter) leads to depression or an overall negative mood. As such, when linking the amount of daylight, length of day, and risk aversion, </w:t>
      </w:r>
      <w:r>
        <w:rPr>
          <w:lang w:val="en-GB"/>
        </w:rPr>
        <w:t>one</w:t>
      </w:r>
      <w:r w:rsidRPr="001B668D">
        <w:rPr>
          <w:lang w:val="en-GB"/>
        </w:rPr>
        <w:t xml:space="preserve"> study provided evidence of a link between seasonal depression and seasonal variation in stock returns.</w:t>
      </w:r>
      <w:r w:rsidRPr="00F419AE">
        <w:rPr>
          <w:rStyle w:val="EndnoteReference"/>
          <w:lang w:val="en-GB"/>
        </w:rPr>
        <w:endnoteReference w:id="27"/>
      </w:r>
      <w:r w:rsidRPr="001B668D">
        <w:rPr>
          <w:lang w:val="en-GB"/>
        </w:rPr>
        <w:t xml:space="preserve"> </w:t>
      </w:r>
    </w:p>
    <w:p w14:paraId="2AD70F0F" w14:textId="77777777" w:rsidR="00693B96" w:rsidRDefault="00693B96" w:rsidP="00447C0C">
      <w:pPr>
        <w:pStyle w:val="BodyTextMain"/>
        <w:rPr>
          <w:lang w:val="en-GB"/>
        </w:rPr>
      </w:pPr>
    </w:p>
    <w:p w14:paraId="7CB75400" w14:textId="77777777" w:rsidR="00324F20" w:rsidRDefault="00324F20" w:rsidP="00447C0C">
      <w:pPr>
        <w:pStyle w:val="BodyTextMain"/>
        <w:rPr>
          <w:lang w:val="en-GB"/>
        </w:rPr>
      </w:pPr>
    </w:p>
    <w:p w14:paraId="201E8A80" w14:textId="77777777" w:rsidR="00324F20" w:rsidRDefault="00324F20" w:rsidP="00447C0C">
      <w:pPr>
        <w:pStyle w:val="BodyTextMain"/>
        <w:rPr>
          <w:lang w:val="en-GB"/>
        </w:rPr>
      </w:pPr>
    </w:p>
    <w:p w14:paraId="25D2D6FA" w14:textId="77777777" w:rsidR="00693B96" w:rsidRPr="001B668D" w:rsidRDefault="00693B96" w:rsidP="00447C0C">
      <w:pPr>
        <w:pStyle w:val="BodyTextMain"/>
        <w:rPr>
          <w:lang w:val="en-GB"/>
        </w:rPr>
      </w:pPr>
    </w:p>
    <w:p w14:paraId="6B4E5C63" w14:textId="77777777" w:rsidR="00324F20" w:rsidRDefault="00324F20" w:rsidP="00447C0C">
      <w:pPr>
        <w:pStyle w:val="Casehead1"/>
        <w:rPr>
          <w:lang w:val="en-GB"/>
        </w:rPr>
      </w:pPr>
    </w:p>
    <w:p w14:paraId="1617E939" w14:textId="7D928ECA" w:rsidR="00693B96" w:rsidRPr="001B668D" w:rsidRDefault="00693B96" w:rsidP="00447C0C">
      <w:pPr>
        <w:pStyle w:val="Casehead1"/>
        <w:rPr>
          <w:lang w:val="en-GB"/>
        </w:rPr>
      </w:pPr>
      <w:r w:rsidRPr="001B668D">
        <w:rPr>
          <w:lang w:val="en-GB"/>
        </w:rPr>
        <w:lastRenderedPageBreak/>
        <w:t>CORRECTING IRRATIONALITY</w:t>
      </w:r>
    </w:p>
    <w:p w14:paraId="2E5ADC4A" w14:textId="77777777" w:rsidR="00693B96" w:rsidRPr="001B668D" w:rsidRDefault="00693B96" w:rsidP="00447C0C">
      <w:pPr>
        <w:pStyle w:val="BodyTextMain"/>
        <w:rPr>
          <w:lang w:val="en-GB"/>
        </w:rPr>
      </w:pPr>
    </w:p>
    <w:p w14:paraId="6EC1DFA4" w14:textId="2CBCF06A" w:rsidR="00693B96" w:rsidRPr="001B668D" w:rsidRDefault="00693B96" w:rsidP="00447C0C">
      <w:pPr>
        <w:pStyle w:val="BodyTextMain"/>
        <w:rPr>
          <w:lang w:val="en-GB"/>
        </w:rPr>
      </w:pPr>
      <w:r>
        <w:rPr>
          <w:lang w:val="en-GB"/>
        </w:rPr>
        <w:t>O</w:t>
      </w:r>
      <w:r w:rsidRPr="001B668D">
        <w:rPr>
          <w:lang w:val="en-GB"/>
        </w:rPr>
        <w:t xml:space="preserve">nce irrational behaviour </w:t>
      </w:r>
      <w:r>
        <w:rPr>
          <w:lang w:val="en-GB"/>
        </w:rPr>
        <w:t>has been</w:t>
      </w:r>
      <w:r w:rsidRPr="001B668D">
        <w:rPr>
          <w:lang w:val="en-GB"/>
        </w:rPr>
        <w:t xml:space="preserve"> identified, </w:t>
      </w:r>
      <w:r>
        <w:rPr>
          <w:lang w:val="en-GB"/>
        </w:rPr>
        <w:t xml:space="preserve">many believe </w:t>
      </w:r>
      <w:r w:rsidRPr="001B668D">
        <w:rPr>
          <w:lang w:val="en-GB"/>
        </w:rPr>
        <w:t xml:space="preserve">there are simple ways </w:t>
      </w:r>
      <w:r>
        <w:rPr>
          <w:lang w:val="en-GB"/>
        </w:rPr>
        <w:t>by</w:t>
      </w:r>
      <w:r w:rsidRPr="001B668D">
        <w:rPr>
          <w:lang w:val="en-GB"/>
        </w:rPr>
        <w:t xml:space="preserve"> which </w:t>
      </w:r>
      <w:r>
        <w:rPr>
          <w:lang w:val="en-GB"/>
        </w:rPr>
        <w:t>such behaviour</w:t>
      </w:r>
      <w:r w:rsidRPr="001B668D">
        <w:rPr>
          <w:lang w:val="en-GB"/>
        </w:rPr>
        <w:t xml:space="preserve"> can be corrected. Three general beliefs </w:t>
      </w:r>
      <w:r>
        <w:rPr>
          <w:lang w:val="en-GB"/>
        </w:rPr>
        <w:t>include the following</w:t>
      </w:r>
      <w:r w:rsidRPr="001B668D">
        <w:rPr>
          <w:lang w:val="en-GB"/>
        </w:rPr>
        <w:t xml:space="preserve">: </w:t>
      </w:r>
    </w:p>
    <w:p w14:paraId="6E8FDC95" w14:textId="77777777" w:rsidR="00693B96" w:rsidRPr="001B668D" w:rsidRDefault="00693B96" w:rsidP="00447C0C">
      <w:pPr>
        <w:pStyle w:val="BodyTextMain"/>
        <w:rPr>
          <w:lang w:val="en-GB"/>
        </w:rPr>
      </w:pPr>
    </w:p>
    <w:p w14:paraId="1EAD91D6" w14:textId="7D24D787" w:rsidR="00693B96" w:rsidRPr="001B668D" w:rsidRDefault="00693B96" w:rsidP="00F419AE">
      <w:pPr>
        <w:pStyle w:val="BodyTextMain"/>
        <w:numPr>
          <w:ilvl w:val="0"/>
          <w:numId w:val="40"/>
        </w:numPr>
        <w:ind w:left="426" w:hanging="426"/>
        <w:rPr>
          <w:lang w:val="en-GB"/>
        </w:rPr>
      </w:pPr>
      <w:r w:rsidRPr="001B668D">
        <w:rPr>
          <w:lang w:val="en-GB"/>
        </w:rPr>
        <w:t xml:space="preserve">Through repetition, people learn </w:t>
      </w:r>
      <w:r>
        <w:rPr>
          <w:lang w:val="en-GB"/>
        </w:rPr>
        <w:t>how</w:t>
      </w:r>
      <w:r w:rsidRPr="001B668D">
        <w:rPr>
          <w:lang w:val="en-GB"/>
        </w:rPr>
        <w:t xml:space="preserve"> to overcome a bias.</w:t>
      </w:r>
    </w:p>
    <w:p w14:paraId="03C090F1" w14:textId="096D3FFF" w:rsidR="00693B96" w:rsidRPr="001B668D" w:rsidRDefault="00693B96" w:rsidP="00F419AE">
      <w:pPr>
        <w:pStyle w:val="BodyTextMain"/>
        <w:numPr>
          <w:ilvl w:val="0"/>
          <w:numId w:val="40"/>
        </w:numPr>
        <w:ind w:left="426" w:hanging="426"/>
        <w:rPr>
          <w:lang w:val="en-GB"/>
        </w:rPr>
      </w:pPr>
      <w:r w:rsidRPr="001B668D">
        <w:rPr>
          <w:lang w:val="en-GB"/>
        </w:rPr>
        <w:t>Experts (e.g., professional traders such as those working in investment banking) make fewer errors.</w:t>
      </w:r>
    </w:p>
    <w:p w14:paraId="0D852AFF" w14:textId="339C5508" w:rsidR="00693B96" w:rsidRPr="001B668D" w:rsidRDefault="00B1710F" w:rsidP="00F419AE">
      <w:pPr>
        <w:pStyle w:val="BodyTextMain"/>
        <w:numPr>
          <w:ilvl w:val="0"/>
          <w:numId w:val="40"/>
        </w:numPr>
        <w:ind w:left="426" w:hanging="426"/>
        <w:rPr>
          <w:lang w:val="en-GB"/>
        </w:rPr>
      </w:pPr>
      <w:r>
        <w:rPr>
          <w:lang w:val="en-GB"/>
        </w:rPr>
        <w:t xml:space="preserve">The </w:t>
      </w:r>
      <w:r w:rsidR="00693B96">
        <w:rPr>
          <w:lang w:val="en-GB"/>
        </w:rPr>
        <w:t>offering</w:t>
      </w:r>
      <w:r w:rsidR="00693B96" w:rsidRPr="001B668D">
        <w:rPr>
          <w:lang w:val="en-GB"/>
        </w:rPr>
        <w:t xml:space="preserve"> </w:t>
      </w:r>
      <w:r>
        <w:rPr>
          <w:lang w:val="en-GB"/>
        </w:rPr>
        <w:t xml:space="preserve">of </w:t>
      </w:r>
      <w:r w:rsidR="00693B96" w:rsidRPr="001B668D">
        <w:rPr>
          <w:lang w:val="en-GB"/>
        </w:rPr>
        <w:t>more powerful incentives</w:t>
      </w:r>
      <w:r>
        <w:rPr>
          <w:lang w:val="en-GB"/>
        </w:rPr>
        <w:t xml:space="preserve"> will lead</w:t>
      </w:r>
      <w:r w:rsidRPr="001B668D">
        <w:rPr>
          <w:lang w:val="en-GB"/>
        </w:rPr>
        <w:t xml:space="preserve"> </w:t>
      </w:r>
      <w:r w:rsidR="00693B96">
        <w:rPr>
          <w:lang w:val="en-GB"/>
        </w:rPr>
        <w:t xml:space="preserve">the </w:t>
      </w:r>
      <w:r w:rsidR="00693B96" w:rsidRPr="001B668D">
        <w:rPr>
          <w:lang w:val="en-GB"/>
        </w:rPr>
        <w:t xml:space="preserve">effects </w:t>
      </w:r>
      <w:r w:rsidR="00693B96">
        <w:rPr>
          <w:lang w:val="en-GB"/>
        </w:rPr>
        <w:t xml:space="preserve">of irrational behaviour </w:t>
      </w:r>
      <w:r>
        <w:rPr>
          <w:lang w:val="en-GB"/>
        </w:rPr>
        <w:t>to</w:t>
      </w:r>
      <w:r w:rsidRPr="001B668D">
        <w:rPr>
          <w:lang w:val="en-GB"/>
        </w:rPr>
        <w:t xml:space="preserve"> </w:t>
      </w:r>
      <w:r w:rsidR="00693B96" w:rsidRPr="001B668D">
        <w:rPr>
          <w:lang w:val="en-GB"/>
        </w:rPr>
        <w:t>disappear.</w:t>
      </w:r>
    </w:p>
    <w:p w14:paraId="1E4B5DEB" w14:textId="77777777" w:rsidR="00693B96" w:rsidRPr="001B668D" w:rsidRDefault="00693B96" w:rsidP="00447C0C">
      <w:pPr>
        <w:pStyle w:val="BodyTextMain"/>
        <w:rPr>
          <w:lang w:val="en-GB"/>
        </w:rPr>
      </w:pPr>
    </w:p>
    <w:p w14:paraId="48CF2A04" w14:textId="253BB69A" w:rsidR="00693B96" w:rsidRDefault="00693B96" w:rsidP="00447C0C">
      <w:pPr>
        <w:pStyle w:val="BodyTextMain"/>
        <w:rPr>
          <w:lang w:val="en-GB"/>
        </w:rPr>
      </w:pPr>
      <w:r w:rsidRPr="001B668D">
        <w:rPr>
          <w:lang w:val="en-GB"/>
        </w:rPr>
        <w:t xml:space="preserve">However, little evidence </w:t>
      </w:r>
      <w:r>
        <w:rPr>
          <w:lang w:val="en-GB"/>
        </w:rPr>
        <w:t>supports these beliefs</w:t>
      </w:r>
      <w:r w:rsidRPr="001B668D">
        <w:rPr>
          <w:lang w:val="en-GB"/>
        </w:rPr>
        <w:t xml:space="preserve"> that irrational behaviour</w:t>
      </w:r>
      <w:r>
        <w:rPr>
          <w:lang w:val="en-GB"/>
        </w:rPr>
        <w:t xml:space="preserve"> can be eliminated</w:t>
      </w:r>
      <w:r w:rsidRPr="001B668D">
        <w:rPr>
          <w:lang w:val="en-GB"/>
        </w:rPr>
        <w:t xml:space="preserve">. The </w:t>
      </w:r>
      <w:r>
        <w:rPr>
          <w:lang w:val="en-GB"/>
        </w:rPr>
        <w:t xml:space="preserve">following points are the </w:t>
      </w:r>
      <w:r w:rsidRPr="001B668D">
        <w:rPr>
          <w:lang w:val="en-GB"/>
        </w:rPr>
        <w:t>counterarguments for these three beliefs:</w:t>
      </w:r>
      <w:r w:rsidRPr="001B668D">
        <w:rPr>
          <w:rStyle w:val="EndnoteReference"/>
          <w:lang w:val="en-GB"/>
        </w:rPr>
        <w:endnoteReference w:id="28"/>
      </w:r>
      <w:r w:rsidRPr="001B668D">
        <w:rPr>
          <w:lang w:val="en-GB"/>
        </w:rPr>
        <w:t xml:space="preserve"> </w:t>
      </w:r>
    </w:p>
    <w:p w14:paraId="242742DD" w14:textId="77777777" w:rsidR="00693B96" w:rsidRPr="001B668D" w:rsidRDefault="00693B96" w:rsidP="00447C0C">
      <w:pPr>
        <w:pStyle w:val="BodyTextMain"/>
        <w:rPr>
          <w:lang w:val="en-GB"/>
        </w:rPr>
      </w:pPr>
    </w:p>
    <w:p w14:paraId="4E8BA9D4" w14:textId="0F76D240" w:rsidR="00693B96" w:rsidRPr="001B668D" w:rsidRDefault="00693B96" w:rsidP="00F419AE">
      <w:pPr>
        <w:pStyle w:val="BodyTextMain"/>
        <w:numPr>
          <w:ilvl w:val="0"/>
          <w:numId w:val="41"/>
        </w:numPr>
        <w:ind w:left="426" w:hanging="426"/>
        <w:rPr>
          <w:lang w:val="en-GB"/>
        </w:rPr>
      </w:pPr>
      <w:r w:rsidRPr="001B668D">
        <w:rPr>
          <w:lang w:val="en-GB"/>
        </w:rPr>
        <w:t xml:space="preserve">The effect of learning is often muted by errors of application. </w:t>
      </w:r>
      <w:r>
        <w:rPr>
          <w:lang w:val="en-GB"/>
        </w:rPr>
        <w:t>That is</w:t>
      </w:r>
      <w:r w:rsidRPr="001B668D">
        <w:rPr>
          <w:lang w:val="en-GB"/>
        </w:rPr>
        <w:t xml:space="preserve">, </w:t>
      </w:r>
      <w:r>
        <w:rPr>
          <w:lang w:val="en-GB"/>
        </w:rPr>
        <w:t>people</w:t>
      </w:r>
      <w:r w:rsidRPr="001B668D">
        <w:rPr>
          <w:lang w:val="en-GB"/>
        </w:rPr>
        <w:t xml:space="preserve"> may understand biases when </w:t>
      </w:r>
      <w:r>
        <w:rPr>
          <w:lang w:val="en-GB"/>
        </w:rPr>
        <w:t xml:space="preserve">they are </w:t>
      </w:r>
      <w:r w:rsidRPr="001B668D">
        <w:rPr>
          <w:lang w:val="en-GB"/>
        </w:rPr>
        <w:t xml:space="preserve">explained but will then </w:t>
      </w:r>
      <w:r>
        <w:rPr>
          <w:lang w:val="en-GB"/>
        </w:rPr>
        <w:t>continue</w:t>
      </w:r>
      <w:r w:rsidRPr="001B668D">
        <w:rPr>
          <w:lang w:val="en-GB"/>
        </w:rPr>
        <w:t xml:space="preserve"> to commit th</w:t>
      </w:r>
      <w:r>
        <w:rPr>
          <w:lang w:val="en-GB"/>
        </w:rPr>
        <w:t>ose biases</w:t>
      </w:r>
      <w:r w:rsidRPr="001B668D">
        <w:rPr>
          <w:lang w:val="en-GB"/>
        </w:rPr>
        <w:t xml:space="preserve"> in specific applications. </w:t>
      </w:r>
    </w:p>
    <w:p w14:paraId="5EFF03B4" w14:textId="35F5E162" w:rsidR="00693B96" w:rsidRPr="001B668D" w:rsidRDefault="00693B96" w:rsidP="00F419AE">
      <w:pPr>
        <w:pStyle w:val="BodyTextMain"/>
        <w:numPr>
          <w:ilvl w:val="0"/>
          <w:numId w:val="41"/>
        </w:numPr>
        <w:ind w:left="426" w:hanging="426"/>
        <w:rPr>
          <w:lang w:val="en-GB"/>
        </w:rPr>
      </w:pPr>
      <w:r w:rsidRPr="001B668D">
        <w:rPr>
          <w:lang w:val="en-GB"/>
        </w:rPr>
        <w:t xml:space="preserve">Experts </w:t>
      </w:r>
      <w:r>
        <w:rPr>
          <w:lang w:val="en-GB"/>
        </w:rPr>
        <w:t>have been</w:t>
      </w:r>
      <w:r w:rsidRPr="001B668D">
        <w:rPr>
          <w:lang w:val="en-GB"/>
        </w:rPr>
        <w:t xml:space="preserve"> found to exhibit more overconfidence than average investors, particularly when receiving limited feedback about </w:t>
      </w:r>
      <w:r>
        <w:rPr>
          <w:lang w:val="en-GB"/>
        </w:rPr>
        <w:t xml:space="preserve">their </w:t>
      </w:r>
      <w:r w:rsidRPr="001B668D">
        <w:rPr>
          <w:lang w:val="en-GB"/>
        </w:rPr>
        <w:t>predictions.</w:t>
      </w:r>
      <w:r w:rsidRPr="001B668D">
        <w:rPr>
          <w:rStyle w:val="EndnoteReference"/>
          <w:lang w:val="en-GB"/>
        </w:rPr>
        <w:endnoteReference w:id="29"/>
      </w:r>
      <w:r w:rsidRPr="001B668D">
        <w:rPr>
          <w:lang w:val="en-GB"/>
        </w:rPr>
        <w:t xml:space="preserve"> </w:t>
      </w:r>
    </w:p>
    <w:p w14:paraId="783DFA7C" w14:textId="5C6C9985" w:rsidR="009A249A" w:rsidRPr="001B668D" w:rsidRDefault="00693B96" w:rsidP="00F419AE">
      <w:pPr>
        <w:pStyle w:val="BodyTextMain"/>
        <w:numPr>
          <w:ilvl w:val="0"/>
          <w:numId w:val="41"/>
        </w:numPr>
        <w:ind w:left="426" w:hanging="426"/>
        <w:rPr>
          <w:lang w:val="en-GB"/>
        </w:rPr>
      </w:pPr>
      <w:r w:rsidRPr="001B668D">
        <w:rPr>
          <w:lang w:val="en-GB"/>
        </w:rPr>
        <w:t xml:space="preserve">Although incentives can sometimes reduce </w:t>
      </w:r>
      <w:r w:rsidR="00B1710F">
        <w:rPr>
          <w:lang w:val="en-GB"/>
        </w:rPr>
        <w:t xml:space="preserve">the </w:t>
      </w:r>
      <w:r w:rsidR="00B1710F" w:rsidRPr="001B668D">
        <w:rPr>
          <w:lang w:val="en-GB"/>
        </w:rPr>
        <w:t>display</w:t>
      </w:r>
      <w:r w:rsidR="00B1710F">
        <w:rPr>
          <w:lang w:val="en-GB"/>
        </w:rPr>
        <w:t xml:space="preserve"> of</w:t>
      </w:r>
      <w:r w:rsidR="00B1710F" w:rsidRPr="001B668D">
        <w:rPr>
          <w:lang w:val="en-GB"/>
        </w:rPr>
        <w:t xml:space="preserve"> </w:t>
      </w:r>
      <w:r w:rsidRPr="001B668D">
        <w:rPr>
          <w:lang w:val="en-GB"/>
        </w:rPr>
        <w:t>biases, “no replicated study has made rationality violations disappear purely by raising incentives.”</w:t>
      </w:r>
      <w:r w:rsidRPr="001B668D">
        <w:rPr>
          <w:rStyle w:val="EndnoteReference"/>
          <w:lang w:val="en-GB"/>
        </w:rPr>
        <w:endnoteReference w:id="30"/>
      </w:r>
      <w:r w:rsidRPr="001B668D">
        <w:rPr>
          <w:lang w:val="en-GB"/>
        </w:rPr>
        <w:t xml:space="preserve"> </w:t>
      </w:r>
    </w:p>
    <w:p w14:paraId="7CBF6F0A" w14:textId="77777777" w:rsidR="009A249A" w:rsidRPr="001B668D" w:rsidRDefault="009A249A" w:rsidP="00447C0C">
      <w:pPr>
        <w:pStyle w:val="BodyTextMain"/>
        <w:rPr>
          <w:lang w:val="en-GB"/>
        </w:rPr>
      </w:pPr>
    </w:p>
    <w:p w14:paraId="2D9E1EB3" w14:textId="3B431DEA" w:rsidR="009A249A" w:rsidRPr="001B668D" w:rsidRDefault="000306C7" w:rsidP="00447C0C">
      <w:pPr>
        <w:pStyle w:val="BodyTextMain"/>
        <w:rPr>
          <w:lang w:val="en-GB"/>
        </w:rPr>
      </w:pPr>
      <w:r w:rsidRPr="001B668D">
        <w:rPr>
          <w:lang w:val="en-GB"/>
        </w:rPr>
        <w:t>Despite these findings,</w:t>
      </w:r>
      <w:r w:rsidR="009A249A" w:rsidRPr="001B668D">
        <w:rPr>
          <w:lang w:val="en-GB"/>
        </w:rPr>
        <w:t xml:space="preserve"> techniques </w:t>
      </w:r>
      <w:r w:rsidRPr="001B668D">
        <w:rPr>
          <w:lang w:val="en-GB"/>
        </w:rPr>
        <w:t xml:space="preserve">do exist </w:t>
      </w:r>
      <w:r w:rsidR="009A249A" w:rsidRPr="001B668D">
        <w:rPr>
          <w:lang w:val="en-GB"/>
        </w:rPr>
        <w:t>to combat irrational investing decisions</w:t>
      </w:r>
      <w:r w:rsidR="00B1710F">
        <w:rPr>
          <w:lang w:val="en-GB"/>
        </w:rPr>
        <w:t>;</w:t>
      </w:r>
      <w:r w:rsidR="00787E90" w:rsidRPr="001B668D">
        <w:rPr>
          <w:lang w:val="en-GB"/>
        </w:rPr>
        <w:t xml:space="preserve"> some of </w:t>
      </w:r>
      <w:r w:rsidR="00B1710F">
        <w:rPr>
          <w:lang w:val="en-GB"/>
        </w:rPr>
        <w:t>these</w:t>
      </w:r>
      <w:r w:rsidR="00B1710F" w:rsidRPr="001B668D">
        <w:rPr>
          <w:lang w:val="en-GB"/>
        </w:rPr>
        <w:t xml:space="preserve"> </w:t>
      </w:r>
      <w:r w:rsidR="00787E90" w:rsidRPr="001B668D">
        <w:rPr>
          <w:lang w:val="en-GB"/>
        </w:rPr>
        <w:t>were presented earlier</w:t>
      </w:r>
      <w:r w:rsidR="009A249A" w:rsidRPr="001B668D">
        <w:rPr>
          <w:lang w:val="en-GB"/>
        </w:rPr>
        <w:t>.</w:t>
      </w:r>
      <w:r w:rsidRPr="001B668D">
        <w:rPr>
          <w:lang w:val="en-GB"/>
        </w:rPr>
        <w:t xml:space="preserve"> For example, w</w:t>
      </w:r>
      <w:r w:rsidR="009A249A" w:rsidRPr="001B668D">
        <w:rPr>
          <w:lang w:val="en-GB"/>
        </w:rPr>
        <w:t xml:space="preserve">hen dealing with framing effects, the disposition effect </w:t>
      </w:r>
      <w:r w:rsidR="00013A30">
        <w:rPr>
          <w:lang w:val="en-GB"/>
        </w:rPr>
        <w:t xml:space="preserve">can be avoided </w:t>
      </w:r>
      <w:r w:rsidR="009A249A" w:rsidRPr="001B668D">
        <w:rPr>
          <w:lang w:val="en-GB"/>
        </w:rPr>
        <w:t>by setting clear investment criteria guidelines as to when a stock is either bought or sold (e.g.</w:t>
      </w:r>
      <w:r w:rsidR="00EB5AF0" w:rsidRPr="001B668D">
        <w:rPr>
          <w:lang w:val="en-GB"/>
        </w:rPr>
        <w:t>,</w:t>
      </w:r>
      <w:r w:rsidR="009A249A" w:rsidRPr="001B668D">
        <w:rPr>
          <w:lang w:val="en-GB"/>
        </w:rPr>
        <w:t xml:space="preserve"> based on research). </w:t>
      </w:r>
      <w:r w:rsidR="00013A30">
        <w:rPr>
          <w:lang w:val="en-GB"/>
        </w:rPr>
        <w:t>A</w:t>
      </w:r>
      <w:r w:rsidR="009A249A" w:rsidRPr="001B668D">
        <w:rPr>
          <w:lang w:val="en-GB"/>
        </w:rPr>
        <w:t xml:space="preserve">ccept </w:t>
      </w:r>
      <w:r w:rsidR="00013A30">
        <w:rPr>
          <w:lang w:val="en-GB"/>
        </w:rPr>
        <w:t xml:space="preserve">any </w:t>
      </w:r>
      <w:r w:rsidR="009A249A" w:rsidRPr="001B668D">
        <w:rPr>
          <w:lang w:val="en-GB"/>
        </w:rPr>
        <w:t>losses</w:t>
      </w:r>
      <w:r w:rsidRPr="001B668D">
        <w:rPr>
          <w:lang w:val="en-GB"/>
        </w:rPr>
        <w:t xml:space="preserve"> and</w:t>
      </w:r>
      <w:r w:rsidR="009A249A" w:rsidRPr="001B668D">
        <w:rPr>
          <w:lang w:val="en-GB"/>
        </w:rPr>
        <w:t xml:space="preserve"> treat sunk costs as sunk. As well, rephrase thoughts when appropriate (e.g.</w:t>
      </w:r>
      <w:r w:rsidRPr="001B668D">
        <w:rPr>
          <w:lang w:val="en-GB"/>
        </w:rPr>
        <w:t>,</w:t>
      </w:r>
      <w:r w:rsidR="009A249A" w:rsidRPr="001B668D">
        <w:rPr>
          <w:lang w:val="en-GB"/>
        </w:rPr>
        <w:t xml:space="preserve"> do not think</w:t>
      </w:r>
      <w:r w:rsidR="008E16AB">
        <w:rPr>
          <w:lang w:val="en-GB"/>
        </w:rPr>
        <w:t>,</w:t>
      </w:r>
      <w:r w:rsidR="009A249A" w:rsidRPr="001B668D">
        <w:rPr>
          <w:lang w:val="en-GB"/>
        </w:rPr>
        <w:t xml:space="preserve"> “</w:t>
      </w:r>
      <w:r w:rsidR="008E16AB">
        <w:rPr>
          <w:lang w:val="en-GB"/>
        </w:rPr>
        <w:t>W</w:t>
      </w:r>
      <w:r w:rsidR="009A249A" w:rsidRPr="001B668D">
        <w:rPr>
          <w:lang w:val="en-GB"/>
        </w:rPr>
        <w:t>hen will the stock price recover?” but rather “</w:t>
      </w:r>
      <w:r w:rsidR="008E16AB">
        <w:rPr>
          <w:lang w:val="en-GB"/>
        </w:rPr>
        <w:t>W</w:t>
      </w:r>
      <w:r w:rsidR="009A249A" w:rsidRPr="001B668D">
        <w:rPr>
          <w:lang w:val="en-GB"/>
        </w:rPr>
        <w:t>hat are the prospects?”).</w:t>
      </w:r>
    </w:p>
    <w:p w14:paraId="260C926B" w14:textId="77777777" w:rsidR="009A249A" w:rsidRPr="001B668D" w:rsidRDefault="009A249A" w:rsidP="00447C0C">
      <w:pPr>
        <w:pStyle w:val="BodyTextMain"/>
        <w:rPr>
          <w:lang w:val="en-GB"/>
        </w:rPr>
      </w:pPr>
    </w:p>
    <w:p w14:paraId="4B59E119" w14:textId="5146682A" w:rsidR="009A249A" w:rsidRPr="00324F20" w:rsidRDefault="009A249A" w:rsidP="00447C0C">
      <w:pPr>
        <w:pStyle w:val="BodyTextMain"/>
        <w:rPr>
          <w:spacing w:val="-2"/>
          <w:lang w:val="en-GB"/>
        </w:rPr>
      </w:pPr>
      <w:r w:rsidRPr="00324F20">
        <w:rPr>
          <w:spacing w:val="-2"/>
          <w:lang w:val="en-GB"/>
        </w:rPr>
        <w:t>“</w:t>
      </w:r>
      <w:r w:rsidR="00013A30" w:rsidRPr="00324F20">
        <w:rPr>
          <w:spacing w:val="-2"/>
          <w:lang w:val="en-GB"/>
        </w:rPr>
        <w:t>D</w:t>
      </w:r>
      <w:r w:rsidRPr="00324F20">
        <w:rPr>
          <w:spacing w:val="-2"/>
          <w:lang w:val="en-GB"/>
        </w:rPr>
        <w:t>e-bias</w:t>
      </w:r>
      <w:r w:rsidR="00013A30" w:rsidRPr="00324F20">
        <w:rPr>
          <w:spacing w:val="-2"/>
          <w:lang w:val="en-GB"/>
        </w:rPr>
        <w:t>ing</w:t>
      </w:r>
      <w:r w:rsidRPr="00324F20">
        <w:rPr>
          <w:spacing w:val="-2"/>
          <w:lang w:val="en-GB"/>
        </w:rPr>
        <w:t xml:space="preserve">” </w:t>
      </w:r>
      <w:r w:rsidR="00A51A12" w:rsidRPr="00324F20">
        <w:rPr>
          <w:spacing w:val="-2"/>
          <w:lang w:val="en-GB"/>
        </w:rPr>
        <w:t>requires</w:t>
      </w:r>
      <w:r w:rsidR="000306C7" w:rsidRPr="00324F20">
        <w:rPr>
          <w:spacing w:val="-2"/>
          <w:lang w:val="en-GB"/>
        </w:rPr>
        <w:t xml:space="preserve"> </w:t>
      </w:r>
      <w:r w:rsidR="00A51A12" w:rsidRPr="00324F20">
        <w:rPr>
          <w:spacing w:val="-2"/>
          <w:lang w:val="en-GB"/>
        </w:rPr>
        <w:t xml:space="preserve">eluding </w:t>
      </w:r>
      <w:r w:rsidRPr="00324F20">
        <w:rPr>
          <w:spacing w:val="-2"/>
          <w:lang w:val="en-GB"/>
        </w:rPr>
        <w:t>overconfidence by recognizing limitations, avoiding excessive trading, track</w:t>
      </w:r>
      <w:r w:rsidR="00A51A12" w:rsidRPr="00324F20">
        <w:rPr>
          <w:spacing w:val="-2"/>
          <w:lang w:val="en-GB"/>
        </w:rPr>
        <w:t>ing</w:t>
      </w:r>
      <w:r w:rsidRPr="00324F20">
        <w:rPr>
          <w:spacing w:val="-2"/>
          <w:lang w:val="en-GB"/>
        </w:rPr>
        <w:t xml:space="preserve"> the reason for buys and sells</w:t>
      </w:r>
      <w:r w:rsidR="00A51A12" w:rsidRPr="00324F20">
        <w:rPr>
          <w:spacing w:val="-2"/>
          <w:lang w:val="en-GB"/>
        </w:rPr>
        <w:t>,</w:t>
      </w:r>
      <w:r w:rsidRPr="00324F20">
        <w:rPr>
          <w:spacing w:val="-2"/>
          <w:lang w:val="en-GB"/>
        </w:rPr>
        <w:t xml:space="preserve"> tracking performance (including </w:t>
      </w:r>
      <w:r w:rsidR="00A51A12" w:rsidRPr="00324F20">
        <w:rPr>
          <w:spacing w:val="-2"/>
          <w:lang w:val="en-GB"/>
        </w:rPr>
        <w:t xml:space="preserve">the performance </w:t>
      </w:r>
      <w:r w:rsidRPr="00324F20">
        <w:rPr>
          <w:spacing w:val="-2"/>
          <w:lang w:val="en-GB"/>
        </w:rPr>
        <w:t>of stocks that were sold), diversifying, and thinking long</w:t>
      </w:r>
      <w:r w:rsidR="00A51A12" w:rsidRPr="00324F20">
        <w:rPr>
          <w:spacing w:val="-2"/>
          <w:lang w:val="en-GB"/>
        </w:rPr>
        <w:t xml:space="preserve"> </w:t>
      </w:r>
      <w:r w:rsidRPr="00324F20">
        <w:rPr>
          <w:spacing w:val="-2"/>
          <w:lang w:val="en-GB"/>
        </w:rPr>
        <w:t>term.</w:t>
      </w:r>
      <w:r w:rsidR="007543C5" w:rsidRPr="00324F20">
        <w:rPr>
          <w:spacing w:val="-2"/>
          <w:lang w:val="en-GB"/>
        </w:rPr>
        <w:t xml:space="preserve"> </w:t>
      </w:r>
      <w:r w:rsidR="00EB5AF0" w:rsidRPr="00324F20">
        <w:rPr>
          <w:spacing w:val="-2"/>
          <w:lang w:val="en-GB"/>
        </w:rPr>
        <w:t>Further</w:t>
      </w:r>
      <w:r w:rsidR="007543C5" w:rsidRPr="00324F20">
        <w:rPr>
          <w:spacing w:val="-2"/>
          <w:lang w:val="en-GB"/>
        </w:rPr>
        <w:t xml:space="preserve">, </w:t>
      </w:r>
      <w:r w:rsidR="00A51A12" w:rsidRPr="00324F20">
        <w:rPr>
          <w:spacing w:val="-2"/>
          <w:lang w:val="en-GB"/>
        </w:rPr>
        <w:t xml:space="preserve">overconfidence can be mitigated by recognizing </w:t>
      </w:r>
      <w:r w:rsidR="007543C5" w:rsidRPr="00324F20">
        <w:rPr>
          <w:spacing w:val="-2"/>
          <w:lang w:val="en-GB"/>
        </w:rPr>
        <w:t>that one is trading against an unknown party</w:t>
      </w:r>
      <w:r w:rsidR="00A51A12" w:rsidRPr="00324F20">
        <w:rPr>
          <w:spacing w:val="-2"/>
          <w:lang w:val="en-GB"/>
        </w:rPr>
        <w:t>,</w:t>
      </w:r>
      <w:r w:rsidR="007543C5" w:rsidRPr="00324F20">
        <w:rPr>
          <w:spacing w:val="-2"/>
          <w:lang w:val="en-GB"/>
        </w:rPr>
        <w:t xml:space="preserve"> </w:t>
      </w:r>
      <w:r w:rsidR="00A51A12" w:rsidRPr="00324F20">
        <w:rPr>
          <w:spacing w:val="-2"/>
          <w:lang w:val="en-GB"/>
        </w:rPr>
        <w:t>which</w:t>
      </w:r>
      <w:r w:rsidR="007543C5" w:rsidRPr="00324F20">
        <w:rPr>
          <w:spacing w:val="-2"/>
          <w:lang w:val="en-GB"/>
        </w:rPr>
        <w:t xml:space="preserve"> could be a well-informed </w:t>
      </w:r>
      <w:r w:rsidR="00065C9C" w:rsidRPr="00324F20">
        <w:rPr>
          <w:spacing w:val="-2"/>
          <w:lang w:val="en-GB"/>
        </w:rPr>
        <w:t>professional</w:t>
      </w:r>
      <w:r w:rsidR="007543C5" w:rsidRPr="00324F20">
        <w:rPr>
          <w:spacing w:val="-2"/>
          <w:lang w:val="en-GB"/>
        </w:rPr>
        <w:t xml:space="preserve"> investor or </w:t>
      </w:r>
      <w:r w:rsidR="00D44333" w:rsidRPr="00324F20">
        <w:rPr>
          <w:spacing w:val="-2"/>
          <w:lang w:val="en-GB"/>
        </w:rPr>
        <w:t xml:space="preserve">a </w:t>
      </w:r>
      <w:r w:rsidR="007543C5" w:rsidRPr="00324F20">
        <w:rPr>
          <w:spacing w:val="-2"/>
          <w:lang w:val="en-GB"/>
        </w:rPr>
        <w:t>proprietary algorithm—</w:t>
      </w:r>
      <w:r w:rsidR="00A51A12" w:rsidRPr="00324F20">
        <w:rPr>
          <w:spacing w:val="-2"/>
          <w:lang w:val="en-GB"/>
        </w:rPr>
        <w:t xml:space="preserve">both </w:t>
      </w:r>
      <w:r w:rsidR="007543C5" w:rsidRPr="00324F20">
        <w:rPr>
          <w:spacing w:val="-2"/>
          <w:lang w:val="en-GB"/>
        </w:rPr>
        <w:t xml:space="preserve">of which are likely to have better data and timing than the average retail trader. </w:t>
      </w:r>
    </w:p>
    <w:p w14:paraId="521D47D5" w14:textId="77777777" w:rsidR="009A249A" w:rsidRPr="001B668D" w:rsidRDefault="009A249A" w:rsidP="00447C0C">
      <w:pPr>
        <w:pStyle w:val="BodyTextMain"/>
        <w:rPr>
          <w:lang w:val="en-GB"/>
        </w:rPr>
      </w:pPr>
    </w:p>
    <w:p w14:paraId="32AA7BBA" w14:textId="4BC3CADD" w:rsidR="009A249A" w:rsidRPr="001B668D" w:rsidRDefault="00013A30" w:rsidP="00447C0C">
      <w:pPr>
        <w:pStyle w:val="BodyTextMain"/>
        <w:rPr>
          <w:lang w:val="en-GB"/>
        </w:rPr>
      </w:pPr>
      <w:r>
        <w:rPr>
          <w:lang w:val="en-GB"/>
        </w:rPr>
        <w:t>A</w:t>
      </w:r>
      <w:r w:rsidR="009A249A" w:rsidRPr="001B668D">
        <w:rPr>
          <w:lang w:val="en-GB"/>
        </w:rPr>
        <w:t xml:space="preserve">void reliance on simple (and misplaced) heuristics by </w:t>
      </w:r>
      <w:r>
        <w:rPr>
          <w:lang w:val="en-GB"/>
        </w:rPr>
        <w:t>heed</w:t>
      </w:r>
      <w:r w:rsidRPr="001B668D">
        <w:rPr>
          <w:lang w:val="en-GB"/>
        </w:rPr>
        <w:t xml:space="preserve">ing </w:t>
      </w:r>
      <w:r w:rsidR="009A249A" w:rsidRPr="001B668D">
        <w:rPr>
          <w:lang w:val="en-GB"/>
        </w:rPr>
        <w:t>the following advice.</w:t>
      </w:r>
      <w:r w:rsidR="000306C7" w:rsidRPr="001B668D">
        <w:rPr>
          <w:lang w:val="en-GB"/>
        </w:rPr>
        <w:t xml:space="preserve"> </w:t>
      </w:r>
      <w:r w:rsidR="009A249A" w:rsidRPr="001B668D">
        <w:rPr>
          <w:lang w:val="en-GB"/>
        </w:rPr>
        <w:t xml:space="preserve">First, </w:t>
      </w:r>
      <w:r w:rsidR="000306C7" w:rsidRPr="001B668D">
        <w:rPr>
          <w:lang w:val="en-GB"/>
        </w:rPr>
        <w:t xml:space="preserve">recognize that </w:t>
      </w:r>
      <w:r w:rsidR="009A249A" w:rsidRPr="001B668D">
        <w:rPr>
          <w:lang w:val="en-GB"/>
        </w:rPr>
        <w:t>good companies</w:t>
      </w:r>
      <w:r w:rsidR="000306C7" w:rsidRPr="001B668D">
        <w:rPr>
          <w:lang w:val="en-GB"/>
        </w:rPr>
        <w:t>—such as those that make state-of-the-art products and have grown revenue substantially over the past—</w:t>
      </w:r>
      <w:r w:rsidR="009A249A" w:rsidRPr="001B668D">
        <w:rPr>
          <w:lang w:val="en-GB"/>
        </w:rPr>
        <w:t>are not always good investments</w:t>
      </w:r>
      <w:r w:rsidR="000306C7" w:rsidRPr="001B668D">
        <w:rPr>
          <w:lang w:val="en-GB"/>
        </w:rPr>
        <w:t xml:space="preserve">, particularly at </w:t>
      </w:r>
      <w:r>
        <w:rPr>
          <w:lang w:val="en-GB"/>
        </w:rPr>
        <w:t>the</w:t>
      </w:r>
      <w:r w:rsidR="008E16AB">
        <w:rPr>
          <w:lang w:val="en-GB"/>
        </w:rPr>
        <w:t>ir</w:t>
      </w:r>
      <w:r>
        <w:rPr>
          <w:lang w:val="en-GB"/>
        </w:rPr>
        <w:t xml:space="preserve"> </w:t>
      </w:r>
      <w:r w:rsidR="000306C7" w:rsidRPr="001B668D">
        <w:rPr>
          <w:lang w:val="en-GB"/>
        </w:rPr>
        <w:t>current stock prices</w:t>
      </w:r>
      <w:r w:rsidR="009A249A" w:rsidRPr="001B668D">
        <w:rPr>
          <w:lang w:val="en-GB"/>
        </w:rPr>
        <w:t xml:space="preserve">. Second, </w:t>
      </w:r>
      <w:r>
        <w:rPr>
          <w:lang w:val="en-GB"/>
        </w:rPr>
        <w:t>do</w:t>
      </w:r>
      <w:r w:rsidR="000306C7" w:rsidRPr="001B668D">
        <w:rPr>
          <w:lang w:val="en-GB"/>
        </w:rPr>
        <w:t xml:space="preserve"> </w:t>
      </w:r>
      <w:r w:rsidR="009A249A" w:rsidRPr="001B668D">
        <w:rPr>
          <w:lang w:val="en-GB"/>
        </w:rPr>
        <w:t>not be fooled by randomness</w:t>
      </w:r>
      <w:r>
        <w:rPr>
          <w:lang w:val="en-GB"/>
        </w:rPr>
        <w:t>—do</w:t>
      </w:r>
      <w:r w:rsidR="00483244" w:rsidRPr="001B668D">
        <w:rPr>
          <w:lang w:val="en-GB"/>
        </w:rPr>
        <w:t xml:space="preserve"> not infer a pattern or trend where none</w:t>
      </w:r>
      <w:r>
        <w:rPr>
          <w:lang w:val="en-GB"/>
        </w:rPr>
        <w:t xml:space="preserve"> exists</w:t>
      </w:r>
      <w:r w:rsidR="000306C7" w:rsidRPr="001B668D">
        <w:rPr>
          <w:lang w:val="en-GB"/>
        </w:rPr>
        <w:t>.</w:t>
      </w:r>
      <w:r w:rsidR="009A249A" w:rsidRPr="001B668D">
        <w:rPr>
          <w:lang w:val="en-GB"/>
        </w:rPr>
        <w:t xml:space="preserve"> </w:t>
      </w:r>
      <w:r w:rsidR="000306C7" w:rsidRPr="001B668D">
        <w:rPr>
          <w:lang w:val="en-GB"/>
        </w:rPr>
        <w:t>T</w:t>
      </w:r>
      <w:r w:rsidR="009A249A" w:rsidRPr="001B668D">
        <w:rPr>
          <w:lang w:val="en-GB"/>
        </w:rPr>
        <w:t xml:space="preserve">hird, update </w:t>
      </w:r>
      <w:r>
        <w:rPr>
          <w:lang w:val="en-GB"/>
        </w:rPr>
        <w:t xml:space="preserve">your </w:t>
      </w:r>
      <w:r w:rsidR="009A249A" w:rsidRPr="001B668D">
        <w:rPr>
          <w:lang w:val="en-GB"/>
        </w:rPr>
        <w:t>beliefs about stocks based on new information</w:t>
      </w:r>
      <w:r w:rsidR="00D44333">
        <w:rPr>
          <w:lang w:val="en-GB"/>
        </w:rPr>
        <w:t>,</w:t>
      </w:r>
      <w:r w:rsidR="00575256" w:rsidRPr="001B668D">
        <w:rPr>
          <w:lang w:val="en-GB"/>
        </w:rPr>
        <w:t xml:space="preserve"> and be willing to consciously </w:t>
      </w:r>
      <w:r w:rsidR="008E16AB">
        <w:rPr>
          <w:lang w:val="en-GB"/>
        </w:rPr>
        <w:t>relinquish</w:t>
      </w:r>
      <w:r w:rsidR="00575256" w:rsidRPr="001B668D">
        <w:rPr>
          <w:lang w:val="en-GB"/>
        </w:rPr>
        <w:t xml:space="preserve"> prior beliefs </w:t>
      </w:r>
      <w:r w:rsidR="008E16AB">
        <w:rPr>
          <w:lang w:val="en-GB"/>
        </w:rPr>
        <w:t>that</w:t>
      </w:r>
      <w:r w:rsidR="00575256" w:rsidRPr="001B668D">
        <w:rPr>
          <w:lang w:val="en-GB"/>
        </w:rPr>
        <w:t xml:space="preserve"> lack supporting evidence</w:t>
      </w:r>
      <w:r w:rsidR="009A249A" w:rsidRPr="001B668D">
        <w:rPr>
          <w:lang w:val="en-GB"/>
        </w:rPr>
        <w:t xml:space="preserve">. Lastly, use </w:t>
      </w:r>
      <w:r w:rsidR="00065C9C" w:rsidRPr="001B668D">
        <w:rPr>
          <w:lang w:val="en-GB"/>
        </w:rPr>
        <w:t>systematic and evidence-based</w:t>
      </w:r>
      <w:r w:rsidR="009A249A" w:rsidRPr="001B668D">
        <w:rPr>
          <w:lang w:val="en-GB"/>
        </w:rPr>
        <w:t xml:space="preserve"> processes to avoid “gut feel” decisions, and avoid “hot” </w:t>
      </w:r>
      <w:r w:rsidR="000306C7" w:rsidRPr="001B668D">
        <w:rPr>
          <w:lang w:val="en-GB"/>
        </w:rPr>
        <w:t xml:space="preserve">investments, </w:t>
      </w:r>
      <w:r>
        <w:rPr>
          <w:lang w:val="en-GB"/>
        </w:rPr>
        <w:t>such as</w:t>
      </w:r>
      <w:r w:rsidR="000306C7" w:rsidRPr="001B668D">
        <w:rPr>
          <w:lang w:val="en-GB"/>
        </w:rPr>
        <w:t xml:space="preserve"> those</w:t>
      </w:r>
      <w:r w:rsidR="009A249A" w:rsidRPr="001B668D">
        <w:rPr>
          <w:lang w:val="en-GB"/>
        </w:rPr>
        <w:t xml:space="preserve"> </w:t>
      </w:r>
      <w:r>
        <w:rPr>
          <w:lang w:val="en-GB"/>
        </w:rPr>
        <w:t xml:space="preserve">investments </w:t>
      </w:r>
      <w:r w:rsidR="009A249A" w:rsidRPr="001B668D">
        <w:rPr>
          <w:lang w:val="en-GB"/>
        </w:rPr>
        <w:t>that have recently doubled in value.</w:t>
      </w:r>
    </w:p>
    <w:p w14:paraId="51596317" w14:textId="77777777" w:rsidR="009A249A" w:rsidRPr="001B668D" w:rsidRDefault="009A249A" w:rsidP="00447C0C">
      <w:pPr>
        <w:pStyle w:val="BodyTextMain"/>
        <w:rPr>
          <w:lang w:val="en-GB"/>
        </w:rPr>
      </w:pPr>
    </w:p>
    <w:p w14:paraId="59E7D0A0" w14:textId="77777777" w:rsidR="009A249A" w:rsidRPr="001B668D" w:rsidRDefault="009A249A" w:rsidP="00447C0C">
      <w:pPr>
        <w:pStyle w:val="BodyTextMain"/>
        <w:rPr>
          <w:lang w:val="en-GB"/>
        </w:rPr>
      </w:pPr>
    </w:p>
    <w:p w14:paraId="557230C3" w14:textId="77777777" w:rsidR="009A249A" w:rsidRPr="001B668D" w:rsidRDefault="009A249A" w:rsidP="009A249A">
      <w:pPr>
        <w:rPr>
          <w:lang w:val="en-GB"/>
        </w:rPr>
      </w:pPr>
    </w:p>
    <w:p w14:paraId="3732C7EB" w14:textId="77777777" w:rsidR="00787E90" w:rsidRPr="001B668D" w:rsidRDefault="00787E90">
      <w:pPr>
        <w:spacing w:after="200" w:line="276" w:lineRule="auto"/>
        <w:rPr>
          <w:rFonts w:ascii="Arial" w:hAnsi="Arial" w:cs="Arial"/>
          <w:b/>
          <w:lang w:val="en-GB"/>
        </w:rPr>
      </w:pPr>
      <w:r w:rsidRPr="001B668D">
        <w:rPr>
          <w:lang w:val="en-GB"/>
        </w:rPr>
        <w:br w:type="page"/>
      </w:r>
    </w:p>
    <w:p w14:paraId="45328F1B" w14:textId="35A7B95C" w:rsidR="00601F84" w:rsidRPr="001B668D" w:rsidRDefault="00597B4E" w:rsidP="00377425">
      <w:pPr>
        <w:pStyle w:val="ExhibitHeading"/>
        <w:rPr>
          <w:lang w:val="en-GB"/>
        </w:rPr>
      </w:pPr>
      <w:r w:rsidRPr="001B668D">
        <w:rPr>
          <w:lang w:val="en-GB"/>
        </w:rPr>
        <w:lastRenderedPageBreak/>
        <w:t>EXHIBIT</w:t>
      </w:r>
      <w:r w:rsidR="009A249A" w:rsidRPr="001B668D">
        <w:rPr>
          <w:lang w:val="en-GB"/>
        </w:rPr>
        <w:t xml:space="preserve"> 1</w:t>
      </w:r>
      <w:r>
        <w:rPr>
          <w:lang w:val="en-GB"/>
        </w:rPr>
        <w:t xml:space="preserve">: </w:t>
      </w:r>
      <w:r w:rsidR="008852F0" w:rsidRPr="001B668D">
        <w:rPr>
          <w:lang w:val="en-GB"/>
        </w:rPr>
        <w:t>traditional versus behavioural finance models</w:t>
      </w:r>
    </w:p>
    <w:p w14:paraId="034F163B" w14:textId="77777777" w:rsidR="00601F84" w:rsidRPr="001B668D" w:rsidRDefault="00601F84" w:rsidP="00324F20">
      <w:pPr>
        <w:pStyle w:val="BodyTextMain"/>
        <w:rPr>
          <w:lang w:val="en-GB"/>
        </w:rPr>
      </w:pPr>
    </w:p>
    <w:tbl>
      <w:tblPr>
        <w:tblStyle w:val="TableGrid"/>
        <w:tblW w:w="0" w:type="auto"/>
        <w:jc w:val="center"/>
        <w:tblLook w:val="04A0" w:firstRow="1" w:lastRow="0" w:firstColumn="1" w:lastColumn="0" w:noHBand="0" w:noVBand="1"/>
      </w:tblPr>
      <w:tblGrid>
        <w:gridCol w:w="4675"/>
        <w:gridCol w:w="4675"/>
      </w:tblGrid>
      <w:tr w:rsidR="009A249A" w:rsidRPr="001B668D" w14:paraId="286ACBC9" w14:textId="77777777" w:rsidTr="00F30897">
        <w:trPr>
          <w:jc w:val="center"/>
        </w:trPr>
        <w:tc>
          <w:tcPr>
            <w:tcW w:w="4675" w:type="dxa"/>
          </w:tcPr>
          <w:p w14:paraId="6C587D33" w14:textId="77777777" w:rsidR="009A249A" w:rsidRPr="001B668D" w:rsidRDefault="009A249A" w:rsidP="00FB7345">
            <w:pPr>
              <w:pStyle w:val="ExhibitText"/>
              <w:jc w:val="center"/>
              <w:rPr>
                <w:b/>
                <w:lang w:val="en-GB" w:eastAsia="en-US"/>
              </w:rPr>
            </w:pPr>
            <w:r w:rsidRPr="001B668D">
              <w:rPr>
                <w:b/>
                <w:lang w:val="en-GB"/>
              </w:rPr>
              <w:t>Traditional Finance Models</w:t>
            </w:r>
          </w:p>
        </w:tc>
        <w:tc>
          <w:tcPr>
            <w:tcW w:w="4675" w:type="dxa"/>
          </w:tcPr>
          <w:p w14:paraId="19C7FE13" w14:textId="77777777" w:rsidR="009A249A" w:rsidRPr="001B668D" w:rsidRDefault="009A249A" w:rsidP="00FB7345">
            <w:pPr>
              <w:pStyle w:val="ExhibitText"/>
              <w:jc w:val="center"/>
              <w:rPr>
                <w:b/>
                <w:lang w:val="en-GB" w:eastAsia="en-US"/>
              </w:rPr>
            </w:pPr>
            <w:r w:rsidRPr="001B668D">
              <w:rPr>
                <w:b/>
                <w:lang w:val="en-GB"/>
              </w:rPr>
              <w:t>Behavioural Finance Models</w:t>
            </w:r>
          </w:p>
        </w:tc>
      </w:tr>
      <w:tr w:rsidR="009A249A" w:rsidRPr="001B668D" w14:paraId="2AA1A666" w14:textId="77777777" w:rsidTr="00F30897">
        <w:trPr>
          <w:jc w:val="center"/>
        </w:trPr>
        <w:tc>
          <w:tcPr>
            <w:tcW w:w="4675" w:type="dxa"/>
          </w:tcPr>
          <w:p w14:paraId="2418B04B" w14:textId="77777777" w:rsidR="009A249A" w:rsidRPr="001B668D" w:rsidRDefault="009A249A" w:rsidP="00377425">
            <w:pPr>
              <w:pStyle w:val="ExhibitText"/>
              <w:rPr>
                <w:b/>
                <w:lang w:val="en-GB"/>
              </w:rPr>
            </w:pPr>
            <w:r w:rsidRPr="001B668D">
              <w:rPr>
                <w:b/>
                <w:lang w:val="en-GB"/>
              </w:rPr>
              <w:t>Assumptions:</w:t>
            </w:r>
          </w:p>
          <w:p w14:paraId="622FF1A7" w14:textId="314A539B" w:rsidR="009A249A" w:rsidRPr="001B668D" w:rsidRDefault="009A249A" w:rsidP="00597B4E">
            <w:pPr>
              <w:pStyle w:val="ExhibitText"/>
              <w:numPr>
                <w:ilvl w:val="0"/>
                <w:numId w:val="34"/>
              </w:numPr>
              <w:ind w:left="284" w:hanging="284"/>
              <w:rPr>
                <w:lang w:val="en-GB"/>
              </w:rPr>
            </w:pPr>
            <w:r w:rsidRPr="001B668D">
              <w:rPr>
                <w:lang w:val="en-GB"/>
              </w:rPr>
              <w:t>Markets are frictionless</w:t>
            </w:r>
            <w:r w:rsidR="00D44333">
              <w:rPr>
                <w:lang w:val="en-GB"/>
              </w:rPr>
              <w:t>.</w:t>
            </w:r>
          </w:p>
          <w:p w14:paraId="64568DA6" w14:textId="0B763A8D" w:rsidR="009A249A" w:rsidRPr="001B668D" w:rsidRDefault="009A249A" w:rsidP="00597B4E">
            <w:pPr>
              <w:pStyle w:val="ExhibitText"/>
              <w:numPr>
                <w:ilvl w:val="0"/>
                <w:numId w:val="34"/>
              </w:numPr>
              <w:ind w:left="284" w:hanging="284"/>
              <w:rPr>
                <w:lang w:val="en-GB"/>
              </w:rPr>
            </w:pPr>
            <w:r w:rsidRPr="001B668D">
              <w:rPr>
                <w:lang w:val="en-GB"/>
              </w:rPr>
              <w:t>Investors are rational</w:t>
            </w:r>
            <w:r w:rsidR="00D44333">
              <w:rPr>
                <w:lang w:val="en-GB"/>
              </w:rPr>
              <w:t>:</w:t>
            </w:r>
          </w:p>
          <w:p w14:paraId="67850E6A" w14:textId="51B0F383" w:rsidR="009A249A" w:rsidRPr="001B668D" w:rsidRDefault="00597B4E" w:rsidP="00F30897">
            <w:pPr>
              <w:pStyle w:val="ExhibitText"/>
              <w:ind w:left="504" w:hanging="216"/>
              <w:jc w:val="left"/>
              <w:rPr>
                <w:lang w:val="en-GB" w:eastAsia="en-US"/>
              </w:rPr>
            </w:pPr>
            <w:r>
              <w:rPr>
                <w:lang w:val="en-GB"/>
              </w:rPr>
              <w:t>–</w:t>
            </w:r>
            <w:r>
              <w:rPr>
                <w:lang w:val="en-GB"/>
              </w:rPr>
              <w:tab/>
            </w:r>
            <w:r w:rsidR="009A249A" w:rsidRPr="001B668D">
              <w:rPr>
                <w:lang w:val="en-GB"/>
              </w:rPr>
              <w:t xml:space="preserve">Behaviour </w:t>
            </w:r>
            <w:r w:rsidR="00601F72">
              <w:rPr>
                <w:lang w:val="en-GB"/>
              </w:rPr>
              <w:t xml:space="preserve">is </w:t>
            </w:r>
            <w:r w:rsidR="009A249A" w:rsidRPr="001B668D">
              <w:rPr>
                <w:lang w:val="en-GB"/>
              </w:rPr>
              <w:t>consistent with expected utility maximization</w:t>
            </w:r>
            <w:r w:rsidR="00D44333">
              <w:rPr>
                <w:lang w:val="en-GB"/>
              </w:rPr>
              <w:t>.</w:t>
            </w:r>
          </w:p>
          <w:p w14:paraId="7686F509" w14:textId="0C7ABC97" w:rsidR="009A249A" w:rsidRPr="001B668D" w:rsidRDefault="00597B4E" w:rsidP="00F30897">
            <w:pPr>
              <w:pStyle w:val="ExhibitText"/>
              <w:ind w:left="504" w:hanging="216"/>
              <w:jc w:val="left"/>
              <w:rPr>
                <w:lang w:val="en-GB" w:eastAsia="en-US"/>
              </w:rPr>
            </w:pPr>
            <w:r>
              <w:rPr>
                <w:lang w:val="en-GB"/>
              </w:rPr>
              <w:t>–</w:t>
            </w:r>
            <w:r>
              <w:rPr>
                <w:lang w:val="en-GB"/>
              </w:rPr>
              <w:tab/>
            </w:r>
            <w:r w:rsidR="00601F72">
              <w:rPr>
                <w:lang w:val="en-GB"/>
              </w:rPr>
              <w:t>B</w:t>
            </w:r>
            <w:r w:rsidR="009A249A" w:rsidRPr="001B668D">
              <w:rPr>
                <w:lang w:val="en-GB"/>
              </w:rPr>
              <w:t xml:space="preserve">eliefs </w:t>
            </w:r>
            <w:r w:rsidR="00601F72">
              <w:rPr>
                <w:lang w:val="en-GB"/>
              </w:rPr>
              <w:t xml:space="preserve">are updated </w:t>
            </w:r>
            <w:r w:rsidR="009A249A" w:rsidRPr="001B668D">
              <w:rPr>
                <w:lang w:val="en-GB"/>
              </w:rPr>
              <w:t>correctly when new information is received</w:t>
            </w:r>
            <w:r w:rsidR="00D44333">
              <w:rPr>
                <w:lang w:val="en-GB"/>
              </w:rPr>
              <w:t>.</w:t>
            </w:r>
          </w:p>
          <w:p w14:paraId="2D1881D3" w14:textId="77777777" w:rsidR="008852F0" w:rsidRPr="001B668D" w:rsidRDefault="008852F0" w:rsidP="00377425">
            <w:pPr>
              <w:pStyle w:val="ExhibitText"/>
              <w:rPr>
                <w:lang w:val="en-GB"/>
              </w:rPr>
            </w:pPr>
          </w:p>
          <w:p w14:paraId="32735621" w14:textId="77777777" w:rsidR="009A249A" w:rsidRPr="001B668D" w:rsidRDefault="009A249A" w:rsidP="00377425">
            <w:pPr>
              <w:pStyle w:val="ExhibitText"/>
              <w:rPr>
                <w:b/>
                <w:lang w:val="en-GB"/>
              </w:rPr>
            </w:pPr>
            <w:r w:rsidRPr="001B668D">
              <w:rPr>
                <w:b/>
                <w:lang w:val="en-GB"/>
              </w:rPr>
              <w:t>Implications:</w:t>
            </w:r>
          </w:p>
          <w:p w14:paraId="0DBBED35" w14:textId="1516F737" w:rsidR="009A249A" w:rsidRPr="001B668D" w:rsidRDefault="00D44333" w:rsidP="00FB7345">
            <w:pPr>
              <w:pStyle w:val="ExhibitText"/>
              <w:numPr>
                <w:ilvl w:val="0"/>
                <w:numId w:val="34"/>
              </w:numPr>
              <w:ind w:left="284" w:hanging="284"/>
              <w:rPr>
                <w:lang w:val="en-GB" w:eastAsia="en-US"/>
              </w:rPr>
            </w:pPr>
            <w:r>
              <w:rPr>
                <w:lang w:val="en-GB"/>
              </w:rPr>
              <w:t>There is n</w:t>
            </w:r>
            <w:r w:rsidRPr="001B668D">
              <w:rPr>
                <w:lang w:val="en-GB"/>
              </w:rPr>
              <w:t xml:space="preserve">o </w:t>
            </w:r>
            <w:r w:rsidR="009A249A" w:rsidRPr="001B668D">
              <w:rPr>
                <w:lang w:val="en-GB"/>
              </w:rPr>
              <w:t>opportunity for arbitrage</w:t>
            </w:r>
            <w:r>
              <w:rPr>
                <w:lang w:val="en-GB"/>
              </w:rPr>
              <w:t>.</w:t>
            </w:r>
          </w:p>
          <w:p w14:paraId="7D87CD16" w14:textId="7679F080" w:rsidR="009A249A" w:rsidRPr="001B668D" w:rsidRDefault="009A249A" w:rsidP="00FB7345">
            <w:pPr>
              <w:pStyle w:val="ExhibitText"/>
              <w:numPr>
                <w:ilvl w:val="0"/>
                <w:numId w:val="34"/>
              </w:numPr>
              <w:ind w:left="284" w:hanging="284"/>
              <w:rPr>
                <w:lang w:val="en-GB" w:eastAsia="en-US"/>
              </w:rPr>
            </w:pPr>
            <w:r w:rsidRPr="001B668D">
              <w:rPr>
                <w:lang w:val="en-GB"/>
              </w:rPr>
              <w:t>Market price equals fundamental value</w:t>
            </w:r>
            <w:r w:rsidR="00D44333">
              <w:rPr>
                <w:lang w:val="en-GB"/>
              </w:rPr>
              <w:t>.</w:t>
            </w:r>
          </w:p>
        </w:tc>
        <w:tc>
          <w:tcPr>
            <w:tcW w:w="4675" w:type="dxa"/>
          </w:tcPr>
          <w:p w14:paraId="5DD3C618" w14:textId="77777777" w:rsidR="009A249A" w:rsidRPr="001B668D" w:rsidRDefault="009A249A" w:rsidP="00377425">
            <w:pPr>
              <w:pStyle w:val="ExhibitText"/>
              <w:rPr>
                <w:b/>
                <w:lang w:val="en-GB"/>
              </w:rPr>
            </w:pPr>
            <w:r w:rsidRPr="001B668D">
              <w:rPr>
                <w:b/>
                <w:lang w:val="en-GB"/>
              </w:rPr>
              <w:t>Observations:</w:t>
            </w:r>
          </w:p>
          <w:p w14:paraId="20635F5C" w14:textId="3F0C4DC5" w:rsidR="009A249A" w:rsidRPr="001B668D" w:rsidRDefault="009A249A" w:rsidP="00597B4E">
            <w:pPr>
              <w:pStyle w:val="ExhibitText"/>
              <w:numPr>
                <w:ilvl w:val="0"/>
                <w:numId w:val="36"/>
              </w:numPr>
              <w:ind w:left="276" w:hanging="276"/>
              <w:rPr>
                <w:lang w:val="en-GB"/>
              </w:rPr>
            </w:pPr>
            <w:r w:rsidRPr="001B668D">
              <w:rPr>
                <w:lang w:val="en-GB"/>
              </w:rPr>
              <w:t>Markets are not frictionless</w:t>
            </w:r>
            <w:r w:rsidR="00D44333">
              <w:rPr>
                <w:lang w:val="en-GB"/>
              </w:rPr>
              <w:t>.</w:t>
            </w:r>
          </w:p>
          <w:p w14:paraId="1F4E21B1" w14:textId="240DEC61" w:rsidR="009A249A" w:rsidRPr="001B668D" w:rsidRDefault="009A249A" w:rsidP="00597B4E">
            <w:pPr>
              <w:pStyle w:val="ExhibitText"/>
              <w:numPr>
                <w:ilvl w:val="0"/>
                <w:numId w:val="36"/>
              </w:numPr>
              <w:ind w:left="276" w:hanging="276"/>
              <w:rPr>
                <w:lang w:val="en-GB"/>
              </w:rPr>
            </w:pPr>
            <w:r w:rsidRPr="001B668D">
              <w:rPr>
                <w:lang w:val="en-GB"/>
              </w:rPr>
              <w:t>Not all investors are rational</w:t>
            </w:r>
            <w:r w:rsidR="00D44333">
              <w:rPr>
                <w:lang w:val="en-GB"/>
              </w:rPr>
              <w:t>.</w:t>
            </w:r>
          </w:p>
          <w:p w14:paraId="136F51E7" w14:textId="2D16B84C" w:rsidR="009A249A" w:rsidRPr="00085152" w:rsidRDefault="009A249A" w:rsidP="00F30897">
            <w:pPr>
              <w:pStyle w:val="BodyTextMain"/>
              <w:numPr>
                <w:ilvl w:val="0"/>
                <w:numId w:val="43"/>
              </w:numPr>
              <w:ind w:left="504" w:hanging="216"/>
              <w:rPr>
                <w:rFonts w:ascii="Arial" w:hAnsi="Arial" w:cs="Arial"/>
                <w:sz w:val="20"/>
                <w:szCs w:val="20"/>
              </w:rPr>
            </w:pPr>
            <w:r w:rsidRPr="00085152">
              <w:rPr>
                <w:rFonts w:ascii="Arial" w:hAnsi="Arial" w:cs="Arial"/>
                <w:sz w:val="20"/>
                <w:szCs w:val="20"/>
              </w:rPr>
              <w:t xml:space="preserve">Investor </w:t>
            </w:r>
            <w:r w:rsidR="00D44333">
              <w:rPr>
                <w:rFonts w:ascii="Arial" w:hAnsi="Arial" w:cs="Arial"/>
                <w:sz w:val="20"/>
                <w:szCs w:val="20"/>
              </w:rPr>
              <w:t>p</w:t>
            </w:r>
            <w:r w:rsidR="00D44333" w:rsidRPr="00085152">
              <w:rPr>
                <w:rFonts w:ascii="Arial" w:hAnsi="Arial" w:cs="Arial"/>
                <w:sz w:val="20"/>
                <w:szCs w:val="20"/>
              </w:rPr>
              <w:t>sychology</w:t>
            </w:r>
            <w:r w:rsidR="00D44333">
              <w:rPr>
                <w:rFonts w:ascii="Arial" w:hAnsi="Arial" w:cs="Arial"/>
                <w:sz w:val="20"/>
                <w:szCs w:val="20"/>
              </w:rPr>
              <w:t xml:space="preserve">: </w:t>
            </w:r>
          </w:p>
          <w:p w14:paraId="30A5D326" w14:textId="5BA901BE" w:rsidR="009A249A" w:rsidRPr="00085152" w:rsidRDefault="009A249A" w:rsidP="00F30897">
            <w:pPr>
              <w:pStyle w:val="BodyTextMain"/>
              <w:numPr>
                <w:ilvl w:val="0"/>
                <w:numId w:val="44"/>
              </w:numPr>
              <w:ind w:hanging="216"/>
              <w:rPr>
                <w:rFonts w:ascii="Arial" w:hAnsi="Arial" w:cs="Arial"/>
                <w:sz w:val="20"/>
                <w:szCs w:val="20"/>
                <w:lang w:val="en-CA"/>
              </w:rPr>
            </w:pPr>
            <w:r w:rsidRPr="00085152">
              <w:rPr>
                <w:rFonts w:ascii="Arial" w:hAnsi="Arial" w:cs="Arial"/>
                <w:sz w:val="20"/>
                <w:szCs w:val="20"/>
                <w:lang w:val="en-CA"/>
              </w:rPr>
              <w:t xml:space="preserve">Framing </w:t>
            </w:r>
            <w:r w:rsidR="00D44333">
              <w:rPr>
                <w:rFonts w:ascii="Arial" w:hAnsi="Arial" w:cs="Arial"/>
                <w:sz w:val="20"/>
                <w:szCs w:val="20"/>
                <w:lang w:val="en-CA"/>
              </w:rPr>
              <w:t>e</w:t>
            </w:r>
            <w:r w:rsidR="00D44333" w:rsidRPr="00085152">
              <w:rPr>
                <w:rFonts w:ascii="Arial" w:hAnsi="Arial" w:cs="Arial"/>
                <w:sz w:val="20"/>
                <w:szCs w:val="20"/>
                <w:lang w:val="en-CA"/>
              </w:rPr>
              <w:t>ffects</w:t>
            </w:r>
          </w:p>
          <w:p w14:paraId="64A2368A" w14:textId="77777777" w:rsidR="009A249A" w:rsidRPr="00085152" w:rsidRDefault="009A249A" w:rsidP="00F30897">
            <w:pPr>
              <w:pStyle w:val="BodyTextMain"/>
              <w:numPr>
                <w:ilvl w:val="0"/>
                <w:numId w:val="44"/>
              </w:numPr>
              <w:ind w:hanging="216"/>
              <w:rPr>
                <w:rFonts w:ascii="Arial" w:hAnsi="Arial" w:cs="Arial"/>
                <w:sz w:val="20"/>
                <w:szCs w:val="20"/>
                <w:lang w:val="en-CA"/>
              </w:rPr>
            </w:pPr>
            <w:r w:rsidRPr="00085152">
              <w:rPr>
                <w:rFonts w:ascii="Arial" w:hAnsi="Arial" w:cs="Arial"/>
                <w:sz w:val="20"/>
                <w:szCs w:val="20"/>
                <w:lang w:val="en-CA"/>
              </w:rPr>
              <w:t>Biases</w:t>
            </w:r>
          </w:p>
          <w:p w14:paraId="3E132EE4" w14:textId="77777777" w:rsidR="009A249A" w:rsidRPr="00085152" w:rsidRDefault="009A249A" w:rsidP="00F30897">
            <w:pPr>
              <w:pStyle w:val="BodyTextMain"/>
              <w:numPr>
                <w:ilvl w:val="0"/>
                <w:numId w:val="44"/>
              </w:numPr>
              <w:ind w:hanging="216"/>
              <w:rPr>
                <w:rFonts w:ascii="Arial" w:hAnsi="Arial" w:cs="Arial"/>
                <w:sz w:val="20"/>
                <w:szCs w:val="20"/>
                <w:lang w:val="en-CA"/>
              </w:rPr>
            </w:pPr>
            <w:r w:rsidRPr="00085152">
              <w:rPr>
                <w:rFonts w:ascii="Arial" w:hAnsi="Arial" w:cs="Arial"/>
                <w:sz w:val="20"/>
                <w:szCs w:val="20"/>
                <w:lang w:val="en-CA"/>
              </w:rPr>
              <w:t>Heuristics</w:t>
            </w:r>
          </w:p>
          <w:p w14:paraId="20394648" w14:textId="77777777" w:rsidR="008852F0" w:rsidRPr="001B668D" w:rsidRDefault="008852F0" w:rsidP="00377425">
            <w:pPr>
              <w:pStyle w:val="ExhibitText"/>
              <w:rPr>
                <w:lang w:val="en-GB"/>
              </w:rPr>
            </w:pPr>
          </w:p>
          <w:p w14:paraId="00FAA3BE" w14:textId="77777777" w:rsidR="009A249A" w:rsidRPr="001B668D" w:rsidRDefault="009A249A" w:rsidP="00377425">
            <w:pPr>
              <w:pStyle w:val="ExhibitText"/>
              <w:rPr>
                <w:b/>
                <w:lang w:val="en-GB"/>
              </w:rPr>
            </w:pPr>
            <w:r w:rsidRPr="001B668D">
              <w:rPr>
                <w:b/>
                <w:lang w:val="en-GB"/>
              </w:rPr>
              <w:t>Implications:</w:t>
            </w:r>
          </w:p>
          <w:p w14:paraId="2A686B5E" w14:textId="7DB4B075" w:rsidR="009A249A" w:rsidRPr="001B668D" w:rsidRDefault="00D44333" w:rsidP="00FB7345">
            <w:pPr>
              <w:pStyle w:val="ExhibitText"/>
              <w:numPr>
                <w:ilvl w:val="0"/>
                <w:numId w:val="36"/>
              </w:numPr>
              <w:ind w:left="276" w:hanging="276"/>
              <w:rPr>
                <w:lang w:val="en-GB" w:eastAsia="en-US"/>
              </w:rPr>
            </w:pPr>
            <w:r>
              <w:rPr>
                <w:lang w:val="en-GB"/>
              </w:rPr>
              <w:t>There are l</w:t>
            </w:r>
            <w:r w:rsidRPr="001B668D">
              <w:rPr>
                <w:lang w:val="en-GB"/>
              </w:rPr>
              <w:t xml:space="preserve">imits </w:t>
            </w:r>
            <w:r w:rsidR="009A249A" w:rsidRPr="001B668D">
              <w:rPr>
                <w:lang w:val="en-GB"/>
              </w:rPr>
              <w:t>to arbitrage</w:t>
            </w:r>
            <w:r>
              <w:rPr>
                <w:lang w:val="en-GB"/>
              </w:rPr>
              <w:t>.</w:t>
            </w:r>
          </w:p>
          <w:p w14:paraId="02EBC999" w14:textId="23959EC5" w:rsidR="009A249A" w:rsidRPr="001B668D" w:rsidRDefault="009A249A" w:rsidP="00FB7345">
            <w:pPr>
              <w:pStyle w:val="ExhibitText"/>
              <w:numPr>
                <w:ilvl w:val="0"/>
                <w:numId w:val="36"/>
              </w:numPr>
              <w:ind w:left="276" w:hanging="276"/>
              <w:jc w:val="left"/>
              <w:rPr>
                <w:lang w:val="en-GB" w:eastAsia="en-US"/>
              </w:rPr>
            </w:pPr>
            <w:r w:rsidRPr="001B668D">
              <w:rPr>
                <w:lang w:val="en-GB"/>
              </w:rPr>
              <w:t xml:space="preserve">Market price does not </w:t>
            </w:r>
            <w:r w:rsidR="00BC6D05" w:rsidRPr="001B668D">
              <w:rPr>
                <w:lang w:val="en-GB"/>
              </w:rPr>
              <w:t xml:space="preserve">necessarily </w:t>
            </w:r>
            <w:r w:rsidRPr="001B668D">
              <w:rPr>
                <w:lang w:val="en-GB"/>
              </w:rPr>
              <w:t>equal fundamental value</w:t>
            </w:r>
            <w:r w:rsidR="00D44333">
              <w:rPr>
                <w:lang w:val="en-GB"/>
              </w:rPr>
              <w:t>.</w:t>
            </w:r>
          </w:p>
        </w:tc>
      </w:tr>
    </w:tbl>
    <w:p w14:paraId="6D7F363B" w14:textId="77777777" w:rsidR="00F30897" w:rsidRDefault="00F30897" w:rsidP="00324F20">
      <w:pPr>
        <w:pStyle w:val="FootnoteText1"/>
        <w:rPr>
          <w:lang w:val="en-GB"/>
        </w:rPr>
      </w:pPr>
    </w:p>
    <w:p w14:paraId="32153510" w14:textId="26127D2F" w:rsidR="00377425" w:rsidRPr="001B668D" w:rsidRDefault="00377425" w:rsidP="00324F20">
      <w:pPr>
        <w:pStyle w:val="FootnoteText1"/>
        <w:rPr>
          <w:lang w:val="en-GB"/>
        </w:rPr>
      </w:pPr>
      <w:r w:rsidRPr="001B668D">
        <w:rPr>
          <w:lang w:val="en-GB"/>
        </w:rPr>
        <w:t xml:space="preserve">Source: </w:t>
      </w:r>
      <w:r w:rsidR="00597B4E">
        <w:rPr>
          <w:lang w:val="en-GB"/>
        </w:rPr>
        <w:t>Created by the c</w:t>
      </w:r>
      <w:r w:rsidRPr="001B668D">
        <w:rPr>
          <w:lang w:val="en-GB"/>
        </w:rPr>
        <w:t>ase</w:t>
      </w:r>
      <w:r w:rsidR="00AD5597">
        <w:rPr>
          <w:lang w:val="en-GB"/>
        </w:rPr>
        <w:t xml:space="preserve"> </w:t>
      </w:r>
      <w:r w:rsidRPr="001B668D">
        <w:rPr>
          <w:lang w:val="en-GB"/>
        </w:rPr>
        <w:t>writer</w:t>
      </w:r>
      <w:r w:rsidR="00597B4E">
        <w:rPr>
          <w:lang w:val="en-GB"/>
        </w:rPr>
        <w:t>.</w:t>
      </w:r>
      <w:r w:rsidR="001B668D" w:rsidRPr="001B668D">
        <w:rPr>
          <w:lang w:val="en-GB"/>
        </w:rPr>
        <w:t xml:space="preserve"> </w:t>
      </w:r>
    </w:p>
    <w:p w14:paraId="3E0B4CF2" w14:textId="77777777" w:rsidR="00601F84" w:rsidRPr="001B668D" w:rsidRDefault="00601F84" w:rsidP="00324F20">
      <w:pPr>
        <w:pStyle w:val="BodyTextMain"/>
        <w:rPr>
          <w:lang w:val="en-GB"/>
        </w:rPr>
      </w:pPr>
    </w:p>
    <w:p w14:paraId="19F8EF2A" w14:textId="77777777" w:rsidR="002A688C" w:rsidRPr="001B668D" w:rsidRDefault="002A688C" w:rsidP="00324F20">
      <w:pPr>
        <w:pStyle w:val="BodyTextMain"/>
        <w:rPr>
          <w:lang w:val="en-GB"/>
        </w:rPr>
      </w:pPr>
    </w:p>
    <w:p w14:paraId="68DA4118" w14:textId="77777777" w:rsidR="00377425" w:rsidRPr="001B668D" w:rsidRDefault="00377425" w:rsidP="00324F20">
      <w:pPr>
        <w:pStyle w:val="BodyTextMain"/>
        <w:rPr>
          <w:lang w:val="en-GB"/>
        </w:rPr>
      </w:pPr>
    </w:p>
    <w:p w14:paraId="495388D7" w14:textId="37010FAF" w:rsidR="008852F0" w:rsidRPr="001B668D" w:rsidRDefault="009A249A" w:rsidP="008852F0">
      <w:pPr>
        <w:pStyle w:val="ExhibitHeading"/>
        <w:rPr>
          <w:lang w:val="en-GB"/>
        </w:rPr>
      </w:pPr>
      <w:r w:rsidRPr="001B668D">
        <w:rPr>
          <w:lang w:val="en-GB"/>
        </w:rPr>
        <w:t xml:space="preserve">Exhibit </w:t>
      </w:r>
      <w:r w:rsidR="002A688C" w:rsidRPr="001B668D">
        <w:rPr>
          <w:lang w:val="en-GB"/>
        </w:rPr>
        <w:t>2</w:t>
      </w:r>
      <w:r w:rsidR="00597B4E">
        <w:rPr>
          <w:lang w:val="en-GB"/>
        </w:rPr>
        <w:t xml:space="preserve">: </w:t>
      </w:r>
      <w:r w:rsidR="008852F0" w:rsidRPr="001B668D">
        <w:rPr>
          <w:lang w:val="en-GB"/>
        </w:rPr>
        <w:t>Framing effect: prospect theory</w:t>
      </w:r>
    </w:p>
    <w:p w14:paraId="44A17D30" w14:textId="77777777" w:rsidR="00002463" w:rsidRPr="001B668D" w:rsidRDefault="00002463" w:rsidP="00324F20">
      <w:pPr>
        <w:pStyle w:val="BodyTextMain"/>
        <w:rPr>
          <w:lang w:val="en-GB"/>
        </w:rPr>
      </w:pPr>
    </w:p>
    <w:p w14:paraId="7276A048" w14:textId="2F3A477F" w:rsidR="008852F0" w:rsidRPr="00F30897" w:rsidRDefault="00002463" w:rsidP="00F30897">
      <w:pPr>
        <w:pStyle w:val="BodyTextMain"/>
        <w:jc w:val="center"/>
      </w:pPr>
      <w:r w:rsidRPr="001B668D">
        <w:rPr>
          <w:noProof/>
          <w:lang w:val="en-GB" w:eastAsia="en-GB"/>
        </w:rPr>
        <w:drawing>
          <wp:inline distT="0" distB="0" distL="0" distR="0" wp14:anchorId="04535601" wp14:editId="2FDF1F6D">
            <wp:extent cx="4095399" cy="21343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Effect>
                                <a14:brightnessContrast contrast="-40000"/>
                              </a14:imgEffect>
                            </a14:imgLayer>
                          </a14:imgProps>
                        </a:ext>
                      </a:extLst>
                    </a:blip>
                    <a:stretch>
                      <a:fillRect/>
                    </a:stretch>
                  </pic:blipFill>
                  <pic:spPr>
                    <a:xfrm>
                      <a:off x="0" y="0"/>
                      <a:ext cx="4122900" cy="2148665"/>
                    </a:xfrm>
                    <a:prstGeom prst="rect">
                      <a:avLst/>
                    </a:prstGeom>
                  </pic:spPr>
                </pic:pic>
              </a:graphicData>
            </a:graphic>
          </wp:inline>
        </w:drawing>
      </w:r>
    </w:p>
    <w:p w14:paraId="44505BC9" w14:textId="77777777" w:rsidR="00F30897" w:rsidRDefault="00F30897" w:rsidP="00324F20">
      <w:pPr>
        <w:pStyle w:val="FootnoteText1"/>
        <w:rPr>
          <w:lang w:val="en-GB"/>
        </w:rPr>
      </w:pPr>
    </w:p>
    <w:p w14:paraId="6F89CBBC" w14:textId="5DA2D48A" w:rsidR="00693B96" w:rsidRDefault="008852F0" w:rsidP="00324F20">
      <w:pPr>
        <w:pStyle w:val="FootnoteText1"/>
        <w:rPr>
          <w:lang w:val="en-GB"/>
        </w:rPr>
      </w:pPr>
      <w:r w:rsidRPr="001B668D">
        <w:rPr>
          <w:lang w:val="en-GB"/>
        </w:rPr>
        <w:t xml:space="preserve">Source: </w:t>
      </w:r>
      <w:r w:rsidR="00597B4E">
        <w:rPr>
          <w:lang w:val="en-GB"/>
        </w:rPr>
        <w:t>Created by the c</w:t>
      </w:r>
      <w:r w:rsidRPr="001B668D">
        <w:rPr>
          <w:lang w:val="en-GB"/>
        </w:rPr>
        <w:t>ase</w:t>
      </w:r>
      <w:r w:rsidR="00AD5597">
        <w:rPr>
          <w:lang w:val="en-GB"/>
        </w:rPr>
        <w:t xml:space="preserve"> </w:t>
      </w:r>
      <w:r w:rsidRPr="001B668D">
        <w:rPr>
          <w:lang w:val="en-GB"/>
        </w:rPr>
        <w:t>writer</w:t>
      </w:r>
      <w:r w:rsidR="002A688C" w:rsidRPr="001B668D">
        <w:rPr>
          <w:lang w:val="en-GB"/>
        </w:rPr>
        <w:t xml:space="preserve"> based on </w:t>
      </w:r>
      <w:r w:rsidR="00601F72">
        <w:rPr>
          <w:lang w:val="en-GB"/>
        </w:rPr>
        <w:t xml:space="preserve">Daniel </w:t>
      </w:r>
      <w:r w:rsidR="002A688C" w:rsidRPr="001B668D">
        <w:rPr>
          <w:lang w:val="en-GB"/>
        </w:rPr>
        <w:t xml:space="preserve">Kahneman and Amos Tversky, </w:t>
      </w:r>
      <w:r w:rsidR="00D44333">
        <w:rPr>
          <w:lang w:val="en-GB"/>
        </w:rPr>
        <w:t>“</w:t>
      </w:r>
      <w:r w:rsidR="002A688C" w:rsidRPr="001B668D">
        <w:rPr>
          <w:lang w:val="en-GB"/>
        </w:rPr>
        <w:t>Prospect Theory: An Analysis of Decision under Risk</w:t>
      </w:r>
      <w:r w:rsidR="00D44333" w:rsidRPr="001B668D">
        <w:rPr>
          <w:lang w:val="en-GB"/>
        </w:rPr>
        <w:t>,</w:t>
      </w:r>
      <w:r w:rsidR="00D44333">
        <w:rPr>
          <w:lang w:val="en-GB"/>
        </w:rPr>
        <w:t>”</w:t>
      </w:r>
      <w:r w:rsidR="00D44333" w:rsidRPr="001B668D">
        <w:rPr>
          <w:lang w:val="en-GB"/>
        </w:rPr>
        <w:t xml:space="preserve"> </w:t>
      </w:r>
      <w:r w:rsidR="002A688C" w:rsidRPr="00FB7345">
        <w:rPr>
          <w:i/>
          <w:lang w:val="en-GB"/>
        </w:rPr>
        <w:t>Econometrica</w:t>
      </w:r>
      <w:r w:rsidR="002A688C" w:rsidRPr="001B668D">
        <w:rPr>
          <w:lang w:val="en-GB"/>
        </w:rPr>
        <w:t xml:space="preserve"> 47</w:t>
      </w:r>
      <w:r w:rsidR="00601F72">
        <w:rPr>
          <w:lang w:val="en-GB"/>
        </w:rPr>
        <w:t>, no,</w:t>
      </w:r>
      <w:r w:rsidR="002A688C" w:rsidRPr="001B668D">
        <w:rPr>
          <w:lang w:val="en-GB"/>
        </w:rPr>
        <w:t xml:space="preserve"> 2</w:t>
      </w:r>
      <w:r w:rsidR="00601F72">
        <w:rPr>
          <w:lang w:val="en-GB"/>
        </w:rPr>
        <w:t xml:space="preserve"> (1979)</w:t>
      </w:r>
      <w:r w:rsidR="002A688C" w:rsidRPr="001B668D">
        <w:rPr>
          <w:lang w:val="en-GB"/>
        </w:rPr>
        <w:t>, Figure 3.</w:t>
      </w:r>
      <w:r w:rsidR="001B668D" w:rsidRPr="001B668D">
        <w:rPr>
          <w:lang w:val="en-GB"/>
        </w:rPr>
        <w:t xml:space="preserve"> </w:t>
      </w:r>
      <w:r w:rsidR="00D44333">
        <w:rPr>
          <w:lang w:val="en-GB"/>
        </w:rPr>
        <w:t>doi:</w:t>
      </w:r>
      <w:r w:rsidR="00D44333" w:rsidRPr="00D44333">
        <w:rPr>
          <w:lang w:val="en-GB"/>
        </w:rPr>
        <w:t>10.2307/1914185</w:t>
      </w:r>
      <w:r w:rsidR="00D44333">
        <w:rPr>
          <w:lang w:val="en-GB"/>
        </w:rPr>
        <w:t>.</w:t>
      </w:r>
    </w:p>
    <w:p w14:paraId="1A697D45" w14:textId="77777777" w:rsidR="00693B96" w:rsidRDefault="00693B96">
      <w:pPr>
        <w:spacing w:after="200" w:line="276" w:lineRule="auto"/>
        <w:rPr>
          <w:rFonts w:ascii="Arial" w:hAnsi="Arial" w:cs="Arial"/>
          <w:sz w:val="17"/>
          <w:szCs w:val="17"/>
          <w:lang w:val="en-GB"/>
        </w:rPr>
      </w:pPr>
      <w:r>
        <w:rPr>
          <w:rFonts w:ascii="Arial" w:hAnsi="Arial" w:cs="Arial"/>
          <w:sz w:val="17"/>
          <w:szCs w:val="17"/>
          <w:lang w:val="en-GB"/>
        </w:rPr>
        <w:br w:type="page"/>
      </w:r>
    </w:p>
    <w:p w14:paraId="489A87B0" w14:textId="5BF782AD" w:rsidR="008852F0" w:rsidRPr="001B668D" w:rsidRDefault="00693B96" w:rsidP="00693B96">
      <w:pPr>
        <w:pStyle w:val="Casehead1"/>
        <w:rPr>
          <w:lang w:val="en-GB"/>
        </w:rPr>
      </w:pPr>
      <w:r>
        <w:rPr>
          <w:lang w:val="en-GB"/>
        </w:rPr>
        <w:lastRenderedPageBreak/>
        <w:t>ENDNOTES</w:t>
      </w:r>
    </w:p>
    <w:sectPr w:rsidR="008852F0" w:rsidRPr="001B668D" w:rsidSect="005C233C">
      <w:headerReference w:type="default" r:id="rId14"/>
      <w:endnotePr>
        <w:numFmt w:val="decimal"/>
      </w:endnotePr>
      <w:pgSz w:w="12240" w:h="15840"/>
      <w:pgMar w:top="1080" w:right="1440" w:bottom="1440" w:left="1440" w:header="108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0B5BCE" w15:done="0"/>
  <w15:commentEx w15:paraId="5CB02997" w15:done="0"/>
  <w15:commentEx w15:paraId="7F3A5781" w15:done="0"/>
  <w15:commentEx w15:paraId="64B332BF" w15:done="0"/>
  <w15:commentEx w15:paraId="4F3CD4B5" w15:done="0"/>
  <w15:commentEx w15:paraId="1297EF0F" w15:done="0"/>
  <w15:commentEx w15:paraId="37B83690" w15:done="0"/>
  <w15:commentEx w15:paraId="7DE93D3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8D10A5" w14:textId="77777777" w:rsidR="00880714" w:rsidRDefault="00880714" w:rsidP="00D75295">
      <w:r>
        <w:separator/>
      </w:r>
    </w:p>
  </w:endnote>
  <w:endnote w:type="continuationSeparator" w:id="0">
    <w:p w14:paraId="0547AFEE" w14:textId="77777777" w:rsidR="00880714" w:rsidRDefault="00880714" w:rsidP="00D75295">
      <w:r>
        <w:continuationSeparator/>
      </w:r>
    </w:p>
  </w:endnote>
  <w:endnote w:id="1">
    <w:p w14:paraId="1C8EFF41" w14:textId="4AC08813" w:rsidR="00880714" w:rsidRDefault="00880714" w:rsidP="007E5784">
      <w:pPr>
        <w:pStyle w:val="Footnote"/>
      </w:pPr>
      <w:r>
        <w:rPr>
          <w:rStyle w:val="EndnoteReference"/>
        </w:rPr>
        <w:endnoteRef/>
      </w:r>
      <w:r>
        <w:t xml:space="preserve"> For a detailed discussion and an excellent in-depth introduction to behavioural finance, see </w:t>
      </w:r>
      <w:r w:rsidRPr="00FF2695">
        <w:rPr>
          <w:lang w:val="en-CA"/>
        </w:rPr>
        <w:t>Nicholas Barberis</w:t>
      </w:r>
      <w:r>
        <w:rPr>
          <w:lang w:val="en-CA"/>
        </w:rPr>
        <w:t xml:space="preserve"> and Richard Thaler, “A Survey of Behavioral F</w:t>
      </w:r>
      <w:r w:rsidRPr="00FF2695">
        <w:rPr>
          <w:lang w:val="en-CA"/>
        </w:rPr>
        <w:t xml:space="preserve">inance,” </w:t>
      </w:r>
      <w:r>
        <w:rPr>
          <w:lang w:val="en-CA"/>
        </w:rPr>
        <w:t xml:space="preserve">in </w:t>
      </w:r>
      <w:r w:rsidRPr="00447C0C">
        <w:rPr>
          <w:i/>
          <w:lang w:val="en-CA"/>
        </w:rPr>
        <w:t>Handbook of the Economics of Finance</w:t>
      </w:r>
      <w:r w:rsidRPr="00FF2695">
        <w:rPr>
          <w:lang w:val="en-CA"/>
        </w:rPr>
        <w:t>, ed. G</w:t>
      </w:r>
      <w:r>
        <w:rPr>
          <w:lang w:val="en-CA"/>
        </w:rPr>
        <w:t xml:space="preserve">eorge </w:t>
      </w:r>
      <w:r w:rsidRPr="00FF2695">
        <w:rPr>
          <w:lang w:val="en-CA"/>
        </w:rPr>
        <w:t>M. Contantin</w:t>
      </w:r>
      <w:r>
        <w:rPr>
          <w:lang w:val="en-CA"/>
        </w:rPr>
        <w:t>i</w:t>
      </w:r>
      <w:r w:rsidRPr="00FF2695">
        <w:rPr>
          <w:lang w:val="en-CA"/>
        </w:rPr>
        <w:t>des, M</w:t>
      </w:r>
      <w:r>
        <w:rPr>
          <w:lang w:val="en-CA"/>
        </w:rPr>
        <w:t>ilton</w:t>
      </w:r>
      <w:r w:rsidRPr="00FF2695">
        <w:rPr>
          <w:lang w:val="en-CA"/>
        </w:rPr>
        <w:t xml:space="preserve"> Harris, and R</w:t>
      </w:r>
      <w:r>
        <w:rPr>
          <w:lang w:val="en-CA"/>
        </w:rPr>
        <w:t>ené</w:t>
      </w:r>
      <w:r w:rsidRPr="00FF2695">
        <w:rPr>
          <w:lang w:val="en-CA"/>
        </w:rPr>
        <w:t xml:space="preserve"> Stulz </w:t>
      </w:r>
      <w:r>
        <w:rPr>
          <w:lang w:val="en-CA"/>
        </w:rPr>
        <w:t>(Amsterdam: Elsevier, 2003), 1053–1128.</w:t>
      </w:r>
    </w:p>
  </w:endnote>
  <w:endnote w:id="2">
    <w:p w14:paraId="1FE08375" w14:textId="00A415BD" w:rsidR="00880714" w:rsidRPr="00F30897" w:rsidRDefault="00880714" w:rsidP="00FB7345">
      <w:pPr>
        <w:pStyle w:val="Footnote"/>
        <w:rPr>
          <w:rStyle w:val="EndnoteReference"/>
          <w:vertAlign w:val="baseline"/>
        </w:rPr>
      </w:pPr>
      <w:r>
        <w:rPr>
          <w:rStyle w:val="EndnoteReference"/>
        </w:rPr>
        <w:endnoteRef/>
      </w:r>
      <w:r w:rsidRPr="00FB7345">
        <w:rPr>
          <w:rStyle w:val="EndnoteReference"/>
          <w:vertAlign w:val="baseline"/>
        </w:rPr>
        <w:t xml:space="preserve"> </w:t>
      </w:r>
      <w:r w:rsidRPr="00F171CD">
        <w:rPr>
          <w:i/>
        </w:rPr>
        <w:t>Shorting</w:t>
      </w:r>
      <w:r>
        <w:t xml:space="preserve"> refers to borrowing a security that one does</w:t>
      </w:r>
      <w:r w:rsidR="00CF3F70">
        <w:t xml:space="preserve"> </w:t>
      </w:r>
      <w:r>
        <w:t>n</w:t>
      </w:r>
      <w:r w:rsidR="00CF3F70">
        <w:t>o</w:t>
      </w:r>
      <w:r>
        <w:t>t own and selling it in the hope that its price will decline, at which time the investor will buy back the security at a lower price and profit from the drop in price.</w:t>
      </w:r>
    </w:p>
  </w:endnote>
  <w:endnote w:id="3">
    <w:p w14:paraId="5B6383F6" w14:textId="2C2ED53B" w:rsidR="00880714" w:rsidRDefault="00880714" w:rsidP="007E5784">
      <w:pPr>
        <w:pStyle w:val="Footnote"/>
      </w:pPr>
      <w:r>
        <w:rPr>
          <w:rStyle w:val="EndnoteReference"/>
        </w:rPr>
        <w:endnoteRef/>
      </w:r>
      <w:r>
        <w:t xml:space="preserve"> When an investor shorts a security, a balance, or margin, is required in the investor’s account in case the security increases in price. If that happens, the investor may be required to set aside more money; the “margin call” is the notification from the broker to the investor to set that additional sum aside.</w:t>
      </w:r>
    </w:p>
  </w:endnote>
  <w:endnote w:id="4">
    <w:p w14:paraId="35AEF9D4" w14:textId="180534EC" w:rsidR="00880714" w:rsidRPr="00270019" w:rsidRDefault="00880714" w:rsidP="007E5784">
      <w:pPr>
        <w:pStyle w:val="EndnoteText"/>
        <w:jc w:val="both"/>
        <w:rPr>
          <w:rFonts w:ascii="Arial" w:hAnsi="Arial" w:cs="Arial"/>
          <w:sz w:val="17"/>
          <w:szCs w:val="17"/>
        </w:rPr>
      </w:pPr>
      <w:r w:rsidRPr="00270019">
        <w:rPr>
          <w:rStyle w:val="EndnoteReference"/>
          <w:rFonts w:ascii="Arial" w:hAnsi="Arial" w:cs="Arial"/>
          <w:sz w:val="17"/>
          <w:szCs w:val="17"/>
        </w:rPr>
        <w:endnoteRef/>
      </w:r>
      <w:r w:rsidRPr="00270019">
        <w:rPr>
          <w:rFonts w:ascii="Arial" w:hAnsi="Arial" w:cs="Arial"/>
          <w:sz w:val="17"/>
          <w:szCs w:val="17"/>
        </w:rPr>
        <w:t xml:space="preserve"> Beliefs are ideas or principles that an individual </w:t>
      </w:r>
      <w:r>
        <w:rPr>
          <w:rFonts w:ascii="Arial" w:hAnsi="Arial" w:cs="Arial"/>
          <w:sz w:val="17"/>
          <w:szCs w:val="17"/>
        </w:rPr>
        <w:t>considers to be</w:t>
      </w:r>
      <w:r w:rsidRPr="00270019">
        <w:rPr>
          <w:rFonts w:ascii="Arial" w:hAnsi="Arial" w:cs="Arial"/>
          <w:sz w:val="17"/>
          <w:szCs w:val="17"/>
        </w:rPr>
        <w:t xml:space="preserve"> true with or without empirical evidence supporting their case. </w:t>
      </w:r>
      <w:r>
        <w:rPr>
          <w:rFonts w:ascii="Arial" w:hAnsi="Arial" w:cs="Arial"/>
          <w:sz w:val="17"/>
          <w:szCs w:val="17"/>
        </w:rPr>
        <w:t>B</w:t>
      </w:r>
      <w:r w:rsidRPr="00270019">
        <w:rPr>
          <w:rFonts w:ascii="Arial" w:hAnsi="Arial" w:cs="Arial"/>
          <w:sz w:val="17"/>
          <w:szCs w:val="17"/>
        </w:rPr>
        <w:t>eliefs are susceptible to biases that can divert choices away from rational decision-making. Preferences are individuals</w:t>
      </w:r>
      <w:r>
        <w:rPr>
          <w:rFonts w:ascii="Arial" w:hAnsi="Arial" w:cs="Arial"/>
          <w:sz w:val="17"/>
          <w:szCs w:val="17"/>
        </w:rPr>
        <w:t>’</w:t>
      </w:r>
      <w:r w:rsidRPr="00270019">
        <w:rPr>
          <w:rFonts w:ascii="Arial" w:hAnsi="Arial" w:cs="Arial"/>
          <w:sz w:val="17"/>
          <w:szCs w:val="17"/>
        </w:rPr>
        <w:t xml:space="preserve"> attitude</w:t>
      </w:r>
      <w:r>
        <w:rPr>
          <w:rFonts w:ascii="Arial" w:hAnsi="Arial" w:cs="Arial"/>
          <w:sz w:val="17"/>
          <w:szCs w:val="17"/>
        </w:rPr>
        <w:t>s</w:t>
      </w:r>
      <w:r w:rsidRPr="00270019">
        <w:rPr>
          <w:rFonts w:ascii="Arial" w:hAnsi="Arial" w:cs="Arial"/>
          <w:sz w:val="17"/>
          <w:szCs w:val="17"/>
        </w:rPr>
        <w:t xml:space="preserve"> toward something, typically reflected in the decision-making process, thereby underlying how people behave. However, preferences are not stable over time. They can be modified subconsciously or through active decision-making.</w:t>
      </w:r>
    </w:p>
  </w:endnote>
  <w:endnote w:id="5">
    <w:p w14:paraId="79BD1B89" w14:textId="0E80FB89" w:rsidR="00880714" w:rsidRPr="00FB7345" w:rsidRDefault="00880714" w:rsidP="00FB7345">
      <w:pPr>
        <w:pStyle w:val="Footnote"/>
        <w:rPr>
          <w:rStyle w:val="EndnoteReference"/>
          <w:vertAlign w:val="baseline"/>
        </w:rPr>
      </w:pPr>
      <w:r>
        <w:rPr>
          <w:rStyle w:val="EndnoteReference"/>
        </w:rPr>
        <w:endnoteRef/>
      </w:r>
      <w:r w:rsidRPr="00FB7345">
        <w:rPr>
          <w:rStyle w:val="EndnoteReference"/>
        </w:rPr>
        <w:t xml:space="preserve"> </w:t>
      </w:r>
      <w:r>
        <w:t xml:space="preserve">Daniel </w:t>
      </w:r>
      <w:r w:rsidRPr="00FB7345">
        <w:rPr>
          <w:rStyle w:val="EndnoteReference"/>
          <w:vertAlign w:val="baseline"/>
        </w:rPr>
        <w:t xml:space="preserve">Kahneman and Amos Tversky, “Prospect Theory: An Analysis of Decision Under Risk,” </w:t>
      </w:r>
      <w:r w:rsidRPr="00F171CD">
        <w:rPr>
          <w:rStyle w:val="EndnoteReference"/>
          <w:i/>
          <w:vertAlign w:val="baseline"/>
        </w:rPr>
        <w:t>Econometrica</w:t>
      </w:r>
      <w:r w:rsidRPr="00FB7345">
        <w:rPr>
          <w:rStyle w:val="EndnoteReference"/>
          <w:vertAlign w:val="baseline"/>
        </w:rPr>
        <w:t xml:space="preserve"> 47</w:t>
      </w:r>
      <w:r>
        <w:rPr>
          <w:rStyle w:val="EndnoteReference"/>
          <w:vertAlign w:val="baseline"/>
        </w:rPr>
        <w:t>, no.</w:t>
      </w:r>
      <w:r w:rsidRPr="00FB7345">
        <w:rPr>
          <w:rStyle w:val="EndnoteReference"/>
          <w:vertAlign w:val="baseline"/>
        </w:rPr>
        <w:t xml:space="preserve"> 2</w:t>
      </w:r>
      <w:r>
        <w:t xml:space="preserve"> (1979):</w:t>
      </w:r>
      <w:r w:rsidRPr="00FB7345">
        <w:rPr>
          <w:rStyle w:val="EndnoteReference"/>
          <w:vertAlign w:val="baseline"/>
        </w:rPr>
        <w:t xml:space="preserve"> 263–292</w:t>
      </w:r>
      <w:r>
        <w:t>.</w:t>
      </w:r>
      <w:r w:rsidRPr="004760ED">
        <w:t xml:space="preserve"> </w:t>
      </w:r>
      <w:r w:rsidRPr="004760ED">
        <w:rPr>
          <w:rStyle w:val="EndnoteReference"/>
          <w:vertAlign w:val="baseline"/>
        </w:rPr>
        <w:t>doi:10.2307/1914185</w:t>
      </w:r>
      <w:r>
        <w:rPr>
          <w:rStyle w:val="EndnoteReference"/>
          <w:vertAlign w:val="baseline"/>
        </w:rPr>
        <w:t xml:space="preserve">; </w:t>
      </w:r>
      <w:r>
        <w:t xml:space="preserve">Daniel </w:t>
      </w:r>
      <w:r w:rsidRPr="005B6E1C">
        <w:rPr>
          <w:rStyle w:val="EndnoteReference"/>
          <w:vertAlign w:val="baseline"/>
        </w:rPr>
        <w:t>Kahneman and Amos Tversky</w:t>
      </w:r>
      <w:r>
        <w:t xml:space="preserve">, </w:t>
      </w:r>
      <w:r w:rsidRPr="009C40C6">
        <w:t xml:space="preserve">“Advances in Prospect Theory: Cumulative </w:t>
      </w:r>
      <w:r>
        <w:t>R</w:t>
      </w:r>
      <w:r w:rsidRPr="009C40C6">
        <w:t xml:space="preserve">epresentation of </w:t>
      </w:r>
      <w:r>
        <w:t>U</w:t>
      </w:r>
      <w:r w:rsidRPr="009C40C6">
        <w:t>ncertainty</w:t>
      </w:r>
      <w:r>
        <w:t>,</w:t>
      </w:r>
      <w:r w:rsidRPr="009C40C6">
        <w:t xml:space="preserve">” </w:t>
      </w:r>
      <w:r w:rsidRPr="00F171CD">
        <w:rPr>
          <w:i/>
        </w:rPr>
        <w:t>Journal of Risk and Uncertainty</w:t>
      </w:r>
      <w:r w:rsidRPr="009C40C6">
        <w:t xml:space="preserve"> 5</w:t>
      </w:r>
      <w:r>
        <w:t xml:space="preserve"> </w:t>
      </w:r>
      <w:r w:rsidRPr="009C40C6">
        <w:t>(1992):</w:t>
      </w:r>
      <w:r>
        <w:t xml:space="preserve"> </w:t>
      </w:r>
      <w:r w:rsidRPr="009C40C6">
        <w:t>297−323.</w:t>
      </w:r>
      <w:r w:rsidRPr="00F171CD" w:rsidDel="009C40C6">
        <w:t xml:space="preserve"> </w:t>
      </w:r>
      <w:r>
        <w:t>doi:</w:t>
      </w:r>
      <w:r w:rsidRPr="004760ED">
        <w:t>10.1007/BF00122574</w:t>
      </w:r>
      <w:r>
        <w:t>.</w:t>
      </w:r>
    </w:p>
  </w:endnote>
  <w:endnote w:id="6">
    <w:p w14:paraId="25ACE19E" w14:textId="72C0C729" w:rsidR="00880714" w:rsidRPr="000F5DB4" w:rsidRDefault="00880714" w:rsidP="007E042B">
      <w:pPr>
        <w:pStyle w:val="Footnote"/>
        <w:rPr>
          <w:lang w:val="en-CA"/>
        </w:rPr>
      </w:pPr>
      <w:r w:rsidRPr="00514988">
        <w:rPr>
          <w:rStyle w:val="EndnoteReference"/>
        </w:rPr>
        <w:endnoteRef/>
      </w:r>
      <w:r w:rsidRPr="00FF2695">
        <w:t xml:space="preserve"> </w:t>
      </w:r>
      <w:r w:rsidR="004D56C7" w:rsidRPr="00FF2695">
        <w:rPr>
          <w:lang w:val="en-CA"/>
        </w:rPr>
        <w:t xml:space="preserve">Nicholas Barberis and Richard Thaler, “A Survey of Behavioral Finance,” </w:t>
      </w:r>
      <w:r w:rsidR="004D56C7">
        <w:rPr>
          <w:lang w:val="en-CA"/>
        </w:rPr>
        <w:t xml:space="preserve">in </w:t>
      </w:r>
      <w:r w:rsidR="004D56C7" w:rsidRPr="00447C0C">
        <w:rPr>
          <w:i/>
          <w:lang w:val="en-CA"/>
        </w:rPr>
        <w:t>Handbook of the Economics of Finance</w:t>
      </w:r>
      <w:r w:rsidR="004D56C7" w:rsidRPr="00FF2695">
        <w:rPr>
          <w:lang w:val="en-CA"/>
        </w:rPr>
        <w:t>, ed. G</w:t>
      </w:r>
      <w:r w:rsidR="004D56C7">
        <w:rPr>
          <w:lang w:val="en-CA"/>
        </w:rPr>
        <w:t xml:space="preserve">eorge </w:t>
      </w:r>
      <w:r w:rsidR="004D56C7" w:rsidRPr="00FF2695">
        <w:rPr>
          <w:lang w:val="en-CA"/>
        </w:rPr>
        <w:t>M. Contantin</w:t>
      </w:r>
      <w:r w:rsidR="004D56C7">
        <w:rPr>
          <w:lang w:val="en-CA"/>
        </w:rPr>
        <w:t>i</w:t>
      </w:r>
      <w:r w:rsidR="004D56C7" w:rsidRPr="00FF2695">
        <w:rPr>
          <w:lang w:val="en-CA"/>
        </w:rPr>
        <w:t>des, M</w:t>
      </w:r>
      <w:r w:rsidR="004D56C7">
        <w:rPr>
          <w:lang w:val="en-CA"/>
        </w:rPr>
        <w:t>ilton</w:t>
      </w:r>
      <w:r w:rsidR="004D56C7" w:rsidRPr="00FF2695">
        <w:rPr>
          <w:lang w:val="en-CA"/>
        </w:rPr>
        <w:t xml:space="preserve"> Harris, and R</w:t>
      </w:r>
      <w:r w:rsidR="004D56C7">
        <w:rPr>
          <w:lang w:val="en-CA"/>
        </w:rPr>
        <w:t>ené</w:t>
      </w:r>
      <w:r w:rsidR="004D56C7" w:rsidRPr="00FF2695">
        <w:rPr>
          <w:lang w:val="en-CA"/>
        </w:rPr>
        <w:t xml:space="preserve"> Stulz</w:t>
      </w:r>
      <w:r w:rsidR="004D56C7">
        <w:rPr>
          <w:lang w:val="en-CA"/>
        </w:rPr>
        <w:t xml:space="preserve"> (Amsterdam: Elsevier, 2004),</w:t>
      </w:r>
      <w:r w:rsidR="004D56C7" w:rsidRPr="00FF2695">
        <w:rPr>
          <w:lang w:val="en-CA"/>
        </w:rPr>
        <w:t xml:space="preserve"> </w:t>
      </w:r>
      <w:r w:rsidR="004D56C7" w:rsidRPr="00FF2695">
        <w:t>1069.</w:t>
      </w:r>
    </w:p>
  </w:endnote>
  <w:endnote w:id="7">
    <w:p w14:paraId="4505E022" w14:textId="768A2A77" w:rsidR="00880714" w:rsidRDefault="00880714" w:rsidP="00EC79D5">
      <w:pPr>
        <w:pStyle w:val="Footnote"/>
      </w:pPr>
      <w:r>
        <w:rPr>
          <w:rStyle w:val="EndnoteReference"/>
        </w:rPr>
        <w:endnoteRef/>
      </w:r>
      <w:r>
        <w:t xml:space="preserve"> Ibid.</w:t>
      </w:r>
      <w:r>
        <w:rPr>
          <w:lang w:val="en-CA"/>
        </w:rPr>
        <w:t xml:space="preserve">, </w:t>
      </w:r>
      <w:r w:rsidRPr="007E042B">
        <w:t>1103.</w:t>
      </w:r>
    </w:p>
  </w:endnote>
  <w:endnote w:id="8">
    <w:p w14:paraId="3A00AC5A" w14:textId="5BA60365" w:rsidR="00880714" w:rsidRDefault="00880714" w:rsidP="00B17D8C">
      <w:pPr>
        <w:pStyle w:val="Footnote"/>
      </w:pPr>
      <w:r>
        <w:rPr>
          <w:rStyle w:val="EndnoteReference"/>
        </w:rPr>
        <w:endnoteRef/>
      </w:r>
      <w:r>
        <w:t xml:space="preserve"> For their methodology, see Anthony Perkins and Michael Perkins, </w:t>
      </w:r>
      <w:r w:rsidRPr="00FB7345">
        <w:rPr>
          <w:i/>
        </w:rPr>
        <w:t>The Internet Bubble: Inside the Overvalued World of High-Tech Stocks—</w:t>
      </w:r>
      <w:r>
        <w:rPr>
          <w:i/>
        </w:rPr>
        <w:t>A</w:t>
      </w:r>
      <w:r w:rsidRPr="00FB7345">
        <w:rPr>
          <w:i/>
        </w:rPr>
        <w:t>nd What You Need to Know to Avoid the Coming Shakeout</w:t>
      </w:r>
      <w:r>
        <w:t xml:space="preserve"> (New York: </w:t>
      </w:r>
      <w:r w:rsidRPr="00FB7345">
        <w:t>Harper</w:t>
      </w:r>
      <w:r>
        <w:t xml:space="preserve"> </w:t>
      </w:r>
      <w:r w:rsidRPr="00FB7345">
        <w:t>Bus</w:t>
      </w:r>
      <w:r>
        <w:t>iness, 1999).</w:t>
      </w:r>
    </w:p>
  </w:endnote>
  <w:endnote w:id="9">
    <w:p w14:paraId="6EEEE0FA" w14:textId="36C25C02" w:rsidR="00880714" w:rsidRPr="00FB7345" w:rsidRDefault="00880714" w:rsidP="00FB7345">
      <w:pPr>
        <w:pStyle w:val="EndnoteText"/>
        <w:jc w:val="both"/>
        <w:rPr>
          <w:rFonts w:ascii="Arial" w:hAnsi="Arial" w:cs="Arial"/>
          <w:sz w:val="17"/>
          <w:szCs w:val="17"/>
        </w:rPr>
      </w:pPr>
      <w:r w:rsidRPr="00FB7345">
        <w:rPr>
          <w:rStyle w:val="EndnoteReference"/>
          <w:rFonts w:ascii="Arial" w:hAnsi="Arial" w:cs="Arial"/>
          <w:sz w:val="17"/>
          <w:szCs w:val="17"/>
        </w:rPr>
        <w:endnoteRef/>
      </w:r>
      <w:r>
        <w:rPr>
          <w:rFonts w:ascii="Arial" w:hAnsi="Arial" w:cs="Arial"/>
          <w:sz w:val="17"/>
          <w:szCs w:val="17"/>
          <w:lang w:val="en-CA"/>
        </w:rPr>
        <w:t xml:space="preserve"> </w:t>
      </w:r>
      <w:r w:rsidR="004D56C7">
        <w:rPr>
          <w:rFonts w:ascii="Arial" w:hAnsi="Arial" w:cs="Arial"/>
          <w:sz w:val="17"/>
          <w:szCs w:val="17"/>
          <w:lang w:val="en-CA"/>
        </w:rPr>
        <w:t xml:space="preserve">Brad M. </w:t>
      </w:r>
      <w:r w:rsidR="004D56C7" w:rsidRPr="00FB7345">
        <w:rPr>
          <w:rFonts w:ascii="Arial" w:hAnsi="Arial" w:cs="Arial"/>
          <w:sz w:val="17"/>
          <w:szCs w:val="17"/>
          <w:lang w:val="en-CA"/>
        </w:rPr>
        <w:t>Barber and T</w:t>
      </w:r>
      <w:r w:rsidR="004D56C7">
        <w:rPr>
          <w:rFonts w:ascii="Arial" w:hAnsi="Arial" w:cs="Arial"/>
          <w:sz w:val="17"/>
          <w:szCs w:val="17"/>
          <w:lang w:val="en-CA"/>
        </w:rPr>
        <w:t>erence</w:t>
      </w:r>
      <w:r w:rsidR="004D56C7" w:rsidRPr="00FB7345">
        <w:rPr>
          <w:rFonts w:ascii="Arial" w:hAnsi="Arial" w:cs="Arial"/>
          <w:sz w:val="17"/>
          <w:szCs w:val="17"/>
          <w:lang w:val="en-CA"/>
        </w:rPr>
        <w:t xml:space="preserve"> Odean, “Boys Will Be Boys: Gender, Overconfidence, and Common Stock Investment,” </w:t>
      </w:r>
      <w:r w:rsidR="004D56C7" w:rsidRPr="00FB7345">
        <w:rPr>
          <w:rFonts w:ascii="Arial" w:hAnsi="Arial" w:cs="Arial"/>
          <w:i/>
          <w:sz w:val="17"/>
          <w:szCs w:val="17"/>
          <w:lang w:val="en-CA"/>
        </w:rPr>
        <w:t>Quarterly Journal of Economics</w:t>
      </w:r>
      <w:r w:rsidR="004D56C7" w:rsidRPr="00FB7345">
        <w:rPr>
          <w:rFonts w:ascii="Arial" w:hAnsi="Arial" w:cs="Arial"/>
          <w:sz w:val="17"/>
          <w:szCs w:val="17"/>
          <w:lang w:val="en-CA"/>
        </w:rPr>
        <w:t xml:space="preserve"> 116, </w:t>
      </w:r>
      <w:r w:rsidR="004D56C7">
        <w:rPr>
          <w:rFonts w:ascii="Arial" w:hAnsi="Arial" w:cs="Arial"/>
          <w:sz w:val="17"/>
          <w:szCs w:val="17"/>
          <w:lang w:val="en-CA"/>
        </w:rPr>
        <w:t xml:space="preserve">no. 1 (2001): </w:t>
      </w:r>
      <w:r w:rsidR="004D56C7" w:rsidRPr="00FB7345">
        <w:rPr>
          <w:rFonts w:ascii="Arial" w:hAnsi="Arial" w:cs="Arial"/>
          <w:sz w:val="17"/>
          <w:szCs w:val="17"/>
          <w:lang w:val="en-CA"/>
        </w:rPr>
        <w:t>261</w:t>
      </w:r>
      <w:r w:rsidR="004D56C7">
        <w:rPr>
          <w:rFonts w:ascii="Arial" w:hAnsi="Arial" w:cs="Arial"/>
          <w:sz w:val="17"/>
          <w:szCs w:val="17"/>
          <w:lang w:val="en-CA"/>
        </w:rPr>
        <w:t>–</w:t>
      </w:r>
      <w:r w:rsidR="004D56C7" w:rsidRPr="00FB7345">
        <w:rPr>
          <w:rFonts w:ascii="Arial" w:hAnsi="Arial" w:cs="Arial"/>
          <w:sz w:val="17"/>
          <w:szCs w:val="17"/>
          <w:lang w:val="en-CA"/>
        </w:rPr>
        <w:t>292.</w:t>
      </w:r>
      <w:r w:rsidR="004D56C7">
        <w:rPr>
          <w:rFonts w:ascii="Arial" w:hAnsi="Arial" w:cs="Arial"/>
          <w:sz w:val="17"/>
          <w:szCs w:val="17"/>
          <w:lang w:val="en-CA"/>
        </w:rPr>
        <w:t xml:space="preserve"> doi:</w:t>
      </w:r>
      <w:r w:rsidR="004D56C7" w:rsidRPr="004760ED">
        <w:rPr>
          <w:rFonts w:ascii="Arial" w:hAnsi="Arial" w:cs="Arial"/>
          <w:sz w:val="17"/>
          <w:szCs w:val="17"/>
          <w:lang w:val="en-CA"/>
        </w:rPr>
        <w:t>10.1162/003355301556400</w:t>
      </w:r>
      <w:r w:rsidR="004D56C7">
        <w:rPr>
          <w:rFonts w:ascii="Arial" w:hAnsi="Arial" w:cs="Arial"/>
          <w:sz w:val="17"/>
          <w:szCs w:val="17"/>
          <w:lang w:val="en-CA"/>
        </w:rPr>
        <w:t xml:space="preserve">; </w:t>
      </w:r>
      <w:r>
        <w:rPr>
          <w:rFonts w:ascii="Arial" w:hAnsi="Arial" w:cs="Arial"/>
          <w:sz w:val="17"/>
          <w:szCs w:val="17"/>
          <w:lang w:val="en-CA"/>
        </w:rPr>
        <w:t xml:space="preserve">Ulrike </w:t>
      </w:r>
      <w:r w:rsidRPr="00FB7345">
        <w:rPr>
          <w:rFonts w:ascii="Arial" w:hAnsi="Arial" w:cs="Arial"/>
          <w:sz w:val="17"/>
          <w:szCs w:val="17"/>
          <w:lang w:val="en-CA"/>
        </w:rPr>
        <w:t>Malmendier and G</w:t>
      </w:r>
      <w:r>
        <w:rPr>
          <w:rFonts w:ascii="Arial" w:hAnsi="Arial" w:cs="Arial"/>
          <w:sz w:val="17"/>
          <w:szCs w:val="17"/>
          <w:lang w:val="en-CA"/>
        </w:rPr>
        <w:t>eoffrey</w:t>
      </w:r>
      <w:r w:rsidRPr="00FB7345">
        <w:rPr>
          <w:rFonts w:ascii="Arial" w:hAnsi="Arial" w:cs="Arial"/>
          <w:sz w:val="17"/>
          <w:szCs w:val="17"/>
          <w:lang w:val="en-CA"/>
        </w:rPr>
        <w:t xml:space="preserve"> Tate, “CEO Overconfidence and Corporate Investment,” </w:t>
      </w:r>
      <w:r w:rsidRPr="00FB7345">
        <w:rPr>
          <w:rFonts w:ascii="Arial" w:hAnsi="Arial" w:cs="Arial"/>
          <w:i/>
          <w:sz w:val="17"/>
          <w:szCs w:val="17"/>
          <w:lang w:val="en-CA"/>
        </w:rPr>
        <w:t>Journal of Finance</w:t>
      </w:r>
      <w:r w:rsidRPr="00FB7345">
        <w:rPr>
          <w:rFonts w:ascii="Arial" w:hAnsi="Arial" w:cs="Arial"/>
          <w:sz w:val="17"/>
          <w:szCs w:val="17"/>
          <w:lang w:val="en-CA"/>
        </w:rPr>
        <w:t xml:space="preserve"> 60</w:t>
      </w:r>
      <w:r>
        <w:rPr>
          <w:rFonts w:ascii="Arial" w:hAnsi="Arial" w:cs="Arial"/>
          <w:sz w:val="17"/>
          <w:szCs w:val="17"/>
          <w:lang w:val="en-CA"/>
        </w:rPr>
        <w:t xml:space="preserve">, no. </w:t>
      </w:r>
      <w:r w:rsidRPr="00FB7345">
        <w:rPr>
          <w:rFonts w:ascii="Arial" w:hAnsi="Arial" w:cs="Arial"/>
          <w:sz w:val="17"/>
          <w:szCs w:val="17"/>
          <w:lang w:val="en-CA"/>
        </w:rPr>
        <w:t>6</w:t>
      </w:r>
      <w:r>
        <w:rPr>
          <w:rFonts w:ascii="Arial" w:hAnsi="Arial" w:cs="Arial"/>
          <w:sz w:val="17"/>
          <w:szCs w:val="17"/>
          <w:lang w:val="en-CA"/>
        </w:rPr>
        <w:t xml:space="preserve"> (2005</w:t>
      </w:r>
      <w:r w:rsidRPr="00FB7345">
        <w:rPr>
          <w:rFonts w:ascii="Arial" w:hAnsi="Arial" w:cs="Arial"/>
          <w:sz w:val="17"/>
          <w:szCs w:val="17"/>
          <w:lang w:val="en-CA"/>
        </w:rPr>
        <w:t>)</w:t>
      </w:r>
      <w:r>
        <w:rPr>
          <w:rFonts w:ascii="Arial" w:hAnsi="Arial" w:cs="Arial"/>
          <w:sz w:val="17"/>
          <w:szCs w:val="17"/>
          <w:lang w:val="en-CA"/>
        </w:rPr>
        <w:t>:</w:t>
      </w:r>
      <w:r w:rsidRPr="00FB7345">
        <w:rPr>
          <w:rFonts w:ascii="Arial" w:hAnsi="Arial" w:cs="Arial"/>
          <w:sz w:val="17"/>
          <w:szCs w:val="17"/>
          <w:lang w:val="en-CA"/>
        </w:rPr>
        <w:t xml:space="preserve"> 2661−2700.</w:t>
      </w:r>
      <w:r>
        <w:rPr>
          <w:rFonts w:ascii="Arial" w:hAnsi="Arial" w:cs="Arial"/>
          <w:sz w:val="17"/>
          <w:szCs w:val="17"/>
          <w:lang w:val="en-CA"/>
        </w:rPr>
        <w:t xml:space="preserve"> doi:</w:t>
      </w:r>
      <w:r w:rsidRPr="004760ED">
        <w:rPr>
          <w:rFonts w:ascii="Arial" w:hAnsi="Arial" w:cs="Arial"/>
          <w:sz w:val="17"/>
          <w:szCs w:val="17"/>
          <w:lang w:val="en-CA"/>
        </w:rPr>
        <w:t>10.1111/j.1540-6261.2005.00813.x</w:t>
      </w:r>
      <w:r>
        <w:rPr>
          <w:rFonts w:ascii="Arial" w:hAnsi="Arial" w:cs="Arial"/>
          <w:sz w:val="17"/>
          <w:szCs w:val="17"/>
          <w:lang w:val="en-CA"/>
        </w:rPr>
        <w:t>.</w:t>
      </w:r>
    </w:p>
  </w:endnote>
  <w:endnote w:id="10">
    <w:p w14:paraId="292C7206" w14:textId="42934E73" w:rsidR="00880714" w:rsidRPr="00FB7345" w:rsidRDefault="00880714" w:rsidP="00FB7345">
      <w:pPr>
        <w:pStyle w:val="EndnoteText"/>
        <w:jc w:val="both"/>
        <w:rPr>
          <w:rFonts w:ascii="Arial" w:hAnsi="Arial" w:cs="Arial"/>
          <w:sz w:val="17"/>
          <w:szCs w:val="17"/>
          <w:lang w:val="en-CA"/>
        </w:rPr>
      </w:pPr>
      <w:r w:rsidRPr="00F171CD">
        <w:rPr>
          <w:rFonts w:ascii="Arial" w:hAnsi="Arial" w:cs="Arial"/>
          <w:sz w:val="17"/>
          <w:szCs w:val="17"/>
          <w:vertAlign w:val="superscript"/>
          <w:lang w:val="en-CA"/>
        </w:rPr>
        <w:endnoteRef/>
      </w:r>
      <w:r w:rsidRPr="00FB7345">
        <w:rPr>
          <w:rFonts w:ascii="Arial" w:hAnsi="Arial" w:cs="Arial"/>
          <w:sz w:val="17"/>
          <w:szCs w:val="17"/>
          <w:lang w:val="en-CA"/>
        </w:rPr>
        <w:t xml:space="preserve"> </w:t>
      </w:r>
      <w:r>
        <w:rPr>
          <w:rFonts w:ascii="Arial" w:hAnsi="Arial" w:cs="Arial"/>
          <w:sz w:val="17"/>
          <w:szCs w:val="17"/>
          <w:lang w:val="en-CA"/>
        </w:rPr>
        <w:t xml:space="preserve">Marc </w:t>
      </w:r>
      <w:r w:rsidRPr="00FB7345">
        <w:rPr>
          <w:rFonts w:ascii="Arial" w:hAnsi="Arial" w:cs="Arial"/>
          <w:sz w:val="17"/>
          <w:szCs w:val="17"/>
          <w:lang w:val="en-CA"/>
        </w:rPr>
        <w:t>Alpert and Howa</w:t>
      </w:r>
      <w:r>
        <w:rPr>
          <w:rFonts w:ascii="Arial" w:hAnsi="Arial" w:cs="Arial"/>
          <w:sz w:val="17"/>
          <w:szCs w:val="17"/>
          <w:lang w:val="en-CA"/>
        </w:rPr>
        <w:t>rd</w:t>
      </w:r>
      <w:r w:rsidRPr="00FB7345">
        <w:rPr>
          <w:rFonts w:ascii="Arial" w:hAnsi="Arial" w:cs="Arial"/>
          <w:sz w:val="17"/>
          <w:szCs w:val="17"/>
          <w:lang w:val="en-CA"/>
        </w:rPr>
        <w:t xml:space="preserve"> Raiffa, “A Progress Report on the Training of Probability Assessors,” </w:t>
      </w:r>
      <w:r>
        <w:rPr>
          <w:rFonts w:ascii="Arial" w:hAnsi="Arial" w:cs="Arial"/>
          <w:sz w:val="17"/>
          <w:szCs w:val="17"/>
          <w:lang w:val="en-CA"/>
        </w:rPr>
        <w:t xml:space="preserve">in </w:t>
      </w:r>
      <w:r w:rsidRPr="00FB7345">
        <w:rPr>
          <w:rFonts w:ascii="Arial" w:hAnsi="Arial" w:cs="Arial"/>
          <w:i/>
          <w:sz w:val="17"/>
          <w:szCs w:val="17"/>
          <w:lang w:val="en-CA"/>
        </w:rPr>
        <w:t>Judgment under Uncertainty: Heuristics and Biases</w:t>
      </w:r>
      <w:r w:rsidRPr="00FB7345">
        <w:rPr>
          <w:rFonts w:ascii="Arial" w:hAnsi="Arial" w:cs="Arial"/>
          <w:sz w:val="17"/>
          <w:szCs w:val="17"/>
          <w:lang w:val="en-CA"/>
        </w:rPr>
        <w:t xml:space="preserve">, </w:t>
      </w:r>
      <w:r>
        <w:rPr>
          <w:rFonts w:ascii="Arial" w:hAnsi="Arial" w:cs="Arial"/>
          <w:sz w:val="17"/>
          <w:szCs w:val="17"/>
          <w:lang w:val="en-CA"/>
        </w:rPr>
        <w:t>ed.</w:t>
      </w:r>
      <w:r w:rsidRPr="00FB7345">
        <w:rPr>
          <w:rFonts w:ascii="Arial" w:hAnsi="Arial" w:cs="Arial"/>
          <w:sz w:val="17"/>
          <w:szCs w:val="17"/>
          <w:lang w:val="en-CA"/>
        </w:rPr>
        <w:t xml:space="preserve"> D</w:t>
      </w:r>
      <w:r>
        <w:rPr>
          <w:rFonts w:ascii="Arial" w:hAnsi="Arial" w:cs="Arial"/>
          <w:sz w:val="17"/>
          <w:szCs w:val="17"/>
          <w:lang w:val="en-CA"/>
        </w:rPr>
        <w:t>aniel</w:t>
      </w:r>
      <w:r w:rsidRPr="00FB7345">
        <w:rPr>
          <w:rFonts w:ascii="Arial" w:hAnsi="Arial" w:cs="Arial"/>
          <w:sz w:val="17"/>
          <w:szCs w:val="17"/>
          <w:lang w:val="en-CA"/>
        </w:rPr>
        <w:t xml:space="preserve"> Kahneman, P</w:t>
      </w:r>
      <w:r>
        <w:rPr>
          <w:rFonts w:ascii="Arial" w:hAnsi="Arial" w:cs="Arial"/>
          <w:sz w:val="17"/>
          <w:szCs w:val="17"/>
          <w:lang w:val="en-CA"/>
        </w:rPr>
        <w:t>aul</w:t>
      </w:r>
      <w:r w:rsidRPr="00FB7345">
        <w:rPr>
          <w:rFonts w:ascii="Arial" w:hAnsi="Arial" w:cs="Arial"/>
          <w:sz w:val="17"/>
          <w:szCs w:val="17"/>
          <w:lang w:val="en-CA"/>
        </w:rPr>
        <w:t xml:space="preserve"> Slovic</w:t>
      </w:r>
      <w:r>
        <w:rPr>
          <w:rFonts w:ascii="Arial" w:hAnsi="Arial" w:cs="Arial"/>
          <w:sz w:val="17"/>
          <w:szCs w:val="17"/>
          <w:lang w:val="en-CA"/>
        </w:rPr>
        <w:t>,</w:t>
      </w:r>
      <w:r w:rsidRPr="00FB7345">
        <w:rPr>
          <w:rFonts w:ascii="Arial" w:hAnsi="Arial" w:cs="Arial"/>
          <w:sz w:val="17"/>
          <w:szCs w:val="17"/>
          <w:lang w:val="en-CA"/>
        </w:rPr>
        <w:t xml:space="preserve"> and A</w:t>
      </w:r>
      <w:r>
        <w:rPr>
          <w:rFonts w:ascii="Arial" w:hAnsi="Arial" w:cs="Arial"/>
          <w:sz w:val="17"/>
          <w:szCs w:val="17"/>
          <w:lang w:val="en-CA"/>
        </w:rPr>
        <w:t>mos</w:t>
      </w:r>
      <w:r w:rsidRPr="00FB7345">
        <w:rPr>
          <w:rFonts w:ascii="Arial" w:hAnsi="Arial" w:cs="Arial"/>
          <w:sz w:val="17"/>
          <w:szCs w:val="17"/>
          <w:lang w:val="en-CA"/>
        </w:rPr>
        <w:t xml:space="preserve"> Tversky </w:t>
      </w:r>
      <w:r>
        <w:rPr>
          <w:rFonts w:ascii="Arial" w:hAnsi="Arial" w:cs="Arial"/>
          <w:sz w:val="17"/>
          <w:szCs w:val="17"/>
          <w:lang w:val="en-CA"/>
        </w:rPr>
        <w:t xml:space="preserve">(Cambridge, UK: Cambridge University Press, 1982), </w:t>
      </w:r>
      <w:r w:rsidRPr="00FB7345">
        <w:rPr>
          <w:rFonts w:ascii="Arial" w:hAnsi="Arial" w:cs="Arial"/>
          <w:sz w:val="17"/>
          <w:szCs w:val="17"/>
          <w:lang w:val="en-CA"/>
        </w:rPr>
        <w:t>294–305.</w:t>
      </w:r>
    </w:p>
  </w:endnote>
  <w:endnote w:id="11">
    <w:p w14:paraId="47E9F374" w14:textId="2D8C1509" w:rsidR="00880714" w:rsidRPr="004079B3" w:rsidRDefault="00880714" w:rsidP="006475FF">
      <w:pPr>
        <w:pStyle w:val="Footnote"/>
        <w:rPr>
          <w:lang w:val="en-CA"/>
        </w:rPr>
      </w:pPr>
      <w:r w:rsidRPr="00514988">
        <w:rPr>
          <w:rStyle w:val="EndnoteReference"/>
        </w:rPr>
        <w:endnoteRef/>
      </w:r>
      <w:r>
        <w:t xml:space="preserve"> </w:t>
      </w:r>
      <w:r w:rsidRPr="004079B3">
        <w:rPr>
          <w:lang w:val="en-CA"/>
        </w:rPr>
        <w:t xml:space="preserve">One can infer similar results </w:t>
      </w:r>
      <w:r>
        <w:rPr>
          <w:lang w:val="en-CA"/>
        </w:rPr>
        <w:t>when</w:t>
      </w:r>
      <w:r w:rsidRPr="004079B3">
        <w:rPr>
          <w:lang w:val="en-CA"/>
        </w:rPr>
        <w:t xml:space="preserve"> “driver” </w:t>
      </w:r>
      <w:r>
        <w:rPr>
          <w:lang w:val="en-CA"/>
        </w:rPr>
        <w:t>i</w:t>
      </w:r>
      <w:r w:rsidRPr="004079B3">
        <w:rPr>
          <w:lang w:val="en-CA"/>
        </w:rPr>
        <w:t>s replaced with “investor”</w:t>
      </w:r>
      <w:r>
        <w:rPr>
          <w:lang w:val="en-CA"/>
        </w:rPr>
        <w:t xml:space="preserve">; Ola </w:t>
      </w:r>
      <w:r w:rsidRPr="00FB7345">
        <w:rPr>
          <w:lang w:val="en-CA"/>
        </w:rPr>
        <w:t>Svenson, “Are We All Less Risky and More Skillful Than Our Fellow Drivers?</w:t>
      </w:r>
      <w:r>
        <w:rPr>
          <w:lang w:val="en-CA"/>
        </w:rPr>
        <w:t>,</w:t>
      </w:r>
      <w:r w:rsidRPr="00FB7345">
        <w:rPr>
          <w:lang w:val="en-CA"/>
        </w:rPr>
        <w:t xml:space="preserve">” </w:t>
      </w:r>
      <w:r w:rsidRPr="00FB7345">
        <w:rPr>
          <w:i/>
          <w:lang w:val="en-CA"/>
        </w:rPr>
        <w:t>Acta Psychologica</w:t>
      </w:r>
      <w:r>
        <w:rPr>
          <w:i/>
          <w:lang w:val="en-CA"/>
        </w:rPr>
        <w:t xml:space="preserve"> </w:t>
      </w:r>
      <w:r w:rsidRPr="00FB7345">
        <w:rPr>
          <w:lang w:val="en-CA"/>
        </w:rPr>
        <w:t>47</w:t>
      </w:r>
      <w:r>
        <w:rPr>
          <w:lang w:val="en-CA"/>
        </w:rPr>
        <w:t>, no. 2</w:t>
      </w:r>
      <w:r w:rsidRPr="00FB7345">
        <w:rPr>
          <w:lang w:val="en-CA"/>
        </w:rPr>
        <w:t xml:space="preserve"> (</w:t>
      </w:r>
      <w:r>
        <w:rPr>
          <w:lang w:val="en-CA"/>
        </w:rPr>
        <w:t>1981</w:t>
      </w:r>
      <w:r w:rsidRPr="00DF7553">
        <w:rPr>
          <w:lang w:val="en-CA"/>
        </w:rPr>
        <w:t>):</w:t>
      </w:r>
      <w:r w:rsidRPr="00FB7345">
        <w:rPr>
          <w:lang w:val="en-CA"/>
        </w:rPr>
        <w:t xml:space="preserve"> 143</w:t>
      </w:r>
      <w:r>
        <w:rPr>
          <w:lang w:val="en-CA"/>
        </w:rPr>
        <w:t>–</w:t>
      </w:r>
      <w:r w:rsidRPr="00FB7345">
        <w:rPr>
          <w:lang w:val="en-CA"/>
        </w:rPr>
        <w:t>148.</w:t>
      </w:r>
      <w:r>
        <w:rPr>
          <w:lang w:val="en-CA"/>
        </w:rPr>
        <w:t xml:space="preserve"> doi:</w:t>
      </w:r>
      <w:r w:rsidRPr="001B504B">
        <w:rPr>
          <w:lang w:val="en-CA"/>
        </w:rPr>
        <w:t>10.1016/0001-6918(81)90005-6</w:t>
      </w:r>
      <w:r>
        <w:rPr>
          <w:lang w:val="en-CA"/>
        </w:rPr>
        <w:t>.</w:t>
      </w:r>
    </w:p>
  </w:endnote>
  <w:endnote w:id="12">
    <w:p w14:paraId="1FE9EF5D" w14:textId="31E297B4" w:rsidR="00880714" w:rsidRPr="00FB7345" w:rsidRDefault="00880714" w:rsidP="00FB7345">
      <w:pPr>
        <w:jc w:val="both"/>
        <w:rPr>
          <w:rFonts w:ascii="Arial" w:hAnsi="Arial" w:cs="Arial"/>
          <w:sz w:val="17"/>
          <w:szCs w:val="17"/>
        </w:rPr>
      </w:pPr>
      <w:r w:rsidRPr="004079B3">
        <w:rPr>
          <w:rStyle w:val="EndnoteReference"/>
          <w:rFonts w:ascii="Arial" w:hAnsi="Arial" w:cs="Arial"/>
          <w:sz w:val="17"/>
          <w:szCs w:val="17"/>
        </w:rPr>
        <w:endnoteRef/>
      </w:r>
      <w:r w:rsidRPr="004079B3">
        <w:rPr>
          <w:rFonts w:ascii="Arial" w:hAnsi="Arial" w:cs="Arial"/>
          <w:sz w:val="17"/>
          <w:szCs w:val="17"/>
        </w:rPr>
        <w:t xml:space="preserve"> </w:t>
      </w:r>
      <w:r>
        <w:rPr>
          <w:rFonts w:ascii="Arial" w:hAnsi="Arial" w:cs="Arial"/>
          <w:sz w:val="17"/>
          <w:szCs w:val="17"/>
        </w:rPr>
        <w:t xml:space="preserve">Matthew </w:t>
      </w:r>
      <w:r w:rsidRPr="004079B3">
        <w:rPr>
          <w:rFonts w:ascii="Arial" w:hAnsi="Arial" w:cs="Arial"/>
          <w:sz w:val="17"/>
          <w:szCs w:val="17"/>
        </w:rPr>
        <w:t>R</w:t>
      </w:r>
      <w:r w:rsidRPr="004079B3">
        <w:rPr>
          <w:rFonts w:ascii="Arial" w:hAnsi="Arial" w:cs="Arial"/>
          <w:sz w:val="17"/>
          <w:szCs w:val="17"/>
          <w:lang w:val="en-CA"/>
        </w:rPr>
        <w:fldChar w:fldCharType="begin" w:fldLock="1"/>
      </w:r>
      <w:r w:rsidRPr="004079B3">
        <w:rPr>
          <w:rFonts w:ascii="Arial" w:hAnsi="Arial" w:cs="Arial"/>
          <w:sz w:val="17"/>
          <w:szCs w:val="17"/>
          <w:lang w:val="en-CA"/>
        </w:rPr>
        <w:instrText xml:space="preserve">ADDIN Mendeley Bibliography CSL_BIBLIOGRAPHY </w:instrText>
      </w:r>
      <w:r w:rsidRPr="004079B3">
        <w:rPr>
          <w:rFonts w:ascii="Arial" w:hAnsi="Arial" w:cs="Arial"/>
          <w:sz w:val="17"/>
          <w:szCs w:val="17"/>
          <w:lang w:val="en-CA"/>
        </w:rPr>
        <w:fldChar w:fldCharType="end"/>
      </w:r>
      <w:r>
        <w:rPr>
          <w:rFonts w:ascii="Arial" w:hAnsi="Arial" w:cs="Arial"/>
          <w:sz w:val="17"/>
          <w:szCs w:val="17"/>
          <w:lang w:val="en-CA"/>
        </w:rPr>
        <w:t>abin</w:t>
      </w:r>
      <w:r w:rsidRPr="004079B3">
        <w:rPr>
          <w:rFonts w:ascii="Arial" w:hAnsi="Arial" w:cs="Arial"/>
          <w:sz w:val="17"/>
          <w:szCs w:val="17"/>
          <w:lang w:val="en-CA"/>
        </w:rPr>
        <w:t xml:space="preserve"> and J</w:t>
      </w:r>
      <w:r>
        <w:rPr>
          <w:rFonts w:ascii="Arial" w:hAnsi="Arial" w:cs="Arial"/>
          <w:sz w:val="17"/>
          <w:szCs w:val="17"/>
          <w:lang w:val="en-CA"/>
        </w:rPr>
        <w:t>oel</w:t>
      </w:r>
      <w:r w:rsidRPr="004079B3">
        <w:rPr>
          <w:rFonts w:ascii="Arial" w:hAnsi="Arial" w:cs="Arial"/>
          <w:sz w:val="17"/>
          <w:szCs w:val="17"/>
          <w:lang w:val="en-CA"/>
        </w:rPr>
        <w:t xml:space="preserve"> Schrag, “First Impressions Matter: A Model of Confirmatory Bias,” </w:t>
      </w:r>
      <w:r w:rsidRPr="00447C0C">
        <w:rPr>
          <w:rFonts w:ascii="Arial" w:hAnsi="Arial" w:cs="Arial"/>
          <w:i/>
          <w:sz w:val="17"/>
          <w:szCs w:val="17"/>
          <w:lang w:val="en-CA"/>
        </w:rPr>
        <w:t>Quarterly Journal of Economics</w:t>
      </w:r>
      <w:r w:rsidRPr="004079B3">
        <w:rPr>
          <w:rFonts w:ascii="Arial" w:hAnsi="Arial" w:cs="Arial"/>
          <w:sz w:val="17"/>
          <w:szCs w:val="17"/>
          <w:lang w:val="en-CA"/>
        </w:rPr>
        <w:t xml:space="preserve"> </w:t>
      </w:r>
      <w:r w:rsidRPr="004079B3">
        <w:rPr>
          <w:rFonts w:ascii="Arial" w:hAnsi="Arial" w:cs="Arial"/>
          <w:sz w:val="17"/>
          <w:szCs w:val="17"/>
        </w:rPr>
        <w:t>114</w:t>
      </w:r>
      <w:r>
        <w:rPr>
          <w:rFonts w:ascii="Arial" w:hAnsi="Arial" w:cs="Arial"/>
          <w:sz w:val="17"/>
          <w:szCs w:val="17"/>
        </w:rPr>
        <w:t>, no. 1</w:t>
      </w:r>
      <w:r w:rsidRPr="004079B3">
        <w:rPr>
          <w:rFonts w:ascii="Arial" w:hAnsi="Arial" w:cs="Arial"/>
          <w:sz w:val="17"/>
          <w:szCs w:val="17"/>
        </w:rPr>
        <w:t xml:space="preserve"> (1</w:t>
      </w:r>
      <w:r>
        <w:rPr>
          <w:rFonts w:ascii="Arial" w:hAnsi="Arial" w:cs="Arial"/>
          <w:sz w:val="17"/>
          <w:szCs w:val="17"/>
        </w:rPr>
        <w:t>999</w:t>
      </w:r>
      <w:r w:rsidRPr="004079B3">
        <w:rPr>
          <w:rFonts w:ascii="Arial" w:hAnsi="Arial" w:cs="Arial"/>
          <w:sz w:val="17"/>
          <w:szCs w:val="17"/>
        </w:rPr>
        <w:t>): 37</w:t>
      </w:r>
      <w:r>
        <w:rPr>
          <w:rFonts w:ascii="Arial" w:hAnsi="Arial" w:cs="Arial"/>
          <w:sz w:val="17"/>
          <w:szCs w:val="17"/>
        </w:rPr>
        <w:t>–</w:t>
      </w:r>
      <w:r w:rsidRPr="004079B3">
        <w:rPr>
          <w:rFonts w:ascii="Arial" w:hAnsi="Arial" w:cs="Arial"/>
          <w:sz w:val="17"/>
          <w:szCs w:val="17"/>
        </w:rPr>
        <w:t>82.</w:t>
      </w:r>
      <w:r>
        <w:rPr>
          <w:rFonts w:ascii="Arial" w:hAnsi="Arial" w:cs="Arial"/>
          <w:sz w:val="17"/>
          <w:szCs w:val="17"/>
        </w:rPr>
        <w:t xml:space="preserve"> doi:</w:t>
      </w:r>
      <w:r w:rsidRPr="001B504B">
        <w:rPr>
          <w:rFonts w:ascii="Arial" w:hAnsi="Arial" w:cs="Arial"/>
          <w:sz w:val="17"/>
          <w:szCs w:val="17"/>
        </w:rPr>
        <w:t>10.1162/003355399555945</w:t>
      </w:r>
      <w:r>
        <w:rPr>
          <w:rFonts w:ascii="Arial" w:hAnsi="Arial" w:cs="Arial"/>
          <w:sz w:val="17"/>
          <w:szCs w:val="17"/>
        </w:rPr>
        <w:t>.</w:t>
      </w:r>
    </w:p>
  </w:endnote>
  <w:endnote w:id="13">
    <w:p w14:paraId="458AB329" w14:textId="50356B63" w:rsidR="00880714" w:rsidRDefault="00880714" w:rsidP="00FB7345">
      <w:pPr>
        <w:pStyle w:val="Footnote"/>
      </w:pPr>
      <w:r>
        <w:rPr>
          <w:rStyle w:val="EndnoteReference"/>
        </w:rPr>
        <w:endnoteRef/>
      </w:r>
      <w:r w:rsidRPr="00FB7345">
        <w:rPr>
          <w:rStyle w:val="EndnoteReference"/>
        </w:rPr>
        <w:t xml:space="preserve"> </w:t>
      </w:r>
      <w:r>
        <w:t xml:space="preserve">Charles </w:t>
      </w:r>
      <w:r w:rsidRPr="001B668D">
        <w:rPr>
          <w:lang w:val="en-GB"/>
        </w:rPr>
        <w:t>Lord, L</w:t>
      </w:r>
      <w:r>
        <w:rPr>
          <w:lang w:val="en-GB"/>
        </w:rPr>
        <w:t>ee</w:t>
      </w:r>
      <w:r w:rsidRPr="001B668D">
        <w:rPr>
          <w:lang w:val="en-GB"/>
        </w:rPr>
        <w:t xml:space="preserve"> Ross</w:t>
      </w:r>
      <w:r>
        <w:rPr>
          <w:lang w:val="en-GB"/>
        </w:rPr>
        <w:t>,</w:t>
      </w:r>
      <w:r w:rsidRPr="001B668D">
        <w:rPr>
          <w:lang w:val="en-GB"/>
        </w:rPr>
        <w:t xml:space="preserve"> and M</w:t>
      </w:r>
      <w:r>
        <w:rPr>
          <w:lang w:val="en-GB"/>
        </w:rPr>
        <w:t>ark</w:t>
      </w:r>
      <w:r w:rsidRPr="001B668D">
        <w:rPr>
          <w:lang w:val="en-GB"/>
        </w:rPr>
        <w:t xml:space="preserve"> Lepper, “Biased Assimilation and Attitude Polarization: the Effects of Prior Theories on Subsequently Considered Evidence,” </w:t>
      </w:r>
      <w:r w:rsidRPr="001B668D">
        <w:rPr>
          <w:i/>
          <w:lang w:val="en-GB"/>
        </w:rPr>
        <w:t>Journal of Personality and Social Psychology</w:t>
      </w:r>
      <w:r w:rsidRPr="001B668D">
        <w:rPr>
          <w:lang w:val="en-GB"/>
        </w:rPr>
        <w:t xml:space="preserve"> 37, </w:t>
      </w:r>
      <w:r>
        <w:rPr>
          <w:lang w:val="en-GB"/>
        </w:rPr>
        <w:t xml:space="preserve">no. 11 (1979): </w:t>
      </w:r>
      <w:r w:rsidRPr="001B668D">
        <w:rPr>
          <w:lang w:val="en-GB"/>
        </w:rPr>
        <w:t>2098−2109.</w:t>
      </w:r>
      <w:r>
        <w:rPr>
          <w:lang w:val="en-GB"/>
        </w:rPr>
        <w:t xml:space="preserve"> doi:</w:t>
      </w:r>
      <w:r w:rsidRPr="001B504B">
        <w:rPr>
          <w:lang w:val="en-GB"/>
        </w:rPr>
        <w:t>10.1037/0022-3514.37.11.2098</w:t>
      </w:r>
      <w:r>
        <w:rPr>
          <w:lang w:val="en-GB"/>
        </w:rPr>
        <w:t>.</w:t>
      </w:r>
    </w:p>
  </w:endnote>
  <w:endnote w:id="14">
    <w:p w14:paraId="62AE2B2A" w14:textId="01D814DB" w:rsidR="00880714" w:rsidRPr="00F171CD" w:rsidRDefault="00880714" w:rsidP="00FB7345">
      <w:pPr>
        <w:pStyle w:val="EndnoteText"/>
        <w:jc w:val="both"/>
        <w:rPr>
          <w:rStyle w:val="FootnoteChar"/>
        </w:rPr>
      </w:pPr>
      <w:r w:rsidRPr="00FB7345">
        <w:rPr>
          <w:rStyle w:val="EndnoteReference"/>
          <w:rFonts w:ascii="Arial" w:hAnsi="Arial" w:cs="Arial"/>
          <w:sz w:val="17"/>
          <w:szCs w:val="17"/>
        </w:rPr>
        <w:endnoteRef/>
      </w:r>
      <w:r w:rsidRPr="00FB7345">
        <w:rPr>
          <w:rStyle w:val="EndnoteReference"/>
          <w:rFonts w:ascii="Arial" w:hAnsi="Arial" w:cs="Arial"/>
          <w:sz w:val="17"/>
          <w:szCs w:val="17"/>
        </w:rPr>
        <w:t xml:space="preserve"> </w:t>
      </w:r>
      <w:r>
        <w:rPr>
          <w:rFonts w:ascii="Arial" w:hAnsi="Arial" w:cs="Arial"/>
          <w:sz w:val="17"/>
          <w:szCs w:val="17"/>
        </w:rPr>
        <w:t xml:space="preserve">Daniel </w:t>
      </w:r>
      <w:r w:rsidRPr="00FB7345">
        <w:rPr>
          <w:rFonts w:ascii="Arial" w:hAnsi="Arial" w:cs="Arial"/>
          <w:sz w:val="17"/>
          <w:szCs w:val="17"/>
        </w:rPr>
        <w:t xml:space="preserve">Kahneman and Amos Tversky, “Judgment </w:t>
      </w:r>
      <w:r>
        <w:rPr>
          <w:rFonts w:ascii="Arial" w:hAnsi="Arial" w:cs="Arial"/>
          <w:sz w:val="17"/>
          <w:szCs w:val="17"/>
        </w:rPr>
        <w:t>u</w:t>
      </w:r>
      <w:r w:rsidRPr="00FB7345">
        <w:rPr>
          <w:rFonts w:ascii="Arial" w:hAnsi="Arial" w:cs="Arial"/>
          <w:sz w:val="17"/>
          <w:szCs w:val="17"/>
        </w:rPr>
        <w:t xml:space="preserve">nder Uncertainty: Heuristics and Biases,” </w:t>
      </w:r>
      <w:r w:rsidRPr="00FB7345">
        <w:rPr>
          <w:rFonts w:ascii="Arial" w:hAnsi="Arial" w:cs="Arial"/>
          <w:i/>
          <w:sz w:val="17"/>
          <w:szCs w:val="17"/>
        </w:rPr>
        <w:t>Science</w:t>
      </w:r>
      <w:r w:rsidRPr="00FB7345">
        <w:rPr>
          <w:rFonts w:ascii="Arial" w:hAnsi="Arial" w:cs="Arial"/>
          <w:sz w:val="17"/>
          <w:szCs w:val="17"/>
        </w:rPr>
        <w:t xml:space="preserve"> 185</w:t>
      </w:r>
      <w:r>
        <w:rPr>
          <w:rFonts w:ascii="Arial" w:hAnsi="Arial" w:cs="Arial"/>
          <w:sz w:val="17"/>
          <w:szCs w:val="17"/>
        </w:rPr>
        <w:t>, no. 4157 (1974):</w:t>
      </w:r>
      <w:r w:rsidRPr="00FB7345">
        <w:rPr>
          <w:rFonts w:ascii="Arial" w:hAnsi="Arial" w:cs="Arial"/>
          <w:sz w:val="17"/>
          <w:szCs w:val="17"/>
        </w:rPr>
        <w:t xml:space="preserve"> 1124−1131</w:t>
      </w:r>
      <w:r w:rsidRPr="00F171CD">
        <w:rPr>
          <w:rStyle w:val="FootnoteChar"/>
        </w:rPr>
        <w:t>. doi:10.1126/science.185.4157.1124</w:t>
      </w:r>
      <w:r>
        <w:rPr>
          <w:rStyle w:val="FootnoteChar"/>
        </w:rPr>
        <w:t>.</w:t>
      </w:r>
    </w:p>
  </w:endnote>
  <w:endnote w:id="15">
    <w:p w14:paraId="398036B0" w14:textId="33A5B773" w:rsidR="00880714" w:rsidRDefault="00880714" w:rsidP="007E042B">
      <w:pPr>
        <w:pStyle w:val="Footnote"/>
      </w:pPr>
      <w:r w:rsidRPr="00514988">
        <w:rPr>
          <w:rStyle w:val="EndnoteReference"/>
        </w:rPr>
        <w:endnoteRef/>
      </w:r>
      <w:r>
        <w:t xml:space="preserve"> </w:t>
      </w:r>
      <w:r>
        <w:rPr>
          <w:lang w:val="en-CA"/>
        </w:rPr>
        <w:t>This error is called base rate neglect (and is derived from</w:t>
      </w:r>
      <w:r w:rsidRPr="001D4EED">
        <w:rPr>
          <w:lang w:val="en-CA"/>
        </w:rPr>
        <w:t xml:space="preserve"> Bayes</w:t>
      </w:r>
      <w:r>
        <w:rPr>
          <w:lang w:val="en-CA"/>
        </w:rPr>
        <w:t>’</w:t>
      </w:r>
      <w:r w:rsidRPr="001D4EED">
        <w:rPr>
          <w:lang w:val="en-CA"/>
        </w:rPr>
        <w:t xml:space="preserve"> law</w:t>
      </w:r>
      <w:r>
        <w:rPr>
          <w:lang w:val="en-CA"/>
        </w:rPr>
        <w:t>, which is used in statistics</w:t>
      </w:r>
      <w:r w:rsidRPr="001D4EED">
        <w:rPr>
          <w:lang w:val="en-CA"/>
        </w:rPr>
        <w:t>)</w:t>
      </w:r>
      <w:r>
        <w:rPr>
          <w:lang w:val="en-CA"/>
        </w:rPr>
        <w:t>.</w:t>
      </w:r>
    </w:p>
  </w:endnote>
  <w:endnote w:id="16">
    <w:p w14:paraId="6AD7C0DC" w14:textId="3FEC55CA" w:rsidR="00880714" w:rsidRPr="00FB7345" w:rsidRDefault="00880714" w:rsidP="00FB7345">
      <w:pPr>
        <w:pStyle w:val="EndnoteText"/>
        <w:jc w:val="both"/>
        <w:rPr>
          <w:rFonts w:ascii="Arial" w:hAnsi="Arial" w:cs="Arial"/>
          <w:sz w:val="17"/>
          <w:szCs w:val="17"/>
        </w:rPr>
      </w:pPr>
      <w:r w:rsidRPr="00FB7345">
        <w:rPr>
          <w:rStyle w:val="EndnoteReference"/>
          <w:rFonts w:ascii="Arial" w:hAnsi="Arial" w:cs="Arial"/>
          <w:sz w:val="17"/>
          <w:szCs w:val="17"/>
        </w:rPr>
        <w:endnoteRef/>
      </w:r>
      <w:r>
        <w:t xml:space="preserve"> </w:t>
      </w:r>
      <w:r w:rsidRPr="00FB7345">
        <w:rPr>
          <w:rFonts w:ascii="Arial" w:hAnsi="Arial" w:cs="Arial"/>
          <w:sz w:val="17"/>
          <w:szCs w:val="17"/>
        </w:rPr>
        <w:t>Matthew</w:t>
      </w:r>
      <w:r>
        <w:rPr>
          <w:rFonts w:ascii="Arial" w:hAnsi="Arial" w:cs="Arial"/>
          <w:sz w:val="17"/>
          <w:szCs w:val="17"/>
        </w:rPr>
        <w:t xml:space="preserve"> Rabin</w:t>
      </w:r>
      <w:r w:rsidRPr="00FB7345">
        <w:rPr>
          <w:rFonts w:ascii="Arial" w:hAnsi="Arial" w:cs="Arial"/>
          <w:sz w:val="17"/>
          <w:szCs w:val="17"/>
        </w:rPr>
        <w:t xml:space="preserve">, “Inference by Believers in the Law of Small Numbers,” </w:t>
      </w:r>
      <w:r w:rsidRPr="00FB7345">
        <w:rPr>
          <w:rFonts w:ascii="Arial" w:hAnsi="Arial" w:cs="Arial"/>
          <w:i/>
          <w:sz w:val="17"/>
          <w:szCs w:val="17"/>
        </w:rPr>
        <w:t>Quarterly Journal of Economics</w:t>
      </w:r>
      <w:r w:rsidRPr="00FB7345">
        <w:rPr>
          <w:rFonts w:ascii="Arial" w:hAnsi="Arial" w:cs="Arial"/>
          <w:sz w:val="17"/>
          <w:szCs w:val="17"/>
        </w:rPr>
        <w:t xml:space="preserve"> 117</w:t>
      </w:r>
      <w:r>
        <w:rPr>
          <w:rFonts w:ascii="Arial" w:hAnsi="Arial" w:cs="Arial"/>
          <w:sz w:val="17"/>
          <w:szCs w:val="17"/>
        </w:rPr>
        <w:t>, no. 3 (2002):</w:t>
      </w:r>
      <w:r w:rsidRPr="00FB7345">
        <w:rPr>
          <w:rFonts w:ascii="Arial" w:hAnsi="Arial" w:cs="Arial"/>
          <w:sz w:val="17"/>
          <w:szCs w:val="17"/>
        </w:rPr>
        <w:t xml:space="preserve"> 775−816.</w:t>
      </w:r>
      <w:r>
        <w:rPr>
          <w:rFonts w:ascii="Arial" w:hAnsi="Arial" w:cs="Arial"/>
          <w:sz w:val="17"/>
          <w:szCs w:val="17"/>
        </w:rPr>
        <w:t xml:space="preserve"> doi:</w:t>
      </w:r>
      <w:r w:rsidRPr="0031243B">
        <w:rPr>
          <w:rFonts w:ascii="Arial" w:hAnsi="Arial" w:cs="Arial"/>
          <w:sz w:val="17"/>
          <w:szCs w:val="17"/>
        </w:rPr>
        <w:t>10.1162/003355302760193896</w:t>
      </w:r>
      <w:r>
        <w:rPr>
          <w:rFonts w:ascii="Arial" w:hAnsi="Arial" w:cs="Arial"/>
          <w:sz w:val="17"/>
          <w:szCs w:val="17"/>
        </w:rPr>
        <w:t>.</w:t>
      </w:r>
    </w:p>
  </w:endnote>
  <w:endnote w:id="17">
    <w:p w14:paraId="40690DB2" w14:textId="338B0E21" w:rsidR="00880714" w:rsidRPr="00FB7345" w:rsidRDefault="00880714" w:rsidP="00FB7345">
      <w:pPr>
        <w:pStyle w:val="BodyTextMain"/>
        <w:rPr>
          <w:rFonts w:ascii="Arial" w:hAnsi="Arial" w:cs="Arial"/>
          <w:sz w:val="17"/>
          <w:szCs w:val="17"/>
        </w:rPr>
      </w:pPr>
      <w:r w:rsidRPr="00FB7345">
        <w:rPr>
          <w:rStyle w:val="EndnoteReference"/>
          <w:rFonts w:ascii="Arial" w:hAnsi="Arial" w:cs="Arial"/>
          <w:sz w:val="17"/>
          <w:szCs w:val="17"/>
        </w:rPr>
        <w:endnoteRef/>
      </w:r>
      <w:r w:rsidRPr="00FB7345">
        <w:rPr>
          <w:rStyle w:val="EndnoteReference"/>
          <w:rFonts w:ascii="Arial" w:hAnsi="Arial" w:cs="Arial"/>
          <w:sz w:val="17"/>
          <w:szCs w:val="17"/>
        </w:rPr>
        <w:t xml:space="preserve"> </w:t>
      </w:r>
      <w:r>
        <w:rPr>
          <w:rFonts w:ascii="Arial" w:hAnsi="Arial" w:cs="Arial"/>
          <w:sz w:val="17"/>
          <w:szCs w:val="17"/>
        </w:rPr>
        <w:t xml:space="preserve">See, for example, Thomas Gilovich, Robert Vallone, and Amos Tversky, “The Hot Hand in Basketball: On the Misperception of Random Sequences,” </w:t>
      </w:r>
      <w:r w:rsidRPr="00FB7345">
        <w:rPr>
          <w:rFonts w:ascii="Arial" w:hAnsi="Arial" w:cs="Arial"/>
          <w:i/>
          <w:sz w:val="17"/>
          <w:szCs w:val="17"/>
        </w:rPr>
        <w:t>Cognitive Psychology</w:t>
      </w:r>
      <w:r>
        <w:rPr>
          <w:rFonts w:ascii="Arial" w:hAnsi="Arial" w:cs="Arial"/>
          <w:sz w:val="17"/>
          <w:szCs w:val="17"/>
        </w:rPr>
        <w:t xml:space="preserve"> 17, no. 3 (1985): 295–314. doi:</w:t>
      </w:r>
      <w:r w:rsidRPr="0031243B">
        <w:rPr>
          <w:rFonts w:ascii="Arial" w:hAnsi="Arial" w:cs="Arial"/>
          <w:sz w:val="17"/>
          <w:szCs w:val="17"/>
        </w:rPr>
        <w:t>10.1016/0010-0285(85)90010-6</w:t>
      </w:r>
      <w:r>
        <w:rPr>
          <w:rFonts w:ascii="Arial" w:hAnsi="Arial" w:cs="Arial"/>
          <w:sz w:val="17"/>
          <w:szCs w:val="17"/>
        </w:rPr>
        <w:t xml:space="preserve">; Joshua Benjamin </w:t>
      </w:r>
      <w:r w:rsidRPr="00FB7345">
        <w:rPr>
          <w:rFonts w:ascii="Arial" w:hAnsi="Arial" w:cs="Arial"/>
          <w:sz w:val="17"/>
          <w:szCs w:val="17"/>
        </w:rPr>
        <w:t xml:space="preserve">Miller and Adam Sanjurjo, “Surprised by the Gambler’s and Hot Hand Fallacies? A Truth in the Law of Small Numbers,” IGIER Working Paper, </w:t>
      </w:r>
      <w:r w:rsidRPr="00DF3DE9">
        <w:rPr>
          <w:rFonts w:ascii="Arial" w:hAnsi="Arial" w:cs="Arial"/>
          <w:sz w:val="17"/>
          <w:szCs w:val="17"/>
        </w:rPr>
        <w:t>552,</w:t>
      </w:r>
      <w:r w:rsidRPr="00FB7345">
        <w:rPr>
          <w:rFonts w:ascii="Arial" w:hAnsi="Arial" w:cs="Arial"/>
          <w:sz w:val="17"/>
          <w:szCs w:val="17"/>
        </w:rPr>
        <w:t xml:space="preserve"> </w:t>
      </w:r>
      <w:r>
        <w:rPr>
          <w:rFonts w:ascii="Arial" w:hAnsi="Arial" w:cs="Arial"/>
          <w:sz w:val="17"/>
          <w:szCs w:val="17"/>
        </w:rPr>
        <w:t xml:space="preserve">2016, accessed January 20, 2017, </w:t>
      </w:r>
      <w:r w:rsidRPr="00FB7345">
        <w:rPr>
          <w:rFonts w:ascii="Arial" w:hAnsi="Arial" w:cs="Arial"/>
          <w:sz w:val="17"/>
          <w:szCs w:val="17"/>
        </w:rPr>
        <w:t>https://ssrn.com/abstract=2627354 or http://dx.doi.org/10.2139/ssrn.2627354</w:t>
      </w:r>
      <w:r>
        <w:rPr>
          <w:rFonts w:ascii="Arial" w:hAnsi="Arial" w:cs="Arial"/>
          <w:sz w:val="17"/>
          <w:szCs w:val="17"/>
        </w:rPr>
        <w:t>.</w:t>
      </w:r>
    </w:p>
  </w:endnote>
  <w:endnote w:id="18">
    <w:p w14:paraId="17293379" w14:textId="69487D20" w:rsidR="00880714" w:rsidRPr="00DE4048" w:rsidRDefault="00880714" w:rsidP="007E042B">
      <w:pPr>
        <w:pStyle w:val="Footnote"/>
        <w:rPr>
          <w:lang w:val="en-CA"/>
        </w:rPr>
      </w:pPr>
      <w:r w:rsidRPr="00514988">
        <w:rPr>
          <w:rStyle w:val="EndnoteReference"/>
        </w:rPr>
        <w:endnoteRef/>
      </w:r>
      <w:r w:rsidRPr="00DE4048">
        <w:t xml:space="preserve"> </w:t>
      </w:r>
      <w:r>
        <w:t>Barberis and Thaler, op. cit.</w:t>
      </w:r>
      <w:r>
        <w:rPr>
          <w:lang w:val="en-CA"/>
        </w:rPr>
        <w:t xml:space="preserve">, </w:t>
      </w:r>
      <w:r w:rsidRPr="00DE4048">
        <w:rPr>
          <w:lang w:val="en-CA"/>
        </w:rPr>
        <w:t>1065</w:t>
      </w:r>
      <w:r>
        <w:rPr>
          <w:lang w:val="en-CA"/>
        </w:rPr>
        <w:t>.</w:t>
      </w:r>
    </w:p>
  </w:endnote>
  <w:endnote w:id="19">
    <w:p w14:paraId="5AF12550" w14:textId="0ACB2026" w:rsidR="00880714" w:rsidRDefault="00880714" w:rsidP="00FB7345">
      <w:pPr>
        <w:pStyle w:val="Footnote"/>
      </w:pPr>
      <w:r>
        <w:rPr>
          <w:rStyle w:val="EndnoteReference"/>
        </w:rPr>
        <w:endnoteRef/>
      </w:r>
      <w:r w:rsidRPr="00FB7345">
        <w:rPr>
          <w:rStyle w:val="EndnoteReference"/>
        </w:rPr>
        <w:t xml:space="preserve"> </w:t>
      </w:r>
      <w:r>
        <w:t xml:space="preserve">Daniel </w:t>
      </w:r>
      <w:r w:rsidRPr="005B6E1C">
        <w:t xml:space="preserve">Kahneman and Amos Tversky, “Judgment </w:t>
      </w:r>
      <w:r>
        <w:t>u</w:t>
      </w:r>
      <w:r w:rsidRPr="005B6E1C">
        <w:t xml:space="preserve">nder Uncertainty: Heuristics and Biases,” </w:t>
      </w:r>
      <w:r w:rsidRPr="005B6E1C">
        <w:rPr>
          <w:i/>
        </w:rPr>
        <w:t>Science</w:t>
      </w:r>
      <w:r w:rsidRPr="005B6E1C">
        <w:t xml:space="preserve"> 185</w:t>
      </w:r>
      <w:r>
        <w:t>, no. 4157 (1974):</w:t>
      </w:r>
      <w:r w:rsidRPr="005B6E1C">
        <w:t xml:space="preserve"> 1124−1131</w:t>
      </w:r>
      <w:r w:rsidRPr="001B668D">
        <w:rPr>
          <w:lang w:val="en-GB"/>
        </w:rPr>
        <w:t>.</w:t>
      </w:r>
      <w:r w:rsidRPr="0031243B">
        <w:t xml:space="preserve"> </w:t>
      </w:r>
      <w:r w:rsidRPr="0031243B">
        <w:rPr>
          <w:lang w:val="en-GB"/>
        </w:rPr>
        <w:t>doi:10.1126/science.185.4157.1124.</w:t>
      </w:r>
    </w:p>
  </w:endnote>
  <w:endnote w:id="20">
    <w:p w14:paraId="75B7B121" w14:textId="6459642F" w:rsidR="00880714" w:rsidRPr="00B24C0E" w:rsidRDefault="00880714" w:rsidP="00FB7345">
      <w:pPr>
        <w:pStyle w:val="EndnoteText"/>
        <w:jc w:val="both"/>
        <w:rPr>
          <w:rFonts w:ascii="Arial" w:hAnsi="Arial" w:cs="Arial"/>
          <w:sz w:val="17"/>
          <w:szCs w:val="17"/>
          <w:lang w:val="en-CA"/>
        </w:rPr>
      </w:pPr>
      <w:r w:rsidRPr="00B24C0E">
        <w:rPr>
          <w:rStyle w:val="EndnoteReference"/>
          <w:rFonts w:ascii="Arial" w:hAnsi="Arial" w:cs="Arial"/>
          <w:sz w:val="17"/>
          <w:szCs w:val="17"/>
        </w:rPr>
        <w:endnoteRef/>
      </w:r>
      <w:r w:rsidRPr="00B24C0E">
        <w:rPr>
          <w:rFonts w:ascii="Arial" w:hAnsi="Arial" w:cs="Arial"/>
          <w:sz w:val="17"/>
          <w:szCs w:val="17"/>
        </w:rPr>
        <w:t xml:space="preserve"> Robert J. Shiller, “Human Behavior and the Efficiency of the Fi</w:t>
      </w:r>
      <w:r w:rsidRPr="004073C3">
        <w:rPr>
          <w:rFonts w:ascii="Arial" w:hAnsi="Arial" w:cs="Arial"/>
          <w:sz w:val="17"/>
          <w:szCs w:val="17"/>
        </w:rPr>
        <w:t xml:space="preserve">nancial System,” </w:t>
      </w:r>
      <w:r w:rsidRPr="00FB7345">
        <w:rPr>
          <w:rFonts w:ascii="Arial" w:hAnsi="Arial" w:cs="Arial"/>
          <w:sz w:val="17"/>
          <w:szCs w:val="17"/>
        </w:rPr>
        <w:t>N</w:t>
      </w:r>
      <w:r>
        <w:rPr>
          <w:rFonts w:ascii="Arial" w:hAnsi="Arial" w:cs="Arial"/>
          <w:sz w:val="17"/>
          <w:szCs w:val="17"/>
        </w:rPr>
        <w:t xml:space="preserve">ational </w:t>
      </w:r>
      <w:r w:rsidRPr="00FB7345">
        <w:rPr>
          <w:rFonts w:ascii="Arial" w:hAnsi="Arial" w:cs="Arial"/>
          <w:sz w:val="17"/>
          <w:szCs w:val="17"/>
        </w:rPr>
        <w:t>B</w:t>
      </w:r>
      <w:r>
        <w:rPr>
          <w:rFonts w:ascii="Arial" w:hAnsi="Arial" w:cs="Arial"/>
          <w:sz w:val="17"/>
          <w:szCs w:val="17"/>
        </w:rPr>
        <w:t xml:space="preserve">ureau of </w:t>
      </w:r>
      <w:r w:rsidRPr="00FB7345">
        <w:rPr>
          <w:rFonts w:ascii="Arial" w:hAnsi="Arial" w:cs="Arial"/>
          <w:sz w:val="17"/>
          <w:szCs w:val="17"/>
        </w:rPr>
        <w:t>E</w:t>
      </w:r>
      <w:r>
        <w:rPr>
          <w:rFonts w:ascii="Arial" w:hAnsi="Arial" w:cs="Arial"/>
          <w:sz w:val="17"/>
          <w:szCs w:val="17"/>
        </w:rPr>
        <w:t xml:space="preserve">conomic </w:t>
      </w:r>
      <w:r w:rsidRPr="00FB7345">
        <w:rPr>
          <w:rFonts w:ascii="Arial" w:hAnsi="Arial" w:cs="Arial"/>
          <w:sz w:val="17"/>
          <w:szCs w:val="17"/>
        </w:rPr>
        <w:t>R</w:t>
      </w:r>
      <w:r>
        <w:rPr>
          <w:rFonts w:ascii="Arial" w:hAnsi="Arial" w:cs="Arial"/>
          <w:sz w:val="17"/>
          <w:szCs w:val="17"/>
        </w:rPr>
        <w:t>esearch</w:t>
      </w:r>
      <w:r w:rsidRPr="00FB7345">
        <w:rPr>
          <w:rFonts w:ascii="Arial" w:hAnsi="Arial" w:cs="Arial"/>
          <w:sz w:val="17"/>
          <w:szCs w:val="17"/>
        </w:rPr>
        <w:t xml:space="preserve"> Working Paper</w:t>
      </w:r>
      <w:r>
        <w:rPr>
          <w:rFonts w:ascii="Arial" w:hAnsi="Arial" w:cs="Arial"/>
          <w:sz w:val="17"/>
          <w:szCs w:val="17"/>
        </w:rPr>
        <w:t xml:space="preserve"> 6375</w:t>
      </w:r>
      <w:r w:rsidRPr="00447C0C">
        <w:rPr>
          <w:rFonts w:ascii="Arial" w:hAnsi="Arial" w:cs="Arial"/>
          <w:sz w:val="17"/>
          <w:szCs w:val="17"/>
        </w:rPr>
        <w:t>,</w:t>
      </w:r>
      <w:r w:rsidRPr="004073C3">
        <w:rPr>
          <w:rFonts w:ascii="Arial" w:hAnsi="Arial" w:cs="Arial"/>
          <w:sz w:val="17"/>
          <w:szCs w:val="17"/>
        </w:rPr>
        <w:t xml:space="preserve"> </w:t>
      </w:r>
      <w:r>
        <w:rPr>
          <w:rFonts w:ascii="Arial" w:hAnsi="Arial" w:cs="Arial"/>
          <w:sz w:val="17"/>
          <w:szCs w:val="17"/>
        </w:rPr>
        <w:t>National Bureau of Economic Research, Cambridge, MA, 1998, 1.</w:t>
      </w:r>
    </w:p>
  </w:endnote>
  <w:endnote w:id="21">
    <w:p w14:paraId="465E65B4" w14:textId="2BD653D4" w:rsidR="00880714" w:rsidRPr="00815C4B" w:rsidRDefault="00880714" w:rsidP="00FB7345">
      <w:pPr>
        <w:pStyle w:val="EndnoteText"/>
        <w:jc w:val="both"/>
        <w:rPr>
          <w:rFonts w:ascii="Arial" w:hAnsi="Arial" w:cs="Arial"/>
          <w:sz w:val="17"/>
          <w:szCs w:val="17"/>
          <w:lang w:val="en-CA"/>
        </w:rPr>
      </w:pPr>
      <w:r w:rsidRPr="00B24C0E">
        <w:rPr>
          <w:rStyle w:val="EndnoteReference"/>
          <w:rFonts w:ascii="Arial" w:hAnsi="Arial" w:cs="Arial"/>
          <w:sz w:val="17"/>
          <w:szCs w:val="17"/>
        </w:rPr>
        <w:endnoteRef/>
      </w:r>
      <w:r w:rsidRPr="00B24C0E">
        <w:rPr>
          <w:rFonts w:ascii="Arial" w:hAnsi="Arial" w:cs="Arial"/>
          <w:sz w:val="17"/>
          <w:szCs w:val="17"/>
        </w:rPr>
        <w:t xml:space="preserve"> B</w:t>
      </w:r>
      <w:r>
        <w:rPr>
          <w:rFonts w:ascii="Arial" w:hAnsi="Arial" w:cs="Arial"/>
          <w:sz w:val="17"/>
          <w:szCs w:val="17"/>
        </w:rPr>
        <w:t>rad</w:t>
      </w:r>
      <w:r w:rsidRPr="00B24C0E">
        <w:rPr>
          <w:rFonts w:ascii="Arial" w:hAnsi="Arial" w:cs="Arial"/>
          <w:sz w:val="17"/>
          <w:szCs w:val="17"/>
        </w:rPr>
        <w:t xml:space="preserve"> M. Barber and T</w:t>
      </w:r>
      <w:r>
        <w:rPr>
          <w:rFonts w:ascii="Arial" w:hAnsi="Arial" w:cs="Arial"/>
          <w:sz w:val="17"/>
          <w:szCs w:val="17"/>
        </w:rPr>
        <w:t>errance</w:t>
      </w:r>
      <w:r w:rsidRPr="00B24C0E">
        <w:rPr>
          <w:rFonts w:ascii="Arial" w:hAnsi="Arial" w:cs="Arial"/>
          <w:sz w:val="17"/>
          <w:szCs w:val="17"/>
        </w:rPr>
        <w:t xml:space="preserve"> Odean, “All </w:t>
      </w:r>
      <w:r>
        <w:rPr>
          <w:rFonts w:ascii="Arial" w:hAnsi="Arial" w:cs="Arial"/>
          <w:sz w:val="17"/>
          <w:szCs w:val="17"/>
        </w:rPr>
        <w:t>T</w:t>
      </w:r>
      <w:r w:rsidRPr="00B24C0E">
        <w:rPr>
          <w:rFonts w:ascii="Arial" w:hAnsi="Arial" w:cs="Arial"/>
          <w:sz w:val="17"/>
          <w:szCs w:val="17"/>
        </w:rPr>
        <w:t xml:space="preserve">hat Glitters: The Effect of Attention and News on the Buying </w:t>
      </w:r>
      <w:r>
        <w:rPr>
          <w:rFonts w:ascii="Arial" w:hAnsi="Arial" w:cs="Arial"/>
          <w:sz w:val="17"/>
          <w:szCs w:val="17"/>
        </w:rPr>
        <w:t>B</w:t>
      </w:r>
      <w:r w:rsidRPr="00B24C0E">
        <w:rPr>
          <w:rFonts w:ascii="Arial" w:hAnsi="Arial" w:cs="Arial"/>
          <w:sz w:val="17"/>
          <w:szCs w:val="17"/>
        </w:rPr>
        <w:t xml:space="preserve">ehavior of Individual and Institutional Investors,” </w:t>
      </w:r>
      <w:r w:rsidRPr="00447C0C">
        <w:rPr>
          <w:rFonts w:ascii="Arial" w:hAnsi="Arial" w:cs="Arial"/>
          <w:i/>
          <w:sz w:val="17"/>
          <w:szCs w:val="17"/>
        </w:rPr>
        <w:t>Review of Financial Studies</w:t>
      </w:r>
      <w:r>
        <w:rPr>
          <w:rFonts w:ascii="Arial" w:hAnsi="Arial" w:cs="Arial"/>
          <w:sz w:val="17"/>
          <w:szCs w:val="17"/>
        </w:rPr>
        <w:t xml:space="preserve"> 21, no. 2 (2008): 785</w:t>
      </w:r>
      <w:r w:rsidRPr="00B24C0E">
        <w:rPr>
          <w:rFonts w:ascii="Arial" w:hAnsi="Arial" w:cs="Arial"/>
          <w:sz w:val="17"/>
          <w:szCs w:val="17"/>
        </w:rPr>
        <w:t>.</w:t>
      </w:r>
      <w:r>
        <w:rPr>
          <w:rFonts w:ascii="Arial" w:hAnsi="Arial" w:cs="Arial"/>
          <w:sz w:val="17"/>
          <w:szCs w:val="17"/>
        </w:rPr>
        <w:t xml:space="preserve"> doi:</w:t>
      </w:r>
      <w:r w:rsidRPr="0031243B">
        <w:rPr>
          <w:rFonts w:ascii="Arial" w:hAnsi="Arial" w:cs="Arial"/>
          <w:sz w:val="17"/>
          <w:szCs w:val="17"/>
        </w:rPr>
        <w:t>10.1093/rfs/hhm079</w:t>
      </w:r>
      <w:r>
        <w:rPr>
          <w:rFonts w:ascii="Arial" w:hAnsi="Arial" w:cs="Arial"/>
          <w:sz w:val="17"/>
          <w:szCs w:val="17"/>
        </w:rPr>
        <w:t>.</w:t>
      </w:r>
    </w:p>
  </w:endnote>
  <w:endnote w:id="22">
    <w:p w14:paraId="33A1E575" w14:textId="77777777" w:rsidR="00880714" w:rsidRPr="001D2054" w:rsidRDefault="00880714" w:rsidP="007E042B">
      <w:pPr>
        <w:pStyle w:val="Footnote"/>
        <w:rPr>
          <w:lang w:val="en-CA"/>
        </w:rPr>
      </w:pPr>
      <w:r w:rsidRPr="00514988">
        <w:rPr>
          <w:rStyle w:val="EndnoteReference"/>
        </w:rPr>
        <w:endnoteRef/>
      </w:r>
      <w:r w:rsidRPr="00FF2695">
        <w:t xml:space="preserve"> </w:t>
      </w:r>
      <w:r w:rsidRPr="001D2054">
        <w:rPr>
          <w:lang w:val="en-CA"/>
        </w:rPr>
        <w:t>Path dependence is the tendency to continue to use a product or practice based on historical preference or use.</w:t>
      </w:r>
    </w:p>
  </w:endnote>
  <w:endnote w:id="23">
    <w:p w14:paraId="33FA79D8" w14:textId="33CC556D" w:rsidR="00880714" w:rsidRPr="001D2054" w:rsidRDefault="00880714" w:rsidP="001D2054">
      <w:pPr>
        <w:jc w:val="both"/>
        <w:rPr>
          <w:rFonts w:ascii="Arial" w:hAnsi="Arial" w:cs="Arial"/>
          <w:sz w:val="17"/>
          <w:szCs w:val="17"/>
        </w:rPr>
      </w:pPr>
      <w:r w:rsidRPr="001D2054">
        <w:rPr>
          <w:rStyle w:val="EndnoteReference"/>
          <w:rFonts w:ascii="Arial" w:hAnsi="Arial" w:cs="Arial"/>
          <w:sz w:val="17"/>
          <w:szCs w:val="17"/>
        </w:rPr>
        <w:endnoteRef/>
      </w:r>
      <w:r w:rsidRPr="001D2054">
        <w:rPr>
          <w:rFonts w:ascii="Arial" w:hAnsi="Arial" w:cs="Arial"/>
          <w:sz w:val="17"/>
          <w:szCs w:val="17"/>
        </w:rPr>
        <w:t xml:space="preserve"> </w:t>
      </w:r>
      <w:r>
        <w:rPr>
          <w:rFonts w:ascii="Arial" w:hAnsi="Arial" w:cs="Arial"/>
          <w:sz w:val="17"/>
          <w:szCs w:val="17"/>
        </w:rPr>
        <w:t xml:space="preserve">Sabrina M. </w:t>
      </w:r>
      <w:r w:rsidRPr="001D2054">
        <w:rPr>
          <w:rFonts w:ascii="Arial" w:hAnsi="Arial" w:cs="Arial"/>
          <w:sz w:val="17"/>
          <w:szCs w:val="17"/>
          <w:lang w:val="en-CA"/>
        </w:rPr>
        <w:t>Tom,</w:t>
      </w:r>
      <w:r>
        <w:rPr>
          <w:rFonts w:ascii="Arial" w:hAnsi="Arial" w:cs="Arial"/>
          <w:sz w:val="17"/>
          <w:szCs w:val="17"/>
          <w:lang w:val="en-CA"/>
        </w:rPr>
        <w:t xml:space="preserve"> Craig R. Fox, Christopher Trepel, and Russell A. Poldrack</w:t>
      </w:r>
      <w:r w:rsidRPr="001D2054">
        <w:rPr>
          <w:rFonts w:ascii="Arial" w:hAnsi="Arial" w:cs="Arial"/>
          <w:sz w:val="17"/>
          <w:szCs w:val="17"/>
          <w:lang w:val="en-CA"/>
        </w:rPr>
        <w:t xml:space="preserve">, “The Neural Basis of Loss Aversion in Decision-Making under Risk,” </w:t>
      </w:r>
      <w:r w:rsidRPr="00FB7345">
        <w:rPr>
          <w:rFonts w:ascii="Arial" w:hAnsi="Arial" w:cs="Arial"/>
          <w:i/>
          <w:sz w:val="17"/>
          <w:szCs w:val="17"/>
          <w:lang w:val="en-CA"/>
        </w:rPr>
        <w:t>Science</w:t>
      </w:r>
      <w:r w:rsidRPr="001D2054">
        <w:rPr>
          <w:rFonts w:ascii="Arial" w:hAnsi="Arial" w:cs="Arial"/>
          <w:sz w:val="17"/>
          <w:szCs w:val="17"/>
          <w:lang w:val="en-CA"/>
        </w:rPr>
        <w:t xml:space="preserve"> 315</w:t>
      </w:r>
      <w:r>
        <w:rPr>
          <w:rFonts w:ascii="Arial" w:hAnsi="Arial" w:cs="Arial"/>
          <w:sz w:val="17"/>
          <w:szCs w:val="17"/>
          <w:lang w:val="en-CA"/>
        </w:rPr>
        <w:t>, no. 5811</w:t>
      </w:r>
      <w:r w:rsidRPr="001D2054">
        <w:rPr>
          <w:rFonts w:ascii="Arial" w:hAnsi="Arial" w:cs="Arial"/>
          <w:sz w:val="17"/>
          <w:szCs w:val="17"/>
          <w:lang w:val="en-CA"/>
        </w:rPr>
        <w:t xml:space="preserve"> (</w:t>
      </w:r>
      <w:r>
        <w:rPr>
          <w:rFonts w:ascii="Arial" w:hAnsi="Arial" w:cs="Arial"/>
          <w:sz w:val="17"/>
          <w:szCs w:val="17"/>
          <w:lang w:val="en-CA"/>
        </w:rPr>
        <w:t>2007</w:t>
      </w:r>
      <w:r w:rsidRPr="001D2054">
        <w:rPr>
          <w:rFonts w:ascii="Arial" w:hAnsi="Arial" w:cs="Arial"/>
          <w:sz w:val="17"/>
          <w:szCs w:val="17"/>
          <w:lang w:val="en-CA"/>
        </w:rPr>
        <w:t>)</w:t>
      </w:r>
      <w:r>
        <w:rPr>
          <w:rFonts w:ascii="Arial" w:hAnsi="Arial" w:cs="Arial"/>
          <w:sz w:val="17"/>
          <w:szCs w:val="17"/>
          <w:lang w:val="en-CA"/>
        </w:rPr>
        <w:t>:</w:t>
      </w:r>
      <w:r w:rsidRPr="001D2054">
        <w:rPr>
          <w:rFonts w:ascii="Arial" w:hAnsi="Arial" w:cs="Arial"/>
          <w:sz w:val="17"/>
          <w:szCs w:val="17"/>
          <w:lang w:val="en-CA"/>
        </w:rPr>
        <w:t xml:space="preserve"> 515</w:t>
      </w:r>
      <w:r>
        <w:rPr>
          <w:rFonts w:ascii="Arial" w:hAnsi="Arial" w:cs="Arial"/>
          <w:sz w:val="17"/>
          <w:szCs w:val="17"/>
          <w:lang w:val="en-CA"/>
        </w:rPr>
        <w:t>–</w:t>
      </w:r>
      <w:r w:rsidRPr="001D2054">
        <w:rPr>
          <w:rFonts w:ascii="Arial" w:hAnsi="Arial" w:cs="Arial"/>
          <w:sz w:val="17"/>
          <w:szCs w:val="17"/>
          <w:lang w:val="en-CA"/>
        </w:rPr>
        <w:t>518.</w:t>
      </w:r>
      <w:r>
        <w:rPr>
          <w:rFonts w:ascii="Arial" w:hAnsi="Arial" w:cs="Arial"/>
          <w:sz w:val="17"/>
          <w:szCs w:val="17"/>
          <w:lang w:val="en-CA"/>
        </w:rPr>
        <w:t xml:space="preserve"> doi:</w:t>
      </w:r>
      <w:r w:rsidRPr="0031243B">
        <w:rPr>
          <w:rFonts w:ascii="Arial" w:hAnsi="Arial" w:cs="Arial"/>
          <w:sz w:val="17"/>
          <w:szCs w:val="17"/>
          <w:lang w:val="en-CA"/>
        </w:rPr>
        <w:t>10.1126/science.1134239</w:t>
      </w:r>
      <w:r>
        <w:rPr>
          <w:rFonts w:ascii="Arial" w:hAnsi="Arial" w:cs="Arial"/>
          <w:sz w:val="17"/>
          <w:szCs w:val="17"/>
          <w:lang w:val="en-CA"/>
        </w:rPr>
        <w:t>.</w:t>
      </w:r>
    </w:p>
  </w:endnote>
  <w:endnote w:id="24">
    <w:p w14:paraId="558417DB" w14:textId="134A776A" w:rsidR="00880714" w:rsidRPr="00070265" w:rsidRDefault="00880714" w:rsidP="00FB7345">
      <w:pPr>
        <w:jc w:val="both"/>
        <w:rPr>
          <w:rStyle w:val="EndnoteReference"/>
          <w:rFonts w:ascii="Arial" w:hAnsi="Arial" w:cs="Arial"/>
          <w:spacing w:val="-2"/>
          <w:sz w:val="17"/>
          <w:szCs w:val="17"/>
          <w:vertAlign w:val="baseline"/>
        </w:rPr>
      </w:pPr>
      <w:r w:rsidRPr="00FB7345">
        <w:rPr>
          <w:rStyle w:val="EndnoteReference"/>
          <w:rFonts w:ascii="Arial" w:hAnsi="Arial" w:cs="Arial"/>
          <w:sz w:val="17"/>
          <w:szCs w:val="17"/>
        </w:rPr>
        <w:endnoteRef/>
      </w:r>
      <w:r w:rsidRPr="00FB7345">
        <w:rPr>
          <w:rStyle w:val="EndnoteReference"/>
          <w:rFonts w:ascii="Arial" w:hAnsi="Arial" w:cs="Arial"/>
          <w:sz w:val="17"/>
          <w:szCs w:val="17"/>
        </w:rPr>
        <w:t xml:space="preserve"> </w:t>
      </w:r>
      <w:r w:rsidRPr="00070265">
        <w:rPr>
          <w:rFonts w:ascii="Arial" w:hAnsi="Arial" w:cs="Arial"/>
          <w:spacing w:val="-2"/>
          <w:sz w:val="17"/>
          <w:szCs w:val="17"/>
        </w:rPr>
        <w:t xml:space="preserve">See Amos Nadler, Peiran Jiao, Veronica Alexander, Cameron Johnson, and Paul Zak, “The Bull of Wall Street: Experimental Analysis of Testosterone and Asset Trading,” </w:t>
      </w:r>
      <w:r w:rsidR="00070265" w:rsidRPr="00070265">
        <w:rPr>
          <w:rFonts w:ascii="Arial" w:hAnsi="Arial" w:cs="Arial"/>
          <w:spacing w:val="-2"/>
          <w:sz w:val="17"/>
          <w:szCs w:val="17"/>
        </w:rPr>
        <w:t>ResearchGate, April 24, 2017, accessed June 7, 2017, www.researchgate.net/publication/316428328_The_Bull_of_Wall_Street_Experimental_Analysis_of_Testosterone_and_Asset_Trading</w:t>
      </w:r>
      <w:r w:rsidRPr="00070265">
        <w:rPr>
          <w:rFonts w:ascii="Arial" w:hAnsi="Arial" w:cs="Arial"/>
          <w:spacing w:val="-2"/>
          <w:sz w:val="17"/>
          <w:szCs w:val="17"/>
        </w:rPr>
        <w:t xml:space="preserve">; Carlos Cueva, R. Edward Roberts, Tom Spencer, Nisha Rani, Michelle Tempest, Philippe N. Tobler, Joe Herbert, and Aldo Rustichini, “Cortisol and Testosterone Increase Financial Risk Taking and May Destabilize Markets,” </w:t>
      </w:r>
      <w:r w:rsidRPr="00070265">
        <w:rPr>
          <w:rFonts w:ascii="Arial" w:hAnsi="Arial" w:cs="Arial"/>
          <w:i/>
          <w:spacing w:val="-2"/>
          <w:sz w:val="17"/>
          <w:szCs w:val="17"/>
        </w:rPr>
        <w:t>Scientific Reports</w:t>
      </w:r>
      <w:r w:rsidRPr="00070265">
        <w:rPr>
          <w:rFonts w:ascii="Arial" w:hAnsi="Arial" w:cs="Arial"/>
          <w:spacing w:val="-2"/>
          <w:sz w:val="17"/>
          <w:szCs w:val="17"/>
        </w:rPr>
        <w:t xml:space="preserve"> 5 no. 11206 (2015): doi:10.1038/srep11206; Gideon Nave, Amos Nadler, Colin Camerer, and David Zava, “Single Dose Testosterone Administration Impairs Cognitive Reflection in Men,” </w:t>
      </w:r>
      <w:r w:rsidR="00070265" w:rsidRPr="00070265">
        <w:rPr>
          <w:rFonts w:ascii="Arial" w:hAnsi="Arial" w:cs="Arial"/>
          <w:spacing w:val="-2"/>
          <w:sz w:val="17"/>
          <w:szCs w:val="17"/>
        </w:rPr>
        <w:t>ResearchGate, April 11, 2017, accessed June 7, 2017,</w:t>
      </w:r>
      <w:r w:rsidRPr="00070265">
        <w:rPr>
          <w:rFonts w:ascii="Arial" w:hAnsi="Arial" w:cs="Arial"/>
          <w:spacing w:val="-2"/>
          <w:sz w:val="17"/>
          <w:szCs w:val="17"/>
        </w:rPr>
        <w:t xml:space="preserve"> </w:t>
      </w:r>
      <w:r w:rsidR="00070265" w:rsidRPr="00070265">
        <w:rPr>
          <w:rFonts w:ascii="Arial" w:hAnsi="Arial" w:cs="Arial"/>
          <w:spacing w:val="-2"/>
          <w:sz w:val="17"/>
          <w:szCs w:val="17"/>
        </w:rPr>
        <w:t>www.researchgate.net/publication/316001989_Single_dose_testosterone_administration_impairs_cognitive_reflection_in_men</w:t>
      </w:r>
      <w:r w:rsidRPr="00070265">
        <w:rPr>
          <w:rFonts w:ascii="Arial" w:hAnsi="Arial" w:cs="Arial"/>
          <w:spacing w:val="-2"/>
          <w:sz w:val="17"/>
          <w:szCs w:val="17"/>
        </w:rPr>
        <w:t>.</w:t>
      </w:r>
    </w:p>
  </w:endnote>
  <w:endnote w:id="25">
    <w:p w14:paraId="5FDB0B4C" w14:textId="2AD3D9C0" w:rsidR="00880714" w:rsidRPr="00B521A9" w:rsidRDefault="00880714" w:rsidP="007E042B">
      <w:pPr>
        <w:pStyle w:val="Footnote"/>
      </w:pPr>
      <w:r w:rsidRPr="00E32FB1">
        <w:rPr>
          <w:rStyle w:val="EndnoteReference"/>
        </w:rPr>
        <w:endnoteRef/>
      </w:r>
      <w:r w:rsidRPr="001D2054">
        <w:t xml:space="preserve"> </w:t>
      </w:r>
      <w:r w:rsidR="004D56C7" w:rsidRPr="001D2054">
        <w:t>J</w:t>
      </w:r>
      <w:r w:rsidR="004D56C7">
        <w:t>ohn M</w:t>
      </w:r>
      <w:r w:rsidR="004D56C7" w:rsidRPr="001D2054">
        <w:t>. Coates and J</w:t>
      </w:r>
      <w:r w:rsidR="004D56C7">
        <w:t>oe</w:t>
      </w:r>
      <w:r w:rsidR="004D56C7" w:rsidRPr="001D2054">
        <w:t xml:space="preserve"> Herbert, </w:t>
      </w:r>
      <w:r w:rsidR="004D56C7" w:rsidRPr="00917E4E">
        <w:t xml:space="preserve">“Endogenous </w:t>
      </w:r>
      <w:r w:rsidR="004D56C7">
        <w:t>S</w:t>
      </w:r>
      <w:r w:rsidR="004D56C7" w:rsidRPr="00917E4E">
        <w:t xml:space="preserve">teroids and </w:t>
      </w:r>
      <w:r w:rsidR="004D56C7">
        <w:t>F</w:t>
      </w:r>
      <w:r w:rsidR="004D56C7" w:rsidRPr="00917E4E">
        <w:t xml:space="preserve">inancial </w:t>
      </w:r>
      <w:r w:rsidR="004D56C7">
        <w:t>R</w:t>
      </w:r>
      <w:r w:rsidR="004D56C7" w:rsidRPr="00917E4E">
        <w:t xml:space="preserve">isk </w:t>
      </w:r>
      <w:r w:rsidR="004D56C7">
        <w:t>T</w:t>
      </w:r>
      <w:r w:rsidR="004D56C7" w:rsidRPr="00917E4E">
        <w:t xml:space="preserve">aking on a London </w:t>
      </w:r>
      <w:r w:rsidR="004D56C7">
        <w:t>T</w:t>
      </w:r>
      <w:r w:rsidR="004D56C7" w:rsidRPr="00917E4E">
        <w:t xml:space="preserve">rading </w:t>
      </w:r>
      <w:r w:rsidR="004D56C7">
        <w:t>F</w:t>
      </w:r>
      <w:r w:rsidR="004D56C7" w:rsidRPr="00917E4E">
        <w:t xml:space="preserve">loor,” </w:t>
      </w:r>
      <w:r w:rsidR="004D56C7" w:rsidRPr="002635EB">
        <w:rPr>
          <w:i/>
        </w:rPr>
        <w:t>Proceedings of the National Academy of Sciences</w:t>
      </w:r>
      <w:r w:rsidR="004D56C7" w:rsidRPr="002635EB">
        <w:t xml:space="preserve"> 105</w:t>
      </w:r>
      <w:r w:rsidR="004D56C7">
        <w:t>,</w:t>
      </w:r>
      <w:r w:rsidR="004D56C7" w:rsidRPr="002635EB">
        <w:t xml:space="preserve"> </w:t>
      </w:r>
      <w:r w:rsidR="004D56C7">
        <w:t xml:space="preserve">no. 16 </w:t>
      </w:r>
      <w:r w:rsidR="004D56C7" w:rsidRPr="002635EB">
        <w:t>(</w:t>
      </w:r>
      <w:r w:rsidR="004D56C7">
        <w:t>2008</w:t>
      </w:r>
      <w:r w:rsidR="004D56C7" w:rsidRPr="002635EB">
        <w:t>)</w:t>
      </w:r>
      <w:r w:rsidR="004D56C7">
        <w:t>:</w:t>
      </w:r>
      <w:r w:rsidR="004D56C7" w:rsidRPr="002635EB">
        <w:t xml:space="preserve"> 6167</w:t>
      </w:r>
      <w:r w:rsidR="004D56C7">
        <w:t>–</w:t>
      </w:r>
      <w:r w:rsidR="004D56C7" w:rsidRPr="002635EB">
        <w:t>6172</w:t>
      </w:r>
      <w:r w:rsidR="004D56C7">
        <w:t>. doi:</w:t>
      </w:r>
      <w:r w:rsidR="004D56C7" w:rsidRPr="00880714">
        <w:t>10.1073/pnas.0704025105</w:t>
      </w:r>
      <w:r w:rsidR="004D56C7">
        <w:t xml:space="preserve">; </w:t>
      </w:r>
      <w:r w:rsidRPr="001D2054">
        <w:t>N</w:t>
      </w:r>
      <w:r>
        <w:t>arayanan</w:t>
      </w:r>
      <w:r w:rsidRPr="001D2054">
        <w:t xml:space="preserve"> Kandasamy, </w:t>
      </w:r>
      <w:r>
        <w:t>Ben Hardy, Lionel Page, Markus Schaffner, Johann Graggaber, Andrew S. Powlson, Paul C. Fletcher, Mark Gurnell, and John Coates</w:t>
      </w:r>
      <w:r w:rsidRPr="001D2054">
        <w:t xml:space="preserve">, </w:t>
      </w:r>
      <w:r>
        <w:t>“</w:t>
      </w:r>
      <w:r w:rsidRPr="001D2054">
        <w:t>Cortisol Shifts Financial Risk Preferences,</w:t>
      </w:r>
      <w:r>
        <w:t>”</w:t>
      </w:r>
      <w:r w:rsidRPr="001D2054">
        <w:t xml:space="preserve"> </w:t>
      </w:r>
      <w:r w:rsidRPr="002635EB">
        <w:rPr>
          <w:i/>
        </w:rPr>
        <w:t>Proceedings of the National Academy of Sciences</w:t>
      </w:r>
      <w:bookmarkStart w:id="0" w:name="_GoBack"/>
      <w:bookmarkEnd w:id="0"/>
      <w:r w:rsidRPr="00917E4E">
        <w:t xml:space="preserve"> 111</w:t>
      </w:r>
      <w:r>
        <w:t>, no. 9</w:t>
      </w:r>
      <w:r w:rsidRPr="00917E4E">
        <w:t xml:space="preserve"> (</w:t>
      </w:r>
      <w:r>
        <w:t>2014</w:t>
      </w:r>
      <w:r w:rsidRPr="00917E4E">
        <w:t>), 3608</w:t>
      </w:r>
      <w:r>
        <w:t>–</w:t>
      </w:r>
      <w:r w:rsidRPr="00880714">
        <w:t>3613</w:t>
      </w:r>
      <w:r w:rsidRPr="00B521A9">
        <w:t>.</w:t>
      </w:r>
      <w:r>
        <w:t xml:space="preserve"> doi:</w:t>
      </w:r>
      <w:r w:rsidRPr="00880714">
        <w:t>10.1073/pnas.1317908111</w:t>
      </w:r>
      <w:r>
        <w:t>.</w:t>
      </w:r>
    </w:p>
  </w:endnote>
  <w:endnote w:id="26">
    <w:p w14:paraId="352F38AB" w14:textId="5EE3B451" w:rsidR="00880714" w:rsidRPr="00787E90" w:rsidRDefault="00880714" w:rsidP="00FB7345">
      <w:pPr>
        <w:pStyle w:val="EndnoteText"/>
        <w:jc w:val="both"/>
        <w:rPr>
          <w:rFonts w:ascii="Arial" w:hAnsi="Arial" w:cs="Arial"/>
          <w:sz w:val="17"/>
          <w:szCs w:val="17"/>
          <w:lang w:val="en-CA"/>
        </w:rPr>
      </w:pPr>
      <w:r w:rsidRPr="001D2054">
        <w:rPr>
          <w:rStyle w:val="EndnoteReference"/>
          <w:rFonts w:ascii="Arial" w:hAnsi="Arial" w:cs="Arial"/>
          <w:sz w:val="17"/>
          <w:szCs w:val="17"/>
        </w:rPr>
        <w:endnoteRef/>
      </w:r>
      <w:r w:rsidRPr="001D2054">
        <w:rPr>
          <w:rFonts w:ascii="Arial" w:hAnsi="Arial" w:cs="Arial"/>
          <w:sz w:val="17"/>
          <w:szCs w:val="17"/>
        </w:rPr>
        <w:t xml:space="preserve"> See D</w:t>
      </w:r>
      <w:r>
        <w:rPr>
          <w:rFonts w:ascii="Arial" w:hAnsi="Arial" w:cs="Arial"/>
          <w:sz w:val="17"/>
          <w:szCs w:val="17"/>
        </w:rPr>
        <w:t>avid</w:t>
      </w:r>
      <w:r w:rsidRPr="001D2054">
        <w:rPr>
          <w:rFonts w:ascii="Arial" w:hAnsi="Arial" w:cs="Arial"/>
          <w:sz w:val="17"/>
          <w:szCs w:val="17"/>
        </w:rPr>
        <w:t xml:space="preserve"> Hirshleifer and T</w:t>
      </w:r>
      <w:r>
        <w:rPr>
          <w:rFonts w:ascii="Arial" w:hAnsi="Arial" w:cs="Arial"/>
          <w:sz w:val="17"/>
          <w:szCs w:val="17"/>
        </w:rPr>
        <w:t>yler</w:t>
      </w:r>
      <w:r w:rsidRPr="001D2054">
        <w:rPr>
          <w:rFonts w:ascii="Arial" w:hAnsi="Arial" w:cs="Arial"/>
          <w:sz w:val="17"/>
          <w:szCs w:val="17"/>
        </w:rPr>
        <w:t xml:space="preserve"> Shumway, </w:t>
      </w:r>
      <w:r>
        <w:rPr>
          <w:rFonts w:ascii="Arial" w:hAnsi="Arial" w:cs="Arial"/>
          <w:sz w:val="17"/>
          <w:szCs w:val="17"/>
        </w:rPr>
        <w:t>“</w:t>
      </w:r>
      <w:r w:rsidRPr="00787E90">
        <w:rPr>
          <w:rFonts w:ascii="Arial" w:hAnsi="Arial" w:cs="Arial"/>
          <w:sz w:val="17"/>
          <w:szCs w:val="17"/>
        </w:rPr>
        <w:t>Good Day Sunshine: Stock Returns and the Weather,</w:t>
      </w:r>
      <w:r>
        <w:rPr>
          <w:rFonts w:ascii="Arial" w:hAnsi="Arial" w:cs="Arial"/>
          <w:sz w:val="17"/>
          <w:szCs w:val="17"/>
        </w:rPr>
        <w:t xml:space="preserve">” </w:t>
      </w:r>
      <w:r w:rsidRPr="002635EB">
        <w:rPr>
          <w:rFonts w:ascii="Arial" w:hAnsi="Arial" w:cs="Arial"/>
          <w:i/>
          <w:sz w:val="17"/>
          <w:szCs w:val="17"/>
        </w:rPr>
        <w:t>The Journal of Finance</w:t>
      </w:r>
      <w:r>
        <w:rPr>
          <w:rFonts w:ascii="Arial" w:hAnsi="Arial" w:cs="Arial"/>
          <w:sz w:val="17"/>
          <w:szCs w:val="17"/>
        </w:rPr>
        <w:t xml:space="preserve"> </w:t>
      </w:r>
      <w:r w:rsidRPr="00787E90">
        <w:rPr>
          <w:rFonts w:ascii="Arial" w:hAnsi="Arial" w:cs="Arial"/>
          <w:sz w:val="17"/>
          <w:szCs w:val="17"/>
        </w:rPr>
        <w:t>58</w:t>
      </w:r>
      <w:r>
        <w:rPr>
          <w:rFonts w:ascii="Arial" w:hAnsi="Arial" w:cs="Arial"/>
          <w:sz w:val="17"/>
          <w:szCs w:val="17"/>
        </w:rPr>
        <w:t>, no. 3</w:t>
      </w:r>
      <w:r w:rsidRPr="00787E90">
        <w:rPr>
          <w:rFonts w:ascii="Arial" w:hAnsi="Arial" w:cs="Arial"/>
          <w:sz w:val="17"/>
          <w:szCs w:val="17"/>
        </w:rPr>
        <w:t xml:space="preserve"> (</w:t>
      </w:r>
      <w:r>
        <w:rPr>
          <w:rFonts w:ascii="Arial" w:hAnsi="Arial" w:cs="Arial"/>
          <w:sz w:val="17"/>
          <w:szCs w:val="17"/>
        </w:rPr>
        <w:t>2003</w:t>
      </w:r>
      <w:r w:rsidRPr="00787E90">
        <w:rPr>
          <w:rFonts w:ascii="Arial" w:hAnsi="Arial" w:cs="Arial"/>
          <w:sz w:val="17"/>
          <w:szCs w:val="17"/>
        </w:rPr>
        <w:t>)</w:t>
      </w:r>
      <w:r>
        <w:rPr>
          <w:rFonts w:ascii="Arial" w:hAnsi="Arial" w:cs="Arial"/>
          <w:sz w:val="17"/>
          <w:szCs w:val="17"/>
        </w:rPr>
        <w:t>:</w:t>
      </w:r>
      <w:r w:rsidRPr="00787E90">
        <w:rPr>
          <w:rFonts w:ascii="Arial" w:hAnsi="Arial" w:cs="Arial"/>
          <w:sz w:val="17"/>
          <w:szCs w:val="17"/>
        </w:rPr>
        <w:t xml:space="preserve"> 1009</w:t>
      </w:r>
      <w:r>
        <w:rPr>
          <w:rFonts w:ascii="Arial" w:hAnsi="Arial" w:cs="Arial"/>
          <w:sz w:val="17"/>
          <w:szCs w:val="17"/>
        </w:rPr>
        <w:t>–</w:t>
      </w:r>
      <w:r w:rsidRPr="00880714">
        <w:rPr>
          <w:rFonts w:ascii="Arial" w:hAnsi="Arial" w:cs="Arial"/>
          <w:sz w:val="17"/>
          <w:szCs w:val="17"/>
        </w:rPr>
        <w:t>1032</w:t>
      </w:r>
      <w:r>
        <w:rPr>
          <w:rFonts w:ascii="Arial" w:hAnsi="Arial" w:cs="Arial"/>
          <w:sz w:val="17"/>
          <w:szCs w:val="17"/>
        </w:rPr>
        <w:t>. doi:</w:t>
      </w:r>
      <w:r w:rsidRPr="00880714">
        <w:rPr>
          <w:rFonts w:ascii="Arial" w:hAnsi="Arial" w:cs="Arial"/>
          <w:sz w:val="17"/>
          <w:szCs w:val="17"/>
        </w:rPr>
        <w:t>10.1111/1540-6261.00556</w:t>
      </w:r>
      <w:r>
        <w:rPr>
          <w:rFonts w:ascii="Arial" w:hAnsi="Arial" w:cs="Arial"/>
          <w:sz w:val="17"/>
          <w:szCs w:val="17"/>
        </w:rPr>
        <w:t>;</w:t>
      </w:r>
      <w:r w:rsidRPr="00787E90">
        <w:rPr>
          <w:rFonts w:ascii="Arial" w:hAnsi="Arial" w:cs="Arial"/>
          <w:sz w:val="17"/>
          <w:szCs w:val="17"/>
        </w:rPr>
        <w:t xml:space="preserve"> Anna Bassi, </w:t>
      </w:r>
      <w:r>
        <w:rPr>
          <w:rFonts w:ascii="Arial" w:hAnsi="Arial" w:cs="Arial"/>
          <w:sz w:val="17"/>
          <w:szCs w:val="17"/>
        </w:rPr>
        <w:t xml:space="preserve">Riccardo Colacito, and Paolo Fulghieri, </w:t>
      </w:r>
      <w:r w:rsidRPr="00787E90">
        <w:rPr>
          <w:rFonts w:ascii="Arial" w:hAnsi="Arial" w:cs="Arial"/>
          <w:sz w:val="17"/>
          <w:szCs w:val="17"/>
        </w:rPr>
        <w:t>“O Sole Mio: An Experimental Analysis of Weather and Risk Attitudes in Financial Decisions,”</w:t>
      </w:r>
      <w:r>
        <w:rPr>
          <w:rFonts w:ascii="Arial" w:hAnsi="Arial" w:cs="Arial"/>
          <w:sz w:val="17"/>
          <w:szCs w:val="17"/>
        </w:rPr>
        <w:t xml:space="preserve"> </w:t>
      </w:r>
      <w:r w:rsidRPr="002635EB">
        <w:rPr>
          <w:rFonts w:ascii="Arial" w:hAnsi="Arial" w:cs="Arial"/>
          <w:i/>
          <w:sz w:val="17"/>
          <w:szCs w:val="17"/>
        </w:rPr>
        <w:t>The Review of Financial Studies</w:t>
      </w:r>
      <w:r w:rsidRPr="00787E90">
        <w:rPr>
          <w:rFonts w:ascii="Arial" w:hAnsi="Arial" w:cs="Arial"/>
          <w:sz w:val="17"/>
          <w:szCs w:val="17"/>
        </w:rPr>
        <w:t xml:space="preserve"> 26</w:t>
      </w:r>
      <w:r>
        <w:rPr>
          <w:rFonts w:ascii="Arial" w:hAnsi="Arial" w:cs="Arial"/>
          <w:sz w:val="17"/>
          <w:szCs w:val="17"/>
        </w:rPr>
        <w:t>, no. 7</w:t>
      </w:r>
      <w:r w:rsidRPr="00787E90">
        <w:rPr>
          <w:rFonts w:ascii="Arial" w:hAnsi="Arial" w:cs="Arial"/>
          <w:sz w:val="17"/>
          <w:szCs w:val="17"/>
        </w:rPr>
        <w:t xml:space="preserve"> (</w:t>
      </w:r>
      <w:r>
        <w:rPr>
          <w:rFonts w:ascii="Arial" w:hAnsi="Arial" w:cs="Arial"/>
          <w:sz w:val="17"/>
          <w:szCs w:val="17"/>
        </w:rPr>
        <w:t>2013</w:t>
      </w:r>
      <w:r w:rsidRPr="00787E90">
        <w:rPr>
          <w:rFonts w:ascii="Arial" w:hAnsi="Arial" w:cs="Arial"/>
          <w:sz w:val="17"/>
          <w:szCs w:val="17"/>
        </w:rPr>
        <w:t>)</w:t>
      </w:r>
      <w:r>
        <w:rPr>
          <w:rFonts w:ascii="Arial" w:hAnsi="Arial" w:cs="Arial"/>
          <w:sz w:val="17"/>
          <w:szCs w:val="17"/>
        </w:rPr>
        <w:t>:</w:t>
      </w:r>
      <w:r w:rsidRPr="00787E90">
        <w:rPr>
          <w:rFonts w:ascii="Arial" w:hAnsi="Arial" w:cs="Arial"/>
          <w:sz w:val="17"/>
          <w:szCs w:val="17"/>
        </w:rPr>
        <w:t xml:space="preserve"> 1824.</w:t>
      </w:r>
      <w:r>
        <w:rPr>
          <w:rFonts w:ascii="Arial" w:hAnsi="Arial" w:cs="Arial"/>
          <w:sz w:val="17"/>
          <w:szCs w:val="17"/>
        </w:rPr>
        <w:t xml:space="preserve"> doi:</w:t>
      </w:r>
      <w:r w:rsidRPr="00880714">
        <w:rPr>
          <w:rFonts w:ascii="Arial" w:hAnsi="Arial" w:cs="Arial"/>
          <w:sz w:val="17"/>
          <w:szCs w:val="17"/>
        </w:rPr>
        <w:t>10.1093/rfs/hht004</w:t>
      </w:r>
      <w:r>
        <w:rPr>
          <w:rFonts w:ascii="Arial" w:hAnsi="Arial" w:cs="Arial"/>
          <w:sz w:val="17"/>
          <w:szCs w:val="17"/>
        </w:rPr>
        <w:t>.</w:t>
      </w:r>
    </w:p>
  </w:endnote>
  <w:endnote w:id="27">
    <w:p w14:paraId="714D5A44" w14:textId="45C6FC3C" w:rsidR="00880714" w:rsidRPr="00A960A4" w:rsidRDefault="00880714" w:rsidP="002635EB">
      <w:pPr>
        <w:pStyle w:val="FootnoteText1"/>
      </w:pPr>
      <w:r w:rsidRPr="00514988">
        <w:rPr>
          <w:rStyle w:val="EndnoteReference"/>
        </w:rPr>
        <w:endnoteRef/>
      </w:r>
      <w:r>
        <w:t xml:space="preserve"> </w:t>
      </w:r>
      <w:r w:rsidR="004D56C7" w:rsidRPr="00A960A4">
        <w:t xml:space="preserve">Hirshleifer and Shumway, op. cit.; Mark J. Kamstra, Lisa A. Kramer, and Maurice D. Levi, “Winter Blues: A SAD Stock Market Cycle,” </w:t>
      </w:r>
      <w:r w:rsidR="004D56C7" w:rsidRPr="00A960A4">
        <w:rPr>
          <w:i/>
        </w:rPr>
        <w:t>American Economic Review</w:t>
      </w:r>
      <w:r w:rsidR="004D56C7" w:rsidRPr="00A960A4">
        <w:t xml:space="preserve"> 93, no. 1 (2003): 324–343</w:t>
      </w:r>
      <w:r w:rsidR="00F171CD" w:rsidRPr="00A960A4">
        <w:t>,</w:t>
      </w:r>
      <w:r w:rsidR="004D56C7" w:rsidRPr="00A960A4">
        <w:t xml:space="preserve"> accessed June 6, 2017, www.jstor.org/stable/3132178.</w:t>
      </w:r>
    </w:p>
  </w:endnote>
  <w:endnote w:id="28">
    <w:p w14:paraId="3F8CE5FA" w14:textId="70DE1E99" w:rsidR="00880714" w:rsidRPr="007E042B" w:rsidRDefault="00880714" w:rsidP="007E042B">
      <w:pPr>
        <w:pStyle w:val="Footnote"/>
      </w:pPr>
      <w:r w:rsidRPr="00514988">
        <w:rPr>
          <w:rStyle w:val="EndnoteReference"/>
        </w:rPr>
        <w:endnoteRef/>
      </w:r>
      <w:r w:rsidRPr="00FF2695">
        <w:t xml:space="preserve"> </w:t>
      </w:r>
      <w:r w:rsidRPr="007E042B">
        <w:t xml:space="preserve">Barberis and Thaler, </w:t>
      </w:r>
      <w:r w:rsidR="00BD2499">
        <w:t>op. cit.</w:t>
      </w:r>
      <w:r>
        <w:rPr>
          <w:lang w:val="en-CA"/>
        </w:rPr>
        <w:t xml:space="preserve">, </w:t>
      </w:r>
      <w:r w:rsidRPr="007E042B">
        <w:t>1066.</w:t>
      </w:r>
    </w:p>
  </w:endnote>
  <w:endnote w:id="29">
    <w:p w14:paraId="1C7EFFC0" w14:textId="69093574" w:rsidR="00880714" w:rsidRPr="00A960A4" w:rsidRDefault="00880714" w:rsidP="00447C0C">
      <w:pPr>
        <w:pStyle w:val="FootnoteText1"/>
      </w:pPr>
      <w:r w:rsidRPr="00E32FB1">
        <w:rPr>
          <w:rStyle w:val="EndnoteReference"/>
        </w:rPr>
        <w:endnoteRef/>
      </w:r>
      <w:r w:rsidRPr="00E32FB1">
        <w:t xml:space="preserve"> </w:t>
      </w:r>
      <w:r w:rsidRPr="00A960A4">
        <w:t xml:space="preserve">Michael Haigh and John List, “Do Professional Traders Exhibit Myopic Loss Aversion? An Experimental Analysis,” </w:t>
      </w:r>
      <w:r w:rsidRPr="00A960A4">
        <w:rPr>
          <w:i/>
        </w:rPr>
        <w:t>Journal of Finance</w:t>
      </w:r>
      <w:r w:rsidRPr="00A960A4">
        <w:t xml:space="preserve"> 60, no. 1 (2005): 523−534.</w:t>
      </w:r>
      <w:r w:rsidR="00BD2499" w:rsidRPr="00A960A4">
        <w:t xml:space="preserve"> doi:10.1111/j.1540-6261.2005.00737.x.</w:t>
      </w:r>
    </w:p>
  </w:endnote>
  <w:endnote w:id="30">
    <w:p w14:paraId="51ABC1A9" w14:textId="10BD0CA5" w:rsidR="00880714" w:rsidRPr="00E4777C" w:rsidRDefault="00880714" w:rsidP="00A960A4">
      <w:pPr>
        <w:pStyle w:val="FootnoteText1"/>
        <w:rPr>
          <w:lang w:val="en-CA"/>
        </w:rPr>
      </w:pPr>
      <w:r w:rsidRPr="00E4777C">
        <w:rPr>
          <w:rStyle w:val="EndnoteReference"/>
        </w:rPr>
        <w:endnoteRef/>
      </w:r>
      <w:r w:rsidRPr="00E4777C">
        <w:t xml:space="preserve"> C</w:t>
      </w:r>
      <w:r>
        <w:t>olin</w:t>
      </w:r>
      <w:r w:rsidRPr="00E4777C">
        <w:t xml:space="preserve"> Came</w:t>
      </w:r>
      <w:r>
        <w:t>rer and Robin Hogarth, “The Effects of Financial Incentives in Experiments: A Review and Capital-L</w:t>
      </w:r>
      <w:r w:rsidRPr="00E4777C">
        <w:t xml:space="preserve">abor </w:t>
      </w:r>
      <w:r>
        <w:t>Production F</w:t>
      </w:r>
      <w:r w:rsidRPr="00E4777C">
        <w:t>ramework</w:t>
      </w:r>
      <w:r>
        <w:t>,</w:t>
      </w:r>
      <w:r w:rsidRPr="00E4777C">
        <w:t xml:space="preserve">” </w:t>
      </w:r>
      <w:r w:rsidRPr="00447C0C">
        <w:rPr>
          <w:i/>
        </w:rPr>
        <w:t>Journal of Risk and Uncertainty</w:t>
      </w:r>
      <w:r w:rsidRPr="00E4777C">
        <w:t xml:space="preserve"> 19</w:t>
      </w:r>
      <w:r>
        <w:t>, no. 1 (1999):</w:t>
      </w:r>
      <w:r w:rsidRPr="00E4777C">
        <w:t xml:space="preserve"> </w:t>
      </w:r>
      <w:r>
        <w:t>7</w:t>
      </w:r>
      <w:r w:rsidRPr="00E4777C">
        <w:t>.</w:t>
      </w:r>
      <w:r w:rsidR="00BD2499">
        <w:t xml:space="preserve"> doi:</w:t>
      </w:r>
      <w:r w:rsidR="00BD2499" w:rsidRPr="00BD2499">
        <w:t>10.1023/A:1007850605129</w:t>
      </w:r>
      <w:r w:rsidR="00BD2499">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de">
    <w:altName w:val="Cambri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D790F" w14:textId="77777777" w:rsidR="00880714" w:rsidRDefault="00880714" w:rsidP="00D75295">
      <w:r>
        <w:separator/>
      </w:r>
    </w:p>
  </w:footnote>
  <w:footnote w:type="continuationSeparator" w:id="0">
    <w:p w14:paraId="57F6ABAC" w14:textId="77777777" w:rsidR="00880714" w:rsidRDefault="00880714"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5AF13" w14:textId="6A242C3E" w:rsidR="00880714" w:rsidRDefault="0088071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sidRPr="0094722B">
      <w:rPr>
        <w:rFonts w:ascii="Arial" w:hAnsi="Arial"/>
        <w:b/>
      </w:rPr>
      <w:instrText>PAGE</w:instrText>
    </w:r>
    <w:r>
      <w:rPr>
        <w:rFonts w:ascii="Arial" w:hAnsi="Arial"/>
        <w:b/>
      </w:rPr>
      <w:fldChar w:fldCharType="separate"/>
    </w:r>
    <w:r w:rsidR="00CF3F70">
      <w:rPr>
        <w:rFonts w:ascii="Arial" w:hAnsi="Arial"/>
        <w:b/>
        <w:noProof/>
      </w:rPr>
      <w:t>12</w:t>
    </w:r>
    <w:r>
      <w:rPr>
        <w:rFonts w:ascii="Arial" w:hAnsi="Arial"/>
        <w:b/>
      </w:rPr>
      <w:fldChar w:fldCharType="end"/>
    </w:r>
    <w:r>
      <w:rPr>
        <w:rFonts w:ascii="Arial" w:hAnsi="Arial"/>
        <w:b/>
      </w:rPr>
      <w:tab/>
    </w:r>
    <w:r w:rsidR="00A32BF6">
      <w:rPr>
        <w:rFonts w:ascii="Arial" w:hAnsi="Arial"/>
        <w:b/>
      </w:rPr>
      <w:t>9B17N010</w:t>
    </w:r>
  </w:p>
  <w:p w14:paraId="3E1A5DF2" w14:textId="77777777" w:rsidR="00880714" w:rsidRPr="00C92CC4" w:rsidRDefault="00880714">
    <w:pPr>
      <w:pStyle w:val="Header"/>
      <w:rPr>
        <w:sz w:val="18"/>
        <w:szCs w:val="18"/>
      </w:rPr>
    </w:pPr>
  </w:p>
  <w:p w14:paraId="1492D1ED" w14:textId="77777777" w:rsidR="00880714" w:rsidRPr="00C92CC4" w:rsidRDefault="0088071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A423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AAA2DEC"/>
    <w:lvl w:ilvl="0">
      <w:start w:val="1"/>
      <w:numFmt w:val="decimal"/>
      <w:lvlText w:val="%1."/>
      <w:lvlJc w:val="left"/>
      <w:pPr>
        <w:tabs>
          <w:tab w:val="num" w:pos="1800"/>
        </w:tabs>
        <w:ind w:left="1800" w:hanging="360"/>
      </w:pPr>
    </w:lvl>
  </w:abstractNum>
  <w:abstractNum w:abstractNumId="2">
    <w:nsid w:val="FFFFFF7D"/>
    <w:multiLevelType w:val="singleLevel"/>
    <w:tmpl w:val="755CE4AA"/>
    <w:lvl w:ilvl="0">
      <w:start w:val="1"/>
      <w:numFmt w:val="decimal"/>
      <w:lvlText w:val="%1."/>
      <w:lvlJc w:val="left"/>
      <w:pPr>
        <w:tabs>
          <w:tab w:val="num" w:pos="1440"/>
        </w:tabs>
        <w:ind w:left="1440" w:hanging="360"/>
      </w:pPr>
    </w:lvl>
  </w:abstractNum>
  <w:abstractNum w:abstractNumId="3">
    <w:nsid w:val="FFFFFF7E"/>
    <w:multiLevelType w:val="singleLevel"/>
    <w:tmpl w:val="AD6E037A"/>
    <w:lvl w:ilvl="0">
      <w:start w:val="1"/>
      <w:numFmt w:val="decimal"/>
      <w:lvlText w:val="%1."/>
      <w:lvlJc w:val="left"/>
      <w:pPr>
        <w:tabs>
          <w:tab w:val="num" w:pos="1080"/>
        </w:tabs>
        <w:ind w:left="1080" w:hanging="360"/>
      </w:pPr>
    </w:lvl>
  </w:abstractNum>
  <w:abstractNum w:abstractNumId="4">
    <w:nsid w:val="FFFFFF7F"/>
    <w:multiLevelType w:val="singleLevel"/>
    <w:tmpl w:val="DED4157C"/>
    <w:lvl w:ilvl="0">
      <w:start w:val="1"/>
      <w:numFmt w:val="decimal"/>
      <w:lvlText w:val="%1."/>
      <w:lvlJc w:val="left"/>
      <w:pPr>
        <w:tabs>
          <w:tab w:val="num" w:pos="720"/>
        </w:tabs>
        <w:ind w:left="720" w:hanging="360"/>
      </w:pPr>
    </w:lvl>
  </w:abstractNum>
  <w:abstractNum w:abstractNumId="5">
    <w:nsid w:val="FFFFFF80"/>
    <w:multiLevelType w:val="singleLevel"/>
    <w:tmpl w:val="C230306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76B97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4CCD4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440DFC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E2E3BD6"/>
    <w:lvl w:ilvl="0">
      <w:start w:val="1"/>
      <w:numFmt w:val="decimal"/>
      <w:lvlText w:val="%1."/>
      <w:lvlJc w:val="left"/>
      <w:pPr>
        <w:tabs>
          <w:tab w:val="num" w:pos="360"/>
        </w:tabs>
        <w:ind w:left="360" w:hanging="360"/>
      </w:pPr>
    </w:lvl>
  </w:abstractNum>
  <w:abstractNum w:abstractNumId="10">
    <w:nsid w:val="FFFFFF89"/>
    <w:multiLevelType w:val="singleLevel"/>
    <w:tmpl w:val="BACA8AA2"/>
    <w:lvl w:ilvl="0">
      <w:start w:val="1"/>
      <w:numFmt w:val="bullet"/>
      <w:lvlText w:val=""/>
      <w:lvlJc w:val="left"/>
      <w:pPr>
        <w:tabs>
          <w:tab w:val="num" w:pos="360"/>
        </w:tabs>
        <w:ind w:left="360" w:hanging="360"/>
      </w:pPr>
      <w:rPr>
        <w:rFonts w:ascii="Symbol" w:hAnsi="Symbol" w:hint="default"/>
      </w:rPr>
    </w:lvl>
  </w:abstractNum>
  <w:abstractNum w:abstractNumId="11">
    <w:nsid w:val="01FE22B5"/>
    <w:multiLevelType w:val="hybridMultilevel"/>
    <w:tmpl w:val="FF24B270"/>
    <w:lvl w:ilvl="0" w:tplc="DE9C95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A6546D"/>
    <w:multiLevelType w:val="hybridMultilevel"/>
    <w:tmpl w:val="5950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9831272"/>
    <w:multiLevelType w:val="hybridMultilevel"/>
    <w:tmpl w:val="B3AA146E"/>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A3303D6"/>
    <w:multiLevelType w:val="hybridMultilevel"/>
    <w:tmpl w:val="35C8B3F8"/>
    <w:lvl w:ilvl="0" w:tplc="BF9AF69C">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2023134C"/>
    <w:multiLevelType w:val="hybridMultilevel"/>
    <w:tmpl w:val="E98E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D10E13"/>
    <w:multiLevelType w:val="hybridMultilevel"/>
    <w:tmpl w:val="4530CB8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EF3C73"/>
    <w:multiLevelType w:val="hybridMultilevel"/>
    <w:tmpl w:val="79D093B8"/>
    <w:lvl w:ilvl="0" w:tplc="BF9AF69C">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E9801D5"/>
    <w:multiLevelType w:val="hybridMultilevel"/>
    <w:tmpl w:val="02C6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nsid w:val="45B274BD"/>
    <w:multiLevelType w:val="hybridMultilevel"/>
    <w:tmpl w:val="074EB5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4860574C"/>
    <w:multiLevelType w:val="hybridMultilevel"/>
    <w:tmpl w:val="7C2E8FD4"/>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nsid w:val="495E6E68"/>
    <w:multiLevelType w:val="hybridMultilevel"/>
    <w:tmpl w:val="B8F64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1">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8131E9E"/>
    <w:multiLevelType w:val="hybridMultilevel"/>
    <w:tmpl w:val="8894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4">
    <w:nsid w:val="5D275C2E"/>
    <w:multiLevelType w:val="hybridMultilevel"/>
    <w:tmpl w:val="50262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6">
    <w:nsid w:val="65855971"/>
    <w:multiLevelType w:val="hybridMultilevel"/>
    <w:tmpl w:val="928C82F0"/>
    <w:lvl w:ilvl="0" w:tplc="BC0473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7">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nsid w:val="795163A0"/>
    <w:multiLevelType w:val="hybridMultilevel"/>
    <w:tmpl w:val="68E483B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1">
    <w:nsid w:val="7CFB6F2E"/>
    <w:multiLevelType w:val="hybridMultilevel"/>
    <w:tmpl w:val="2C7E5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30"/>
  </w:num>
  <w:num w:numId="13">
    <w:abstractNumId w:val="17"/>
  </w:num>
  <w:num w:numId="14">
    <w:abstractNumId w:val="31"/>
  </w:num>
  <w:num w:numId="15">
    <w:abstractNumId w:val="33"/>
  </w:num>
  <w:num w:numId="16">
    <w:abstractNumId w:val="35"/>
  </w:num>
  <w:num w:numId="17">
    <w:abstractNumId w:val="22"/>
  </w:num>
  <w:num w:numId="18">
    <w:abstractNumId w:val="37"/>
  </w:num>
  <w:num w:numId="19">
    <w:abstractNumId w:val="16"/>
  </w:num>
  <w:num w:numId="20">
    <w:abstractNumId w:val="15"/>
  </w:num>
  <w:num w:numId="21">
    <w:abstractNumId w:val="38"/>
  </w:num>
  <w:num w:numId="22">
    <w:abstractNumId w:val="26"/>
  </w:num>
  <w:num w:numId="23">
    <w:abstractNumId w:val="4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5"/>
  </w:num>
  <w:num w:numId="28">
    <w:abstractNumId w:val="11"/>
  </w:num>
  <w:num w:numId="29">
    <w:abstractNumId w:val="34"/>
  </w:num>
  <w:num w:numId="30">
    <w:abstractNumId w:val="27"/>
  </w:num>
  <w:num w:numId="31">
    <w:abstractNumId w:val="36"/>
  </w:num>
  <w:num w:numId="32">
    <w:abstractNumId w:val="29"/>
  </w:num>
  <w:num w:numId="33">
    <w:abstractNumId w:val="24"/>
  </w:num>
  <w:num w:numId="34">
    <w:abstractNumId w:val="41"/>
  </w:num>
  <w:num w:numId="35">
    <w:abstractNumId w:val="12"/>
  </w:num>
  <w:num w:numId="36">
    <w:abstractNumId w:val="32"/>
  </w:num>
  <w:num w:numId="37">
    <w:abstractNumId w:val="20"/>
  </w:num>
  <w:num w:numId="38">
    <w:abstractNumId w:val="21"/>
  </w:num>
  <w:num w:numId="39">
    <w:abstractNumId w:val="28"/>
  </w:num>
  <w:num w:numId="40">
    <w:abstractNumId w:val="14"/>
  </w:num>
  <w:num w:numId="41">
    <w:abstractNumId w:val="23"/>
  </w:num>
  <w:num w:numId="42">
    <w:abstractNumId w:val="0"/>
  </w:num>
  <w:num w:numId="43">
    <w:abstractNumId w:val="13"/>
  </w:num>
  <w:num w:numId="44">
    <w:abstractNumId w:val="3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ndy Plain">
    <w15:presenceInfo w15:providerId="None" w15:userId="Wendy Pl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2463"/>
    <w:rsid w:val="0000327F"/>
    <w:rsid w:val="00004375"/>
    <w:rsid w:val="00007A12"/>
    <w:rsid w:val="00010AFD"/>
    <w:rsid w:val="00013360"/>
    <w:rsid w:val="00013A30"/>
    <w:rsid w:val="000150CA"/>
    <w:rsid w:val="000216CE"/>
    <w:rsid w:val="0002440A"/>
    <w:rsid w:val="00025DC7"/>
    <w:rsid w:val="00026486"/>
    <w:rsid w:val="00030154"/>
    <w:rsid w:val="000306C7"/>
    <w:rsid w:val="00031359"/>
    <w:rsid w:val="00035C59"/>
    <w:rsid w:val="0003740C"/>
    <w:rsid w:val="00044ECC"/>
    <w:rsid w:val="00046E9D"/>
    <w:rsid w:val="00050393"/>
    <w:rsid w:val="0005276F"/>
    <w:rsid w:val="000531D3"/>
    <w:rsid w:val="00055138"/>
    <w:rsid w:val="0005646B"/>
    <w:rsid w:val="00065C9C"/>
    <w:rsid w:val="00066F55"/>
    <w:rsid w:val="00070265"/>
    <w:rsid w:val="000735E7"/>
    <w:rsid w:val="0008040F"/>
    <w:rsid w:val="0008102D"/>
    <w:rsid w:val="00081D31"/>
    <w:rsid w:val="00084124"/>
    <w:rsid w:val="00085152"/>
    <w:rsid w:val="000879FD"/>
    <w:rsid w:val="000929CF"/>
    <w:rsid w:val="00092F42"/>
    <w:rsid w:val="00094C0E"/>
    <w:rsid w:val="000B7163"/>
    <w:rsid w:val="000D231E"/>
    <w:rsid w:val="000D6167"/>
    <w:rsid w:val="000D70E3"/>
    <w:rsid w:val="000D7886"/>
    <w:rsid w:val="000E1D16"/>
    <w:rsid w:val="000E3098"/>
    <w:rsid w:val="000E6484"/>
    <w:rsid w:val="000F0C22"/>
    <w:rsid w:val="000F202E"/>
    <w:rsid w:val="000F461B"/>
    <w:rsid w:val="000F6097"/>
    <w:rsid w:val="000F6B09"/>
    <w:rsid w:val="000F6FDC"/>
    <w:rsid w:val="00104567"/>
    <w:rsid w:val="00107711"/>
    <w:rsid w:val="00124A94"/>
    <w:rsid w:val="001254E2"/>
    <w:rsid w:val="0012732D"/>
    <w:rsid w:val="0013065A"/>
    <w:rsid w:val="001415B3"/>
    <w:rsid w:val="00145EF3"/>
    <w:rsid w:val="0015451D"/>
    <w:rsid w:val="00154FC9"/>
    <w:rsid w:val="00170C67"/>
    <w:rsid w:val="0017171D"/>
    <w:rsid w:val="00171E5A"/>
    <w:rsid w:val="00172862"/>
    <w:rsid w:val="001812D5"/>
    <w:rsid w:val="00185926"/>
    <w:rsid w:val="0018758E"/>
    <w:rsid w:val="0019241A"/>
    <w:rsid w:val="00193C31"/>
    <w:rsid w:val="00194180"/>
    <w:rsid w:val="00194EFA"/>
    <w:rsid w:val="00197712"/>
    <w:rsid w:val="001A105B"/>
    <w:rsid w:val="001A5335"/>
    <w:rsid w:val="001A752D"/>
    <w:rsid w:val="001B20B2"/>
    <w:rsid w:val="001B2123"/>
    <w:rsid w:val="001B2532"/>
    <w:rsid w:val="001B504B"/>
    <w:rsid w:val="001B668D"/>
    <w:rsid w:val="001C0C24"/>
    <w:rsid w:val="001C7B06"/>
    <w:rsid w:val="001D2054"/>
    <w:rsid w:val="001D3DE4"/>
    <w:rsid w:val="001D5E7F"/>
    <w:rsid w:val="001D6866"/>
    <w:rsid w:val="001F2546"/>
    <w:rsid w:val="001F3DC6"/>
    <w:rsid w:val="0020273C"/>
    <w:rsid w:val="00203AA1"/>
    <w:rsid w:val="002128A9"/>
    <w:rsid w:val="00213E98"/>
    <w:rsid w:val="00226056"/>
    <w:rsid w:val="002364A2"/>
    <w:rsid w:val="00236E29"/>
    <w:rsid w:val="0024283A"/>
    <w:rsid w:val="00246DD2"/>
    <w:rsid w:val="00251AE5"/>
    <w:rsid w:val="00257E8B"/>
    <w:rsid w:val="002635EB"/>
    <w:rsid w:val="00264C59"/>
    <w:rsid w:val="00264E39"/>
    <w:rsid w:val="00266E4F"/>
    <w:rsid w:val="00267EE7"/>
    <w:rsid w:val="00270019"/>
    <w:rsid w:val="002736DF"/>
    <w:rsid w:val="00274AFC"/>
    <w:rsid w:val="00274B8D"/>
    <w:rsid w:val="002779EB"/>
    <w:rsid w:val="00277B48"/>
    <w:rsid w:val="00285F45"/>
    <w:rsid w:val="00291437"/>
    <w:rsid w:val="002A0542"/>
    <w:rsid w:val="002A1DD6"/>
    <w:rsid w:val="002A4A98"/>
    <w:rsid w:val="002A688C"/>
    <w:rsid w:val="002B7706"/>
    <w:rsid w:val="002C2CA6"/>
    <w:rsid w:val="002E1634"/>
    <w:rsid w:val="002E32F0"/>
    <w:rsid w:val="002F1C34"/>
    <w:rsid w:val="002F445D"/>
    <w:rsid w:val="002F460C"/>
    <w:rsid w:val="002F48D6"/>
    <w:rsid w:val="002F4E5B"/>
    <w:rsid w:val="002F77FB"/>
    <w:rsid w:val="00301747"/>
    <w:rsid w:val="0031243B"/>
    <w:rsid w:val="003145D9"/>
    <w:rsid w:val="00314EBE"/>
    <w:rsid w:val="00321845"/>
    <w:rsid w:val="00324E19"/>
    <w:rsid w:val="00324F20"/>
    <w:rsid w:val="0032781B"/>
    <w:rsid w:val="00340964"/>
    <w:rsid w:val="0034194F"/>
    <w:rsid w:val="003423E5"/>
    <w:rsid w:val="00343565"/>
    <w:rsid w:val="0034366D"/>
    <w:rsid w:val="003453C6"/>
    <w:rsid w:val="00345E9A"/>
    <w:rsid w:val="0034780C"/>
    <w:rsid w:val="00354899"/>
    <w:rsid w:val="00355FD6"/>
    <w:rsid w:val="003600E6"/>
    <w:rsid w:val="00361C8E"/>
    <w:rsid w:val="00364A5C"/>
    <w:rsid w:val="00366282"/>
    <w:rsid w:val="00372106"/>
    <w:rsid w:val="00373FB1"/>
    <w:rsid w:val="00375C10"/>
    <w:rsid w:val="00377425"/>
    <w:rsid w:val="00377A6C"/>
    <w:rsid w:val="00377F28"/>
    <w:rsid w:val="003976A6"/>
    <w:rsid w:val="003A79D3"/>
    <w:rsid w:val="003B1798"/>
    <w:rsid w:val="003B30D8"/>
    <w:rsid w:val="003B7EF2"/>
    <w:rsid w:val="003C2E41"/>
    <w:rsid w:val="003C3FA4"/>
    <w:rsid w:val="003D697E"/>
    <w:rsid w:val="003E3CA0"/>
    <w:rsid w:val="003F2B0C"/>
    <w:rsid w:val="003F5BAF"/>
    <w:rsid w:val="0040023A"/>
    <w:rsid w:val="00404611"/>
    <w:rsid w:val="00404E9A"/>
    <w:rsid w:val="004073C3"/>
    <w:rsid w:val="004079B3"/>
    <w:rsid w:val="00410F65"/>
    <w:rsid w:val="004169BA"/>
    <w:rsid w:val="00420F96"/>
    <w:rsid w:val="004221E4"/>
    <w:rsid w:val="004365F0"/>
    <w:rsid w:val="00436B8D"/>
    <w:rsid w:val="0044298E"/>
    <w:rsid w:val="00447C0C"/>
    <w:rsid w:val="00451EFC"/>
    <w:rsid w:val="004530BF"/>
    <w:rsid w:val="00455195"/>
    <w:rsid w:val="00465F95"/>
    <w:rsid w:val="00471088"/>
    <w:rsid w:val="004730E9"/>
    <w:rsid w:val="004760ED"/>
    <w:rsid w:val="00483244"/>
    <w:rsid w:val="00483AF9"/>
    <w:rsid w:val="00483C45"/>
    <w:rsid w:val="004A20E9"/>
    <w:rsid w:val="004A3DB9"/>
    <w:rsid w:val="004A6ACC"/>
    <w:rsid w:val="004B1CCB"/>
    <w:rsid w:val="004C7760"/>
    <w:rsid w:val="004D56C7"/>
    <w:rsid w:val="004D73A5"/>
    <w:rsid w:val="004F0229"/>
    <w:rsid w:val="004F3DC8"/>
    <w:rsid w:val="00504A8C"/>
    <w:rsid w:val="00530E1B"/>
    <w:rsid w:val="0053108E"/>
    <w:rsid w:val="00532CF5"/>
    <w:rsid w:val="00534F42"/>
    <w:rsid w:val="00535265"/>
    <w:rsid w:val="00536195"/>
    <w:rsid w:val="005528CB"/>
    <w:rsid w:val="00553669"/>
    <w:rsid w:val="00556526"/>
    <w:rsid w:val="0056353B"/>
    <w:rsid w:val="00566771"/>
    <w:rsid w:val="00575256"/>
    <w:rsid w:val="0057675F"/>
    <w:rsid w:val="00581E2E"/>
    <w:rsid w:val="00584F15"/>
    <w:rsid w:val="00595389"/>
    <w:rsid w:val="00597B4E"/>
    <w:rsid w:val="005A0633"/>
    <w:rsid w:val="005B5782"/>
    <w:rsid w:val="005B607D"/>
    <w:rsid w:val="005C233C"/>
    <w:rsid w:val="005C3AB5"/>
    <w:rsid w:val="005D03A8"/>
    <w:rsid w:val="005D284B"/>
    <w:rsid w:val="005D2873"/>
    <w:rsid w:val="005D6DFA"/>
    <w:rsid w:val="005E0B1F"/>
    <w:rsid w:val="005E3E7E"/>
    <w:rsid w:val="005E4BC5"/>
    <w:rsid w:val="006013B8"/>
    <w:rsid w:val="00601F72"/>
    <w:rsid w:val="00601F84"/>
    <w:rsid w:val="00602072"/>
    <w:rsid w:val="00604E87"/>
    <w:rsid w:val="00606C28"/>
    <w:rsid w:val="00614BEA"/>
    <w:rsid w:val="006163F7"/>
    <w:rsid w:val="00620EC5"/>
    <w:rsid w:val="006262A8"/>
    <w:rsid w:val="00633A37"/>
    <w:rsid w:val="006475FF"/>
    <w:rsid w:val="006513AA"/>
    <w:rsid w:val="00652606"/>
    <w:rsid w:val="00675BCD"/>
    <w:rsid w:val="00682754"/>
    <w:rsid w:val="006844BE"/>
    <w:rsid w:val="00693B96"/>
    <w:rsid w:val="006A1EED"/>
    <w:rsid w:val="006A58A9"/>
    <w:rsid w:val="006A606D"/>
    <w:rsid w:val="006B0C97"/>
    <w:rsid w:val="006B6BA5"/>
    <w:rsid w:val="006B7F7A"/>
    <w:rsid w:val="006C0371"/>
    <w:rsid w:val="006C08B6"/>
    <w:rsid w:val="006C0B1A"/>
    <w:rsid w:val="006C4384"/>
    <w:rsid w:val="006C55ED"/>
    <w:rsid w:val="006C6065"/>
    <w:rsid w:val="006C7F9F"/>
    <w:rsid w:val="006D2A8E"/>
    <w:rsid w:val="006D7F8E"/>
    <w:rsid w:val="006E0353"/>
    <w:rsid w:val="006E1B98"/>
    <w:rsid w:val="006E2F6D"/>
    <w:rsid w:val="006E56DC"/>
    <w:rsid w:val="006E58F6"/>
    <w:rsid w:val="006E77E1"/>
    <w:rsid w:val="006F0E6C"/>
    <w:rsid w:val="006F131D"/>
    <w:rsid w:val="006F318A"/>
    <w:rsid w:val="0070728A"/>
    <w:rsid w:val="00712E37"/>
    <w:rsid w:val="00713C21"/>
    <w:rsid w:val="0072502B"/>
    <w:rsid w:val="00740454"/>
    <w:rsid w:val="00752BCD"/>
    <w:rsid w:val="007543C5"/>
    <w:rsid w:val="00755A9F"/>
    <w:rsid w:val="00766DA1"/>
    <w:rsid w:val="0078491D"/>
    <w:rsid w:val="0078562F"/>
    <w:rsid w:val="007866A6"/>
    <w:rsid w:val="00787E90"/>
    <w:rsid w:val="00791A0C"/>
    <w:rsid w:val="00793AA5"/>
    <w:rsid w:val="00793B2B"/>
    <w:rsid w:val="00793FC9"/>
    <w:rsid w:val="007A130D"/>
    <w:rsid w:val="007C6530"/>
    <w:rsid w:val="007D0E4D"/>
    <w:rsid w:val="007D4102"/>
    <w:rsid w:val="007D634D"/>
    <w:rsid w:val="007E042B"/>
    <w:rsid w:val="007E3C45"/>
    <w:rsid w:val="007E5784"/>
    <w:rsid w:val="007E5921"/>
    <w:rsid w:val="007F51FC"/>
    <w:rsid w:val="007F622D"/>
    <w:rsid w:val="0081298F"/>
    <w:rsid w:val="008159A1"/>
    <w:rsid w:val="00815C4B"/>
    <w:rsid w:val="00816B9A"/>
    <w:rsid w:val="008201D3"/>
    <w:rsid w:val="00821FFC"/>
    <w:rsid w:val="008271CA"/>
    <w:rsid w:val="008467D5"/>
    <w:rsid w:val="008561D6"/>
    <w:rsid w:val="00856D9F"/>
    <w:rsid w:val="00857340"/>
    <w:rsid w:val="008575B3"/>
    <w:rsid w:val="008645B4"/>
    <w:rsid w:val="00866F6D"/>
    <w:rsid w:val="0087215E"/>
    <w:rsid w:val="0087464F"/>
    <w:rsid w:val="008766B2"/>
    <w:rsid w:val="00880714"/>
    <w:rsid w:val="0088309C"/>
    <w:rsid w:val="0088430E"/>
    <w:rsid w:val="008852F0"/>
    <w:rsid w:val="0089161A"/>
    <w:rsid w:val="008936FF"/>
    <w:rsid w:val="008A4DC4"/>
    <w:rsid w:val="008C69B5"/>
    <w:rsid w:val="008D7498"/>
    <w:rsid w:val="008D7B1E"/>
    <w:rsid w:val="008E16AB"/>
    <w:rsid w:val="008E31C3"/>
    <w:rsid w:val="008E7A05"/>
    <w:rsid w:val="009067A4"/>
    <w:rsid w:val="0090722E"/>
    <w:rsid w:val="009079CD"/>
    <w:rsid w:val="00910140"/>
    <w:rsid w:val="00910222"/>
    <w:rsid w:val="00912B25"/>
    <w:rsid w:val="00917B6D"/>
    <w:rsid w:val="00917E4E"/>
    <w:rsid w:val="009340DB"/>
    <w:rsid w:val="00946887"/>
    <w:rsid w:val="0094722B"/>
    <w:rsid w:val="00955392"/>
    <w:rsid w:val="00962E54"/>
    <w:rsid w:val="00964CAA"/>
    <w:rsid w:val="00972149"/>
    <w:rsid w:val="00972498"/>
    <w:rsid w:val="00972BF3"/>
    <w:rsid w:val="00974CC6"/>
    <w:rsid w:val="009750C4"/>
    <w:rsid w:val="00976AD4"/>
    <w:rsid w:val="00995483"/>
    <w:rsid w:val="009A249A"/>
    <w:rsid w:val="009A2B9C"/>
    <w:rsid w:val="009A312F"/>
    <w:rsid w:val="009A5348"/>
    <w:rsid w:val="009A67BB"/>
    <w:rsid w:val="009B268F"/>
    <w:rsid w:val="009B3708"/>
    <w:rsid w:val="009B5AA9"/>
    <w:rsid w:val="009C2925"/>
    <w:rsid w:val="009C40C6"/>
    <w:rsid w:val="009C76D5"/>
    <w:rsid w:val="009E52A9"/>
    <w:rsid w:val="009E60B9"/>
    <w:rsid w:val="009F28B0"/>
    <w:rsid w:val="009F7AA4"/>
    <w:rsid w:val="00A01A30"/>
    <w:rsid w:val="00A10A3D"/>
    <w:rsid w:val="00A32BF6"/>
    <w:rsid w:val="00A46E0C"/>
    <w:rsid w:val="00A51A12"/>
    <w:rsid w:val="00A52996"/>
    <w:rsid w:val="00A559DB"/>
    <w:rsid w:val="00A566C1"/>
    <w:rsid w:val="00A57FD9"/>
    <w:rsid w:val="00A648A2"/>
    <w:rsid w:val="00A65F10"/>
    <w:rsid w:val="00A843D3"/>
    <w:rsid w:val="00A84A85"/>
    <w:rsid w:val="00A960A4"/>
    <w:rsid w:val="00AA1EB9"/>
    <w:rsid w:val="00AA3A86"/>
    <w:rsid w:val="00AA4F25"/>
    <w:rsid w:val="00AB59D8"/>
    <w:rsid w:val="00AC3DED"/>
    <w:rsid w:val="00AC7BF8"/>
    <w:rsid w:val="00AD3A97"/>
    <w:rsid w:val="00AD5597"/>
    <w:rsid w:val="00AD5A9E"/>
    <w:rsid w:val="00AE6279"/>
    <w:rsid w:val="00AF35FC"/>
    <w:rsid w:val="00AF4E45"/>
    <w:rsid w:val="00B00DF5"/>
    <w:rsid w:val="00B03639"/>
    <w:rsid w:val="00B0652A"/>
    <w:rsid w:val="00B1710F"/>
    <w:rsid w:val="00B17D8C"/>
    <w:rsid w:val="00B23147"/>
    <w:rsid w:val="00B24C0E"/>
    <w:rsid w:val="00B363E1"/>
    <w:rsid w:val="00B36DAE"/>
    <w:rsid w:val="00B3757D"/>
    <w:rsid w:val="00B40937"/>
    <w:rsid w:val="00B423EF"/>
    <w:rsid w:val="00B453DE"/>
    <w:rsid w:val="00B4742F"/>
    <w:rsid w:val="00B521A9"/>
    <w:rsid w:val="00B6366A"/>
    <w:rsid w:val="00B76BE8"/>
    <w:rsid w:val="00B7773C"/>
    <w:rsid w:val="00B819B0"/>
    <w:rsid w:val="00B901F9"/>
    <w:rsid w:val="00B9176B"/>
    <w:rsid w:val="00B9221D"/>
    <w:rsid w:val="00B9686E"/>
    <w:rsid w:val="00BA1787"/>
    <w:rsid w:val="00BA37DC"/>
    <w:rsid w:val="00BB7EB8"/>
    <w:rsid w:val="00BC2F30"/>
    <w:rsid w:val="00BC6D05"/>
    <w:rsid w:val="00BD2499"/>
    <w:rsid w:val="00BD61EA"/>
    <w:rsid w:val="00BD6EFB"/>
    <w:rsid w:val="00BE632F"/>
    <w:rsid w:val="00BF2071"/>
    <w:rsid w:val="00BF215B"/>
    <w:rsid w:val="00BF23A0"/>
    <w:rsid w:val="00BF30A1"/>
    <w:rsid w:val="00BF48CD"/>
    <w:rsid w:val="00C04625"/>
    <w:rsid w:val="00C046B4"/>
    <w:rsid w:val="00C0746B"/>
    <w:rsid w:val="00C15BE2"/>
    <w:rsid w:val="00C17C9C"/>
    <w:rsid w:val="00C22219"/>
    <w:rsid w:val="00C3447F"/>
    <w:rsid w:val="00C35836"/>
    <w:rsid w:val="00C37CDA"/>
    <w:rsid w:val="00C409E9"/>
    <w:rsid w:val="00C43762"/>
    <w:rsid w:val="00C67F5F"/>
    <w:rsid w:val="00C81491"/>
    <w:rsid w:val="00C81676"/>
    <w:rsid w:val="00C870F6"/>
    <w:rsid w:val="00C92CC4"/>
    <w:rsid w:val="00C9636A"/>
    <w:rsid w:val="00C96805"/>
    <w:rsid w:val="00CA007A"/>
    <w:rsid w:val="00CA0AFB"/>
    <w:rsid w:val="00CA2CE1"/>
    <w:rsid w:val="00CA3976"/>
    <w:rsid w:val="00CA5545"/>
    <w:rsid w:val="00CA6327"/>
    <w:rsid w:val="00CA757B"/>
    <w:rsid w:val="00CA7839"/>
    <w:rsid w:val="00CB4E2B"/>
    <w:rsid w:val="00CC0F2D"/>
    <w:rsid w:val="00CC1787"/>
    <w:rsid w:val="00CC182C"/>
    <w:rsid w:val="00CC249C"/>
    <w:rsid w:val="00CD0824"/>
    <w:rsid w:val="00CD2908"/>
    <w:rsid w:val="00CD79C6"/>
    <w:rsid w:val="00CE7BAC"/>
    <w:rsid w:val="00CF3F70"/>
    <w:rsid w:val="00CF7409"/>
    <w:rsid w:val="00D03A82"/>
    <w:rsid w:val="00D04A2F"/>
    <w:rsid w:val="00D15344"/>
    <w:rsid w:val="00D31BEC"/>
    <w:rsid w:val="00D3337B"/>
    <w:rsid w:val="00D418F6"/>
    <w:rsid w:val="00D43887"/>
    <w:rsid w:val="00D44333"/>
    <w:rsid w:val="00D46DDC"/>
    <w:rsid w:val="00D509AF"/>
    <w:rsid w:val="00D54B5D"/>
    <w:rsid w:val="00D63150"/>
    <w:rsid w:val="00D64A32"/>
    <w:rsid w:val="00D64EFC"/>
    <w:rsid w:val="00D75295"/>
    <w:rsid w:val="00D76CE9"/>
    <w:rsid w:val="00D83485"/>
    <w:rsid w:val="00D8440F"/>
    <w:rsid w:val="00D92629"/>
    <w:rsid w:val="00D93D78"/>
    <w:rsid w:val="00D97F12"/>
    <w:rsid w:val="00DB42E7"/>
    <w:rsid w:val="00DC1655"/>
    <w:rsid w:val="00DC2530"/>
    <w:rsid w:val="00DC4A4C"/>
    <w:rsid w:val="00DC6949"/>
    <w:rsid w:val="00DD6C8D"/>
    <w:rsid w:val="00DE4A49"/>
    <w:rsid w:val="00DE6018"/>
    <w:rsid w:val="00DE7B45"/>
    <w:rsid w:val="00DF32C2"/>
    <w:rsid w:val="00DF3DE9"/>
    <w:rsid w:val="00DF7553"/>
    <w:rsid w:val="00E00581"/>
    <w:rsid w:val="00E16B1B"/>
    <w:rsid w:val="00E275D8"/>
    <w:rsid w:val="00E32FB1"/>
    <w:rsid w:val="00E34A08"/>
    <w:rsid w:val="00E34A0C"/>
    <w:rsid w:val="00E42D9D"/>
    <w:rsid w:val="00E471A7"/>
    <w:rsid w:val="00E473AD"/>
    <w:rsid w:val="00E4777C"/>
    <w:rsid w:val="00E50DA2"/>
    <w:rsid w:val="00E529C4"/>
    <w:rsid w:val="00E52B2C"/>
    <w:rsid w:val="00E56DDD"/>
    <w:rsid w:val="00E60D97"/>
    <w:rsid w:val="00E635CF"/>
    <w:rsid w:val="00E63C56"/>
    <w:rsid w:val="00E64C00"/>
    <w:rsid w:val="00E654A7"/>
    <w:rsid w:val="00E7135F"/>
    <w:rsid w:val="00E92A5C"/>
    <w:rsid w:val="00E96593"/>
    <w:rsid w:val="00E97673"/>
    <w:rsid w:val="00EA37A2"/>
    <w:rsid w:val="00EB1C92"/>
    <w:rsid w:val="00EB4B16"/>
    <w:rsid w:val="00EB5410"/>
    <w:rsid w:val="00EB5AF0"/>
    <w:rsid w:val="00EC03E3"/>
    <w:rsid w:val="00EC6699"/>
    <w:rsid w:val="00EC6E0A"/>
    <w:rsid w:val="00EC79D5"/>
    <w:rsid w:val="00EC7BE2"/>
    <w:rsid w:val="00ED01E1"/>
    <w:rsid w:val="00ED4E18"/>
    <w:rsid w:val="00ED748C"/>
    <w:rsid w:val="00EE1F37"/>
    <w:rsid w:val="00F0159C"/>
    <w:rsid w:val="00F0590E"/>
    <w:rsid w:val="00F06DD8"/>
    <w:rsid w:val="00F105B7"/>
    <w:rsid w:val="00F11457"/>
    <w:rsid w:val="00F171CD"/>
    <w:rsid w:val="00F17A21"/>
    <w:rsid w:val="00F30897"/>
    <w:rsid w:val="00F35BFA"/>
    <w:rsid w:val="00F37AF4"/>
    <w:rsid w:val="00F419AE"/>
    <w:rsid w:val="00F50E91"/>
    <w:rsid w:val="00F57D29"/>
    <w:rsid w:val="00F67317"/>
    <w:rsid w:val="00F750B1"/>
    <w:rsid w:val="00F7514B"/>
    <w:rsid w:val="00F767A1"/>
    <w:rsid w:val="00F87DD0"/>
    <w:rsid w:val="00F90EE6"/>
    <w:rsid w:val="00F929D3"/>
    <w:rsid w:val="00F92A99"/>
    <w:rsid w:val="00F95ADF"/>
    <w:rsid w:val="00F96201"/>
    <w:rsid w:val="00FB7345"/>
    <w:rsid w:val="00FC30E9"/>
    <w:rsid w:val="00FD0B18"/>
    <w:rsid w:val="00FD0F82"/>
    <w:rsid w:val="00FD1DD7"/>
    <w:rsid w:val="00FD6B36"/>
    <w:rsid w:val="00FE44C5"/>
    <w:rsid w:val="00FE714F"/>
    <w:rsid w:val="00FF17B4"/>
    <w:rsid w:val="00FF4166"/>
    <w:rsid w:val="00FF7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7EF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47C0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7E042B"/>
    <w:rPr>
      <w:color w:val="800080" w:themeColor="followedHyperlink"/>
      <w:u w:val="single"/>
    </w:rPr>
  </w:style>
  <w:style w:type="paragraph" w:customStyle="1" w:styleId="Default">
    <w:name w:val="Default"/>
    <w:rsid w:val="00BF48CD"/>
    <w:pPr>
      <w:widowControl w:val="0"/>
      <w:autoSpaceDE w:val="0"/>
      <w:autoSpaceDN w:val="0"/>
      <w:adjustRightInd w:val="0"/>
      <w:spacing w:after="0" w:line="240" w:lineRule="auto"/>
    </w:pPr>
    <w:rPr>
      <w:rFonts w:ascii="Code" w:hAnsi="Code" w:cs="Cod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447C0C"/>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7E042B"/>
    <w:rPr>
      <w:color w:val="800080" w:themeColor="followedHyperlink"/>
      <w:u w:val="single"/>
    </w:rPr>
  </w:style>
  <w:style w:type="paragraph" w:customStyle="1" w:styleId="Default">
    <w:name w:val="Default"/>
    <w:rsid w:val="00BF48CD"/>
    <w:pPr>
      <w:widowControl w:val="0"/>
      <w:autoSpaceDE w:val="0"/>
      <w:autoSpaceDN w:val="0"/>
      <w:adjustRightInd w:val="0"/>
      <w:spacing w:after="0" w:line="240" w:lineRule="auto"/>
    </w:pPr>
    <w:rPr>
      <w:rFonts w:ascii="Code" w:hAnsi="Code" w:cs="Cod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940171">
      <w:bodyDiv w:val="1"/>
      <w:marLeft w:val="0"/>
      <w:marRight w:val="0"/>
      <w:marTop w:val="0"/>
      <w:marBottom w:val="0"/>
      <w:divBdr>
        <w:top w:val="none" w:sz="0" w:space="0" w:color="auto"/>
        <w:left w:val="none" w:sz="0" w:space="0" w:color="auto"/>
        <w:bottom w:val="none" w:sz="0" w:space="0" w:color="auto"/>
        <w:right w:val="none" w:sz="0" w:space="0" w:color="auto"/>
      </w:divBdr>
      <w:divsChild>
        <w:div w:id="2044556260">
          <w:marLeft w:val="0"/>
          <w:marRight w:val="0"/>
          <w:marTop w:val="0"/>
          <w:marBottom w:val="0"/>
          <w:divBdr>
            <w:top w:val="none" w:sz="0" w:space="0" w:color="auto"/>
            <w:left w:val="none" w:sz="0" w:space="0" w:color="auto"/>
            <w:bottom w:val="none" w:sz="0" w:space="0" w:color="auto"/>
            <w:right w:val="none" w:sz="0" w:space="0" w:color="auto"/>
          </w:divBdr>
        </w:div>
      </w:divsChild>
    </w:div>
    <w:div w:id="162696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A3ED68A-C78B-4B66-B9A6-8400F4BF1562}">
  <we:reference id="wa104041485"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876DD95-63B5-4E20-AC8A-8FCA595982B1}">
  <we:reference id="wa104043061"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4C1D8-29DE-4954-836B-AD00CE92E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7</cp:revision>
  <cp:lastPrinted>2011-06-23T13:34:00Z</cp:lastPrinted>
  <dcterms:created xsi:type="dcterms:W3CDTF">2017-06-07T13:04:00Z</dcterms:created>
  <dcterms:modified xsi:type="dcterms:W3CDTF">2017-06-09T12:13:00Z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2d05e695-06ef-364c-8cdc-b6b0d6068ef8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