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bookmarkStart w:id="0" w:name="_GoBack"/>
      <w:bookmarkEnd w:id="0"/>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7E3E49" w:rsidRDefault="00F13220" w:rsidP="008467D5">
      <w:pPr>
        <w:pBdr>
          <w:bottom w:val="single" w:sz="18" w:space="1" w:color="auto"/>
        </w:pBdr>
        <w:tabs>
          <w:tab w:val="left" w:pos="-1440"/>
          <w:tab w:val="left" w:pos="-720"/>
          <w:tab w:val="left" w:pos="1"/>
        </w:tabs>
        <w:jc w:val="both"/>
        <w:rPr>
          <w:rFonts w:ascii="Arial" w:hAnsi="Arial"/>
          <w:b/>
          <w:sz w:val="6"/>
          <w:szCs w:val="6"/>
        </w:rPr>
      </w:pPr>
    </w:p>
    <w:p w:rsidR="00D75295" w:rsidRDefault="004F29EE" w:rsidP="00F105B7">
      <w:pPr>
        <w:pStyle w:val="ProductNumber"/>
      </w:pPr>
      <w:r>
        <w:t>9B17N011</w:t>
      </w:r>
    </w:p>
    <w:p w:rsidR="00013360" w:rsidRDefault="00013360" w:rsidP="00D75295">
      <w:pPr>
        <w:jc w:val="right"/>
        <w:rPr>
          <w:rFonts w:ascii="Arial" w:hAnsi="Arial"/>
          <w:b/>
          <w:sz w:val="28"/>
          <w:szCs w:val="28"/>
        </w:rPr>
      </w:pPr>
    </w:p>
    <w:p w:rsidR="004F29EE" w:rsidRPr="00013360" w:rsidRDefault="004F29EE" w:rsidP="00D75295">
      <w:pPr>
        <w:jc w:val="right"/>
        <w:rPr>
          <w:rFonts w:ascii="Arial" w:hAnsi="Arial"/>
          <w:b/>
          <w:sz w:val="28"/>
          <w:szCs w:val="28"/>
        </w:rPr>
      </w:pPr>
    </w:p>
    <w:p w:rsidR="00013360" w:rsidRDefault="004F29EE" w:rsidP="00013360">
      <w:pPr>
        <w:pStyle w:val="CaseTitle"/>
        <w:spacing w:after="0" w:line="240" w:lineRule="auto"/>
        <w:rPr>
          <w:sz w:val="20"/>
          <w:szCs w:val="20"/>
        </w:rPr>
      </w:pPr>
      <w:r w:rsidRPr="006E26BE">
        <w:rPr>
          <w:color w:val="auto"/>
          <w:lang w:val="en-GB"/>
        </w:rPr>
        <w:t>Tesla: THE Solarcity acquisition</w:t>
      </w:r>
      <w:r>
        <w:rPr>
          <w:rStyle w:val="FootnoteReference"/>
          <w:color w:val="auto"/>
          <w:lang w:val="en-GB"/>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4F29EE" w:rsidP="00627C63">
      <w:pPr>
        <w:pStyle w:val="StyleCopyrightStatementAfter0ptBottomSinglesolidline1"/>
      </w:pPr>
      <w:r w:rsidRPr="006E26BE">
        <w:rPr>
          <w:rFonts w:cs="Arial"/>
          <w:color w:val="auto"/>
          <w:szCs w:val="16"/>
          <w:lang w:val="en-GB"/>
        </w:rPr>
        <w:t xml:space="preserve">Tomiwa Ademidun wrote this case under the supervision of Professor </w:t>
      </w:r>
      <w:proofErr w:type="spellStart"/>
      <w:r w:rsidRPr="006E26BE">
        <w:rPr>
          <w:rFonts w:cs="Arial"/>
          <w:color w:val="auto"/>
          <w:szCs w:val="16"/>
          <w:lang w:val="en-GB"/>
        </w:rPr>
        <w:t>Zhichuan</w:t>
      </w:r>
      <w:proofErr w:type="spellEnd"/>
      <w:r w:rsidRPr="006E26BE">
        <w:rPr>
          <w:rFonts w:cs="Arial"/>
          <w:color w:val="auto"/>
          <w:szCs w:val="16"/>
          <w:lang w:val="en-GB"/>
        </w:rPr>
        <w:t xml:space="preserve"> (Frank) Li</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4F29E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4F29EE">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007E3E49">
        <w:rPr>
          <w:rFonts w:cs="Arial"/>
          <w:szCs w:val="16"/>
          <w:lang w:val="en-CA"/>
        </w:rPr>
        <w:t xml:space="preserve">Ivey Business School </w:t>
      </w:r>
      <w:r w:rsidRPr="00E23AB7">
        <w:rPr>
          <w:rFonts w:cs="Arial"/>
          <w:szCs w:val="16"/>
          <w:lang w:val="en-CA"/>
        </w:rPr>
        <w:t>Foundation</w:t>
      </w:r>
      <w:r>
        <w:rPr>
          <w:rFonts w:cs="Arial"/>
          <w:szCs w:val="16"/>
          <w:lang w:val="en-CA"/>
        </w:rPr>
        <w:tab/>
      </w:r>
      <w:r w:rsidR="00751E0B">
        <w:t xml:space="preserve">Version: </w:t>
      </w:r>
      <w:r w:rsidR="004F29EE">
        <w:t>20</w:t>
      </w:r>
      <w:r w:rsidR="00CB1B88">
        <w:t>20</w:t>
      </w:r>
      <w:r w:rsidR="001C7777">
        <w:t>-</w:t>
      </w:r>
      <w:r w:rsidR="00961B7C">
        <w:t>1</w:t>
      </w:r>
      <w:r w:rsidR="00CB1B88">
        <w:t>2</w:t>
      </w:r>
      <w:r w:rsidR="00751E0B">
        <w:t>-</w:t>
      </w:r>
      <w:r w:rsidR="00CB1B88">
        <w:t>0</w:t>
      </w:r>
      <w:r w:rsidR="007E3E49">
        <w:t>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4F29EE" w:rsidRPr="004F29EE" w:rsidRDefault="004F29EE" w:rsidP="004F29EE">
      <w:pPr>
        <w:pStyle w:val="BodyTextMain"/>
        <w:ind w:left="720"/>
        <w:rPr>
          <w:lang w:val="en-GB" w:eastAsia="zh-CN"/>
        </w:rPr>
      </w:pPr>
      <w:r w:rsidRPr="004F29EE">
        <w:rPr>
          <w:lang w:val="en-GB" w:eastAsia="zh-CN"/>
        </w:rPr>
        <w:t>I think it’s really kind of a no-brainer, if we didn’t do this it would make Tesla’s execution harder and worse.</w:t>
      </w:r>
    </w:p>
    <w:p w:rsidR="004F29EE" w:rsidRPr="004F29EE" w:rsidRDefault="004F29EE" w:rsidP="004F29EE">
      <w:pPr>
        <w:pStyle w:val="BodyTextMain"/>
        <w:jc w:val="right"/>
        <w:rPr>
          <w:lang w:val="en-GB" w:eastAsia="zh-CN"/>
        </w:rPr>
      </w:pPr>
    </w:p>
    <w:p w:rsidR="004F29EE" w:rsidRPr="004F29EE" w:rsidRDefault="004F29EE" w:rsidP="004F29EE">
      <w:pPr>
        <w:pStyle w:val="BodyTextMain"/>
        <w:jc w:val="right"/>
        <w:rPr>
          <w:rFonts w:eastAsiaTheme="minorHAnsi"/>
          <w:lang w:val="en-GB" w:eastAsia="zh-CN"/>
        </w:rPr>
      </w:pPr>
      <w:r w:rsidRPr="004F29EE">
        <w:rPr>
          <w:rFonts w:eastAsiaTheme="minorHAnsi"/>
          <w:lang w:val="en-GB" w:eastAsia="zh-CN"/>
        </w:rPr>
        <w:t>Elon Musk, Tesla’s chief executive officer, on the SolarCity Acquisition, June 2016</w:t>
      </w:r>
      <w:r w:rsidRPr="004F29EE">
        <w:rPr>
          <w:rFonts w:eastAsiaTheme="minorHAnsi"/>
          <w:vertAlign w:val="superscript"/>
          <w:lang w:val="en-GB" w:eastAsia="zh-CN"/>
        </w:rPr>
        <w:footnoteReference w:id="2"/>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 xml:space="preserve">It was a sunny Friday in </w:t>
      </w:r>
      <w:r w:rsidR="007E3E49">
        <w:rPr>
          <w:lang w:val="en-GB" w:eastAsia="zh-CN"/>
        </w:rPr>
        <w:t>December</w:t>
      </w:r>
      <w:r w:rsidRPr="004F29EE">
        <w:rPr>
          <w:lang w:val="en-GB" w:eastAsia="zh-CN"/>
        </w:rPr>
        <w:t xml:space="preserve"> 2016 in Southern California when Brad Buss, a member of Tesla’s board of directors, received a phone call from Elon Musk, Tesla’s chief executive officer (CEO). Musk was interested in acquiring a solar panel manufacturer, SolarCity. The board had agreed to seek a fairness opinion from an independent investment bank, Evercore Partners (Evercore), which then performed a valuation and offered an opinion on what it thought SolarCity was worth. Musk had announced the deal to the media; however, significant uproar emerged from Wall Street regarding the value of SolarCity to Tesla. Tesla shares dropped 10</w:t>
      </w:r>
      <w:r w:rsidR="0032193C">
        <w:rPr>
          <w:lang w:val="en-GB" w:eastAsia="zh-CN"/>
        </w:rPr>
        <w:t xml:space="preserve"> per cent</w:t>
      </w:r>
      <w:r w:rsidRPr="004F29EE">
        <w:rPr>
          <w:lang w:val="en-GB" w:eastAsia="zh-CN"/>
        </w:rPr>
        <w:t xml:space="preserve"> after the announcement while SolarCity shares popped more than 15</w:t>
      </w:r>
      <w:r w:rsidR="0032193C">
        <w:rPr>
          <w:lang w:val="en-GB" w:eastAsia="zh-CN"/>
        </w:rPr>
        <w:t xml:space="preserve"> per cent</w:t>
      </w:r>
      <w:r w:rsidRPr="004F29EE">
        <w:rPr>
          <w:lang w:val="en-GB" w:eastAsia="zh-CN"/>
        </w:rPr>
        <w:t xml:space="preserve">. As a board member, Buss had the ability to give his opinion on whether SolarCity was a strategic fit for Tesla, and if it was, Buss could advise Musk on a fair final price that Tesla could pitch to the shareholders of both companies. </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p>
    <w:p w:rsidR="004F29EE" w:rsidRPr="004F29EE" w:rsidRDefault="004F29EE" w:rsidP="004F29EE">
      <w:pPr>
        <w:pStyle w:val="Casehead1"/>
        <w:rPr>
          <w:lang w:val="en-GB" w:eastAsia="zh-CN"/>
        </w:rPr>
      </w:pPr>
      <w:r w:rsidRPr="004F29EE">
        <w:rPr>
          <w:lang w:val="en-GB" w:eastAsia="zh-CN"/>
        </w:rPr>
        <w:t>THE Solar Power Industry</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The diminishing supply and soaring price of fossil fuels, combined with a rising global interest in clean, renewable energy sources, led to the U.S. solar industry’s significant growth in the last two decades (see Exhibit 1). In 2006, 30,000 U.S. homes had solar systems, which increased to 400,000 in 2013 and was expected to reach 3,800,000 homes by 2020.</w:t>
      </w:r>
      <w:r w:rsidRPr="004F29EE">
        <w:rPr>
          <w:vertAlign w:val="superscript"/>
          <w:lang w:val="en-GB" w:eastAsia="zh-CN"/>
        </w:rPr>
        <w:footnoteReference w:id="3"/>
      </w:r>
      <w:r w:rsidRPr="004F29EE">
        <w:rPr>
          <w:lang w:val="en-GB" w:eastAsia="zh-CN"/>
        </w:rPr>
        <w:t xml:space="preserve"> The U.S. solar industry included solar power plants and photovoltaic (PV) solar panels connected to local electrical grids. In 2015, the United States had 25 gigawatts of installed photovoltaic capacity and solar power generated 51.7 terawatt-hours, or 1.27 per </w:t>
      </w:r>
      <w:r w:rsidRPr="004F29EE">
        <w:rPr>
          <w:lang w:val="en-GB" w:eastAsia="zh-CN"/>
        </w:rPr>
        <w:lastRenderedPageBreak/>
        <w:t>cent of total U.S. electricity.</w:t>
      </w:r>
      <w:r w:rsidRPr="004F29EE">
        <w:rPr>
          <w:vertAlign w:val="superscript"/>
          <w:lang w:val="en-GB" w:eastAsia="zh-CN"/>
        </w:rPr>
        <w:footnoteReference w:id="4"/>
      </w:r>
      <w:r w:rsidRPr="004F29EE">
        <w:rPr>
          <w:lang w:val="en-GB" w:eastAsia="zh-CN"/>
        </w:rPr>
        <w:t xml:space="preserve"> The United States had been a pioneer in PVs and solar power research, with several of the world’s largest installations located in the California and Nevada deserts. The U.S. Department of Energy (DOE) had also invested heavily in clean energy, and many companies had recently entered this industry due to the DOE’s favourable loans and various subsidies.</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While most companies in the solar power industry were large utilities that also held diversified investments in other fields, such as hydro and natural gas, many of the start-ups entering the solar industry, such as SolarCity, had assets only in the solar industry and were unprofitable. These start-ups were desperate for government subsidies and loans to finance their operations, hoping to reach profitability after becoming large and realizing economies of scale.</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p>
    <w:p w:rsidR="004F29EE" w:rsidRPr="004F29EE" w:rsidRDefault="004F29EE" w:rsidP="004F29EE">
      <w:pPr>
        <w:pStyle w:val="Casehead1"/>
        <w:rPr>
          <w:lang w:val="en-GB" w:eastAsia="zh-CN"/>
        </w:rPr>
      </w:pPr>
      <w:r w:rsidRPr="004F29EE">
        <w:rPr>
          <w:lang w:val="en-GB" w:eastAsia="zh-CN"/>
        </w:rPr>
        <w:t>SolarCity</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In 2006, brothers Peter and Lyndon Rive were discussing ideas to start a company when their cousin, Elon Musk, suggested a solar company concept. Since then the company the Rive brothers founded had grown rapidly, becoming the number-one solar panel installer in the United States with more than 100,000 installations in 2015.</w:t>
      </w:r>
      <w:r w:rsidRPr="004F29EE">
        <w:rPr>
          <w:vertAlign w:val="superscript"/>
          <w:lang w:val="en-GB" w:eastAsia="zh-CN"/>
        </w:rPr>
        <w:footnoteReference w:id="5"/>
      </w:r>
      <w:r w:rsidRPr="004F29EE">
        <w:rPr>
          <w:lang w:val="en-GB" w:eastAsia="zh-CN"/>
        </w:rPr>
        <w:t xml:space="preserve"> The company had an industry leading five-year compounded annual growth rate of 65.25 per cent in revenue. SolarCity also entered into long-term financing agreements with customers, which provided the company with recurring revenue. As SolarCity grew from a start-up to an actual utility, it became increasingly dependent on large amounts of debt to finance its large capital expenditures. Despite going public in 2012, the company had never experienced a profitable year. In fiscal year 2015, it reported losses of $769 million on $400 million sales (see Exhibits 2, 3, 4, and 5).</w:t>
      </w:r>
      <w:r w:rsidRPr="004F29EE">
        <w:t xml:space="preserve"> The encouraging news </w:t>
      </w:r>
      <w:r w:rsidR="0032193C">
        <w:t>was</w:t>
      </w:r>
      <w:r w:rsidRPr="004F29EE">
        <w:t xml:space="preserve"> that</w:t>
      </w:r>
      <w:r w:rsidRPr="004F29EE">
        <w:rPr>
          <w:lang w:val="en-GB" w:eastAsia="zh-CN"/>
        </w:rPr>
        <w:t>, according to a consensus of analysts, SolarCity would finally turn profitable in 2017 for the first time in its history (see Exhibits 13).</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p>
    <w:p w:rsidR="004F29EE" w:rsidRPr="004F29EE" w:rsidRDefault="004F29EE" w:rsidP="004F29EE">
      <w:pPr>
        <w:pStyle w:val="Casehead1"/>
        <w:rPr>
          <w:lang w:val="en-GB" w:eastAsia="zh-CN"/>
        </w:rPr>
      </w:pPr>
      <w:r w:rsidRPr="004F29EE">
        <w:rPr>
          <w:lang w:val="en-GB" w:eastAsia="zh-CN"/>
        </w:rPr>
        <w:t>Tesla</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The U.S. automotive industry was a notoriously difficult industry to break into: the last U.S. auto manufacturer to go public was the Ford Motor Company in 1956.</w:t>
      </w:r>
      <w:r w:rsidRPr="004F29EE">
        <w:rPr>
          <w:vertAlign w:val="superscript"/>
          <w:lang w:val="en-GB" w:eastAsia="zh-CN"/>
        </w:rPr>
        <w:footnoteReference w:id="6"/>
      </w:r>
      <w:r w:rsidRPr="004F29EE">
        <w:rPr>
          <w:lang w:val="en-GB" w:eastAsia="zh-CN"/>
        </w:rPr>
        <w:t xml:space="preserve"> Five bold entrepreneurs planned to disrupt the auto industry in a major way. In 2003, Musk and four other entrepreneurs—Martin Eberhard, Marc </w:t>
      </w:r>
      <w:proofErr w:type="spellStart"/>
      <w:r w:rsidRPr="004F29EE">
        <w:rPr>
          <w:lang w:val="en-GB" w:eastAsia="zh-CN"/>
        </w:rPr>
        <w:t>Tarpenning</w:t>
      </w:r>
      <w:proofErr w:type="spellEnd"/>
      <w:r w:rsidRPr="004F29EE">
        <w:rPr>
          <w:lang w:val="en-GB" w:eastAsia="zh-CN"/>
        </w:rPr>
        <w:t xml:space="preserve">, J. B. </w:t>
      </w:r>
      <w:proofErr w:type="spellStart"/>
      <w:r w:rsidRPr="004F29EE">
        <w:rPr>
          <w:lang w:val="en-GB" w:eastAsia="zh-CN"/>
        </w:rPr>
        <w:t>Straubel</w:t>
      </w:r>
      <w:proofErr w:type="spellEnd"/>
      <w:r w:rsidRPr="004F29EE">
        <w:rPr>
          <w:lang w:val="en-GB" w:eastAsia="zh-CN"/>
        </w:rPr>
        <w:t>, and Ian Wright—founded Tesla Motors as an electric car manufacturer.</w:t>
      </w:r>
      <w:r w:rsidRPr="004F29EE">
        <w:rPr>
          <w:vertAlign w:val="superscript"/>
          <w:lang w:val="en-GB" w:eastAsia="zh-CN"/>
        </w:rPr>
        <w:footnoteReference w:id="7"/>
      </w:r>
      <w:r w:rsidRPr="004F29EE">
        <w:rPr>
          <w:lang w:val="en-GB" w:eastAsia="zh-CN"/>
        </w:rPr>
        <w:t xml:space="preserve"> Tesla initially made headlines after producing the first electric sports car, the Tesla Roadster. Led by the mercurial CEO Elon Musk, who was also the CEO of a space exploration company called SpaceX, the company went public in the first quarter of 2013, and had since experienced constant news coverage and a growing loyal fan base. SpaceX had its own monumental challenges to overcome, such as entering the U</w:t>
      </w:r>
      <w:r w:rsidR="00E2417B">
        <w:rPr>
          <w:lang w:val="en-GB" w:eastAsia="zh-CN"/>
        </w:rPr>
        <w:t>.</w:t>
      </w:r>
      <w:r w:rsidRPr="004F29EE">
        <w:rPr>
          <w:lang w:val="en-GB" w:eastAsia="zh-CN"/>
        </w:rPr>
        <w:t>S</w:t>
      </w:r>
      <w:r w:rsidR="00E2417B">
        <w:rPr>
          <w:lang w:val="en-GB" w:eastAsia="zh-CN"/>
        </w:rPr>
        <w:t>.</w:t>
      </w:r>
      <w:r w:rsidRPr="004F29EE">
        <w:rPr>
          <w:lang w:val="en-GB" w:eastAsia="zh-CN"/>
        </w:rPr>
        <w:t xml:space="preserve"> </w:t>
      </w:r>
      <w:r w:rsidR="00E2417B">
        <w:rPr>
          <w:lang w:val="en-GB" w:eastAsia="zh-CN"/>
        </w:rPr>
        <w:t>d</w:t>
      </w:r>
      <w:r w:rsidRPr="004F29EE">
        <w:rPr>
          <w:lang w:val="en-GB" w:eastAsia="zh-CN"/>
        </w:rPr>
        <w:t>efence space industry which had been a monopoly dominated by the United Launch Alliance for nearly a decade.</w:t>
      </w:r>
      <w:r w:rsidRPr="004F29EE">
        <w:rPr>
          <w:vertAlign w:val="superscript"/>
          <w:lang w:val="en-GB" w:eastAsia="zh-CN"/>
        </w:rPr>
        <w:footnoteReference w:id="8"/>
      </w:r>
      <w:r w:rsidRPr="004F29EE">
        <w:rPr>
          <w:lang w:val="en-GB" w:eastAsia="zh-CN"/>
        </w:rPr>
        <w:t xml:space="preserve"> Many industry analysts were worried that despite Musk’s reputation as a genius, running a company in the auto industry was too difficult and demanding for one person to do as a “part-time CEO</w:t>
      </w:r>
      <w:r w:rsidR="00E2417B">
        <w:rPr>
          <w:lang w:val="en-GB" w:eastAsia="zh-CN"/>
        </w:rPr>
        <w:t>.</w:t>
      </w:r>
      <w:r w:rsidRPr="004F29EE">
        <w:rPr>
          <w:lang w:val="en-GB" w:eastAsia="zh-CN"/>
        </w:rPr>
        <w:t>”</w:t>
      </w:r>
    </w:p>
    <w:p w:rsidR="004F29EE" w:rsidRPr="004F29EE" w:rsidRDefault="004F29EE" w:rsidP="004F29EE">
      <w:pPr>
        <w:pStyle w:val="BodyTextMain"/>
        <w:rPr>
          <w:lang w:val="en-GB" w:eastAsia="zh-CN"/>
        </w:rPr>
      </w:pPr>
      <w:r w:rsidRPr="004F29EE">
        <w:rPr>
          <w:lang w:val="en-GB" w:eastAsia="zh-CN"/>
        </w:rPr>
        <w:lastRenderedPageBreak/>
        <w:t>Musk had always set wildly ambitious goals for the company, and often had investors and customers wonder whether he would be able to meet these goals. The company seemed to oscillate between amazing successes and embarrassing failures. In 2015, the Model S sold more than 150,000 units and was the bestselling plug-in vehicle of the year.</w:t>
      </w:r>
      <w:r w:rsidRPr="004F29EE">
        <w:rPr>
          <w:vertAlign w:val="superscript"/>
          <w:lang w:val="en-GB" w:eastAsia="zh-CN"/>
        </w:rPr>
        <w:footnoteReference w:id="9"/>
      </w:r>
      <w:r w:rsidRPr="004F29EE">
        <w:rPr>
          <w:lang w:val="en-GB" w:eastAsia="zh-CN"/>
        </w:rPr>
        <w:t xml:space="preserve"> Yet, despite revenues of $4.05 billion, the company reported a loss of $889 million (see Exhibits 6, 7, 8, and 9). However, shareholders showed tremendous faith in Musk and Tesla’s altruistic mission to “accelerate the world’s transition to sustainable energy</w:t>
      </w:r>
      <w:r w:rsidR="00E2417B">
        <w:rPr>
          <w:lang w:val="en-GB" w:eastAsia="zh-CN"/>
        </w:rPr>
        <w:t>.</w:t>
      </w:r>
      <w:r w:rsidRPr="004F29EE">
        <w:rPr>
          <w:lang w:val="en-GB" w:eastAsia="zh-CN"/>
        </w:rPr>
        <w:t>”</w:t>
      </w:r>
      <w:r w:rsidRPr="004F29EE">
        <w:rPr>
          <w:vertAlign w:val="superscript"/>
          <w:lang w:val="en-GB" w:eastAsia="zh-CN"/>
        </w:rPr>
        <w:footnoteReference w:id="10"/>
      </w:r>
      <w:r w:rsidRPr="004F29EE">
        <w:rPr>
          <w:lang w:val="en-GB" w:eastAsia="zh-CN"/>
        </w:rPr>
        <w:t xml:space="preserve"> It seemed the more faith the shareholders had in him, the more ambitious and seemingly bizarre some of his decisions appeared to the public. For example, in November 2013 Tesla announced plans for the joint SolarCity-Tesla Gigafactory, a lithium-ion battery factory. The Gigafactory would have a projected capacity in 2020 of producing more lithium-ion batteries in a year than were produced in the entire world in 2013, the equivalent to supplying 500,000 Tesla cars per year. The factory would cost over $5 billion to build.</w:t>
      </w:r>
      <w:r w:rsidRPr="004F29EE">
        <w:rPr>
          <w:vertAlign w:val="superscript"/>
          <w:lang w:val="en-GB" w:eastAsia="zh-CN"/>
        </w:rPr>
        <w:footnoteReference w:id="11"/>
      </w:r>
      <w:r w:rsidRPr="004F29EE">
        <w:rPr>
          <w:lang w:val="en-GB" w:eastAsia="zh-CN"/>
        </w:rPr>
        <w:t xml:space="preserve"> </w:t>
      </w:r>
    </w:p>
    <w:p w:rsidR="004F29EE" w:rsidRDefault="004F29EE" w:rsidP="004F29EE">
      <w:pPr>
        <w:pStyle w:val="BodyTextMain"/>
        <w:rPr>
          <w:lang w:val="en-GB" w:eastAsia="zh-CN"/>
        </w:rPr>
      </w:pPr>
    </w:p>
    <w:p w:rsidR="00E2417B" w:rsidRPr="004F29EE" w:rsidRDefault="00E2417B" w:rsidP="004F29EE">
      <w:pPr>
        <w:pStyle w:val="BodyTextMain"/>
        <w:rPr>
          <w:lang w:val="en-GB" w:eastAsia="zh-CN"/>
        </w:rPr>
      </w:pPr>
    </w:p>
    <w:p w:rsidR="004F29EE" w:rsidRPr="004F29EE" w:rsidRDefault="004F29EE" w:rsidP="004F29EE">
      <w:pPr>
        <w:pStyle w:val="Casehead1"/>
        <w:rPr>
          <w:lang w:val="en-GB" w:eastAsia="zh-CN"/>
        </w:rPr>
      </w:pPr>
      <w:r w:rsidRPr="004F29EE">
        <w:rPr>
          <w:lang w:val="en-GB" w:eastAsia="zh-CN"/>
        </w:rPr>
        <w:t>Problems at SolarCity</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As the CEO of a start-up in the solar power industry, the first couple of years were expected to be difficult for Lyndon Rive. However, the business proved to be exceptionally challenging. Some critics claimed that SolarCity, unlike larger competitor utilities, did not have an asset base large enough to secure favourable credit terms. The company had a market debt-to-equity ratio of 1.45, which was drastically higher than the utilities industry average of 1.1. To reduce bankruptcy risk, the company hoped to move towards industry norm, achieving a more balanced capital structure of half debt and half equity (both in market value) while maintaining the current 97.59 million shares. Thus, SolarCity would be able to maintain its interest expense at a safe and sustainable level of $100 million from 2017 onwards. In 2015, it was struggling with $1.2 billion</w:t>
      </w:r>
      <w:r w:rsidRPr="004F29EE">
        <w:rPr>
          <w:vertAlign w:val="superscript"/>
          <w:lang w:val="en-GB" w:eastAsia="zh-CN"/>
        </w:rPr>
        <w:footnoteReference w:id="12"/>
      </w:r>
      <w:r w:rsidRPr="004F29EE">
        <w:rPr>
          <w:lang w:val="en-GB" w:eastAsia="zh-CN"/>
        </w:rPr>
        <w:t xml:space="preserve"> in current liabilities, yet only $902 million in current assets. In early 2016, the company was still starving for cash. Many investors wondered whether the company would declare bankruptcy and liquidate its assets to a larger utility company, following the fate of so many other solar energy companies. Some analysts, on the other hand, believed they had seen the light at the end of the tunnel: the SolarCity-Tesla Gigafactory would begin mass production of cells in 2017; Tesla model 3 pre-sales would top half a million by August 2016, many of which would be powered by SolarCity installed roofs and Powerwall. Both projects were expected to significantly increase profits for SolarCity.</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p>
    <w:p w:rsidR="004F29EE" w:rsidRPr="004F29EE" w:rsidRDefault="004F29EE" w:rsidP="004F29EE">
      <w:pPr>
        <w:pStyle w:val="Casehead1"/>
        <w:rPr>
          <w:lang w:val="en-GB" w:eastAsia="zh-CN"/>
        </w:rPr>
      </w:pPr>
      <w:r w:rsidRPr="004F29EE">
        <w:rPr>
          <w:lang w:val="en-GB" w:eastAsia="zh-CN"/>
        </w:rPr>
        <w:t>The Acquisition Offer</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t xml:space="preserve">As the chairman of the SolarCity board, Musk was frequently consulted whenever SolarCity had problems. Tesla had collaborated with SolarCity in the past on various energy initiatives. After hearing about the issues that the Rive brothers were facing and the possibility of the business closing down, Musk may have believed that an acquisition would be the best course of action for both companies. Tesla encouraged customers to charge their cars using the Tesla Powerwall and Tesla’s global network of Superchargers, both of which were to be powered by solar panels. An acquisition of SolarCity would allow both Tesla and SolarCity to experience significant cost synergies and provide access to more and cheaper financing. However, considering Tesla’s cash and profitability problems, investors could be </w:t>
      </w:r>
      <w:r w:rsidRPr="004F29EE">
        <w:rPr>
          <w:lang w:val="en-GB" w:eastAsia="zh-CN"/>
        </w:rPr>
        <w:lastRenderedPageBreak/>
        <w:t>reluctant to approve the purchase of an even more financially unstable company.</w:t>
      </w:r>
      <w:r w:rsidRPr="004F29EE">
        <w:rPr>
          <w:vertAlign w:val="superscript"/>
          <w:lang w:val="en-GB" w:eastAsia="zh-CN"/>
        </w:rPr>
        <w:footnoteReference w:id="13"/>
      </w:r>
      <w:r w:rsidRPr="004F29EE">
        <w:rPr>
          <w:lang w:val="en-GB" w:eastAsia="zh-CN"/>
        </w:rPr>
        <w:t xml:space="preserve"> Musk would first need a third-party investment bank to provide an opinion on a fair price for SolarCity, and then he would need to convince the shareholders that this purchase would be a wise decision.</w:t>
      </w:r>
    </w:p>
    <w:p w:rsidR="004F29EE" w:rsidRPr="004F29EE" w:rsidRDefault="004F29EE" w:rsidP="004F29EE">
      <w:pPr>
        <w:pStyle w:val="BodyTextMain"/>
        <w:rPr>
          <w:lang w:val="en-GB" w:eastAsia="zh-CN"/>
        </w:rPr>
      </w:pPr>
    </w:p>
    <w:p w:rsidR="004F29EE" w:rsidRDefault="007E3E49" w:rsidP="004F29EE">
      <w:pPr>
        <w:pStyle w:val="BodyTextMain"/>
        <w:rPr>
          <w:lang w:val="en-GB" w:eastAsia="zh-CN"/>
        </w:rPr>
      </w:pPr>
      <w:r w:rsidRPr="004F29EE">
        <w:rPr>
          <w:lang w:val="en-GB" w:eastAsia="zh-CN"/>
        </w:rPr>
        <w:t>Tesla hired the investment bank Evercore Partners, while SolarCity hired Lazard et Freres, to value the deal and provide a fairness opinion (see Exhibits 10, 11, and 12).</w:t>
      </w:r>
      <w:r w:rsidRPr="004F29EE">
        <w:rPr>
          <w:vertAlign w:val="superscript"/>
          <w:lang w:val="en-GB" w:eastAsia="zh-CN"/>
        </w:rPr>
        <w:footnoteReference w:id="14"/>
      </w:r>
      <w:r w:rsidRPr="004F29EE">
        <w:rPr>
          <w:lang w:val="en-GB" w:eastAsia="zh-CN"/>
        </w:rPr>
        <w:t xml:space="preserve"> If the deal was successful, SolarCity expected to realize cost synergies of 20 percent of its capital expenditures although some investors believe 10 percent synergies would be more realistic. Because the deal was to be structured as a stock swap,</w:t>
      </w:r>
      <w:r w:rsidRPr="004F29EE">
        <w:rPr>
          <w:vertAlign w:val="superscript"/>
          <w:lang w:val="en-GB" w:eastAsia="zh-CN"/>
        </w:rPr>
        <w:footnoteReference w:id="15"/>
      </w:r>
      <w:r w:rsidRPr="004F29EE">
        <w:rPr>
          <w:lang w:val="en-GB" w:eastAsia="zh-CN"/>
        </w:rPr>
        <w:t xml:space="preserve"> the challenge was to calculate a fair exchange ratio. Tesla instructed Evercore to create a discounted cash flow analysis based on publicly available consensus estimates of The Goldman Sachs Group, Inc. and the Institutional Brokers’ Estimate System (see Exhibit 13). These forecasts assumed that SolarCity had successfully reduced its market debt-to-equity ratio to 1:1 from 2017 onwards. At that time, the 30 year U.S. Treasury rate was 2.5</w:t>
      </w:r>
      <w:r>
        <w:rPr>
          <w:lang w:val="en-GB" w:eastAsia="zh-CN"/>
        </w:rPr>
        <w:t xml:space="preserve"> per cent</w:t>
      </w:r>
      <w:r w:rsidRPr="004F29EE">
        <w:rPr>
          <w:lang w:val="en-GB" w:eastAsia="zh-CN"/>
        </w:rPr>
        <w:t>. A market risk premium of 5</w:t>
      </w:r>
      <w:r>
        <w:rPr>
          <w:lang w:val="en-GB" w:eastAsia="zh-CN"/>
        </w:rPr>
        <w:t xml:space="preserve"> per cent</w:t>
      </w:r>
      <w:r w:rsidRPr="004F29EE">
        <w:rPr>
          <w:lang w:val="en-GB" w:eastAsia="zh-CN"/>
        </w:rPr>
        <w:t xml:space="preserve"> and a terminal growth rate of 4</w:t>
      </w:r>
      <w:r>
        <w:rPr>
          <w:lang w:val="en-GB" w:eastAsia="zh-CN"/>
        </w:rPr>
        <w:t xml:space="preserve"> per cent</w:t>
      </w:r>
      <w:r w:rsidRPr="004F29EE">
        <w:rPr>
          <w:lang w:val="en-GB" w:eastAsia="zh-CN"/>
        </w:rPr>
        <w:t xml:space="preserve"> were commonly used for the solar power industry.</w:t>
      </w:r>
      <w:r w:rsidRPr="004F29EE">
        <w:rPr>
          <w:vertAlign w:val="superscript"/>
          <w:lang w:val="en-GB" w:eastAsia="zh-CN"/>
        </w:rPr>
        <w:footnoteReference w:id="16"/>
      </w:r>
      <w:r w:rsidRPr="004F29EE">
        <w:rPr>
          <w:lang w:val="en-GB" w:eastAsia="zh-CN"/>
        </w:rPr>
        <w:t xml:space="preserve"> For SolarCity, its beta was estimated between 1.95</w:t>
      </w:r>
      <w:r>
        <w:rPr>
          <w:lang w:val="en-GB" w:eastAsia="zh-CN"/>
        </w:rPr>
        <w:t>–</w:t>
      </w:r>
      <w:r w:rsidRPr="004F29EE">
        <w:rPr>
          <w:lang w:val="en-GB" w:eastAsia="zh-CN"/>
        </w:rPr>
        <w:t>2.40 from different sources. The cost of debt 6.8</w:t>
      </w:r>
      <w:r>
        <w:rPr>
          <w:lang w:val="en-GB" w:eastAsia="zh-CN"/>
        </w:rPr>
        <w:t xml:space="preserve"> per cent</w:t>
      </w:r>
      <w:r w:rsidRPr="004F29EE">
        <w:rPr>
          <w:lang w:val="en-GB" w:eastAsia="zh-CN"/>
        </w:rPr>
        <w:t>, much higher than the industry average of 5.8</w:t>
      </w:r>
      <w:r>
        <w:rPr>
          <w:lang w:val="en-GB" w:eastAsia="zh-CN"/>
        </w:rPr>
        <w:t xml:space="preserve"> per cent</w:t>
      </w:r>
      <w:r w:rsidRPr="004F29EE">
        <w:rPr>
          <w:lang w:val="en-GB" w:eastAsia="zh-CN"/>
        </w:rPr>
        <w:t xml:space="preserve"> due to high default risk, could drop to 6.5</w:t>
      </w:r>
      <w:r>
        <w:rPr>
          <w:lang w:val="en-GB" w:eastAsia="zh-CN"/>
        </w:rPr>
        <w:t xml:space="preserve"> per cent</w:t>
      </w:r>
      <w:r w:rsidRPr="004F29EE">
        <w:rPr>
          <w:lang w:val="en-GB" w:eastAsia="zh-CN"/>
        </w:rPr>
        <w:t xml:space="preserve"> in 2017 with a lower debt level. The expected tax rate would be 20</w:t>
      </w:r>
      <w:r>
        <w:rPr>
          <w:lang w:val="en-GB" w:eastAsia="zh-CN"/>
        </w:rPr>
        <w:t xml:space="preserve"> per cent</w:t>
      </w:r>
      <w:r w:rsidRPr="004F29EE">
        <w:rPr>
          <w:lang w:val="en-GB" w:eastAsia="zh-CN"/>
        </w:rPr>
        <w:t xml:space="preserve"> when SolarCity had stable taxable income. After the merger, SolarCity would be able to maintain more stable capital expenditure</w:t>
      </w:r>
      <w:r>
        <w:rPr>
          <w:lang w:val="en-GB" w:eastAsia="zh-CN"/>
        </w:rPr>
        <w:t>, depreciation and amortization,</w:t>
      </w:r>
      <w:r w:rsidRPr="004F29EE">
        <w:rPr>
          <w:lang w:val="en-GB" w:eastAsia="zh-CN"/>
        </w:rPr>
        <w:t xml:space="preserve"> and net working capital, as 23</w:t>
      </w:r>
      <w:r>
        <w:rPr>
          <w:lang w:val="en-GB" w:eastAsia="zh-CN"/>
        </w:rPr>
        <w:t xml:space="preserve"> per cent, 3.5 percent,</w:t>
      </w:r>
      <w:r w:rsidRPr="004F29EE">
        <w:rPr>
          <w:lang w:val="en-GB" w:eastAsia="zh-CN"/>
        </w:rPr>
        <w:t xml:space="preserve"> and 10</w:t>
      </w:r>
      <w:r>
        <w:rPr>
          <w:lang w:val="en-GB" w:eastAsia="zh-CN"/>
        </w:rPr>
        <w:t xml:space="preserve"> per cent</w:t>
      </w:r>
      <w:r w:rsidRPr="004F29EE">
        <w:rPr>
          <w:lang w:val="en-GB" w:eastAsia="zh-CN"/>
        </w:rPr>
        <w:t xml:space="preserve"> of revenue respectively. Both banks felt that an offer of 0.082 Tesla shares for each SolarCity share would be a good deal for the shareholders of both companies. This ratio was based on the analysts’ valuation of both Tesla and SolarCity stocks. Tesla was valued at $358.60 per share, and all parties felt comfortable with this valuation. However, whether SolarCity’s share price of $29.35, with a 35</w:t>
      </w:r>
      <w:r>
        <w:rPr>
          <w:lang w:val="en-GB" w:eastAsia="zh-CN"/>
        </w:rPr>
        <w:t xml:space="preserve"> per cent</w:t>
      </w:r>
      <w:r w:rsidRPr="004F29EE">
        <w:rPr>
          <w:lang w:val="en-GB" w:eastAsia="zh-CN"/>
        </w:rPr>
        <w:t xml:space="preserve"> premium, was a reasonable estimate was open to some debate. With the backing of a credible third-party bank and the support of loyal Tesla shareholders, Musk felt confident that the deal would go through.</w:t>
      </w:r>
    </w:p>
    <w:p w:rsidR="004F29EE" w:rsidRPr="004F29EE" w:rsidRDefault="004F29EE" w:rsidP="004F29EE">
      <w:pPr>
        <w:pStyle w:val="BodyTextMain"/>
        <w:rPr>
          <w:lang w:val="en-GB" w:eastAsia="zh-CN"/>
        </w:rPr>
      </w:pPr>
      <w:r w:rsidRPr="004F29EE">
        <w:rPr>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1: U.S. solar electricity production since 1985</w:t>
      </w:r>
    </w:p>
    <w:p w:rsidR="004F29EE" w:rsidRPr="00C13CCC" w:rsidRDefault="004F29EE" w:rsidP="004F29EE">
      <w:pPr>
        <w:pStyle w:val="BodyTextMain"/>
        <w:rPr>
          <w:noProof/>
          <w:sz w:val="16"/>
          <w:szCs w:val="16"/>
          <w:lang w:val="en-GB"/>
        </w:rPr>
      </w:pPr>
    </w:p>
    <w:p w:rsidR="004F29EE" w:rsidRPr="004F29EE" w:rsidRDefault="004F29EE" w:rsidP="004F29EE">
      <w:pPr>
        <w:pStyle w:val="BodyTextMain"/>
        <w:jc w:val="center"/>
        <w:rPr>
          <w:lang w:val="en-GB" w:eastAsia="zh-CN"/>
        </w:rPr>
      </w:pPr>
      <w:r w:rsidRPr="004F29EE">
        <w:rPr>
          <w:noProof/>
          <w:lang w:val="en-GB" w:eastAsia="en-GB"/>
        </w:rPr>
        <w:drawing>
          <wp:inline distT="0" distB="0" distL="0" distR="0" wp14:anchorId="52680948" wp14:editId="7C38F847">
            <wp:extent cx="4917440" cy="2832081"/>
            <wp:effectExtent l="19050" t="19050" r="16510" b="26035"/>
            <wp:docPr id="2" name="Picture 2" descr="C:\Users\oademid\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ademid\Desktop\image.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2999" t="6199" r="7001" b="9973"/>
                    <a:stretch/>
                  </pic:blipFill>
                  <pic:spPr bwMode="auto">
                    <a:xfrm>
                      <a:off x="0" y="0"/>
                      <a:ext cx="4926945" cy="2837555"/>
                    </a:xfrm>
                    <a:prstGeom prst="rect">
                      <a:avLst/>
                    </a:prstGeom>
                    <a:noFill/>
                    <a:ln w="12700">
                      <a:solidFill>
                        <a:sysClr val="windowText" lastClr="000000"/>
                      </a:solidFill>
                    </a:ln>
                    <a:extLst>
                      <a:ext uri="{53640926-AAD7-44D8-BBD7-CCE9431645EC}">
                        <a14:shadowObscured xmlns:a14="http://schemas.microsoft.com/office/drawing/2010/main"/>
                      </a:ext>
                    </a:extLst>
                  </pic:spPr>
                </pic:pic>
              </a:graphicData>
            </a:graphic>
          </wp:inline>
        </w:drawing>
      </w:r>
    </w:p>
    <w:p w:rsidR="004F29EE" w:rsidRDefault="004F29EE" w:rsidP="004F29EE">
      <w:pPr>
        <w:tabs>
          <w:tab w:val="left" w:pos="-1440"/>
          <w:tab w:val="left" w:pos="-720"/>
          <w:tab w:val="left" w:pos="1"/>
          <w:tab w:val="right" w:pos="9000"/>
        </w:tabs>
        <w:jc w:val="both"/>
        <w:rPr>
          <w:rFonts w:ascii="Arial" w:hAnsi="Arial" w:cs="Arial"/>
          <w:iCs/>
          <w:sz w:val="17"/>
          <w:szCs w:val="17"/>
          <w:lang w:val="en-GB"/>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rPr>
      </w:pPr>
      <w:r w:rsidRPr="004F29EE">
        <w:rPr>
          <w:rFonts w:ascii="Arial" w:hAnsi="Arial" w:cs="Arial"/>
          <w:iCs/>
          <w:sz w:val="17"/>
          <w:szCs w:val="17"/>
          <w:lang w:val="en-GB"/>
        </w:rPr>
        <w:t xml:space="preserve">Source: “Monthly Energy Review May 2017,” U.S. Energy Information Administration, Table 7.2a, accessed May 27, 2017, www.eia.gov/totalenergy/data/monthly/pdf/sec7_5.pdf, 109. </w:t>
      </w:r>
    </w:p>
    <w:p w:rsidR="004F29EE" w:rsidRPr="004F29EE" w:rsidRDefault="004F29EE" w:rsidP="004F29EE">
      <w:pPr>
        <w:pStyle w:val="BodyTextMain"/>
        <w:rPr>
          <w:lang w:val="en-GB" w:eastAsia="zh-CN"/>
        </w:rPr>
      </w:pPr>
    </w:p>
    <w:p w:rsidR="004F29EE" w:rsidRPr="004F29EE" w:rsidRDefault="004F29EE" w:rsidP="004F29EE">
      <w:pPr>
        <w:pStyle w:val="BodyTextMain"/>
        <w:rPr>
          <w:rFonts w:eastAsiaTheme="minorHAnsi"/>
          <w:lang w:val="en-GB" w:eastAsia="zh-CN"/>
        </w:rPr>
      </w:pPr>
    </w:p>
    <w:p w:rsidR="004F29EE" w:rsidRPr="004F29EE" w:rsidRDefault="004F29EE" w:rsidP="004F29EE">
      <w:pPr>
        <w:pStyle w:val="Casehead1"/>
        <w:jc w:val="center"/>
        <w:rPr>
          <w:lang w:val="en-GB" w:eastAsia="zh-CN"/>
        </w:rPr>
      </w:pPr>
      <w:r w:rsidRPr="004F29EE">
        <w:rPr>
          <w:lang w:val="en-GB" w:eastAsia="zh-CN"/>
        </w:rPr>
        <w:t>Exhibit 2: SolarCity Income Statements, 2014-2016</w:t>
      </w:r>
    </w:p>
    <w:p w:rsidR="004F29EE" w:rsidRPr="00C13CCC" w:rsidRDefault="004F29EE" w:rsidP="004F29EE">
      <w:pPr>
        <w:pStyle w:val="BodyTextMain"/>
        <w:rPr>
          <w:sz w:val="16"/>
          <w:szCs w:val="16"/>
          <w:lang w:val="en-GB" w:eastAsia="zh-CN"/>
        </w:rPr>
      </w:pPr>
    </w:p>
    <w:tbl>
      <w:tblPr>
        <w:tblW w:w="9360" w:type="dxa"/>
        <w:tblLook w:val="04A0" w:firstRow="1" w:lastRow="0" w:firstColumn="1" w:lastColumn="0" w:noHBand="0" w:noVBand="1"/>
      </w:tblPr>
      <w:tblGrid>
        <w:gridCol w:w="4698"/>
        <w:gridCol w:w="1418"/>
        <w:gridCol w:w="1622"/>
        <w:gridCol w:w="1622"/>
      </w:tblGrid>
      <w:tr w:rsidR="004F29EE" w:rsidRPr="004F29EE" w:rsidTr="00C13CCC">
        <w:trPr>
          <w:trHeight w:val="144"/>
        </w:trPr>
        <w:tc>
          <w:tcPr>
            <w:tcW w:w="4698" w:type="dxa"/>
            <w:tcBorders>
              <w:top w:val="single" w:sz="4" w:space="0" w:color="auto"/>
              <w:left w:val="nil"/>
              <w:bottom w:val="single" w:sz="4" w:space="0" w:color="auto"/>
              <w:right w:val="nil"/>
            </w:tcBorders>
            <w:shd w:val="clear" w:color="FFFFFF" w:fill="FFFFFF"/>
            <w:noWrap/>
            <w:vAlign w:val="center"/>
            <w:hideMark/>
          </w:tcPr>
          <w:p w:rsidR="004F29EE" w:rsidRPr="004F29EE" w:rsidRDefault="004F29EE" w:rsidP="00FC50F2">
            <w:pPr>
              <w:jc w:val="center"/>
              <w:rPr>
                <w:rFonts w:ascii="Arial" w:hAnsi="Arial" w:cs="Arial"/>
                <w:b/>
                <w:bCs/>
              </w:rPr>
            </w:pPr>
            <w:r w:rsidRPr="004F29EE">
              <w:rPr>
                <w:rFonts w:ascii="Arial" w:hAnsi="Arial" w:cs="Arial"/>
                <w:b/>
                <w:bCs/>
              </w:rPr>
              <w:t xml:space="preserve">In </w:t>
            </w:r>
            <w:r w:rsidR="00FC50F2">
              <w:rPr>
                <w:rFonts w:ascii="Arial" w:hAnsi="Arial" w:cs="Arial"/>
                <w:b/>
                <w:bCs/>
              </w:rPr>
              <w:t>m</w:t>
            </w:r>
            <w:r w:rsidRPr="004F29EE">
              <w:rPr>
                <w:rFonts w:ascii="Arial" w:hAnsi="Arial" w:cs="Arial"/>
                <w:b/>
                <w:bCs/>
              </w:rPr>
              <w:t>illions of US</w:t>
            </w:r>
            <w:r w:rsidR="00FC50F2">
              <w:rPr>
                <w:rFonts w:ascii="Arial" w:hAnsi="Arial" w:cs="Arial"/>
                <w:b/>
                <w:bCs/>
              </w:rPr>
              <w:t>$</w:t>
            </w:r>
            <w:r w:rsidRPr="004F29EE">
              <w:rPr>
                <w:rFonts w:ascii="Arial" w:hAnsi="Arial" w:cs="Arial"/>
                <w:b/>
                <w:bCs/>
              </w:rPr>
              <w:t xml:space="preserve"> (except for per share items)</w:t>
            </w:r>
          </w:p>
        </w:tc>
        <w:tc>
          <w:tcPr>
            <w:tcW w:w="1418" w:type="dxa"/>
            <w:tcBorders>
              <w:top w:val="single" w:sz="4" w:space="0" w:color="auto"/>
              <w:left w:val="nil"/>
              <w:bottom w:val="single" w:sz="4" w:space="0" w:color="auto"/>
              <w:right w:val="nil"/>
            </w:tcBorders>
            <w:shd w:val="clear" w:color="auto" w:fill="auto"/>
            <w:noWrap/>
            <w:vAlign w:val="center"/>
            <w:hideMark/>
          </w:tcPr>
          <w:p w:rsidR="004F29EE" w:rsidRPr="004F29EE" w:rsidRDefault="004F29EE" w:rsidP="00FC50F2">
            <w:pPr>
              <w:jc w:val="center"/>
              <w:rPr>
                <w:rFonts w:ascii="Arial" w:hAnsi="Arial" w:cs="Arial"/>
                <w:b/>
                <w:bCs/>
                <w:color w:val="000000"/>
              </w:rPr>
            </w:pPr>
            <w:r w:rsidRPr="004F29EE">
              <w:rPr>
                <w:rFonts w:ascii="Arial" w:hAnsi="Arial" w:cs="Arial"/>
                <w:b/>
                <w:bCs/>
                <w:color w:val="000000"/>
              </w:rPr>
              <w:t>2014</w:t>
            </w:r>
          </w:p>
        </w:tc>
        <w:tc>
          <w:tcPr>
            <w:tcW w:w="1622" w:type="dxa"/>
            <w:tcBorders>
              <w:top w:val="single" w:sz="4" w:space="0" w:color="auto"/>
              <w:left w:val="nil"/>
              <w:bottom w:val="single" w:sz="4" w:space="0" w:color="auto"/>
              <w:right w:val="nil"/>
            </w:tcBorders>
            <w:shd w:val="clear" w:color="auto" w:fill="auto"/>
            <w:noWrap/>
            <w:vAlign w:val="center"/>
            <w:hideMark/>
          </w:tcPr>
          <w:p w:rsidR="004F29EE" w:rsidRPr="004F29EE" w:rsidRDefault="004F29EE" w:rsidP="00FC50F2">
            <w:pPr>
              <w:jc w:val="center"/>
              <w:rPr>
                <w:rFonts w:ascii="Arial" w:hAnsi="Arial" w:cs="Arial"/>
                <w:b/>
                <w:bCs/>
                <w:color w:val="000000"/>
              </w:rPr>
            </w:pPr>
            <w:r w:rsidRPr="004F29EE">
              <w:rPr>
                <w:rFonts w:ascii="Arial" w:hAnsi="Arial" w:cs="Arial"/>
                <w:b/>
                <w:bCs/>
                <w:color w:val="000000"/>
              </w:rPr>
              <w:t>2015</w:t>
            </w:r>
          </w:p>
        </w:tc>
        <w:tc>
          <w:tcPr>
            <w:tcW w:w="1622" w:type="dxa"/>
            <w:tcBorders>
              <w:top w:val="single" w:sz="4" w:space="0" w:color="auto"/>
              <w:left w:val="nil"/>
              <w:bottom w:val="single" w:sz="4" w:space="0" w:color="auto"/>
              <w:right w:val="nil"/>
            </w:tcBorders>
            <w:shd w:val="clear" w:color="auto" w:fill="auto"/>
            <w:noWrap/>
            <w:vAlign w:val="center"/>
            <w:hideMark/>
          </w:tcPr>
          <w:p w:rsidR="004F29EE" w:rsidRPr="004F29EE" w:rsidRDefault="004F29EE" w:rsidP="00FC50F2">
            <w:pPr>
              <w:jc w:val="center"/>
              <w:rPr>
                <w:rFonts w:ascii="Arial" w:hAnsi="Arial" w:cs="Arial"/>
                <w:b/>
                <w:bCs/>
                <w:color w:val="000000"/>
              </w:rPr>
            </w:pPr>
            <w:r w:rsidRPr="004F29EE">
              <w:rPr>
                <w:rFonts w:ascii="Arial" w:hAnsi="Arial" w:cs="Arial"/>
                <w:b/>
                <w:bCs/>
                <w:color w:val="000000"/>
              </w:rPr>
              <w:t>2016</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Revenue:</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p>
        </w:tc>
        <w:tc>
          <w:tcPr>
            <w:tcW w:w="1622" w:type="dxa"/>
            <w:tcBorders>
              <w:top w:val="nil"/>
              <w:left w:val="nil"/>
              <w:bottom w:val="nil"/>
              <w:right w:val="nil"/>
            </w:tcBorders>
            <w:shd w:val="clear" w:color="auto" w:fill="auto"/>
            <w:noWrap/>
            <w:vAlign w:val="bottom"/>
            <w:hideMark/>
          </w:tcPr>
          <w:p w:rsidR="004F29EE" w:rsidRPr="004F29EE" w:rsidRDefault="004F29EE" w:rsidP="004F29EE"/>
        </w:tc>
        <w:tc>
          <w:tcPr>
            <w:tcW w:w="1622" w:type="dxa"/>
            <w:tcBorders>
              <w:top w:val="nil"/>
              <w:left w:val="nil"/>
              <w:bottom w:val="nil"/>
              <w:right w:val="nil"/>
            </w:tcBorders>
            <w:shd w:val="clear" w:color="auto" w:fill="auto"/>
            <w:noWrap/>
            <w:vAlign w:val="bottom"/>
            <w:hideMark/>
          </w:tcPr>
          <w:p w:rsidR="004F29EE" w:rsidRPr="004F29EE" w:rsidRDefault="004F29EE" w:rsidP="004F29EE"/>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Operating leases and solar energy systems incentives</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174</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294</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422</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Solar energy systems and components sales</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81</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106</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308</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Total revenue</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255</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400</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730</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Cost of revenue:</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pP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pP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Solar energy systems sales and operating leases</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79</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114</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170</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Depreciation and amortization</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98</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167</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309</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Total cost of revenue</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176</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281</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479</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Gross profit</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79</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119</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251</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Operating expenses:</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pP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pP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Sales and marketing</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239</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457</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443</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General and administrative</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156</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245</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229</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Restructuring, Pre-production and other</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175</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Research and development</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19</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65</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55</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Total operating expenses</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414</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767</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902</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Loss from operations</w:t>
            </w:r>
          </w:p>
        </w:tc>
        <w:tc>
          <w:tcPr>
            <w:tcW w:w="141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336</w:t>
            </w:r>
          </w:p>
        </w:tc>
        <w:tc>
          <w:tcPr>
            <w:tcW w:w="1622"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648</w:t>
            </w:r>
          </w:p>
        </w:tc>
        <w:tc>
          <w:tcPr>
            <w:tcW w:w="1622"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650</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Interest expenses</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66</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118</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170</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Loss before income taxes</w:t>
            </w:r>
          </w:p>
        </w:tc>
        <w:tc>
          <w:tcPr>
            <w:tcW w:w="141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402</w:t>
            </w:r>
          </w:p>
        </w:tc>
        <w:tc>
          <w:tcPr>
            <w:tcW w:w="1622"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765</w:t>
            </w:r>
          </w:p>
        </w:tc>
        <w:tc>
          <w:tcPr>
            <w:tcW w:w="1622"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821</w:t>
            </w:r>
          </w:p>
        </w:tc>
      </w:tr>
      <w:tr w:rsidR="004F29EE" w:rsidRPr="004F29EE" w:rsidTr="00C13CCC">
        <w:trPr>
          <w:trHeight w:val="144"/>
        </w:trPr>
        <w:tc>
          <w:tcPr>
            <w:tcW w:w="469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Income tax benefit (provision)</w:t>
            </w:r>
          </w:p>
        </w:tc>
        <w:tc>
          <w:tcPr>
            <w:tcW w:w="141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27</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w:t>
            </w:r>
          </w:p>
        </w:tc>
        <w:tc>
          <w:tcPr>
            <w:tcW w:w="1622"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r>
      <w:tr w:rsidR="004F29EE" w:rsidRPr="004F29EE" w:rsidTr="00C13CCC">
        <w:trPr>
          <w:trHeight w:val="144"/>
        </w:trPr>
        <w:tc>
          <w:tcPr>
            <w:tcW w:w="4698" w:type="dxa"/>
            <w:tcBorders>
              <w:top w:val="nil"/>
              <w:left w:val="nil"/>
              <w:bottom w:val="single" w:sz="4" w:space="0" w:color="auto"/>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Net loss</w:t>
            </w:r>
          </w:p>
        </w:tc>
        <w:tc>
          <w:tcPr>
            <w:tcW w:w="1418"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375</w:t>
            </w:r>
          </w:p>
        </w:tc>
        <w:tc>
          <w:tcPr>
            <w:tcW w:w="1622"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769</w:t>
            </w:r>
          </w:p>
        </w:tc>
        <w:tc>
          <w:tcPr>
            <w:tcW w:w="1622"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820</w:t>
            </w:r>
          </w:p>
        </w:tc>
      </w:tr>
    </w:tbl>
    <w:p w:rsid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pStyle w:val="FootnoteText1"/>
      </w:pPr>
      <w:r w:rsidRPr="004F29EE">
        <w:t>Note: EPS = earnings per share</w:t>
      </w:r>
    </w:p>
    <w:p w:rsidR="004F29EE" w:rsidRPr="004F29EE" w:rsidRDefault="004F29EE" w:rsidP="004F29EE">
      <w:pPr>
        <w:pStyle w:val="FootnoteText1"/>
      </w:pPr>
      <w:r w:rsidRPr="004F29EE">
        <w:t>Source: SolarCity SEC 10K Filings, Tesla Motors Inc., accessed June 14 2017, http://ir.tesla.com/secfiling.cfm?filingID=1564590-17-3084&amp;CIK=1408356</w:t>
      </w:r>
      <w:r w:rsidR="00FC50F2">
        <w:t>.</w:t>
      </w:r>
    </w:p>
    <w:p w:rsidR="004F29EE" w:rsidRPr="004F29EE" w:rsidRDefault="004F29EE" w:rsidP="004F29EE">
      <w:pPr>
        <w:spacing w:after="200" w:line="276" w:lineRule="auto"/>
        <w:rPr>
          <w:rFonts w:ascii="Arial" w:eastAsiaTheme="minorHAnsi" w:hAnsi="Arial" w:cs="Arial"/>
          <w:b/>
          <w:caps/>
          <w:lang w:val="en-GB" w:eastAsia="zh-CN"/>
        </w:rPr>
      </w:pPr>
      <w:r w:rsidRPr="004F29EE">
        <w:rPr>
          <w:rFonts w:eastAsiaTheme="minorHAnsi"/>
          <w:sz w:val="24"/>
          <w:szCs w:val="24"/>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3: SolarCity Balance Sheets, 2014-2016</w:t>
      </w:r>
    </w:p>
    <w:p w:rsidR="004F29EE" w:rsidRPr="004F29EE" w:rsidRDefault="004F29EE" w:rsidP="004F29EE">
      <w:pPr>
        <w:pStyle w:val="BodyTextMain"/>
        <w:rPr>
          <w:lang w:val="en-GB" w:eastAsia="zh-CN"/>
        </w:rPr>
      </w:pPr>
    </w:p>
    <w:tbl>
      <w:tblPr>
        <w:tblW w:w="9576" w:type="dxa"/>
        <w:tblLook w:val="04A0" w:firstRow="1" w:lastRow="0" w:firstColumn="1" w:lastColumn="0" w:noHBand="0" w:noVBand="1"/>
      </w:tblPr>
      <w:tblGrid>
        <w:gridCol w:w="4697"/>
        <w:gridCol w:w="1607"/>
        <w:gridCol w:w="1554"/>
        <w:gridCol w:w="1718"/>
      </w:tblGrid>
      <w:tr w:rsidR="007E3E49" w:rsidRPr="004F29EE" w:rsidTr="00CD5127">
        <w:trPr>
          <w:trHeight w:val="315"/>
        </w:trPr>
        <w:tc>
          <w:tcPr>
            <w:tcW w:w="4697" w:type="dxa"/>
            <w:tcBorders>
              <w:top w:val="single" w:sz="4" w:space="0" w:color="auto"/>
              <w:left w:val="nil"/>
              <w:bottom w:val="single" w:sz="4" w:space="0" w:color="auto"/>
              <w:right w:val="nil"/>
            </w:tcBorders>
            <w:shd w:val="clear" w:color="FFFFFF" w:fill="FFFFFF"/>
            <w:noWrap/>
            <w:vAlign w:val="center"/>
            <w:hideMark/>
          </w:tcPr>
          <w:p w:rsidR="007E3E49" w:rsidRPr="004F29EE" w:rsidRDefault="007E3E49" w:rsidP="00CD5127">
            <w:pPr>
              <w:jc w:val="center"/>
              <w:rPr>
                <w:rFonts w:ascii="Arial" w:hAnsi="Arial" w:cs="Arial"/>
                <w:b/>
                <w:bCs/>
              </w:rPr>
            </w:pPr>
            <w:r w:rsidRPr="004F29EE">
              <w:rPr>
                <w:rFonts w:ascii="Arial" w:hAnsi="Arial" w:cs="Arial"/>
                <w:b/>
                <w:bCs/>
              </w:rPr>
              <w:t xml:space="preserve">In </w:t>
            </w:r>
            <w:r>
              <w:rPr>
                <w:rFonts w:ascii="Arial" w:hAnsi="Arial" w:cs="Arial"/>
                <w:b/>
                <w:bCs/>
              </w:rPr>
              <w:t>m</w:t>
            </w:r>
            <w:r w:rsidRPr="004F29EE">
              <w:rPr>
                <w:rFonts w:ascii="Arial" w:hAnsi="Arial" w:cs="Arial"/>
                <w:b/>
                <w:bCs/>
              </w:rPr>
              <w:t>illions of US</w:t>
            </w:r>
            <w:r>
              <w:rPr>
                <w:rFonts w:ascii="Arial" w:hAnsi="Arial" w:cs="Arial"/>
                <w:b/>
                <w:bCs/>
              </w:rPr>
              <w:t>$</w:t>
            </w:r>
            <w:r w:rsidRPr="004F29EE">
              <w:rPr>
                <w:rFonts w:ascii="Arial" w:hAnsi="Arial" w:cs="Arial"/>
                <w:b/>
                <w:bCs/>
              </w:rPr>
              <w:t xml:space="preserve"> (except for per share items)</w:t>
            </w:r>
          </w:p>
        </w:tc>
        <w:tc>
          <w:tcPr>
            <w:tcW w:w="1607" w:type="dxa"/>
            <w:tcBorders>
              <w:top w:val="single" w:sz="4" w:space="0" w:color="auto"/>
              <w:left w:val="nil"/>
              <w:bottom w:val="single" w:sz="4" w:space="0" w:color="auto"/>
              <w:right w:val="nil"/>
            </w:tcBorders>
            <w:shd w:val="clear" w:color="auto" w:fill="auto"/>
            <w:noWrap/>
            <w:vAlign w:val="center"/>
            <w:hideMark/>
          </w:tcPr>
          <w:p w:rsidR="007E3E49" w:rsidRPr="004F29EE" w:rsidRDefault="007E3E49" w:rsidP="00CD5127">
            <w:pPr>
              <w:jc w:val="center"/>
              <w:rPr>
                <w:rFonts w:ascii="Arial" w:hAnsi="Arial" w:cs="Arial"/>
                <w:b/>
                <w:bCs/>
                <w:color w:val="000000"/>
              </w:rPr>
            </w:pPr>
            <w:r w:rsidRPr="004F29EE">
              <w:rPr>
                <w:rFonts w:ascii="Arial" w:hAnsi="Arial" w:cs="Arial"/>
                <w:b/>
                <w:bCs/>
                <w:color w:val="000000"/>
              </w:rPr>
              <w:t>2014</w:t>
            </w:r>
          </w:p>
        </w:tc>
        <w:tc>
          <w:tcPr>
            <w:tcW w:w="1554" w:type="dxa"/>
            <w:tcBorders>
              <w:top w:val="single" w:sz="4" w:space="0" w:color="auto"/>
              <w:left w:val="nil"/>
              <w:bottom w:val="single" w:sz="4" w:space="0" w:color="auto"/>
              <w:right w:val="nil"/>
            </w:tcBorders>
            <w:shd w:val="clear" w:color="auto" w:fill="auto"/>
            <w:noWrap/>
            <w:vAlign w:val="center"/>
            <w:hideMark/>
          </w:tcPr>
          <w:p w:rsidR="007E3E49" w:rsidRPr="004F29EE" w:rsidRDefault="007E3E49" w:rsidP="00CD5127">
            <w:pPr>
              <w:jc w:val="center"/>
              <w:rPr>
                <w:rFonts w:ascii="Arial" w:hAnsi="Arial" w:cs="Arial"/>
                <w:b/>
                <w:bCs/>
                <w:color w:val="000000"/>
              </w:rPr>
            </w:pPr>
            <w:r w:rsidRPr="004F29EE">
              <w:rPr>
                <w:rFonts w:ascii="Arial" w:hAnsi="Arial" w:cs="Arial"/>
                <w:b/>
                <w:bCs/>
                <w:color w:val="000000"/>
              </w:rPr>
              <w:t>2015</w:t>
            </w:r>
          </w:p>
        </w:tc>
        <w:tc>
          <w:tcPr>
            <w:tcW w:w="1718" w:type="dxa"/>
            <w:tcBorders>
              <w:top w:val="single" w:sz="4" w:space="0" w:color="auto"/>
              <w:left w:val="nil"/>
              <w:bottom w:val="single" w:sz="4" w:space="0" w:color="auto"/>
              <w:right w:val="nil"/>
            </w:tcBorders>
            <w:shd w:val="clear" w:color="auto" w:fill="auto"/>
            <w:noWrap/>
            <w:vAlign w:val="center"/>
            <w:hideMark/>
          </w:tcPr>
          <w:p w:rsidR="007E3E49" w:rsidRPr="004F29EE" w:rsidRDefault="007E3E49" w:rsidP="00CD5127">
            <w:pPr>
              <w:jc w:val="center"/>
              <w:rPr>
                <w:rFonts w:ascii="Arial" w:hAnsi="Arial" w:cs="Arial"/>
                <w:b/>
                <w:bCs/>
                <w:color w:val="000000"/>
              </w:rPr>
            </w:pPr>
            <w:r w:rsidRPr="004F29EE">
              <w:rPr>
                <w:rFonts w:ascii="Arial" w:hAnsi="Arial" w:cs="Arial"/>
                <w:b/>
                <w:bCs/>
                <w:color w:val="000000"/>
              </w:rPr>
              <w:t>2016</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b/>
                <w:bCs/>
                <w:color w:val="000000"/>
              </w:rPr>
            </w:pPr>
            <w:r w:rsidRPr="004F29EE">
              <w:rPr>
                <w:rFonts w:ascii="Arial" w:hAnsi="Arial" w:cs="Arial"/>
                <w:b/>
                <w:bCs/>
                <w:color w:val="000000"/>
              </w:rPr>
              <w:t>Assets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b/>
                <w:bCs/>
                <w:color w:val="000000"/>
              </w:rPr>
            </w:pPr>
          </w:p>
        </w:tc>
        <w:tc>
          <w:tcPr>
            <w:tcW w:w="1554" w:type="dxa"/>
            <w:tcBorders>
              <w:top w:val="nil"/>
              <w:left w:val="nil"/>
              <w:bottom w:val="nil"/>
              <w:right w:val="nil"/>
            </w:tcBorders>
            <w:shd w:val="clear" w:color="auto" w:fill="auto"/>
            <w:noWrap/>
            <w:vAlign w:val="bottom"/>
            <w:hideMark/>
          </w:tcPr>
          <w:p w:rsidR="007E3E49" w:rsidRPr="004F29EE" w:rsidRDefault="007E3E49" w:rsidP="00CD5127"/>
        </w:tc>
        <w:tc>
          <w:tcPr>
            <w:tcW w:w="1718" w:type="dxa"/>
            <w:tcBorders>
              <w:top w:val="nil"/>
              <w:left w:val="nil"/>
              <w:bottom w:val="nil"/>
              <w:right w:val="nil"/>
            </w:tcBorders>
            <w:shd w:val="clear" w:color="auto" w:fill="auto"/>
            <w:noWrap/>
            <w:vAlign w:val="bottom"/>
            <w:hideMark/>
          </w:tcPr>
          <w:p w:rsidR="007E3E49" w:rsidRPr="004F29EE" w:rsidRDefault="007E3E49" w:rsidP="00CD5127"/>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Current assets: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p>
        </w:tc>
        <w:tc>
          <w:tcPr>
            <w:tcW w:w="1554" w:type="dxa"/>
            <w:tcBorders>
              <w:top w:val="nil"/>
              <w:left w:val="nil"/>
              <w:bottom w:val="nil"/>
              <w:right w:val="nil"/>
            </w:tcBorders>
            <w:shd w:val="clear" w:color="auto" w:fill="auto"/>
            <w:noWrap/>
            <w:vAlign w:val="bottom"/>
            <w:hideMark/>
          </w:tcPr>
          <w:p w:rsidR="007E3E49" w:rsidRPr="004F29EE" w:rsidRDefault="007E3E49" w:rsidP="00CD5127"/>
        </w:tc>
        <w:tc>
          <w:tcPr>
            <w:tcW w:w="1718" w:type="dxa"/>
            <w:tcBorders>
              <w:top w:val="nil"/>
              <w:left w:val="nil"/>
              <w:bottom w:val="nil"/>
              <w:right w:val="nil"/>
            </w:tcBorders>
            <w:shd w:val="clear" w:color="auto" w:fill="auto"/>
            <w:noWrap/>
            <w:vAlign w:val="bottom"/>
            <w:hideMark/>
          </w:tcPr>
          <w:p w:rsidR="007E3E49" w:rsidRPr="004F29EE" w:rsidRDefault="007E3E49" w:rsidP="00CD5127"/>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Cash and cash equivalents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504.38</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382.54</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290.71</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Short-term investments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138.31</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11.31</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0.00</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Restricted cash</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20.88</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39.86</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74.72</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 xml:space="preserve">Accounts and Rebates receivable -net </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52.73</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45.55</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77.29</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Inventories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217.22</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342.95</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172.71</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Prepaid expenses and other current assets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64.10</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79.93</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77.50</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Total current assets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997.62</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902.14</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692.93</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Long Term Assets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3,553.61</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6,384.98</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8,437.84</w:t>
            </w:r>
          </w:p>
        </w:tc>
      </w:tr>
      <w:tr w:rsidR="007E3E49" w:rsidRPr="004F29EE" w:rsidTr="00CD5127">
        <w:trPr>
          <w:trHeight w:val="315"/>
        </w:trPr>
        <w:tc>
          <w:tcPr>
            <w:tcW w:w="4697" w:type="dxa"/>
            <w:tcBorders>
              <w:top w:val="nil"/>
              <w:left w:val="nil"/>
              <w:bottom w:val="single" w:sz="4" w:space="0" w:color="auto"/>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Total assets</w:t>
            </w:r>
          </w:p>
        </w:tc>
        <w:tc>
          <w:tcPr>
            <w:tcW w:w="1607"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4,551.22</w:t>
            </w:r>
          </w:p>
        </w:tc>
        <w:tc>
          <w:tcPr>
            <w:tcW w:w="1554"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7,287.12</w:t>
            </w:r>
          </w:p>
        </w:tc>
        <w:tc>
          <w:tcPr>
            <w:tcW w:w="1718"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9,130.76</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b/>
                <w:bCs/>
                <w:color w:val="000000"/>
              </w:rPr>
            </w:pPr>
            <w:r w:rsidRPr="004F29EE">
              <w:rPr>
                <w:rFonts w:ascii="Arial" w:hAnsi="Arial" w:cs="Arial"/>
                <w:b/>
                <w:bCs/>
                <w:color w:val="000000"/>
              </w:rPr>
              <w:t>Liabilities and equity</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b/>
                <w:bCs/>
                <w:color w:val="000000"/>
              </w:rPr>
            </w:pPr>
          </w:p>
        </w:tc>
        <w:tc>
          <w:tcPr>
            <w:tcW w:w="1554" w:type="dxa"/>
            <w:tcBorders>
              <w:top w:val="nil"/>
              <w:left w:val="nil"/>
              <w:bottom w:val="nil"/>
              <w:right w:val="nil"/>
            </w:tcBorders>
            <w:shd w:val="clear" w:color="auto" w:fill="auto"/>
            <w:noWrap/>
            <w:vAlign w:val="bottom"/>
            <w:hideMark/>
          </w:tcPr>
          <w:p w:rsidR="007E3E49" w:rsidRPr="004F29EE" w:rsidRDefault="007E3E49" w:rsidP="00CD5127"/>
        </w:tc>
        <w:tc>
          <w:tcPr>
            <w:tcW w:w="1718" w:type="dxa"/>
            <w:tcBorders>
              <w:top w:val="nil"/>
              <w:left w:val="nil"/>
              <w:bottom w:val="nil"/>
              <w:right w:val="nil"/>
            </w:tcBorders>
            <w:shd w:val="clear" w:color="auto" w:fill="auto"/>
            <w:noWrap/>
            <w:vAlign w:val="bottom"/>
            <w:hideMark/>
          </w:tcPr>
          <w:p w:rsidR="007E3E49" w:rsidRPr="004F29EE" w:rsidRDefault="007E3E49" w:rsidP="00CD5127"/>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Current liabilities: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p>
        </w:tc>
        <w:tc>
          <w:tcPr>
            <w:tcW w:w="1554" w:type="dxa"/>
            <w:tcBorders>
              <w:top w:val="nil"/>
              <w:left w:val="nil"/>
              <w:bottom w:val="nil"/>
              <w:right w:val="nil"/>
            </w:tcBorders>
            <w:shd w:val="clear" w:color="auto" w:fill="auto"/>
            <w:noWrap/>
            <w:vAlign w:val="bottom"/>
            <w:hideMark/>
          </w:tcPr>
          <w:p w:rsidR="007E3E49" w:rsidRPr="004F29EE" w:rsidRDefault="007E3E49" w:rsidP="00CD5127"/>
        </w:tc>
        <w:tc>
          <w:tcPr>
            <w:tcW w:w="1718" w:type="dxa"/>
            <w:tcBorders>
              <w:top w:val="nil"/>
              <w:left w:val="nil"/>
              <w:bottom w:val="nil"/>
              <w:right w:val="nil"/>
            </w:tcBorders>
            <w:shd w:val="clear" w:color="auto" w:fill="auto"/>
            <w:noWrap/>
            <w:vAlign w:val="bottom"/>
            <w:hideMark/>
          </w:tcPr>
          <w:p w:rsidR="007E3E49" w:rsidRPr="004F29EE" w:rsidRDefault="007E3E49" w:rsidP="00CD5127"/>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Accounts payable</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237.81</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364.97</w:t>
            </w:r>
          </w:p>
        </w:tc>
        <w:tc>
          <w:tcPr>
            <w:tcW w:w="1718" w:type="dxa"/>
            <w:tcBorders>
              <w:top w:val="nil"/>
              <w:left w:val="nil"/>
              <w:bottom w:val="nil"/>
              <w:right w:val="nil"/>
            </w:tcBorders>
            <w:shd w:val="clear" w:color="auto" w:fill="auto"/>
            <w:noWrap/>
            <w:vAlign w:val="bottom"/>
            <w:hideMark/>
          </w:tcPr>
          <w:p w:rsidR="007E3E49" w:rsidRPr="004F29EE" w:rsidRDefault="00CB1B88" w:rsidP="00CD5127">
            <w:pPr>
              <w:jc w:val="right"/>
              <w:rPr>
                <w:rFonts w:ascii="Arial" w:hAnsi="Arial" w:cs="Arial"/>
                <w:color w:val="000000"/>
              </w:rPr>
            </w:pPr>
            <w:r>
              <w:rPr>
                <w:rFonts w:ascii="Arial" w:hAnsi="Arial" w:cs="Arial"/>
                <w:color w:val="000000"/>
              </w:rPr>
              <w:t>619.55</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Current portion of financing obligation</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328.70</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828.39</w:t>
            </w:r>
          </w:p>
        </w:tc>
        <w:tc>
          <w:tcPr>
            <w:tcW w:w="1718" w:type="dxa"/>
            <w:tcBorders>
              <w:top w:val="nil"/>
              <w:left w:val="nil"/>
              <w:bottom w:val="nil"/>
              <w:right w:val="nil"/>
            </w:tcBorders>
            <w:shd w:val="clear" w:color="auto" w:fill="auto"/>
            <w:noWrap/>
            <w:vAlign w:val="bottom"/>
            <w:hideMark/>
          </w:tcPr>
          <w:p w:rsidR="007E3E49" w:rsidRPr="004F29EE" w:rsidRDefault="00CB1B88" w:rsidP="00CD5127">
            <w:pPr>
              <w:jc w:val="right"/>
              <w:rPr>
                <w:rFonts w:ascii="Arial" w:hAnsi="Arial" w:cs="Arial"/>
                <w:color w:val="000000"/>
              </w:rPr>
            </w:pPr>
            <w:r>
              <w:rPr>
                <w:rFonts w:ascii="Arial" w:hAnsi="Arial" w:cs="Arial"/>
                <w:color w:val="000000"/>
              </w:rPr>
              <w:t>899.76</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Total current liabilities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566.51</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1,193.36</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1,519.31</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Deferred revenue</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557.41</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1,010.49</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1,086.42</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Long-term debt and Solar bonds, net of current portion</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1,442.97</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2,402.93</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2,759.18</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Deferred U.S. Treasury grant income</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397.49</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382.28</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343.26</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Other liabilities and deferred credits</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244.47</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563.51</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w:t>
            </w:r>
            <w:r>
              <w:rPr>
                <w:rFonts w:ascii="Arial" w:hAnsi="Arial" w:cs="Arial"/>
                <w:color w:val="000000"/>
              </w:rPr>
              <w:t>,</w:t>
            </w:r>
            <w:r w:rsidRPr="004F29EE">
              <w:rPr>
                <w:rFonts w:ascii="Arial" w:hAnsi="Arial" w:cs="Arial"/>
                <w:color w:val="000000"/>
              </w:rPr>
              <w:t>147.54</w:t>
            </w:r>
          </w:p>
        </w:tc>
      </w:tr>
      <w:tr w:rsidR="007E3E49" w:rsidRPr="004F29EE" w:rsidTr="00CD5127">
        <w:trPr>
          <w:trHeight w:val="315"/>
        </w:trPr>
        <w:tc>
          <w:tcPr>
            <w:tcW w:w="4697" w:type="dxa"/>
            <w:tcBorders>
              <w:top w:val="nil"/>
              <w:left w:val="nil"/>
              <w:bottom w:val="single" w:sz="4" w:space="0" w:color="auto"/>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Total liabilities</w:t>
            </w:r>
          </w:p>
        </w:tc>
        <w:tc>
          <w:tcPr>
            <w:tcW w:w="1607"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3,208.85</w:t>
            </w:r>
          </w:p>
        </w:tc>
        <w:tc>
          <w:tcPr>
            <w:tcW w:w="1554"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5,552.56</w:t>
            </w:r>
          </w:p>
        </w:tc>
        <w:tc>
          <w:tcPr>
            <w:tcW w:w="1718"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6,855.70</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Common stock:</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0.01</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0.01</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0.01</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Additional paid-in capital</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w:t>
            </w:r>
            <w:r>
              <w:rPr>
                <w:rFonts w:ascii="Arial" w:hAnsi="Arial" w:cs="Arial"/>
                <w:color w:val="000000"/>
              </w:rPr>
              <w:t>600.72</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2,051.23</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2,352.97</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Accumulated deficit</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w:t>
            </w:r>
            <w:r w:rsidRPr="004F29EE">
              <w:rPr>
                <w:rFonts w:ascii="Arial" w:hAnsi="Arial" w:cs="Arial"/>
                <w:color w:val="000000"/>
              </w:rPr>
              <w:t>258.36</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w:t>
            </w:r>
            <w:r w:rsidRPr="004F29EE">
              <w:rPr>
                <w:rFonts w:ascii="Arial" w:hAnsi="Arial" w:cs="Arial"/>
                <w:color w:val="000000"/>
              </w:rPr>
              <w:t>316.69</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w:t>
            </w:r>
            <w:r w:rsidRPr="004F29EE">
              <w:rPr>
                <w:rFonts w:ascii="Arial" w:hAnsi="Arial" w:cs="Arial"/>
                <w:color w:val="000000"/>
              </w:rPr>
              <w:t>77.92</w:t>
            </w:r>
          </w:p>
        </w:tc>
      </w:tr>
      <w:tr w:rsidR="007E3E49" w:rsidRPr="004F29EE" w:rsidTr="00CD5127">
        <w:trPr>
          <w:trHeight w:val="315"/>
        </w:trPr>
        <w:tc>
          <w:tcPr>
            <w:tcW w:w="4697" w:type="dxa"/>
            <w:tcBorders>
              <w:top w:val="nil"/>
              <w:left w:val="nil"/>
              <w:bottom w:val="nil"/>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Total equity</w:t>
            </w:r>
          </w:p>
        </w:tc>
        <w:tc>
          <w:tcPr>
            <w:tcW w:w="1607"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w:t>
            </w:r>
            <w:r>
              <w:rPr>
                <w:rFonts w:ascii="Arial" w:hAnsi="Arial" w:cs="Arial"/>
                <w:color w:val="000000"/>
              </w:rPr>
              <w:t>342.37</w:t>
            </w:r>
          </w:p>
        </w:tc>
        <w:tc>
          <w:tcPr>
            <w:tcW w:w="1554"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1,</w:t>
            </w:r>
            <w:r>
              <w:rPr>
                <w:rFonts w:ascii="Arial" w:hAnsi="Arial" w:cs="Arial"/>
                <w:color w:val="000000"/>
              </w:rPr>
              <w:t>734.55</w:t>
            </w:r>
          </w:p>
        </w:tc>
        <w:tc>
          <w:tcPr>
            <w:tcW w:w="1718" w:type="dxa"/>
            <w:tcBorders>
              <w:top w:val="nil"/>
              <w:left w:val="nil"/>
              <w:bottom w:val="nil"/>
              <w:right w:val="nil"/>
            </w:tcBorders>
            <w:shd w:val="clear" w:color="auto" w:fill="auto"/>
            <w:noWrap/>
            <w:vAlign w:val="bottom"/>
            <w:hideMark/>
          </w:tcPr>
          <w:p w:rsidR="007E3E49" w:rsidRPr="004F29EE" w:rsidRDefault="007E3E49" w:rsidP="00CD5127">
            <w:pPr>
              <w:jc w:val="right"/>
              <w:rPr>
                <w:rFonts w:ascii="Arial" w:hAnsi="Arial" w:cs="Arial"/>
                <w:color w:val="000000"/>
              </w:rPr>
            </w:pPr>
            <w:r>
              <w:rPr>
                <w:rFonts w:ascii="Arial" w:hAnsi="Arial" w:cs="Arial"/>
                <w:color w:val="000000"/>
              </w:rPr>
              <w:t>2,275.06</w:t>
            </w:r>
          </w:p>
        </w:tc>
      </w:tr>
      <w:tr w:rsidR="007E3E49" w:rsidRPr="004F29EE" w:rsidTr="00CD5127">
        <w:trPr>
          <w:trHeight w:val="315"/>
        </w:trPr>
        <w:tc>
          <w:tcPr>
            <w:tcW w:w="4697" w:type="dxa"/>
            <w:tcBorders>
              <w:top w:val="nil"/>
              <w:left w:val="nil"/>
              <w:bottom w:val="single" w:sz="4" w:space="0" w:color="auto"/>
              <w:right w:val="nil"/>
            </w:tcBorders>
            <w:shd w:val="clear" w:color="auto" w:fill="auto"/>
            <w:noWrap/>
            <w:vAlign w:val="bottom"/>
            <w:hideMark/>
          </w:tcPr>
          <w:p w:rsidR="007E3E49" w:rsidRPr="004F29EE" w:rsidRDefault="007E3E49" w:rsidP="00CD5127">
            <w:pPr>
              <w:rPr>
                <w:rFonts w:ascii="Arial" w:hAnsi="Arial" w:cs="Arial"/>
                <w:color w:val="000000"/>
              </w:rPr>
            </w:pPr>
            <w:r w:rsidRPr="004F29EE">
              <w:rPr>
                <w:rFonts w:ascii="Arial" w:hAnsi="Arial" w:cs="Arial"/>
                <w:color w:val="000000"/>
              </w:rPr>
              <w:t>Total liabilities and equity</w:t>
            </w:r>
          </w:p>
        </w:tc>
        <w:tc>
          <w:tcPr>
            <w:tcW w:w="1607"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4,551.22</w:t>
            </w:r>
          </w:p>
        </w:tc>
        <w:tc>
          <w:tcPr>
            <w:tcW w:w="1554"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7,287,11</w:t>
            </w:r>
          </w:p>
        </w:tc>
        <w:tc>
          <w:tcPr>
            <w:tcW w:w="1718" w:type="dxa"/>
            <w:tcBorders>
              <w:top w:val="nil"/>
              <w:left w:val="nil"/>
              <w:bottom w:val="single" w:sz="4" w:space="0" w:color="auto"/>
              <w:right w:val="nil"/>
            </w:tcBorders>
            <w:shd w:val="clear" w:color="auto" w:fill="auto"/>
            <w:noWrap/>
            <w:vAlign w:val="bottom"/>
            <w:hideMark/>
          </w:tcPr>
          <w:p w:rsidR="007E3E49" w:rsidRPr="004F29EE" w:rsidRDefault="007E3E49" w:rsidP="00CD5127">
            <w:pPr>
              <w:jc w:val="right"/>
              <w:rPr>
                <w:rFonts w:ascii="Arial" w:hAnsi="Arial" w:cs="Arial"/>
                <w:color w:val="000000"/>
              </w:rPr>
            </w:pPr>
            <w:r w:rsidRPr="004F29EE">
              <w:rPr>
                <w:rFonts w:ascii="Arial" w:hAnsi="Arial" w:cs="Arial"/>
                <w:color w:val="000000"/>
              </w:rPr>
              <w:t>9,130.76</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jc w:val="both"/>
        <w:rPr>
          <w:rFonts w:ascii="Arial" w:eastAsiaTheme="minorHAnsi" w:hAnsi="Arial" w:cs="Arial"/>
          <w:sz w:val="17"/>
          <w:szCs w:val="17"/>
        </w:rPr>
      </w:pPr>
      <w:r w:rsidRPr="004F29EE">
        <w:rPr>
          <w:rFonts w:ascii="Arial" w:eastAsiaTheme="minorHAnsi" w:hAnsi="Arial" w:cs="Arial"/>
          <w:sz w:val="17"/>
          <w:szCs w:val="17"/>
        </w:rPr>
        <w:t>Source: SolarCity SEC 10K Filings, Tesla Motors Inc., accessed June 14 2017, http://ir.tesla.com/secfiling.cfm?filingID=1564590-17-3084&amp;CIK=1408356</w:t>
      </w:r>
      <w:r w:rsidR="00FC50F2">
        <w:rPr>
          <w:rFonts w:ascii="Arial" w:eastAsiaTheme="minorHAnsi" w:hAnsi="Arial" w:cs="Arial"/>
          <w:sz w:val="17"/>
          <w:szCs w:val="17"/>
        </w:rPr>
        <w:t>.</w:t>
      </w:r>
    </w:p>
    <w:p w:rsidR="004F29EE" w:rsidRPr="004F29EE" w:rsidRDefault="004F29EE" w:rsidP="004F29EE">
      <w:pPr>
        <w:pStyle w:val="BodyTextMain"/>
        <w:rPr>
          <w:rFonts w:eastAsiaTheme="minorHAnsi"/>
          <w:lang w:val="en-GB" w:eastAsia="zh-CN"/>
        </w:rPr>
      </w:pPr>
    </w:p>
    <w:p w:rsidR="004F29EE" w:rsidRDefault="004F29EE">
      <w:pPr>
        <w:spacing w:after="200" w:line="276" w:lineRule="auto"/>
        <w:rPr>
          <w:rFonts w:eastAsiaTheme="minorHAnsi"/>
          <w:sz w:val="22"/>
          <w:szCs w:val="22"/>
          <w:lang w:val="en-GB" w:eastAsia="zh-CN"/>
        </w:rPr>
      </w:pPr>
      <w:r>
        <w:rPr>
          <w:rFonts w:eastAsiaTheme="minorHAnsi"/>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4: SolarCity Cash Flow Statements, 2014–2016</w:t>
      </w:r>
    </w:p>
    <w:p w:rsidR="004F29EE" w:rsidRPr="004F29EE" w:rsidRDefault="004F29EE" w:rsidP="004F29EE">
      <w:pPr>
        <w:pStyle w:val="BodyTextMain"/>
        <w:rPr>
          <w:lang w:val="en-GB" w:eastAsia="zh-CN"/>
        </w:rPr>
      </w:pPr>
    </w:p>
    <w:tbl>
      <w:tblPr>
        <w:tblW w:w="9360" w:type="dxa"/>
        <w:tblLook w:val="04A0" w:firstRow="1" w:lastRow="0" w:firstColumn="1" w:lastColumn="0" w:noHBand="0" w:noVBand="1"/>
      </w:tblPr>
      <w:tblGrid>
        <w:gridCol w:w="5136"/>
        <w:gridCol w:w="1408"/>
        <w:gridCol w:w="1408"/>
        <w:gridCol w:w="1408"/>
      </w:tblGrid>
      <w:tr w:rsidR="004F29EE" w:rsidRPr="004F29EE" w:rsidTr="004F29EE">
        <w:trPr>
          <w:trHeight w:val="315"/>
        </w:trPr>
        <w:tc>
          <w:tcPr>
            <w:tcW w:w="5136" w:type="dxa"/>
            <w:tcBorders>
              <w:top w:val="single" w:sz="4" w:space="0" w:color="000000"/>
              <w:left w:val="nil"/>
              <w:bottom w:val="single" w:sz="4" w:space="0" w:color="000000"/>
              <w:right w:val="nil"/>
            </w:tcBorders>
            <w:shd w:val="clear" w:color="FFFFFF" w:fill="FFFFFF"/>
            <w:noWrap/>
            <w:hideMark/>
          </w:tcPr>
          <w:p w:rsidR="004F29EE" w:rsidRPr="004F29EE" w:rsidRDefault="004F29EE" w:rsidP="009E39D7">
            <w:pPr>
              <w:rPr>
                <w:rFonts w:ascii="Arial" w:hAnsi="Arial" w:cs="Arial"/>
                <w:b/>
                <w:bCs/>
              </w:rPr>
            </w:pPr>
            <w:r w:rsidRPr="004F29EE">
              <w:rPr>
                <w:rFonts w:ascii="Arial" w:hAnsi="Arial" w:cs="Arial"/>
                <w:b/>
                <w:bCs/>
              </w:rPr>
              <w:t>In Millions of US</w:t>
            </w:r>
            <w:r w:rsidR="009E39D7">
              <w:rPr>
                <w:rFonts w:ascii="Arial" w:hAnsi="Arial" w:cs="Arial"/>
                <w:b/>
                <w:bCs/>
              </w:rPr>
              <w:t>$</w:t>
            </w:r>
            <w:r w:rsidRPr="004F29EE">
              <w:rPr>
                <w:rFonts w:ascii="Arial" w:hAnsi="Arial" w:cs="Arial"/>
                <w:b/>
                <w:bCs/>
              </w:rPr>
              <w:t xml:space="preserve"> (except for per share items)</w:t>
            </w:r>
          </w:p>
        </w:tc>
        <w:tc>
          <w:tcPr>
            <w:tcW w:w="1408"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2014</w:t>
            </w:r>
          </w:p>
        </w:tc>
        <w:tc>
          <w:tcPr>
            <w:tcW w:w="1408"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2015</w:t>
            </w:r>
          </w:p>
        </w:tc>
        <w:tc>
          <w:tcPr>
            <w:tcW w:w="1408"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2016</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Operating activities: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p>
        </w:tc>
        <w:tc>
          <w:tcPr>
            <w:tcW w:w="1408" w:type="dxa"/>
            <w:tcBorders>
              <w:top w:val="nil"/>
              <w:left w:val="nil"/>
              <w:bottom w:val="nil"/>
              <w:right w:val="nil"/>
            </w:tcBorders>
            <w:shd w:val="clear" w:color="auto" w:fill="auto"/>
            <w:noWrap/>
            <w:vAlign w:val="bottom"/>
            <w:hideMark/>
          </w:tcPr>
          <w:p w:rsidR="004F29EE" w:rsidRPr="004F29EE" w:rsidRDefault="004F29EE" w:rsidP="004F29EE"/>
        </w:tc>
        <w:tc>
          <w:tcPr>
            <w:tcW w:w="1408" w:type="dxa"/>
            <w:tcBorders>
              <w:top w:val="nil"/>
              <w:left w:val="nil"/>
              <w:bottom w:val="nil"/>
              <w:right w:val="nil"/>
            </w:tcBorders>
            <w:shd w:val="clear" w:color="auto" w:fill="auto"/>
            <w:noWrap/>
            <w:vAlign w:val="bottom"/>
            <w:hideMark/>
          </w:tcPr>
          <w:p w:rsidR="004F29EE" w:rsidRPr="004F29EE" w:rsidRDefault="004F29EE" w:rsidP="004F29EE"/>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loss</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375.23</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768.82</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820.35</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Depreciation, amortization and write-offs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11.07</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14.05</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14.85</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Accounts receivable</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0.95</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11.05</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32.95</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Inventories</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97.35</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125.34</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170.58</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Accounts payable</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112.48</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125.47</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149.69</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Other Operating Activities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130.23</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24.20</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308.78</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used in operating activities</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217.85</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789.88</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508.78</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71178A">
            <w:pPr>
              <w:spacing w:before="120" w:after="120"/>
              <w:rPr>
                <w:rFonts w:ascii="Arial" w:hAnsi="Arial" w:cs="Arial"/>
                <w:b/>
                <w:bCs/>
                <w:color w:val="000000"/>
              </w:rPr>
            </w:pPr>
            <w:r w:rsidRPr="004F29EE">
              <w:rPr>
                <w:rFonts w:ascii="Arial" w:hAnsi="Arial" w:cs="Arial"/>
                <w:b/>
                <w:bCs/>
                <w:color w:val="000000"/>
              </w:rPr>
              <w:t>Investing activities:</w:t>
            </w:r>
          </w:p>
        </w:tc>
        <w:tc>
          <w:tcPr>
            <w:tcW w:w="1408" w:type="dxa"/>
            <w:tcBorders>
              <w:top w:val="nil"/>
              <w:left w:val="nil"/>
              <w:bottom w:val="nil"/>
              <w:right w:val="nil"/>
            </w:tcBorders>
            <w:shd w:val="clear" w:color="auto" w:fill="auto"/>
            <w:noWrap/>
            <w:vAlign w:val="bottom"/>
            <w:hideMark/>
          </w:tcPr>
          <w:p w:rsidR="004F29EE" w:rsidRPr="004F29EE" w:rsidRDefault="004F29EE" w:rsidP="0071178A">
            <w:pPr>
              <w:spacing w:before="120" w:after="120"/>
              <w:rPr>
                <w:rFonts w:ascii="Arial" w:hAnsi="Arial" w:cs="Arial"/>
                <w:b/>
                <w:bCs/>
                <w:color w:val="000000"/>
              </w:rPr>
            </w:pPr>
          </w:p>
        </w:tc>
        <w:tc>
          <w:tcPr>
            <w:tcW w:w="1408" w:type="dxa"/>
            <w:tcBorders>
              <w:top w:val="nil"/>
              <w:left w:val="nil"/>
              <w:bottom w:val="nil"/>
              <w:right w:val="nil"/>
            </w:tcBorders>
            <w:shd w:val="clear" w:color="auto" w:fill="auto"/>
            <w:noWrap/>
            <w:vAlign w:val="bottom"/>
            <w:hideMark/>
          </w:tcPr>
          <w:p w:rsidR="004F29EE" w:rsidRPr="004F29EE" w:rsidRDefault="004F29EE" w:rsidP="0071178A">
            <w:pPr>
              <w:spacing w:before="120" w:after="120"/>
            </w:pPr>
          </w:p>
        </w:tc>
        <w:tc>
          <w:tcPr>
            <w:tcW w:w="1408" w:type="dxa"/>
            <w:tcBorders>
              <w:top w:val="nil"/>
              <w:left w:val="nil"/>
              <w:bottom w:val="nil"/>
              <w:right w:val="nil"/>
            </w:tcBorders>
            <w:shd w:val="clear" w:color="auto" w:fill="auto"/>
            <w:noWrap/>
            <w:vAlign w:val="bottom"/>
            <w:hideMark/>
          </w:tcPr>
          <w:p w:rsidR="004F29EE" w:rsidRPr="004F29EE" w:rsidRDefault="004F29EE" w:rsidP="0071178A">
            <w:pPr>
              <w:spacing w:before="120" w:after="120"/>
            </w:pP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Payments for the cost of solar energy systems, leased and to be leased</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1,162.96</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1,665.64</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1,611.01</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Purchase of property, plant and equipment</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22.89</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176.54</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62.90</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Purchases of short-term investments</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167.40</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44.59</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0.00</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Proceeds from sales and maturities of short-term investments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28.76</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170.74</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11.24</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Acquisitions and Other investments</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20.33</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10.70</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26.67</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used in investing activities</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1,344.81</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1,726.73</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1,689.33</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Financing activities: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p>
        </w:tc>
        <w:tc>
          <w:tcPr>
            <w:tcW w:w="1408" w:type="dxa"/>
            <w:tcBorders>
              <w:top w:val="nil"/>
              <w:left w:val="nil"/>
              <w:bottom w:val="nil"/>
              <w:right w:val="nil"/>
            </w:tcBorders>
            <w:shd w:val="clear" w:color="auto" w:fill="auto"/>
            <w:noWrap/>
            <w:vAlign w:val="bottom"/>
            <w:hideMark/>
          </w:tcPr>
          <w:p w:rsidR="004F29EE" w:rsidRPr="004F29EE" w:rsidRDefault="004F29EE" w:rsidP="004F29EE"/>
        </w:tc>
        <w:tc>
          <w:tcPr>
            <w:tcW w:w="1408" w:type="dxa"/>
            <w:tcBorders>
              <w:top w:val="nil"/>
              <w:left w:val="nil"/>
              <w:bottom w:val="nil"/>
              <w:right w:val="nil"/>
            </w:tcBorders>
            <w:shd w:val="clear" w:color="auto" w:fill="auto"/>
            <w:noWrap/>
            <w:vAlign w:val="bottom"/>
            <w:hideMark/>
          </w:tcPr>
          <w:p w:rsidR="004F29EE" w:rsidRPr="004F29EE" w:rsidRDefault="004F29EE" w:rsidP="004F29EE"/>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Borrowings under long-term debt</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369.80</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1,093.26</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1,376.18</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Repayments of long-term debt</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336.56</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215.93</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866.95</w:t>
            </w:r>
          </w:p>
        </w:tc>
      </w:tr>
      <w:tr w:rsidR="004F29EE" w:rsidRPr="004F29EE" w:rsidTr="004F29EE">
        <w:trPr>
          <w:trHeight w:val="315"/>
        </w:trPr>
        <w:tc>
          <w:tcPr>
            <w:tcW w:w="5136" w:type="dxa"/>
            <w:tcBorders>
              <w:top w:val="nil"/>
              <w:left w:val="nil"/>
              <w:bottom w:val="nil"/>
              <w:right w:val="nil"/>
            </w:tcBorders>
            <w:shd w:val="clear" w:color="FFFFFF" w:fill="FFFFFF"/>
            <w:noWrap/>
            <w:vAlign w:val="bottom"/>
            <w:hideMark/>
          </w:tcPr>
          <w:p w:rsidR="004F29EE" w:rsidRPr="004F29EE" w:rsidRDefault="004F29EE" w:rsidP="004F29EE">
            <w:pPr>
              <w:rPr>
                <w:rFonts w:ascii="Arial" w:hAnsi="Arial" w:cs="Arial"/>
              </w:rPr>
            </w:pPr>
            <w:r w:rsidRPr="004F29EE">
              <w:rPr>
                <w:rFonts w:ascii="Arial" w:hAnsi="Arial" w:cs="Arial"/>
              </w:rPr>
              <w:t>Other Financing Cash Flow Items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287.73</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342.03</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332.66</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Proceeds from investments by non-controlling interests and redeemable</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777.96</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1,097.49</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1,420.82</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Distributions paid to non-controlling interests and redeemable</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117.13</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109.51</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148.86</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provided by financing activities before equity and convertible</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982.15</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2,207.33</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2,113.85</w:t>
            </w:r>
          </w:p>
        </w:tc>
      </w:tr>
      <w:tr w:rsidR="004F29EE" w:rsidRPr="004F29EE" w:rsidTr="004F29EE">
        <w:trPr>
          <w:trHeight w:val="315"/>
        </w:trPr>
        <w:tc>
          <w:tcPr>
            <w:tcW w:w="5136"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Proceeds from Convertibles and Options</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507.82</w:t>
            </w:r>
          </w:p>
        </w:tc>
        <w:tc>
          <w:tcPr>
            <w:tcW w:w="1408"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187.45</w:t>
            </w:r>
          </w:p>
        </w:tc>
        <w:tc>
          <w:tcPr>
            <w:tcW w:w="1408"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7.58</w:t>
            </w:r>
          </w:p>
        </w:tc>
      </w:tr>
      <w:tr w:rsidR="004F29EE" w:rsidRPr="004F29EE" w:rsidTr="004F29EE">
        <w:trPr>
          <w:trHeight w:val="315"/>
        </w:trPr>
        <w:tc>
          <w:tcPr>
            <w:tcW w:w="5136" w:type="dxa"/>
            <w:tcBorders>
              <w:top w:val="nil"/>
              <w:left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provided by financing activities</w:t>
            </w:r>
          </w:p>
        </w:tc>
        <w:tc>
          <w:tcPr>
            <w:tcW w:w="1408" w:type="dxa"/>
            <w:tcBorders>
              <w:top w:val="nil"/>
              <w:left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1,489.97</w:t>
            </w:r>
          </w:p>
        </w:tc>
        <w:tc>
          <w:tcPr>
            <w:tcW w:w="1408" w:type="dxa"/>
            <w:tcBorders>
              <w:top w:val="nil"/>
              <w:left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2,394.78</w:t>
            </w:r>
          </w:p>
        </w:tc>
        <w:tc>
          <w:tcPr>
            <w:tcW w:w="1408" w:type="dxa"/>
            <w:tcBorders>
              <w:top w:val="nil"/>
              <w:left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2,106.27</w:t>
            </w:r>
          </w:p>
        </w:tc>
      </w:tr>
      <w:tr w:rsidR="004F29EE" w:rsidRPr="004F29EE" w:rsidTr="004F29EE">
        <w:trPr>
          <w:trHeight w:val="315"/>
        </w:trPr>
        <w:tc>
          <w:tcPr>
            <w:tcW w:w="5136" w:type="dxa"/>
            <w:tcBorders>
              <w:top w:val="nil"/>
              <w:left w:val="nil"/>
              <w:bottom w:val="single" w:sz="4" w:space="0" w:color="auto"/>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increase in cash and cash equivalents</w:t>
            </w:r>
          </w:p>
        </w:tc>
        <w:tc>
          <w:tcPr>
            <w:tcW w:w="1408"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72.70</w:t>
            </w:r>
          </w:p>
        </w:tc>
        <w:tc>
          <w:tcPr>
            <w:tcW w:w="1408"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121.84</w:t>
            </w:r>
          </w:p>
        </w:tc>
        <w:tc>
          <w:tcPr>
            <w:tcW w:w="1408"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91.83</w:t>
            </w:r>
          </w:p>
        </w:tc>
      </w:tr>
    </w:tbl>
    <w:p w:rsidR="004F29EE" w:rsidRDefault="004F29EE" w:rsidP="004F29EE">
      <w:pPr>
        <w:jc w:val="both"/>
        <w:rPr>
          <w:rFonts w:ascii="Arial" w:eastAsiaTheme="minorHAnsi" w:hAnsi="Arial" w:cs="Arial"/>
          <w:sz w:val="17"/>
          <w:szCs w:val="17"/>
        </w:rPr>
      </w:pPr>
    </w:p>
    <w:p w:rsidR="004F29EE" w:rsidRPr="004F29EE" w:rsidRDefault="004F29EE" w:rsidP="004F29EE">
      <w:pPr>
        <w:jc w:val="both"/>
        <w:rPr>
          <w:rFonts w:ascii="Arial" w:eastAsiaTheme="minorHAnsi" w:hAnsi="Arial" w:cs="Arial"/>
          <w:sz w:val="17"/>
          <w:szCs w:val="17"/>
        </w:rPr>
      </w:pPr>
      <w:r w:rsidRPr="004F29EE">
        <w:rPr>
          <w:rFonts w:ascii="Arial" w:eastAsiaTheme="minorHAnsi" w:hAnsi="Arial" w:cs="Arial"/>
          <w:sz w:val="17"/>
          <w:szCs w:val="17"/>
        </w:rPr>
        <w:t>Source: SolarCity SEC 10K Filings, Tesla Motors Inc., accessed June 14 2017, http://ir.tesla.com/secfiling.cfm?filingID=1564590-17-3084&amp;CIK=1408356</w:t>
      </w:r>
      <w:r w:rsidR="00FC50F2">
        <w:rPr>
          <w:rFonts w:ascii="Arial" w:eastAsiaTheme="minorHAnsi" w:hAnsi="Arial" w:cs="Arial"/>
          <w:sz w:val="17"/>
          <w:szCs w:val="17"/>
        </w:rPr>
        <w:t>.</w:t>
      </w: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p>
    <w:p w:rsidR="004F29EE" w:rsidRPr="004F29EE" w:rsidRDefault="004F29EE" w:rsidP="004F29EE">
      <w:pPr>
        <w:pStyle w:val="BodyTextMain"/>
        <w:rPr>
          <w:lang w:val="en-GB" w:eastAsia="zh-CN"/>
        </w:rPr>
      </w:pPr>
      <w:r w:rsidRPr="004F29EE">
        <w:rPr>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5: SolarCity Financial Ratios, 2014-2016</w:t>
      </w:r>
    </w:p>
    <w:p w:rsidR="004F29EE" w:rsidRPr="004F29EE" w:rsidRDefault="004F29EE" w:rsidP="004F29EE">
      <w:pPr>
        <w:pStyle w:val="BodyTextMain"/>
        <w:rPr>
          <w:lang w:val="en-GB" w:eastAsia="zh-CN"/>
        </w:rPr>
      </w:pPr>
    </w:p>
    <w:tbl>
      <w:tblPr>
        <w:tblW w:w="7920" w:type="dxa"/>
        <w:jc w:val="center"/>
        <w:tblLook w:val="04A0" w:firstRow="1" w:lastRow="0" w:firstColumn="1" w:lastColumn="0" w:noHBand="0" w:noVBand="1"/>
      </w:tblPr>
      <w:tblGrid>
        <w:gridCol w:w="2700"/>
        <w:gridCol w:w="1740"/>
        <w:gridCol w:w="1740"/>
        <w:gridCol w:w="1740"/>
      </w:tblGrid>
      <w:tr w:rsidR="007E3E49" w:rsidRPr="004F29EE" w:rsidTr="00CD5127">
        <w:trPr>
          <w:trHeight w:val="315"/>
          <w:jc w:val="center"/>
        </w:trPr>
        <w:tc>
          <w:tcPr>
            <w:tcW w:w="2700" w:type="dxa"/>
            <w:tcBorders>
              <w:top w:val="single" w:sz="4" w:space="0" w:color="000000"/>
              <w:left w:val="nil"/>
              <w:bottom w:val="single" w:sz="4" w:space="0" w:color="000000"/>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 </w:t>
            </w:r>
          </w:p>
        </w:tc>
        <w:tc>
          <w:tcPr>
            <w:tcW w:w="1740" w:type="dxa"/>
            <w:tcBorders>
              <w:top w:val="single" w:sz="4" w:space="0" w:color="000000"/>
              <w:left w:val="nil"/>
              <w:bottom w:val="single" w:sz="4" w:space="0" w:color="000000"/>
              <w:right w:val="nil"/>
            </w:tcBorders>
            <w:shd w:val="clear" w:color="FFFFFF" w:fill="FFFFFF"/>
            <w:noWrap/>
            <w:vAlign w:val="bottom"/>
            <w:hideMark/>
          </w:tcPr>
          <w:p w:rsidR="007E3E49" w:rsidRPr="004F29EE" w:rsidRDefault="007E3E49" w:rsidP="00CD5127">
            <w:pPr>
              <w:jc w:val="right"/>
              <w:rPr>
                <w:rFonts w:ascii="Arial" w:eastAsiaTheme="minorHAnsi" w:hAnsi="Arial" w:cs="Arial"/>
                <w:b/>
                <w:bCs/>
              </w:rPr>
            </w:pPr>
            <w:r w:rsidRPr="004F29EE">
              <w:rPr>
                <w:rFonts w:ascii="Arial" w:eastAsiaTheme="minorHAnsi" w:hAnsi="Arial" w:cs="Arial"/>
                <w:b/>
                <w:bCs/>
              </w:rPr>
              <w:t>2014</w:t>
            </w:r>
          </w:p>
        </w:tc>
        <w:tc>
          <w:tcPr>
            <w:tcW w:w="1740" w:type="dxa"/>
            <w:tcBorders>
              <w:top w:val="single" w:sz="4" w:space="0" w:color="000000"/>
              <w:left w:val="nil"/>
              <w:bottom w:val="single" w:sz="4" w:space="0" w:color="000000"/>
              <w:right w:val="nil"/>
            </w:tcBorders>
            <w:shd w:val="clear" w:color="FFFFFF" w:fill="FFFFFF"/>
            <w:noWrap/>
            <w:vAlign w:val="bottom"/>
            <w:hideMark/>
          </w:tcPr>
          <w:p w:rsidR="007E3E49" w:rsidRPr="004F29EE" w:rsidRDefault="007E3E49" w:rsidP="00CD5127">
            <w:pPr>
              <w:jc w:val="right"/>
              <w:rPr>
                <w:rFonts w:ascii="Arial" w:eastAsiaTheme="minorHAnsi" w:hAnsi="Arial" w:cs="Arial"/>
                <w:b/>
                <w:bCs/>
              </w:rPr>
            </w:pPr>
            <w:r w:rsidRPr="004F29EE">
              <w:rPr>
                <w:rFonts w:ascii="Arial" w:eastAsiaTheme="minorHAnsi" w:hAnsi="Arial" w:cs="Arial"/>
                <w:b/>
                <w:bCs/>
              </w:rPr>
              <w:t>2015</w:t>
            </w:r>
          </w:p>
        </w:tc>
        <w:tc>
          <w:tcPr>
            <w:tcW w:w="1740" w:type="dxa"/>
            <w:tcBorders>
              <w:top w:val="single" w:sz="4" w:space="0" w:color="000000"/>
              <w:left w:val="nil"/>
              <w:bottom w:val="single" w:sz="4" w:space="0" w:color="000000"/>
              <w:right w:val="nil"/>
            </w:tcBorders>
            <w:shd w:val="clear" w:color="FFFFFF" w:fill="FFFFFF"/>
            <w:noWrap/>
            <w:vAlign w:val="bottom"/>
            <w:hideMark/>
          </w:tcPr>
          <w:p w:rsidR="007E3E49" w:rsidRPr="004F29EE" w:rsidRDefault="007E3E49" w:rsidP="00CD5127">
            <w:pPr>
              <w:jc w:val="right"/>
              <w:rPr>
                <w:rFonts w:ascii="Arial" w:eastAsiaTheme="minorHAnsi" w:hAnsi="Arial" w:cs="Arial"/>
                <w:b/>
                <w:bCs/>
              </w:rPr>
            </w:pPr>
            <w:r w:rsidRPr="004F29EE">
              <w:rPr>
                <w:rFonts w:ascii="Arial" w:eastAsiaTheme="minorHAnsi" w:hAnsi="Arial" w:cs="Arial"/>
                <w:b/>
                <w:bCs/>
              </w:rPr>
              <w:t>2016</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b/>
                <w:bCs/>
              </w:rPr>
            </w:pPr>
            <w:r w:rsidRPr="004F29EE">
              <w:rPr>
                <w:rFonts w:ascii="Arial" w:eastAsiaTheme="minorHAnsi" w:hAnsi="Arial" w:cs="Arial"/>
                <w:b/>
                <w:bCs/>
              </w:rPr>
              <w:t>LIQUIDITY RATIOS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cente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cente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center"/>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Cash to Total Assets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0.11</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0.05</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0.03</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Current Ratio</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1.76</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0.76</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0.46</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b/>
                <w:bCs/>
              </w:rPr>
            </w:pPr>
            <w:r w:rsidRPr="004F29EE">
              <w:rPr>
                <w:rFonts w:ascii="Arial" w:eastAsiaTheme="minorHAnsi" w:hAnsi="Arial" w:cs="Arial"/>
                <w:b/>
                <w:bCs/>
              </w:rPr>
              <w:t>EFFICIENCY</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cente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Days of Inventory</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450.48</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445.47</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131.61</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Days Receivables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75.48</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41.56</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38.65</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Days Payables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493.19</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474.07</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158.22</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b/>
                <w:bCs/>
              </w:rPr>
            </w:pPr>
            <w:r w:rsidRPr="004F29EE">
              <w:rPr>
                <w:rFonts w:ascii="Arial" w:eastAsiaTheme="minorHAnsi" w:hAnsi="Arial" w:cs="Arial"/>
                <w:b/>
                <w:bCs/>
              </w:rPr>
              <w:t>FINANCIAL LEVERAGE</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LT Debt to Total Assets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0.32</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0.33</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0.30</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Equity to Total Assets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0.2</w:t>
            </w:r>
            <w:r>
              <w:rPr>
                <w:rFonts w:ascii="Arial" w:eastAsiaTheme="minorHAnsi" w:hAnsi="Arial" w:cs="Arial"/>
              </w:rPr>
              <w:t>9</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w:t>
            </w:r>
            <w:r>
              <w:rPr>
                <w:rFonts w:ascii="Arial" w:eastAsiaTheme="minorHAnsi" w:hAnsi="Arial" w:cs="Arial"/>
              </w:rPr>
              <w:t>24</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0.2</w:t>
            </w:r>
            <w:r>
              <w:rPr>
                <w:rFonts w:ascii="Arial" w:eastAsiaTheme="minorHAnsi" w:hAnsi="Arial" w:cs="Arial"/>
              </w:rPr>
              <w:t>5</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b/>
                <w:bCs/>
              </w:rPr>
            </w:pPr>
            <w:r w:rsidRPr="004F29EE">
              <w:rPr>
                <w:rFonts w:ascii="Arial" w:eastAsiaTheme="minorHAnsi" w:hAnsi="Arial" w:cs="Arial"/>
                <w:b/>
                <w:bCs/>
              </w:rPr>
              <w:t>PROFITABILITY</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Net Profit Margin</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1.47</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1.92</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1.12</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Return on Equity</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w:t>
            </w:r>
            <w:r>
              <w:rPr>
                <w:rFonts w:ascii="Arial" w:eastAsiaTheme="minorHAnsi" w:hAnsi="Arial" w:cs="Arial"/>
              </w:rPr>
              <w:t>28</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w:t>
            </w:r>
            <w:r>
              <w:rPr>
                <w:rFonts w:ascii="Arial" w:eastAsiaTheme="minorHAnsi" w:hAnsi="Arial" w:cs="Arial"/>
              </w:rPr>
              <w:t>44</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w:t>
            </w:r>
            <w:r>
              <w:rPr>
                <w:rFonts w:ascii="Arial" w:eastAsiaTheme="minorHAnsi" w:hAnsi="Arial" w:cs="Arial"/>
              </w:rPr>
              <w:t>36</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Return on Assets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0.08</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0.11</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0.09</w:t>
            </w: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b/>
                <w:bCs/>
              </w:rPr>
            </w:pPr>
            <w:r w:rsidRPr="004F29EE">
              <w:rPr>
                <w:rFonts w:ascii="Arial" w:eastAsiaTheme="minorHAnsi" w:hAnsi="Arial" w:cs="Arial"/>
                <w:b/>
                <w:bCs/>
              </w:rPr>
              <w:t>GROWTH</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p>
        </w:tc>
      </w:tr>
      <w:tr w:rsidR="007E3E49" w:rsidRPr="004F29EE" w:rsidTr="00CD5127">
        <w:trPr>
          <w:trHeight w:val="315"/>
          <w:jc w:val="center"/>
        </w:trPr>
        <w:tc>
          <w:tcPr>
            <w:tcW w:w="2700" w:type="dxa"/>
            <w:tcBorders>
              <w:top w:val="nil"/>
              <w:left w:val="nil"/>
              <w:bottom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Sales</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56.44%</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56.86%</w:t>
            </w:r>
          </w:p>
        </w:tc>
        <w:tc>
          <w:tcPr>
            <w:tcW w:w="1740" w:type="dxa"/>
            <w:tcBorders>
              <w:top w:val="nil"/>
              <w:left w:val="nil"/>
              <w:bottom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sidRPr="004F29EE">
              <w:rPr>
                <w:rFonts w:ascii="Arial" w:eastAsiaTheme="minorHAnsi" w:hAnsi="Arial" w:cs="Arial"/>
              </w:rPr>
              <w:t>82.50%</w:t>
            </w:r>
          </w:p>
        </w:tc>
      </w:tr>
      <w:tr w:rsidR="007E3E49" w:rsidRPr="004F29EE" w:rsidTr="00CD5127">
        <w:trPr>
          <w:trHeight w:val="315"/>
          <w:jc w:val="center"/>
        </w:trPr>
        <w:tc>
          <w:tcPr>
            <w:tcW w:w="2700" w:type="dxa"/>
            <w:tcBorders>
              <w:top w:val="nil"/>
              <w:left w:val="nil"/>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Operating Income</w:t>
            </w:r>
          </w:p>
        </w:tc>
        <w:tc>
          <w:tcPr>
            <w:tcW w:w="1740" w:type="dxa"/>
            <w:tcBorders>
              <w:top w:val="nil"/>
              <w:left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124.83%</w:t>
            </w:r>
          </w:p>
        </w:tc>
        <w:tc>
          <w:tcPr>
            <w:tcW w:w="1740" w:type="dxa"/>
            <w:tcBorders>
              <w:top w:val="nil"/>
              <w:left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92.86%</w:t>
            </w:r>
          </w:p>
        </w:tc>
        <w:tc>
          <w:tcPr>
            <w:tcW w:w="1740" w:type="dxa"/>
            <w:tcBorders>
              <w:top w:val="nil"/>
              <w:left w:val="nil"/>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0.31%</w:t>
            </w:r>
          </w:p>
        </w:tc>
      </w:tr>
      <w:tr w:rsidR="007E3E49" w:rsidRPr="004F29EE" w:rsidTr="00CD5127">
        <w:trPr>
          <w:trHeight w:val="315"/>
          <w:jc w:val="center"/>
        </w:trPr>
        <w:tc>
          <w:tcPr>
            <w:tcW w:w="2700" w:type="dxa"/>
            <w:tcBorders>
              <w:top w:val="nil"/>
              <w:left w:val="nil"/>
              <w:bottom w:val="single" w:sz="4" w:space="0" w:color="auto"/>
              <w:right w:val="nil"/>
            </w:tcBorders>
            <w:shd w:val="clear" w:color="FFFFFF" w:fill="FFFFFF"/>
            <w:noWrap/>
            <w:vAlign w:val="bottom"/>
            <w:hideMark/>
          </w:tcPr>
          <w:p w:rsidR="007E3E49" w:rsidRPr="004F29EE" w:rsidRDefault="007E3E49" w:rsidP="00CD5127">
            <w:pPr>
              <w:rPr>
                <w:rFonts w:ascii="Arial" w:eastAsiaTheme="minorHAnsi" w:hAnsi="Arial" w:cs="Arial"/>
              </w:rPr>
            </w:pPr>
            <w:r w:rsidRPr="004F29EE">
              <w:rPr>
                <w:rFonts w:ascii="Arial" w:eastAsiaTheme="minorHAnsi" w:hAnsi="Arial" w:cs="Arial"/>
              </w:rPr>
              <w:t>Net Income</w:t>
            </w:r>
          </w:p>
        </w:tc>
        <w:tc>
          <w:tcPr>
            <w:tcW w:w="1740" w:type="dxa"/>
            <w:tcBorders>
              <w:top w:val="nil"/>
              <w:left w:val="nil"/>
              <w:bottom w:val="single" w:sz="4" w:space="0" w:color="auto"/>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146.71%</w:t>
            </w:r>
          </w:p>
        </w:tc>
        <w:tc>
          <w:tcPr>
            <w:tcW w:w="1740" w:type="dxa"/>
            <w:tcBorders>
              <w:top w:val="nil"/>
              <w:left w:val="nil"/>
              <w:bottom w:val="single" w:sz="4" w:space="0" w:color="auto"/>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105.07%</w:t>
            </w:r>
          </w:p>
        </w:tc>
        <w:tc>
          <w:tcPr>
            <w:tcW w:w="1740" w:type="dxa"/>
            <w:tcBorders>
              <w:top w:val="nil"/>
              <w:left w:val="nil"/>
              <w:bottom w:val="single" w:sz="4" w:space="0" w:color="auto"/>
              <w:right w:val="nil"/>
            </w:tcBorders>
            <w:shd w:val="clear" w:color="FFFFFF" w:fill="FFFFFF"/>
            <w:noWrap/>
            <w:vAlign w:val="bottom"/>
            <w:hideMark/>
          </w:tcPr>
          <w:p w:rsidR="007E3E49" w:rsidRPr="004F29EE" w:rsidRDefault="007E3E49" w:rsidP="00CD5127">
            <w:pPr>
              <w:jc w:val="right"/>
              <w:rPr>
                <w:rFonts w:ascii="Arial" w:eastAsiaTheme="minorHAnsi" w:hAnsi="Arial" w:cs="Arial"/>
              </w:rPr>
            </w:pPr>
            <w:r>
              <w:rPr>
                <w:rFonts w:ascii="Arial" w:eastAsiaTheme="minorHAnsi" w:hAnsi="Arial" w:cs="Arial"/>
              </w:rPr>
              <w:t>−</w:t>
            </w:r>
            <w:r w:rsidRPr="004F29EE">
              <w:rPr>
                <w:rFonts w:ascii="Arial" w:eastAsiaTheme="minorHAnsi" w:hAnsi="Arial" w:cs="Arial"/>
              </w:rPr>
              <w:t>6.63%</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Note: LT = long-term</w:t>
      </w: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Source: Author’s calculations.</w:t>
      </w:r>
    </w:p>
    <w:p w:rsidR="004F29EE" w:rsidRPr="004F29EE" w:rsidRDefault="004F29EE" w:rsidP="004F29EE">
      <w:pPr>
        <w:pStyle w:val="BodyTextMain"/>
        <w:rPr>
          <w:rFonts w:eastAsiaTheme="minorHAnsi"/>
          <w:lang w:val="en-GB" w:eastAsia="zh-CN"/>
        </w:rPr>
      </w:pPr>
    </w:p>
    <w:p w:rsidR="004F29EE" w:rsidRPr="004F29EE" w:rsidRDefault="004F29EE" w:rsidP="004F29EE">
      <w:pPr>
        <w:pStyle w:val="BodyTextMain"/>
        <w:rPr>
          <w:rFonts w:eastAsiaTheme="minorHAnsi"/>
          <w:lang w:val="en-GB" w:eastAsia="zh-CN"/>
        </w:rPr>
      </w:pPr>
      <w:r w:rsidRPr="004F29EE">
        <w:rPr>
          <w:rFonts w:eastAsiaTheme="minorHAnsi"/>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6: Tesla Income Statements, 2014–2016</w:t>
      </w:r>
    </w:p>
    <w:p w:rsidR="004F29EE" w:rsidRPr="004F29EE" w:rsidRDefault="004F29EE" w:rsidP="004F29EE">
      <w:pPr>
        <w:pStyle w:val="BodyTextMain"/>
        <w:rPr>
          <w:lang w:val="en-GB" w:eastAsia="zh-CN"/>
        </w:rPr>
      </w:pPr>
    </w:p>
    <w:tbl>
      <w:tblPr>
        <w:tblW w:w="9360" w:type="dxa"/>
        <w:tblLook w:val="04A0" w:firstRow="1" w:lastRow="0" w:firstColumn="1" w:lastColumn="0" w:noHBand="0" w:noVBand="1"/>
      </w:tblPr>
      <w:tblGrid>
        <w:gridCol w:w="5199"/>
        <w:gridCol w:w="1387"/>
        <w:gridCol w:w="1387"/>
        <w:gridCol w:w="1387"/>
      </w:tblGrid>
      <w:tr w:rsidR="004F29EE" w:rsidRPr="004F29EE" w:rsidTr="004F29EE">
        <w:trPr>
          <w:trHeight w:val="315"/>
        </w:trPr>
        <w:tc>
          <w:tcPr>
            <w:tcW w:w="5199" w:type="dxa"/>
            <w:tcBorders>
              <w:top w:val="single" w:sz="4" w:space="0" w:color="auto"/>
              <w:left w:val="nil"/>
              <w:bottom w:val="single" w:sz="4" w:space="0" w:color="auto"/>
              <w:right w:val="nil"/>
            </w:tcBorders>
            <w:shd w:val="clear" w:color="FFFFFF" w:fill="FFFFFF"/>
            <w:noWrap/>
            <w:vAlign w:val="bottom"/>
            <w:hideMark/>
          </w:tcPr>
          <w:p w:rsidR="004F29EE" w:rsidRPr="004F29EE" w:rsidRDefault="004F29EE" w:rsidP="00FC50F2">
            <w:pPr>
              <w:rPr>
                <w:rFonts w:ascii="Arial" w:hAnsi="Arial" w:cs="Arial"/>
                <w:b/>
                <w:bCs/>
              </w:rPr>
            </w:pPr>
            <w:r w:rsidRPr="004F29EE">
              <w:rPr>
                <w:rFonts w:ascii="Arial" w:hAnsi="Arial" w:cs="Arial"/>
                <w:b/>
                <w:bCs/>
              </w:rPr>
              <w:t xml:space="preserve">In </w:t>
            </w:r>
            <w:r w:rsidR="00FC50F2">
              <w:rPr>
                <w:rFonts w:ascii="Arial" w:hAnsi="Arial" w:cs="Arial"/>
                <w:b/>
                <w:bCs/>
              </w:rPr>
              <w:t>m</w:t>
            </w:r>
            <w:r w:rsidRPr="004F29EE">
              <w:rPr>
                <w:rFonts w:ascii="Arial" w:hAnsi="Arial" w:cs="Arial"/>
                <w:b/>
                <w:bCs/>
              </w:rPr>
              <w:t>illions of US</w:t>
            </w:r>
            <w:r w:rsidR="00FC50F2">
              <w:rPr>
                <w:rFonts w:ascii="Arial" w:hAnsi="Arial" w:cs="Arial"/>
                <w:b/>
                <w:bCs/>
              </w:rPr>
              <w:t>$</w:t>
            </w:r>
            <w:r w:rsidRPr="004F29EE">
              <w:rPr>
                <w:rFonts w:ascii="Arial" w:hAnsi="Arial" w:cs="Arial"/>
                <w:b/>
                <w:bCs/>
              </w:rPr>
              <w:t xml:space="preserve"> (except for per share items)</w:t>
            </w:r>
          </w:p>
        </w:tc>
        <w:tc>
          <w:tcPr>
            <w:tcW w:w="1387"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2014</w:t>
            </w:r>
          </w:p>
        </w:tc>
        <w:tc>
          <w:tcPr>
            <w:tcW w:w="1387"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2015</w:t>
            </w:r>
          </w:p>
        </w:tc>
        <w:tc>
          <w:tcPr>
            <w:tcW w:w="1387"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2016</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Total automotive revenue</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3,007</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3,741</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6,351</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Energy generation and storage</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14</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181</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Services and other</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187</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291</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468</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Total revenues</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3,198</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4,046</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7,000</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Total automotive cost of revenues</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1,914</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2,400</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3,803</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Energy generation and storage</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12</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178</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Services and other</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167</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287</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472</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Depreciation and Amortization</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232</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423</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947</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Total cost of revenues</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2,317</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3,123</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5,401</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Gross profit</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882</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924</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1,599</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Research and development</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465</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718</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834</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Selling, general and administrative</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604</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922</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1,432</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Total operating expenses</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1,068</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1,640</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2,267</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Loss from operations</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187</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717</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667</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Interest income</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Interest expense</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101</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119</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199</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Other income (expense), net</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42</w:t>
            </w:r>
          </w:p>
        </w:tc>
        <w:tc>
          <w:tcPr>
            <w:tcW w:w="1387"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111</w:t>
            </w:r>
          </w:p>
        </w:tc>
      </w:tr>
      <w:tr w:rsidR="004F29EE" w:rsidRPr="004F29EE" w:rsidTr="004F29EE">
        <w:trPr>
          <w:trHeight w:val="315"/>
        </w:trPr>
        <w:tc>
          <w:tcPr>
            <w:tcW w:w="5199"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Loss before income taxes</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285</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876</w:t>
            </w:r>
          </w:p>
        </w:tc>
        <w:tc>
          <w:tcPr>
            <w:tcW w:w="1387"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746</w:t>
            </w:r>
          </w:p>
        </w:tc>
      </w:tr>
      <w:tr w:rsidR="004F29EE" w:rsidRPr="004F29EE" w:rsidTr="004F29EE">
        <w:trPr>
          <w:trHeight w:val="315"/>
        </w:trPr>
        <w:tc>
          <w:tcPr>
            <w:tcW w:w="5199" w:type="dxa"/>
            <w:tcBorders>
              <w:top w:val="nil"/>
              <w:left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Provision for income taxes</w:t>
            </w:r>
          </w:p>
        </w:tc>
        <w:tc>
          <w:tcPr>
            <w:tcW w:w="1387" w:type="dxa"/>
            <w:tcBorders>
              <w:top w:val="nil"/>
              <w:left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w:t>
            </w:r>
          </w:p>
        </w:tc>
        <w:tc>
          <w:tcPr>
            <w:tcW w:w="1387" w:type="dxa"/>
            <w:tcBorders>
              <w:top w:val="nil"/>
              <w:left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13</w:t>
            </w:r>
          </w:p>
        </w:tc>
        <w:tc>
          <w:tcPr>
            <w:tcW w:w="1387" w:type="dxa"/>
            <w:tcBorders>
              <w:top w:val="nil"/>
              <w:left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27</w:t>
            </w:r>
          </w:p>
        </w:tc>
      </w:tr>
      <w:tr w:rsidR="004F29EE" w:rsidRPr="004F29EE" w:rsidTr="004F29EE">
        <w:trPr>
          <w:trHeight w:val="315"/>
        </w:trPr>
        <w:tc>
          <w:tcPr>
            <w:tcW w:w="5199" w:type="dxa"/>
            <w:tcBorders>
              <w:top w:val="nil"/>
              <w:left w:val="nil"/>
              <w:bottom w:val="single" w:sz="4" w:space="0" w:color="auto"/>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Net loss</w:t>
            </w:r>
          </w:p>
        </w:tc>
        <w:tc>
          <w:tcPr>
            <w:tcW w:w="1387"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294</w:t>
            </w:r>
          </w:p>
        </w:tc>
        <w:tc>
          <w:tcPr>
            <w:tcW w:w="1387"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889</w:t>
            </w:r>
          </w:p>
        </w:tc>
        <w:tc>
          <w:tcPr>
            <w:tcW w:w="1387" w:type="dxa"/>
            <w:tcBorders>
              <w:top w:val="nil"/>
              <w:left w:val="nil"/>
              <w:bottom w:val="single" w:sz="4" w:space="0" w:color="auto"/>
              <w:right w:val="nil"/>
            </w:tcBorders>
            <w:shd w:val="clear" w:color="auto" w:fill="auto"/>
            <w:noWrap/>
            <w:vAlign w:val="bottom"/>
            <w:hideMark/>
          </w:tcPr>
          <w:p w:rsidR="004F29EE" w:rsidRPr="004F29EE" w:rsidRDefault="00FC50F2"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773</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Note: EPS = earnings per share</w:t>
      </w:r>
    </w:p>
    <w:p w:rsidR="004F29EE" w:rsidRPr="004F29EE" w:rsidRDefault="004F29EE" w:rsidP="004F29EE">
      <w:pPr>
        <w:jc w:val="both"/>
        <w:rPr>
          <w:rFonts w:ascii="Arial" w:eastAsiaTheme="minorHAnsi" w:hAnsi="Arial" w:cs="Arial"/>
          <w:sz w:val="17"/>
          <w:szCs w:val="17"/>
        </w:rPr>
      </w:pPr>
      <w:r w:rsidRPr="004F29EE">
        <w:rPr>
          <w:rFonts w:ascii="Arial" w:eastAsiaTheme="minorHAnsi" w:hAnsi="Arial" w:cs="Arial"/>
          <w:sz w:val="17"/>
          <w:szCs w:val="17"/>
        </w:rPr>
        <w:t>Source: Tesla SEC 10K Filings, Tesla Motors Inc., accessed June 14 2017, http://ir.tesla.com/secfiling.cfm?filingid=1564590-17-3118&amp;cik=1318605</w:t>
      </w:r>
      <w:r w:rsidR="00FC50F2">
        <w:rPr>
          <w:rFonts w:ascii="Arial" w:eastAsiaTheme="minorHAnsi" w:hAnsi="Arial" w:cs="Arial"/>
          <w:sz w:val="17"/>
          <w:szCs w:val="17"/>
        </w:rPr>
        <w:t>.</w:t>
      </w:r>
    </w:p>
    <w:p w:rsidR="004F29EE" w:rsidRPr="004F29EE" w:rsidRDefault="004F29EE" w:rsidP="004F29EE">
      <w:pPr>
        <w:pStyle w:val="BodyTextMain"/>
        <w:rPr>
          <w:rFonts w:eastAsiaTheme="minorHAnsi"/>
          <w:lang w:val="en-GB" w:eastAsia="zh-CN"/>
        </w:rPr>
      </w:pPr>
    </w:p>
    <w:p w:rsidR="004F29EE" w:rsidRPr="004F29EE" w:rsidRDefault="004F29EE" w:rsidP="004F29EE">
      <w:pPr>
        <w:pStyle w:val="Casehead1"/>
        <w:jc w:val="center"/>
        <w:rPr>
          <w:lang w:val="en-GB" w:eastAsia="zh-CN"/>
        </w:rPr>
      </w:pPr>
      <w:r w:rsidRPr="004F29EE">
        <w:rPr>
          <w:lang w:val="en-GB" w:eastAsia="zh-CN"/>
        </w:rPr>
        <w:br w:type="page"/>
      </w:r>
      <w:r w:rsidRPr="004F29EE">
        <w:rPr>
          <w:lang w:val="en-GB" w:eastAsia="zh-CN"/>
        </w:rPr>
        <w:lastRenderedPageBreak/>
        <w:t>Exhibit 7: Tesla Balance Sheets, 2014–2016</w:t>
      </w:r>
    </w:p>
    <w:p w:rsidR="004F29EE" w:rsidRPr="004F29EE" w:rsidRDefault="004F29EE" w:rsidP="004F29EE">
      <w:pPr>
        <w:pStyle w:val="BodyTextMain"/>
        <w:rPr>
          <w:lang w:val="en-GB" w:eastAsia="zh-CN"/>
        </w:rPr>
      </w:pPr>
    </w:p>
    <w:tbl>
      <w:tblPr>
        <w:tblW w:w="9360" w:type="dxa"/>
        <w:tblLook w:val="04A0" w:firstRow="1" w:lastRow="0" w:firstColumn="1" w:lastColumn="0" w:noHBand="0" w:noVBand="1"/>
      </w:tblPr>
      <w:tblGrid>
        <w:gridCol w:w="5037"/>
        <w:gridCol w:w="1441"/>
        <w:gridCol w:w="1441"/>
        <w:gridCol w:w="1441"/>
      </w:tblGrid>
      <w:tr w:rsidR="004F29EE" w:rsidRPr="004F29EE" w:rsidTr="004F29EE">
        <w:trPr>
          <w:trHeight w:val="315"/>
        </w:trPr>
        <w:tc>
          <w:tcPr>
            <w:tcW w:w="5037" w:type="dxa"/>
            <w:tcBorders>
              <w:top w:val="single" w:sz="4" w:space="0" w:color="auto"/>
              <w:left w:val="nil"/>
              <w:bottom w:val="single" w:sz="4" w:space="0" w:color="auto"/>
              <w:right w:val="nil"/>
            </w:tcBorders>
            <w:shd w:val="clear" w:color="FFFFFF" w:fill="FFFFFF"/>
            <w:noWrap/>
            <w:vAlign w:val="bottom"/>
            <w:hideMark/>
          </w:tcPr>
          <w:p w:rsidR="004F29EE" w:rsidRPr="004F29EE" w:rsidRDefault="00FC50F2" w:rsidP="00FC50F2">
            <w:pPr>
              <w:rPr>
                <w:rFonts w:ascii="Arial" w:hAnsi="Arial" w:cs="Arial"/>
                <w:b/>
                <w:bCs/>
              </w:rPr>
            </w:pPr>
            <w:r>
              <w:rPr>
                <w:rFonts w:ascii="Arial" w:eastAsiaTheme="minorHAnsi" w:hAnsi="Arial" w:cs="Arial"/>
                <w:b/>
                <w:bCs/>
              </w:rPr>
              <w:t>In m</w:t>
            </w:r>
            <w:r w:rsidR="004F29EE" w:rsidRPr="004F29EE">
              <w:rPr>
                <w:rFonts w:ascii="Arial" w:eastAsiaTheme="minorHAnsi" w:hAnsi="Arial" w:cs="Arial"/>
                <w:b/>
                <w:bCs/>
              </w:rPr>
              <w:t>illions of US</w:t>
            </w:r>
            <w:r>
              <w:rPr>
                <w:rFonts w:ascii="Arial" w:eastAsiaTheme="minorHAnsi" w:hAnsi="Arial" w:cs="Arial"/>
                <w:b/>
                <w:bCs/>
              </w:rPr>
              <w:t>$</w:t>
            </w:r>
            <w:r w:rsidR="004F29EE" w:rsidRPr="004F29EE">
              <w:rPr>
                <w:rFonts w:ascii="Arial" w:eastAsiaTheme="minorHAnsi" w:hAnsi="Arial" w:cs="Arial"/>
                <w:b/>
                <w:bCs/>
              </w:rPr>
              <w:t xml:space="preserve"> (except for per share items)</w:t>
            </w:r>
          </w:p>
        </w:tc>
        <w:tc>
          <w:tcPr>
            <w:tcW w:w="1441"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b/>
                <w:bCs/>
                <w:color w:val="000000"/>
              </w:rPr>
            </w:pPr>
            <w:r w:rsidRPr="004F29EE">
              <w:rPr>
                <w:rFonts w:ascii="Arial" w:eastAsiaTheme="minorHAnsi" w:hAnsi="Arial" w:cs="Arial"/>
                <w:b/>
                <w:bCs/>
                <w:color w:val="000000"/>
              </w:rPr>
              <w:t>2014</w:t>
            </w:r>
          </w:p>
        </w:tc>
        <w:tc>
          <w:tcPr>
            <w:tcW w:w="1441"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b/>
                <w:bCs/>
                <w:color w:val="000000"/>
              </w:rPr>
            </w:pPr>
            <w:r w:rsidRPr="004F29EE">
              <w:rPr>
                <w:rFonts w:ascii="Arial" w:eastAsiaTheme="minorHAnsi" w:hAnsi="Arial" w:cs="Arial"/>
                <w:b/>
                <w:bCs/>
                <w:color w:val="000000"/>
              </w:rPr>
              <w:t>2015</w:t>
            </w:r>
          </w:p>
        </w:tc>
        <w:tc>
          <w:tcPr>
            <w:tcW w:w="1441"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b/>
                <w:bCs/>
                <w:color w:val="000000"/>
              </w:rPr>
            </w:pPr>
            <w:r w:rsidRPr="004F29EE">
              <w:rPr>
                <w:rFonts w:ascii="Arial" w:eastAsiaTheme="minorHAnsi" w:hAnsi="Arial" w:cs="Arial"/>
                <w:b/>
                <w:bCs/>
                <w:color w:val="000000"/>
              </w:rPr>
              <w:t>2016</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r w:rsidRPr="004F29EE">
              <w:rPr>
                <w:rFonts w:ascii="Arial" w:eastAsiaTheme="minorHAnsi" w:hAnsi="Arial" w:cs="Arial"/>
                <w:b/>
                <w:bCs/>
                <w:color w:val="000000"/>
              </w:rPr>
              <w:t>Assets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p>
        </w:tc>
        <w:tc>
          <w:tcPr>
            <w:tcW w:w="1441" w:type="dxa"/>
            <w:tcBorders>
              <w:top w:val="nil"/>
              <w:left w:val="nil"/>
              <w:bottom w:val="nil"/>
              <w:right w:val="nil"/>
            </w:tcBorders>
            <w:shd w:val="clear" w:color="auto" w:fill="auto"/>
            <w:noWrap/>
            <w:vAlign w:val="bottom"/>
            <w:hideMark/>
          </w:tcPr>
          <w:p w:rsidR="004F29EE" w:rsidRPr="004F29EE" w:rsidRDefault="004F29EE" w:rsidP="004F29EE">
            <w:pPr>
              <w:rPr>
                <w:rFonts w:eastAsiaTheme="minorHAnsi"/>
              </w:rPr>
            </w:pPr>
          </w:p>
        </w:tc>
        <w:tc>
          <w:tcPr>
            <w:tcW w:w="1441" w:type="dxa"/>
            <w:tcBorders>
              <w:top w:val="nil"/>
              <w:left w:val="nil"/>
              <w:bottom w:val="nil"/>
              <w:right w:val="nil"/>
            </w:tcBorders>
            <w:shd w:val="clear" w:color="auto" w:fill="auto"/>
            <w:noWrap/>
            <w:vAlign w:val="bottom"/>
            <w:hideMark/>
          </w:tcPr>
          <w:p w:rsidR="004F29EE" w:rsidRPr="004F29EE" w:rsidRDefault="004F29EE" w:rsidP="004F29EE">
            <w:pPr>
              <w:rPr>
                <w:rFonts w:eastAsiaTheme="minorHAnsi"/>
              </w:rPr>
            </w:pP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Cash and cash equivalents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1,906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1,197</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3,393</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Restricted cash</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23</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106</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Accounts receivable, net</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227</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169</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499</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Inventory</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954</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1,278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2,067</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Prepaid expenses and other current assets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76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116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194</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Total current assets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3,180</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2,782</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6,260</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Property, plant and equipment, net</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2,596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5,195</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15,037</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Other assets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55</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78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1,367</w:t>
            </w:r>
          </w:p>
        </w:tc>
      </w:tr>
      <w:tr w:rsidR="004F29EE" w:rsidRPr="004F29EE" w:rsidTr="004F29EE">
        <w:trPr>
          <w:trHeight w:val="315"/>
        </w:trPr>
        <w:tc>
          <w:tcPr>
            <w:tcW w:w="5037" w:type="dxa"/>
            <w:tcBorders>
              <w:top w:val="nil"/>
              <w:left w:val="nil"/>
              <w:bottom w:val="single" w:sz="4" w:space="0" w:color="auto"/>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r w:rsidRPr="004F29EE">
              <w:rPr>
                <w:rFonts w:ascii="Arial" w:eastAsiaTheme="minorHAnsi" w:hAnsi="Arial" w:cs="Arial"/>
                <w:b/>
                <w:bCs/>
                <w:color w:val="000000"/>
              </w:rPr>
              <w:t>Total assets</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5,831</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8,068</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22,664</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r w:rsidRPr="004F29EE">
              <w:rPr>
                <w:rFonts w:ascii="Arial" w:eastAsiaTheme="minorHAnsi" w:hAnsi="Arial" w:cs="Arial"/>
                <w:b/>
                <w:bCs/>
                <w:color w:val="000000"/>
              </w:rPr>
              <w:t>Liabilities and Equity</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eastAsiaTheme="minorHAnsi"/>
              </w:rPr>
            </w:pP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eastAsiaTheme="minorHAnsi"/>
              </w:rPr>
            </w:pP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Accounts payable</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778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916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1,860</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Accrued liabilities and other</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526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843</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2,053</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Deferred revenue</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192</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424</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763</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Current portion of long-term debt and capital leases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611</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628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1,150</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Total current liabilities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2,107</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2,811</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5,827</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Deferred revenue, net of current portion</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292</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446</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852</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Long-term debt and capital leases, net of current portion</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1,819</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2,021</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5,970</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Resale value guarantees, net of current portion</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488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1,294</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2,210</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Other long-term liabilities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155</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365</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1,891</w:t>
            </w:r>
          </w:p>
        </w:tc>
      </w:tr>
      <w:tr w:rsidR="004F29EE" w:rsidRPr="004F29EE" w:rsidTr="004F29EE">
        <w:trPr>
          <w:trHeight w:val="315"/>
        </w:trPr>
        <w:tc>
          <w:tcPr>
            <w:tcW w:w="5037" w:type="dxa"/>
            <w:tcBorders>
              <w:top w:val="nil"/>
              <w:left w:val="nil"/>
              <w:bottom w:val="single" w:sz="4" w:space="0" w:color="auto"/>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r w:rsidRPr="004F29EE">
              <w:rPr>
                <w:rFonts w:ascii="Arial" w:eastAsiaTheme="minorHAnsi" w:hAnsi="Arial" w:cs="Arial"/>
                <w:b/>
                <w:bCs/>
                <w:color w:val="000000"/>
              </w:rPr>
              <w:t>Total liabilities</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4,861</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6,937</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16,750</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Redeemable noncontrolling interests in subsidiaries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0</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0</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367</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Convertible senior notes</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58</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42</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9</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FC50F2">
            <w:pPr>
              <w:rPr>
                <w:rFonts w:ascii="Arial" w:eastAsiaTheme="minorHAnsi" w:hAnsi="Arial" w:cs="Arial"/>
                <w:b/>
                <w:bCs/>
                <w:color w:val="000000"/>
              </w:rPr>
            </w:pPr>
            <w:r w:rsidRPr="004F29EE">
              <w:rPr>
                <w:rFonts w:ascii="Arial" w:eastAsiaTheme="minorHAnsi" w:hAnsi="Arial" w:cs="Arial"/>
                <w:b/>
                <w:bCs/>
                <w:color w:val="000000"/>
              </w:rPr>
              <w:t>Stockholders</w:t>
            </w:r>
            <w:r w:rsidR="00FC50F2">
              <w:rPr>
                <w:rFonts w:ascii="Arial" w:eastAsiaTheme="minorHAnsi" w:hAnsi="Arial" w:cs="Arial"/>
                <w:b/>
                <w:bCs/>
                <w:color w:val="000000"/>
              </w:rPr>
              <w:t>’</w:t>
            </w:r>
            <w:r w:rsidRPr="004F29EE">
              <w:rPr>
                <w:rFonts w:ascii="Arial" w:eastAsiaTheme="minorHAnsi" w:hAnsi="Arial" w:cs="Arial"/>
                <w:b/>
                <w:bCs/>
                <w:color w:val="000000"/>
              </w:rPr>
              <w:t xml:space="preserve"> equity:</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eastAsiaTheme="minorHAnsi"/>
              </w:rPr>
            </w:pP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eastAsiaTheme="minorHAnsi"/>
              </w:rPr>
            </w:pP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Common stock</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0.1</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0.1</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0.1</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Additional paid-in capital</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2,345</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3,409</w:t>
            </w:r>
          </w:p>
        </w:tc>
        <w:tc>
          <w:tcPr>
            <w:tcW w:w="1441"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7,774</w:t>
            </w:r>
          </w:p>
        </w:tc>
      </w:tr>
      <w:tr w:rsidR="004F29EE" w:rsidRPr="004F29EE" w:rsidTr="004F29EE">
        <w:trPr>
          <w:trHeight w:val="315"/>
        </w:trPr>
        <w:tc>
          <w:tcPr>
            <w:tcW w:w="5037" w:type="dxa"/>
            <w:tcBorders>
              <w:top w:val="nil"/>
              <w:left w:val="nil"/>
              <w:bottom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bookmarkStart w:id="1" w:name="_Hlk486417779"/>
            <w:r w:rsidRPr="004F29EE">
              <w:rPr>
                <w:rFonts w:ascii="Arial" w:eastAsiaTheme="minorHAnsi" w:hAnsi="Arial" w:cs="Arial"/>
                <w:color w:val="000000"/>
              </w:rPr>
              <w:t>Accumulated deficit</w:t>
            </w:r>
          </w:p>
        </w:tc>
        <w:tc>
          <w:tcPr>
            <w:tcW w:w="1441"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eastAsiaTheme="minorHAnsi" w:hAnsi="Arial" w:cs="Arial"/>
                <w:color w:val="000000"/>
              </w:rPr>
            </w:pPr>
            <w:r>
              <w:rPr>
                <w:rFonts w:ascii="Arial" w:eastAsiaTheme="minorHAnsi" w:hAnsi="Arial" w:cs="Arial"/>
                <w:color w:val="000000"/>
              </w:rPr>
              <w:t>−</w:t>
            </w:r>
            <w:r w:rsidR="004F29EE" w:rsidRPr="004F29EE">
              <w:rPr>
                <w:rFonts w:ascii="Arial" w:eastAsiaTheme="minorHAnsi" w:hAnsi="Arial" w:cs="Arial"/>
                <w:color w:val="000000"/>
              </w:rPr>
              <w:t>1,434</w:t>
            </w:r>
          </w:p>
        </w:tc>
        <w:tc>
          <w:tcPr>
            <w:tcW w:w="1441"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eastAsiaTheme="minorHAnsi" w:hAnsi="Arial" w:cs="Arial"/>
                <w:color w:val="000000"/>
              </w:rPr>
            </w:pPr>
            <w:r>
              <w:rPr>
                <w:rFonts w:ascii="Arial" w:eastAsiaTheme="minorHAnsi" w:hAnsi="Arial" w:cs="Arial"/>
                <w:color w:val="000000"/>
              </w:rPr>
              <w:t>−</w:t>
            </w:r>
            <w:r w:rsidR="004F29EE" w:rsidRPr="004F29EE">
              <w:rPr>
                <w:rFonts w:ascii="Arial" w:eastAsiaTheme="minorHAnsi" w:hAnsi="Arial" w:cs="Arial"/>
                <w:color w:val="000000"/>
              </w:rPr>
              <w:t>2,322</w:t>
            </w:r>
          </w:p>
        </w:tc>
        <w:tc>
          <w:tcPr>
            <w:tcW w:w="1441" w:type="dxa"/>
            <w:tcBorders>
              <w:top w:val="nil"/>
              <w:left w:val="nil"/>
              <w:bottom w:val="nil"/>
              <w:right w:val="nil"/>
            </w:tcBorders>
            <w:shd w:val="clear" w:color="auto" w:fill="auto"/>
            <w:noWrap/>
            <w:vAlign w:val="bottom"/>
            <w:hideMark/>
          </w:tcPr>
          <w:p w:rsidR="004F29EE" w:rsidRPr="004F29EE" w:rsidRDefault="00FC50F2" w:rsidP="004F29EE">
            <w:pPr>
              <w:jc w:val="right"/>
              <w:rPr>
                <w:rFonts w:ascii="Arial" w:eastAsiaTheme="minorHAnsi" w:hAnsi="Arial" w:cs="Arial"/>
                <w:color w:val="000000"/>
              </w:rPr>
            </w:pPr>
            <w:r>
              <w:rPr>
                <w:rFonts w:ascii="Arial" w:eastAsiaTheme="minorHAnsi" w:hAnsi="Arial" w:cs="Arial"/>
                <w:color w:val="000000"/>
              </w:rPr>
              <w:t>−</w:t>
            </w:r>
            <w:r w:rsidR="004F29EE" w:rsidRPr="004F29EE">
              <w:rPr>
                <w:rFonts w:ascii="Arial" w:eastAsiaTheme="minorHAnsi" w:hAnsi="Arial" w:cs="Arial"/>
                <w:color w:val="000000"/>
              </w:rPr>
              <w:t>2,997</w:t>
            </w:r>
          </w:p>
        </w:tc>
      </w:tr>
      <w:tr w:rsidR="004F29EE" w:rsidRPr="004F29EE" w:rsidTr="004F29EE">
        <w:trPr>
          <w:trHeight w:val="315"/>
        </w:trPr>
        <w:tc>
          <w:tcPr>
            <w:tcW w:w="5037" w:type="dxa"/>
            <w:tcBorders>
              <w:top w:val="nil"/>
              <w:left w:val="nil"/>
              <w:right w:val="nil"/>
            </w:tcBorders>
            <w:shd w:val="clear" w:color="auto" w:fill="auto"/>
            <w:noWrap/>
            <w:vAlign w:val="bottom"/>
            <w:hideMark/>
          </w:tcPr>
          <w:p w:rsidR="004F29EE" w:rsidRPr="004F29EE" w:rsidRDefault="004F29EE" w:rsidP="004F29EE">
            <w:pPr>
              <w:rPr>
                <w:rFonts w:ascii="Arial" w:eastAsiaTheme="minorHAnsi" w:hAnsi="Arial" w:cs="Arial"/>
                <w:color w:val="000000"/>
              </w:rPr>
            </w:pPr>
            <w:r w:rsidRPr="004F29EE">
              <w:rPr>
                <w:rFonts w:ascii="Arial" w:eastAsiaTheme="minorHAnsi" w:hAnsi="Arial" w:cs="Arial"/>
                <w:color w:val="000000"/>
              </w:rPr>
              <w:t>Other equity</w:t>
            </w:r>
          </w:p>
        </w:tc>
        <w:tc>
          <w:tcPr>
            <w:tcW w:w="1441" w:type="dxa"/>
            <w:tcBorders>
              <w:top w:val="nil"/>
              <w:left w:val="nil"/>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0</w:t>
            </w:r>
          </w:p>
        </w:tc>
        <w:tc>
          <w:tcPr>
            <w:tcW w:w="1441" w:type="dxa"/>
            <w:tcBorders>
              <w:top w:val="nil"/>
              <w:left w:val="nil"/>
              <w:right w:val="nil"/>
            </w:tcBorders>
            <w:shd w:val="clear" w:color="auto" w:fill="auto"/>
            <w:noWrap/>
            <w:vAlign w:val="bottom"/>
            <w:hideMark/>
          </w:tcPr>
          <w:p w:rsidR="004F29EE" w:rsidRPr="004F29EE" w:rsidRDefault="00FC50F2" w:rsidP="004F29EE">
            <w:pPr>
              <w:jc w:val="right"/>
              <w:rPr>
                <w:rFonts w:ascii="Arial" w:eastAsiaTheme="minorHAnsi" w:hAnsi="Arial" w:cs="Arial"/>
                <w:color w:val="000000"/>
              </w:rPr>
            </w:pPr>
            <w:r>
              <w:rPr>
                <w:rFonts w:ascii="Arial" w:eastAsiaTheme="minorHAnsi" w:hAnsi="Arial" w:cs="Arial"/>
                <w:color w:val="000000"/>
              </w:rPr>
              <w:t>−</w:t>
            </w:r>
            <w:r w:rsidR="004F29EE" w:rsidRPr="004F29EE">
              <w:rPr>
                <w:rFonts w:ascii="Arial" w:eastAsiaTheme="minorHAnsi" w:hAnsi="Arial" w:cs="Arial"/>
                <w:color w:val="000000"/>
              </w:rPr>
              <w:t>45</w:t>
            </w:r>
          </w:p>
        </w:tc>
        <w:tc>
          <w:tcPr>
            <w:tcW w:w="1441" w:type="dxa"/>
            <w:tcBorders>
              <w:top w:val="nil"/>
              <w:left w:val="nil"/>
              <w:right w:val="nil"/>
            </w:tcBorders>
            <w:shd w:val="clear" w:color="auto" w:fill="auto"/>
            <w:noWrap/>
            <w:vAlign w:val="bottom"/>
            <w:hideMark/>
          </w:tcPr>
          <w:p w:rsidR="004F29EE" w:rsidRPr="004F29EE" w:rsidRDefault="00FC50F2" w:rsidP="004F29EE">
            <w:pPr>
              <w:jc w:val="right"/>
              <w:rPr>
                <w:rFonts w:ascii="Arial" w:eastAsiaTheme="minorHAnsi" w:hAnsi="Arial" w:cs="Arial"/>
                <w:color w:val="000000"/>
              </w:rPr>
            </w:pPr>
            <w:r>
              <w:rPr>
                <w:rFonts w:ascii="Arial" w:eastAsiaTheme="minorHAnsi" w:hAnsi="Arial" w:cs="Arial"/>
                <w:color w:val="000000"/>
              </w:rPr>
              <w:t>−</w:t>
            </w:r>
            <w:r w:rsidR="004F29EE" w:rsidRPr="004F29EE">
              <w:rPr>
                <w:rFonts w:ascii="Arial" w:eastAsiaTheme="minorHAnsi" w:hAnsi="Arial" w:cs="Arial"/>
                <w:color w:val="000000"/>
              </w:rPr>
              <w:t>400</w:t>
            </w:r>
          </w:p>
        </w:tc>
      </w:tr>
      <w:bookmarkEnd w:id="1"/>
      <w:tr w:rsidR="004F29EE" w:rsidRPr="004F29EE" w:rsidTr="004F29EE">
        <w:trPr>
          <w:trHeight w:val="315"/>
        </w:trPr>
        <w:tc>
          <w:tcPr>
            <w:tcW w:w="5037" w:type="dxa"/>
            <w:tcBorders>
              <w:top w:val="nil"/>
              <w:left w:val="nil"/>
              <w:bottom w:val="single" w:sz="4" w:space="0" w:color="auto"/>
              <w:right w:val="nil"/>
            </w:tcBorders>
            <w:shd w:val="clear" w:color="auto" w:fill="auto"/>
            <w:noWrap/>
            <w:vAlign w:val="bottom"/>
            <w:hideMark/>
          </w:tcPr>
          <w:p w:rsidR="004F29EE" w:rsidRPr="004F29EE" w:rsidRDefault="004F29EE" w:rsidP="00FC50F2">
            <w:pPr>
              <w:rPr>
                <w:rFonts w:ascii="Arial" w:eastAsiaTheme="minorHAnsi" w:hAnsi="Arial" w:cs="Arial"/>
                <w:b/>
                <w:bCs/>
                <w:color w:val="000000"/>
              </w:rPr>
            </w:pPr>
            <w:r w:rsidRPr="004F29EE">
              <w:rPr>
                <w:rFonts w:ascii="Arial" w:eastAsiaTheme="minorHAnsi" w:hAnsi="Arial" w:cs="Arial"/>
                <w:b/>
                <w:bCs/>
                <w:color w:val="000000"/>
              </w:rPr>
              <w:t>Total stockholders</w:t>
            </w:r>
            <w:r w:rsidR="00FC50F2">
              <w:rPr>
                <w:rFonts w:ascii="Arial" w:eastAsiaTheme="minorHAnsi" w:hAnsi="Arial" w:cs="Arial"/>
                <w:b/>
                <w:bCs/>
                <w:color w:val="000000"/>
              </w:rPr>
              <w:t>’</w:t>
            </w:r>
            <w:r w:rsidRPr="004F29EE">
              <w:rPr>
                <w:rFonts w:ascii="Arial" w:eastAsiaTheme="minorHAnsi" w:hAnsi="Arial" w:cs="Arial"/>
                <w:b/>
                <w:bCs/>
                <w:color w:val="000000"/>
              </w:rPr>
              <w:t xml:space="preserve"> equity</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970</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1,084</w:t>
            </w:r>
          </w:p>
        </w:tc>
        <w:tc>
          <w:tcPr>
            <w:tcW w:w="1441"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4,753</w:t>
            </w:r>
          </w:p>
        </w:tc>
      </w:tr>
      <w:tr w:rsidR="004F29EE" w:rsidRPr="004F29EE" w:rsidTr="004F29EE">
        <w:trPr>
          <w:trHeight w:val="315"/>
        </w:trPr>
        <w:tc>
          <w:tcPr>
            <w:tcW w:w="5037"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rPr>
                <w:rFonts w:ascii="Arial" w:eastAsiaTheme="minorHAnsi" w:hAnsi="Arial" w:cs="Arial"/>
                <w:b/>
                <w:bCs/>
                <w:color w:val="000000"/>
              </w:rPr>
            </w:pPr>
            <w:r w:rsidRPr="004F29EE">
              <w:rPr>
                <w:rFonts w:ascii="Arial" w:eastAsiaTheme="minorHAnsi" w:hAnsi="Arial" w:cs="Arial"/>
                <w:b/>
                <w:bCs/>
                <w:color w:val="000000"/>
              </w:rPr>
              <w:t>Total liabilities and equity</w:t>
            </w:r>
          </w:p>
        </w:tc>
        <w:tc>
          <w:tcPr>
            <w:tcW w:w="1441"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5,831</w:t>
            </w:r>
          </w:p>
        </w:tc>
        <w:tc>
          <w:tcPr>
            <w:tcW w:w="1441"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8,068</w:t>
            </w:r>
          </w:p>
        </w:tc>
        <w:tc>
          <w:tcPr>
            <w:tcW w:w="1441"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eastAsiaTheme="minorHAnsi" w:hAnsi="Arial" w:cs="Arial"/>
                <w:color w:val="000000"/>
              </w:rPr>
            </w:pPr>
            <w:r w:rsidRPr="004F29EE">
              <w:rPr>
                <w:rFonts w:ascii="Arial" w:eastAsiaTheme="minorHAnsi" w:hAnsi="Arial" w:cs="Arial"/>
                <w:color w:val="000000"/>
              </w:rPr>
              <w:t>22,664</w:t>
            </w:r>
          </w:p>
        </w:tc>
      </w:tr>
    </w:tbl>
    <w:p w:rsidR="004F29EE" w:rsidRDefault="004F29EE" w:rsidP="004F29EE">
      <w:pPr>
        <w:pStyle w:val="FootnoteText1"/>
        <w:rPr>
          <w:rFonts w:eastAsiaTheme="minorHAnsi"/>
        </w:rPr>
      </w:pPr>
    </w:p>
    <w:p w:rsidR="004F29EE" w:rsidRPr="004F29EE" w:rsidRDefault="004F29EE" w:rsidP="004F29EE">
      <w:pPr>
        <w:pStyle w:val="FootnoteText1"/>
        <w:rPr>
          <w:rFonts w:eastAsiaTheme="minorHAnsi"/>
        </w:rPr>
      </w:pPr>
      <w:r w:rsidRPr="004F29EE">
        <w:rPr>
          <w:rFonts w:eastAsiaTheme="minorHAnsi"/>
        </w:rPr>
        <w:t xml:space="preserve">Source: Tesla SEC 10K Filings, Tesla Motors Inc., accessed June 14 2017, </w:t>
      </w:r>
      <w:hyperlink r:id="rId13" w:history="1">
        <w:r w:rsidRPr="004F29EE">
          <w:rPr>
            <w:rFonts w:eastAsiaTheme="minorHAnsi"/>
          </w:rPr>
          <w:t>http://ir.tesla.com/secfiling.cfm?filingid=1564590-17-3118&amp;cik=1318605</w:t>
        </w:r>
      </w:hyperlink>
      <w:r w:rsidRPr="004F29EE">
        <w:rPr>
          <w:rFonts w:eastAsiaTheme="minorHAnsi"/>
        </w:rPr>
        <w:t>.</w:t>
      </w:r>
    </w:p>
    <w:p w:rsidR="004F29EE" w:rsidRPr="00FC50F2" w:rsidRDefault="004F29EE" w:rsidP="00FC50F2">
      <w:pPr>
        <w:pStyle w:val="FootnoteText1"/>
        <w:rPr>
          <w:rFonts w:eastAsiaTheme="minorHAnsi"/>
          <w:lang w:val="en-GB" w:eastAsia="zh-CN"/>
        </w:rPr>
      </w:pPr>
      <w:r w:rsidRPr="004F29EE">
        <w:rPr>
          <w:rFonts w:eastAsiaTheme="minorHAnsi"/>
          <w:b/>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8: Tesla Cash Flow Statements, 2014–2016</w:t>
      </w:r>
    </w:p>
    <w:p w:rsidR="004F29EE" w:rsidRPr="004F29EE" w:rsidRDefault="004F29EE" w:rsidP="004F29EE">
      <w:pPr>
        <w:pStyle w:val="BodyTextMain"/>
        <w:rPr>
          <w:lang w:val="en-GB" w:eastAsia="zh-CN"/>
        </w:rPr>
      </w:pPr>
    </w:p>
    <w:tbl>
      <w:tblPr>
        <w:tblW w:w="9360" w:type="dxa"/>
        <w:tblLook w:val="04A0" w:firstRow="1" w:lastRow="0" w:firstColumn="1" w:lastColumn="0" w:noHBand="0" w:noVBand="1"/>
      </w:tblPr>
      <w:tblGrid>
        <w:gridCol w:w="5241"/>
        <w:gridCol w:w="1373"/>
        <w:gridCol w:w="1373"/>
        <w:gridCol w:w="1373"/>
      </w:tblGrid>
      <w:tr w:rsidR="004F29EE" w:rsidRPr="004F29EE" w:rsidTr="004F29EE">
        <w:trPr>
          <w:trHeight w:val="315"/>
        </w:trPr>
        <w:tc>
          <w:tcPr>
            <w:tcW w:w="5241" w:type="dxa"/>
            <w:tcBorders>
              <w:top w:val="single" w:sz="4" w:space="0" w:color="auto"/>
              <w:left w:val="nil"/>
              <w:bottom w:val="single" w:sz="4" w:space="0" w:color="auto"/>
              <w:right w:val="nil"/>
            </w:tcBorders>
            <w:shd w:val="clear" w:color="FFFFFF" w:fill="FFFFFF"/>
            <w:noWrap/>
            <w:vAlign w:val="bottom"/>
            <w:hideMark/>
          </w:tcPr>
          <w:p w:rsidR="004F29EE" w:rsidRPr="004F29EE" w:rsidRDefault="004F29EE" w:rsidP="0032193C">
            <w:pPr>
              <w:rPr>
                <w:rFonts w:ascii="Arial" w:hAnsi="Arial" w:cs="Arial"/>
                <w:b/>
                <w:bCs/>
              </w:rPr>
            </w:pPr>
            <w:r w:rsidRPr="004F29EE">
              <w:rPr>
                <w:rFonts w:ascii="Arial" w:hAnsi="Arial" w:cs="Arial"/>
                <w:b/>
                <w:bCs/>
              </w:rPr>
              <w:t xml:space="preserve">In </w:t>
            </w:r>
            <w:r w:rsidR="0032193C">
              <w:rPr>
                <w:rFonts w:ascii="Arial" w:hAnsi="Arial" w:cs="Arial"/>
                <w:b/>
                <w:bCs/>
              </w:rPr>
              <w:t>m</w:t>
            </w:r>
            <w:r w:rsidRPr="004F29EE">
              <w:rPr>
                <w:rFonts w:ascii="Arial" w:hAnsi="Arial" w:cs="Arial"/>
                <w:b/>
                <w:bCs/>
              </w:rPr>
              <w:t>illions of US</w:t>
            </w:r>
            <w:r w:rsidR="0032193C">
              <w:rPr>
                <w:rFonts w:ascii="Arial" w:hAnsi="Arial" w:cs="Arial"/>
                <w:b/>
                <w:bCs/>
              </w:rPr>
              <w:t>$</w:t>
            </w:r>
            <w:r w:rsidRPr="004F29EE">
              <w:rPr>
                <w:rFonts w:ascii="Arial" w:hAnsi="Arial" w:cs="Arial"/>
                <w:b/>
                <w:bCs/>
              </w:rPr>
              <w:t xml:space="preserve"> (except for per share items)</w:t>
            </w:r>
          </w:p>
        </w:tc>
        <w:tc>
          <w:tcPr>
            <w:tcW w:w="1373"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2014</w:t>
            </w:r>
          </w:p>
        </w:tc>
        <w:tc>
          <w:tcPr>
            <w:tcW w:w="1373"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2015</w:t>
            </w:r>
          </w:p>
        </w:tc>
        <w:tc>
          <w:tcPr>
            <w:tcW w:w="1373" w:type="dxa"/>
            <w:tcBorders>
              <w:top w:val="single" w:sz="4" w:space="0" w:color="auto"/>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b/>
                <w:bCs/>
                <w:color w:val="000000"/>
              </w:rPr>
            </w:pPr>
            <w:r w:rsidRPr="004F29EE">
              <w:rPr>
                <w:rFonts w:ascii="Arial" w:hAnsi="Arial" w:cs="Arial"/>
                <w:b/>
                <w:bCs/>
                <w:color w:val="000000"/>
              </w:rPr>
              <w:t>2016</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r w:rsidRPr="004F29EE">
              <w:rPr>
                <w:rFonts w:ascii="Arial" w:hAnsi="Arial" w:cs="Arial"/>
                <w:b/>
                <w:bCs/>
                <w:color w:val="000000"/>
              </w:rPr>
              <w:t>Cash Flows from Operating Activities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p>
        </w:tc>
        <w:tc>
          <w:tcPr>
            <w:tcW w:w="1373" w:type="dxa"/>
            <w:tcBorders>
              <w:top w:val="nil"/>
              <w:left w:val="nil"/>
              <w:bottom w:val="nil"/>
              <w:right w:val="nil"/>
            </w:tcBorders>
            <w:shd w:val="clear" w:color="auto" w:fill="auto"/>
            <w:noWrap/>
            <w:vAlign w:val="bottom"/>
            <w:hideMark/>
          </w:tcPr>
          <w:p w:rsidR="004F29EE" w:rsidRPr="004F29EE" w:rsidRDefault="004F29EE" w:rsidP="004F29EE"/>
        </w:tc>
        <w:tc>
          <w:tcPr>
            <w:tcW w:w="1373" w:type="dxa"/>
            <w:tcBorders>
              <w:top w:val="nil"/>
              <w:left w:val="nil"/>
              <w:bottom w:val="nil"/>
              <w:right w:val="nil"/>
            </w:tcBorders>
            <w:shd w:val="clear" w:color="auto" w:fill="auto"/>
            <w:noWrap/>
            <w:vAlign w:val="bottom"/>
            <w:hideMark/>
          </w:tcPr>
          <w:p w:rsidR="004F29EE" w:rsidRPr="004F29EE" w:rsidRDefault="004F29EE" w:rsidP="004F29EE"/>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loss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294</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889</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773</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Depreciation and amortization</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232</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423</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947</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Non-cash interest and other operating activities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262</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435</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485</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Gain on the acquisition of SolarCity</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-89</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Other assets and Receivables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1,299</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1,582</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2,675</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Accounts payable and accrued liabilities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980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1,065</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1,849</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Other long-term liabilities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62</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24</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132</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used in operating activities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57</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524</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124</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32193C">
            <w:pPr>
              <w:spacing w:before="120" w:after="120"/>
              <w:rPr>
                <w:rFonts w:ascii="Arial" w:hAnsi="Arial" w:cs="Arial"/>
                <w:b/>
                <w:bCs/>
                <w:color w:val="000000"/>
              </w:rPr>
            </w:pPr>
            <w:r w:rsidRPr="004F29EE">
              <w:rPr>
                <w:rFonts w:ascii="Arial" w:hAnsi="Arial" w:cs="Arial"/>
                <w:b/>
                <w:bCs/>
                <w:color w:val="000000"/>
              </w:rPr>
              <w:t>Cash Flows from Investing Activities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pP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pP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Purchases of property and equipment excluding capital leases, net of sales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970</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1,635</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1,281</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Purchase of solar energy system, leased to be leased</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160</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Other Investing Activities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21</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26</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189</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Cash acquired through (used in) business combinations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12</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214</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used in investing activities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990</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1,674</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1,416</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32193C">
            <w:pPr>
              <w:spacing w:before="120" w:after="120"/>
              <w:rPr>
                <w:rFonts w:ascii="Arial" w:hAnsi="Arial" w:cs="Arial"/>
                <w:b/>
                <w:bCs/>
                <w:color w:val="000000"/>
              </w:rPr>
            </w:pPr>
            <w:r w:rsidRPr="004F29EE">
              <w:rPr>
                <w:rFonts w:ascii="Arial" w:hAnsi="Arial" w:cs="Arial"/>
                <w:b/>
                <w:bCs/>
                <w:color w:val="000000"/>
              </w:rPr>
              <w:t>Cash Flows from Financing Activities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b/>
                <w:bCs/>
                <w:color w:val="000000"/>
              </w:rPr>
            </w:pP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pP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pP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Proceeds from issuance of common stock in public offering</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730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1,702</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Proceeds from issuance of convertible and other debt</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2,300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319</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2,853</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Repayments of convertible and other debt</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0</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1,858</w:t>
            </w:r>
          </w:p>
        </w:tc>
      </w:tr>
      <w:tr w:rsidR="004F29EE" w:rsidRPr="004F29EE" w:rsidTr="004F29EE">
        <w:trPr>
          <w:trHeight w:val="315"/>
        </w:trPr>
        <w:tc>
          <w:tcPr>
            <w:tcW w:w="5241" w:type="dxa"/>
            <w:tcBorders>
              <w:top w:val="nil"/>
              <w:left w:val="nil"/>
              <w:bottom w:val="nil"/>
              <w:right w:val="nil"/>
            </w:tcBorders>
            <w:shd w:val="clear" w:color="FFFFFF" w:fill="FFFFFF"/>
            <w:noWrap/>
            <w:vAlign w:val="bottom"/>
            <w:hideMark/>
          </w:tcPr>
          <w:p w:rsidR="004F29EE" w:rsidRPr="004F29EE" w:rsidRDefault="004F29EE" w:rsidP="004F29EE">
            <w:pPr>
              <w:rPr>
                <w:rFonts w:ascii="Arial" w:hAnsi="Arial" w:cs="Arial"/>
              </w:rPr>
            </w:pPr>
            <w:r w:rsidRPr="004F29EE">
              <w:rPr>
                <w:rFonts w:ascii="Arial" w:hAnsi="Arial" w:cs="Arial"/>
              </w:rPr>
              <w:t>Other Financing Cash Flow Items</w:t>
            </w:r>
          </w:p>
        </w:tc>
        <w:tc>
          <w:tcPr>
            <w:tcW w:w="1373" w:type="dxa"/>
            <w:tcBorders>
              <w:top w:val="nil"/>
              <w:left w:val="nil"/>
              <w:bottom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157</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475</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1,047</w:t>
            </w:r>
          </w:p>
        </w:tc>
      </w:tr>
      <w:tr w:rsidR="004F29EE" w:rsidRPr="004F29EE" w:rsidTr="004F29EE">
        <w:trPr>
          <w:trHeight w:val="315"/>
        </w:trPr>
        <w:tc>
          <w:tcPr>
            <w:tcW w:w="5241" w:type="dxa"/>
            <w:tcBorders>
              <w:top w:val="nil"/>
              <w:left w:val="nil"/>
              <w:bottom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cash provided by financing activities</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2,143</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1,524</w:t>
            </w:r>
          </w:p>
        </w:tc>
        <w:tc>
          <w:tcPr>
            <w:tcW w:w="1373" w:type="dxa"/>
            <w:tcBorders>
              <w:top w:val="nil"/>
              <w:left w:val="nil"/>
              <w:bottom w:val="nil"/>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3,744</w:t>
            </w:r>
          </w:p>
        </w:tc>
      </w:tr>
      <w:tr w:rsidR="004F29EE" w:rsidRPr="004F29EE" w:rsidTr="004F29EE">
        <w:trPr>
          <w:trHeight w:val="315"/>
        </w:trPr>
        <w:tc>
          <w:tcPr>
            <w:tcW w:w="5241" w:type="dxa"/>
            <w:tcBorders>
              <w:top w:val="nil"/>
              <w:left w:val="nil"/>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Effect of exchange rate changes on cash and cash equivalents</w:t>
            </w:r>
          </w:p>
        </w:tc>
        <w:tc>
          <w:tcPr>
            <w:tcW w:w="1373" w:type="dxa"/>
            <w:tcBorders>
              <w:top w:val="nil"/>
              <w:left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36</w:t>
            </w:r>
          </w:p>
        </w:tc>
        <w:tc>
          <w:tcPr>
            <w:tcW w:w="1373" w:type="dxa"/>
            <w:tcBorders>
              <w:top w:val="nil"/>
              <w:left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34</w:t>
            </w:r>
          </w:p>
        </w:tc>
        <w:tc>
          <w:tcPr>
            <w:tcW w:w="1373" w:type="dxa"/>
            <w:tcBorders>
              <w:top w:val="nil"/>
              <w:left w:val="nil"/>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w:t>
            </w:r>
          </w:p>
        </w:tc>
      </w:tr>
      <w:tr w:rsidR="004F29EE" w:rsidRPr="004F29EE" w:rsidTr="004F29EE">
        <w:trPr>
          <w:trHeight w:val="315"/>
        </w:trPr>
        <w:tc>
          <w:tcPr>
            <w:tcW w:w="5241" w:type="dxa"/>
            <w:tcBorders>
              <w:top w:val="nil"/>
              <w:left w:val="nil"/>
              <w:bottom w:val="single" w:sz="4" w:space="0" w:color="auto"/>
              <w:right w:val="nil"/>
            </w:tcBorders>
            <w:shd w:val="clear" w:color="auto" w:fill="auto"/>
            <w:noWrap/>
            <w:vAlign w:val="bottom"/>
            <w:hideMark/>
          </w:tcPr>
          <w:p w:rsidR="004F29EE" w:rsidRPr="004F29EE" w:rsidRDefault="004F29EE" w:rsidP="004F29EE">
            <w:pPr>
              <w:rPr>
                <w:rFonts w:ascii="Arial" w:hAnsi="Arial" w:cs="Arial"/>
                <w:color w:val="000000"/>
              </w:rPr>
            </w:pPr>
            <w:r w:rsidRPr="004F29EE">
              <w:rPr>
                <w:rFonts w:ascii="Arial" w:hAnsi="Arial" w:cs="Arial"/>
                <w:color w:val="000000"/>
              </w:rPr>
              <w:t>Net increase in cash and cash equivalents</w:t>
            </w:r>
          </w:p>
        </w:tc>
        <w:tc>
          <w:tcPr>
            <w:tcW w:w="1373"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1,060</w:t>
            </w:r>
          </w:p>
        </w:tc>
        <w:tc>
          <w:tcPr>
            <w:tcW w:w="1373" w:type="dxa"/>
            <w:tcBorders>
              <w:top w:val="nil"/>
              <w:left w:val="nil"/>
              <w:bottom w:val="single" w:sz="4" w:space="0" w:color="auto"/>
              <w:right w:val="nil"/>
            </w:tcBorders>
            <w:shd w:val="clear" w:color="auto" w:fill="auto"/>
            <w:noWrap/>
            <w:vAlign w:val="bottom"/>
            <w:hideMark/>
          </w:tcPr>
          <w:p w:rsidR="004F29EE" w:rsidRPr="004F29EE" w:rsidRDefault="0032193C" w:rsidP="004F29EE">
            <w:pPr>
              <w:jc w:val="right"/>
              <w:rPr>
                <w:rFonts w:ascii="Arial" w:hAnsi="Arial" w:cs="Arial"/>
                <w:color w:val="000000"/>
              </w:rPr>
            </w:pPr>
            <w:r>
              <w:rPr>
                <w:rFonts w:ascii="Arial" w:hAnsi="Arial" w:cs="Arial"/>
                <w:color w:val="000000"/>
              </w:rPr>
              <w:t>−</w:t>
            </w:r>
            <w:r w:rsidR="004F29EE" w:rsidRPr="004F29EE">
              <w:rPr>
                <w:rFonts w:ascii="Arial" w:hAnsi="Arial" w:cs="Arial"/>
                <w:color w:val="000000"/>
              </w:rPr>
              <w:t>709</w:t>
            </w:r>
          </w:p>
        </w:tc>
        <w:tc>
          <w:tcPr>
            <w:tcW w:w="1373" w:type="dxa"/>
            <w:tcBorders>
              <w:top w:val="nil"/>
              <w:left w:val="nil"/>
              <w:bottom w:val="single" w:sz="4" w:space="0" w:color="auto"/>
              <w:right w:val="nil"/>
            </w:tcBorders>
            <w:shd w:val="clear" w:color="auto" w:fill="auto"/>
            <w:noWrap/>
            <w:vAlign w:val="bottom"/>
            <w:hideMark/>
          </w:tcPr>
          <w:p w:rsidR="004F29EE" w:rsidRPr="004F29EE" w:rsidRDefault="004F29EE" w:rsidP="004F29EE">
            <w:pPr>
              <w:jc w:val="right"/>
              <w:rPr>
                <w:rFonts w:ascii="Arial" w:hAnsi="Arial" w:cs="Arial"/>
                <w:color w:val="000000"/>
              </w:rPr>
            </w:pPr>
            <w:r w:rsidRPr="004F29EE">
              <w:rPr>
                <w:rFonts w:ascii="Arial" w:hAnsi="Arial" w:cs="Arial"/>
                <w:color w:val="000000"/>
              </w:rPr>
              <w:t>2,196</w:t>
            </w:r>
          </w:p>
        </w:tc>
      </w:tr>
    </w:tbl>
    <w:p w:rsidR="004F29EE" w:rsidRDefault="004F29EE" w:rsidP="004F29EE">
      <w:pPr>
        <w:jc w:val="both"/>
        <w:rPr>
          <w:rFonts w:ascii="Arial" w:hAnsi="Arial" w:cs="Arial"/>
          <w:sz w:val="17"/>
          <w:szCs w:val="17"/>
        </w:rPr>
      </w:pPr>
    </w:p>
    <w:p w:rsidR="004F29EE" w:rsidRPr="004F29EE" w:rsidRDefault="004F29EE" w:rsidP="004F29EE">
      <w:pPr>
        <w:jc w:val="both"/>
        <w:rPr>
          <w:rFonts w:ascii="Arial" w:hAnsi="Arial" w:cs="Arial"/>
          <w:sz w:val="17"/>
          <w:szCs w:val="17"/>
          <w:lang w:val="en-GB" w:eastAsia="zh-CN"/>
        </w:rPr>
      </w:pPr>
      <w:r w:rsidRPr="004F29EE">
        <w:rPr>
          <w:rFonts w:ascii="Arial" w:hAnsi="Arial" w:cs="Arial"/>
          <w:sz w:val="17"/>
          <w:szCs w:val="17"/>
        </w:rPr>
        <w:t>Source: Tesla SEC 10K Filings, Tesla Motors Inc., accessed June 14 2017, http://ir.tesla.com/secfiling.cfm?filingid=1564590-17-3118&amp;cik=1318605.</w:t>
      </w:r>
    </w:p>
    <w:p w:rsidR="004F29EE" w:rsidRPr="004F29EE" w:rsidRDefault="004F29EE" w:rsidP="004F29EE">
      <w:pPr>
        <w:pStyle w:val="BodyTextMain"/>
        <w:rPr>
          <w:rFonts w:eastAsiaTheme="minorHAnsi"/>
          <w:lang w:val="en-GB" w:eastAsia="zh-CN"/>
        </w:rPr>
      </w:pPr>
      <w:r w:rsidRPr="004F29EE">
        <w:rPr>
          <w:rFonts w:eastAsiaTheme="minorHAnsi"/>
          <w:lang w:val="en-GB" w:eastAsia="zh-CN"/>
        </w:rPr>
        <w:br w:type="page"/>
      </w:r>
    </w:p>
    <w:p w:rsidR="004F29EE" w:rsidRPr="004F29EE" w:rsidRDefault="004F29EE" w:rsidP="004F29EE">
      <w:pPr>
        <w:pStyle w:val="Casehead1"/>
        <w:jc w:val="center"/>
        <w:rPr>
          <w:lang w:val="en-GB" w:eastAsia="zh-CN"/>
        </w:rPr>
      </w:pPr>
      <w:r w:rsidRPr="004F29EE">
        <w:rPr>
          <w:lang w:val="en-GB" w:eastAsia="zh-CN"/>
        </w:rPr>
        <w:lastRenderedPageBreak/>
        <w:t>Exhibit 9: Tesla Financial Ratios, 2014-2016</w:t>
      </w:r>
    </w:p>
    <w:p w:rsidR="004F29EE" w:rsidRPr="004F29EE" w:rsidRDefault="004F29EE" w:rsidP="004F29EE">
      <w:pPr>
        <w:jc w:val="both"/>
        <w:rPr>
          <w:sz w:val="22"/>
          <w:szCs w:val="22"/>
          <w:lang w:val="en-GB"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046"/>
        <w:gridCol w:w="2338"/>
        <w:gridCol w:w="2338"/>
      </w:tblGrid>
      <w:tr w:rsidR="007E3E49" w:rsidRPr="004F29EE" w:rsidTr="00CD5127">
        <w:tc>
          <w:tcPr>
            <w:tcW w:w="2628" w:type="dxa"/>
            <w:tcBorders>
              <w:top w:val="single" w:sz="4" w:space="0" w:color="auto"/>
              <w:bottom w:val="single" w:sz="4" w:space="0" w:color="auto"/>
            </w:tcBorders>
            <w:shd w:val="clear" w:color="auto" w:fill="auto"/>
          </w:tcPr>
          <w:p w:rsidR="007E3E49" w:rsidRPr="004F29EE" w:rsidRDefault="007E3E49" w:rsidP="00CD5127">
            <w:pPr>
              <w:tabs>
                <w:tab w:val="left" w:pos="-1440"/>
                <w:tab w:val="left" w:pos="-720"/>
                <w:tab w:val="left" w:pos="1"/>
                <w:tab w:val="right" w:pos="9000"/>
              </w:tabs>
              <w:jc w:val="both"/>
              <w:rPr>
                <w:rFonts w:ascii="Arial" w:hAnsi="Arial" w:cs="Arial"/>
                <w:iCs/>
                <w:lang w:val="en-GB"/>
              </w:rPr>
            </w:pPr>
          </w:p>
        </w:tc>
        <w:tc>
          <w:tcPr>
            <w:tcW w:w="2046" w:type="dxa"/>
            <w:tcBorders>
              <w:top w:val="single" w:sz="4" w:space="0" w:color="auto"/>
              <w:bottom w:val="single" w:sz="4" w:space="0" w:color="auto"/>
            </w:tcBorders>
            <w:shd w:val="clear" w:color="auto" w:fill="auto"/>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lang w:val="en-GB"/>
              </w:rPr>
              <w:t>2014</w:t>
            </w:r>
          </w:p>
        </w:tc>
        <w:tc>
          <w:tcPr>
            <w:tcW w:w="2338" w:type="dxa"/>
            <w:tcBorders>
              <w:top w:val="single" w:sz="4" w:space="0" w:color="auto"/>
              <w:bottom w:val="single" w:sz="4" w:space="0" w:color="auto"/>
            </w:tcBorders>
            <w:shd w:val="clear" w:color="auto" w:fill="auto"/>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lang w:val="en-GB"/>
              </w:rPr>
              <w:t>2015</w:t>
            </w:r>
          </w:p>
        </w:tc>
        <w:tc>
          <w:tcPr>
            <w:tcW w:w="2338" w:type="dxa"/>
            <w:tcBorders>
              <w:top w:val="single" w:sz="4" w:space="0" w:color="auto"/>
              <w:bottom w:val="single" w:sz="4" w:space="0" w:color="auto"/>
            </w:tcBorders>
            <w:shd w:val="clear" w:color="auto" w:fill="auto"/>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lang w:val="en-GB"/>
              </w:rPr>
              <w:t>2016</w:t>
            </w:r>
          </w:p>
        </w:tc>
      </w:tr>
      <w:tr w:rsidR="007E3E49" w:rsidRPr="004F29EE" w:rsidTr="00CD5127">
        <w:tc>
          <w:tcPr>
            <w:tcW w:w="2628" w:type="dxa"/>
            <w:tcBorders>
              <w:top w:val="single" w:sz="4" w:space="0" w:color="auto"/>
            </w:tcBorders>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lang w:val="en-GB"/>
              </w:rPr>
            </w:pPr>
            <w:r w:rsidRPr="004F29EE">
              <w:rPr>
                <w:rFonts w:ascii="Arial" w:hAnsi="Arial" w:cs="Arial"/>
                <w:b/>
                <w:bCs/>
                <w:iCs/>
              </w:rPr>
              <w:t>LIQUIDITY RATIOS</w:t>
            </w:r>
          </w:p>
        </w:tc>
        <w:tc>
          <w:tcPr>
            <w:tcW w:w="2046" w:type="dxa"/>
            <w:tcBorders>
              <w:top w:val="single" w:sz="4" w:space="0" w:color="auto"/>
            </w:tcBorders>
            <w:shd w:val="clear" w:color="auto" w:fill="auto"/>
          </w:tcPr>
          <w:p w:rsidR="007E3E49" w:rsidRPr="004F29EE" w:rsidRDefault="007E3E49" w:rsidP="00CD5127">
            <w:pPr>
              <w:tabs>
                <w:tab w:val="left" w:pos="-1440"/>
                <w:tab w:val="left" w:pos="-720"/>
                <w:tab w:val="left" w:pos="1"/>
                <w:tab w:val="right" w:pos="9000"/>
              </w:tabs>
              <w:jc w:val="right"/>
              <w:rPr>
                <w:rFonts w:ascii="Arial" w:hAnsi="Arial" w:cs="Arial"/>
                <w:iCs/>
                <w:lang w:val="en-GB"/>
              </w:rPr>
            </w:pPr>
          </w:p>
        </w:tc>
        <w:tc>
          <w:tcPr>
            <w:tcW w:w="2338" w:type="dxa"/>
            <w:tcBorders>
              <w:top w:val="single" w:sz="4" w:space="0" w:color="auto"/>
            </w:tcBorders>
            <w:shd w:val="clear" w:color="auto" w:fill="auto"/>
          </w:tcPr>
          <w:p w:rsidR="007E3E49" w:rsidRPr="004F29EE" w:rsidRDefault="007E3E49" w:rsidP="00CD5127">
            <w:pPr>
              <w:tabs>
                <w:tab w:val="left" w:pos="-1440"/>
                <w:tab w:val="left" w:pos="-720"/>
                <w:tab w:val="left" w:pos="1"/>
                <w:tab w:val="right" w:pos="9000"/>
              </w:tabs>
              <w:jc w:val="right"/>
              <w:rPr>
                <w:rFonts w:ascii="Arial" w:hAnsi="Arial" w:cs="Arial"/>
                <w:iCs/>
                <w:lang w:val="en-GB"/>
              </w:rPr>
            </w:pPr>
          </w:p>
        </w:tc>
        <w:tc>
          <w:tcPr>
            <w:tcW w:w="2338" w:type="dxa"/>
            <w:tcBorders>
              <w:top w:val="single" w:sz="4" w:space="0" w:color="auto"/>
            </w:tcBorders>
            <w:shd w:val="clear" w:color="auto" w:fill="auto"/>
          </w:tcPr>
          <w:p w:rsidR="007E3E49" w:rsidRPr="004F29EE" w:rsidRDefault="007E3E49" w:rsidP="00CD5127">
            <w:pPr>
              <w:tabs>
                <w:tab w:val="left" w:pos="-1440"/>
                <w:tab w:val="left" w:pos="-720"/>
                <w:tab w:val="left" w:pos="1"/>
                <w:tab w:val="right" w:pos="9000"/>
              </w:tabs>
              <w:jc w:val="right"/>
              <w:rPr>
                <w:rFonts w:ascii="Arial" w:hAnsi="Arial" w:cs="Arial"/>
                <w:iCs/>
                <w:lang w:val="en-GB"/>
              </w:rPr>
            </w:pP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lang w:val="en-GB"/>
              </w:rPr>
            </w:pPr>
            <w:r w:rsidRPr="004F29EE">
              <w:rPr>
                <w:rFonts w:ascii="Arial" w:hAnsi="Arial" w:cs="Arial"/>
                <w:iCs/>
              </w:rPr>
              <w:t>Cash to Total Assets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0.33</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0.15</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0.15</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lang w:val="en-GB"/>
              </w:rPr>
            </w:pPr>
            <w:r w:rsidRPr="004F29EE">
              <w:rPr>
                <w:rFonts w:ascii="Arial" w:hAnsi="Arial" w:cs="Arial"/>
                <w:iCs/>
              </w:rPr>
              <w:t>Current Ratio</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1.51</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0.99</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1.07</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lang w:val="en-GB"/>
              </w:rPr>
            </w:pP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lang w:val="en-GB"/>
              </w:rPr>
            </w:pPr>
            <w:r w:rsidRPr="004F29EE">
              <w:rPr>
                <w:rFonts w:ascii="Arial" w:hAnsi="Arial" w:cs="Arial"/>
                <w:b/>
                <w:bCs/>
                <w:iCs/>
              </w:rPr>
              <w:t>EFFICIENCY</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b/>
                <w:bCs/>
                <w:iCs/>
              </w:rPr>
            </w:pPr>
            <w:r w:rsidRPr="004F29EE">
              <w:rPr>
                <w:rFonts w:ascii="Arial" w:hAnsi="Arial" w:cs="Arial"/>
                <w:iCs/>
              </w:rPr>
              <w:t>Days of Inventory</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150.25</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149.37</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139.72</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Days Receivables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25.86</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15.24</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lang w:val="en-GB"/>
              </w:rPr>
              <w:t>26.03</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Days Payables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122.57</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107.09</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125.72</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b/>
                <w:bCs/>
                <w:iCs/>
              </w:rPr>
              <w:t>FINANCIAL LEVERAGE</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b/>
                <w:bCs/>
                <w:iCs/>
              </w:rPr>
            </w:pPr>
            <w:r w:rsidRPr="004F29EE">
              <w:rPr>
                <w:rFonts w:ascii="Arial" w:hAnsi="Arial" w:cs="Arial"/>
                <w:iCs/>
              </w:rPr>
              <w:t>LT Debt to Total Assets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0.31</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0.25</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0.26</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Equity to Assets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0.17</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0.1</w:t>
            </w:r>
            <w:r>
              <w:rPr>
                <w:rFonts w:ascii="Arial" w:hAnsi="Arial" w:cs="Arial"/>
                <w:iCs/>
              </w:rPr>
              <w:t>4</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0.2</w:t>
            </w:r>
            <w:r>
              <w:rPr>
                <w:rFonts w:ascii="Arial" w:hAnsi="Arial" w:cs="Arial"/>
                <w:iCs/>
              </w:rPr>
              <w:t>6</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b/>
                <w:bCs/>
                <w:iCs/>
              </w:rPr>
              <w:t>PROFITABILITY</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b/>
                <w:bCs/>
                <w:iCs/>
              </w:rPr>
            </w:pPr>
            <w:r w:rsidRPr="004F29EE">
              <w:rPr>
                <w:rFonts w:ascii="Arial" w:hAnsi="Arial" w:cs="Arial"/>
                <w:iCs/>
              </w:rPr>
              <w:t>Net Profit Margin</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0.09</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0.22</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0.11</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Return on Equity</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0.30</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w:t>
            </w:r>
            <w:r>
              <w:rPr>
                <w:rFonts w:ascii="Arial" w:hAnsi="Arial" w:cs="Arial"/>
                <w:iCs/>
              </w:rPr>
              <w:t>79</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0.1</w:t>
            </w:r>
            <w:r>
              <w:rPr>
                <w:rFonts w:ascii="Arial" w:hAnsi="Arial" w:cs="Arial"/>
                <w:iCs/>
              </w:rPr>
              <w:t>3</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Return on Assets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0.05</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0.11</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0.03</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b/>
                <w:bCs/>
                <w:iCs/>
              </w:rPr>
              <w:t>GROWTH</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 </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b/>
                <w:bCs/>
                <w:iCs/>
              </w:rPr>
            </w:pPr>
            <w:r w:rsidRPr="004F29EE">
              <w:rPr>
                <w:rFonts w:ascii="Arial" w:hAnsi="Arial" w:cs="Arial"/>
                <w:iCs/>
              </w:rPr>
              <w:t>Sales</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58.87%</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26.50%</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73.01%</w:t>
            </w:r>
          </w:p>
        </w:tc>
      </w:tr>
      <w:tr w:rsidR="007E3E49" w:rsidRPr="004F29EE" w:rsidTr="00CD5127">
        <w:tc>
          <w:tcPr>
            <w:tcW w:w="2628" w:type="dxa"/>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Operating Income</w:t>
            </w:r>
          </w:p>
        </w:tc>
        <w:tc>
          <w:tcPr>
            <w:tcW w:w="2046"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204.91%</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283.86%</w:t>
            </w:r>
          </w:p>
        </w:tc>
        <w:tc>
          <w:tcPr>
            <w:tcW w:w="2338" w:type="dxa"/>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6.88%</w:t>
            </w:r>
          </w:p>
        </w:tc>
      </w:tr>
      <w:tr w:rsidR="007E3E49" w:rsidRPr="004F29EE" w:rsidTr="00CD5127">
        <w:tc>
          <w:tcPr>
            <w:tcW w:w="2628" w:type="dxa"/>
            <w:tcBorders>
              <w:bottom w:val="single" w:sz="4" w:space="0" w:color="auto"/>
            </w:tcBorders>
            <w:shd w:val="clear" w:color="auto" w:fill="auto"/>
            <w:vAlign w:val="bottom"/>
          </w:tcPr>
          <w:p w:rsidR="007E3E49" w:rsidRPr="004F29EE" w:rsidRDefault="007E3E49" w:rsidP="00CD5127">
            <w:pPr>
              <w:tabs>
                <w:tab w:val="left" w:pos="-1440"/>
                <w:tab w:val="left" w:pos="-720"/>
                <w:tab w:val="left" w:pos="1"/>
                <w:tab w:val="right" w:pos="9000"/>
              </w:tabs>
              <w:jc w:val="both"/>
              <w:rPr>
                <w:rFonts w:ascii="Arial" w:hAnsi="Arial" w:cs="Arial"/>
                <w:iCs/>
              </w:rPr>
            </w:pPr>
            <w:r w:rsidRPr="004F29EE">
              <w:rPr>
                <w:rFonts w:ascii="Arial" w:hAnsi="Arial" w:cs="Arial"/>
                <w:iCs/>
              </w:rPr>
              <w:t>Net Income</w:t>
            </w:r>
          </w:p>
        </w:tc>
        <w:tc>
          <w:tcPr>
            <w:tcW w:w="2046" w:type="dxa"/>
            <w:tcBorders>
              <w:bottom w:val="single" w:sz="4" w:space="0" w:color="auto"/>
            </w:tcBorders>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297.30%</w:t>
            </w:r>
          </w:p>
        </w:tc>
        <w:tc>
          <w:tcPr>
            <w:tcW w:w="2338" w:type="dxa"/>
            <w:tcBorders>
              <w:bottom w:val="single" w:sz="4" w:space="0" w:color="auto"/>
            </w:tcBorders>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Pr>
                <w:rFonts w:ascii="Arial" w:hAnsi="Arial" w:cs="Arial"/>
                <w:iCs/>
              </w:rPr>
              <w:t>−</w:t>
            </w:r>
            <w:r w:rsidRPr="004F29EE">
              <w:rPr>
                <w:rFonts w:ascii="Arial" w:hAnsi="Arial" w:cs="Arial"/>
                <w:iCs/>
              </w:rPr>
              <w:t>202.23%</w:t>
            </w:r>
          </w:p>
        </w:tc>
        <w:tc>
          <w:tcPr>
            <w:tcW w:w="2338" w:type="dxa"/>
            <w:tcBorders>
              <w:bottom w:val="single" w:sz="4" w:space="0" w:color="auto"/>
            </w:tcBorders>
            <w:shd w:val="clear" w:color="auto" w:fill="auto"/>
            <w:vAlign w:val="bottom"/>
          </w:tcPr>
          <w:p w:rsidR="007E3E49" w:rsidRPr="004F29EE" w:rsidRDefault="007E3E49" w:rsidP="00CD5127">
            <w:pPr>
              <w:tabs>
                <w:tab w:val="left" w:pos="-1440"/>
                <w:tab w:val="left" w:pos="-720"/>
                <w:tab w:val="left" w:pos="1"/>
                <w:tab w:val="right" w:pos="9000"/>
              </w:tabs>
              <w:jc w:val="right"/>
              <w:rPr>
                <w:rFonts w:ascii="Arial" w:hAnsi="Arial" w:cs="Arial"/>
                <w:iCs/>
                <w:lang w:val="en-GB"/>
              </w:rPr>
            </w:pPr>
            <w:r w:rsidRPr="004F29EE">
              <w:rPr>
                <w:rFonts w:ascii="Arial" w:hAnsi="Arial" w:cs="Arial"/>
                <w:iCs/>
              </w:rPr>
              <w:t>13.01%</w:t>
            </w:r>
          </w:p>
        </w:tc>
      </w:tr>
    </w:tbl>
    <w:p w:rsid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Note: LT = long-term</w:t>
      </w: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Source: Author’s calculations.</w:t>
      </w:r>
    </w:p>
    <w:p w:rsidR="004F29EE" w:rsidRDefault="004F29EE" w:rsidP="004F29EE">
      <w:pPr>
        <w:pStyle w:val="BodyTextMain"/>
        <w:rPr>
          <w:rFonts w:eastAsiaTheme="minorHAnsi"/>
          <w:lang w:val="en-GB" w:eastAsia="zh-CN"/>
        </w:rPr>
      </w:pPr>
    </w:p>
    <w:p w:rsidR="00C13CCC" w:rsidRPr="004F29EE" w:rsidRDefault="00C13CCC" w:rsidP="004F29EE">
      <w:pPr>
        <w:pStyle w:val="BodyTextMain"/>
        <w:rPr>
          <w:rFonts w:eastAsiaTheme="minorHAnsi"/>
          <w:lang w:val="en-GB" w:eastAsia="zh-CN"/>
        </w:rPr>
      </w:pPr>
    </w:p>
    <w:p w:rsidR="004F29EE" w:rsidRPr="004F29EE" w:rsidRDefault="004F29EE" w:rsidP="004F29EE">
      <w:pPr>
        <w:pStyle w:val="Casehead1"/>
        <w:jc w:val="center"/>
        <w:rPr>
          <w:lang w:val="en-GB" w:eastAsia="zh-CN"/>
        </w:rPr>
      </w:pPr>
      <w:r w:rsidRPr="004F29EE">
        <w:rPr>
          <w:lang w:val="en-GB" w:eastAsia="zh-CN"/>
        </w:rPr>
        <w:t>Exhibit 10: financial indicators for firms Comparable to SolarCity</w:t>
      </w:r>
      <w:r w:rsidR="007E3E49">
        <w:rPr>
          <w:lang w:val="en-GB" w:eastAsia="zh-CN"/>
        </w:rPr>
        <w:t>, 2016</w:t>
      </w:r>
    </w:p>
    <w:p w:rsidR="004F29EE" w:rsidRPr="004F29EE" w:rsidRDefault="004F29EE" w:rsidP="004F29EE">
      <w:pPr>
        <w:pStyle w:val="BodyTextMain"/>
        <w:rPr>
          <w:lang w:val="en-GB" w:eastAsia="zh-CN"/>
        </w:rPr>
      </w:pPr>
    </w:p>
    <w:tbl>
      <w:tblPr>
        <w:tblW w:w="9216"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872"/>
        <w:gridCol w:w="648"/>
        <w:gridCol w:w="720"/>
        <w:gridCol w:w="792"/>
        <w:gridCol w:w="648"/>
        <w:gridCol w:w="648"/>
        <w:gridCol w:w="612"/>
        <w:gridCol w:w="684"/>
        <w:gridCol w:w="720"/>
        <w:gridCol w:w="576"/>
        <w:gridCol w:w="720"/>
        <w:gridCol w:w="576"/>
      </w:tblGrid>
      <w:tr w:rsidR="004F29EE" w:rsidRPr="004F29EE" w:rsidTr="004F29EE">
        <w:trPr>
          <w:trHeight w:val="315"/>
          <w:jc w:val="center"/>
        </w:trPr>
        <w:tc>
          <w:tcPr>
            <w:tcW w:w="1872"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b/>
                <w:sz w:val="18"/>
                <w:szCs w:val="18"/>
                <w:lang w:val="en-GB"/>
              </w:rPr>
            </w:pPr>
            <w:r w:rsidRPr="004F29EE">
              <w:rPr>
                <w:rFonts w:ascii="Arial" w:eastAsiaTheme="minorHAnsi" w:hAnsi="Arial" w:cs="Arial"/>
                <w:b/>
                <w:sz w:val="18"/>
                <w:szCs w:val="18"/>
                <w:lang w:val="en-GB"/>
              </w:rPr>
              <w:t>Company Name</w:t>
            </w:r>
          </w:p>
        </w:tc>
        <w:tc>
          <w:tcPr>
            <w:tcW w:w="648"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Price Jan 3</w:t>
            </w:r>
          </w:p>
        </w:tc>
        <w:tc>
          <w:tcPr>
            <w:tcW w:w="720"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Shares</w:t>
            </w:r>
          </w:p>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(M)</w:t>
            </w:r>
          </w:p>
        </w:tc>
        <w:tc>
          <w:tcPr>
            <w:tcW w:w="792"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 xml:space="preserve">Market Cap </w:t>
            </w:r>
          </w:p>
        </w:tc>
        <w:tc>
          <w:tcPr>
            <w:tcW w:w="648"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Debt</w:t>
            </w:r>
          </w:p>
        </w:tc>
        <w:tc>
          <w:tcPr>
            <w:tcW w:w="648"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ind w:left="-89"/>
              <w:jc w:val="center"/>
              <w:rPr>
                <w:rFonts w:ascii="Arial" w:eastAsiaTheme="minorHAnsi" w:hAnsi="Arial" w:cs="Arial"/>
                <w:b/>
                <w:sz w:val="18"/>
                <w:szCs w:val="18"/>
                <w:lang w:val="en-GB"/>
              </w:rPr>
            </w:pPr>
            <w:r w:rsidRPr="004F29EE">
              <w:rPr>
                <w:rFonts w:ascii="Arial" w:eastAsiaTheme="minorHAnsi" w:hAnsi="Arial" w:cs="Arial"/>
                <w:b/>
                <w:sz w:val="18"/>
                <w:szCs w:val="18"/>
                <w:lang w:val="en-GB"/>
              </w:rPr>
              <w:t>Debt</w:t>
            </w:r>
          </w:p>
          <w:p w:rsidR="004F29EE" w:rsidRPr="004F29EE" w:rsidRDefault="004F29EE" w:rsidP="004F29EE">
            <w:pPr>
              <w:ind w:left="-89"/>
              <w:jc w:val="center"/>
              <w:rPr>
                <w:rFonts w:ascii="Arial" w:eastAsiaTheme="minorHAnsi" w:hAnsi="Arial" w:cs="Arial"/>
                <w:b/>
                <w:sz w:val="18"/>
                <w:szCs w:val="18"/>
                <w:lang w:val="en-GB"/>
              </w:rPr>
            </w:pPr>
            <w:r w:rsidRPr="004F29EE">
              <w:rPr>
                <w:rFonts w:ascii="Arial" w:eastAsiaTheme="minorHAnsi" w:hAnsi="Arial" w:cs="Arial"/>
                <w:b/>
                <w:sz w:val="18"/>
                <w:szCs w:val="18"/>
                <w:lang w:val="en-GB"/>
              </w:rPr>
              <w:t>Equity Ratio</w:t>
            </w:r>
          </w:p>
        </w:tc>
        <w:tc>
          <w:tcPr>
            <w:tcW w:w="612"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Beta</w:t>
            </w:r>
          </w:p>
        </w:tc>
        <w:tc>
          <w:tcPr>
            <w:tcW w:w="684"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Sales ($M)</w:t>
            </w:r>
          </w:p>
        </w:tc>
        <w:tc>
          <w:tcPr>
            <w:tcW w:w="720"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5-Year Sales</w:t>
            </w:r>
          </w:p>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Growth (%)</w:t>
            </w:r>
          </w:p>
        </w:tc>
        <w:tc>
          <w:tcPr>
            <w:tcW w:w="576"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PE</w:t>
            </w:r>
          </w:p>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Ratio</w:t>
            </w:r>
          </w:p>
        </w:tc>
        <w:tc>
          <w:tcPr>
            <w:tcW w:w="720"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ind w:right="-49"/>
              <w:jc w:val="center"/>
              <w:rPr>
                <w:rFonts w:ascii="Arial" w:eastAsiaTheme="minorHAnsi" w:hAnsi="Arial" w:cs="Arial"/>
                <w:b/>
                <w:sz w:val="18"/>
                <w:szCs w:val="18"/>
                <w:lang w:val="en-GB"/>
              </w:rPr>
            </w:pPr>
            <w:r w:rsidRPr="004F29EE">
              <w:rPr>
                <w:rFonts w:ascii="Arial" w:eastAsiaTheme="minorHAnsi" w:hAnsi="Arial" w:cs="Arial"/>
                <w:b/>
                <w:sz w:val="18"/>
                <w:szCs w:val="18"/>
                <w:lang w:val="en-GB"/>
              </w:rPr>
              <w:t>EV/ EBITDA</w:t>
            </w:r>
          </w:p>
        </w:tc>
        <w:tc>
          <w:tcPr>
            <w:tcW w:w="576" w:type="dxa"/>
            <w:tcBorders>
              <w:top w:val="single" w:sz="4" w:space="0" w:color="auto"/>
              <w:bottom w:val="single" w:sz="4" w:space="0" w:color="auto"/>
            </w:tcBorders>
            <w:shd w:val="clear" w:color="auto" w:fill="auto"/>
            <w:tcMar>
              <w:top w:w="30" w:type="dxa"/>
              <w:left w:w="45" w:type="dxa"/>
              <w:bottom w:w="30" w:type="dxa"/>
              <w:right w:w="45" w:type="dxa"/>
            </w:tcMar>
            <w:vAlign w:val="bottom"/>
            <w:hideMark/>
          </w:tcPr>
          <w:p w:rsidR="004F29EE" w:rsidRPr="004F29EE" w:rsidRDefault="004F29EE" w:rsidP="004F29EE">
            <w:pPr>
              <w:jc w:val="center"/>
              <w:rPr>
                <w:rFonts w:ascii="Arial" w:eastAsiaTheme="minorHAnsi" w:hAnsi="Arial" w:cs="Arial"/>
                <w:b/>
                <w:sz w:val="18"/>
                <w:szCs w:val="18"/>
                <w:lang w:val="en-GB"/>
              </w:rPr>
            </w:pPr>
            <w:r w:rsidRPr="004F29EE">
              <w:rPr>
                <w:rFonts w:ascii="Arial" w:eastAsiaTheme="minorHAnsi" w:hAnsi="Arial" w:cs="Arial"/>
                <w:b/>
                <w:sz w:val="18"/>
                <w:szCs w:val="18"/>
                <w:lang w:val="en-GB"/>
              </w:rPr>
              <w:t>EV/ Sales</w:t>
            </w:r>
          </w:p>
        </w:tc>
      </w:tr>
      <w:tr w:rsidR="004F29EE" w:rsidRPr="004F29EE" w:rsidTr="004F29EE">
        <w:trPr>
          <w:trHeight w:val="315"/>
          <w:jc w:val="center"/>
        </w:trPr>
        <w:tc>
          <w:tcPr>
            <w:tcW w:w="1872"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b/>
                <w:bCs/>
                <w:sz w:val="18"/>
                <w:szCs w:val="18"/>
                <w:lang w:val="en-GB"/>
              </w:rPr>
            </w:pPr>
            <w:r w:rsidRPr="004F29EE">
              <w:rPr>
                <w:rFonts w:ascii="Arial" w:eastAsiaTheme="minorHAnsi" w:hAnsi="Arial" w:cs="Arial"/>
                <w:b/>
                <w:bCs/>
                <w:sz w:val="18"/>
                <w:szCs w:val="18"/>
                <w:lang w:val="en-GB"/>
              </w:rPr>
              <w:t>First Solar</w:t>
            </w:r>
          </w:p>
        </w:tc>
        <w:tc>
          <w:tcPr>
            <w:tcW w:w="648"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33.88</w:t>
            </w:r>
          </w:p>
        </w:tc>
        <w:tc>
          <w:tcPr>
            <w:tcW w:w="720"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104</w:t>
            </w:r>
          </w:p>
        </w:tc>
        <w:tc>
          <w:tcPr>
            <w:tcW w:w="792"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3,520</w:t>
            </w:r>
          </w:p>
        </w:tc>
        <w:tc>
          <w:tcPr>
            <w:tcW w:w="648"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787</w:t>
            </w:r>
          </w:p>
        </w:tc>
        <w:tc>
          <w:tcPr>
            <w:tcW w:w="648"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ind w:left="-89"/>
              <w:jc w:val="right"/>
              <w:rPr>
                <w:rFonts w:ascii="Arial" w:eastAsiaTheme="minorHAnsi" w:hAnsi="Arial" w:cs="Arial"/>
                <w:sz w:val="18"/>
                <w:szCs w:val="18"/>
                <w:lang w:val="en-GB"/>
              </w:rPr>
            </w:pPr>
            <w:r w:rsidRPr="004F29EE">
              <w:rPr>
                <w:rFonts w:ascii="Arial" w:eastAsiaTheme="minorHAnsi" w:hAnsi="Arial" w:cs="Arial"/>
                <w:sz w:val="18"/>
                <w:szCs w:val="18"/>
                <w:lang w:val="en-GB"/>
              </w:rPr>
              <w:t>22%</w:t>
            </w:r>
          </w:p>
        </w:tc>
        <w:tc>
          <w:tcPr>
            <w:tcW w:w="612"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2.04</w:t>
            </w:r>
          </w:p>
        </w:tc>
        <w:tc>
          <w:tcPr>
            <w:tcW w:w="684"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3,413</w:t>
            </w:r>
          </w:p>
        </w:tc>
        <w:tc>
          <w:tcPr>
            <w:tcW w:w="720"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0.07</w:t>
            </w:r>
          </w:p>
        </w:tc>
        <w:tc>
          <w:tcPr>
            <w:tcW w:w="576"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6.95</w:t>
            </w:r>
          </w:p>
        </w:tc>
        <w:tc>
          <w:tcPr>
            <w:tcW w:w="720"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3.83</w:t>
            </w:r>
          </w:p>
        </w:tc>
        <w:tc>
          <w:tcPr>
            <w:tcW w:w="576" w:type="dxa"/>
            <w:tcBorders>
              <w:top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1.26</w:t>
            </w:r>
          </w:p>
        </w:tc>
      </w:tr>
      <w:tr w:rsidR="004F29EE" w:rsidRPr="004F29EE" w:rsidTr="004F29EE">
        <w:trPr>
          <w:trHeight w:val="315"/>
          <w:jc w:val="center"/>
        </w:trPr>
        <w:tc>
          <w:tcPr>
            <w:tcW w:w="1872" w:type="dxa"/>
            <w:noWrap/>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b/>
                <w:bCs/>
                <w:sz w:val="18"/>
                <w:szCs w:val="18"/>
                <w:lang w:val="en-GB"/>
              </w:rPr>
            </w:pPr>
            <w:r w:rsidRPr="004F29EE">
              <w:rPr>
                <w:rFonts w:ascii="Arial" w:eastAsiaTheme="minorHAnsi" w:hAnsi="Arial" w:cs="Arial"/>
                <w:b/>
                <w:bCs/>
                <w:sz w:val="18"/>
                <w:szCs w:val="18"/>
                <w:lang w:val="en-GB"/>
              </w:rPr>
              <w:t>GCL-Poly Energy Holdings Ltd.</w:t>
            </w:r>
          </w:p>
        </w:tc>
        <w:tc>
          <w:tcPr>
            <w:tcW w:w="648"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0.12</w:t>
            </w:r>
          </w:p>
        </w:tc>
        <w:tc>
          <w:tcPr>
            <w:tcW w:w="720"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18,588</w:t>
            </w:r>
          </w:p>
        </w:tc>
        <w:tc>
          <w:tcPr>
            <w:tcW w:w="792"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2,253</w:t>
            </w:r>
          </w:p>
        </w:tc>
        <w:tc>
          <w:tcPr>
            <w:tcW w:w="648"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3,414</w:t>
            </w:r>
          </w:p>
        </w:tc>
        <w:tc>
          <w:tcPr>
            <w:tcW w:w="648" w:type="dxa"/>
            <w:tcMar>
              <w:top w:w="30" w:type="dxa"/>
              <w:left w:w="45" w:type="dxa"/>
              <w:bottom w:w="30" w:type="dxa"/>
              <w:right w:w="45" w:type="dxa"/>
            </w:tcMar>
            <w:vAlign w:val="bottom"/>
            <w:hideMark/>
          </w:tcPr>
          <w:p w:rsidR="004F29EE" w:rsidRPr="004F29EE" w:rsidRDefault="004F29EE" w:rsidP="004F29EE">
            <w:pPr>
              <w:ind w:left="-89"/>
              <w:jc w:val="right"/>
              <w:rPr>
                <w:rFonts w:ascii="Arial" w:eastAsiaTheme="minorHAnsi" w:hAnsi="Arial" w:cs="Arial"/>
                <w:sz w:val="18"/>
                <w:szCs w:val="18"/>
                <w:lang w:val="en-GB"/>
              </w:rPr>
            </w:pPr>
            <w:r w:rsidRPr="004F29EE">
              <w:rPr>
                <w:rFonts w:ascii="Arial" w:eastAsiaTheme="minorHAnsi" w:hAnsi="Arial" w:cs="Arial"/>
                <w:sz w:val="18"/>
                <w:szCs w:val="18"/>
                <w:lang w:val="en-GB"/>
              </w:rPr>
              <w:t>152%</w:t>
            </w:r>
          </w:p>
        </w:tc>
        <w:tc>
          <w:tcPr>
            <w:tcW w:w="612"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0.93</w:t>
            </w:r>
          </w:p>
        </w:tc>
        <w:tc>
          <w:tcPr>
            <w:tcW w:w="684"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3,464</w:t>
            </w:r>
          </w:p>
        </w:tc>
        <w:tc>
          <w:tcPr>
            <w:tcW w:w="720"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6.22</w:t>
            </w:r>
          </w:p>
        </w:tc>
        <w:tc>
          <w:tcPr>
            <w:tcW w:w="576"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7.20</w:t>
            </w:r>
          </w:p>
        </w:tc>
        <w:tc>
          <w:tcPr>
            <w:tcW w:w="720"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7.13</w:t>
            </w:r>
          </w:p>
        </w:tc>
        <w:tc>
          <w:tcPr>
            <w:tcW w:w="576"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1.64</w:t>
            </w:r>
          </w:p>
        </w:tc>
      </w:tr>
      <w:tr w:rsidR="004F29EE" w:rsidRPr="004F29EE" w:rsidTr="004F29EE">
        <w:trPr>
          <w:trHeight w:val="315"/>
          <w:jc w:val="center"/>
        </w:trPr>
        <w:tc>
          <w:tcPr>
            <w:tcW w:w="1872" w:type="dxa"/>
            <w:noWrap/>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b/>
                <w:bCs/>
                <w:sz w:val="18"/>
                <w:szCs w:val="18"/>
                <w:lang w:val="en-GB"/>
              </w:rPr>
            </w:pPr>
            <w:r w:rsidRPr="004F29EE">
              <w:rPr>
                <w:rFonts w:ascii="Arial" w:eastAsiaTheme="minorHAnsi" w:hAnsi="Arial" w:cs="Arial"/>
                <w:b/>
                <w:bCs/>
                <w:sz w:val="18"/>
                <w:szCs w:val="18"/>
                <w:lang w:val="en-GB"/>
              </w:rPr>
              <w:t>Canadian Solar Inc.</w:t>
            </w:r>
          </w:p>
        </w:tc>
        <w:tc>
          <w:tcPr>
            <w:tcW w:w="648"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12.61</w:t>
            </w:r>
          </w:p>
        </w:tc>
        <w:tc>
          <w:tcPr>
            <w:tcW w:w="720"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57</w:t>
            </w:r>
          </w:p>
        </w:tc>
        <w:tc>
          <w:tcPr>
            <w:tcW w:w="792"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724</w:t>
            </w:r>
          </w:p>
        </w:tc>
        <w:tc>
          <w:tcPr>
            <w:tcW w:w="648"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775</w:t>
            </w:r>
          </w:p>
        </w:tc>
        <w:tc>
          <w:tcPr>
            <w:tcW w:w="648" w:type="dxa"/>
            <w:tcMar>
              <w:top w:w="30" w:type="dxa"/>
              <w:left w:w="45" w:type="dxa"/>
              <w:bottom w:w="30" w:type="dxa"/>
              <w:right w:w="45" w:type="dxa"/>
            </w:tcMar>
            <w:vAlign w:val="bottom"/>
            <w:hideMark/>
          </w:tcPr>
          <w:p w:rsidR="004F29EE" w:rsidRPr="004F29EE" w:rsidRDefault="004F29EE" w:rsidP="004F29EE">
            <w:pPr>
              <w:ind w:left="-89"/>
              <w:jc w:val="right"/>
              <w:rPr>
                <w:rFonts w:ascii="Arial" w:eastAsiaTheme="minorHAnsi" w:hAnsi="Arial" w:cs="Arial"/>
                <w:sz w:val="18"/>
                <w:szCs w:val="18"/>
                <w:lang w:val="en-GB"/>
              </w:rPr>
            </w:pPr>
            <w:r w:rsidRPr="004F29EE">
              <w:rPr>
                <w:rFonts w:ascii="Arial" w:eastAsiaTheme="minorHAnsi" w:hAnsi="Arial" w:cs="Arial"/>
                <w:sz w:val="18"/>
                <w:szCs w:val="18"/>
                <w:lang w:val="en-GB"/>
              </w:rPr>
              <w:t>107%</w:t>
            </w:r>
          </w:p>
        </w:tc>
        <w:tc>
          <w:tcPr>
            <w:tcW w:w="612"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1.79</w:t>
            </w:r>
          </w:p>
        </w:tc>
        <w:tc>
          <w:tcPr>
            <w:tcW w:w="684"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3,468</w:t>
            </w:r>
          </w:p>
        </w:tc>
        <w:tc>
          <w:tcPr>
            <w:tcW w:w="720"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18.32</w:t>
            </w:r>
          </w:p>
        </w:tc>
        <w:tc>
          <w:tcPr>
            <w:tcW w:w="576"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8.57</w:t>
            </w:r>
          </w:p>
        </w:tc>
        <w:tc>
          <w:tcPr>
            <w:tcW w:w="720"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7.06</w:t>
            </w:r>
          </w:p>
        </w:tc>
        <w:tc>
          <w:tcPr>
            <w:tcW w:w="576" w:type="dxa"/>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0.43</w:t>
            </w:r>
          </w:p>
        </w:tc>
      </w:tr>
      <w:tr w:rsidR="004F29EE" w:rsidRPr="004F29EE" w:rsidTr="004F29EE">
        <w:trPr>
          <w:trHeight w:val="315"/>
          <w:jc w:val="center"/>
        </w:trPr>
        <w:tc>
          <w:tcPr>
            <w:tcW w:w="1872" w:type="dxa"/>
            <w:tcBorders>
              <w:bottom w:val="nil"/>
            </w:tcBorders>
            <w:noWrap/>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b/>
                <w:bCs/>
                <w:sz w:val="18"/>
                <w:szCs w:val="18"/>
                <w:lang w:val="es-MX"/>
              </w:rPr>
            </w:pPr>
            <w:r w:rsidRPr="004F29EE">
              <w:rPr>
                <w:rFonts w:ascii="Arial" w:eastAsiaTheme="minorHAnsi" w:hAnsi="Arial" w:cs="Arial"/>
                <w:b/>
                <w:bCs/>
                <w:sz w:val="18"/>
                <w:szCs w:val="18"/>
                <w:lang w:val="es-MX"/>
              </w:rPr>
              <w:t>Trina Solar Ltd.-</w:t>
            </w:r>
            <w:proofErr w:type="spellStart"/>
            <w:r w:rsidRPr="004F29EE">
              <w:rPr>
                <w:rFonts w:ascii="Arial" w:eastAsiaTheme="minorHAnsi" w:hAnsi="Arial" w:cs="Arial"/>
                <w:b/>
                <w:bCs/>
                <w:sz w:val="18"/>
                <w:szCs w:val="18"/>
                <w:lang w:val="es-MX"/>
              </w:rPr>
              <w:t>Spon</w:t>
            </w:r>
            <w:proofErr w:type="spellEnd"/>
            <w:r w:rsidRPr="004F29EE">
              <w:rPr>
                <w:rFonts w:ascii="Arial" w:eastAsiaTheme="minorHAnsi" w:hAnsi="Arial" w:cs="Arial"/>
                <w:b/>
                <w:bCs/>
                <w:sz w:val="18"/>
                <w:szCs w:val="18"/>
                <w:lang w:val="es-MX"/>
              </w:rPr>
              <w:t xml:space="preserve"> </w:t>
            </w:r>
            <w:proofErr w:type="spellStart"/>
            <w:r w:rsidRPr="004F29EE">
              <w:rPr>
                <w:rFonts w:ascii="Arial" w:eastAsiaTheme="minorHAnsi" w:hAnsi="Arial" w:cs="Arial"/>
                <w:b/>
                <w:bCs/>
                <w:sz w:val="18"/>
                <w:szCs w:val="18"/>
                <w:lang w:val="es-MX"/>
              </w:rPr>
              <w:t>Adr</w:t>
            </w:r>
            <w:proofErr w:type="spellEnd"/>
          </w:p>
        </w:tc>
        <w:tc>
          <w:tcPr>
            <w:tcW w:w="648"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9.46</w:t>
            </w:r>
          </w:p>
        </w:tc>
        <w:tc>
          <w:tcPr>
            <w:tcW w:w="720"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92</w:t>
            </w:r>
          </w:p>
        </w:tc>
        <w:tc>
          <w:tcPr>
            <w:tcW w:w="792"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875</w:t>
            </w:r>
          </w:p>
        </w:tc>
        <w:tc>
          <w:tcPr>
            <w:tcW w:w="648"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762</w:t>
            </w:r>
          </w:p>
        </w:tc>
        <w:tc>
          <w:tcPr>
            <w:tcW w:w="648" w:type="dxa"/>
            <w:tcBorders>
              <w:bottom w:val="nil"/>
            </w:tcBorders>
            <w:tcMar>
              <w:top w:w="30" w:type="dxa"/>
              <w:left w:w="45" w:type="dxa"/>
              <w:bottom w:w="30" w:type="dxa"/>
              <w:right w:w="45" w:type="dxa"/>
            </w:tcMar>
            <w:vAlign w:val="bottom"/>
            <w:hideMark/>
          </w:tcPr>
          <w:p w:rsidR="004F29EE" w:rsidRPr="004F29EE" w:rsidRDefault="004F29EE" w:rsidP="004F29EE">
            <w:pPr>
              <w:ind w:left="-89"/>
              <w:jc w:val="right"/>
              <w:rPr>
                <w:rFonts w:ascii="Arial" w:eastAsiaTheme="minorHAnsi" w:hAnsi="Arial" w:cs="Arial"/>
                <w:sz w:val="18"/>
                <w:szCs w:val="18"/>
                <w:lang w:val="en-GB"/>
              </w:rPr>
            </w:pPr>
            <w:r w:rsidRPr="004F29EE">
              <w:rPr>
                <w:rFonts w:ascii="Arial" w:eastAsiaTheme="minorHAnsi" w:hAnsi="Arial" w:cs="Arial"/>
                <w:sz w:val="18"/>
                <w:szCs w:val="18"/>
                <w:lang w:val="en-GB"/>
              </w:rPr>
              <w:t>87%</w:t>
            </w:r>
          </w:p>
        </w:tc>
        <w:tc>
          <w:tcPr>
            <w:tcW w:w="612"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1.12</w:t>
            </w:r>
          </w:p>
        </w:tc>
        <w:tc>
          <w:tcPr>
            <w:tcW w:w="684"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3,036</w:t>
            </w:r>
          </w:p>
        </w:tc>
        <w:tc>
          <w:tcPr>
            <w:tcW w:w="720"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10.32</w:t>
            </w:r>
          </w:p>
        </w:tc>
        <w:tc>
          <w:tcPr>
            <w:tcW w:w="576"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11.28</w:t>
            </w:r>
          </w:p>
        </w:tc>
        <w:tc>
          <w:tcPr>
            <w:tcW w:w="720"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6.38</w:t>
            </w:r>
          </w:p>
        </w:tc>
        <w:tc>
          <w:tcPr>
            <w:tcW w:w="576" w:type="dxa"/>
            <w:tcBorders>
              <w:bottom w:val="nil"/>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0.54</w:t>
            </w:r>
          </w:p>
        </w:tc>
      </w:tr>
      <w:tr w:rsidR="004F29EE" w:rsidRPr="004F29EE" w:rsidTr="004F29EE">
        <w:trPr>
          <w:trHeight w:val="315"/>
          <w:jc w:val="center"/>
        </w:trPr>
        <w:tc>
          <w:tcPr>
            <w:tcW w:w="1872" w:type="dxa"/>
            <w:tcBorders>
              <w:top w:val="nil"/>
              <w:bottom w:val="single" w:sz="4" w:space="0" w:color="auto"/>
            </w:tcBorders>
            <w:noWrap/>
            <w:tcMar>
              <w:top w:w="30" w:type="dxa"/>
              <w:left w:w="45" w:type="dxa"/>
              <w:bottom w:w="30" w:type="dxa"/>
              <w:right w:w="45" w:type="dxa"/>
            </w:tcMar>
            <w:vAlign w:val="bottom"/>
            <w:hideMark/>
          </w:tcPr>
          <w:p w:rsidR="00C13CCC" w:rsidRDefault="00C13CCC" w:rsidP="004F29EE">
            <w:pPr>
              <w:rPr>
                <w:rFonts w:ascii="Arial" w:eastAsiaTheme="minorHAnsi" w:hAnsi="Arial" w:cs="Arial"/>
                <w:b/>
                <w:bCs/>
                <w:sz w:val="18"/>
                <w:szCs w:val="18"/>
                <w:lang w:val="en-GB"/>
              </w:rPr>
            </w:pPr>
          </w:p>
          <w:p w:rsidR="004F29EE" w:rsidRPr="004F29EE" w:rsidRDefault="004F29EE" w:rsidP="004F29EE">
            <w:pPr>
              <w:rPr>
                <w:rFonts w:ascii="Arial" w:eastAsiaTheme="minorHAnsi" w:hAnsi="Arial" w:cs="Arial"/>
                <w:b/>
                <w:bCs/>
                <w:sz w:val="18"/>
                <w:szCs w:val="18"/>
                <w:lang w:val="en-GB"/>
              </w:rPr>
            </w:pPr>
            <w:r w:rsidRPr="004F29EE">
              <w:rPr>
                <w:rFonts w:ascii="Arial" w:eastAsiaTheme="minorHAnsi" w:hAnsi="Arial" w:cs="Arial"/>
                <w:b/>
                <w:bCs/>
                <w:sz w:val="18"/>
                <w:szCs w:val="18"/>
                <w:lang w:val="en-GB"/>
              </w:rPr>
              <w:t>Shanghai Aerospace Automobile Electromechanical</w:t>
            </w:r>
          </w:p>
        </w:tc>
        <w:tc>
          <w:tcPr>
            <w:tcW w:w="648"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10.97</w:t>
            </w:r>
          </w:p>
        </w:tc>
        <w:tc>
          <w:tcPr>
            <w:tcW w:w="720"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1,434</w:t>
            </w:r>
          </w:p>
        </w:tc>
        <w:tc>
          <w:tcPr>
            <w:tcW w:w="792" w:type="dxa"/>
            <w:tcBorders>
              <w:top w:val="nil"/>
              <w:bottom w:val="single" w:sz="4" w:space="0" w:color="auto"/>
            </w:tcBorders>
            <w:shd w:val="clear" w:color="auto" w:fill="FFFFFF"/>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color w:val="000000"/>
                <w:sz w:val="18"/>
                <w:szCs w:val="18"/>
                <w:lang w:val="en-GB"/>
              </w:rPr>
            </w:pPr>
            <w:r w:rsidRPr="004F29EE">
              <w:rPr>
                <w:rFonts w:ascii="Arial" w:eastAsiaTheme="minorHAnsi" w:hAnsi="Arial" w:cs="Arial"/>
                <w:color w:val="000000"/>
                <w:sz w:val="18"/>
                <w:szCs w:val="18"/>
                <w:lang w:val="en-GB"/>
              </w:rPr>
              <w:t>15,730</w:t>
            </w:r>
          </w:p>
        </w:tc>
        <w:tc>
          <w:tcPr>
            <w:tcW w:w="648"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279</w:t>
            </w:r>
          </w:p>
        </w:tc>
        <w:tc>
          <w:tcPr>
            <w:tcW w:w="648" w:type="dxa"/>
            <w:tcBorders>
              <w:top w:val="nil"/>
              <w:bottom w:val="single" w:sz="4" w:space="0" w:color="auto"/>
            </w:tcBorders>
            <w:tcMar>
              <w:top w:w="30" w:type="dxa"/>
              <w:left w:w="45" w:type="dxa"/>
              <w:bottom w:w="30" w:type="dxa"/>
              <w:right w:w="45" w:type="dxa"/>
            </w:tcMar>
            <w:vAlign w:val="bottom"/>
            <w:hideMark/>
          </w:tcPr>
          <w:p w:rsidR="004F29EE" w:rsidRPr="004F29EE" w:rsidRDefault="004F29EE" w:rsidP="004F29EE">
            <w:pPr>
              <w:ind w:left="-89"/>
              <w:jc w:val="right"/>
              <w:rPr>
                <w:rFonts w:ascii="Arial" w:eastAsiaTheme="minorHAnsi" w:hAnsi="Arial" w:cs="Arial"/>
                <w:sz w:val="18"/>
                <w:szCs w:val="18"/>
                <w:lang w:val="en-GB"/>
              </w:rPr>
            </w:pPr>
            <w:r w:rsidRPr="004F29EE">
              <w:rPr>
                <w:rFonts w:ascii="Arial" w:eastAsiaTheme="minorHAnsi" w:hAnsi="Arial" w:cs="Arial"/>
                <w:sz w:val="18"/>
                <w:szCs w:val="18"/>
                <w:lang w:val="en-GB"/>
              </w:rPr>
              <w:t>2%</w:t>
            </w:r>
          </w:p>
        </w:tc>
        <w:tc>
          <w:tcPr>
            <w:tcW w:w="612"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1.29</w:t>
            </w:r>
          </w:p>
        </w:tc>
        <w:tc>
          <w:tcPr>
            <w:tcW w:w="684"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639</w:t>
            </w:r>
          </w:p>
        </w:tc>
        <w:tc>
          <w:tcPr>
            <w:tcW w:w="720"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10.08</w:t>
            </w:r>
          </w:p>
        </w:tc>
        <w:tc>
          <w:tcPr>
            <w:tcW w:w="576"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89.50</w:t>
            </w:r>
          </w:p>
        </w:tc>
        <w:tc>
          <w:tcPr>
            <w:tcW w:w="720"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58.86</w:t>
            </w:r>
          </w:p>
        </w:tc>
        <w:tc>
          <w:tcPr>
            <w:tcW w:w="576" w:type="dxa"/>
            <w:tcBorders>
              <w:top w:val="nil"/>
              <w:bottom w:val="single" w:sz="4" w:space="0" w:color="auto"/>
            </w:tcBorders>
            <w:noWrap/>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sz w:val="18"/>
                <w:szCs w:val="18"/>
                <w:lang w:val="en-GB"/>
              </w:rPr>
            </w:pPr>
            <w:r w:rsidRPr="004F29EE">
              <w:rPr>
                <w:rFonts w:ascii="Arial" w:eastAsiaTheme="minorHAnsi" w:hAnsi="Arial" w:cs="Arial"/>
                <w:sz w:val="18"/>
                <w:szCs w:val="18"/>
                <w:lang w:val="en-GB"/>
              </w:rPr>
              <w:t>25.05</w:t>
            </w:r>
          </w:p>
        </w:tc>
      </w:tr>
      <w:tr w:rsidR="004F29EE" w:rsidRPr="004F29EE" w:rsidTr="004F29EE">
        <w:trPr>
          <w:trHeight w:val="288"/>
          <w:jc w:val="center"/>
        </w:trPr>
        <w:tc>
          <w:tcPr>
            <w:tcW w:w="1872" w:type="dxa"/>
            <w:tcBorders>
              <w:top w:val="single" w:sz="4" w:space="0" w:color="auto"/>
              <w:bottom w:val="single" w:sz="4" w:space="0" w:color="auto"/>
            </w:tcBorders>
            <w:tcMar>
              <w:top w:w="30" w:type="dxa"/>
              <w:left w:w="45" w:type="dxa"/>
              <w:bottom w:w="30" w:type="dxa"/>
              <w:right w:w="45" w:type="dxa"/>
            </w:tcMar>
            <w:vAlign w:val="center"/>
            <w:hideMark/>
          </w:tcPr>
          <w:p w:rsidR="004F29EE" w:rsidRPr="004F29EE" w:rsidRDefault="004F29EE" w:rsidP="004F29EE">
            <w:pPr>
              <w:rPr>
                <w:rFonts w:ascii="Arial" w:eastAsiaTheme="minorHAnsi" w:hAnsi="Arial" w:cs="Arial"/>
                <w:sz w:val="18"/>
                <w:szCs w:val="18"/>
                <w:lang w:val="en-GB"/>
              </w:rPr>
            </w:pPr>
            <w:r w:rsidRPr="004F29EE">
              <w:rPr>
                <w:rFonts w:ascii="Arial" w:eastAsiaTheme="minorHAnsi" w:hAnsi="Arial" w:cs="Arial"/>
                <w:sz w:val="18"/>
                <w:szCs w:val="18"/>
                <w:lang w:val="en-GB"/>
              </w:rPr>
              <w:t>Average</w:t>
            </w:r>
          </w:p>
        </w:tc>
        <w:tc>
          <w:tcPr>
            <w:tcW w:w="648"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sz w:val="18"/>
                <w:szCs w:val="18"/>
                <w:lang w:val="en-GB"/>
              </w:rPr>
            </w:pPr>
          </w:p>
        </w:tc>
        <w:tc>
          <w:tcPr>
            <w:tcW w:w="720"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sz w:val="18"/>
                <w:szCs w:val="18"/>
                <w:lang w:val="en-GB"/>
              </w:rPr>
            </w:pPr>
          </w:p>
        </w:tc>
        <w:tc>
          <w:tcPr>
            <w:tcW w:w="792"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sz w:val="18"/>
                <w:szCs w:val="18"/>
                <w:lang w:val="en-GB"/>
              </w:rPr>
            </w:pPr>
          </w:p>
        </w:tc>
        <w:tc>
          <w:tcPr>
            <w:tcW w:w="648"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rPr>
                <w:rFonts w:ascii="Arial" w:eastAsiaTheme="minorHAnsi" w:hAnsi="Arial" w:cs="Arial"/>
                <w:sz w:val="18"/>
                <w:szCs w:val="18"/>
                <w:lang w:val="en-GB"/>
              </w:rPr>
            </w:pPr>
          </w:p>
        </w:tc>
        <w:tc>
          <w:tcPr>
            <w:tcW w:w="648"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ind w:left="-89"/>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74%</w:t>
            </w:r>
          </w:p>
        </w:tc>
        <w:tc>
          <w:tcPr>
            <w:tcW w:w="612"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1.43</w:t>
            </w:r>
          </w:p>
        </w:tc>
        <w:tc>
          <w:tcPr>
            <w:tcW w:w="684"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2,804</w:t>
            </w:r>
          </w:p>
        </w:tc>
        <w:tc>
          <w:tcPr>
            <w:tcW w:w="720"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9.00</w:t>
            </w:r>
          </w:p>
        </w:tc>
        <w:tc>
          <w:tcPr>
            <w:tcW w:w="576"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24.70</w:t>
            </w:r>
          </w:p>
        </w:tc>
        <w:tc>
          <w:tcPr>
            <w:tcW w:w="720"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16.65</w:t>
            </w:r>
          </w:p>
        </w:tc>
        <w:tc>
          <w:tcPr>
            <w:tcW w:w="576" w:type="dxa"/>
            <w:tcBorders>
              <w:top w:val="single" w:sz="4" w:space="0" w:color="auto"/>
              <w:bottom w:val="single" w:sz="4" w:space="0" w:color="auto"/>
            </w:tcBorders>
            <w:tcMar>
              <w:top w:w="30" w:type="dxa"/>
              <w:left w:w="45" w:type="dxa"/>
              <w:bottom w:w="30" w:type="dxa"/>
              <w:right w:w="45" w:type="dxa"/>
            </w:tcMar>
            <w:vAlign w:val="bottom"/>
            <w:hideMark/>
          </w:tcPr>
          <w:p w:rsidR="004F29EE" w:rsidRPr="004F29EE" w:rsidRDefault="004F29EE" w:rsidP="004F29EE">
            <w:pPr>
              <w:jc w:val="right"/>
              <w:rPr>
                <w:rFonts w:ascii="Arial" w:eastAsiaTheme="minorHAnsi" w:hAnsi="Arial" w:cs="Arial"/>
                <w:b/>
                <w:bCs/>
                <w:sz w:val="18"/>
                <w:szCs w:val="18"/>
                <w:lang w:val="en-GB"/>
              </w:rPr>
            </w:pPr>
            <w:r w:rsidRPr="004F29EE">
              <w:rPr>
                <w:rFonts w:ascii="Arial" w:eastAsiaTheme="minorHAnsi" w:hAnsi="Arial" w:cs="Arial"/>
                <w:b/>
                <w:bCs/>
                <w:sz w:val="18"/>
                <w:szCs w:val="18"/>
                <w:lang w:val="en-GB"/>
              </w:rPr>
              <w:t>5.78</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Note: M = millions; PE = price</w:t>
      </w:r>
      <w:r w:rsidR="007E3E49">
        <w:rPr>
          <w:rFonts w:ascii="Arial" w:hAnsi="Arial" w:cs="Arial"/>
          <w:iCs/>
          <w:sz w:val="17"/>
          <w:szCs w:val="17"/>
          <w:lang w:val="en-GB" w:eastAsia="zh-CN"/>
        </w:rPr>
        <w:t>/</w:t>
      </w:r>
      <w:r w:rsidRPr="004F29EE">
        <w:rPr>
          <w:rFonts w:ascii="Arial" w:hAnsi="Arial" w:cs="Arial"/>
          <w:iCs/>
          <w:sz w:val="17"/>
          <w:szCs w:val="17"/>
          <w:lang w:val="en-GB" w:eastAsia="zh-CN"/>
        </w:rPr>
        <w:t>earnings; EV/EBITDA = enterprise value ÷ earnings before interest, taxes, depreciation, and amortization; EV = enterprise value</w:t>
      </w: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Source: “Solar Energy Industry Companies,” S&amp;P Capital IQ database (2016), accessed January 6, 2017, www.capitaliq.com.</w:t>
      </w:r>
    </w:p>
    <w:p w:rsidR="004F29EE" w:rsidRPr="004F29EE" w:rsidRDefault="004F29EE" w:rsidP="004F29EE">
      <w:pPr>
        <w:jc w:val="both"/>
        <w:rPr>
          <w:sz w:val="22"/>
          <w:szCs w:val="22"/>
          <w:lang w:val="en-GB"/>
        </w:rPr>
      </w:pPr>
      <w:r w:rsidRPr="004F29EE">
        <w:rPr>
          <w:sz w:val="22"/>
          <w:szCs w:val="22"/>
          <w:lang w:val="en-GB"/>
        </w:rPr>
        <w:br w:type="page"/>
      </w:r>
    </w:p>
    <w:p w:rsidR="004F29EE" w:rsidRPr="004F29EE" w:rsidRDefault="004F29EE" w:rsidP="004F29EE">
      <w:pPr>
        <w:pStyle w:val="Casehead1"/>
        <w:jc w:val="center"/>
        <w:rPr>
          <w:lang w:val="en-GB" w:eastAsia="zh-CN"/>
        </w:rPr>
      </w:pPr>
      <w:r w:rsidRPr="004F29EE">
        <w:rPr>
          <w:lang w:val="en-GB" w:eastAsia="zh-CN"/>
        </w:rPr>
        <w:lastRenderedPageBreak/>
        <w:t>Exhibit 11: Descriptions of firms comparable to Solarcity</w:t>
      </w:r>
    </w:p>
    <w:p w:rsidR="004F29EE" w:rsidRPr="004F29EE" w:rsidRDefault="004F29EE" w:rsidP="004F29EE">
      <w:pPr>
        <w:pStyle w:val="BodyTextMain"/>
        <w:rPr>
          <w:lang w:val="en-GB" w:eastAsia="zh-CN"/>
        </w:rPr>
      </w:pPr>
    </w:p>
    <w:tbl>
      <w:tblPr>
        <w:tblW w:w="0" w:type="auto"/>
        <w:tblCellMar>
          <w:left w:w="0" w:type="dxa"/>
          <w:right w:w="0" w:type="dxa"/>
        </w:tblCellMar>
        <w:tblLook w:val="04A0" w:firstRow="1" w:lastRow="0" w:firstColumn="1" w:lastColumn="0" w:noHBand="0" w:noVBand="1"/>
      </w:tblPr>
      <w:tblGrid>
        <w:gridCol w:w="2152"/>
        <w:gridCol w:w="7192"/>
      </w:tblGrid>
      <w:tr w:rsidR="004F29EE" w:rsidRPr="004F29EE" w:rsidTr="004F29E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4F29EE" w:rsidRPr="004F29EE" w:rsidRDefault="004F29EE" w:rsidP="004F29EE">
            <w:pPr>
              <w:rPr>
                <w:rFonts w:ascii="Arial" w:eastAsiaTheme="minorHAnsi" w:hAnsi="Arial" w:cs="Arial"/>
                <w:b/>
                <w:bCs/>
                <w:lang w:val="en-GB"/>
              </w:rPr>
            </w:pPr>
            <w:r w:rsidRPr="004F29EE">
              <w:rPr>
                <w:rFonts w:ascii="Arial" w:eastAsiaTheme="minorHAnsi" w:hAnsi="Arial" w:cs="Arial"/>
                <w:b/>
                <w:bCs/>
                <w:lang w:val="en-GB"/>
              </w:rPr>
              <w:t>First Solar</w:t>
            </w:r>
          </w:p>
        </w:tc>
        <w:tc>
          <w:tcPr>
            <w:tcW w:w="71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4F29EE" w:rsidRPr="004F29EE" w:rsidRDefault="004F29EE" w:rsidP="004F29EE">
            <w:pPr>
              <w:jc w:val="both"/>
              <w:rPr>
                <w:rFonts w:ascii="Arial" w:eastAsiaTheme="minorHAnsi" w:hAnsi="Arial" w:cs="Arial"/>
                <w:color w:val="000000"/>
                <w:lang w:val="en-GB"/>
              </w:rPr>
            </w:pPr>
            <w:r w:rsidRPr="004F29EE">
              <w:rPr>
                <w:rFonts w:ascii="Arial" w:eastAsiaTheme="minorHAnsi" w:hAnsi="Arial" w:cs="Arial"/>
                <w:color w:val="000000"/>
                <w:lang w:val="en-GB"/>
              </w:rPr>
              <w:t>First Solar, Inc. is a provider of photovoltaic (PV) solar energy solutions. The company designs, manufactures, and sells PV solar modules with thin-film semiconductor technology, and develops, designs, constructs, and sells PV solar power solutions.</w:t>
            </w:r>
          </w:p>
        </w:tc>
      </w:tr>
      <w:tr w:rsidR="004F29EE" w:rsidRPr="004F29EE" w:rsidTr="004F29EE">
        <w:trPr>
          <w:trHeight w:val="315"/>
        </w:trPr>
        <w:tc>
          <w:tcPr>
            <w:tcW w:w="215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hideMark/>
          </w:tcPr>
          <w:p w:rsidR="004F29EE" w:rsidRPr="004F29EE" w:rsidRDefault="004F29EE" w:rsidP="004F29EE">
            <w:pPr>
              <w:rPr>
                <w:rFonts w:ascii="Arial" w:eastAsiaTheme="minorHAnsi" w:hAnsi="Arial" w:cs="Arial"/>
                <w:b/>
                <w:bCs/>
                <w:lang w:val="en-GB"/>
              </w:rPr>
            </w:pPr>
            <w:r w:rsidRPr="004F29EE">
              <w:rPr>
                <w:rFonts w:ascii="Arial" w:eastAsiaTheme="minorHAnsi" w:hAnsi="Arial" w:cs="Arial"/>
                <w:b/>
                <w:bCs/>
                <w:lang w:val="en-GB"/>
              </w:rPr>
              <w:t>GCL-Poly Energy Holdings Ltd.</w:t>
            </w:r>
          </w:p>
        </w:tc>
        <w:tc>
          <w:tcPr>
            <w:tcW w:w="71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4F29EE" w:rsidRPr="004F29EE" w:rsidRDefault="004F29EE" w:rsidP="004F29EE">
            <w:pPr>
              <w:jc w:val="both"/>
              <w:rPr>
                <w:rFonts w:ascii="Arial" w:eastAsiaTheme="minorHAnsi" w:hAnsi="Arial" w:cs="Arial"/>
                <w:color w:val="000000"/>
                <w:lang w:val="en-GB"/>
              </w:rPr>
            </w:pPr>
            <w:r w:rsidRPr="004F29EE">
              <w:rPr>
                <w:rFonts w:ascii="Arial" w:eastAsiaTheme="minorHAnsi" w:hAnsi="Arial" w:cs="Arial"/>
                <w:color w:val="000000"/>
                <w:lang w:val="en-GB"/>
              </w:rPr>
              <w:t>GCL-Poly Energy Holdings Limited is an investment holding company principally engaged in solar material business. The company operates its business through three segments. The Solar Material Business segment is engaged in the manufacture and sales of polysilicon and wafer to companies operating in the solar industry.</w:t>
            </w:r>
          </w:p>
        </w:tc>
      </w:tr>
      <w:tr w:rsidR="004F29EE" w:rsidRPr="004F29EE" w:rsidTr="004F29EE">
        <w:trPr>
          <w:trHeight w:val="315"/>
        </w:trPr>
        <w:tc>
          <w:tcPr>
            <w:tcW w:w="215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hideMark/>
          </w:tcPr>
          <w:p w:rsidR="004F29EE" w:rsidRPr="004F29EE" w:rsidRDefault="004F29EE" w:rsidP="004F29EE">
            <w:pPr>
              <w:rPr>
                <w:rFonts w:ascii="Arial" w:eastAsiaTheme="minorHAnsi" w:hAnsi="Arial" w:cs="Arial"/>
                <w:b/>
                <w:bCs/>
                <w:lang w:val="en-GB"/>
              </w:rPr>
            </w:pPr>
            <w:r w:rsidRPr="004F29EE">
              <w:rPr>
                <w:rFonts w:ascii="Arial" w:eastAsiaTheme="minorHAnsi" w:hAnsi="Arial" w:cs="Arial"/>
                <w:b/>
                <w:bCs/>
                <w:lang w:val="en-GB"/>
              </w:rPr>
              <w:t>Canadian Solar Inc.</w:t>
            </w:r>
          </w:p>
        </w:tc>
        <w:tc>
          <w:tcPr>
            <w:tcW w:w="71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4F29EE" w:rsidRPr="004F29EE" w:rsidRDefault="004F29EE" w:rsidP="004F29EE">
            <w:pPr>
              <w:jc w:val="both"/>
              <w:rPr>
                <w:rFonts w:ascii="Arial" w:eastAsiaTheme="minorHAnsi" w:hAnsi="Arial" w:cs="Arial"/>
                <w:color w:val="000000"/>
                <w:lang w:val="en-GB"/>
              </w:rPr>
            </w:pPr>
            <w:r w:rsidRPr="004F29EE">
              <w:rPr>
                <w:rFonts w:ascii="Arial" w:eastAsiaTheme="minorHAnsi" w:hAnsi="Arial" w:cs="Arial"/>
                <w:color w:val="000000"/>
                <w:lang w:val="en-GB"/>
              </w:rPr>
              <w:t>Canadian Solar Inc. is a solar power company that provides solar power products, services, and system solutions with operations in North America, South America, Europe, Africa, the Middle East, Australia, and Asia.</w:t>
            </w:r>
          </w:p>
        </w:tc>
      </w:tr>
      <w:tr w:rsidR="004F29EE" w:rsidRPr="004F29EE" w:rsidTr="004F29EE">
        <w:trPr>
          <w:trHeight w:val="315"/>
        </w:trPr>
        <w:tc>
          <w:tcPr>
            <w:tcW w:w="215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hideMark/>
          </w:tcPr>
          <w:p w:rsidR="004F29EE" w:rsidRPr="004F29EE" w:rsidRDefault="004F29EE" w:rsidP="004F29EE">
            <w:pPr>
              <w:rPr>
                <w:rFonts w:ascii="Arial" w:eastAsiaTheme="minorHAnsi" w:hAnsi="Arial" w:cs="Arial"/>
                <w:b/>
                <w:bCs/>
                <w:lang w:val="es-MX"/>
              </w:rPr>
            </w:pPr>
            <w:r w:rsidRPr="004F29EE">
              <w:rPr>
                <w:rFonts w:ascii="Arial" w:eastAsiaTheme="minorHAnsi" w:hAnsi="Arial" w:cs="Arial"/>
                <w:b/>
                <w:bCs/>
                <w:lang w:val="es-MX"/>
              </w:rPr>
              <w:t>Trina Solar Ltd.-</w:t>
            </w:r>
            <w:proofErr w:type="spellStart"/>
            <w:r w:rsidRPr="004F29EE">
              <w:rPr>
                <w:rFonts w:ascii="Arial" w:eastAsiaTheme="minorHAnsi" w:hAnsi="Arial" w:cs="Arial"/>
                <w:b/>
                <w:bCs/>
                <w:lang w:val="es-MX"/>
              </w:rPr>
              <w:t>Spon</w:t>
            </w:r>
            <w:proofErr w:type="spellEnd"/>
            <w:r w:rsidRPr="004F29EE">
              <w:rPr>
                <w:rFonts w:ascii="Arial" w:eastAsiaTheme="minorHAnsi" w:hAnsi="Arial" w:cs="Arial"/>
                <w:b/>
                <w:bCs/>
                <w:lang w:val="es-MX"/>
              </w:rPr>
              <w:t xml:space="preserve"> </w:t>
            </w:r>
            <w:proofErr w:type="spellStart"/>
            <w:r w:rsidRPr="004F29EE">
              <w:rPr>
                <w:rFonts w:ascii="Arial" w:eastAsiaTheme="minorHAnsi" w:hAnsi="Arial" w:cs="Arial"/>
                <w:b/>
                <w:bCs/>
                <w:lang w:val="es-MX"/>
              </w:rPr>
              <w:t>Adr</w:t>
            </w:r>
            <w:proofErr w:type="spellEnd"/>
          </w:p>
        </w:tc>
        <w:tc>
          <w:tcPr>
            <w:tcW w:w="71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4F29EE" w:rsidRPr="004F29EE" w:rsidRDefault="004F29EE" w:rsidP="004F29EE">
            <w:pPr>
              <w:jc w:val="both"/>
              <w:rPr>
                <w:rFonts w:ascii="Arial" w:eastAsiaTheme="minorHAnsi" w:hAnsi="Arial" w:cs="Arial"/>
                <w:color w:val="000000"/>
                <w:lang w:val="en-GB"/>
              </w:rPr>
            </w:pPr>
            <w:r w:rsidRPr="004F29EE">
              <w:rPr>
                <w:rFonts w:ascii="Arial" w:eastAsiaTheme="minorHAnsi" w:hAnsi="Arial" w:cs="Arial"/>
                <w:color w:val="000000"/>
                <w:lang w:val="en-GB"/>
              </w:rPr>
              <w:t xml:space="preserve">Trina Solar Limited is an integrated solar power products manufacturer and solar system developer based in China, with a global distribution network. The company has integrated the manufacturing of ingots, wafers, and solar cells for use in its PV module production. </w:t>
            </w:r>
          </w:p>
        </w:tc>
      </w:tr>
      <w:tr w:rsidR="004F29EE" w:rsidRPr="004F29EE" w:rsidTr="004F29EE">
        <w:trPr>
          <w:trHeight w:val="315"/>
        </w:trPr>
        <w:tc>
          <w:tcPr>
            <w:tcW w:w="2152"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hideMark/>
          </w:tcPr>
          <w:p w:rsidR="004F29EE" w:rsidRPr="004F29EE" w:rsidRDefault="004F29EE" w:rsidP="004F29EE">
            <w:pPr>
              <w:rPr>
                <w:rFonts w:ascii="Arial" w:eastAsiaTheme="minorHAnsi" w:hAnsi="Arial" w:cs="Arial"/>
                <w:b/>
                <w:bCs/>
                <w:lang w:val="en-GB"/>
              </w:rPr>
            </w:pPr>
            <w:r w:rsidRPr="004F29EE">
              <w:rPr>
                <w:rFonts w:ascii="Arial" w:eastAsiaTheme="minorHAnsi" w:hAnsi="Arial" w:cs="Arial"/>
                <w:b/>
                <w:bCs/>
                <w:lang w:val="en-GB"/>
              </w:rPr>
              <w:t>Shanghai Aerospace Automobile Electromechanical</w:t>
            </w:r>
          </w:p>
        </w:tc>
        <w:tc>
          <w:tcPr>
            <w:tcW w:w="71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4F29EE" w:rsidRPr="004F29EE" w:rsidRDefault="004F29EE" w:rsidP="004F29EE">
            <w:pPr>
              <w:jc w:val="both"/>
              <w:rPr>
                <w:rFonts w:ascii="Arial" w:eastAsiaTheme="minorHAnsi" w:hAnsi="Arial" w:cs="Arial"/>
                <w:color w:val="000000"/>
                <w:lang w:val="en-GB"/>
              </w:rPr>
            </w:pPr>
            <w:r w:rsidRPr="004F29EE">
              <w:rPr>
                <w:rFonts w:ascii="Arial" w:eastAsiaTheme="minorHAnsi" w:hAnsi="Arial" w:cs="Arial"/>
                <w:color w:val="000000"/>
                <w:lang w:val="en-GB"/>
              </w:rPr>
              <w:t xml:space="preserve">Shanghai Aerospace is a China-based company principally engaged in new energy development business. The company mainly provides new energy PV, including polycrystalline silicon, solar cell modules, and others: automobile components, including automobile air conditioning systems and others, as well as new materials. </w:t>
            </w:r>
          </w:p>
        </w:tc>
      </w:tr>
      <w:tr w:rsidR="004F29EE" w:rsidRPr="004F29EE" w:rsidTr="004F29E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4F29EE" w:rsidRPr="004F29EE" w:rsidRDefault="004F29EE" w:rsidP="004F29EE">
            <w:pPr>
              <w:rPr>
                <w:rFonts w:ascii="Arial" w:eastAsiaTheme="minorHAnsi" w:hAnsi="Arial" w:cs="Arial"/>
                <w:b/>
                <w:lang w:val="en-GB"/>
              </w:rPr>
            </w:pPr>
            <w:r w:rsidRPr="004F29EE">
              <w:rPr>
                <w:rFonts w:ascii="Arial" w:eastAsiaTheme="minorHAnsi" w:hAnsi="Arial" w:cs="Arial"/>
                <w:b/>
                <w:lang w:val="en-GB"/>
              </w:rPr>
              <w:t>SolarCity</w:t>
            </w:r>
          </w:p>
        </w:tc>
        <w:tc>
          <w:tcPr>
            <w:tcW w:w="71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rsidR="004F29EE" w:rsidRPr="004F29EE" w:rsidRDefault="004F29EE" w:rsidP="004F29EE">
            <w:pPr>
              <w:jc w:val="both"/>
              <w:rPr>
                <w:rFonts w:ascii="Arial" w:eastAsiaTheme="minorHAnsi" w:hAnsi="Arial" w:cs="Arial"/>
                <w:color w:val="000000"/>
                <w:lang w:val="en-GB"/>
              </w:rPr>
            </w:pPr>
            <w:r w:rsidRPr="004F29EE">
              <w:rPr>
                <w:rFonts w:ascii="Arial" w:eastAsiaTheme="minorHAnsi" w:hAnsi="Arial" w:cs="Arial"/>
                <w:color w:val="000000"/>
                <w:lang w:val="en-GB"/>
              </w:rPr>
              <w:t>SolarCity Corporation is a United States-based solar provider primarily engaged in the design, manufacture, installation, and sale or lease of solar energy systems to residential and commercial customers, or sale of electricity generated by solar energy systems to customers.</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Source: “Solar Energy Industry Companies,” S&amp;P Capital IQ database (2016), December 1, 2016, accessed January 6, 2017, www.capitaliq.com.</w:t>
      </w:r>
    </w:p>
    <w:p w:rsidR="00465348" w:rsidRDefault="00465348" w:rsidP="000D7091">
      <w:pPr>
        <w:pStyle w:val="BodyTextMain"/>
        <w:rPr>
          <w:lang w:val="en-GB"/>
        </w:rPr>
      </w:pPr>
    </w:p>
    <w:p w:rsidR="004F29EE" w:rsidRDefault="004F29EE" w:rsidP="000D7091">
      <w:pPr>
        <w:pStyle w:val="BodyTextMain"/>
        <w:rPr>
          <w:lang w:val="en-GB"/>
        </w:rPr>
        <w:sectPr w:rsidR="004F29EE" w:rsidSect="00751E0B">
          <w:headerReference w:type="default" r:id="rId14"/>
          <w:pgSz w:w="12240" w:h="15840" w:code="1"/>
          <w:pgMar w:top="1080" w:right="1440" w:bottom="1440" w:left="1440" w:header="1080" w:footer="720" w:gutter="0"/>
          <w:cols w:space="720"/>
          <w:titlePg/>
          <w:docGrid w:linePitch="360"/>
        </w:sectPr>
      </w:pPr>
    </w:p>
    <w:p w:rsidR="004F29EE" w:rsidRPr="004F29EE" w:rsidRDefault="004F29EE" w:rsidP="004F29EE">
      <w:pPr>
        <w:pStyle w:val="Casehead1"/>
        <w:jc w:val="center"/>
        <w:rPr>
          <w:lang w:val="en-GB" w:eastAsia="zh-CN"/>
        </w:rPr>
      </w:pPr>
      <w:r w:rsidRPr="004F29EE">
        <w:rPr>
          <w:lang w:val="en-GB" w:eastAsia="zh-CN"/>
        </w:rPr>
        <w:lastRenderedPageBreak/>
        <w:t>Exhibit 12: Precedent Transactions</w:t>
      </w:r>
    </w:p>
    <w:p w:rsidR="004F29EE" w:rsidRPr="004F29EE" w:rsidRDefault="004F29EE" w:rsidP="004F29EE">
      <w:pPr>
        <w:pStyle w:val="BodyTextMain"/>
        <w:rPr>
          <w:lang w:val="en-GB" w:eastAsia="zh-CN"/>
        </w:rPr>
      </w:pPr>
    </w:p>
    <w:tbl>
      <w:tblPr>
        <w:tblW w:w="1134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990"/>
        <w:gridCol w:w="2430"/>
        <w:gridCol w:w="1530"/>
        <w:gridCol w:w="1152"/>
        <w:gridCol w:w="1152"/>
        <w:gridCol w:w="1152"/>
        <w:gridCol w:w="1044"/>
        <w:gridCol w:w="900"/>
        <w:gridCol w:w="990"/>
      </w:tblGrid>
      <w:tr w:rsidR="007E3E49" w:rsidRPr="004F29EE" w:rsidTr="00CD5127">
        <w:trPr>
          <w:trHeight w:val="864"/>
          <w:jc w:val="center"/>
        </w:trPr>
        <w:tc>
          <w:tcPr>
            <w:tcW w:w="990"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Date</w:t>
            </w:r>
            <w:r w:rsidRPr="004F29EE">
              <w:rPr>
                <w:rFonts w:ascii="Arial" w:eastAsiaTheme="minorHAnsi" w:hAnsi="Arial" w:cs="Arial"/>
                <w:b/>
                <w:lang w:val="en-GB"/>
              </w:rPr>
              <w:br/>
              <w:t>Effective</w:t>
            </w:r>
          </w:p>
        </w:tc>
        <w:tc>
          <w:tcPr>
            <w:tcW w:w="2430"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Target</w:t>
            </w:r>
          </w:p>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Name</w:t>
            </w:r>
          </w:p>
        </w:tc>
        <w:tc>
          <w:tcPr>
            <w:tcW w:w="1530"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ind w:right="-41"/>
              <w:jc w:val="center"/>
              <w:rPr>
                <w:rFonts w:ascii="Arial" w:eastAsiaTheme="minorHAnsi" w:hAnsi="Arial" w:cs="Arial"/>
                <w:b/>
                <w:lang w:val="en-GB"/>
              </w:rPr>
            </w:pPr>
            <w:r w:rsidRPr="004F29EE">
              <w:rPr>
                <w:rFonts w:ascii="Arial" w:eastAsiaTheme="minorHAnsi" w:hAnsi="Arial" w:cs="Arial"/>
                <w:b/>
                <w:lang w:val="en-GB"/>
              </w:rPr>
              <w:t xml:space="preserve">Acquirer </w:t>
            </w:r>
          </w:p>
          <w:p w:rsidR="007E3E49" w:rsidRPr="004F29EE" w:rsidRDefault="007E3E49" w:rsidP="00CD5127">
            <w:pPr>
              <w:ind w:right="-41"/>
              <w:jc w:val="center"/>
              <w:rPr>
                <w:rFonts w:ascii="Arial" w:eastAsiaTheme="minorHAnsi" w:hAnsi="Arial" w:cs="Arial"/>
                <w:b/>
                <w:lang w:val="en-GB"/>
              </w:rPr>
            </w:pPr>
            <w:r w:rsidRPr="004F29EE">
              <w:rPr>
                <w:rFonts w:ascii="Arial" w:eastAsiaTheme="minorHAnsi" w:hAnsi="Arial" w:cs="Arial"/>
                <w:b/>
                <w:lang w:val="en-GB"/>
              </w:rPr>
              <w:t>Name</w:t>
            </w:r>
          </w:p>
        </w:tc>
        <w:tc>
          <w:tcPr>
            <w:tcW w:w="1152"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Pr>
                <w:rFonts w:ascii="Arial" w:eastAsiaTheme="minorHAnsi" w:hAnsi="Arial" w:cs="Arial"/>
                <w:b/>
                <w:lang w:val="en-GB"/>
              </w:rPr>
              <w:t xml:space="preserve">Deal </w:t>
            </w:r>
            <w:r>
              <w:rPr>
                <w:rFonts w:ascii="Arial" w:eastAsiaTheme="minorHAnsi" w:hAnsi="Arial" w:cs="Arial"/>
                <w:b/>
                <w:lang w:val="en-GB"/>
              </w:rPr>
              <w:br/>
              <w:t>Value</w:t>
            </w:r>
            <w:r w:rsidRPr="004F29EE">
              <w:rPr>
                <w:rFonts w:ascii="Arial" w:eastAsiaTheme="minorHAnsi" w:hAnsi="Arial" w:cs="Arial"/>
                <w:b/>
                <w:lang w:val="en-GB"/>
              </w:rPr>
              <w:t xml:space="preserve"> </w:t>
            </w:r>
            <w:r w:rsidRPr="004F29EE">
              <w:rPr>
                <w:rFonts w:ascii="Arial" w:eastAsiaTheme="minorHAnsi" w:hAnsi="Arial" w:cs="Arial"/>
                <w:b/>
                <w:lang w:val="en-GB"/>
              </w:rPr>
              <w:br/>
              <w:t>($M)</w:t>
            </w:r>
          </w:p>
        </w:tc>
        <w:tc>
          <w:tcPr>
            <w:tcW w:w="1152"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Pr>
                <w:rFonts w:ascii="Arial" w:eastAsiaTheme="minorHAnsi" w:hAnsi="Arial" w:cs="Arial"/>
                <w:b/>
                <w:lang w:val="en-GB"/>
              </w:rPr>
              <w:t xml:space="preserve">Implied </w:t>
            </w:r>
            <w:r w:rsidRPr="004F29EE">
              <w:rPr>
                <w:rFonts w:ascii="Arial" w:eastAsiaTheme="minorHAnsi" w:hAnsi="Arial" w:cs="Arial"/>
                <w:b/>
                <w:lang w:val="en-GB"/>
              </w:rPr>
              <w:t>Enterprise Value</w:t>
            </w:r>
          </w:p>
        </w:tc>
        <w:tc>
          <w:tcPr>
            <w:tcW w:w="1152"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Equity Value</w:t>
            </w:r>
          </w:p>
        </w:tc>
        <w:tc>
          <w:tcPr>
            <w:tcW w:w="1044"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Target</w:t>
            </w:r>
            <w:r w:rsidRPr="004F29EE">
              <w:rPr>
                <w:rFonts w:ascii="Arial" w:eastAsiaTheme="minorHAnsi" w:hAnsi="Arial" w:cs="Arial"/>
                <w:b/>
                <w:lang w:val="en-GB"/>
              </w:rPr>
              <w:br/>
              <w:t>Net Sales</w:t>
            </w:r>
            <w:r w:rsidRPr="004F29EE">
              <w:rPr>
                <w:rFonts w:ascii="Arial" w:eastAsiaTheme="minorHAnsi" w:hAnsi="Arial" w:cs="Arial"/>
                <w:b/>
                <w:lang w:val="en-GB"/>
              </w:rPr>
              <w:br/>
              <w:t>LTM</w:t>
            </w:r>
          </w:p>
        </w:tc>
        <w:tc>
          <w:tcPr>
            <w:tcW w:w="900"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Net Income LTM</w:t>
            </w:r>
          </w:p>
        </w:tc>
        <w:tc>
          <w:tcPr>
            <w:tcW w:w="990" w:type="dxa"/>
            <w:tcBorders>
              <w:top w:val="single" w:sz="4" w:space="0" w:color="auto"/>
              <w:bottom w:val="single" w:sz="4" w:space="0" w:color="auto"/>
            </w:tcBorders>
            <w:noWrap/>
            <w:tcMar>
              <w:top w:w="30" w:type="dxa"/>
              <w:left w:w="45" w:type="dxa"/>
              <w:bottom w:w="30" w:type="dxa"/>
              <w:right w:w="45" w:type="dxa"/>
            </w:tcMar>
            <w:vAlign w:val="center"/>
            <w:hideMark/>
          </w:tcPr>
          <w:p w:rsidR="007E3E49" w:rsidRPr="004F29EE" w:rsidRDefault="007E3E49" w:rsidP="00CD5127">
            <w:pPr>
              <w:jc w:val="center"/>
              <w:rPr>
                <w:rFonts w:ascii="Arial" w:eastAsiaTheme="minorHAnsi" w:hAnsi="Arial" w:cs="Arial"/>
                <w:b/>
                <w:lang w:val="en-GB"/>
              </w:rPr>
            </w:pPr>
            <w:r w:rsidRPr="004F29EE">
              <w:rPr>
                <w:rFonts w:ascii="Arial" w:eastAsiaTheme="minorHAnsi" w:hAnsi="Arial" w:cs="Arial"/>
                <w:b/>
                <w:lang w:val="en-GB"/>
              </w:rPr>
              <w:t>EBITDA LTM</w:t>
            </w:r>
          </w:p>
        </w:tc>
      </w:tr>
      <w:tr w:rsidR="007E3E49" w:rsidRPr="004F29EE" w:rsidTr="00CD5127">
        <w:trPr>
          <w:trHeight w:val="317"/>
          <w:jc w:val="center"/>
        </w:trPr>
        <w:tc>
          <w:tcPr>
            <w:tcW w:w="990"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07/30/14</w:t>
            </w:r>
          </w:p>
        </w:tc>
        <w:tc>
          <w:tcPr>
            <w:tcW w:w="2430"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Sun Team Group Ltd.</w:t>
            </w:r>
          </w:p>
        </w:tc>
        <w:tc>
          <w:tcPr>
            <w:tcW w:w="1530"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ind w:right="-41"/>
              <w:rPr>
                <w:rFonts w:ascii="Arial" w:eastAsiaTheme="minorHAnsi" w:hAnsi="Arial" w:cs="Arial"/>
                <w:lang w:val="en-GB"/>
              </w:rPr>
            </w:pPr>
            <w:proofErr w:type="spellStart"/>
            <w:r w:rsidRPr="004F29EE">
              <w:rPr>
                <w:rFonts w:ascii="Arial" w:eastAsiaTheme="minorHAnsi" w:hAnsi="Arial" w:cs="Arial"/>
                <w:lang w:val="en-GB"/>
              </w:rPr>
              <w:t>Procognia</w:t>
            </w:r>
            <w:proofErr w:type="spellEnd"/>
            <w:r w:rsidRPr="004F29EE">
              <w:rPr>
                <w:rFonts w:ascii="Arial" w:eastAsiaTheme="minorHAnsi" w:hAnsi="Arial" w:cs="Arial"/>
                <w:lang w:val="en-GB"/>
              </w:rPr>
              <w:t xml:space="preserve"> Israel Ltd.</w:t>
            </w:r>
          </w:p>
        </w:tc>
        <w:tc>
          <w:tcPr>
            <w:tcW w:w="1152"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20.17</w:t>
            </w:r>
          </w:p>
        </w:tc>
        <w:tc>
          <w:tcPr>
            <w:tcW w:w="1152"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47.44</w:t>
            </w:r>
          </w:p>
        </w:tc>
        <w:tc>
          <w:tcPr>
            <w:tcW w:w="1152"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tabs>
                <w:tab w:val="decimal" w:pos="689"/>
              </w:tabs>
              <w:rPr>
                <w:rFonts w:ascii="Arial" w:eastAsiaTheme="minorHAnsi" w:hAnsi="Arial" w:cs="Arial"/>
                <w:color w:val="243F60" w:themeColor="accent1" w:themeShade="7F"/>
                <w:lang w:val="en-GB"/>
              </w:rPr>
            </w:pPr>
            <w:r>
              <w:rPr>
                <w:rFonts w:ascii="Arial" w:eastAsiaTheme="minorHAnsi" w:hAnsi="Arial" w:cs="Arial"/>
                <w:lang w:val="en-GB"/>
              </w:rPr>
              <w:t>19.83</w:t>
            </w:r>
          </w:p>
        </w:tc>
        <w:tc>
          <w:tcPr>
            <w:tcW w:w="1044"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36.10</w:t>
            </w:r>
          </w:p>
        </w:tc>
        <w:tc>
          <w:tcPr>
            <w:tcW w:w="900"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7.4</w:t>
            </w:r>
          </w:p>
        </w:tc>
        <w:tc>
          <w:tcPr>
            <w:tcW w:w="990" w:type="dxa"/>
            <w:tcBorders>
              <w:top w:val="single" w:sz="4" w:space="0" w:color="auto"/>
            </w:tcBorders>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11.45</w:t>
            </w:r>
          </w:p>
        </w:tc>
      </w:tr>
      <w:tr w:rsidR="007E3E49" w:rsidRPr="004F29EE" w:rsidTr="00CD5127">
        <w:trPr>
          <w:trHeight w:val="317"/>
          <w:jc w:val="center"/>
        </w:trPr>
        <w:tc>
          <w:tcPr>
            <w:tcW w:w="99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02/10/15</w:t>
            </w:r>
          </w:p>
        </w:tc>
        <w:tc>
          <w:tcPr>
            <w:tcW w:w="243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proofErr w:type="spellStart"/>
            <w:r w:rsidRPr="004F29EE">
              <w:rPr>
                <w:rFonts w:ascii="Arial" w:eastAsiaTheme="minorHAnsi" w:hAnsi="Arial" w:cs="Arial"/>
                <w:lang w:val="en-GB"/>
              </w:rPr>
              <w:t>Nexolon</w:t>
            </w:r>
            <w:proofErr w:type="spellEnd"/>
            <w:r w:rsidRPr="004F29EE">
              <w:rPr>
                <w:rFonts w:ascii="Arial" w:eastAsiaTheme="minorHAnsi" w:hAnsi="Arial" w:cs="Arial"/>
                <w:lang w:val="en-GB"/>
              </w:rPr>
              <w:t xml:space="preserve"> Co. </w:t>
            </w:r>
          </w:p>
        </w:tc>
        <w:tc>
          <w:tcPr>
            <w:tcW w:w="1530" w:type="dxa"/>
            <w:noWrap/>
            <w:tcMar>
              <w:top w:w="30" w:type="dxa"/>
              <w:left w:w="45" w:type="dxa"/>
              <w:bottom w:w="30" w:type="dxa"/>
              <w:right w:w="45" w:type="dxa"/>
            </w:tcMar>
            <w:vAlign w:val="center"/>
            <w:hideMark/>
          </w:tcPr>
          <w:p w:rsidR="007E3E49" w:rsidRPr="004F29EE" w:rsidRDefault="007E3E49" w:rsidP="00CD5127">
            <w:pPr>
              <w:ind w:right="-41"/>
              <w:rPr>
                <w:rFonts w:ascii="Arial" w:eastAsiaTheme="minorHAnsi" w:hAnsi="Arial" w:cs="Arial"/>
                <w:lang w:val="en-GB"/>
              </w:rPr>
            </w:pPr>
            <w:r w:rsidRPr="004F29EE">
              <w:rPr>
                <w:rFonts w:ascii="Arial" w:eastAsiaTheme="minorHAnsi" w:hAnsi="Arial" w:cs="Arial"/>
                <w:lang w:val="en-GB"/>
              </w:rPr>
              <w:t>Creditors</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91.94</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608.66</w:t>
            </w:r>
          </w:p>
        </w:tc>
        <w:tc>
          <w:tcPr>
            <w:tcW w:w="1152" w:type="dxa"/>
            <w:noWrap/>
            <w:tcMar>
              <w:top w:w="30" w:type="dxa"/>
              <w:left w:w="45" w:type="dxa"/>
              <w:bottom w:w="30" w:type="dxa"/>
              <w:right w:w="45" w:type="dxa"/>
            </w:tcMar>
            <w:vAlign w:val="center"/>
            <w:hideMark/>
          </w:tcPr>
          <w:p w:rsidR="007E3E49" w:rsidRPr="004F29EE" w:rsidRDefault="007E3E49" w:rsidP="00CD5127">
            <w:pPr>
              <w:tabs>
                <w:tab w:val="decimal" w:pos="689"/>
              </w:tabs>
              <w:rPr>
                <w:rFonts w:ascii="Arial" w:eastAsiaTheme="minorHAnsi" w:hAnsi="Arial" w:cs="Arial"/>
                <w:color w:val="243F60" w:themeColor="accent1" w:themeShade="7F"/>
                <w:lang w:val="en-GB"/>
              </w:rPr>
            </w:pPr>
            <w:r>
              <w:rPr>
                <w:rFonts w:ascii="Arial" w:eastAsiaTheme="minorHAnsi" w:hAnsi="Arial" w:cs="Arial"/>
                <w:lang w:val="en-GB"/>
              </w:rPr>
              <w:t>78.81</w:t>
            </w:r>
          </w:p>
        </w:tc>
        <w:tc>
          <w:tcPr>
            <w:tcW w:w="1044"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239.63</w:t>
            </w:r>
          </w:p>
        </w:tc>
        <w:tc>
          <w:tcPr>
            <w:tcW w:w="90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–383.3</w:t>
            </w:r>
          </w:p>
        </w:tc>
        <w:tc>
          <w:tcPr>
            <w:tcW w:w="99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–23.97</w:t>
            </w:r>
          </w:p>
        </w:tc>
      </w:tr>
      <w:tr w:rsidR="007E3E49" w:rsidRPr="004F29EE" w:rsidTr="00CD5127">
        <w:trPr>
          <w:trHeight w:val="317"/>
          <w:jc w:val="center"/>
        </w:trPr>
        <w:tc>
          <w:tcPr>
            <w:tcW w:w="99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12/21/15</w:t>
            </w:r>
          </w:p>
        </w:tc>
        <w:tc>
          <w:tcPr>
            <w:tcW w:w="243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 xml:space="preserve">Gestamp </w:t>
            </w:r>
            <w:proofErr w:type="spellStart"/>
            <w:r w:rsidRPr="004F29EE">
              <w:rPr>
                <w:rFonts w:ascii="Arial" w:eastAsiaTheme="minorHAnsi" w:hAnsi="Arial" w:cs="Arial"/>
                <w:lang w:val="en-GB"/>
              </w:rPr>
              <w:t>Asetym</w:t>
            </w:r>
            <w:proofErr w:type="spellEnd"/>
            <w:r w:rsidRPr="004F29EE">
              <w:rPr>
                <w:rFonts w:ascii="Arial" w:eastAsiaTheme="minorHAnsi" w:hAnsi="Arial" w:cs="Arial"/>
                <w:lang w:val="en-GB"/>
              </w:rPr>
              <w:t xml:space="preserve"> Solar </w:t>
            </w:r>
          </w:p>
        </w:tc>
        <w:tc>
          <w:tcPr>
            <w:tcW w:w="1530" w:type="dxa"/>
            <w:noWrap/>
            <w:tcMar>
              <w:top w:w="30" w:type="dxa"/>
              <w:left w:w="45" w:type="dxa"/>
              <w:bottom w:w="30" w:type="dxa"/>
              <w:right w:w="45" w:type="dxa"/>
            </w:tcMar>
            <w:vAlign w:val="center"/>
            <w:hideMark/>
          </w:tcPr>
          <w:p w:rsidR="007E3E49" w:rsidRPr="004F29EE" w:rsidRDefault="007E3E49" w:rsidP="00CD5127">
            <w:pPr>
              <w:ind w:right="-41"/>
              <w:rPr>
                <w:rFonts w:ascii="Arial" w:eastAsiaTheme="minorHAnsi" w:hAnsi="Arial" w:cs="Arial"/>
                <w:lang w:val="en-GB"/>
              </w:rPr>
            </w:pPr>
            <w:r w:rsidRPr="004F29EE">
              <w:rPr>
                <w:rFonts w:ascii="Arial" w:eastAsiaTheme="minorHAnsi" w:hAnsi="Arial" w:cs="Arial"/>
                <w:lang w:val="en-GB"/>
              </w:rPr>
              <w:t>KKR &amp; Co. LP</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1,000.00</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853.85</w:t>
            </w:r>
          </w:p>
        </w:tc>
        <w:tc>
          <w:tcPr>
            <w:tcW w:w="1152" w:type="dxa"/>
            <w:noWrap/>
            <w:tcMar>
              <w:top w:w="30" w:type="dxa"/>
              <w:left w:w="45" w:type="dxa"/>
              <w:bottom w:w="30" w:type="dxa"/>
              <w:right w:w="45" w:type="dxa"/>
            </w:tcMar>
            <w:vAlign w:val="center"/>
            <w:hideMark/>
          </w:tcPr>
          <w:p w:rsidR="007E3E49" w:rsidRPr="004F29EE" w:rsidRDefault="007E3E49" w:rsidP="00CD5127">
            <w:pPr>
              <w:tabs>
                <w:tab w:val="decimal" w:pos="689"/>
              </w:tabs>
              <w:rPr>
                <w:rFonts w:ascii="Arial" w:eastAsiaTheme="minorHAnsi" w:hAnsi="Arial" w:cs="Arial"/>
                <w:color w:val="243F60" w:themeColor="accent1" w:themeShade="7F"/>
                <w:lang w:val="en-GB"/>
              </w:rPr>
            </w:pPr>
            <w:r>
              <w:rPr>
                <w:rFonts w:ascii="Arial" w:eastAsiaTheme="minorHAnsi" w:hAnsi="Arial" w:cs="Arial"/>
                <w:lang w:val="en-GB"/>
              </w:rPr>
              <w:t>814.91</w:t>
            </w:r>
          </w:p>
        </w:tc>
        <w:tc>
          <w:tcPr>
            <w:tcW w:w="1044"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64.98</w:t>
            </w:r>
          </w:p>
        </w:tc>
        <w:tc>
          <w:tcPr>
            <w:tcW w:w="90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–6.6</w:t>
            </w:r>
          </w:p>
        </w:tc>
        <w:tc>
          <w:tcPr>
            <w:tcW w:w="99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8.81</w:t>
            </w:r>
          </w:p>
        </w:tc>
      </w:tr>
      <w:tr w:rsidR="007E3E49" w:rsidRPr="004F29EE" w:rsidTr="00CD5127">
        <w:trPr>
          <w:trHeight w:val="317"/>
          <w:jc w:val="center"/>
        </w:trPr>
        <w:tc>
          <w:tcPr>
            <w:tcW w:w="99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12/22/15</w:t>
            </w:r>
          </w:p>
        </w:tc>
        <w:tc>
          <w:tcPr>
            <w:tcW w:w="243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Renewable Energy Generation</w:t>
            </w:r>
          </w:p>
        </w:tc>
        <w:tc>
          <w:tcPr>
            <w:tcW w:w="1530" w:type="dxa"/>
            <w:noWrap/>
            <w:tcMar>
              <w:top w:w="30" w:type="dxa"/>
              <w:left w:w="45" w:type="dxa"/>
              <w:bottom w:w="30" w:type="dxa"/>
              <w:right w:w="45" w:type="dxa"/>
            </w:tcMar>
            <w:vAlign w:val="center"/>
            <w:hideMark/>
          </w:tcPr>
          <w:p w:rsidR="007E3E49" w:rsidRPr="004F29EE" w:rsidRDefault="007E3E49" w:rsidP="00CD5127">
            <w:pPr>
              <w:ind w:right="-41"/>
              <w:rPr>
                <w:rFonts w:ascii="Arial" w:eastAsiaTheme="minorHAnsi" w:hAnsi="Arial" w:cs="Arial"/>
                <w:lang w:val="en-GB"/>
              </w:rPr>
            </w:pPr>
            <w:r w:rsidRPr="004F29EE">
              <w:rPr>
                <w:rFonts w:ascii="Arial" w:eastAsiaTheme="minorHAnsi" w:hAnsi="Arial" w:cs="Arial"/>
                <w:lang w:val="en-GB"/>
              </w:rPr>
              <w:t>BlackRock Inc.</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97.23</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104.00</w:t>
            </w:r>
          </w:p>
        </w:tc>
        <w:tc>
          <w:tcPr>
            <w:tcW w:w="1152" w:type="dxa"/>
            <w:noWrap/>
            <w:tcMar>
              <w:top w:w="30" w:type="dxa"/>
              <w:left w:w="45" w:type="dxa"/>
              <w:bottom w:w="30" w:type="dxa"/>
              <w:right w:w="45" w:type="dxa"/>
            </w:tcMar>
            <w:vAlign w:val="center"/>
            <w:hideMark/>
          </w:tcPr>
          <w:p w:rsidR="007E3E49" w:rsidRPr="004F29EE" w:rsidRDefault="007E3E49" w:rsidP="00CD5127">
            <w:pPr>
              <w:tabs>
                <w:tab w:val="decimal" w:pos="689"/>
              </w:tabs>
              <w:rPr>
                <w:rFonts w:ascii="Arial" w:eastAsiaTheme="minorHAnsi" w:hAnsi="Arial" w:cs="Arial"/>
                <w:color w:val="243F60" w:themeColor="accent1" w:themeShade="7F"/>
                <w:lang w:val="en-GB"/>
              </w:rPr>
            </w:pPr>
            <w:r>
              <w:rPr>
                <w:rFonts w:ascii="Arial" w:eastAsiaTheme="minorHAnsi" w:hAnsi="Arial" w:cs="Arial"/>
                <w:lang w:val="en-GB"/>
              </w:rPr>
              <w:t>82.84</w:t>
            </w:r>
          </w:p>
        </w:tc>
        <w:tc>
          <w:tcPr>
            <w:tcW w:w="1044"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18.91</w:t>
            </w:r>
          </w:p>
        </w:tc>
        <w:tc>
          <w:tcPr>
            <w:tcW w:w="90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–8.3</w:t>
            </w:r>
          </w:p>
        </w:tc>
        <w:tc>
          <w:tcPr>
            <w:tcW w:w="99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24.15</w:t>
            </w:r>
          </w:p>
        </w:tc>
      </w:tr>
      <w:tr w:rsidR="007E3E49" w:rsidRPr="004F29EE" w:rsidTr="00CD5127">
        <w:trPr>
          <w:trHeight w:val="317"/>
          <w:jc w:val="center"/>
        </w:trPr>
        <w:tc>
          <w:tcPr>
            <w:tcW w:w="99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03/31/16</w:t>
            </w:r>
          </w:p>
        </w:tc>
        <w:tc>
          <w:tcPr>
            <w:tcW w:w="243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 xml:space="preserve">Enel Green Power </w:t>
            </w:r>
            <w:proofErr w:type="spellStart"/>
            <w:r w:rsidRPr="004F29EE">
              <w:rPr>
                <w:rFonts w:ascii="Arial" w:eastAsiaTheme="minorHAnsi" w:hAnsi="Arial" w:cs="Arial"/>
                <w:lang w:val="en-GB"/>
              </w:rPr>
              <w:t>SpA</w:t>
            </w:r>
            <w:proofErr w:type="spellEnd"/>
          </w:p>
        </w:tc>
        <w:tc>
          <w:tcPr>
            <w:tcW w:w="1530" w:type="dxa"/>
            <w:noWrap/>
            <w:tcMar>
              <w:top w:w="30" w:type="dxa"/>
              <w:left w:w="45" w:type="dxa"/>
              <w:bottom w:w="30" w:type="dxa"/>
              <w:right w:w="45" w:type="dxa"/>
            </w:tcMar>
            <w:vAlign w:val="center"/>
            <w:hideMark/>
          </w:tcPr>
          <w:p w:rsidR="007E3E49" w:rsidRPr="004F29EE" w:rsidRDefault="007E3E49" w:rsidP="00CD5127">
            <w:pPr>
              <w:ind w:right="-41"/>
              <w:rPr>
                <w:rFonts w:ascii="Arial" w:eastAsiaTheme="minorHAnsi" w:hAnsi="Arial" w:cs="Arial"/>
                <w:lang w:val="en-GB"/>
              </w:rPr>
            </w:pPr>
            <w:r w:rsidRPr="004F29EE">
              <w:rPr>
                <w:rFonts w:ascii="Arial" w:eastAsiaTheme="minorHAnsi" w:hAnsi="Arial" w:cs="Arial"/>
                <w:lang w:val="en-GB"/>
              </w:rPr>
              <w:t xml:space="preserve">Enel </w:t>
            </w:r>
            <w:proofErr w:type="spellStart"/>
            <w:r w:rsidRPr="004F29EE">
              <w:rPr>
                <w:rFonts w:ascii="Arial" w:eastAsiaTheme="minorHAnsi" w:hAnsi="Arial" w:cs="Arial"/>
                <w:lang w:val="en-GB"/>
              </w:rPr>
              <w:t>SpA</w:t>
            </w:r>
            <w:proofErr w:type="spellEnd"/>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10,893.95</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18,787.79</w:t>
            </w:r>
          </w:p>
        </w:tc>
        <w:tc>
          <w:tcPr>
            <w:tcW w:w="1152" w:type="dxa"/>
            <w:noWrap/>
            <w:tcMar>
              <w:top w:w="30" w:type="dxa"/>
              <w:left w:w="45" w:type="dxa"/>
              <w:bottom w:w="30" w:type="dxa"/>
              <w:right w:w="45" w:type="dxa"/>
            </w:tcMar>
            <w:vAlign w:val="center"/>
            <w:hideMark/>
          </w:tcPr>
          <w:p w:rsidR="007E3E49" w:rsidRPr="004F29EE" w:rsidRDefault="007E3E49" w:rsidP="00CD5127">
            <w:pPr>
              <w:tabs>
                <w:tab w:val="decimal" w:pos="689"/>
              </w:tabs>
              <w:rPr>
                <w:rFonts w:ascii="Arial" w:eastAsiaTheme="minorHAnsi" w:hAnsi="Arial" w:cs="Arial"/>
                <w:color w:val="243F60" w:themeColor="accent1" w:themeShade="7F"/>
                <w:lang w:val="en-GB"/>
              </w:rPr>
            </w:pPr>
            <w:r>
              <w:rPr>
                <w:rFonts w:ascii="Arial" w:eastAsiaTheme="minorHAnsi" w:hAnsi="Arial" w:cs="Arial"/>
                <w:lang w:val="en-GB"/>
              </w:rPr>
              <w:t>9,707.55</w:t>
            </w:r>
          </w:p>
        </w:tc>
        <w:tc>
          <w:tcPr>
            <w:tcW w:w="1044"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3,438.76</w:t>
            </w:r>
          </w:p>
        </w:tc>
        <w:tc>
          <w:tcPr>
            <w:tcW w:w="90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233.6</w:t>
            </w:r>
          </w:p>
        </w:tc>
        <w:tc>
          <w:tcPr>
            <w:tcW w:w="99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2,255.25</w:t>
            </w:r>
          </w:p>
        </w:tc>
      </w:tr>
      <w:tr w:rsidR="007E3E49" w:rsidRPr="004F29EE" w:rsidTr="00CD5127">
        <w:trPr>
          <w:trHeight w:val="317"/>
          <w:jc w:val="center"/>
        </w:trPr>
        <w:tc>
          <w:tcPr>
            <w:tcW w:w="99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12/02/16</w:t>
            </w:r>
          </w:p>
        </w:tc>
        <w:tc>
          <w:tcPr>
            <w:tcW w:w="2430" w:type="dxa"/>
            <w:noWrap/>
            <w:tcMar>
              <w:top w:w="30" w:type="dxa"/>
              <w:left w:w="45" w:type="dxa"/>
              <w:bottom w:w="30" w:type="dxa"/>
              <w:right w:w="45" w:type="dxa"/>
            </w:tcMar>
            <w:vAlign w:val="center"/>
            <w:hideMark/>
          </w:tcPr>
          <w:p w:rsidR="007E3E49" w:rsidRPr="004F29EE" w:rsidRDefault="007E3E49" w:rsidP="00CD5127">
            <w:pPr>
              <w:rPr>
                <w:rFonts w:ascii="Arial" w:eastAsiaTheme="minorHAnsi" w:hAnsi="Arial" w:cs="Arial"/>
                <w:lang w:val="en-GB"/>
              </w:rPr>
            </w:pPr>
            <w:r w:rsidRPr="004F29EE">
              <w:rPr>
                <w:rFonts w:ascii="Arial" w:eastAsiaTheme="minorHAnsi" w:hAnsi="Arial" w:cs="Arial"/>
                <w:lang w:val="en-GB"/>
              </w:rPr>
              <w:t xml:space="preserve">Alerion Clean Power </w:t>
            </w:r>
            <w:proofErr w:type="spellStart"/>
            <w:r w:rsidRPr="004F29EE">
              <w:rPr>
                <w:rFonts w:ascii="Arial" w:eastAsiaTheme="minorHAnsi" w:hAnsi="Arial" w:cs="Arial"/>
                <w:lang w:val="en-GB"/>
              </w:rPr>
              <w:t>SpA</w:t>
            </w:r>
            <w:proofErr w:type="spellEnd"/>
          </w:p>
        </w:tc>
        <w:tc>
          <w:tcPr>
            <w:tcW w:w="1530" w:type="dxa"/>
            <w:noWrap/>
            <w:tcMar>
              <w:top w:w="30" w:type="dxa"/>
              <w:left w:w="45" w:type="dxa"/>
              <w:bottom w:w="30" w:type="dxa"/>
              <w:right w:w="45" w:type="dxa"/>
            </w:tcMar>
            <w:vAlign w:val="center"/>
            <w:hideMark/>
          </w:tcPr>
          <w:p w:rsidR="007E3E49" w:rsidRPr="004F29EE" w:rsidRDefault="007E3E49" w:rsidP="00CD5127">
            <w:pPr>
              <w:ind w:right="-41"/>
              <w:rPr>
                <w:rFonts w:ascii="Arial" w:eastAsiaTheme="minorHAnsi" w:hAnsi="Arial" w:cs="Arial"/>
                <w:lang w:val="en-GB"/>
              </w:rPr>
            </w:pPr>
            <w:proofErr w:type="spellStart"/>
            <w:r w:rsidRPr="004F29EE">
              <w:rPr>
                <w:rFonts w:ascii="Arial" w:eastAsiaTheme="minorHAnsi" w:hAnsi="Arial" w:cs="Arial"/>
                <w:lang w:val="en-GB"/>
              </w:rPr>
              <w:t>Eolo</w:t>
            </w:r>
            <w:proofErr w:type="spellEnd"/>
            <w:r w:rsidRPr="004F29EE">
              <w:rPr>
                <w:rFonts w:ascii="Arial" w:eastAsiaTheme="minorHAnsi" w:hAnsi="Arial" w:cs="Arial"/>
                <w:lang w:val="en-GB"/>
              </w:rPr>
              <w:t xml:space="preserve"> </w:t>
            </w:r>
            <w:proofErr w:type="spellStart"/>
            <w:r w:rsidRPr="004F29EE">
              <w:rPr>
                <w:rFonts w:ascii="Arial" w:eastAsiaTheme="minorHAnsi" w:hAnsi="Arial" w:cs="Arial"/>
                <w:lang w:val="en-GB"/>
              </w:rPr>
              <w:t>Energia</w:t>
            </w:r>
            <w:proofErr w:type="spellEnd"/>
            <w:r w:rsidRPr="004F29EE">
              <w:rPr>
                <w:rFonts w:ascii="Arial" w:eastAsiaTheme="minorHAnsi" w:hAnsi="Arial" w:cs="Arial"/>
                <w:lang w:val="en-GB"/>
              </w:rPr>
              <w:t xml:space="preserve"> </w:t>
            </w:r>
            <w:proofErr w:type="spellStart"/>
            <w:r w:rsidRPr="004F29EE">
              <w:rPr>
                <w:rFonts w:ascii="Arial" w:eastAsiaTheme="minorHAnsi" w:hAnsi="Arial" w:cs="Arial"/>
                <w:lang w:val="en-GB"/>
              </w:rPr>
              <w:t>Srl</w:t>
            </w:r>
            <w:proofErr w:type="spellEnd"/>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116.32</w:t>
            </w:r>
          </w:p>
        </w:tc>
        <w:tc>
          <w:tcPr>
            <w:tcW w:w="1152"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329.48</w:t>
            </w:r>
          </w:p>
        </w:tc>
        <w:tc>
          <w:tcPr>
            <w:tcW w:w="1152" w:type="dxa"/>
            <w:noWrap/>
            <w:tcMar>
              <w:top w:w="30" w:type="dxa"/>
              <w:left w:w="45" w:type="dxa"/>
              <w:bottom w:w="30" w:type="dxa"/>
              <w:right w:w="45" w:type="dxa"/>
            </w:tcMar>
            <w:vAlign w:val="center"/>
            <w:hideMark/>
          </w:tcPr>
          <w:p w:rsidR="007E3E49" w:rsidRPr="004F29EE" w:rsidRDefault="007E3E49" w:rsidP="00CD5127">
            <w:pPr>
              <w:tabs>
                <w:tab w:val="decimal" w:pos="689"/>
              </w:tabs>
              <w:rPr>
                <w:rFonts w:ascii="Arial" w:eastAsiaTheme="minorHAnsi" w:hAnsi="Arial" w:cs="Arial"/>
                <w:color w:val="243F60" w:themeColor="accent1" w:themeShade="7F"/>
                <w:lang w:val="en-GB"/>
              </w:rPr>
            </w:pPr>
            <w:r>
              <w:rPr>
                <w:rFonts w:ascii="Arial" w:eastAsiaTheme="minorHAnsi" w:hAnsi="Arial" w:cs="Arial"/>
                <w:lang w:val="en-GB"/>
              </w:rPr>
              <w:t>102.49</w:t>
            </w:r>
          </w:p>
        </w:tc>
        <w:tc>
          <w:tcPr>
            <w:tcW w:w="1044"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48.10</w:t>
            </w:r>
          </w:p>
        </w:tc>
        <w:tc>
          <w:tcPr>
            <w:tcW w:w="90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–9.3</w:t>
            </w:r>
          </w:p>
        </w:tc>
        <w:tc>
          <w:tcPr>
            <w:tcW w:w="990" w:type="dxa"/>
            <w:noWrap/>
            <w:tcMar>
              <w:top w:w="30" w:type="dxa"/>
              <w:left w:w="45" w:type="dxa"/>
              <w:bottom w:w="30" w:type="dxa"/>
              <w:right w:w="45" w:type="dxa"/>
            </w:tcMar>
            <w:vAlign w:val="center"/>
            <w:hideMark/>
          </w:tcPr>
          <w:p w:rsidR="007E3E49" w:rsidRPr="004F29EE" w:rsidRDefault="007E3E49" w:rsidP="00CD5127">
            <w:pPr>
              <w:jc w:val="right"/>
              <w:rPr>
                <w:rFonts w:ascii="Arial" w:eastAsiaTheme="minorHAnsi" w:hAnsi="Arial" w:cs="Arial"/>
                <w:lang w:val="en-GB"/>
              </w:rPr>
            </w:pPr>
            <w:r w:rsidRPr="004F29EE">
              <w:rPr>
                <w:rFonts w:ascii="Arial" w:eastAsiaTheme="minorHAnsi" w:hAnsi="Arial" w:cs="Arial"/>
                <w:lang w:val="en-GB"/>
              </w:rPr>
              <w:t>27.53</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7E3E49" w:rsidRPr="004F29EE" w:rsidRDefault="007E3E49" w:rsidP="007E3E49">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Note: M = millions; LTM = last twelve months; EBITDA = earnings before interest, taxes, depreciation, and amortization</w:t>
      </w:r>
      <w:r>
        <w:rPr>
          <w:rFonts w:ascii="Arial" w:hAnsi="Arial" w:cs="Arial"/>
          <w:iCs/>
          <w:sz w:val="17"/>
          <w:szCs w:val="17"/>
          <w:lang w:val="en-GB" w:eastAsia="zh-CN"/>
        </w:rPr>
        <w:t>; Implied enterprise value is deal value plus interest-bearing debt; Equity value is market value of equity one month prior to acquisition announcement.</w:t>
      </w: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Source: “Solar Energy Industry Companies,” S&amp;P Capital IQ database (2016), December 1, 2016, accessed January 6, 2017, www.capitaliq.com.</w:t>
      </w:r>
    </w:p>
    <w:p w:rsidR="004F29EE" w:rsidRDefault="004F29EE" w:rsidP="004F29EE">
      <w:pPr>
        <w:pStyle w:val="BodyTextMain"/>
        <w:rPr>
          <w:lang w:val="en-GB"/>
        </w:rPr>
      </w:pPr>
    </w:p>
    <w:p w:rsidR="004F29EE" w:rsidRDefault="004F29EE" w:rsidP="004F29EE">
      <w:pPr>
        <w:pStyle w:val="BodyTextMain"/>
        <w:rPr>
          <w:lang w:val="en-GB"/>
        </w:rPr>
      </w:pPr>
    </w:p>
    <w:p w:rsidR="004F29EE" w:rsidRPr="004F29EE" w:rsidRDefault="004F29EE" w:rsidP="004F29EE">
      <w:pPr>
        <w:jc w:val="center"/>
        <w:rPr>
          <w:rFonts w:ascii="Arial" w:hAnsi="Arial" w:cs="Arial"/>
          <w:b/>
          <w:caps/>
          <w:lang w:val="en-GB" w:eastAsia="zh-CN"/>
        </w:rPr>
      </w:pPr>
      <w:r w:rsidRPr="004F29EE">
        <w:rPr>
          <w:rFonts w:ascii="Arial" w:hAnsi="Arial" w:cs="Arial"/>
          <w:b/>
          <w:caps/>
          <w:lang w:val="en-GB" w:eastAsia="zh-CN"/>
        </w:rPr>
        <w:t>Exhibit 13: SolarCity Discounted Cash Flow analysis, 2015–2021</w:t>
      </w:r>
    </w:p>
    <w:p w:rsidR="004F29EE" w:rsidRPr="004F29EE" w:rsidRDefault="004F29EE" w:rsidP="004F29EE">
      <w:pPr>
        <w:pStyle w:val="BodyTextMain"/>
        <w:rPr>
          <w:lang w:val="en-GB" w:eastAsia="zh-CN"/>
        </w:rPr>
      </w:pPr>
    </w:p>
    <w:tbl>
      <w:tblPr>
        <w:tblW w:w="9980" w:type="dxa"/>
        <w:jc w:val="center"/>
        <w:tblCellMar>
          <w:top w:w="15" w:type="dxa"/>
          <w:bottom w:w="15" w:type="dxa"/>
        </w:tblCellMar>
        <w:tblLook w:val="04A0" w:firstRow="1" w:lastRow="0" w:firstColumn="1" w:lastColumn="0" w:noHBand="0" w:noVBand="1"/>
      </w:tblPr>
      <w:tblGrid>
        <w:gridCol w:w="2000"/>
        <w:gridCol w:w="1140"/>
        <w:gridCol w:w="1140"/>
        <w:gridCol w:w="1140"/>
        <w:gridCol w:w="1140"/>
        <w:gridCol w:w="1140"/>
        <w:gridCol w:w="1140"/>
        <w:gridCol w:w="1140"/>
      </w:tblGrid>
      <w:tr w:rsidR="004F29EE" w:rsidRPr="004F29EE" w:rsidTr="004F29EE">
        <w:trPr>
          <w:trHeight w:val="315"/>
          <w:jc w:val="center"/>
        </w:trPr>
        <w:tc>
          <w:tcPr>
            <w:tcW w:w="200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rPr>
                <w:rFonts w:ascii="Arial" w:hAnsi="Arial" w:cs="Arial"/>
                <w:color w:val="000000"/>
                <w:lang w:eastAsia="zh-CN"/>
              </w:rPr>
            </w:pPr>
            <w:r w:rsidRPr="004F29EE">
              <w:rPr>
                <w:rFonts w:ascii="Arial" w:hAnsi="Arial" w:cs="Arial"/>
                <w:color w:val="000000"/>
                <w:lang w:eastAsia="zh-CN"/>
              </w:rPr>
              <w:t>($ in millions)</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jc w:val="center"/>
              <w:rPr>
                <w:rFonts w:ascii="Arial" w:hAnsi="Arial" w:cs="Arial"/>
                <w:b/>
                <w:bCs/>
                <w:color w:val="000000"/>
                <w:lang w:eastAsia="zh-CN"/>
              </w:rPr>
            </w:pPr>
            <w:r w:rsidRPr="004F29EE">
              <w:rPr>
                <w:rFonts w:ascii="Arial" w:hAnsi="Arial" w:cs="Arial"/>
                <w:b/>
                <w:bCs/>
                <w:color w:val="000000"/>
                <w:lang w:eastAsia="zh-CN"/>
              </w:rPr>
              <w:t>FY 2015</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rPr>
                <w:rFonts w:ascii="Arial" w:hAnsi="Arial" w:cs="Arial"/>
                <w:b/>
                <w:bCs/>
                <w:color w:val="000000"/>
                <w:lang w:eastAsia="zh-CN"/>
              </w:rPr>
            </w:pPr>
            <w:r w:rsidRPr="004F29EE">
              <w:rPr>
                <w:rFonts w:ascii="Arial" w:hAnsi="Arial" w:cs="Arial"/>
                <w:b/>
                <w:bCs/>
                <w:color w:val="000000"/>
                <w:lang w:eastAsia="zh-CN"/>
              </w:rPr>
              <w:t>FY 2016</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rPr>
                <w:rFonts w:ascii="Arial" w:hAnsi="Arial" w:cs="Arial"/>
                <w:b/>
                <w:bCs/>
                <w:color w:val="000000"/>
                <w:lang w:eastAsia="zh-CN"/>
              </w:rPr>
            </w:pPr>
            <w:r w:rsidRPr="004F29EE">
              <w:rPr>
                <w:rFonts w:ascii="Arial" w:hAnsi="Arial" w:cs="Arial"/>
                <w:b/>
                <w:bCs/>
                <w:color w:val="000000"/>
                <w:lang w:eastAsia="zh-CN"/>
              </w:rPr>
              <w:t>FY 2017E</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jc w:val="center"/>
              <w:rPr>
                <w:rFonts w:ascii="Arial" w:hAnsi="Arial" w:cs="Arial"/>
                <w:b/>
                <w:bCs/>
                <w:color w:val="000000"/>
                <w:lang w:eastAsia="zh-CN"/>
              </w:rPr>
            </w:pPr>
            <w:r w:rsidRPr="004F29EE">
              <w:rPr>
                <w:rFonts w:ascii="Arial" w:hAnsi="Arial" w:cs="Arial"/>
                <w:b/>
                <w:bCs/>
                <w:color w:val="000000"/>
                <w:lang w:eastAsia="zh-CN"/>
              </w:rPr>
              <w:t>FY 2018E</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jc w:val="center"/>
              <w:rPr>
                <w:rFonts w:ascii="Arial" w:hAnsi="Arial" w:cs="Arial"/>
                <w:b/>
                <w:bCs/>
                <w:color w:val="000000"/>
                <w:lang w:eastAsia="zh-CN"/>
              </w:rPr>
            </w:pPr>
            <w:r w:rsidRPr="004F29EE">
              <w:rPr>
                <w:rFonts w:ascii="Arial" w:hAnsi="Arial" w:cs="Arial"/>
                <w:b/>
                <w:bCs/>
                <w:color w:val="000000"/>
                <w:lang w:eastAsia="zh-CN"/>
              </w:rPr>
              <w:t>FY 2019E</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jc w:val="center"/>
              <w:rPr>
                <w:rFonts w:ascii="Arial" w:hAnsi="Arial" w:cs="Arial"/>
                <w:b/>
                <w:bCs/>
                <w:color w:val="000000"/>
                <w:lang w:eastAsia="zh-CN"/>
              </w:rPr>
            </w:pPr>
            <w:r w:rsidRPr="004F29EE">
              <w:rPr>
                <w:rFonts w:ascii="Arial" w:hAnsi="Arial" w:cs="Arial"/>
                <w:b/>
                <w:bCs/>
                <w:color w:val="000000"/>
                <w:lang w:eastAsia="zh-CN"/>
              </w:rPr>
              <w:t>FY 2020E</w:t>
            </w:r>
          </w:p>
        </w:tc>
        <w:tc>
          <w:tcPr>
            <w:tcW w:w="1140" w:type="dxa"/>
            <w:tcBorders>
              <w:top w:val="single" w:sz="4" w:space="0" w:color="000000"/>
              <w:left w:val="nil"/>
              <w:bottom w:val="single" w:sz="4" w:space="0" w:color="000000"/>
              <w:right w:val="nil"/>
            </w:tcBorders>
            <w:shd w:val="clear" w:color="FFFFFF" w:fill="FFFFFF"/>
            <w:noWrap/>
            <w:vAlign w:val="bottom"/>
            <w:hideMark/>
          </w:tcPr>
          <w:p w:rsidR="004F29EE" w:rsidRPr="004F29EE" w:rsidRDefault="004F29EE" w:rsidP="004F29EE">
            <w:pPr>
              <w:jc w:val="center"/>
              <w:rPr>
                <w:rFonts w:ascii="Arial" w:hAnsi="Arial" w:cs="Arial"/>
                <w:b/>
                <w:bCs/>
                <w:color w:val="000000"/>
                <w:lang w:eastAsia="zh-CN"/>
              </w:rPr>
            </w:pPr>
            <w:r w:rsidRPr="004F29EE">
              <w:rPr>
                <w:rFonts w:ascii="Arial" w:hAnsi="Arial" w:cs="Arial"/>
                <w:b/>
                <w:bCs/>
                <w:color w:val="000000"/>
                <w:lang w:eastAsia="zh-CN"/>
              </w:rPr>
              <w:t>FY 2021E</w:t>
            </w:r>
          </w:p>
        </w:tc>
      </w:tr>
      <w:tr w:rsidR="004F29EE" w:rsidRPr="004F29EE" w:rsidTr="004F29EE">
        <w:trPr>
          <w:trHeight w:val="315"/>
          <w:jc w:val="center"/>
        </w:trPr>
        <w:tc>
          <w:tcPr>
            <w:tcW w:w="2000" w:type="dxa"/>
            <w:tcBorders>
              <w:top w:val="nil"/>
              <w:left w:val="nil"/>
              <w:right w:val="nil"/>
            </w:tcBorders>
            <w:shd w:val="clear" w:color="FFFFFF" w:fill="FFFFFF"/>
            <w:noWrap/>
            <w:vAlign w:val="bottom"/>
            <w:hideMark/>
          </w:tcPr>
          <w:p w:rsidR="004F29EE" w:rsidRPr="004F29EE" w:rsidRDefault="004F29EE" w:rsidP="004F29EE">
            <w:pPr>
              <w:rPr>
                <w:rFonts w:ascii="Arial" w:hAnsi="Arial" w:cs="Arial"/>
                <w:b/>
                <w:bCs/>
                <w:color w:val="000000"/>
                <w:lang w:eastAsia="zh-CN"/>
              </w:rPr>
            </w:pPr>
            <w:r w:rsidRPr="004F29EE">
              <w:rPr>
                <w:rFonts w:ascii="Arial" w:hAnsi="Arial" w:cs="Arial"/>
                <w:b/>
                <w:bCs/>
                <w:color w:val="000000"/>
                <w:lang w:eastAsia="zh-CN"/>
              </w:rPr>
              <w:t>Revenue</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400 </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730 </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969 </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1,274 </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2,066 </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3,295 </w:t>
            </w:r>
          </w:p>
        </w:tc>
        <w:tc>
          <w:tcPr>
            <w:tcW w:w="1140" w:type="dxa"/>
            <w:tcBorders>
              <w:top w:val="nil"/>
              <w:left w:val="nil"/>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5,003 </w:t>
            </w:r>
          </w:p>
        </w:tc>
      </w:tr>
      <w:tr w:rsidR="004F29EE" w:rsidRPr="004F29EE" w:rsidTr="004F29EE">
        <w:trPr>
          <w:trHeight w:val="315"/>
          <w:jc w:val="center"/>
        </w:trPr>
        <w:tc>
          <w:tcPr>
            <w:tcW w:w="2000" w:type="dxa"/>
            <w:tcBorders>
              <w:top w:val="nil"/>
              <w:left w:val="nil"/>
              <w:bottom w:val="single" w:sz="4" w:space="0" w:color="auto"/>
              <w:right w:val="nil"/>
            </w:tcBorders>
            <w:shd w:val="clear" w:color="FFFFFF" w:fill="FFFFFF"/>
            <w:noWrap/>
            <w:vAlign w:val="bottom"/>
            <w:hideMark/>
          </w:tcPr>
          <w:p w:rsidR="004F29EE" w:rsidRPr="004F29EE" w:rsidRDefault="004F29EE" w:rsidP="004F29EE">
            <w:pPr>
              <w:rPr>
                <w:rFonts w:ascii="Arial" w:hAnsi="Arial" w:cs="Arial"/>
                <w:b/>
                <w:bCs/>
                <w:color w:val="000000"/>
                <w:lang w:eastAsia="zh-CN"/>
              </w:rPr>
            </w:pPr>
            <w:r w:rsidRPr="004F29EE">
              <w:rPr>
                <w:rFonts w:ascii="Arial" w:hAnsi="Arial" w:cs="Arial"/>
                <w:b/>
                <w:bCs/>
                <w:color w:val="000000"/>
                <w:lang w:eastAsia="zh-CN"/>
              </w:rPr>
              <w:t>EBITDA</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32193C" w:rsidP="004F29EE">
            <w:pPr>
              <w:jc w:val="right"/>
              <w:rPr>
                <w:rFonts w:ascii="Arial" w:hAnsi="Arial" w:cs="Arial"/>
                <w:color w:val="000000"/>
                <w:lang w:eastAsia="zh-CN"/>
              </w:rPr>
            </w:pPr>
            <w:r>
              <w:rPr>
                <w:rFonts w:ascii="Arial" w:hAnsi="Arial" w:cs="Arial"/>
                <w:color w:val="000000"/>
                <w:lang w:eastAsia="zh-CN"/>
              </w:rPr>
              <w:t>−</w:t>
            </w:r>
            <w:r w:rsidR="004F29EE" w:rsidRPr="004F29EE">
              <w:rPr>
                <w:rFonts w:ascii="Arial" w:hAnsi="Arial" w:cs="Arial"/>
                <w:color w:val="000000"/>
                <w:lang w:eastAsia="zh-CN"/>
              </w:rPr>
              <w:t>640.12</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32193C" w:rsidP="004F29EE">
            <w:pPr>
              <w:jc w:val="right"/>
              <w:rPr>
                <w:rFonts w:ascii="Arial" w:hAnsi="Arial" w:cs="Arial"/>
                <w:color w:val="000000"/>
                <w:lang w:eastAsia="zh-CN"/>
              </w:rPr>
            </w:pPr>
            <w:r>
              <w:rPr>
                <w:rFonts w:ascii="Arial" w:hAnsi="Arial" w:cs="Arial"/>
                <w:color w:val="000000"/>
                <w:lang w:eastAsia="zh-CN"/>
              </w:rPr>
              <w:t>−</w:t>
            </w:r>
            <w:r w:rsidR="004F29EE" w:rsidRPr="004F29EE">
              <w:rPr>
                <w:rFonts w:ascii="Arial" w:hAnsi="Arial" w:cs="Arial"/>
                <w:color w:val="000000"/>
                <w:lang w:eastAsia="zh-CN"/>
              </w:rPr>
              <w:t>634.67</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347.13 </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456.51 </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740.38 </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1,180.91 </w:t>
            </w:r>
          </w:p>
        </w:tc>
        <w:tc>
          <w:tcPr>
            <w:tcW w:w="1140" w:type="dxa"/>
            <w:tcBorders>
              <w:top w:val="nil"/>
              <w:left w:val="nil"/>
              <w:bottom w:val="single" w:sz="4" w:space="0" w:color="auto"/>
              <w:right w:val="nil"/>
            </w:tcBorders>
            <w:shd w:val="clear" w:color="FFFFFF" w:fill="FFFFFF"/>
            <w:noWrap/>
            <w:vAlign w:val="bottom"/>
            <w:hideMark/>
          </w:tcPr>
          <w:p w:rsidR="004F29EE" w:rsidRPr="004F29EE" w:rsidRDefault="004F29EE" w:rsidP="004F29EE">
            <w:pPr>
              <w:jc w:val="right"/>
              <w:rPr>
                <w:rFonts w:ascii="Arial" w:hAnsi="Arial" w:cs="Arial"/>
                <w:color w:val="000000"/>
                <w:lang w:eastAsia="zh-CN"/>
              </w:rPr>
            </w:pPr>
            <w:r w:rsidRPr="004F29EE">
              <w:rPr>
                <w:rFonts w:ascii="Arial" w:hAnsi="Arial" w:cs="Arial"/>
                <w:color w:val="000000"/>
                <w:lang w:eastAsia="zh-CN"/>
              </w:rPr>
              <w:t xml:space="preserve">1,793.12 </w:t>
            </w:r>
          </w:p>
        </w:tc>
      </w:tr>
    </w:tbl>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p>
    <w:p w:rsidR="004F29EE" w:rsidRPr="004F29EE" w:rsidRDefault="004F29EE" w:rsidP="004F29EE">
      <w:pPr>
        <w:tabs>
          <w:tab w:val="left" w:pos="-1440"/>
          <w:tab w:val="left" w:pos="-720"/>
          <w:tab w:val="left" w:pos="1"/>
          <w:tab w:val="right" w:pos="9000"/>
        </w:tabs>
        <w:jc w:val="both"/>
        <w:rPr>
          <w:rFonts w:ascii="Arial" w:hAnsi="Arial" w:cs="Arial"/>
          <w:iCs/>
          <w:sz w:val="17"/>
          <w:szCs w:val="17"/>
          <w:lang w:val="en-GB" w:eastAsia="zh-CN"/>
        </w:rPr>
      </w:pPr>
      <w:r w:rsidRPr="004F29EE">
        <w:rPr>
          <w:rFonts w:ascii="Arial" w:hAnsi="Arial" w:cs="Arial"/>
          <w:iCs/>
          <w:sz w:val="17"/>
          <w:szCs w:val="17"/>
          <w:lang w:val="en-GB" w:eastAsia="zh-CN"/>
        </w:rPr>
        <w:t>Note: FY = fiscal year; E = estimated; EBITDA = earnings before interest, taxes, depreciation, and amortization.</w:t>
      </w:r>
    </w:p>
    <w:p w:rsidR="004F29EE" w:rsidRPr="004F29EE" w:rsidRDefault="004F29EE" w:rsidP="004F29EE">
      <w:pPr>
        <w:jc w:val="both"/>
        <w:rPr>
          <w:sz w:val="22"/>
          <w:szCs w:val="22"/>
          <w:lang w:val="en-GB" w:eastAsia="zh-CN"/>
        </w:rPr>
      </w:pPr>
    </w:p>
    <w:p w:rsidR="004F29EE" w:rsidRPr="004F29EE" w:rsidRDefault="004F29EE" w:rsidP="004F29EE">
      <w:pPr>
        <w:pStyle w:val="BodyTextMain"/>
        <w:rPr>
          <w:lang w:val="en-GB"/>
        </w:rPr>
      </w:pPr>
    </w:p>
    <w:sectPr w:rsidR="004F29EE" w:rsidRPr="004F29EE" w:rsidSect="004F29EE">
      <w:headerReference w:type="default" r:id="rId15"/>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9EE" w:rsidRDefault="004F29EE" w:rsidP="00D75295">
      <w:r>
        <w:separator/>
      </w:r>
    </w:p>
  </w:endnote>
  <w:endnote w:type="continuationSeparator" w:id="0">
    <w:p w:rsidR="004F29EE" w:rsidRDefault="004F29E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9EE" w:rsidRDefault="004F29EE" w:rsidP="00D75295">
      <w:r>
        <w:separator/>
      </w:r>
    </w:p>
  </w:footnote>
  <w:footnote w:type="continuationSeparator" w:id="0">
    <w:p w:rsidR="004F29EE" w:rsidRDefault="004F29EE" w:rsidP="00D75295">
      <w:r>
        <w:continuationSeparator/>
      </w:r>
    </w:p>
  </w:footnote>
  <w:footnote w:id="1">
    <w:p w:rsidR="004F29EE" w:rsidRDefault="004F29EE" w:rsidP="004F29EE">
      <w:pPr>
        <w:pStyle w:val="FootnoteText1"/>
      </w:pPr>
      <w:r>
        <w:rPr>
          <w:rStyle w:val="FootnoteReference"/>
        </w:rPr>
        <w:footnoteRef/>
      </w:r>
      <w:r>
        <w:t xml:space="preserve"> </w:t>
      </w:r>
      <w:r w:rsidRPr="00D5176E">
        <w:t>This case has been written based on published sources only. Consequently, the interpretation and perspectives presented in this case are not necessarily those of Tesla or SolarCity, or any of their employees.</w:t>
      </w:r>
    </w:p>
  </w:footnote>
  <w:footnote w:id="2">
    <w:p w:rsidR="004F29EE" w:rsidRPr="0071178A" w:rsidRDefault="004F29EE" w:rsidP="004F29EE">
      <w:pPr>
        <w:pStyle w:val="FootnoteText1"/>
      </w:pPr>
      <w:r w:rsidRPr="00D5176E">
        <w:rPr>
          <w:vertAlign w:val="superscript"/>
        </w:rPr>
        <w:footnoteRef/>
      </w:r>
      <w:r w:rsidRPr="00D5176E">
        <w:t xml:space="preserve"> “Tesla Motors Conference Call,” Tesla, June 22, 2016, accessed April 20, 2017, http://edge.media-server.com/m/p/makhvjt8.</w:t>
      </w:r>
    </w:p>
  </w:footnote>
  <w:footnote w:id="3">
    <w:p w:rsidR="004F29EE" w:rsidRPr="00D5176E" w:rsidRDefault="004F29EE" w:rsidP="004F29EE">
      <w:pPr>
        <w:pStyle w:val="FootnoteText1"/>
      </w:pPr>
      <w:r w:rsidRPr="00D5176E">
        <w:rPr>
          <w:vertAlign w:val="superscript"/>
        </w:rPr>
        <w:footnoteRef/>
      </w:r>
      <w:r w:rsidRPr="00D5176E">
        <w:t xml:space="preserve"> Laura </w:t>
      </w:r>
      <w:proofErr w:type="spellStart"/>
      <w:r w:rsidRPr="00D5176E">
        <w:t>Wisland</w:t>
      </w:r>
      <w:proofErr w:type="spellEnd"/>
      <w:r w:rsidRPr="00D5176E">
        <w:t xml:space="preserve">, “How Many Homes Have Rooftop Solar? The Number Is Growing...,” </w:t>
      </w:r>
      <w:hyperlink r:id="rId1">
        <w:r w:rsidRPr="00D5176E">
          <w:t>Union of Concerned Scientists</w:t>
        </w:r>
      </w:hyperlink>
      <w:r w:rsidRPr="00D5176E">
        <w:t xml:space="preserve"> blog, September 4, 2014, accessed December 10, 2014, </w:t>
      </w:r>
      <w:proofErr w:type="gramStart"/>
      <w:r w:rsidRPr="00D5176E">
        <w:t>http://blog.ucsusa.org/laura-wisland/how-many-homes-have-rooftop-solar-644?.</w:t>
      </w:r>
      <w:proofErr w:type="gramEnd"/>
    </w:p>
  </w:footnote>
  <w:footnote w:id="4">
    <w:p w:rsidR="004F29EE" w:rsidRPr="00135855" w:rsidRDefault="004F29EE" w:rsidP="004F29EE">
      <w:pPr>
        <w:pStyle w:val="FootnoteText1"/>
        <w:rPr>
          <w:lang w:val="en-CA"/>
        </w:rPr>
      </w:pPr>
      <w:r w:rsidRPr="00D5176E">
        <w:rPr>
          <w:rStyle w:val="FootnoteReference"/>
        </w:rPr>
        <w:footnoteRef/>
      </w:r>
      <w:r w:rsidRPr="00D5176E">
        <w:t xml:space="preserve"> U.S. Energy Information Administration, Electric Power Monthly with Data for March 2017, report, May 2017, accessed May 27, 2017, www.eia.gov/electricity/monthly/monthly/pdf/epm.pdf, 15–16.</w:t>
      </w:r>
    </w:p>
  </w:footnote>
  <w:footnote w:id="5">
    <w:p w:rsidR="004F29EE" w:rsidRPr="00D5176E" w:rsidRDefault="004F29EE" w:rsidP="004F29EE">
      <w:pPr>
        <w:pStyle w:val="FootnoteText1"/>
        <w:rPr>
          <w:lang w:val="en-CA"/>
        </w:rPr>
      </w:pPr>
      <w:r w:rsidRPr="00D5176E">
        <w:rPr>
          <w:rStyle w:val="FootnoteReference"/>
        </w:rPr>
        <w:footnoteRef/>
      </w:r>
      <w:r w:rsidRPr="00D5176E">
        <w:t xml:space="preserve"> </w:t>
      </w:r>
      <w:r w:rsidRPr="00D5176E">
        <w:rPr>
          <w:lang w:val="en-CA"/>
        </w:rPr>
        <w:t xml:space="preserve">United States Securities and </w:t>
      </w:r>
      <w:r>
        <w:rPr>
          <w:lang w:val="en-CA"/>
        </w:rPr>
        <w:t>E</w:t>
      </w:r>
      <w:r w:rsidRPr="00D5176E">
        <w:rPr>
          <w:lang w:val="en-CA"/>
        </w:rPr>
        <w:t xml:space="preserve">xchange Commission, </w:t>
      </w:r>
      <w:r>
        <w:rPr>
          <w:lang w:val="en-CA"/>
        </w:rPr>
        <w:t xml:space="preserve">SolarCity </w:t>
      </w:r>
      <w:r w:rsidRPr="00D5176E">
        <w:rPr>
          <w:lang w:val="en-CA"/>
        </w:rPr>
        <w:t>form 10K, December 31, 2015, accessed June 1, 2017, www.sec.gov/Archives/edgar/data/1408356/000156459016012549/scty-10k_20151231.htm.</w:t>
      </w:r>
    </w:p>
  </w:footnote>
  <w:footnote w:id="6">
    <w:p w:rsidR="004F29EE" w:rsidRPr="00D5176E" w:rsidRDefault="004F29EE" w:rsidP="004F29EE">
      <w:pPr>
        <w:pStyle w:val="FootnoteText1"/>
        <w:rPr>
          <w:lang w:val="en-CA"/>
        </w:rPr>
      </w:pPr>
      <w:r w:rsidRPr="00D5176E">
        <w:rPr>
          <w:rStyle w:val="FootnoteReference"/>
        </w:rPr>
        <w:footnoteRef/>
      </w:r>
      <w:r w:rsidRPr="00D5176E">
        <w:t xml:space="preserve"> Matt </w:t>
      </w:r>
      <w:proofErr w:type="spellStart"/>
      <w:r w:rsidRPr="00D5176E">
        <w:t>Andrejczak</w:t>
      </w:r>
      <w:proofErr w:type="spellEnd"/>
      <w:r w:rsidRPr="00D5176E">
        <w:t>, “Tesla Motors Revs up $244 Million, IPO,” MarketWatch, June 28, 2010, accessed May 12, 2017, www.marketwatch.com/story/tesla-motors-revs-up-244-million-ipo-2010-06-28.</w:t>
      </w:r>
    </w:p>
  </w:footnote>
  <w:footnote w:id="7">
    <w:p w:rsidR="004F29EE" w:rsidRPr="00D5176E" w:rsidRDefault="004F29EE" w:rsidP="004F29EE">
      <w:pPr>
        <w:pStyle w:val="FootnoteText1"/>
      </w:pPr>
      <w:r w:rsidRPr="00D5176E">
        <w:rPr>
          <w:rStyle w:val="FootnoteReference"/>
        </w:rPr>
        <w:footnoteRef/>
      </w:r>
      <w:r w:rsidRPr="00D5176E">
        <w:t xml:space="preserve"> Martin LaMonica, “Tesla Motors Founders: Now There Are Five,” cnet.com, September 21, 2009, accessed May 12, 2017, www.cnet.com/news/tesla-motors-founders-now-there-are-five/.</w:t>
      </w:r>
    </w:p>
  </w:footnote>
  <w:footnote w:id="8">
    <w:p w:rsidR="004F29EE" w:rsidRPr="006E5A2E" w:rsidRDefault="004F29EE" w:rsidP="00E2417B">
      <w:pPr>
        <w:jc w:val="both"/>
        <w:rPr>
          <w:lang w:val="en-CA"/>
        </w:rPr>
      </w:pPr>
      <w:r w:rsidRPr="00683934">
        <w:rPr>
          <w:rStyle w:val="FootnoteReference"/>
          <w:rFonts w:ascii="Arial" w:hAnsi="Arial" w:cs="Arial"/>
          <w:sz w:val="17"/>
          <w:szCs w:val="17"/>
        </w:rPr>
        <w:footnoteRef/>
      </w:r>
      <w:r w:rsidRPr="00683934">
        <w:rPr>
          <w:rFonts w:ascii="Arial" w:hAnsi="Arial" w:cs="Arial"/>
          <w:sz w:val="17"/>
          <w:szCs w:val="17"/>
        </w:rPr>
        <w:t xml:space="preserve"> Petersen, Melody, </w:t>
      </w:r>
      <w:r>
        <w:rPr>
          <w:rFonts w:ascii="Arial" w:hAnsi="Arial" w:cs="Arial"/>
          <w:sz w:val="17"/>
          <w:szCs w:val="17"/>
        </w:rPr>
        <w:t>“</w:t>
      </w:r>
      <w:r w:rsidRPr="004F29EE">
        <w:rPr>
          <w:rFonts w:ascii="Arial" w:hAnsi="Arial" w:cs="Arial"/>
          <w:sz w:val="17"/>
          <w:szCs w:val="17"/>
        </w:rPr>
        <w:t>SpaceX may upset firm's monopoly in launching Air Force satellites</w:t>
      </w:r>
      <w:r>
        <w:rPr>
          <w:rFonts w:ascii="Arial" w:hAnsi="Arial" w:cs="Arial"/>
          <w:sz w:val="17"/>
          <w:szCs w:val="17"/>
        </w:rPr>
        <w:t>,”</w:t>
      </w:r>
      <w:r w:rsidRPr="00683934">
        <w:rPr>
          <w:rFonts w:ascii="Arial" w:hAnsi="Arial" w:cs="Arial"/>
          <w:sz w:val="17"/>
          <w:szCs w:val="17"/>
        </w:rPr>
        <w:t xml:space="preserve"> </w:t>
      </w:r>
      <w:r w:rsidRPr="00E2417B">
        <w:rPr>
          <w:rFonts w:ascii="Arial" w:hAnsi="Arial" w:cs="Arial"/>
          <w:i/>
          <w:iCs/>
          <w:sz w:val="17"/>
          <w:szCs w:val="17"/>
        </w:rPr>
        <w:t>Los Angeles Times</w:t>
      </w:r>
      <w:r w:rsidRPr="00683934">
        <w:rPr>
          <w:rFonts w:ascii="Arial" w:hAnsi="Arial" w:cs="Arial"/>
          <w:sz w:val="17"/>
          <w:szCs w:val="17"/>
        </w:rPr>
        <w:t>,</w:t>
      </w:r>
      <w:r w:rsidRPr="00D5176E">
        <w:rPr>
          <w:rFonts w:ascii="Arial" w:hAnsi="Arial" w:cs="Arial"/>
          <w:sz w:val="17"/>
          <w:szCs w:val="17"/>
        </w:rPr>
        <w:t xml:space="preserve"> November 25, 2015, accessed June 16, 2017, www.latimes.com/business/la-fi-spacex-satellites-20141126-story.html#page=1</w:t>
      </w:r>
      <w:r w:rsidR="00E2417B">
        <w:rPr>
          <w:rFonts w:ascii="Arial" w:hAnsi="Arial" w:cs="Arial"/>
          <w:sz w:val="17"/>
          <w:szCs w:val="17"/>
        </w:rPr>
        <w:t>.</w:t>
      </w:r>
    </w:p>
  </w:footnote>
  <w:footnote w:id="9">
    <w:p w:rsidR="004F29EE" w:rsidRPr="00EF3B30" w:rsidRDefault="004F29EE" w:rsidP="004F29EE">
      <w:pPr>
        <w:pStyle w:val="FootnoteText1"/>
        <w:rPr>
          <w:lang w:val="en-CA"/>
        </w:rPr>
      </w:pPr>
      <w:r w:rsidRPr="00EF3B30">
        <w:rPr>
          <w:rStyle w:val="FootnoteReference"/>
        </w:rPr>
        <w:footnoteRef/>
      </w:r>
      <w:r w:rsidRPr="00EF3B30">
        <w:t xml:space="preserve"> Jeff Cobb, “Tesla Model S Is World’s Best-Selling Plug-in Car for Second Year in a Row,” </w:t>
      </w:r>
      <w:proofErr w:type="spellStart"/>
      <w:r w:rsidRPr="00EF3B30">
        <w:t>HybridCars</w:t>
      </w:r>
      <w:proofErr w:type="spellEnd"/>
      <w:r w:rsidRPr="00EF3B30">
        <w:t>, January 26, 2017, accessed April, 20, 2017, www.hybridcars.com/tesla-model-s-is-worlds-best-selling-plug-in-car-for-second-year-in-a-row.</w:t>
      </w:r>
    </w:p>
  </w:footnote>
  <w:footnote w:id="10">
    <w:p w:rsidR="004F29EE" w:rsidRPr="006E5A2E" w:rsidRDefault="004F29EE" w:rsidP="004F29EE">
      <w:pPr>
        <w:jc w:val="both"/>
        <w:rPr>
          <w:rFonts w:ascii="Arial" w:hAnsi="Arial" w:cs="Arial"/>
          <w:sz w:val="17"/>
          <w:szCs w:val="17"/>
        </w:rPr>
      </w:pPr>
      <w:r w:rsidRPr="006E5A2E">
        <w:rPr>
          <w:rStyle w:val="FootnoteReference"/>
          <w:rFonts w:ascii="Arial" w:hAnsi="Arial" w:cs="Arial"/>
          <w:sz w:val="17"/>
          <w:szCs w:val="17"/>
        </w:rPr>
        <w:footnoteRef/>
      </w:r>
      <w:r w:rsidRPr="006E5A2E">
        <w:rPr>
          <w:rFonts w:ascii="Arial" w:hAnsi="Arial" w:cs="Arial"/>
          <w:sz w:val="17"/>
          <w:szCs w:val="17"/>
        </w:rPr>
        <w:t xml:space="preserve"> </w:t>
      </w:r>
      <w:r w:rsidRPr="00EF3B30">
        <w:rPr>
          <w:rFonts w:ascii="Arial" w:hAnsi="Arial" w:cs="Arial"/>
          <w:sz w:val="17"/>
          <w:szCs w:val="17"/>
        </w:rPr>
        <w:t xml:space="preserve">Tesla Motors, “About Tesla”, </w:t>
      </w:r>
      <w:r w:rsidRPr="00EF3B30">
        <w:rPr>
          <w:rFonts w:ascii="Arial" w:hAnsi="Arial" w:cs="Arial"/>
          <w:color w:val="222222"/>
          <w:sz w:val="17"/>
          <w:szCs w:val="17"/>
          <w:shd w:val="clear" w:color="auto" w:fill="FFFFFF"/>
        </w:rPr>
        <w:t>January 9, 2015</w:t>
      </w:r>
      <w:r w:rsidRPr="00EF3B30">
        <w:rPr>
          <w:rFonts w:ascii="Arial" w:hAnsi="Arial" w:cs="Arial"/>
          <w:sz w:val="17"/>
          <w:szCs w:val="17"/>
        </w:rPr>
        <w:t>, accessed June 14, 2017, www.tesla.com/about</w:t>
      </w:r>
      <w:r w:rsidR="0071178A">
        <w:rPr>
          <w:rFonts w:ascii="Arial" w:hAnsi="Arial" w:cs="Arial"/>
          <w:sz w:val="17"/>
          <w:szCs w:val="17"/>
        </w:rPr>
        <w:t>.</w:t>
      </w:r>
    </w:p>
  </w:footnote>
  <w:footnote w:id="11">
    <w:p w:rsidR="004F29EE" w:rsidRPr="006E5A2E" w:rsidRDefault="004F29EE" w:rsidP="004F29EE">
      <w:pPr>
        <w:pStyle w:val="FootnoteText"/>
        <w:jc w:val="both"/>
        <w:rPr>
          <w:rFonts w:ascii="Arial" w:hAnsi="Arial" w:cs="Arial"/>
          <w:sz w:val="17"/>
          <w:szCs w:val="17"/>
          <w:lang w:val="en-CA"/>
        </w:rPr>
      </w:pPr>
      <w:r w:rsidRPr="006E5A2E">
        <w:rPr>
          <w:rStyle w:val="FootnoteReference"/>
          <w:rFonts w:ascii="Arial" w:hAnsi="Arial" w:cs="Arial"/>
          <w:sz w:val="17"/>
          <w:szCs w:val="17"/>
        </w:rPr>
        <w:footnoteRef/>
      </w:r>
      <w:r w:rsidRPr="006E5A2E">
        <w:rPr>
          <w:rFonts w:ascii="Arial" w:hAnsi="Arial" w:cs="Arial"/>
          <w:sz w:val="17"/>
          <w:szCs w:val="17"/>
        </w:rPr>
        <w:t xml:space="preserve"> </w:t>
      </w:r>
      <w:r w:rsidRPr="00EF3B30">
        <w:rPr>
          <w:rFonts w:ascii="Arial" w:hAnsi="Arial" w:cs="Arial"/>
          <w:sz w:val="17"/>
          <w:szCs w:val="17"/>
        </w:rPr>
        <w:t>Tesla Motors, “Planned 2020 Gigafactory Production Exceeds 2013 Global Production</w:t>
      </w:r>
      <w:r w:rsidR="0071178A">
        <w:rPr>
          <w:rFonts w:ascii="Arial" w:hAnsi="Arial" w:cs="Arial"/>
          <w:sz w:val="17"/>
          <w:szCs w:val="17"/>
        </w:rPr>
        <w:t>,</w:t>
      </w:r>
      <w:r w:rsidRPr="00EF3B30">
        <w:rPr>
          <w:rFonts w:ascii="Arial" w:hAnsi="Arial" w:cs="Arial"/>
          <w:sz w:val="17"/>
          <w:szCs w:val="17"/>
        </w:rPr>
        <w:t xml:space="preserve">” </w:t>
      </w:r>
      <w:r w:rsidRPr="00EF3B30">
        <w:rPr>
          <w:rFonts w:ascii="Arial" w:hAnsi="Arial" w:cs="Arial"/>
          <w:color w:val="222222"/>
          <w:sz w:val="17"/>
          <w:szCs w:val="17"/>
          <w:shd w:val="clear" w:color="auto" w:fill="FFFFFF"/>
        </w:rPr>
        <w:t>February 26, 2014</w:t>
      </w:r>
      <w:r w:rsidRPr="00EF3B30">
        <w:rPr>
          <w:rFonts w:ascii="Arial" w:hAnsi="Arial" w:cs="Arial"/>
          <w:sz w:val="17"/>
          <w:szCs w:val="17"/>
        </w:rPr>
        <w:t>, accessed June 14, 2017, www.teslamotors.com/sites/default/files/blog_attachments/gigafactory.pdf</w:t>
      </w:r>
      <w:r w:rsidR="0071178A">
        <w:rPr>
          <w:rFonts w:ascii="Arial" w:hAnsi="Arial" w:cs="Arial"/>
          <w:sz w:val="17"/>
          <w:szCs w:val="17"/>
        </w:rPr>
        <w:t>.</w:t>
      </w:r>
    </w:p>
  </w:footnote>
  <w:footnote w:id="12">
    <w:p w:rsidR="004F29EE" w:rsidRPr="00D5176E" w:rsidRDefault="004F29EE" w:rsidP="004F29EE">
      <w:pPr>
        <w:pStyle w:val="FootnoteText1"/>
      </w:pPr>
      <w:r w:rsidRPr="00D5176E">
        <w:rPr>
          <w:rStyle w:val="FootnoteReference"/>
        </w:rPr>
        <w:footnoteRef/>
      </w:r>
      <w:r w:rsidRPr="00D5176E">
        <w:rPr>
          <w:lang w:val="en-CA"/>
        </w:rPr>
        <w:t xml:space="preserve"> All currency amounts are in U.S. dollars unless otherwise specified.</w:t>
      </w:r>
    </w:p>
  </w:footnote>
  <w:footnote w:id="13">
    <w:p w:rsidR="004F29EE" w:rsidRPr="00EF3B30" w:rsidRDefault="004F29EE" w:rsidP="004F29EE">
      <w:pPr>
        <w:pStyle w:val="FootnoteText1"/>
        <w:rPr>
          <w:lang w:val="en-CA"/>
        </w:rPr>
      </w:pPr>
      <w:r w:rsidRPr="00EF3B30">
        <w:rPr>
          <w:rStyle w:val="FootnoteReference"/>
        </w:rPr>
        <w:footnoteRef/>
      </w:r>
      <w:r w:rsidRPr="00EF3B30">
        <w:t xml:space="preserve"> “Tesla Motors Conference Call,” op. cit.</w:t>
      </w:r>
    </w:p>
  </w:footnote>
  <w:footnote w:id="14">
    <w:p w:rsidR="007E3E49" w:rsidRPr="00EF3B30" w:rsidRDefault="007E3E49" w:rsidP="007E3E49">
      <w:pPr>
        <w:pStyle w:val="FootnoteText1"/>
      </w:pPr>
      <w:r w:rsidRPr="00EF3B30">
        <w:rPr>
          <w:rStyle w:val="FootnoteReference"/>
        </w:rPr>
        <w:footnoteRef/>
      </w:r>
      <w:r w:rsidRPr="00EF3B30">
        <w:rPr>
          <w:rStyle w:val="FootnoteReference"/>
        </w:rPr>
        <w:t xml:space="preserve"> </w:t>
      </w:r>
      <w:proofErr w:type="spellStart"/>
      <w:r w:rsidRPr="00EF3B30">
        <w:t>Aswath</w:t>
      </w:r>
      <w:proofErr w:type="spellEnd"/>
      <w:r w:rsidRPr="00EF3B30">
        <w:t xml:space="preserve"> Damodaran, “Keystone Kop Valuations: Lazard, Evercore and the TSLA/SCTY Deal,” Musings on Markets, blog, September 6, 2016, accessed April 20, 2017, </w:t>
      </w:r>
      <w:hyperlink r:id="rId2">
        <w:r w:rsidRPr="00EF3B30">
          <w:t>http://aswathdamodaran.blogspot.ca/2016/09/keystone-kop-valuations-lazard-evercore.html</w:t>
        </w:r>
      </w:hyperlink>
      <w:r w:rsidRPr="00EF3B30">
        <w:t>.</w:t>
      </w:r>
    </w:p>
  </w:footnote>
  <w:footnote w:id="15">
    <w:p w:rsidR="007E3E49" w:rsidRPr="00EF3B30" w:rsidRDefault="007E3E49" w:rsidP="007E3E49">
      <w:pPr>
        <w:pStyle w:val="FootnoteText1"/>
        <w:rPr>
          <w:lang w:val="en-CA"/>
        </w:rPr>
      </w:pPr>
      <w:r w:rsidRPr="00EF3B30">
        <w:rPr>
          <w:rStyle w:val="FootnoteReference"/>
        </w:rPr>
        <w:footnoteRef/>
      </w:r>
      <w:r w:rsidRPr="00EF3B30">
        <w:t xml:space="preserve"> </w:t>
      </w:r>
      <w:r w:rsidRPr="00EF3B30">
        <w:rPr>
          <w:lang w:val="en-CA"/>
        </w:rPr>
        <w:t xml:space="preserve">“Tesla Makes Offer to Acquire SolarCity,” Tesla, blog post, June 21, 2016, accessed </w:t>
      </w:r>
      <w:r w:rsidRPr="00EF3B30">
        <w:t>April 20, 2017,</w:t>
      </w:r>
      <w:r w:rsidRPr="00EF3B30">
        <w:rPr>
          <w:lang w:val="en-CA"/>
        </w:rPr>
        <w:t xml:space="preserve"> www.tesla.com/blog/tesla-makes-offer-to-acquire-solarcity.</w:t>
      </w:r>
    </w:p>
  </w:footnote>
  <w:footnote w:id="16">
    <w:p w:rsidR="007E3E49" w:rsidRPr="006E5A2E" w:rsidRDefault="007E3E49" w:rsidP="007E3E49">
      <w:pPr>
        <w:pStyle w:val="FootnoteText"/>
        <w:jc w:val="both"/>
        <w:rPr>
          <w:sz w:val="17"/>
          <w:szCs w:val="17"/>
        </w:rPr>
      </w:pPr>
      <w:r w:rsidRPr="006E5A2E">
        <w:rPr>
          <w:rStyle w:val="FootnoteReference"/>
          <w:rFonts w:ascii="Arial" w:hAnsi="Arial" w:cs="Arial"/>
          <w:sz w:val="17"/>
          <w:szCs w:val="17"/>
        </w:rPr>
        <w:footnoteRef/>
      </w:r>
      <w:r w:rsidRPr="006E5A2E">
        <w:rPr>
          <w:rFonts w:ascii="Arial" w:hAnsi="Arial" w:cs="Arial"/>
          <w:sz w:val="17"/>
          <w:szCs w:val="17"/>
        </w:rPr>
        <w:t xml:space="preserve"> The Henry Fund Research, “First Solar Inc. (FSLR)”, November 26, 2016, accessed June 14, 2017, www.biz.uiowa.edu/henry/download/research/FSLR_f16.pdf</w:t>
      </w:r>
      <w:r>
        <w:rPr>
          <w:rFonts w:ascii="Arial" w:hAnsi="Arial" w:cs="Arial"/>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EE" w:rsidRPr="00C92CC4" w:rsidRDefault="004F29E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1B7C">
      <w:rPr>
        <w:rFonts w:ascii="Arial" w:hAnsi="Arial"/>
        <w:b/>
        <w:noProof/>
      </w:rPr>
      <w:t>12</w:t>
    </w:r>
    <w:r>
      <w:rPr>
        <w:rFonts w:ascii="Arial" w:hAnsi="Arial"/>
        <w:b/>
      </w:rPr>
      <w:fldChar w:fldCharType="end"/>
    </w:r>
    <w:r>
      <w:rPr>
        <w:rFonts w:ascii="Arial" w:hAnsi="Arial"/>
        <w:b/>
      </w:rPr>
      <w:tab/>
      <w:t>9B17N011</w:t>
    </w:r>
  </w:p>
  <w:p w:rsidR="004F29EE" w:rsidRDefault="004F29EE" w:rsidP="00D13667">
    <w:pPr>
      <w:pStyle w:val="Header"/>
      <w:tabs>
        <w:tab w:val="clear" w:pos="4680"/>
      </w:tabs>
      <w:rPr>
        <w:sz w:val="18"/>
        <w:szCs w:val="18"/>
      </w:rPr>
    </w:pPr>
  </w:p>
  <w:p w:rsidR="004F29EE" w:rsidRPr="00C92CC4" w:rsidRDefault="004F29EE"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EE" w:rsidRPr="00C92CC4" w:rsidRDefault="004F29EE" w:rsidP="004F29EE">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1B7C">
      <w:rPr>
        <w:rFonts w:ascii="Arial" w:hAnsi="Arial"/>
        <w:b/>
        <w:noProof/>
      </w:rPr>
      <w:t>14</w:t>
    </w:r>
    <w:r>
      <w:rPr>
        <w:rFonts w:ascii="Arial" w:hAnsi="Arial"/>
        <w:b/>
      </w:rPr>
      <w:fldChar w:fldCharType="end"/>
    </w:r>
    <w:r>
      <w:rPr>
        <w:rFonts w:ascii="Arial" w:hAnsi="Arial"/>
        <w:b/>
      </w:rPr>
      <w:tab/>
      <w:t>9B17N011</w:t>
    </w:r>
  </w:p>
  <w:p w:rsidR="004F29EE" w:rsidRDefault="004F29EE" w:rsidP="004F29EE">
    <w:pPr>
      <w:pStyle w:val="Header"/>
      <w:tabs>
        <w:tab w:val="clear" w:pos="4680"/>
        <w:tab w:val="clear" w:pos="9360"/>
        <w:tab w:val="right" w:pos="12960"/>
      </w:tabs>
      <w:rPr>
        <w:sz w:val="18"/>
        <w:szCs w:val="18"/>
      </w:rPr>
    </w:pPr>
  </w:p>
  <w:p w:rsidR="004F29EE" w:rsidRPr="00C92CC4" w:rsidRDefault="004F29EE" w:rsidP="004F29EE">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C8E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48A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9680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29CD0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265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0C86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482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A818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F255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F2AB8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3352"/>
    <w:rsid w:val="001B5032"/>
    <w:rsid w:val="001C7777"/>
    <w:rsid w:val="001E364F"/>
    <w:rsid w:val="00203AA1"/>
    <w:rsid w:val="00213E98"/>
    <w:rsid w:val="0023081A"/>
    <w:rsid w:val="002F460C"/>
    <w:rsid w:val="002F48D6"/>
    <w:rsid w:val="00317391"/>
    <w:rsid w:val="0032193C"/>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4F29EE"/>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178A"/>
    <w:rsid w:val="007507C6"/>
    <w:rsid w:val="00751E0B"/>
    <w:rsid w:val="00752BCD"/>
    <w:rsid w:val="00766DA1"/>
    <w:rsid w:val="007866A6"/>
    <w:rsid w:val="007A130D"/>
    <w:rsid w:val="007D1A2D"/>
    <w:rsid w:val="007D4102"/>
    <w:rsid w:val="007E3E49"/>
    <w:rsid w:val="007F43B7"/>
    <w:rsid w:val="00821FFC"/>
    <w:rsid w:val="008271CA"/>
    <w:rsid w:val="008467D5"/>
    <w:rsid w:val="008A4DC4"/>
    <w:rsid w:val="008B438C"/>
    <w:rsid w:val="008D3A46"/>
    <w:rsid w:val="009067A4"/>
    <w:rsid w:val="00933D68"/>
    <w:rsid w:val="009340DB"/>
    <w:rsid w:val="0094618C"/>
    <w:rsid w:val="0095684B"/>
    <w:rsid w:val="00961B7C"/>
    <w:rsid w:val="00972498"/>
    <w:rsid w:val="0097481F"/>
    <w:rsid w:val="00974CC6"/>
    <w:rsid w:val="00976AD4"/>
    <w:rsid w:val="00995547"/>
    <w:rsid w:val="009A312F"/>
    <w:rsid w:val="009A5348"/>
    <w:rsid w:val="009B0AB7"/>
    <w:rsid w:val="009C76D5"/>
    <w:rsid w:val="009E39D7"/>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3CCC"/>
    <w:rsid w:val="00C1584D"/>
    <w:rsid w:val="00C15BE2"/>
    <w:rsid w:val="00C3447F"/>
    <w:rsid w:val="00C67102"/>
    <w:rsid w:val="00C81491"/>
    <w:rsid w:val="00C81676"/>
    <w:rsid w:val="00C85C5D"/>
    <w:rsid w:val="00C92CC4"/>
    <w:rsid w:val="00CA0AFB"/>
    <w:rsid w:val="00CA2CE1"/>
    <w:rsid w:val="00CA3976"/>
    <w:rsid w:val="00CA50E3"/>
    <w:rsid w:val="00CA757B"/>
    <w:rsid w:val="00CB1B88"/>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1419"/>
    <w:rsid w:val="00DE7A98"/>
    <w:rsid w:val="00DF32C2"/>
    <w:rsid w:val="00E2417B"/>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C50F2"/>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4570B982"/>
  <w15:docId w15:val="{8248BF92-A906-47BA-80D7-3F3D337A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F29E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4F29EE"/>
  </w:style>
  <w:style w:type="numbering" w:customStyle="1" w:styleId="NoList11">
    <w:name w:val="No List11"/>
    <w:next w:val="NoList"/>
    <w:uiPriority w:val="99"/>
    <w:semiHidden/>
    <w:unhideWhenUsed/>
    <w:rsid w:val="004F29EE"/>
  </w:style>
  <w:style w:type="table" w:customStyle="1" w:styleId="TableGrid1">
    <w:name w:val="Table Grid1"/>
    <w:basedOn w:val="TableNormal"/>
    <w:next w:val="TableGrid"/>
    <w:uiPriority w:val="99"/>
    <w:rsid w:val="004F29EE"/>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4F29EE"/>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4F29EE"/>
    <w:rPr>
      <w:rFonts w:ascii="Consolas" w:eastAsiaTheme="minorEastAsia" w:hAnsi="Consolas" w:cs="Consolas"/>
      <w:sz w:val="21"/>
      <w:szCs w:val="21"/>
      <w:lang w:eastAsia="zh-CN"/>
    </w:rPr>
  </w:style>
  <w:style w:type="character" w:customStyle="1" w:styleId="Title1">
    <w:name w:val="Title1"/>
    <w:basedOn w:val="DefaultParagraphFont"/>
    <w:uiPriority w:val="99"/>
    <w:rsid w:val="004F29EE"/>
  </w:style>
  <w:style w:type="paragraph" w:customStyle="1" w:styleId="CWWBody">
    <w:name w:val="CWW Body"/>
    <w:basedOn w:val="Normal"/>
    <w:qFormat/>
    <w:rsid w:val="004F29EE"/>
    <w:pPr>
      <w:tabs>
        <w:tab w:val="left" w:pos="-720"/>
        <w:tab w:val="left" w:pos="480"/>
        <w:tab w:val="left" w:pos="2976"/>
        <w:tab w:val="left" w:pos="4660"/>
        <w:tab w:val="left" w:pos="5054"/>
      </w:tabs>
      <w:jc w:val="both"/>
    </w:pPr>
    <w:rPr>
      <w:rFonts w:ascii="Arial" w:hAnsi="Arial"/>
      <w:sz w:val="22"/>
      <w:szCs w:val="24"/>
    </w:rPr>
  </w:style>
  <w:style w:type="paragraph" w:styleId="Subtitle">
    <w:name w:val="Subtitle"/>
    <w:basedOn w:val="Normal"/>
    <w:next w:val="Normal"/>
    <w:link w:val="SubtitleChar"/>
    <w:uiPriority w:val="11"/>
    <w:rsid w:val="004F29EE"/>
    <w:pPr>
      <w:keepNext/>
      <w:keepLines/>
      <w:spacing w:line="276" w:lineRule="auto"/>
      <w:contextualSpacing/>
    </w:pPr>
    <w:rPr>
      <w:rFonts w:ascii="Arial" w:hAnsi="Arial" w:cs="Arial"/>
      <w:color w:val="000000"/>
      <w:sz w:val="24"/>
      <w:szCs w:val="24"/>
      <w:lang w:eastAsia="zh-CN"/>
    </w:rPr>
  </w:style>
  <w:style w:type="character" w:customStyle="1" w:styleId="SubtitleChar">
    <w:name w:val="Subtitle Char"/>
    <w:basedOn w:val="DefaultParagraphFont"/>
    <w:link w:val="Subtitle"/>
    <w:uiPriority w:val="11"/>
    <w:rsid w:val="004F29EE"/>
    <w:rPr>
      <w:rFonts w:ascii="Arial" w:eastAsia="Times New Roman" w:hAnsi="Arial" w:cs="Arial"/>
      <w:color w:val="000000"/>
      <w:sz w:val="24"/>
      <w:szCs w:val="24"/>
      <w:lang w:eastAsia="zh-CN"/>
    </w:rPr>
  </w:style>
  <w:style w:type="character" w:customStyle="1" w:styleId="nowrap">
    <w:name w:val="nowrap"/>
    <w:basedOn w:val="DefaultParagraphFont"/>
    <w:rsid w:val="004F2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r.tesla.com/secfiling.cfm?filingid=1564590-17-3118&amp;cik=1318605"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aswathdamodaran.blogspot.ca/2016/09/keystone-kop-valuations-lazard-evercore.html" TargetMode="External"/><Relationship Id="rId1" Type="http://schemas.openxmlformats.org/officeDocument/2006/relationships/hyperlink" Target="https://en.wikipedia.org/wiki/Union_of_Concerned_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8502B-4E45-44D6-BC67-850F3D7B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3935</Words>
  <Characters>22433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9</cp:revision>
  <cp:lastPrinted>2015-03-04T20:34:00Z</cp:lastPrinted>
  <dcterms:created xsi:type="dcterms:W3CDTF">2017-08-02T13:43:00Z</dcterms:created>
  <dcterms:modified xsi:type="dcterms:W3CDTF">2020-12-01T16:58:00Z</dcterms:modified>
</cp:coreProperties>
</file>