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E14173" w:rsidP="00F105B7">
      <w:pPr>
        <w:pStyle w:val="ProductNumber"/>
      </w:pPr>
      <w:r>
        <w:t>9B17N012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E14173" w:rsidP="00013360">
      <w:pPr>
        <w:pStyle w:val="CaseTitle"/>
        <w:spacing w:after="0" w:line="240" w:lineRule="auto"/>
        <w:rPr>
          <w:sz w:val="20"/>
          <w:szCs w:val="20"/>
        </w:rPr>
      </w:pPr>
      <w:r>
        <w:rPr>
          <w:rFonts w:eastAsia="Times New Roman"/>
          <w:szCs w:val="20"/>
        </w:rPr>
        <w:t>dividend policy at srf limited: buyback of shares</w:t>
      </w:r>
      <w:r w:rsidR="00D95FCD">
        <w:rPr>
          <w:rStyle w:val="FootnoteReference"/>
          <w:rFonts w:eastAsia="Times New Roman"/>
          <w:szCs w:val="20"/>
        </w:rPr>
        <w:foot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E14173" w:rsidP="00627C63">
      <w:pPr>
        <w:pStyle w:val="StyleCopyrightStatementAfter0ptBottomSinglesolidline1"/>
      </w:pPr>
      <w:r>
        <w:t xml:space="preserve">Kulbir Singh, </w:t>
      </w:r>
      <w:r w:rsidR="00C90DD1">
        <w:t xml:space="preserve">David Sharp </w:t>
      </w:r>
      <w:r>
        <w:t xml:space="preserve">and S. Ramanna Vishwanath </w:t>
      </w:r>
      <w:r w:rsidRPr="00104567">
        <w:t>wrote this</w:t>
      </w:r>
      <w:r>
        <w:t xml:space="preserve"> case </w:t>
      </w:r>
      <w:r w:rsidRPr="00104567">
        <w:t>solely to provide material for class discussion.</w:t>
      </w:r>
      <w:r w:rsidR="00152682" w:rsidRPr="00104567">
        <w:t xml:space="preserve">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037A65">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037A65">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E14173">
        <w:t>2017</w:t>
      </w:r>
      <w:r w:rsidR="001C7777">
        <w:t>-</w:t>
      </w:r>
      <w:r w:rsidR="00E14173">
        <w:t>06</w:t>
      </w:r>
      <w:r w:rsidR="00751E0B">
        <w:t>-</w:t>
      </w:r>
      <w:r w:rsidR="00C90DD1">
        <w:t>27</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E14173" w:rsidRPr="00E14173" w:rsidRDefault="00E14173" w:rsidP="00FF3444">
      <w:pPr>
        <w:pStyle w:val="BodyTextMain"/>
        <w:rPr>
          <w:lang w:val="en-GB"/>
        </w:rPr>
      </w:pPr>
      <w:r w:rsidRPr="00E14173">
        <w:rPr>
          <w:lang w:val="en-GB"/>
        </w:rPr>
        <w:t xml:space="preserve">On April 5, 2012, Ritu Padma, a chartered accountant and financial analyst for SRF Limited (SRF), was asked by her chief financial officer (CFO) to analyze the company’s cash dividend and share repurchase policy and provide recommendations for the next 12 to 24 months. SRF was a </w:t>
      </w:r>
      <w:r w:rsidRPr="00E14173">
        <w:rPr>
          <w:rFonts w:ascii="Tahoma" w:hAnsi="Tahoma" w:cs="Tahoma"/>
          <w:lang w:val="en-GB"/>
        </w:rPr>
        <w:t>₹</w:t>
      </w:r>
      <w:r w:rsidRPr="00E14173">
        <w:rPr>
          <w:lang w:val="en-GB"/>
        </w:rPr>
        <w:t>38 billion</w:t>
      </w:r>
      <w:r w:rsidR="00037A65" w:rsidRPr="00E14173">
        <w:rPr>
          <w:bCs/>
          <w:color w:val="000000" w:themeColor="text1"/>
          <w:vertAlign w:val="superscript"/>
          <w:lang w:val="en-GB"/>
        </w:rPr>
        <w:footnoteReference w:id="2"/>
      </w:r>
      <w:r w:rsidRPr="00E14173">
        <w:rPr>
          <w:lang w:val="en-GB"/>
        </w:rPr>
        <w:t xml:space="preserve"> multi-business entity. Having completed its third round of share buyback</w:t>
      </w:r>
      <w:r w:rsidR="00C90DD1">
        <w:rPr>
          <w:lang w:val="en-GB"/>
        </w:rPr>
        <w:t>s</w:t>
      </w:r>
      <w:r w:rsidRPr="00E14173">
        <w:rPr>
          <w:lang w:val="en-GB"/>
        </w:rPr>
        <w:t xml:space="preserve"> at </w:t>
      </w:r>
      <w:r w:rsidRPr="00E14173">
        <w:rPr>
          <w:rFonts w:ascii="Tahoma" w:hAnsi="Tahoma" w:cs="Tahoma"/>
          <w:lang w:val="en-GB"/>
        </w:rPr>
        <w:t>₹</w:t>
      </w:r>
      <w:r w:rsidRPr="00E14173">
        <w:rPr>
          <w:lang w:val="en-GB"/>
        </w:rPr>
        <w:t xml:space="preserve">380 per share, SRF paid an interim and consistent dividend of </w:t>
      </w:r>
      <w:r w:rsidRPr="00E14173">
        <w:rPr>
          <w:rFonts w:ascii="Tahoma" w:hAnsi="Tahoma" w:cs="Tahoma"/>
          <w:lang w:val="en-GB"/>
        </w:rPr>
        <w:t>₹</w:t>
      </w:r>
      <w:r w:rsidRPr="00E14173">
        <w:rPr>
          <w:lang w:val="en-GB"/>
        </w:rPr>
        <w:t>7 per share. The company had engaged in a series of share buybacks since 2006.</w:t>
      </w:r>
    </w:p>
    <w:p w:rsidR="00E14173" w:rsidRPr="00E14173" w:rsidRDefault="00E14173" w:rsidP="00FF3444">
      <w:pPr>
        <w:pStyle w:val="BodyTextMain"/>
        <w:rPr>
          <w:lang w:val="en-GB"/>
        </w:rPr>
      </w:pPr>
    </w:p>
    <w:p w:rsidR="00E14173" w:rsidRPr="00817E62" w:rsidRDefault="00E14173" w:rsidP="00FF3444">
      <w:pPr>
        <w:pStyle w:val="BodyTextMain"/>
        <w:rPr>
          <w:spacing w:val="-2"/>
          <w:lang w:val="en-GB"/>
        </w:rPr>
      </w:pPr>
      <w:r w:rsidRPr="00817E62">
        <w:rPr>
          <w:spacing w:val="-2"/>
          <w:lang w:val="en-GB"/>
        </w:rPr>
        <w:t>In light of India’s falling economic growth and pessimistic global economic outlook, Padma needed to analyze whether the company would be able to maintain its growth. Should the company go ahead with another round of share buyback</w:t>
      </w:r>
      <w:r w:rsidR="00C90DD1">
        <w:rPr>
          <w:spacing w:val="-2"/>
          <w:lang w:val="en-GB"/>
        </w:rPr>
        <w:t>s</w:t>
      </w:r>
      <w:r w:rsidRPr="00817E62">
        <w:rPr>
          <w:spacing w:val="-2"/>
          <w:lang w:val="en-GB"/>
        </w:rPr>
        <w:t xml:space="preserve"> and increasing dividends? In order to conduct her analysis, Padma gathered the company’s financial statements (see Exhibits 1</w:t>
      </w:r>
      <w:r w:rsidR="00D95FCD" w:rsidRPr="00817E62">
        <w:rPr>
          <w:spacing w:val="-2"/>
          <w:lang w:val="en-GB"/>
        </w:rPr>
        <w:t>A</w:t>
      </w:r>
      <w:r w:rsidRPr="00817E62">
        <w:rPr>
          <w:spacing w:val="-2"/>
          <w:lang w:val="en-GB"/>
        </w:rPr>
        <w:t>, 1</w:t>
      </w:r>
      <w:r w:rsidR="00D95FCD" w:rsidRPr="00817E62">
        <w:rPr>
          <w:spacing w:val="-2"/>
          <w:lang w:val="en-GB"/>
        </w:rPr>
        <w:t>B</w:t>
      </w:r>
      <w:r w:rsidRPr="00817E62">
        <w:rPr>
          <w:spacing w:val="-2"/>
          <w:lang w:val="en-GB"/>
        </w:rPr>
        <w:t>, and 1</w:t>
      </w:r>
      <w:r w:rsidR="00D95FCD" w:rsidRPr="00817E62">
        <w:rPr>
          <w:spacing w:val="-2"/>
          <w:lang w:val="en-GB"/>
        </w:rPr>
        <w:t>C</w:t>
      </w:r>
      <w:r w:rsidRPr="00817E62">
        <w:rPr>
          <w:spacing w:val="-2"/>
          <w:lang w:val="en-GB"/>
        </w:rPr>
        <w:t xml:space="preserve">) and relevant data on various important ratios (see Exhibit 2), on dividend and earnings per share (EPS) (see Exhibit 3), and on stock prices (see Exhibit 4). She also </w:t>
      </w:r>
      <w:r w:rsidR="00FF3444" w:rsidRPr="00817E62">
        <w:rPr>
          <w:spacing w:val="-2"/>
          <w:lang w:val="en-GB"/>
        </w:rPr>
        <w:t xml:space="preserve">needed </w:t>
      </w:r>
      <w:r w:rsidRPr="00817E62">
        <w:rPr>
          <w:spacing w:val="-2"/>
          <w:lang w:val="en-GB"/>
        </w:rPr>
        <w:t>to know what the analysts’ opinions were about SRF, but could find very few analyst reports. Based on these inputs and analyses, she had to give her recommendation to her CFO.</w:t>
      </w:r>
    </w:p>
    <w:p w:rsidR="00E14173" w:rsidRPr="00E14173" w:rsidRDefault="00E14173" w:rsidP="00FF3444">
      <w:pPr>
        <w:pStyle w:val="BodyTextMain"/>
        <w:rPr>
          <w:lang w:val="en-GB"/>
        </w:rPr>
      </w:pPr>
    </w:p>
    <w:p w:rsidR="00E14173" w:rsidRPr="00E14173" w:rsidRDefault="00E14173" w:rsidP="00FF3444">
      <w:pPr>
        <w:pStyle w:val="BodyTextMain"/>
        <w:rPr>
          <w:lang w:val="en-GB"/>
        </w:rPr>
      </w:pPr>
    </w:p>
    <w:p w:rsidR="00E14173" w:rsidRPr="00E14173" w:rsidRDefault="00E14173" w:rsidP="00FF3444">
      <w:pPr>
        <w:pStyle w:val="Casehead1"/>
        <w:rPr>
          <w:color w:val="0C355D"/>
          <w:lang w:val="en-GB"/>
        </w:rPr>
      </w:pPr>
      <w:r w:rsidRPr="00E14173">
        <w:rPr>
          <w:lang w:val="en-GB"/>
        </w:rPr>
        <w:t>Company Background</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 xml:space="preserve">Incorporated as Shri Ram Fibres in 1970, the company changed its name to SRF Limited in 1990, when it became a multi-business entity engaged in the manufacture and sale of chemical-based industrial intermediates in India and internationally. SRF operated in three broad business segments (see Exhibit 5). The technical textile business (TTB) </w:t>
      </w:r>
      <w:r w:rsidRPr="00E14173">
        <w:t>comprised</w:t>
      </w:r>
      <w:r w:rsidRPr="00E14173" w:rsidDel="00BC4C5D">
        <w:rPr>
          <w:lang w:val="en-GB"/>
        </w:rPr>
        <w:t xml:space="preserve"> </w:t>
      </w:r>
      <w:r w:rsidRPr="00E14173">
        <w:rPr>
          <w:lang w:val="en-GB"/>
        </w:rPr>
        <w:t xml:space="preserve">52 per cent of fiscal year (FY) 2012’s sale of products, the chemicals and polymers business (CPB) </w:t>
      </w:r>
      <w:r w:rsidRPr="00E14173">
        <w:t>comprised</w:t>
      </w:r>
      <w:r w:rsidRPr="00E14173" w:rsidDel="00BC4C5D">
        <w:rPr>
          <w:lang w:val="en-GB"/>
        </w:rPr>
        <w:t xml:space="preserve"> </w:t>
      </w:r>
      <w:r w:rsidRPr="00E14173">
        <w:rPr>
          <w:lang w:val="en-GB"/>
        </w:rPr>
        <w:t xml:space="preserve">29 per cent of FY 2012’s sale of products, and the packaging films business (PFB) </w:t>
      </w:r>
      <w:r w:rsidRPr="00E14173">
        <w:t>comprised</w:t>
      </w:r>
      <w:r w:rsidRPr="00E14173" w:rsidDel="00BC4C5D">
        <w:rPr>
          <w:lang w:val="en-GB"/>
        </w:rPr>
        <w:t xml:space="preserve"> </w:t>
      </w:r>
      <w:r w:rsidRPr="00E14173">
        <w:rPr>
          <w:lang w:val="en-GB"/>
        </w:rPr>
        <w:t>19 per cent of FY 2012’s sale of products.</w:t>
      </w:r>
      <w:r w:rsidR="00037A65" w:rsidRPr="00E14173">
        <w:rPr>
          <w:bCs/>
          <w:color w:val="000000" w:themeColor="text1"/>
          <w:vertAlign w:val="superscript"/>
          <w:lang w:val="en-GB"/>
        </w:rPr>
        <w:footnoteReference w:id="3"/>
      </w:r>
      <w:r w:rsidRPr="00E14173">
        <w:rPr>
          <w:lang w:val="en-GB"/>
        </w:rPr>
        <w:t xml:space="preserve"> Through these segments, SRF catered to various industries including </w:t>
      </w:r>
      <w:r w:rsidR="00C90DD1">
        <w:rPr>
          <w:lang w:val="en-GB"/>
        </w:rPr>
        <w:t>automotive</w:t>
      </w:r>
      <w:r w:rsidRPr="00E14173">
        <w:rPr>
          <w:lang w:val="en-GB"/>
        </w:rPr>
        <w:t>, infrastructure, consumer durables, pharmaceuticals, and agrochemicals. SRF exported its products to nearly 60 countries across the globe.</w:t>
      </w:r>
      <w:r w:rsidR="00037A65" w:rsidRPr="00E14173">
        <w:rPr>
          <w:bCs/>
          <w:color w:val="000000" w:themeColor="text1"/>
          <w:vertAlign w:val="superscript"/>
          <w:lang w:val="en-GB"/>
        </w:rPr>
        <w:footnoteReference w:id="4"/>
      </w:r>
      <w:r w:rsidRPr="00E14173">
        <w:rPr>
          <w:lang w:val="en-GB"/>
        </w:rPr>
        <w:t xml:space="preserve"> </w:t>
      </w:r>
    </w:p>
    <w:p w:rsidR="00E14173" w:rsidRPr="00E14173" w:rsidRDefault="00E14173" w:rsidP="00FF3444">
      <w:pPr>
        <w:pStyle w:val="BodyTextMain"/>
        <w:rPr>
          <w:lang w:val="en-GB"/>
        </w:rPr>
      </w:pPr>
      <w:r w:rsidRPr="00E14173">
        <w:rPr>
          <w:lang w:val="en-GB"/>
        </w:rPr>
        <w:lastRenderedPageBreak/>
        <w:t xml:space="preserve">SRF was a global entity with operations in four countries: India, Dubai, South Africa, and Thailand. The company had eight manufacturing facilities in India and one each in Dubai, South Africa, and Thailand. The South Africa and Thailand facilities had been acquired </w:t>
      </w:r>
      <w:r w:rsidR="00C90DD1">
        <w:rPr>
          <w:lang w:val="en-GB"/>
        </w:rPr>
        <w:t xml:space="preserve">the </w:t>
      </w:r>
      <w:r w:rsidRPr="00E14173">
        <w:rPr>
          <w:lang w:val="en-GB"/>
        </w:rPr>
        <w:t>most recently and were fully integrated into the company’s overall business.</w:t>
      </w:r>
      <w:r w:rsidR="00037A65" w:rsidRPr="00E14173">
        <w:rPr>
          <w:bCs/>
          <w:color w:val="000000" w:themeColor="text1"/>
          <w:vertAlign w:val="superscript"/>
          <w:lang w:val="en-GB"/>
        </w:rPr>
        <w:footnoteReference w:id="5"/>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SRF was a market leader in India in technical textiles, refrigerants, engineering plastics, and industrial yarns. The company was controlled by Arun Bharat Ram Group, which consisted of various individuals and corporate bodies, with promoters holding 49.95 per cent of equity in the company.</w:t>
      </w:r>
    </w:p>
    <w:p w:rsidR="00E14173" w:rsidRPr="00E14173" w:rsidRDefault="00E14173" w:rsidP="00FF3444">
      <w:pPr>
        <w:pStyle w:val="BodyTextMain"/>
        <w:rPr>
          <w:lang w:val="en-GB"/>
        </w:rPr>
      </w:pPr>
    </w:p>
    <w:p w:rsidR="00E14173" w:rsidRPr="00E14173" w:rsidRDefault="00E14173" w:rsidP="00FF3444">
      <w:pPr>
        <w:pStyle w:val="BodyTextMain"/>
        <w:rPr>
          <w:lang w:val="en-GB"/>
        </w:rPr>
      </w:pPr>
    </w:p>
    <w:p w:rsidR="00E14173" w:rsidRPr="00E14173" w:rsidRDefault="00E14173" w:rsidP="00FF3444">
      <w:pPr>
        <w:pStyle w:val="Casehead1"/>
        <w:rPr>
          <w:lang w:val="en-GB"/>
        </w:rPr>
      </w:pPr>
      <w:r w:rsidRPr="00E14173">
        <w:rPr>
          <w:lang w:val="en-GB"/>
        </w:rPr>
        <w:t>Industry Profile</w:t>
      </w:r>
      <w:r w:rsidR="00037A65" w:rsidRPr="00E14173">
        <w:rPr>
          <w:rFonts w:ascii="Arial Bold" w:hAnsi="Arial Bold"/>
          <w:color w:val="000000" w:themeColor="text1"/>
          <w:vertAlign w:val="superscript"/>
          <w:lang w:val="en-GB"/>
        </w:rPr>
        <w:footnoteReference w:id="6"/>
      </w:r>
    </w:p>
    <w:p w:rsidR="00E14173" w:rsidRPr="00E14173" w:rsidRDefault="00E14173" w:rsidP="00FF3444">
      <w:pPr>
        <w:pStyle w:val="BodyTextMain"/>
        <w:rPr>
          <w:lang w:val="en-GB"/>
        </w:rPr>
      </w:pPr>
    </w:p>
    <w:p w:rsidR="00E14173" w:rsidRPr="00E14173" w:rsidRDefault="00E14173" w:rsidP="00FF3444">
      <w:pPr>
        <w:pStyle w:val="Casehead2"/>
        <w:rPr>
          <w:lang w:val="en-GB"/>
        </w:rPr>
      </w:pPr>
      <w:r w:rsidRPr="00E14173">
        <w:rPr>
          <w:lang w:val="en-GB"/>
        </w:rPr>
        <w:t>Technical Textile Business</w:t>
      </w:r>
    </w:p>
    <w:p w:rsidR="00E14173" w:rsidRPr="00E14173" w:rsidRDefault="00E14173" w:rsidP="00FF3444">
      <w:pPr>
        <w:pStyle w:val="BodyTextMain"/>
        <w:rPr>
          <w:lang w:val="en-GB"/>
        </w:rPr>
      </w:pPr>
    </w:p>
    <w:p w:rsidR="00E14173" w:rsidRPr="00817E62" w:rsidRDefault="00E14173" w:rsidP="00FF3444">
      <w:pPr>
        <w:pStyle w:val="BodyTextMain"/>
        <w:rPr>
          <w:spacing w:val="-2"/>
          <w:lang w:val="en-GB"/>
        </w:rPr>
      </w:pPr>
      <w:r w:rsidRPr="00817E62">
        <w:rPr>
          <w:spacing w:val="-2"/>
          <w:lang w:val="en-GB"/>
        </w:rPr>
        <w:t xml:space="preserve">The TTB segment was mainly diversified into tire cord fabrics, belting fabrics, coated fabrics, and industrial yarn. It accounted for the largest share of business for the company, with a contribution to the sales of the firm in FY 2012, down from 48 per cent in FY 2011. In actual terms, however, sales of the TTB segment had increased during 2011–12 to over </w:t>
      </w:r>
      <w:r w:rsidRPr="00817E62">
        <w:rPr>
          <w:rFonts w:ascii="Tahoma" w:hAnsi="Tahoma" w:cs="Tahoma"/>
          <w:spacing w:val="-2"/>
          <w:lang w:val="en-GB"/>
        </w:rPr>
        <w:t>₹</w:t>
      </w:r>
      <w:r w:rsidRPr="00817E62">
        <w:rPr>
          <w:spacing w:val="-2"/>
          <w:lang w:val="en-GB"/>
        </w:rPr>
        <w:t xml:space="preserve">16.7 billion from </w:t>
      </w:r>
      <w:r w:rsidRPr="00817E62">
        <w:rPr>
          <w:rFonts w:ascii="Tahoma" w:hAnsi="Tahoma" w:cs="Tahoma"/>
          <w:spacing w:val="-2"/>
          <w:lang w:val="en-GB"/>
        </w:rPr>
        <w:t>₹</w:t>
      </w:r>
      <w:r w:rsidRPr="00817E62">
        <w:rPr>
          <w:spacing w:val="-2"/>
          <w:lang w:val="en-GB"/>
        </w:rPr>
        <w:t>14.5 billion in FY 2011–10 (see Exhibit 6).</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Revenue for the TTB segment was mainly driven by the sale of tires to the auto industry for trucks, buses, multi-utility vehicles, and two-wheelers.</w:t>
      </w:r>
    </w:p>
    <w:p w:rsidR="00E14173" w:rsidRPr="00E14173" w:rsidRDefault="00E14173" w:rsidP="00FF3444">
      <w:pPr>
        <w:pStyle w:val="BodyTextMain"/>
        <w:rPr>
          <w:lang w:val="en-GB"/>
        </w:rPr>
      </w:pPr>
    </w:p>
    <w:p w:rsidR="00E14173" w:rsidRPr="00E14173" w:rsidRDefault="00E14173" w:rsidP="00FF3444">
      <w:pPr>
        <w:pStyle w:val="BodyTextMain"/>
        <w:rPr>
          <w:lang w:val="en-GB"/>
        </w:rPr>
      </w:pPr>
    </w:p>
    <w:p w:rsidR="00E14173" w:rsidRPr="00E14173" w:rsidRDefault="00E14173" w:rsidP="00FF3444">
      <w:pPr>
        <w:pStyle w:val="Casehead3"/>
        <w:rPr>
          <w:lang w:val="en-GB"/>
        </w:rPr>
      </w:pPr>
      <w:r w:rsidRPr="00E14173">
        <w:rPr>
          <w:lang w:val="en-GB"/>
        </w:rPr>
        <w:t>Nylon Tire Cord Fabric and Polyester Tire Cord Fabric</w:t>
      </w:r>
    </w:p>
    <w:p w:rsidR="00E14173" w:rsidRPr="00E14173" w:rsidRDefault="00E14173" w:rsidP="00FF3444">
      <w:pPr>
        <w:pStyle w:val="BodyTextMain"/>
        <w:rPr>
          <w:lang w:val="en-GB"/>
        </w:rPr>
      </w:pPr>
    </w:p>
    <w:p w:rsidR="00E14173" w:rsidRPr="002124D5" w:rsidRDefault="00E14173" w:rsidP="002124D5">
      <w:pPr>
        <w:pStyle w:val="BodyTextMain"/>
      </w:pPr>
      <w:r w:rsidRPr="002124D5">
        <w:t xml:space="preserve">Nylon tire cord fabric and polyester tire cord fabric were SRF’s main products. These two products were used as a reinforcement material in the bias tires for all major categories, from two-wheelers to light and heavy commercial vehicles. As the market leader in Asia, SRF was the second-largest tire manufacturer of Nylon 6 tire cord and the fifth-largest tire cord producer in the world. SRF began its operational journey in 1974 with 2,500 million tonnes per annum (MTPA) and currently stood at 70,000 MTPA, after continuous periodical expansions and acquisitions. SRF was the only company with a fully integrated polyester tire cord plant with a capacity of 6,000 MTPA, and had become the only company in India to produce polyester tire cord fabric. Having set up India’s only polyester industrial yarn plant in 2009–10, SRF had been the country’s market leader in </w:t>
      </w:r>
      <w:r w:rsidR="002124D5">
        <w:t>nylon tire cord fabric</w:t>
      </w:r>
      <w:r w:rsidRPr="002124D5">
        <w:t xml:space="preserve"> for decades. </w:t>
      </w:r>
    </w:p>
    <w:p w:rsidR="00E14173" w:rsidRPr="00E14173" w:rsidRDefault="00E14173" w:rsidP="00FF3444">
      <w:pPr>
        <w:pStyle w:val="BodyTextMain"/>
        <w:rPr>
          <w:bCs/>
          <w:color w:val="000000" w:themeColor="text1"/>
          <w:lang w:val="en-GB"/>
        </w:rPr>
      </w:pPr>
    </w:p>
    <w:p w:rsidR="00E14173" w:rsidRPr="00E14173" w:rsidRDefault="00E14173" w:rsidP="00FF3444">
      <w:pPr>
        <w:pStyle w:val="BodyTextMain"/>
        <w:rPr>
          <w:bCs/>
          <w:color w:val="000000" w:themeColor="text1"/>
          <w:lang w:val="en-GB"/>
        </w:rPr>
      </w:pPr>
      <w:r w:rsidRPr="00E14173">
        <w:rPr>
          <w:bCs/>
          <w:color w:val="000000" w:themeColor="text1"/>
          <w:lang w:val="en-GB"/>
        </w:rPr>
        <w:t xml:space="preserve">Demand for </w:t>
      </w:r>
      <w:r w:rsidR="002124D5">
        <w:rPr>
          <w:bCs/>
          <w:color w:val="000000" w:themeColor="text1"/>
          <w:lang w:val="en-GB"/>
        </w:rPr>
        <w:t>nylon tire cord fabric</w:t>
      </w:r>
      <w:r w:rsidRPr="00E14173">
        <w:rPr>
          <w:bCs/>
          <w:color w:val="000000" w:themeColor="text1"/>
          <w:lang w:val="en-GB"/>
        </w:rPr>
        <w:t xml:space="preserve"> and </w:t>
      </w:r>
      <w:r w:rsidR="002124D5">
        <w:rPr>
          <w:bCs/>
          <w:color w:val="000000" w:themeColor="text1"/>
          <w:lang w:val="en-GB"/>
        </w:rPr>
        <w:t>polyester tire cord fabric</w:t>
      </w:r>
      <w:r w:rsidRPr="00E14173">
        <w:rPr>
          <w:bCs/>
          <w:color w:val="000000" w:themeColor="text1"/>
          <w:lang w:val="en-GB"/>
        </w:rPr>
        <w:t xml:space="preserve"> depended on the growth of the auto industry and the demand for replacement parts from original equipment manufacturers (OEMs).</w:t>
      </w:r>
    </w:p>
    <w:p w:rsidR="00E14173" w:rsidRPr="00E14173" w:rsidRDefault="00E14173" w:rsidP="00FF3444">
      <w:pPr>
        <w:pStyle w:val="BodyTextMain"/>
        <w:rPr>
          <w:bCs/>
          <w:color w:val="000000" w:themeColor="text1"/>
          <w:lang w:val="en-GB"/>
        </w:rPr>
      </w:pPr>
    </w:p>
    <w:p w:rsidR="00E14173" w:rsidRPr="00E14173" w:rsidRDefault="00E14173" w:rsidP="00FF3444">
      <w:pPr>
        <w:pStyle w:val="BodyTextMain"/>
        <w:rPr>
          <w:bCs/>
          <w:color w:val="000000" w:themeColor="text1"/>
          <w:lang w:val="en-GB"/>
        </w:rPr>
      </w:pPr>
      <w:r w:rsidRPr="00E14173">
        <w:rPr>
          <w:bCs/>
          <w:color w:val="000000" w:themeColor="text1"/>
          <w:lang w:val="en-GB"/>
        </w:rPr>
        <w:t>According to industry estimates, tire production was expected to grow by 9.3 per cent in 2012–13 and 13.4 per cent in 2013–14. The OEM demand for tires, which consisted of 45 per cent of total tire sales, was expected to increase by 10 to 14 per cent each year during 2012–14. However, this demand depended on the growth in automobile production. Replacement parts demand was expected to rise by 7 to 11 per cent each year during 2012–14 due to the increase in vehicle sales in recent years. The demand for replacement tires was considered healthy. In March 2011, nearly 80 million automobiles had been sold in the previous six years. Exports were also expected to rise by 19.4 per cent during 2012–14.</w:t>
      </w:r>
    </w:p>
    <w:p w:rsidR="00E14173" w:rsidRPr="00E14173" w:rsidRDefault="00E14173" w:rsidP="00FF3444">
      <w:pPr>
        <w:pStyle w:val="BodyTextMain"/>
        <w:rPr>
          <w:bCs/>
          <w:color w:val="000000" w:themeColor="text1"/>
          <w:lang w:val="en-GB"/>
        </w:rPr>
      </w:pPr>
      <w:r w:rsidRPr="00E14173">
        <w:rPr>
          <w:bCs/>
          <w:color w:val="000000" w:themeColor="text1"/>
          <w:lang w:val="en-GB"/>
        </w:rPr>
        <w:lastRenderedPageBreak/>
        <w:t>However, raw material costs had been rising steadily, especially the cost of natural rubber. In response, tire manufacturers had raised their prices during 2011–12.</w:t>
      </w:r>
    </w:p>
    <w:p w:rsidR="00E14173" w:rsidRPr="00E14173" w:rsidRDefault="00E14173" w:rsidP="00FF3444">
      <w:pPr>
        <w:pStyle w:val="BodyTextMain"/>
        <w:rPr>
          <w:bCs/>
          <w:color w:val="000000" w:themeColor="text1"/>
          <w:lang w:val="en-GB"/>
        </w:rPr>
      </w:pPr>
    </w:p>
    <w:p w:rsidR="00E14173" w:rsidRPr="00E14173" w:rsidRDefault="00E14173" w:rsidP="00FF3444">
      <w:pPr>
        <w:pStyle w:val="BodyTextMain"/>
        <w:rPr>
          <w:bCs/>
          <w:color w:val="000000" w:themeColor="text1"/>
          <w:lang w:val="en-GB"/>
        </w:rPr>
      </w:pPr>
    </w:p>
    <w:p w:rsidR="00E14173" w:rsidRPr="00E14173" w:rsidRDefault="00E14173" w:rsidP="00FF3444">
      <w:pPr>
        <w:pStyle w:val="Casehead3"/>
        <w:rPr>
          <w:lang w:val="en-GB"/>
        </w:rPr>
      </w:pPr>
      <w:r w:rsidRPr="00E14173">
        <w:rPr>
          <w:lang w:val="en-GB"/>
        </w:rPr>
        <w:t>Belting Fabric</w:t>
      </w:r>
    </w:p>
    <w:p w:rsidR="00E14173" w:rsidRPr="00E14173" w:rsidRDefault="00E14173" w:rsidP="00FF3444">
      <w:pPr>
        <w:pStyle w:val="BodyTextMain"/>
        <w:rPr>
          <w:lang w:val="en-GB"/>
        </w:rPr>
      </w:pPr>
    </w:p>
    <w:p w:rsidR="00E14173" w:rsidRPr="00817E62" w:rsidRDefault="00E14173" w:rsidP="00FF3444">
      <w:pPr>
        <w:pStyle w:val="BodyTextMain"/>
        <w:rPr>
          <w:color w:val="000000"/>
          <w:spacing w:val="-2"/>
          <w:lang w:val="en-GB"/>
        </w:rPr>
      </w:pPr>
      <w:r w:rsidRPr="00817E62">
        <w:rPr>
          <w:color w:val="000000"/>
          <w:spacing w:val="-2"/>
          <w:lang w:val="en-GB"/>
        </w:rPr>
        <w:t>Belting Fabric was used as reinforcement material for conveyor belts. SRF was the second-largest manufacturer of conveyer belting fabric in the world. It was also the market leader in several countries, with a market share of 60 per cent in belting fabrics, and had a presence in Europe, Asia, the United States, and Latin America. The overseas market accounted for 55 per cent of SRF’s belting fabric business.</w:t>
      </w:r>
    </w:p>
    <w:p w:rsidR="00E14173" w:rsidRPr="00E14173" w:rsidRDefault="00E14173" w:rsidP="00FF3444">
      <w:pPr>
        <w:pStyle w:val="BodyTextMain"/>
        <w:rPr>
          <w:color w:val="000000"/>
          <w:lang w:val="en-GB"/>
        </w:rPr>
      </w:pPr>
    </w:p>
    <w:p w:rsidR="00E14173" w:rsidRPr="00E14173" w:rsidRDefault="00E14173" w:rsidP="00FF3444">
      <w:pPr>
        <w:pStyle w:val="BodyTextMain"/>
        <w:rPr>
          <w:color w:val="000000"/>
          <w:lang w:val="en-GB"/>
        </w:rPr>
      </w:pPr>
      <w:r w:rsidRPr="00E14173">
        <w:rPr>
          <w:color w:val="000000"/>
          <w:lang w:val="en-GB"/>
        </w:rPr>
        <w:t xml:space="preserve">This segment’s growth potential depended on growth in the domestic mining and infrastructure industry. However, this business segment was adversely affected in the second half of 2011–12 due to the fall in mining activity in the country and a freeze on key infrastructure and power projects. </w:t>
      </w:r>
    </w:p>
    <w:p w:rsidR="00E14173" w:rsidRPr="00E14173" w:rsidRDefault="00E14173" w:rsidP="00FF3444">
      <w:pPr>
        <w:pStyle w:val="BodyTextMain"/>
        <w:rPr>
          <w:color w:val="000000"/>
          <w:lang w:val="en-GB"/>
        </w:rPr>
      </w:pPr>
    </w:p>
    <w:p w:rsidR="00E14173" w:rsidRPr="00E14173" w:rsidRDefault="00E14173" w:rsidP="00FF3444">
      <w:pPr>
        <w:pStyle w:val="BodyTextMain"/>
        <w:rPr>
          <w:color w:val="000000"/>
          <w:lang w:val="en-GB"/>
        </w:rPr>
      </w:pPr>
      <w:r w:rsidRPr="00E14173">
        <w:rPr>
          <w:color w:val="000000"/>
          <w:lang w:val="en-GB"/>
        </w:rPr>
        <w:t>During the previous five years, SRF had increased its belting fabric business at a compound annual growth rate of about 11 per cent.</w:t>
      </w:r>
    </w:p>
    <w:p w:rsidR="00E14173" w:rsidRPr="00E14173" w:rsidRDefault="00E14173" w:rsidP="00FF3444">
      <w:pPr>
        <w:pStyle w:val="BodyTextMain"/>
        <w:rPr>
          <w:color w:val="000000"/>
          <w:lang w:val="en-GB"/>
        </w:rPr>
      </w:pPr>
    </w:p>
    <w:p w:rsidR="00E14173" w:rsidRPr="00E14173" w:rsidRDefault="00E14173" w:rsidP="00FF3444">
      <w:pPr>
        <w:pStyle w:val="BodyTextMain"/>
        <w:rPr>
          <w:color w:val="000000"/>
          <w:lang w:val="en-GB"/>
        </w:rPr>
      </w:pPr>
    </w:p>
    <w:p w:rsidR="00E14173" w:rsidRPr="00E14173" w:rsidRDefault="00E14173" w:rsidP="00FF3444">
      <w:pPr>
        <w:pStyle w:val="Casehead3"/>
        <w:rPr>
          <w:lang w:val="en-GB"/>
        </w:rPr>
      </w:pPr>
      <w:r w:rsidRPr="00E14173">
        <w:rPr>
          <w:lang w:val="en-GB"/>
        </w:rPr>
        <w:t xml:space="preserve">Coated and Laminated Fabrics </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Coated and laminated fabrics had a wide range of applications including protective covers, dynamic tarpaulins, static covers, auto canopies, and awnings.</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As India experienced changing lifestyles, urbanization, and massive investments in infrastructure, products such as signage, awnings, and hangar covers were expected to see double-digit growth. Increased use of tensile structures with fabrics, as evidenced in stadiums, homes, and exhibition centres, was also expected to mean double-digit growth for SRF’s high-end product sales.</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 xml:space="preserve">The company’s new state-of-the-art project was expected to produce 1.7 million square metres per year of coated fabric through a new coating line at its existing plant location in Gummidipoondi, in Tamil Nadu state. With a total investment of approximately </w:t>
      </w:r>
      <w:r w:rsidRPr="00E14173">
        <w:rPr>
          <w:rFonts w:ascii="Tahoma" w:hAnsi="Tahoma" w:cs="Tahoma"/>
          <w:lang w:val="en-GB"/>
        </w:rPr>
        <w:t>₹</w:t>
      </w:r>
      <w:r w:rsidRPr="00E14173">
        <w:rPr>
          <w:lang w:val="en-GB"/>
        </w:rPr>
        <w:t>1.43 billion, work was progressing on schedule. Commercial production at the new plant had started in the second quarter of 2011–12. The new facility would offer a wide assortment of products, including hangar covers, auto canopies, awnings, lacquered tarpaulins, and fabrics for tensile structures. Polyurethane-coated fabrics for various applications were also expected to be introduced.</w:t>
      </w:r>
    </w:p>
    <w:p w:rsidR="00E14173" w:rsidRPr="00E14173" w:rsidRDefault="00E14173" w:rsidP="00FF3444">
      <w:pPr>
        <w:pStyle w:val="BodyTextMain"/>
        <w:rPr>
          <w:lang w:val="en-GB"/>
        </w:rPr>
      </w:pPr>
    </w:p>
    <w:p w:rsidR="00E14173" w:rsidRPr="00E14173" w:rsidRDefault="00E14173" w:rsidP="00FF3444">
      <w:pPr>
        <w:pStyle w:val="BodyTextMain"/>
        <w:rPr>
          <w:lang w:val="en-GB"/>
        </w:rPr>
      </w:pPr>
    </w:p>
    <w:p w:rsidR="00E14173" w:rsidRPr="00E14173" w:rsidRDefault="00E14173" w:rsidP="00FF3444">
      <w:pPr>
        <w:pStyle w:val="Casehead3"/>
        <w:rPr>
          <w:lang w:val="en-GB"/>
        </w:rPr>
      </w:pPr>
      <w:r w:rsidRPr="00E14173">
        <w:rPr>
          <w:lang w:val="en-GB"/>
        </w:rPr>
        <w:t>Industrial Yarn (Nylon and Polyester)</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Industrial yarn was used for conveyor belts, transmission belts, hoses, ropes, geo-textile applications, fishing nets, and stitching threads. SRF continued to enjoy a substantial market share in this segment.</w:t>
      </w:r>
    </w:p>
    <w:p w:rsidR="00F167CC" w:rsidRPr="00E14173" w:rsidRDefault="00F167CC" w:rsidP="00FF3444">
      <w:pPr>
        <w:pStyle w:val="BodyTextMain"/>
        <w:rPr>
          <w:lang w:val="en-GB"/>
        </w:rPr>
      </w:pPr>
    </w:p>
    <w:p w:rsidR="00E14173" w:rsidRPr="00E14173" w:rsidRDefault="00E14173" w:rsidP="00FF3444">
      <w:pPr>
        <w:pStyle w:val="BodyTextMain"/>
        <w:rPr>
          <w:lang w:val="en-GB"/>
        </w:rPr>
      </w:pPr>
    </w:p>
    <w:p w:rsidR="00E14173" w:rsidRPr="00E14173" w:rsidRDefault="00E14173" w:rsidP="00FF3444">
      <w:pPr>
        <w:pStyle w:val="Casehead2"/>
        <w:rPr>
          <w:lang w:val="en-GB"/>
        </w:rPr>
      </w:pPr>
      <w:r w:rsidRPr="00E14173">
        <w:rPr>
          <w:lang w:val="en-GB"/>
        </w:rPr>
        <w:t>Chemicals and Polymers Business</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The CPB segment included chloromethane, pharmaceuticals, certified emission reductions (CER) and allied products, refrigerant gases, and engineering plastics.</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lastRenderedPageBreak/>
        <w:t>During 2011–12, SRF posted record performance in this segment (including CER income), with sales growth of 61 per cent and earnings before interest and taxes (EBIT) growth of 106 per cent. The fluoro-specialties business had continued to grow at a brisk pace, with sales growth of 48 per cent and earnings before interest, depreciation, and taxes growth of 99 per cent in this same period.</w:t>
      </w:r>
    </w:p>
    <w:p w:rsidR="00E14173" w:rsidRPr="00E14173" w:rsidRDefault="00E14173" w:rsidP="00FF3444">
      <w:pPr>
        <w:pStyle w:val="BodyTextMain"/>
        <w:rPr>
          <w:lang w:val="en-GB"/>
        </w:rPr>
      </w:pPr>
    </w:p>
    <w:p w:rsidR="00E14173" w:rsidRPr="00E14173" w:rsidRDefault="00E14173" w:rsidP="00FF3444">
      <w:pPr>
        <w:pStyle w:val="BodyTextMain"/>
        <w:rPr>
          <w:lang w:val="en-GB"/>
        </w:rPr>
      </w:pPr>
    </w:p>
    <w:p w:rsidR="00E14173" w:rsidRPr="00E14173" w:rsidRDefault="00E14173" w:rsidP="00FF3444">
      <w:pPr>
        <w:pStyle w:val="Casehead3"/>
        <w:rPr>
          <w:lang w:val="en-GB"/>
        </w:rPr>
      </w:pPr>
      <w:r w:rsidRPr="00E14173">
        <w:rPr>
          <w:lang w:val="en-GB"/>
        </w:rPr>
        <w:t>Chemicals—Refrigerant/Chloromethane/Fluoro-Specialties</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Refrigerant/chloromethane/fluoro-specialties were primarily used as a cooling medium (refrigerants) in the air</w:t>
      </w:r>
      <w:r w:rsidR="00C90DD1">
        <w:rPr>
          <w:lang w:val="en-GB"/>
        </w:rPr>
        <w:t xml:space="preserve"> </w:t>
      </w:r>
      <w:r w:rsidRPr="00E14173">
        <w:rPr>
          <w:lang w:val="en-GB"/>
        </w:rPr>
        <w:t xml:space="preserve">conditioning and refrigeration industry. The market for refrigerants was estimated to grow at about 20–25 per cent per year. SRF was the market leader in this area with about a 40 per cent share of the Indian domestic market. Exports accounted for 60 per cent of the volumes produced and were spread across 45 countries worldwide. In response to market concerns, the company had focused on producing and delivering new-generation hydrofluorocarbon (HFC) blends and HFCs in place of hydrochlorofluorocarbons and chlorofluorocarbons. </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During 2012–13, the company planned to increase the production capacity of HFC-134a, an</w:t>
      </w:r>
      <w:r w:rsidRPr="00E14173">
        <w:rPr>
          <w:color w:val="000000" w:themeColor="text1"/>
          <w:lang w:val="en-GB"/>
        </w:rPr>
        <w:t xml:space="preserve"> ozone-friendly refrigerant</w:t>
      </w:r>
      <w:r w:rsidRPr="00E14173">
        <w:rPr>
          <w:lang w:val="en-GB"/>
        </w:rPr>
        <w:t>, and set up new production facilities for multi-purpose chemicals at Dahej, in Gujarat state. New projects were planned every year for the fluoro-specialties business.</w:t>
      </w:r>
    </w:p>
    <w:p w:rsidR="00E14173" w:rsidRPr="00E14173" w:rsidRDefault="00E14173" w:rsidP="00FF3444">
      <w:pPr>
        <w:pStyle w:val="BodyTextMain"/>
        <w:rPr>
          <w:lang w:val="en-GB"/>
        </w:rPr>
      </w:pPr>
    </w:p>
    <w:p w:rsidR="00E14173" w:rsidRPr="00E14173" w:rsidRDefault="00E14173" w:rsidP="00FF3444">
      <w:pPr>
        <w:pStyle w:val="BodyTextMain"/>
        <w:rPr>
          <w:lang w:val="en-GB"/>
        </w:rPr>
      </w:pPr>
    </w:p>
    <w:p w:rsidR="00E14173" w:rsidRPr="00E14173" w:rsidRDefault="00E14173" w:rsidP="00FF3444">
      <w:pPr>
        <w:pStyle w:val="Casehead3"/>
        <w:rPr>
          <w:lang w:val="en-GB"/>
        </w:rPr>
      </w:pPr>
      <w:r w:rsidRPr="00E14173">
        <w:rPr>
          <w:lang w:val="en-GB"/>
        </w:rPr>
        <w:t>Polymers—Engineering Plastics</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Engineering plastics were used widely in the automotive and electrical industries. Performance in this area was mainly driven by those industries, which consisted of the user segments of engineering plastics.</w:t>
      </w:r>
    </w:p>
    <w:p w:rsidR="00E14173" w:rsidRPr="00E14173" w:rsidRDefault="00E14173" w:rsidP="00FF3444">
      <w:pPr>
        <w:pStyle w:val="BodyTextMain"/>
        <w:rPr>
          <w:lang w:val="en-GB"/>
        </w:rPr>
      </w:pPr>
    </w:p>
    <w:p w:rsidR="00E14173" w:rsidRPr="00E14173" w:rsidRDefault="00E14173" w:rsidP="00FF3444">
      <w:pPr>
        <w:pStyle w:val="BodyTextMain"/>
        <w:rPr>
          <w:lang w:val="en-GB"/>
        </w:rPr>
      </w:pPr>
    </w:p>
    <w:p w:rsidR="00E14173" w:rsidRPr="00E14173" w:rsidRDefault="00E14173" w:rsidP="00FF3444">
      <w:pPr>
        <w:pStyle w:val="Casehead2"/>
        <w:rPr>
          <w:lang w:val="en-GB"/>
        </w:rPr>
      </w:pPr>
      <w:r w:rsidRPr="00E14173">
        <w:rPr>
          <w:lang w:val="en-GB"/>
        </w:rPr>
        <w:t>Packaging Films</w:t>
      </w:r>
    </w:p>
    <w:p w:rsidR="00E14173" w:rsidRPr="00E14173" w:rsidRDefault="00E14173" w:rsidP="00FF3444">
      <w:pPr>
        <w:pStyle w:val="BodyTextMain"/>
        <w:rPr>
          <w:lang w:val="en-GB"/>
        </w:rPr>
      </w:pPr>
    </w:p>
    <w:p w:rsidR="00E14173" w:rsidRPr="00E14173" w:rsidRDefault="00E14173" w:rsidP="00FF3444">
      <w:pPr>
        <w:pStyle w:val="BodyTextMain"/>
        <w:rPr>
          <w:color w:val="000000" w:themeColor="text1"/>
          <w:lang w:val="en-GB"/>
        </w:rPr>
      </w:pPr>
      <w:r w:rsidRPr="00E14173">
        <w:rPr>
          <w:lang w:val="en-GB"/>
        </w:rPr>
        <w:t>During 2011–12, the packaging films industry saw a drop in the domestic market of around 30 per cent. The drop in business was partly due to a ban on plastic laminates that were used in the packaging of gutka, an extremely harmful mixture of tobacco and other substances that was found to cause cancer.</w:t>
      </w:r>
      <w:r w:rsidR="00037A65" w:rsidRPr="00E14173">
        <w:rPr>
          <w:color w:val="000000"/>
          <w:vertAlign w:val="superscript"/>
          <w:lang w:val="en-GB"/>
        </w:rPr>
        <w:footnoteReference w:id="7"/>
      </w:r>
      <w:r w:rsidRPr="00E14173">
        <w:rPr>
          <w:lang w:val="en-GB"/>
        </w:rPr>
        <w:t xml:space="preserve"> The ban was issued by the Supreme Court of India. SRF’s packaging films segment saw a decline of 92.91 per cent in EBIT, from almost </w:t>
      </w:r>
      <w:r w:rsidRPr="00E14173">
        <w:rPr>
          <w:rFonts w:ascii="Tahoma" w:hAnsi="Tahoma" w:cs="Tahoma"/>
          <w:lang w:val="en-GB"/>
        </w:rPr>
        <w:t>₹</w:t>
      </w:r>
      <w:r w:rsidRPr="00E14173">
        <w:rPr>
          <w:lang w:val="en-GB"/>
        </w:rPr>
        <w:t xml:space="preserve">3.5 billion in 2010–11 to </w:t>
      </w:r>
      <w:r w:rsidRPr="00E14173">
        <w:rPr>
          <w:rFonts w:ascii="Tahoma" w:hAnsi="Tahoma" w:cs="Tahoma"/>
          <w:lang w:val="en-GB"/>
        </w:rPr>
        <w:t>₹</w:t>
      </w:r>
      <w:r w:rsidRPr="00E14173">
        <w:rPr>
          <w:lang w:val="en-GB"/>
        </w:rPr>
        <w:t>245 million in 2011–12 (see Exhibit 6). SRF responded to this challenge by venturing into value-added product variants and two international projects at Thailand and South Africa to be commissioned in 2013–14.</w:t>
      </w:r>
    </w:p>
    <w:p w:rsidR="00E14173" w:rsidRPr="00E14173" w:rsidRDefault="00E14173" w:rsidP="00FF3444">
      <w:pPr>
        <w:pStyle w:val="BodyTextMain"/>
        <w:rPr>
          <w:color w:val="000000" w:themeColor="text1"/>
          <w:lang w:val="en-GB"/>
        </w:rPr>
      </w:pPr>
    </w:p>
    <w:p w:rsidR="00E14173" w:rsidRPr="00E14173" w:rsidRDefault="00E14173" w:rsidP="00FF3444">
      <w:pPr>
        <w:pStyle w:val="BodyTextMain"/>
        <w:rPr>
          <w:color w:val="000000" w:themeColor="text1"/>
          <w:lang w:val="en-GB"/>
        </w:rPr>
      </w:pPr>
      <w:r w:rsidRPr="00E14173">
        <w:rPr>
          <w:color w:val="000000" w:themeColor="text1"/>
          <w:lang w:val="en-GB"/>
        </w:rPr>
        <w:t>SRF competed against several companies in major business segments (see Exhibit 7).</w:t>
      </w:r>
    </w:p>
    <w:p w:rsidR="00E14173" w:rsidRPr="00E14173" w:rsidRDefault="00E14173" w:rsidP="00FF3444">
      <w:pPr>
        <w:pStyle w:val="BodyTextMain"/>
        <w:rPr>
          <w:color w:val="000000" w:themeColor="text1"/>
          <w:lang w:val="en-GB"/>
        </w:rPr>
      </w:pPr>
    </w:p>
    <w:p w:rsidR="00E14173" w:rsidRPr="00E14173" w:rsidRDefault="00E14173" w:rsidP="00FF3444">
      <w:pPr>
        <w:pStyle w:val="BodyTextMain"/>
        <w:rPr>
          <w:color w:val="000000" w:themeColor="text1"/>
          <w:lang w:val="en-GB"/>
        </w:rPr>
      </w:pPr>
    </w:p>
    <w:p w:rsidR="00E14173" w:rsidRPr="00E14173" w:rsidRDefault="00E14173" w:rsidP="00FF3444">
      <w:pPr>
        <w:pStyle w:val="Casehead1"/>
        <w:rPr>
          <w:lang w:val="en-GB"/>
        </w:rPr>
      </w:pPr>
      <w:r w:rsidRPr="00E14173">
        <w:rPr>
          <w:lang w:val="en-GB"/>
        </w:rPr>
        <w:t>CAPITAL EXPENDITURES: GROWTH, EXPANSION, AND RESEARCH AND DEVELOPMENT</w:t>
      </w:r>
      <w:r w:rsidR="00037A65" w:rsidRPr="00E14173">
        <w:rPr>
          <w:color w:val="000000" w:themeColor="text1"/>
          <w:vertAlign w:val="superscript"/>
          <w:lang w:val="en-GB"/>
        </w:rPr>
        <w:footnoteReference w:id="8"/>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 xml:space="preserve">During 2006–2012, the company embarked on a journey of growth and expansion of its production facilities and market, both in India and overseas, through various organic and inorganic opportunities. </w:t>
      </w:r>
    </w:p>
    <w:p w:rsidR="00E14173" w:rsidRPr="00E14173" w:rsidRDefault="00E14173" w:rsidP="00FF3444">
      <w:pPr>
        <w:pStyle w:val="BodyTextMain"/>
        <w:rPr>
          <w:lang w:val="en-GB"/>
        </w:rPr>
      </w:pPr>
    </w:p>
    <w:p w:rsidR="00E14173" w:rsidRPr="00341B76" w:rsidRDefault="00E14173" w:rsidP="00FF3444">
      <w:pPr>
        <w:pStyle w:val="BodyTextMain"/>
        <w:rPr>
          <w:spacing w:val="-2"/>
          <w:lang w:val="en-GB"/>
        </w:rPr>
      </w:pPr>
      <w:r w:rsidRPr="00341B76">
        <w:rPr>
          <w:spacing w:val="-2"/>
          <w:lang w:val="en-GB"/>
        </w:rPr>
        <w:lastRenderedPageBreak/>
        <w:t>In 2008–09, SRF acquired</w:t>
      </w:r>
      <w:r w:rsidR="00C90DD1" w:rsidRPr="00341B76">
        <w:rPr>
          <w:spacing w:val="-2"/>
          <w:lang w:val="en-GB"/>
        </w:rPr>
        <w:t xml:space="preserve"> Thai Baroda Industries Limited</w:t>
      </w:r>
      <w:r w:rsidRPr="00341B76">
        <w:rPr>
          <w:spacing w:val="-2"/>
          <w:lang w:val="en-GB"/>
        </w:rPr>
        <w:t xml:space="preserve">, a Thailand-based tire cord company, which enabled SRF to emerge as the third-largest tire cord fabric manufacturer in Asia, and fifth-largest in the world. </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 xml:space="preserve">In 2008–09, SRF acquired the belting fabrics business of Industex Technical Textiles (Pty) Limited, in South Africa. The company was then renamed SRF Industex Belting (Pty) Ltd. The acquisition’s price was </w:t>
      </w:r>
      <w:r w:rsidRPr="00E14173">
        <w:rPr>
          <w:rFonts w:ascii="Tahoma" w:hAnsi="Tahoma" w:cs="Tahoma"/>
          <w:color w:val="000000"/>
          <w:lang w:val="en-GB"/>
        </w:rPr>
        <w:t>₹</w:t>
      </w:r>
      <w:r w:rsidRPr="00E14173">
        <w:rPr>
          <w:lang w:val="en-GB"/>
        </w:rPr>
        <w:t xml:space="preserve">200 million. </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In 2009–10, SRF set up the first and only producer plant of polyester industrial yarn in technological collaboration with Toray Industries, Japan. It would serve the growing segment of polyester tire cord fabric used for radial tires for passenger cars and light commercial vehicles—a one-stop-shop for all kinds of fabric for tire manufacturers. It would also provide backward integration with the company’s belting fabric and coated fabric businesses.</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In 2008–09, SRF purchased two businesses—an engineering plastics business and an industrial yarn business—from the holding company SRF Polymers Limited.</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 xml:space="preserve">Two international packaging films projects were started at plants in Thailand and South Africa. The plant at South Africa was expected to have a production capacity of 25,000 in biaxially oriented polypropylene film, with an investment of </w:t>
      </w:r>
      <w:r w:rsidRPr="00E14173">
        <w:rPr>
          <w:rFonts w:ascii="Tahoma" w:hAnsi="Tahoma" w:cs="Tahoma"/>
          <w:color w:val="000000"/>
          <w:lang w:val="en-GB"/>
        </w:rPr>
        <w:t>₹</w:t>
      </w:r>
      <w:r w:rsidRPr="00E14173">
        <w:rPr>
          <w:lang w:val="en-GB"/>
        </w:rPr>
        <w:t xml:space="preserve">2.5 billion. The African plant would begin its production in July 2013. Both units were scheduled to be commissioned during 2013–14. </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 xml:space="preserve">In October 2010, SRF’s board approved an 80:20 joint venture with </w:t>
      </w:r>
      <w:r w:rsidR="00C90DD1">
        <w:rPr>
          <w:lang w:val="en-GB"/>
        </w:rPr>
        <w:t>N</w:t>
      </w:r>
      <w:r w:rsidRPr="00E14173">
        <w:rPr>
          <w:lang w:val="en-GB"/>
        </w:rPr>
        <w:t xml:space="preserve">itol-Niloy to establish a plant in Bangladesh for the production of biaxially oriented polyethylene terephthalate, a polyester film used for its high tensile strength. The plant had a capacity of 28,500 MTPA, with an estimated cost of </w:t>
      </w:r>
      <w:r w:rsidRPr="00E14173">
        <w:rPr>
          <w:rFonts w:ascii="Tahoma" w:hAnsi="Tahoma" w:cs="Tahoma"/>
          <w:color w:val="000000"/>
          <w:lang w:val="en-GB"/>
        </w:rPr>
        <w:t>₹</w:t>
      </w:r>
      <w:r w:rsidRPr="00E14173">
        <w:rPr>
          <w:lang w:val="en-GB"/>
        </w:rPr>
        <w:t>3.2 billion. The project was commissioned in 2012.</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 xml:space="preserve">By the fourth quarter of 2011–12, production began at the multi-purpose chemical complex in Dahej, Gujarat state, for flourine-based specialty chemicals and hydrofluorocarbons, to be used as intermediates in the manufacture of drugs and pesticides for customers in Japan, Europe, and the United States. During 2012–13, this plant was expected to increase its production capacity of HFC-134a. SRF would have invested over </w:t>
      </w:r>
      <w:r w:rsidRPr="00E14173">
        <w:rPr>
          <w:rFonts w:ascii="Tahoma" w:hAnsi="Tahoma" w:cs="Tahoma"/>
          <w:color w:val="000000"/>
          <w:lang w:val="en-GB"/>
        </w:rPr>
        <w:t>₹</w:t>
      </w:r>
      <w:r w:rsidRPr="00E14173">
        <w:rPr>
          <w:lang w:val="en-GB"/>
        </w:rPr>
        <w:t xml:space="preserve">2 billion by that time. </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 xml:space="preserve">The commissioning of a state-of-the-art coating line plant was expected at an existing site in Gummidipoondi, with a total investment of approximately </w:t>
      </w:r>
      <w:r w:rsidRPr="00E14173">
        <w:rPr>
          <w:rFonts w:ascii="Tahoma" w:hAnsi="Tahoma" w:cs="Tahoma"/>
          <w:color w:val="000000"/>
          <w:lang w:val="en-GB"/>
        </w:rPr>
        <w:t>₹</w:t>
      </w:r>
      <w:r w:rsidRPr="00E14173">
        <w:rPr>
          <w:lang w:val="en-GB"/>
        </w:rPr>
        <w:t>1.4 billion. The plant had the capacity to produce 17 million square metres per year of coated fabric, starting in the second quarter of FY 2011–12.</w:t>
      </w:r>
    </w:p>
    <w:p w:rsidR="00E14173" w:rsidRPr="00E14173" w:rsidRDefault="00E14173" w:rsidP="00FF3444">
      <w:pPr>
        <w:pStyle w:val="BodyTextMain"/>
        <w:rPr>
          <w:lang w:val="en-GB"/>
        </w:rPr>
      </w:pPr>
    </w:p>
    <w:p w:rsidR="00E14173" w:rsidRDefault="00E14173" w:rsidP="00FF3444">
      <w:pPr>
        <w:pStyle w:val="BodyTextMain"/>
        <w:rPr>
          <w:lang w:val="en-GB"/>
        </w:rPr>
      </w:pPr>
      <w:r w:rsidRPr="00E14173">
        <w:rPr>
          <w:lang w:val="en-GB"/>
        </w:rPr>
        <w:t xml:space="preserve">SRF had also actively invested in research and development centres at Chennai and Bhiwadi for chemicals, and at Manali for TTB (see Exhibit 8). The company planned to spend another </w:t>
      </w:r>
      <w:r w:rsidRPr="00E14173">
        <w:rPr>
          <w:rFonts w:ascii="Tahoma" w:hAnsi="Tahoma" w:cs="Tahoma"/>
          <w:color w:val="000000"/>
          <w:lang w:val="en-GB"/>
        </w:rPr>
        <w:t>₹</w:t>
      </w:r>
      <w:r w:rsidRPr="00E14173">
        <w:rPr>
          <w:lang w:val="en-GB"/>
        </w:rPr>
        <w:t>1.4 billion for acquisition, new projects, research and development facilities, and upgrading existing facilities.</w:t>
      </w:r>
      <w:r w:rsidR="00037A65" w:rsidRPr="00E14173">
        <w:rPr>
          <w:vertAlign w:val="superscript"/>
          <w:lang w:val="en-GB"/>
        </w:rPr>
        <w:footnoteReference w:id="9"/>
      </w:r>
    </w:p>
    <w:p w:rsidR="00817E62" w:rsidRDefault="00817E62" w:rsidP="00FF3444">
      <w:pPr>
        <w:pStyle w:val="BodyTextMain"/>
        <w:rPr>
          <w:lang w:val="en-GB"/>
        </w:rPr>
      </w:pPr>
    </w:p>
    <w:p w:rsidR="00817E62" w:rsidRPr="00E14173" w:rsidRDefault="00817E62" w:rsidP="00FF3444">
      <w:pPr>
        <w:pStyle w:val="BodyTextMain"/>
        <w:rPr>
          <w:lang w:val="en-GB"/>
        </w:rPr>
      </w:pPr>
    </w:p>
    <w:p w:rsidR="00E14173" w:rsidRPr="00E14173" w:rsidRDefault="00E14173" w:rsidP="00FF3444">
      <w:pPr>
        <w:pStyle w:val="Casehead2"/>
        <w:rPr>
          <w:lang w:val="en-GB"/>
        </w:rPr>
      </w:pPr>
      <w:r w:rsidRPr="00E14173">
        <w:rPr>
          <w:lang w:val="en-GB"/>
        </w:rPr>
        <w:t>Carbon Emission Reductions</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SRF’s income also included receipts from the transfer of CER, also referred to as carbon credits, which were added to capital reserves (see Exhibits 9 and 10).</w:t>
      </w:r>
    </w:p>
    <w:p w:rsidR="00E14173" w:rsidRPr="00E14173" w:rsidRDefault="00E14173" w:rsidP="00FF3444">
      <w:pPr>
        <w:pStyle w:val="BodyTextMain"/>
        <w:rPr>
          <w:lang w:val="en-GB"/>
        </w:rPr>
      </w:pPr>
    </w:p>
    <w:p w:rsidR="00E14173" w:rsidRPr="00817E62" w:rsidRDefault="00E14173" w:rsidP="00FF3444">
      <w:pPr>
        <w:pStyle w:val="BodyTextMain"/>
        <w:rPr>
          <w:spacing w:val="-2"/>
          <w:lang w:val="en-GB"/>
        </w:rPr>
      </w:pPr>
      <w:r w:rsidRPr="00817E62">
        <w:rPr>
          <w:spacing w:val="-2"/>
          <w:lang w:val="en-GB"/>
        </w:rPr>
        <w:lastRenderedPageBreak/>
        <w:t xml:space="preserve">The United Nations Framework Convention on Climate Change, an international environmental treaty for stabilizing greenhouse gas in the atmosphere to prevent the deterioration of </w:t>
      </w:r>
      <w:r w:rsidR="00C90DD1">
        <w:rPr>
          <w:spacing w:val="-2"/>
          <w:lang w:val="en-GB"/>
        </w:rPr>
        <w:t xml:space="preserve">the </w:t>
      </w:r>
      <w:r w:rsidRPr="00817E62">
        <w:rPr>
          <w:spacing w:val="-2"/>
          <w:lang w:val="en-GB"/>
        </w:rPr>
        <w:t>earth’s ozone layer, provided SRF with approval in principle for 3,833,566 CERs per year. However, income from CERs would be generated only until June 2014 and the amount would depend on CER value, which had seen a fall in price.</w:t>
      </w:r>
    </w:p>
    <w:p w:rsidR="00E14173" w:rsidRPr="00E14173" w:rsidRDefault="00E14173" w:rsidP="00FF3444">
      <w:pPr>
        <w:pStyle w:val="BodyTextMain"/>
        <w:rPr>
          <w:lang w:val="en-GB"/>
        </w:rPr>
      </w:pPr>
    </w:p>
    <w:p w:rsidR="00E14173" w:rsidRPr="00E14173" w:rsidRDefault="00E14173" w:rsidP="00FF3444">
      <w:pPr>
        <w:pStyle w:val="BodyTextMain"/>
        <w:rPr>
          <w:lang w:val="en-GB"/>
        </w:rPr>
      </w:pPr>
    </w:p>
    <w:p w:rsidR="00E14173" w:rsidRPr="00E14173" w:rsidRDefault="00E14173" w:rsidP="00FF3444">
      <w:pPr>
        <w:pStyle w:val="Casehead2"/>
        <w:rPr>
          <w:lang w:val="en-GB"/>
        </w:rPr>
      </w:pPr>
      <w:r w:rsidRPr="00E14173">
        <w:rPr>
          <w:lang w:val="en-GB"/>
        </w:rPr>
        <w:t>Dividend History—Buyback of Shares</w:t>
      </w:r>
      <w:r w:rsidR="00037A65" w:rsidRPr="00E14173">
        <w:rPr>
          <w:color w:val="000000" w:themeColor="text1"/>
          <w:vertAlign w:val="superscript"/>
          <w:lang w:val="en-GB"/>
        </w:rPr>
        <w:footnoteReference w:id="10"/>
      </w:r>
    </w:p>
    <w:p w:rsidR="00E14173" w:rsidRPr="00E14173" w:rsidRDefault="00E14173" w:rsidP="00FF3444">
      <w:pPr>
        <w:pStyle w:val="BodyTextMain"/>
        <w:rPr>
          <w:lang w:val="en-GB"/>
        </w:rPr>
      </w:pPr>
    </w:p>
    <w:p w:rsidR="00E14173" w:rsidRPr="00817E62" w:rsidRDefault="00E14173" w:rsidP="00FF3444">
      <w:pPr>
        <w:pStyle w:val="BodyTextMain"/>
        <w:rPr>
          <w:spacing w:val="-2"/>
          <w:lang w:val="en-GB"/>
        </w:rPr>
      </w:pPr>
      <w:r w:rsidRPr="00817E62">
        <w:rPr>
          <w:spacing w:val="-2"/>
          <w:lang w:val="en-GB"/>
        </w:rPr>
        <w:t xml:space="preserve">On June 24, 2006, the SRF board of directors decided to buy back the company’s equity shares from the open market through stock exchanges. During FY 2006–07, the company purchased 16,084 equity shares at an average price of </w:t>
      </w:r>
      <w:r w:rsidRPr="00817E62">
        <w:rPr>
          <w:rFonts w:ascii="Tahoma" w:hAnsi="Tahoma" w:cs="Tahoma"/>
          <w:color w:val="000000"/>
          <w:spacing w:val="-2"/>
          <w:lang w:val="en-GB"/>
        </w:rPr>
        <w:t>₹</w:t>
      </w:r>
      <w:r w:rsidRPr="00817E62">
        <w:rPr>
          <w:spacing w:val="-2"/>
          <w:lang w:val="en-GB"/>
        </w:rPr>
        <w:t xml:space="preserve">194.29, resulting in </w:t>
      </w:r>
      <w:r w:rsidR="00C90DD1">
        <w:rPr>
          <w:spacing w:val="-2"/>
          <w:lang w:val="en-GB"/>
        </w:rPr>
        <w:t xml:space="preserve">the </w:t>
      </w:r>
      <w:r w:rsidRPr="00817E62">
        <w:rPr>
          <w:spacing w:val="-2"/>
          <w:lang w:val="en-GB"/>
        </w:rPr>
        <w:t xml:space="preserve">disbursement of </w:t>
      </w:r>
      <w:r w:rsidRPr="00817E62">
        <w:rPr>
          <w:rFonts w:ascii="Tahoma" w:hAnsi="Tahoma" w:cs="Tahoma"/>
          <w:color w:val="000000"/>
          <w:spacing w:val="-2"/>
          <w:lang w:val="en-GB"/>
        </w:rPr>
        <w:t>₹</w:t>
      </w:r>
      <w:r w:rsidRPr="00817E62">
        <w:rPr>
          <w:spacing w:val="-2"/>
          <w:lang w:val="en-GB"/>
        </w:rPr>
        <w:t>3,124,934 to its shareholders (see Exhibit 11).</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 xml:space="preserve">On April 25, 2008, the company again decided to buy back its equity shares from the open market through stock exchanges. The buyback started on July 2, 2008, and ended on April 16, 2009. During this period, the company was able to purchase a total of 7,381,425 equity shares at an average market price of </w:t>
      </w:r>
      <w:r w:rsidRPr="00E14173">
        <w:rPr>
          <w:rFonts w:ascii="Tahoma" w:hAnsi="Tahoma" w:cs="Tahoma"/>
          <w:color w:val="000000"/>
          <w:lang w:val="en-GB"/>
        </w:rPr>
        <w:t>₹</w:t>
      </w:r>
      <w:r w:rsidRPr="00E14173">
        <w:rPr>
          <w:lang w:val="en-GB"/>
        </w:rPr>
        <w:t xml:space="preserve">94.83 per share. This buyback of shares cost the company nearly </w:t>
      </w:r>
      <w:r w:rsidRPr="00E14173">
        <w:rPr>
          <w:rFonts w:ascii="Tahoma" w:hAnsi="Tahoma" w:cs="Tahoma"/>
          <w:color w:val="000000"/>
          <w:lang w:val="en-GB"/>
        </w:rPr>
        <w:t>₹</w:t>
      </w:r>
      <w:r w:rsidRPr="00E14173">
        <w:rPr>
          <w:lang w:val="en-GB"/>
        </w:rPr>
        <w:t>700 million, reaching the maximum allowed buyback amount of shares for that time.</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 xml:space="preserve">On July 28, 2009, the SRF board of directors announced another buyback of fully paid-up equity shares for an amount not exceeding </w:t>
      </w:r>
      <w:r w:rsidRPr="00E14173">
        <w:rPr>
          <w:rFonts w:ascii="Tahoma" w:hAnsi="Tahoma" w:cs="Tahoma"/>
          <w:color w:val="000000"/>
          <w:lang w:val="en-GB"/>
        </w:rPr>
        <w:t>₹</w:t>
      </w:r>
      <w:r w:rsidRPr="00E14173">
        <w:rPr>
          <w:lang w:val="en-GB"/>
        </w:rPr>
        <w:t xml:space="preserve">650 million, at a maximum price of </w:t>
      </w:r>
      <w:r w:rsidRPr="00E14173">
        <w:rPr>
          <w:rFonts w:ascii="Tahoma" w:hAnsi="Tahoma" w:cs="Tahoma"/>
          <w:color w:val="000000"/>
          <w:lang w:val="en-GB"/>
        </w:rPr>
        <w:t>₹</w:t>
      </w:r>
      <w:r w:rsidRPr="00E14173">
        <w:rPr>
          <w:lang w:val="en-GB"/>
        </w:rPr>
        <w:t>160 per share, from the open market through stock exchanges. However, the company was not eligible to make a second buyback offer before the completion of 365 days from the date of the preceding offer of buyback, according to the Securities and Exchange Board of India’s Buyback of Shares Act. Consequently, SRF withdrew its buyback offer.</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 xml:space="preserve">On February 26, 2011, SRF announced a buyback of fully paid-up equity shares for an amount not exceeding </w:t>
      </w:r>
      <w:r w:rsidRPr="00E14173">
        <w:rPr>
          <w:rFonts w:ascii="Tahoma" w:hAnsi="Tahoma" w:cs="Tahoma"/>
          <w:color w:val="000000"/>
          <w:lang w:val="en-GB"/>
        </w:rPr>
        <w:t>₹</w:t>
      </w:r>
      <w:r w:rsidRPr="00E14173">
        <w:rPr>
          <w:lang w:val="en-GB"/>
        </w:rPr>
        <w:t>900 million</w:t>
      </w:r>
      <w:r w:rsidR="00C90DD1">
        <w:rPr>
          <w:lang w:val="en-GB"/>
        </w:rPr>
        <w:t>,</w:t>
      </w:r>
      <w:r w:rsidRPr="00E14173">
        <w:rPr>
          <w:lang w:val="en-GB"/>
        </w:rPr>
        <w:t xml:space="preserve"> at a maximum price of </w:t>
      </w:r>
      <w:r w:rsidRPr="00E14173">
        <w:rPr>
          <w:rFonts w:ascii="Tahoma" w:hAnsi="Tahoma" w:cs="Tahoma"/>
          <w:color w:val="000000"/>
          <w:lang w:val="en-GB"/>
        </w:rPr>
        <w:t>₹</w:t>
      </w:r>
      <w:r w:rsidRPr="00E14173">
        <w:rPr>
          <w:lang w:val="en-GB"/>
        </w:rPr>
        <w:t xml:space="preserve">380 per share, from the open market through stock exchanges. The buyback started on April 6, 2011, and remained open until February 25, 2012. A total of 3,083,080 equity shares, at an average market price of </w:t>
      </w:r>
      <w:r w:rsidRPr="00E14173">
        <w:rPr>
          <w:rFonts w:ascii="Tahoma" w:hAnsi="Tahoma" w:cs="Tahoma"/>
          <w:color w:val="000000"/>
          <w:lang w:val="en-GB"/>
        </w:rPr>
        <w:t>₹</w:t>
      </w:r>
      <w:r w:rsidRPr="00E14173">
        <w:rPr>
          <w:lang w:val="en-GB"/>
        </w:rPr>
        <w:t xml:space="preserve">291.89 per share, were bought back, for a total amount of approximately </w:t>
      </w:r>
      <w:r w:rsidRPr="00E14173">
        <w:rPr>
          <w:rFonts w:ascii="Tahoma" w:hAnsi="Tahoma" w:cs="Tahoma"/>
          <w:color w:val="000000"/>
          <w:lang w:val="en-GB"/>
        </w:rPr>
        <w:t>₹</w:t>
      </w:r>
      <w:r w:rsidRPr="00E14173">
        <w:rPr>
          <w:lang w:val="en-GB"/>
        </w:rPr>
        <w:t>900 million, by February 10, 2012. SRF’s share buyback history included several different buyback events from 2008 to 2012 (see Exhibits 12</w:t>
      </w:r>
      <w:r w:rsidR="00817E62">
        <w:rPr>
          <w:lang w:val="en-GB"/>
        </w:rPr>
        <w:t>A</w:t>
      </w:r>
      <w:r w:rsidRPr="00E14173">
        <w:rPr>
          <w:lang w:val="en-GB"/>
        </w:rPr>
        <w:t xml:space="preserve"> and 12</w:t>
      </w:r>
      <w:r w:rsidR="00817E62">
        <w:rPr>
          <w:lang w:val="en-GB"/>
        </w:rPr>
        <w:t>B</w:t>
      </w:r>
      <w:r w:rsidRPr="00E14173">
        <w:rPr>
          <w:lang w:val="en-GB"/>
        </w:rPr>
        <w:t>).</w:t>
      </w:r>
    </w:p>
    <w:p w:rsidR="00E14173" w:rsidRPr="00E14173" w:rsidRDefault="00E14173" w:rsidP="00FF3444">
      <w:pPr>
        <w:pStyle w:val="BodyTextMain"/>
        <w:rPr>
          <w:lang w:val="en-GB"/>
        </w:rPr>
      </w:pPr>
    </w:p>
    <w:p w:rsidR="00E14173" w:rsidRPr="00E14173" w:rsidRDefault="00E14173" w:rsidP="00FF3444">
      <w:pPr>
        <w:pStyle w:val="BodyTextMain"/>
        <w:rPr>
          <w:lang w:val="en-GB"/>
        </w:rPr>
      </w:pPr>
    </w:p>
    <w:p w:rsidR="00E14173" w:rsidRPr="00E14173" w:rsidRDefault="00E14173" w:rsidP="00FF3444">
      <w:pPr>
        <w:pStyle w:val="Casehead2"/>
        <w:rPr>
          <w:lang w:val="en-GB"/>
        </w:rPr>
      </w:pPr>
      <w:r w:rsidRPr="00E14173">
        <w:rPr>
          <w:lang w:val="en-GB"/>
        </w:rPr>
        <w:t>SRF in 2012</w:t>
      </w:r>
      <w:r w:rsidR="00037A65" w:rsidRPr="00E14173">
        <w:rPr>
          <w:color w:val="000000" w:themeColor="text1"/>
          <w:vertAlign w:val="superscript"/>
          <w:lang w:val="en-GB"/>
        </w:rPr>
        <w:footnoteReference w:id="11"/>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 xml:space="preserve">During FY 2011–12, the company was affected by a multitude of factors and combined effects, including an adverse demand–supply situation, higher energy costs, and higher input costs, which resulted in a decline of 36 per cent in its net profit after tax of </w:t>
      </w:r>
      <w:r w:rsidRPr="00E14173">
        <w:rPr>
          <w:rFonts w:ascii="Tahoma" w:hAnsi="Tahoma" w:cs="Tahoma"/>
          <w:color w:val="000000"/>
          <w:lang w:val="en-GB"/>
        </w:rPr>
        <w:t>₹</w:t>
      </w:r>
      <w:r w:rsidRPr="00E14173">
        <w:rPr>
          <w:lang w:val="en-GB"/>
        </w:rPr>
        <w:t xml:space="preserve">870 million compared to </w:t>
      </w:r>
      <w:r w:rsidRPr="00E14173">
        <w:rPr>
          <w:rFonts w:ascii="Tahoma" w:hAnsi="Tahoma" w:cs="Tahoma"/>
          <w:color w:val="000000"/>
          <w:lang w:val="en-GB"/>
        </w:rPr>
        <w:t>₹</w:t>
      </w:r>
      <w:r w:rsidRPr="00E14173">
        <w:rPr>
          <w:lang w:val="en-GB"/>
        </w:rPr>
        <w:t xml:space="preserve">1.36 billion the previous year. SRF’s net sales also declined from </w:t>
      </w:r>
      <w:r w:rsidRPr="00E14173">
        <w:rPr>
          <w:rFonts w:ascii="Tahoma" w:hAnsi="Tahoma" w:cs="Tahoma"/>
          <w:color w:val="000000"/>
          <w:lang w:val="en-GB"/>
        </w:rPr>
        <w:t>₹</w:t>
      </w:r>
      <w:r w:rsidRPr="00E14173">
        <w:rPr>
          <w:lang w:val="en-GB"/>
        </w:rPr>
        <w:t xml:space="preserve">8.46 billion to </w:t>
      </w:r>
      <w:r w:rsidRPr="00E14173">
        <w:rPr>
          <w:rFonts w:ascii="Tahoma" w:hAnsi="Tahoma" w:cs="Tahoma"/>
          <w:color w:val="000000"/>
          <w:lang w:val="en-GB"/>
        </w:rPr>
        <w:t>₹</w:t>
      </w:r>
      <w:r w:rsidRPr="00E14173">
        <w:rPr>
          <w:lang w:val="en-GB"/>
        </w:rPr>
        <w:t>8.22 billion during the same period.</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 xml:space="preserve">Unlike the CPB segment, both the TTP and PFB segments showed a decline in profitability. </w:t>
      </w:r>
    </w:p>
    <w:p w:rsidR="00E14173" w:rsidRPr="00E14173" w:rsidRDefault="00E14173" w:rsidP="00FF3444">
      <w:pPr>
        <w:pStyle w:val="BodyTextMain"/>
        <w:rPr>
          <w:lang w:val="en-GB"/>
        </w:rPr>
      </w:pPr>
    </w:p>
    <w:p w:rsidR="00E14173" w:rsidRPr="00E14173" w:rsidRDefault="00E14173" w:rsidP="00FF3444">
      <w:pPr>
        <w:pStyle w:val="BodyTextMain"/>
        <w:rPr>
          <w:lang w:val="en-GB"/>
        </w:rPr>
      </w:pPr>
      <w:r w:rsidRPr="00E14173">
        <w:rPr>
          <w:lang w:val="en-GB"/>
        </w:rPr>
        <w:t xml:space="preserve">The company’s performance, in light of the global economic crisis, European economic problems, the falling index of industrial production data, and falling gross domestic product figures (see Exhibits 13a and 13b), raised many questions. With healthy cash balance reserves, a consistent dividend payment </w:t>
      </w:r>
      <w:r w:rsidRPr="00E14173">
        <w:rPr>
          <w:lang w:val="en-GB"/>
        </w:rPr>
        <w:lastRenderedPageBreak/>
        <w:t xml:space="preserve">history, and many capital expenditure projects in the pipeline, could SRF maintain robust growth in the coming years? What was the strategy behind the past three buybacks of shares? Would the firm engage in such an endeavour again in the future? With SRF’s zero share premium amount left in the reserves, Padma also had to </w:t>
      </w:r>
      <w:r w:rsidR="00C90DD1">
        <w:rPr>
          <w:lang w:val="en-GB"/>
        </w:rPr>
        <w:t>determine</w:t>
      </w:r>
      <w:r w:rsidRPr="00E14173">
        <w:rPr>
          <w:lang w:val="en-GB"/>
        </w:rPr>
        <w:t xml:space="preserve"> if the company could reward its shareholders by paying a higher dividend in the coming years</w:t>
      </w:r>
      <w:r w:rsidR="0088091E">
        <w:rPr>
          <w:lang w:val="en-GB"/>
        </w:rPr>
        <w:t xml:space="preserve"> (see Exhibits 14 and 15)</w:t>
      </w:r>
      <w:r w:rsidRPr="00E14173">
        <w:rPr>
          <w:lang w:val="en-GB"/>
        </w:rPr>
        <w:t xml:space="preserve">, and understand why there were </w:t>
      </w:r>
      <w:r w:rsidR="00C90DD1">
        <w:rPr>
          <w:lang w:val="en-GB"/>
        </w:rPr>
        <w:t>so few</w:t>
      </w:r>
      <w:r w:rsidRPr="00E14173">
        <w:rPr>
          <w:lang w:val="en-GB"/>
        </w:rPr>
        <w:t xml:space="preserve"> reports from analysts about the company. Based on her analyses, what should her recommendation be to the CFO for the next two years?</w:t>
      </w:r>
    </w:p>
    <w:p w:rsidR="00E14173" w:rsidRPr="00E14173" w:rsidRDefault="00E14173" w:rsidP="00FF3444">
      <w:pPr>
        <w:pStyle w:val="BodyTextMain"/>
        <w:rPr>
          <w:strike/>
          <w:color w:val="0C355D"/>
          <w:lang w:val="en-GB"/>
        </w:rPr>
      </w:pPr>
    </w:p>
    <w:p w:rsidR="00E14173" w:rsidRPr="00E14173" w:rsidRDefault="00E14173" w:rsidP="00FF3444">
      <w:pPr>
        <w:pStyle w:val="BodyTextMain"/>
        <w:rPr>
          <w:color w:val="0C355D"/>
          <w:lang w:val="en-GB"/>
        </w:rPr>
      </w:pPr>
      <w:r w:rsidRPr="00E14173">
        <w:rPr>
          <w:noProof/>
          <w:lang w:val="en-GB" w:eastAsia="en-GB"/>
        </w:rPr>
        <mc:AlternateContent>
          <mc:Choice Requires="wps">
            <w:drawing>
              <wp:anchor distT="0" distB="0" distL="114300" distR="114300" simplePos="0" relativeHeight="251659264" behindDoc="0" locked="0" layoutInCell="1" allowOverlap="1" wp14:anchorId="7C1FEE06" wp14:editId="6FFB63B9">
                <wp:simplePos x="0" y="0"/>
                <wp:positionH relativeFrom="margin">
                  <wp:posOffset>125730</wp:posOffset>
                </wp:positionH>
                <wp:positionV relativeFrom="paragraph">
                  <wp:posOffset>39370</wp:posOffset>
                </wp:positionV>
                <wp:extent cx="5654040" cy="498143"/>
                <wp:effectExtent l="0" t="0" r="22860" b="1651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498143"/>
                        </a:xfrm>
                        <a:prstGeom prst="rect">
                          <a:avLst/>
                        </a:prstGeom>
                        <a:solidFill>
                          <a:srgbClr val="FFFFFF"/>
                        </a:solidFill>
                        <a:ln w="9525">
                          <a:solidFill>
                            <a:srgbClr val="000000"/>
                          </a:solidFill>
                          <a:miter lim="800000"/>
                          <a:headEnd/>
                          <a:tailEnd/>
                        </a:ln>
                      </wps:spPr>
                      <wps:txbx>
                        <w:txbxContent>
                          <w:p w:rsidR="00A62944" w:rsidRPr="00FA759D" w:rsidRDefault="00A62944" w:rsidP="00E14173">
                            <w:pPr>
                              <w:jc w:val="both"/>
                              <w:rPr>
                                <w:rFonts w:ascii="Arial" w:hAnsi="Arial" w:cs="Arial"/>
                                <w:sz w:val="18"/>
                                <w:szCs w:val="18"/>
                              </w:rPr>
                            </w:pPr>
                            <w:r w:rsidRPr="00FA759D">
                              <w:rPr>
                                <w:rFonts w:ascii="Arial" w:hAnsi="Arial" w:cs="Arial"/>
                                <w:sz w:val="18"/>
                                <w:szCs w:val="18"/>
                              </w:rPr>
                              <w:t>This case was prepared by Prof</w:t>
                            </w:r>
                            <w:r>
                              <w:rPr>
                                <w:rFonts w:ascii="Arial" w:hAnsi="Arial" w:cs="Arial"/>
                                <w:sz w:val="18"/>
                                <w:szCs w:val="18"/>
                              </w:rPr>
                              <w:t>essor</w:t>
                            </w:r>
                            <w:r w:rsidRPr="00FA759D">
                              <w:rPr>
                                <w:rFonts w:ascii="Arial" w:hAnsi="Arial" w:cs="Arial"/>
                                <w:sz w:val="18"/>
                                <w:szCs w:val="18"/>
                              </w:rPr>
                              <w:t xml:space="preserve"> David Sharp, Ivey Business School, Canada</w:t>
                            </w:r>
                            <w:r>
                              <w:rPr>
                                <w:rFonts w:ascii="Arial" w:hAnsi="Arial" w:cs="Arial"/>
                                <w:sz w:val="18"/>
                                <w:szCs w:val="18"/>
                              </w:rPr>
                              <w:t>;</w:t>
                            </w:r>
                            <w:r w:rsidRPr="00FA759D">
                              <w:rPr>
                                <w:rFonts w:ascii="Arial" w:hAnsi="Arial" w:cs="Arial"/>
                                <w:sz w:val="18"/>
                                <w:szCs w:val="18"/>
                              </w:rPr>
                              <w:t xml:space="preserve"> Prof</w:t>
                            </w:r>
                            <w:r>
                              <w:rPr>
                                <w:rFonts w:ascii="Arial" w:hAnsi="Arial" w:cs="Arial"/>
                                <w:sz w:val="18"/>
                                <w:szCs w:val="18"/>
                              </w:rPr>
                              <w:t>essor</w:t>
                            </w:r>
                            <w:r w:rsidRPr="00FA759D">
                              <w:rPr>
                                <w:rFonts w:ascii="Arial" w:hAnsi="Arial" w:cs="Arial"/>
                                <w:sz w:val="18"/>
                                <w:szCs w:val="18"/>
                              </w:rPr>
                              <w:t xml:space="preserve"> Kulbir Singh, Institute of Management Technology-Nagpur, India</w:t>
                            </w:r>
                            <w:r>
                              <w:rPr>
                                <w:rFonts w:ascii="Arial" w:hAnsi="Arial" w:cs="Arial"/>
                                <w:sz w:val="18"/>
                                <w:szCs w:val="18"/>
                              </w:rPr>
                              <w:t>:</w:t>
                            </w:r>
                            <w:r w:rsidRPr="00FA759D">
                              <w:rPr>
                                <w:rFonts w:ascii="Arial" w:hAnsi="Arial" w:cs="Arial"/>
                                <w:sz w:val="18"/>
                                <w:szCs w:val="18"/>
                              </w:rPr>
                              <w:t xml:space="preserve"> and Prof</w:t>
                            </w:r>
                            <w:r>
                              <w:rPr>
                                <w:rFonts w:ascii="Arial" w:hAnsi="Arial" w:cs="Arial"/>
                                <w:sz w:val="18"/>
                                <w:szCs w:val="18"/>
                              </w:rPr>
                              <w:t>essor</w:t>
                            </w:r>
                            <w:r w:rsidRPr="00FA759D">
                              <w:rPr>
                                <w:rFonts w:ascii="Arial" w:hAnsi="Arial" w:cs="Arial"/>
                                <w:sz w:val="18"/>
                                <w:szCs w:val="18"/>
                              </w:rPr>
                              <w:t xml:space="preserve"> </w:t>
                            </w:r>
                            <w:r>
                              <w:rPr>
                                <w:rFonts w:ascii="Arial" w:hAnsi="Arial" w:cs="Arial"/>
                                <w:sz w:val="18"/>
                                <w:szCs w:val="18"/>
                              </w:rPr>
                              <w:t xml:space="preserve">S. R. </w:t>
                            </w:r>
                            <w:r w:rsidRPr="00FA759D">
                              <w:rPr>
                                <w:rFonts w:ascii="Arial" w:hAnsi="Arial" w:cs="Arial"/>
                                <w:sz w:val="18"/>
                                <w:szCs w:val="18"/>
                              </w:rPr>
                              <w:t xml:space="preserve">Vishwanath, School of Management </w:t>
                            </w:r>
                            <w:r>
                              <w:rPr>
                                <w:rFonts w:ascii="Arial" w:hAnsi="Arial" w:cs="Arial"/>
                                <w:sz w:val="18"/>
                                <w:szCs w:val="18"/>
                              </w:rPr>
                              <w:t>and</w:t>
                            </w:r>
                            <w:r w:rsidRPr="00FA759D">
                              <w:rPr>
                                <w:rFonts w:ascii="Arial" w:hAnsi="Arial" w:cs="Arial"/>
                                <w:sz w:val="18"/>
                                <w:szCs w:val="18"/>
                              </w:rPr>
                              <w:t xml:space="preserve"> Entrepreneurship, Shiv Nadar University, Noida, India</w:t>
                            </w:r>
                            <w:r>
                              <w:rPr>
                                <w:rFonts w:ascii="Arial" w:hAnsi="Arial" w:cs="Arial"/>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9.9pt;margin-top:3.1pt;width:445.2pt;height:3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">
                <v:textbox>
                  <w:txbxContent>
                    <w:p w:rsidR="00A62944" w:rsidRPr="00FA759D" w:rsidRDefault="00A62944" w:rsidP="00E14173">
                      <w:pPr>
                        <w:jc w:val="both"/>
                        <w:rPr>
                          <w:rFonts w:ascii="Arial" w:hAnsi="Arial" w:cs="Arial"/>
                          <w:sz w:val="18"/>
                          <w:szCs w:val="18"/>
                        </w:rPr>
                      </w:pPr>
                      <w:r w:rsidRPr="00FA759D">
                        <w:rPr>
                          <w:rFonts w:ascii="Arial" w:hAnsi="Arial" w:cs="Arial"/>
                          <w:sz w:val="18"/>
                          <w:szCs w:val="18"/>
                        </w:rPr>
                        <w:t>This case was prepared by Prof</w:t>
                      </w:r>
                      <w:r>
                        <w:rPr>
                          <w:rFonts w:ascii="Arial" w:hAnsi="Arial" w:cs="Arial"/>
                          <w:sz w:val="18"/>
                          <w:szCs w:val="18"/>
                        </w:rPr>
                        <w:t>essor</w:t>
                      </w:r>
                      <w:r w:rsidRPr="00FA759D">
                        <w:rPr>
                          <w:rFonts w:ascii="Arial" w:hAnsi="Arial" w:cs="Arial"/>
                          <w:sz w:val="18"/>
                          <w:szCs w:val="18"/>
                        </w:rPr>
                        <w:t xml:space="preserve"> David Sharp, Ivey Business School, Canada</w:t>
                      </w:r>
                      <w:r>
                        <w:rPr>
                          <w:rFonts w:ascii="Arial" w:hAnsi="Arial" w:cs="Arial"/>
                          <w:sz w:val="18"/>
                          <w:szCs w:val="18"/>
                        </w:rPr>
                        <w:t>;</w:t>
                      </w:r>
                      <w:r w:rsidRPr="00FA759D">
                        <w:rPr>
                          <w:rFonts w:ascii="Arial" w:hAnsi="Arial" w:cs="Arial"/>
                          <w:sz w:val="18"/>
                          <w:szCs w:val="18"/>
                        </w:rPr>
                        <w:t xml:space="preserve"> Prof</w:t>
                      </w:r>
                      <w:r>
                        <w:rPr>
                          <w:rFonts w:ascii="Arial" w:hAnsi="Arial" w:cs="Arial"/>
                          <w:sz w:val="18"/>
                          <w:szCs w:val="18"/>
                        </w:rPr>
                        <w:t>essor</w:t>
                      </w:r>
                      <w:r w:rsidRPr="00FA759D">
                        <w:rPr>
                          <w:rFonts w:ascii="Arial" w:hAnsi="Arial" w:cs="Arial"/>
                          <w:sz w:val="18"/>
                          <w:szCs w:val="18"/>
                        </w:rPr>
                        <w:t xml:space="preserve"> Kulbir Singh, Institute of Management Technology-Nagpur, India</w:t>
                      </w:r>
                      <w:r>
                        <w:rPr>
                          <w:rFonts w:ascii="Arial" w:hAnsi="Arial" w:cs="Arial"/>
                          <w:sz w:val="18"/>
                          <w:szCs w:val="18"/>
                        </w:rPr>
                        <w:t>:</w:t>
                      </w:r>
                      <w:r w:rsidRPr="00FA759D">
                        <w:rPr>
                          <w:rFonts w:ascii="Arial" w:hAnsi="Arial" w:cs="Arial"/>
                          <w:sz w:val="18"/>
                          <w:szCs w:val="18"/>
                        </w:rPr>
                        <w:t xml:space="preserve"> and Prof</w:t>
                      </w:r>
                      <w:r>
                        <w:rPr>
                          <w:rFonts w:ascii="Arial" w:hAnsi="Arial" w:cs="Arial"/>
                          <w:sz w:val="18"/>
                          <w:szCs w:val="18"/>
                        </w:rPr>
                        <w:t>essor</w:t>
                      </w:r>
                      <w:r w:rsidRPr="00FA759D">
                        <w:rPr>
                          <w:rFonts w:ascii="Arial" w:hAnsi="Arial" w:cs="Arial"/>
                          <w:sz w:val="18"/>
                          <w:szCs w:val="18"/>
                        </w:rPr>
                        <w:t xml:space="preserve"> </w:t>
                      </w:r>
                      <w:r>
                        <w:rPr>
                          <w:rFonts w:ascii="Arial" w:hAnsi="Arial" w:cs="Arial"/>
                          <w:sz w:val="18"/>
                          <w:szCs w:val="18"/>
                        </w:rPr>
                        <w:t xml:space="preserve">S. R. </w:t>
                      </w:r>
                      <w:r w:rsidRPr="00FA759D">
                        <w:rPr>
                          <w:rFonts w:ascii="Arial" w:hAnsi="Arial" w:cs="Arial"/>
                          <w:sz w:val="18"/>
                          <w:szCs w:val="18"/>
                        </w:rPr>
                        <w:t xml:space="preserve">Vishwanath, School of Management </w:t>
                      </w:r>
                      <w:r>
                        <w:rPr>
                          <w:rFonts w:ascii="Arial" w:hAnsi="Arial" w:cs="Arial"/>
                          <w:sz w:val="18"/>
                          <w:szCs w:val="18"/>
                        </w:rPr>
                        <w:t>and</w:t>
                      </w:r>
                      <w:r w:rsidRPr="00FA759D">
                        <w:rPr>
                          <w:rFonts w:ascii="Arial" w:hAnsi="Arial" w:cs="Arial"/>
                          <w:sz w:val="18"/>
                          <w:szCs w:val="18"/>
                        </w:rPr>
                        <w:t xml:space="preserve"> Entrepreneurship, Shiv Nadar University, Noida, India</w:t>
                      </w:r>
                      <w:r>
                        <w:rPr>
                          <w:rFonts w:ascii="Arial" w:hAnsi="Arial" w:cs="Arial"/>
                          <w:sz w:val="18"/>
                          <w:szCs w:val="18"/>
                        </w:rPr>
                        <w:t>.</w:t>
                      </w:r>
                    </w:p>
                  </w:txbxContent>
                </v:textbox>
                <w10:wrap anchorx="margin"/>
              </v:shape>
            </w:pict>
          </mc:Fallback>
        </mc:AlternateContent>
      </w:r>
    </w:p>
    <w:p w:rsidR="00E14173" w:rsidRPr="00E14173" w:rsidRDefault="00E14173" w:rsidP="00FF3444">
      <w:pPr>
        <w:pStyle w:val="BodyTextMain"/>
        <w:rPr>
          <w:color w:val="0C355D"/>
          <w:lang w:val="en-GB"/>
        </w:rPr>
      </w:pPr>
    </w:p>
    <w:p w:rsidR="00E14173" w:rsidRPr="00E14173" w:rsidRDefault="00E14173" w:rsidP="00FF3444">
      <w:pPr>
        <w:pStyle w:val="BodyTextMain"/>
        <w:rPr>
          <w:color w:val="0C355D"/>
          <w:lang w:val="en-GB"/>
        </w:rPr>
      </w:pPr>
    </w:p>
    <w:p w:rsidR="00E14173" w:rsidRPr="00E14173" w:rsidRDefault="00E14173" w:rsidP="00E14173">
      <w:pPr>
        <w:spacing w:after="160" w:line="259" w:lineRule="auto"/>
        <w:rPr>
          <w:rFonts w:ascii="Arial" w:hAnsi="Arial" w:cs="Arial"/>
          <w:b/>
          <w:strike/>
          <w:color w:val="0C355D"/>
          <w:sz w:val="24"/>
          <w:szCs w:val="24"/>
          <w:lang w:val="en-GB"/>
        </w:rPr>
      </w:pPr>
      <w:r w:rsidRPr="00E14173">
        <w:rPr>
          <w:rFonts w:ascii="Arial" w:hAnsi="Arial" w:cs="Arial"/>
          <w:b/>
          <w:strike/>
          <w:color w:val="0C355D"/>
          <w:sz w:val="24"/>
          <w:szCs w:val="24"/>
          <w:lang w:val="en-GB"/>
        </w:rPr>
        <w:br w:type="page"/>
      </w:r>
    </w:p>
    <w:p w:rsidR="00E14173" w:rsidRPr="00E14173" w:rsidRDefault="00E14173" w:rsidP="00FF3444">
      <w:pPr>
        <w:pStyle w:val="Casehead1"/>
        <w:jc w:val="center"/>
        <w:rPr>
          <w:lang w:val="en-GB"/>
        </w:rPr>
      </w:pPr>
      <w:r w:rsidRPr="00E14173">
        <w:rPr>
          <w:lang w:val="en-GB"/>
        </w:rPr>
        <w:lastRenderedPageBreak/>
        <w:t>Exhibit 1a: B</w:t>
      </w:r>
      <w:bookmarkStart w:id="0" w:name="_GoBack"/>
      <w:bookmarkEnd w:id="0"/>
      <w:r w:rsidRPr="00E14173">
        <w:rPr>
          <w:lang w:val="en-GB"/>
        </w:rPr>
        <w:t>alance Sheet (in ₹10 million)</w:t>
      </w:r>
    </w:p>
    <w:p w:rsidR="00E14173" w:rsidRPr="00E14173" w:rsidRDefault="00E14173" w:rsidP="00FF3444">
      <w:pPr>
        <w:pStyle w:val="BodyTextMain"/>
        <w:rPr>
          <w:lang w:val="en-GB"/>
        </w:rPr>
      </w:pPr>
    </w:p>
    <w:tbl>
      <w:tblPr>
        <w:tblW w:w="9169" w:type="dxa"/>
        <w:jc w:val="center"/>
        <w:tblInd w:w="-571" w:type="dxa"/>
        <w:tblLook w:val="04A0" w:firstRow="1" w:lastRow="0" w:firstColumn="1" w:lastColumn="0" w:noHBand="0" w:noVBand="1"/>
      </w:tblPr>
      <w:tblGrid>
        <w:gridCol w:w="3236"/>
        <w:gridCol w:w="847"/>
        <w:gridCol w:w="847"/>
        <w:gridCol w:w="847"/>
        <w:gridCol w:w="847"/>
        <w:gridCol w:w="847"/>
        <w:gridCol w:w="847"/>
        <w:gridCol w:w="851"/>
      </w:tblGrid>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173" w:rsidRPr="00F167CC" w:rsidRDefault="00F167CC" w:rsidP="00E14173">
            <w:pPr>
              <w:rPr>
                <w:rFonts w:ascii="Arial" w:hAnsi="Arial" w:cs="Arial"/>
                <w:sz w:val="18"/>
                <w:szCs w:val="18"/>
                <w:lang w:val="en-GB"/>
              </w:rPr>
            </w:pPr>
            <w:r w:rsidRPr="00F167CC">
              <w:rPr>
                <w:rFonts w:ascii="Arial" w:hAnsi="Arial" w:cs="Arial"/>
                <w:b/>
                <w:bCs/>
                <w:sz w:val="18"/>
                <w:szCs w:val="18"/>
                <w:lang w:val="en-GB"/>
              </w:rPr>
              <w:t>SOURCES OF FUNDS</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rsidR="00E14173" w:rsidRPr="00F167CC" w:rsidRDefault="00E14173" w:rsidP="00E14173">
            <w:pPr>
              <w:ind w:left="-70"/>
              <w:jc w:val="center"/>
              <w:rPr>
                <w:rFonts w:ascii="Arial" w:hAnsi="Arial" w:cs="Arial"/>
                <w:b/>
                <w:bCs/>
                <w:sz w:val="18"/>
                <w:szCs w:val="18"/>
                <w:lang w:val="en-GB"/>
              </w:rPr>
            </w:pPr>
            <w:r w:rsidRPr="00F167CC">
              <w:rPr>
                <w:rFonts w:ascii="Arial" w:hAnsi="Arial" w:cs="Arial"/>
                <w:b/>
                <w:bCs/>
                <w:sz w:val="18"/>
                <w:szCs w:val="18"/>
                <w:lang w:val="en-GB"/>
              </w:rPr>
              <w:t>2003–2012</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rsidR="00E14173" w:rsidRPr="00F167CC" w:rsidRDefault="00E14173" w:rsidP="00E14173">
            <w:pPr>
              <w:ind w:left="-70"/>
              <w:jc w:val="center"/>
              <w:rPr>
                <w:rFonts w:ascii="Arial" w:hAnsi="Arial" w:cs="Arial"/>
                <w:b/>
                <w:bCs/>
                <w:sz w:val="18"/>
                <w:szCs w:val="18"/>
                <w:lang w:val="en-GB"/>
              </w:rPr>
            </w:pPr>
            <w:r w:rsidRPr="00F167CC">
              <w:rPr>
                <w:rFonts w:ascii="Arial" w:hAnsi="Arial" w:cs="Arial"/>
                <w:b/>
                <w:bCs/>
                <w:sz w:val="18"/>
                <w:szCs w:val="18"/>
                <w:lang w:val="en-GB"/>
              </w:rPr>
              <w:t>2003–2011</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rsidR="00E14173" w:rsidRPr="00F167CC" w:rsidRDefault="00E14173" w:rsidP="00E14173">
            <w:pPr>
              <w:ind w:left="-70"/>
              <w:jc w:val="center"/>
              <w:rPr>
                <w:rFonts w:ascii="Arial" w:hAnsi="Arial" w:cs="Arial"/>
                <w:b/>
                <w:bCs/>
                <w:sz w:val="18"/>
                <w:szCs w:val="18"/>
                <w:lang w:val="en-GB"/>
              </w:rPr>
            </w:pPr>
            <w:r w:rsidRPr="00F167CC">
              <w:rPr>
                <w:rFonts w:ascii="Arial" w:hAnsi="Arial" w:cs="Arial"/>
                <w:b/>
                <w:bCs/>
                <w:sz w:val="18"/>
                <w:szCs w:val="18"/>
                <w:lang w:val="en-GB"/>
              </w:rPr>
              <w:t>2003–2010</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rsidR="00E14173" w:rsidRPr="00F167CC" w:rsidRDefault="00E14173" w:rsidP="00E14173">
            <w:pPr>
              <w:ind w:left="-70"/>
              <w:jc w:val="center"/>
              <w:rPr>
                <w:rFonts w:ascii="Arial" w:hAnsi="Arial" w:cs="Arial"/>
                <w:b/>
                <w:bCs/>
                <w:sz w:val="18"/>
                <w:szCs w:val="18"/>
                <w:lang w:val="en-GB"/>
              </w:rPr>
            </w:pPr>
            <w:r w:rsidRPr="00F167CC">
              <w:rPr>
                <w:rFonts w:ascii="Arial" w:hAnsi="Arial" w:cs="Arial"/>
                <w:b/>
                <w:bCs/>
                <w:sz w:val="18"/>
                <w:szCs w:val="18"/>
                <w:lang w:val="en-GB"/>
              </w:rPr>
              <w:t>2003–2009</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rsidR="00E14173" w:rsidRPr="00F167CC" w:rsidRDefault="00E14173" w:rsidP="00E14173">
            <w:pPr>
              <w:ind w:left="-70"/>
              <w:jc w:val="center"/>
              <w:rPr>
                <w:rFonts w:ascii="Arial" w:hAnsi="Arial" w:cs="Arial"/>
                <w:b/>
                <w:bCs/>
                <w:sz w:val="18"/>
                <w:szCs w:val="18"/>
                <w:lang w:val="en-GB"/>
              </w:rPr>
            </w:pPr>
            <w:r w:rsidRPr="00F167CC">
              <w:rPr>
                <w:rFonts w:ascii="Arial" w:hAnsi="Arial" w:cs="Arial"/>
                <w:b/>
                <w:bCs/>
                <w:sz w:val="18"/>
                <w:szCs w:val="18"/>
                <w:lang w:val="en-GB"/>
              </w:rPr>
              <w:t>2003–2008</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rsidR="00E14173" w:rsidRPr="00F167CC" w:rsidRDefault="00E14173" w:rsidP="00E14173">
            <w:pPr>
              <w:ind w:left="-70"/>
              <w:jc w:val="center"/>
              <w:rPr>
                <w:rFonts w:ascii="Arial" w:hAnsi="Arial" w:cs="Arial"/>
                <w:b/>
                <w:bCs/>
                <w:sz w:val="18"/>
                <w:szCs w:val="18"/>
                <w:lang w:val="en-GB"/>
              </w:rPr>
            </w:pPr>
            <w:r w:rsidRPr="00F167CC">
              <w:rPr>
                <w:rFonts w:ascii="Arial" w:hAnsi="Arial" w:cs="Arial"/>
                <w:b/>
                <w:bCs/>
                <w:sz w:val="18"/>
                <w:szCs w:val="18"/>
                <w:lang w:val="en-GB"/>
              </w:rPr>
              <w:t>2003–2007</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E14173" w:rsidRPr="00F167CC" w:rsidRDefault="00E14173" w:rsidP="00E14173">
            <w:pPr>
              <w:ind w:left="-70"/>
              <w:jc w:val="center"/>
              <w:rPr>
                <w:rFonts w:ascii="Arial" w:hAnsi="Arial" w:cs="Arial"/>
                <w:b/>
                <w:bCs/>
                <w:sz w:val="18"/>
                <w:szCs w:val="18"/>
                <w:lang w:val="en-GB"/>
              </w:rPr>
            </w:pPr>
            <w:r w:rsidRPr="00F167CC">
              <w:rPr>
                <w:rFonts w:ascii="Arial" w:hAnsi="Arial" w:cs="Arial"/>
                <w:b/>
                <w:bCs/>
                <w:sz w:val="18"/>
                <w:szCs w:val="18"/>
                <w:lang w:val="en-GB"/>
              </w:rPr>
              <w:t>2003–2006</w:t>
            </w:r>
          </w:p>
        </w:tc>
      </w:tr>
      <w:tr w:rsidR="0096474B"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Share Capital</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58.44</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61.52</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61.52</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61.71</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68.91</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68.91</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65.55</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Reserves Total</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1,788.26</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1,578.48</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1,206.48</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914.77</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902.65</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804.88</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531.22</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Total Shareholders’ Funds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1,846.70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1,640.00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1,268.00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976.48</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971.56</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873.79</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596.77</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Secured Loans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532.99</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460.53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750.20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750.15</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425.5</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483.41</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602.46</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Unsecured Loans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461.24</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351.63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189.15</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134.68</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73.14</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0.23</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1.38</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Total Debt</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994.23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812.16</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939.35</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884.83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498.64</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483.64</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603.84</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Other Liabilities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10.40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10.34</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0.00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0.00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0.00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0.00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0.00</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hanging="90"/>
              <w:rPr>
                <w:rFonts w:ascii="Arial" w:hAnsi="Arial" w:cs="Arial"/>
                <w:b/>
                <w:bCs/>
                <w:sz w:val="18"/>
                <w:szCs w:val="18"/>
                <w:lang w:val="en-GB"/>
              </w:rPr>
            </w:pPr>
            <w:r w:rsidRPr="00F167CC">
              <w:rPr>
                <w:rFonts w:ascii="Arial" w:hAnsi="Arial" w:cs="Arial"/>
                <w:b/>
                <w:bCs/>
                <w:sz w:val="18"/>
                <w:szCs w:val="18"/>
                <w:lang w:val="en-GB"/>
              </w:rPr>
              <w:t>Total Liabilities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2,851.33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2,462.5</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2,207.35</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1,861.31</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1,470.20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1,357.43</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1,200.61</w:t>
            </w:r>
          </w:p>
        </w:tc>
      </w:tr>
      <w:tr w:rsidR="006B4A3F"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b/>
                <w:bCs/>
                <w:sz w:val="18"/>
                <w:szCs w:val="18"/>
                <w:lang w:val="en-GB"/>
              </w:rPr>
            </w:pPr>
            <w:r w:rsidRPr="00F167CC">
              <w:rPr>
                <w:rFonts w:ascii="Arial" w:hAnsi="Arial" w:cs="Arial"/>
                <w:b/>
                <w:bCs/>
                <w:sz w:val="18"/>
                <w:szCs w:val="18"/>
                <w:lang w:val="en-GB"/>
              </w:rPr>
              <w:t>APPLICATION OF FUNDS</w:t>
            </w:r>
          </w:p>
        </w:tc>
        <w:tc>
          <w:tcPr>
            <w:tcW w:w="593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center"/>
              <w:rPr>
                <w:rFonts w:ascii="Arial" w:hAnsi="Arial" w:cs="Arial"/>
                <w:sz w:val="18"/>
                <w:szCs w:val="18"/>
                <w:lang w:val="en-GB"/>
              </w:rPr>
            </w:pP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Gross Block</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3,094.31</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2,886.99</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2,707.22</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2,187.97</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1,865.86</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1,691.99</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1,418.66</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Less: Accumulated Depreciation</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1,233.53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1,080.62</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935.48</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808.32</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719.49</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644.05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566.92</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Net Block</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1,860.78</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1,806.37</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1,771.74</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1,379.65</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1,146.37</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1,047.94</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851.74</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Capital Work in Progress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414.26</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113.07</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127.07</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280.80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89.30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114.50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245.50</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Investments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218.70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201.90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164.62</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133.60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147.53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99.07</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96.07</w:t>
            </w:r>
          </w:p>
        </w:tc>
      </w:tr>
      <w:tr w:rsidR="006B4A3F"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Current Assets, Loans, and Advances</w:t>
            </w:r>
          </w:p>
        </w:tc>
        <w:tc>
          <w:tcPr>
            <w:tcW w:w="593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center"/>
              <w:rPr>
                <w:rFonts w:ascii="Arial" w:hAnsi="Arial" w:cs="Arial"/>
                <w:sz w:val="18"/>
                <w:szCs w:val="18"/>
                <w:lang w:val="en-GB"/>
              </w:rPr>
            </w:pP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Inventories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412.20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438.73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249.03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191.11</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228.60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184.09</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157.30</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Sundry Debtors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408.03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441.78</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340.23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230.24</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233.00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204.93</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120.07</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Cash and Bank</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129.21</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63.86</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65.35</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3.10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7.23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17.91</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8.43</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Loans and Advances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82.91</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114.16</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167.30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147.64</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93.87</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96.95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92.28</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Total Current Assets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1,032.35</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1,058.53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821.91</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572.09</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562.70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503.88</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378.08</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Less: Current Liabilities and Provisions</w:t>
            </w:r>
          </w:p>
        </w:tc>
        <w:tc>
          <w:tcPr>
            <w:tcW w:w="593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center"/>
              <w:rPr>
                <w:rFonts w:ascii="Arial" w:hAnsi="Arial" w:cs="Arial"/>
                <w:sz w:val="18"/>
                <w:szCs w:val="18"/>
                <w:lang w:val="en-GB"/>
              </w:rPr>
            </w:pP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Current Liabilities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542.48</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559.33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447.39</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316.40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297.82</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233.36</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217.94</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Provisions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13.40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9.07</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24.69</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15.13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29.45</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47.38</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44.79</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Total Current Liabilities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555.88</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568.40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472.08</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331.53</w:t>
            </w:r>
          </w:p>
        </w:tc>
        <w:tc>
          <w:tcPr>
            <w:tcW w:w="847" w:type="dxa"/>
            <w:tcBorders>
              <w:top w:val="single" w:sz="4" w:space="0" w:color="auto"/>
              <w:left w:val="single" w:sz="4" w:space="0" w:color="auto"/>
              <w:bottom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327.27</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280.74</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262.73</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Net Current Assets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476.47</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490.13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349.83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240.56</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235.43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223.14</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115.35</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Deferred Tax Assets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8.42</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6.27</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5.01</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2.63</w:t>
            </w:r>
          </w:p>
        </w:tc>
        <w:tc>
          <w:tcPr>
            <w:tcW w:w="847" w:type="dxa"/>
            <w:tcBorders>
              <w:top w:val="single" w:sz="4" w:space="0" w:color="auto"/>
              <w:left w:val="single" w:sz="4" w:space="0" w:color="auto"/>
              <w:bottom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4.14</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3.30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5.13</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Deferred Tax Liability</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225.51</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215.69</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210.92</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175.93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152.57</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130.52</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113.18</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Net Deferred Tax</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−217.09</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−209.42</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−205.91</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−173.30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−148.43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−127.22</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−108.05</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sz w:val="18"/>
                <w:szCs w:val="18"/>
                <w:lang w:val="en-GB"/>
              </w:rPr>
            </w:pPr>
            <w:r w:rsidRPr="00F167CC">
              <w:rPr>
                <w:rFonts w:ascii="Arial" w:hAnsi="Arial" w:cs="Arial"/>
                <w:sz w:val="18"/>
                <w:szCs w:val="18"/>
                <w:lang w:val="en-GB"/>
              </w:rPr>
              <w:t>Other Assets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98.21</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60.45</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0.00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0.00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0.00</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0.00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0.00</w:t>
            </w:r>
          </w:p>
        </w:tc>
      </w:tr>
      <w:tr w:rsidR="00E14173" w:rsidRPr="00F167CC" w:rsidTr="0096474B">
        <w:trPr>
          <w:trHeight w:val="300"/>
          <w:jc w:val="center"/>
        </w:trPr>
        <w:tc>
          <w:tcPr>
            <w:tcW w:w="3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93"/>
              <w:rPr>
                <w:rFonts w:ascii="Arial" w:hAnsi="Arial" w:cs="Arial"/>
                <w:b/>
                <w:bCs/>
                <w:sz w:val="18"/>
                <w:szCs w:val="18"/>
                <w:lang w:val="en-GB"/>
              </w:rPr>
            </w:pPr>
            <w:r w:rsidRPr="00F167CC">
              <w:rPr>
                <w:rFonts w:ascii="Arial" w:hAnsi="Arial" w:cs="Arial"/>
                <w:b/>
                <w:bCs/>
                <w:sz w:val="18"/>
                <w:szCs w:val="18"/>
                <w:lang w:val="en-GB"/>
              </w:rPr>
              <w:t>Total Assets</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2,851.33</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2,462.5</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2,207.35</w:t>
            </w:r>
          </w:p>
        </w:tc>
        <w:tc>
          <w:tcPr>
            <w:tcW w:w="8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1,861.31</w:t>
            </w:r>
          </w:p>
        </w:tc>
        <w:tc>
          <w:tcPr>
            <w:tcW w:w="847" w:type="dxa"/>
            <w:tcBorders>
              <w:top w:val="single" w:sz="4" w:space="0" w:color="auto"/>
              <w:left w:val="single" w:sz="4" w:space="0" w:color="auto"/>
              <w:bottom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1,470.2</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1,357.43</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F167CC" w:rsidRDefault="00E14173" w:rsidP="00E14173">
            <w:pPr>
              <w:ind w:left="-70"/>
              <w:jc w:val="right"/>
              <w:rPr>
                <w:rFonts w:ascii="Arial" w:hAnsi="Arial" w:cs="Arial"/>
                <w:sz w:val="18"/>
                <w:szCs w:val="18"/>
                <w:lang w:val="en-GB"/>
              </w:rPr>
            </w:pPr>
            <w:r w:rsidRPr="00F167CC">
              <w:rPr>
                <w:rFonts w:ascii="Arial" w:hAnsi="Arial" w:cs="Arial"/>
                <w:sz w:val="18"/>
                <w:szCs w:val="18"/>
                <w:lang w:val="en-GB"/>
              </w:rPr>
              <w:t>1,200.61</w:t>
            </w:r>
          </w:p>
        </w:tc>
      </w:tr>
    </w:tbl>
    <w:p w:rsidR="00E14173" w:rsidRPr="00E14173" w:rsidRDefault="00E14173" w:rsidP="00E14173">
      <w:pPr>
        <w:tabs>
          <w:tab w:val="left" w:pos="-1440"/>
          <w:tab w:val="left" w:pos="-720"/>
          <w:tab w:val="left" w:pos="1"/>
          <w:tab w:val="right" w:pos="9000"/>
        </w:tabs>
        <w:jc w:val="both"/>
        <w:rPr>
          <w:rFonts w:ascii="Arial" w:hAnsi="Arial" w:cs="Arial"/>
          <w:iCs/>
          <w:sz w:val="17"/>
          <w:szCs w:val="17"/>
          <w:lang w:val="en-GB"/>
        </w:rPr>
      </w:pPr>
    </w:p>
    <w:p w:rsidR="00E14173" w:rsidRPr="00E14173" w:rsidRDefault="00E14173" w:rsidP="00E14173">
      <w:pPr>
        <w:tabs>
          <w:tab w:val="left" w:pos="-1440"/>
          <w:tab w:val="left" w:pos="-720"/>
          <w:tab w:val="left" w:pos="1"/>
          <w:tab w:val="right" w:pos="9000"/>
        </w:tabs>
        <w:jc w:val="both"/>
        <w:rPr>
          <w:rFonts w:ascii="Arial" w:hAnsi="Arial" w:cs="Arial"/>
          <w:iCs/>
          <w:sz w:val="17"/>
          <w:szCs w:val="17"/>
          <w:lang w:val="en-GB"/>
        </w:rPr>
      </w:pPr>
      <w:r w:rsidRPr="00E14173">
        <w:rPr>
          <w:rFonts w:ascii="Arial" w:hAnsi="Arial" w:cs="Arial"/>
          <w:iCs/>
          <w:sz w:val="17"/>
          <w:szCs w:val="17"/>
          <w:lang w:val="en-GB"/>
        </w:rPr>
        <w:t>Source: Prepared by the authors with information from the Capitaline Database, accessed July 8, 2015, www.capitaline.com.</w:t>
      </w:r>
    </w:p>
    <w:p w:rsidR="00E14173" w:rsidRPr="00E14173" w:rsidRDefault="00E14173" w:rsidP="00E14173">
      <w:pPr>
        <w:rPr>
          <w:color w:val="000000" w:themeColor="text1"/>
          <w:sz w:val="24"/>
          <w:szCs w:val="24"/>
          <w:lang w:val="en-GB"/>
        </w:rPr>
      </w:pPr>
      <w:r w:rsidRPr="00E14173">
        <w:rPr>
          <w:color w:val="000000" w:themeColor="text1"/>
          <w:sz w:val="24"/>
          <w:szCs w:val="24"/>
          <w:lang w:val="en-GB"/>
        </w:rPr>
        <w:br w:type="page"/>
      </w:r>
    </w:p>
    <w:p w:rsidR="00E14173" w:rsidRPr="00E14173" w:rsidRDefault="00E14173" w:rsidP="00FF3444">
      <w:pPr>
        <w:pStyle w:val="Casehead1"/>
        <w:jc w:val="center"/>
        <w:rPr>
          <w:lang w:val="en-GB"/>
        </w:rPr>
      </w:pPr>
      <w:r w:rsidRPr="00E14173">
        <w:rPr>
          <w:lang w:val="en-GB"/>
        </w:rPr>
        <w:lastRenderedPageBreak/>
        <w:t>Exhibit 1b: Income Statement (in ₹10 million)</w:t>
      </w:r>
    </w:p>
    <w:p w:rsidR="00E14173" w:rsidRPr="00E14173" w:rsidRDefault="00E14173" w:rsidP="00FF3444">
      <w:pPr>
        <w:pStyle w:val="BodyTextMain"/>
        <w:rPr>
          <w:lang w:val="en-GB"/>
        </w:rPr>
      </w:pPr>
    </w:p>
    <w:tbl>
      <w:tblPr>
        <w:tblW w:w="9364" w:type="dxa"/>
        <w:jc w:val="center"/>
        <w:tblInd w:w="-481" w:type="dxa"/>
        <w:tblLook w:val="04A0" w:firstRow="1" w:lastRow="0" w:firstColumn="1" w:lastColumn="0" w:noHBand="0" w:noVBand="1"/>
      </w:tblPr>
      <w:tblGrid>
        <w:gridCol w:w="2942"/>
        <w:gridCol w:w="917"/>
        <w:gridCol w:w="917"/>
        <w:gridCol w:w="917"/>
        <w:gridCol w:w="917"/>
        <w:gridCol w:w="917"/>
        <w:gridCol w:w="917"/>
        <w:gridCol w:w="920"/>
      </w:tblGrid>
      <w:tr w:rsidR="00E14173" w:rsidRPr="0096474B" w:rsidTr="0096474B">
        <w:trPr>
          <w:trHeight w:val="300"/>
          <w:jc w:val="center"/>
        </w:trPr>
        <w:tc>
          <w:tcPr>
            <w:tcW w:w="29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173" w:rsidRPr="0096474B" w:rsidRDefault="00E14173" w:rsidP="00E14173">
            <w:pPr>
              <w:rPr>
                <w:rFonts w:ascii="Arial" w:hAnsi="Arial" w:cs="Arial"/>
                <w:sz w:val="18"/>
                <w:szCs w:val="18"/>
                <w:lang w:val="en-GB"/>
              </w:rPr>
            </w:pPr>
            <w:r w:rsidRPr="0096474B">
              <w:rPr>
                <w:rFonts w:ascii="Arial" w:hAnsi="Arial" w:cs="Arial"/>
                <w:sz w:val="18"/>
                <w:szCs w:val="18"/>
                <w:lang w:val="en-GB"/>
              </w:rPr>
              <w:t> </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rsidR="00E14173" w:rsidRPr="0096474B" w:rsidRDefault="00E14173" w:rsidP="00E14173">
            <w:pPr>
              <w:ind w:left="-93"/>
              <w:jc w:val="center"/>
              <w:rPr>
                <w:rFonts w:ascii="Arial" w:hAnsi="Arial" w:cs="Arial"/>
                <w:b/>
                <w:bCs/>
                <w:sz w:val="18"/>
                <w:szCs w:val="18"/>
                <w:lang w:val="en-GB"/>
              </w:rPr>
            </w:pPr>
            <w:r w:rsidRPr="0096474B">
              <w:rPr>
                <w:rFonts w:ascii="Arial" w:hAnsi="Arial" w:cs="Arial"/>
                <w:b/>
                <w:bCs/>
                <w:sz w:val="18"/>
                <w:szCs w:val="18"/>
                <w:lang w:val="en-GB"/>
              </w:rPr>
              <w:t>2012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rsidR="00E14173" w:rsidRPr="0096474B" w:rsidRDefault="00E14173" w:rsidP="00E14173">
            <w:pPr>
              <w:ind w:left="-93"/>
              <w:jc w:val="center"/>
              <w:rPr>
                <w:rFonts w:ascii="Arial" w:hAnsi="Arial" w:cs="Arial"/>
                <w:b/>
                <w:bCs/>
                <w:sz w:val="18"/>
                <w:szCs w:val="18"/>
                <w:lang w:val="en-GB"/>
              </w:rPr>
            </w:pPr>
            <w:r w:rsidRPr="0096474B">
              <w:rPr>
                <w:rFonts w:ascii="Arial" w:hAnsi="Arial" w:cs="Arial"/>
                <w:b/>
                <w:bCs/>
                <w:sz w:val="18"/>
                <w:szCs w:val="18"/>
                <w:lang w:val="en-GB"/>
              </w:rPr>
              <w:t>2011</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rsidR="00E14173" w:rsidRPr="0096474B" w:rsidRDefault="00E14173" w:rsidP="00E14173">
            <w:pPr>
              <w:ind w:left="-93"/>
              <w:jc w:val="center"/>
              <w:rPr>
                <w:rFonts w:ascii="Arial" w:hAnsi="Arial" w:cs="Arial"/>
                <w:b/>
                <w:bCs/>
                <w:sz w:val="18"/>
                <w:szCs w:val="18"/>
                <w:lang w:val="en-GB"/>
              </w:rPr>
            </w:pPr>
            <w:r w:rsidRPr="0096474B">
              <w:rPr>
                <w:rFonts w:ascii="Arial" w:hAnsi="Arial" w:cs="Arial"/>
                <w:b/>
                <w:bCs/>
                <w:sz w:val="18"/>
                <w:szCs w:val="18"/>
                <w:lang w:val="en-GB"/>
              </w:rPr>
              <w:t>2010</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rsidR="00E14173" w:rsidRPr="0096474B" w:rsidRDefault="00E14173" w:rsidP="00E14173">
            <w:pPr>
              <w:ind w:left="-93"/>
              <w:jc w:val="center"/>
              <w:rPr>
                <w:rFonts w:ascii="Arial" w:hAnsi="Arial" w:cs="Arial"/>
                <w:b/>
                <w:bCs/>
                <w:sz w:val="18"/>
                <w:szCs w:val="18"/>
                <w:lang w:val="en-GB"/>
              </w:rPr>
            </w:pPr>
            <w:r w:rsidRPr="0096474B">
              <w:rPr>
                <w:rFonts w:ascii="Arial" w:hAnsi="Arial" w:cs="Arial"/>
                <w:b/>
                <w:bCs/>
                <w:sz w:val="18"/>
                <w:szCs w:val="18"/>
                <w:lang w:val="en-GB"/>
              </w:rPr>
              <w:t>2009</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rsidR="00E14173" w:rsidRPr="0096474B" w:rsidRDefault="00E14173" w:rsidP="00E14173">
            <w:pPr>
              <w:ind w:left="-93"/>
              <w:jc w:val="center"/>
              <w:rPr>
                <w:rFonts w:ascii="Arial" w:hAnsi="Arial" w:cs="Arial"/>
                <w:b/>
                <w:bCs/>
                <w:sz w:val="18"/>
                <w:szCs w:val="18"/>
                <w:lang w:val="en-GB"/>
              </w:rPr>
            </w:pPr>
            <w:r w:rsidRPr="0096474B">
              <w:rPr>
                <w:rFonts w:ascii="Arial" w:hAnsi="Arial" w:cs="Arial"/>
                <w:b/>
                <w:bCs/>
                <w:sz w:val="18"/>
                <w:szCs w:val="18"/>
                <w:lang w:val="en-GB"/>
              </w:rPr>
              <w:t>2008</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rsidR="00E14173" w:rsidRPr="0096474B" w:rsidRDefault="00E14173" w:rsidP="00E14173">
            <w:pPr>
              <w:ind w:left="-93"/>
              <w:jc w:val="center"/>
              <w:rPr>
                <w:rFonts w:ascii="Arial" w:hAnsi="Arial" w:cs="Arial"/>
                <w:b/>
                <w:bCs/>
                <w:sz w:val="18"/>
                <w:szCs w:val="18"/>
                <w:lang w:val="en-GB"/>
              </w:rPr>
            </w:pPr>
            <w:r w:rsidRPr="0096474B">
              <w:rPr>
                <w:rFonts w:ascii="Arial" w:hAnsi="Arial" w:cs="Arial"/>
                <w:b/>
                <w:bCs/>
                <w:sz w:val="18"/>
                <w:szCs w:val="18"/>
                <w:lang w:val="en-GB"/>
              </w:rPr>
              <w:t>2007</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E14173" w:rsidRPr="0096474B" w:rsidRDefault="00E14173" w:rsidP="00E14173">
            <w:pPr>
              <w:ind w:left="-93"/>
              <w:jc w:val="center"/>
              <w:rPr>
                <w:rFonts w:ascii="Arial" w:hAnsi="Arial" w:cs="Arial"/>
                <w:b/>
                <w:bCs/>
                <w:sz w:val="18"/>
                <w:szCs w:val="18"/>
                <w:lang w:val="en-GB"/>
              </w:rPr>
            </w:pPr>
            <w:r w:rsidRPr="0096474B">
              <w:rPr>
                <w:rFonts w:ascii="Arial" w:hAnsi="Arial" w:cs="Arial"/>
                <w:b/>
                <w:bCs/>
                <w:sz w:val="18"/>
                <w:szCs w:val="18"/>
                <w:lang w:val="en-GB"/>
              </w:rPr>
              <w:t>2006</w:t>
            </w:r>
          </w:p>
        </w:tc>
      </w:tr>
      <w:tr w:rsidR="0096474B" w:rsidRPr="0096474B" w:rsidTr="0096474B">
        <w:trPr>
          <w:trHeight w:val="300"/>
          <w:jc w:val="center"/>
        </w:trPr>
        <w:tc>
          <w:tcPr>
            <w:tcW w:w="2942" w:type="dxa"/>
            <w:tcBorders>
              <w:top w:val="nil"/>
              <w:left w:val="single" w:sz="4" w:space="0" w:color="auto"/>
              <w:bottom w:val="single" w:sz="4" w:space="0" w:color="auto"/>
            </w:tcBorders>
            <w:shd w:val="clear" w:color="auto" w:fill="auto"/>
            <w:noWrap/>
            <w:vAlign w:val="center"/>
            <w:hideMark/>
          </w:tcPr>
          <w:p w:rsidR="00E14173" w:rsidRPr="0096474B" w:rsidRDefault="00E14173" w:rsidP="00E14173">
            <w:pPr>
              <w:ind w:left="-93"/>
              <w:rPr>
                <w:rFonts w:ascii="Arial" w:hAnsi="Arial" w:cs="Arial"/>
                <w:b/>
                <w:bCs/>
                <w:sz w:val="18"/>
                <w:szCs w:val="18"/>
                <w:lang w:val="en-GB"/>
              </w:rPr>
            </w:pPr>
            <w:r w:rsidRPr="0096474B">
              <w:rPr>
                <w:rFonts w:ascii="Arial" w:hAnsi="Arial" w:cs="Arial"/>
                <w:b/>
                <w:bCs/>
                <w:sz w:val="18"/>
                <w:szCs w:val="18"/>
                <w:lang w:val="en-GB"/>
              </w:rPr>
              <w:t>INCOME</w:t>
            </w:r>
          </w:p>
        </w:tc>
        <w:tc>
          <w:tcPr>
            <w:tcW w:w="6422" w:type="dxa"/>
            <w:gridSpan w:val="7"/>
            <w:tcBorders>
              <w:top w:val="single" w:sz="4" w:space="0" w:color="auto"/>
              <w:bottom w:val="single" w:sz="4" w:space="0" w:color="auto"/>
              <w:right w:val="single" w:sz="4" w:space="0" w:color="auto"/>
            </w:tcBorders>
            <w:shd w:val="clear" w:color="auto" w:fill="auto"/>
            <w:noWrap/>
            <w:hideMark/>
          </w:tcPr>
          <w:p w:rsidR="00E14173" w:rsidRPr="0096474B" w:rsidRDefault="00E14173" w:rsidP="00E14173">
            <w:pPr>
              <w:rPr>
                <w:rFonts w:ascii="Arial" w:hAnsi="Arial" w:cs="Arial"/>
                <w:sz w:val="18"/>
                <w:szCs w:val="18"/>
                <w:lang w:val="en-GB"/>
              </w:rPr>
            </w:pPr>
            <w:r w:rsidRPr="0096474B">
              <w:rPr>
                <w:rFonts w:ascii="Arial" w:hAnsi="Arial" w:cs="Arial"/>
                <w:sz w:val="18"/>
                <w:szCs w:val="18"/>
                <w:lang w:val="en-GB"/>
              </w:rPr>
              <w:t> </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Sales Turnover</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3,790.73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3,344.57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2,344.32</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1,958.69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w:t>
            </w:r>
            <w:r w:rsidR="00A62944">
              <w:rPr>
                <w:rFonts w:ascii="Arial" w:hAnsi="Arial" w:cs="Arial"/>
                <w:sz w:val="18"/>
                <w:szCs w:val="18"/>
                <w:lang w:val="en-GB"/>
              </w:rPr>
              <w:t>,</w:t>
            </w:r>
            <w:r w:rsidRPr="0096474B">
              <w:rPr>
                <w:rFonts w:ascii="Arial" w:hAnsi="Arial" w:cs="Arial"/>
                <w:sz w:val="18"/>
                <w:szCs w:val="18"/>
                <w:lang w:val="en-GB"/>
              </w:rPr>
              <w:t>785</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1,963.37</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1,433.33</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Excise Duty</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260.48</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281.30</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163.24</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153.46</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169.67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161.38</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141.06</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Net Sales</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3,530.25</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3,063.27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2,181.08</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1,805.23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1,615.33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1,801.99</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1,292.27</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Other Income</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28.02</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43.37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68.16</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18.27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19.99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13.50</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11.72</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Stock Adjustments</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6.52</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44.80</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26.17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–32.96</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–8.53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29.38</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11.62</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b/>
                <w:bCs/>
                <w:sz w:val="18"/>
                <w:szCs w:val="18"/>
                <w:lang w:val="en-GB"/>
              </w:rPr>
            </w:pPr>
            <w:r w:rsidRPr="0096474B">
              <w:rPr>
                <w:rFonts w:ascii="Arial" w:hAnsi="Arial" w:cs="Arial"/>
                <w:b/>
                <w:bCs/>
                <w:sz w:val="18"/>
                <w:szCs w:val="18"/>
                <w:lang w:val="en-GB"/>
              </w:rPr>
              <w:t>Total Income</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3,564.79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3,151.44</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2,275.41</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1,790.54</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1,626.79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1,844.87</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1,315.61</w:t>
            </w:r>
          </w:p>
        </w:tc>
      </w:tr>
      <w:tr w:rsidR="00E14173" w:rsidRPr="0096474B" w:rsidTr="0096474B">
        <w:trPr>
          <w:trHeight w:val="300"/>
          <w:jc w:val="center"/>
        </w:trPr>
        <w:tc>
          <w:tcPr>
            <w:tcW w:w="2942" w:type="dxa"/>
            <w:tcBorders>
              <w:top w:val="nil"/>
              <w:left w:val="single" w:sz="4" w:space="0" w:color="auto"/>
              <w:bottom w:val="single" w:sz="4" w:space="0" w:color="auto"/>
            </w:tcBorders>
            <w:shd w:val="clear" w:color="auto" w:fill="auto"/>
            <w:noWrap/>
            <w:vAlign w:val="center"/>
            <w:hideMark/>
          </w:tcPr>
          <w:p w:rsidR="00E14173" w:rsidRPr="0096474B" w:rsidRDefault="00E14173" w:rsidP="00E14173">
            <w:pPr>
              <w:ind w:left="-93"/>
              <w:rPr>
                <w:rFonts w:ascii="Arial" w:hAnsi="Arial" w:cs="Arial"/>
                <w:b/>
                <w:bCs/>
                <w:sz w:val="18"/>
                <w:szCs w:val="18"/>
                <w:lang w:val="en-GB"/>
              </w:rPr>
            </w:pPr>
            <w:r w:rsidRPr="0096474B">
              <w:rPr>
                <w:rFonts w:ascii="Arial" w:hAnsi="Arial" w:cs="Arial"/>
                <w:b/>
                <w:bCs/>
                <w:sz w:val="18"/>
                <w:szCs w:val="18"/>
                <w:lang w:val="en-GB"/>
              </w:rPr>
              <w:t>EXPENDITURE</w:t>
            </w:r>
          </w:p>
        </w:tc>
        <w:tc>
          <w:tcPr>
            <w:tcW w:w="6422" w:type="dxa"/>
            <w:gridSpan w:val="7"/>
            <w:tcBorders>
              <w:top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 </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Raw Materials</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2,027.56</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1,650.54</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1,163.52</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927.4</w:t>
            </w:r>
            <w:r w:rsidR="00A62944">
              <w:rPr>
                <w:rFonts w:ascii="Arial" w:hAnsi="Arial" w:cs="Arial"/>
                <w:sz w:val="18"/>
                <w:szCs w:val="18"/>
                <w:lang w:val="en-GB"/>
              </w:rPr>
              <w:t>0</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907.49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882.00</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750.44</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Power and Fuel Cost</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267.00</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213.23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166.33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137.95</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139.99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143.99</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121.42</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Employee Cost</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153.40</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140.73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104.82</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86.43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75.55</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66.37</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53.18</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Other Manufacturing Expenses</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86.77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75.82</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63.49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51.73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50.17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46.88</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41.7</w:t>
            </w:r>
            <w:r w:rsidR="00A62944">
              <w:rPr>
                <w:rFonts w:ascii="Arial" w:hAnsi="Arial" w:cs="Arial"/>
                <w:sz w:val="18"/>
                <w:szCs w:val="18"/>
                <w:lang w:val="en-GB"/>
              </w:rPr>
              <w:t>0</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Selling and Administrative Expenses</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139.55</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113.01</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104.94</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94.95</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82.3</w:t>
            </w:r>
            <w:r w:rsidR="00A62944">
              <w:rPr>
                <w:rFonts w:ascii="Arial" w:hAnsi="Arial" w:cs="Arial"/>
                <w:sz w:val="18"/>
                <w:szCs w:val="18"/>
                <w:lang w:val="en-GB"/>
              </w:rPr>
              <w:t>0</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113.19</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58.03</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Miscellaneous Expenses</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58.88</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51.23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19.09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95.6</w:t>
            </w:r>
            <w:r w:rsidR="00A62944">
              <w:rPr>
                <w:rFonts w:ascii="Arial" w:hAnsi="Arial" w:cs="Arial"/>
                <w:sz w:val="18"/>
                <w:szCs w:val="18"/>
                <w:lang w:val="en-GB"/>
              </w:rPr>
              <w:t>0</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36.03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36.16</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30.28</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b/>
                <w:bCs/>
                <w:sz w:val="18"/>
                <w:szCs w:val="18"/>
                <w:lang w:val="en-GB"/>
              </w:rPr>
            </w:pPr>
            <w:r w:rsidRPr="0096474B">
              <w:rPr>
                <w:rFonts w:ascii="Arial" w:hAnsi="Arial" w:cs="Arial"/>
                <w:b/>
                <w:bCs/>
                <w:sz w:val="18"/>
                <w:szCs w:val="18"/>
                <w:lang w:val="en-GB"/>
              </w:rPr>
              <w:t>Total Expenditure</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2,733.16</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2,244.56</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1,622.19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1,394.06</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1,291.53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1,288.59</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1,055.05</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b/>
                <w:bCs/>
                <w:sz w:val="18"/>
                <w:szCs w:val="18"/>
                <w:lang w:val="en-GB"/>
              </w:rPr>
            </w:pPr>
            <w:r w:rsidRPr="0096474B">
              <w:rPr>
                <w:rFonts w:ascii="Arial" w:hAnsi="Arial" w:cs="Arial"/>
                <w:b/>
                <w:bCs/>
                <w:sz w:val="18"/>
                <w:szCs w:val="18"/>
                <w:lang w:val="en-GB"/>
              </w:rPr>
              <w:t>Operating Profit</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831.63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906.88</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653.22</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396.48</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335.26</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556.28</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260.56</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Interest</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104.09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77.69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68.05</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51.11</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36.07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36.40</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39.28</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Gross Profit</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727.54</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829.19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585.17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345.37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299.19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519.88</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221.28</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Depreciation</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161.68</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151.71</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131.26</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99.40</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96.72</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76.77</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62.85</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Profit Before Tax</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565.86</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677.48</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453.91</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245.97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202.47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443.11</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158.43</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Tax</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168.47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184.04</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119.65</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56.07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41.14</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134.87</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47.41</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Fringe Benefit Tax</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0.00</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0.00</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0.00</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1.75</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1.39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0.00</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0.00</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Deferred Tax</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10.01</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10.00</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24.84</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24.87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21.21</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19.17</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6.25</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Net Profit</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387.38</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483.44</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309.42</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163.28</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138.73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289.07</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104.77</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Extraordinary Items</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3.39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2.07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0.40</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–53.23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–15.64</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0.00</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0.00</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bCs/>
                <w:sz w:val="18"/>
                <w:szCs w:val="18"/>
                <w:lang w:val="en-GB"/>
              </w:rPr>
            </w:pPr>
            <w:r w:rsidRPr="0096474B">
              <w:rPr>
                <w:rFonts w:ascii="Arial" w:hAnsi="Arial" w:cs="Arial"/>
                <w:bCs/>
                <w:sz w:val="18"/>
                <w:szCs w:val="18"/>
                <w:lang w:val="en-GB"/>
              </w:rPr>
              <w:t>Adjusted Net Profit</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bCs/>
                <w:sz w:val="18"/>
                <w:szCs w:val="18"/>
                <w:lang w:val="en-GB"/>
              </w:rPr>
            </w:pPr>
            <w:r w:rsidRPr="0096474B">
              <w:rPr>
                <w:rFonts w:ascii="Arial" w:hAnsi="Arial" w:cs="Arial"/>
                <w:bCs/>
                <w:sz w:val="18"/>
                <w:szCs w:val="18"/>
                <w:lang w:val="en-GB"/>
              </w:rPr>
              <w:t>383.99</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bCs/>
                <w:sz w:val="18"/>
                <w:szCs w:val="18"/>
                <w:lang w:val="en-GB"/>
              </w:rPr>
            </w:pPr>
            <w:r w:rsidRPr="0096474B">
              <w:rPr>
                <w:rFonts w:ascii="Arial" w:hAnsi="Arial" w:cs="Arial"/>
                <w:bCs/>
                <w:sz w:val="18"/>
                <w:szCs w:val="18"/>
                <w:lang w:val="en-GB"/>
              </w:rPr>
              <w:t>481.37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bCs/>
                <w:sz w:val="18"/>
                <w:szCs w:val="18"/>
                <w:lang w:val="en-GB"/>
              </w:rPr>
            </w:pPr>
            <w:r w:rsidRPr="0096474B">
              <w:rPr>
                <w:rFonts w:ascii="Arial" w:hAnsi="Arial" w:cs="Arial"/>
                <w:bCs/>
                <w:sz w:val="18"/>
                <w:szCs w:val="18"/>
                <w:lang w:val="en-GB"/>
              </w:rPr>
              <w:t>309.02</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bCs/>
                <w:sz w:val="18"/>
                <w:szCs w:val="18"/>
                <w:lang w:val="en-GB"/>
              </w:rPr>
            </w:pPr>
            <w:r w:rsidRPr="0096474B">
              <w:rPr>
                <w:rFonts w:ascii="Arial" w:hAnsi="Arial" w:cs="Arial"/>
                <w:bCs/>
                <w:sz w:val="18"/>
                <w:szCs w:val="18"/>
                <w:lang w:val="en-GB"/>
              </w:rPr>
              <w:t>216.51</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bCs/>
                <w:sz w:val="18"/>
                <w:szCs w:val="18"/>
                <w:lang w:val="en-GB"/>
              </w:rPr>
            </w:pPr>
            <w:r w:rsidRPr="0096474B">
              <w:rPr>
                <w:rFonts w:ascii="Arial" w:hAnsi="Arial" w:cs="Arial"/>
                <w:bCs/>
                <w:sz w:val="18"/>
                <w:szCs w:val="18"/>
                <w:lang w:val="en-GB"/>
              </w:rPr>
              <w:t>154.37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bCs/>
                <w:sz w:val="18"/>
                <w:szCs w:val="18"/>
                <w:lang w:val="en-GB"/>
              </w:rPr>
            </w:pPr>
            <w:r w:rsidRPr="0096474B">
              <w:rPr>
                <w:rFonts w:ascii="Arial" w:hAnsi="Arial" w:cs="Arial"/>
                <w:bCs/>
                <w:sz w:val="18"/>
                <w:szCs w:val="18"/>
                <w:lang w:val="en-GB"/>
              </w:rPr>
              <w:t>289.07</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bCs/>
                <w:sz w:val="18"/>
                <w:szCs w:val="18"/>
                <w:lang w:val="en-GB"/>
              </w:rPr>
            </w:pPr>
            <w:r w:rsidRPr="0096474B">
              <w:rPr>
                <w:rFonts w:ascii="Arial" w:hAnsi="Arial" w:cs="Arial"/>
                <w:bCs/>
                <w:sz w:val="18"/>
                <w:szCs w:val="18"/>
                <w:lang w:val="en-GB"/>
              </w:rPr>
              <w:t>104.77</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Profit and Loss Balance Brought Forward</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931.56</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627.14</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482.07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442.20</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358.18</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145.96</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78.26</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Appropriations</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214.91</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179.02</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164.35</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123.41</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54.71</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76.85</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37.07</w:t>
            </w:r>
          </w:p>
        </w:tc>
      </w:tr>
      <w:tr w:rsidR="00E14173" w:rsidRPr="0096474B" w:rsidTr="0096474B">
        <w:trPr>
          <w:trHeight w:val="300"/>
          <w:jc w:val="center"/>
        </w:trPr>
        <w:tc>
          <w:tcPr>
            <w:tcW w:w="2942" w:type="dxa"/>
            <w:tcBorders>
              <w:top w:val="nil"/>
              <w:left w:val="single" w:sz="4" w:space="0" w:color="auto"/>
              <w:bottom w:val="single" w:sz="4" w:space="0" w:color="auto"/>
              <w:right w:val="single" w:sz="4" w:space="0" w:color="auto"/>
            </w:tcBorders>
            <w:shd w:val="clear" w:color="auto" w:fill="auto"/>
            <w:noWrap/>
            <w:vAlign w:val="center"/>
            <w:hideMark/>
          </w:tcPr>
          <w:p w:rsidR="00E14173" w:rsidRPr="0096474B" w:rsidRDefault="00E14173" w:rsidP="00E14173">
            <w:pPr>
              <w:ind w:left="-93"/>
              <w:rPr>
                <w:rFonts w:ascii="Arial" w:hAnsi="Arial" w:cs="Arial"/>
                <w:sz w:val="18"/>
                <w:szCs w:val="18"/>
                <w:lang w:val="en-GB"/>
              </w:rPr>
            </w:pPr>
            <w:r w:rsidRPr="0096474B">
              <w:rPr>
                <w:rFonts w:ascii="Arial" w:hAnsi="Arial" w:cs="Arial"/>
                <w:sz w:val="18"/>
                <w:szCs w:val="18"/>
                <w:lang w:val="en-GB"/>
              </w:rPr>
              <w:t>Profit and Loss Balance Carried Down</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1,104.03</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931.56</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627.14</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482.07</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442.20</w:t>
            </w:r>
          </w:p>
        </w:tc>
        <w:tc>
          <w:tcPr>
            <w:tcW w:w="917"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358.18</w:t>
            </w:r>
          </w:p>
        </w:tc>
        <w:tc>
          <w:tcPr>
            <w:tcW w:w="920" w:type="dxa"/>
            <w:tcBorders>
              <w:top w:val="nil"/>
              <w:left w:val="nil"/>
              <w:bottom w:val="single" w:sz="4" w:space="0" w:color="auto"/>
              <w:right w:val="single" w:sz="4" w:space="0" w:color="auto"/>
            </w:tcBorders>
            <w:shd w:val="clear" w:color="auto" w:fill="auto"/>
            <w:noWrap/>
            <w:vAlign w:val="center"/>
            <w:hideMark/>
          </w:tcPr>
          <w:p w:rsidR="00E14173" w:rsidRPr="0096474B" w:rsidRDefault="00E14173" w:rsidP="00E14173">
            <w:pPr>
              <w:jc w:val="right"/>
              <w:rPr>
                <w:rFonts w:ascii="Arial" w:hAnsi="Arial" w:cs="Arial"/>
                <w:sz w:val="18"/>
                <w:szCs w:val="18"/>
                <w:lang w:val="en-GB"/>
              </w:rPr>
            </w:pPr>
            <w:r w:rsidRPr="0096474B">
              <w:rPr>
                <w:rFonts w:ascii="Arial" w:hAnsi="Arial" w:cs="Arial"/>
                <w:sz w:val="18"/>
                <w:szCs w:val="18"/>
                <w:lang w:val="en-GB"/>
              </w:rPr>
              <w:t>145.96</w:t>
            </w:r>
          </w:p>
        </w:tc>
      </w:tr>
    </w:tbl>
    <w:p w:rsidR="00E14173" w:rsidRPr="00E14173" w:rsidRDefault="00E14173" w:rsidP="00E14173">
      <w:pPr>
        <w:tabs>
          <w:tab w:val="left" w:pos="-1440"/>
          <w:tab w:val="left" w:pos="-720"/>
          <w:tab w:val="left" w:pos="1"/>
          <w:tab w:val="right" w:pos="9000"/>
        </w:tabs>
        <w:jc w:val="both"/>
        <w:rPr>
          <w:rFonts w:ascii="Arial" w:hAnsi="Arial" w:cs="Arial"/>
          <w:iCs/>
          <w:sz w:val="17"/>
          <w:szCs w:val="17"/>
        </w:rPr>
      </w:pPr>
    </w:p>
    <w:p w:rsidR="00E14173" w:rsidRPr="00E14173" w:rsidRDefault="00E14173" w:rsidP="00E14173">
      <w:pPr>
        <w:tabs>
          <w:tab w:val="left" w:pos="-1440"/>
          <w:tab w:val="left" w:pos="-720"/>
          <w:tab w:val="left" w:pos="1"/>
          <w:tab w:val="right" w:pos="9000"/>
        </w:tabs>
        <w:jc w:val="both"/>
        <w:rPr>
          <w:rFonts w:ascii="Arial" w:hAnsi="Arial" w:cs="Arial"/>
          <w:iCs/>
          <w:sz w:val="17"/>
          <w:szCs w:val="17"/>
        </w:rPr>
      </w:pPr>
      <w:r w:rsidRPr="00E14173">
        <w:rPr>
          <w:rFonts w:ascii="Arial" w:hAnsi="Arial" w:cs="Arial"/>
          <w:iCs/>
          <w:sz w:val="17"/>
          <w:szCs w:val="17"/>
        </w:rPr>
        <w:t>Source: Prepared by the authors with information from the Capitaline Database, accessed July 8, 2015, www.capitaline.com.</w:t>
      </w:r>
    </w:p>
    <w:p w:rsidR="00E14173" w:rsidRPr="00E14173" w:rsidRDefault="00E14173" w:rsidP="00E14173">
      <w:pPr>
        <w:jc w:val="both"/>
        <w:rPr>
          <w:rFonts w:ascii="Arial" w:hAnsi="Arial" w:cs="Arial"/>
          <w:b/>
          <w:color w:val="000000" w:themeColor="text1"/>
          <w:lang w:val="en-GB" w:eastAsia="en-IN"/>
        </w:rPr>
      </w:pPr>
      <w:r w:rsidRPr="00E14173">
        <w:rPr>
          <w:rFonts w:ascii="Arial" w:hAnsi="Arial" w:cs="Arial"/>
          <w:strike/>
          <w:lang w:val="en-GB" w:eastAsia="en-IN"/>
        </w:rPr>
        <w:br w:type="page"/>
      </w:r>
    </w:p>
    <w:p w:rsidR="00E14173" w:rsidRPr="00E14173" w:rsidRDefault="00E14173" w:rsidP="00FF3444">
      <w:pPr>
        <w:pStyle w:val="Casehead1"/>
        <w:jc w:val="center"/>
        <w:rPr>
          <w:lang w:val="en-GB"/>
        </w:rPr>
      </w:pPr>
      <w:r w:rsidRPr="00E14173">
        <w:rPr>
          <w:lang w:val="en-GB"/>
        </w:rPr>
        <w:lastRenderedPageBreak/>
        <w:t>Exhibit 1c: Cash Flow Statement (in ₹10 million)</w:t>
      </w:r>
    </w:p>
    <w:p w:rsidR="00E14173" w:rsidRPr="00E14173" w:rsidRDefault="00E14173" w:rsidP="00FF3444">
      <w:pPr>
        <w:pStyle w:val="BodyTextMain"/>
        <w:rPr>
          <w:lang w:val="en-GB"/>
        </w:rPr>
      </w:pPr>
    </w:p>
    <w:tbl>
      <w:tblPr>
        <w:tblW w:w="9589" w:type="dxa"/>
        <w:jc w:val="center"/>
        <w:tblInd w:w="344" w:type="dxa"/>
        <w:tblLayout w:type="fixed"/>
        <w:tblLook w:val="04A0" w:firstRow="1" w:lastRow="0" w:firstColumn="1" w:lastColumn="0" w:noHBand="0" w:noVBand="1"/>
      </w:tblPr>
      <w:tblGrid>
        <w:gridCol w:w="4071"/>
        <w:gridCol w:w="810"/>
        <w:gridCol w:w="810"/>
        <w:gridCol w:w="810"/>
        <w:gridCol w:w="718"/>
        <w:gridCol w:w="810"/>
        <w:gridCol w:w="810"/>
        <w:gridCol w:w="750"/>
      </w:tblGrid>
      <w:tr w:rsidR="00E14173" w:rsidRPr="00E14173" w:rsidTr="00037A65">
        <w:trPr>
          <w:trHeight w:val="288"/>
          <w:jc w:val="center"/>
        </w:trPr>
        <w:tc>
          <w:tcPr>
            <w:tcW w:w="40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93"/>
              <w:rPr>
                <w:rFonts w:ascii="Arial" w:hAnsi="Arial" w:cs="Arial"/>
                <w:color w:val="000000" w:themeColor="text1"/>
                <w:sz w:val="18"/>
                <w:szCs w:val="18"/>
                <w:lang w:val="en-GB"/>
              </w:rPr>
            </w:pP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center"/>
              <w:rPr>
                <w:rFonts w:ascii="Arial" w:hAnsi="Arial" w:cs="Arial"/>
                <w:b/>
                <w:bCs/>
                <w:color w:val="000000" w:themeColor="text1"/>
                <w:sz w:val="18"/>
                <w:szCs w:val="18"/>
                <w:lang w:val="en-GB"/>
              </w:rPr>
            </w:pPr>
            <w:r w:rsidRPr="00E14173">
              <w:rPr>
                <w:rFonts w:ascii="Arial" w:hAnsi="Arial" w:cs="Arial"/>
                <w:b/>
                <w:bCs/>
                <w:color w:val="000000" w:themeColor="text1"/>
                <w:sz w:val="18"/>
                <w:szCs w:val="18"/>
                <w:lang w:val="en-GB"/>
              </w:rPr>
              <w:t>2012</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center"/>
              <w:rPr>
                <w:rFonts w:ascii="Arial" w:hAnsi="Arial" w:cs="Arial"/>
                <w:b/>
                <w:bCs/>
                <w:color w:val="000000" w:themeColor="text1"/>
                <w:sz w:val="18"/>
                <w:szCs w:val="18"/>
                <w:lang w:val="en-GB"/>
              </w:rPr>
            </w:pPr>
            <w:r w:rsidRPr="00E14173">
              <w:rPr>
                <w:rFonts w:ascii="Arial" w:hAnsi="Arial" w:cs="Arial"/>
                <w:b/>
                <w:bCs/>
                <w:color w:val="000000" w:themeColor="text1"/>
                <w:sz w:val="18"/>
                <w:szCs w:val="18"/>
                <w:lang w:val="en-GB"/>
              </w:rPr>
              <w:t>2011</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center"/>
              <w:rPr>
                <w:rFonts w:ascii="Arial" w:hAnsi="Arial" w:cs="Arial"/>
                <w:b/>
                <w:bCs/>
                <w:color w:val="000000" w:themeColor="text1"/>
                <w:sz w:val="18"/>
                <w:szCs w:val="18"/>
                <w:lang w:val="en-GB"/>
              </w:rPr>
            </w:pPr>
            <w:r w:rsidRPr="00E14173">
              <w:rPr>
                <w:rFonts w:ascii="Arial" w:hAnsi="Arial" w:cs="Arial"/>
                <w:b/>
                <w:bCs/>
                <w:color w:val="000000" w:themeColor="text1"/>
                <w:sz w:val="18"/>
                <w:szCs w:val="18"/>
                <w:lang w:val="en-GB"/>
              </w:rPr>
              <w:t>2010</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center"/>
              <w:rPr>
                <w:rFonts w:ascii="Arial" w:hAnsi="Arial" w:cs="Arial"/>
                <w:b/>
                <w:bCs/>
                <w:color w:val="000000" w:themeColor="text1"/>
                <w:sz w:val="18"/>
                <w:szCs w:val="18"/>
                <w:lang w:val="en-GB"/>
              </w:rPr>
            </w:pPr>
            <w:r w:rsidRPr="00E14173">
              <w:rPr>
                <w:rFonts w:ascii="Arial" w:hAnsi="Arial" w:cs="Arial"/>
                <w:b/>
                <w:bCs/>
                <w:color w:val="000000" w:themeColor="text1"/>
                <w:sz w:val="18"/>
                <w:szCs w:val="18"/>
                <w:lang w:val="en-GB"/>
              </w:rPr>
              <w:t>2009</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center"/>
              <w:rPr>
                <w:rFonts w:ascii="Arial" w:hAnsi="Arial" w:cs="Arial"/>
                <w:b/>
                <w:bCs/>
                <w:color w:val="000000" w:themeColor="text1"/>
                <w:sz w:val="18"/>
                <w:szCs w:val="18"/>
                <w:lang w:val="en-GB"/>
              </w:rPr>
            </w:pPr>
            <w:r w:rsidRPr="00E14173">
              <w:rPr>
                <w:rFonts w:ascii="Arial" w:hAnsi="Arial" w:cs="Arial"/>
                <w:b/>
                <w:bCs/>
                <w:color w:val="000000" w:themeColor="text1"/>
                <w:sz w:val="18"/>
                <w:szCs w:val="18"/>
                <w:lang w:val="en-GB"/>
              </w:rPr>
              <w:t>2008</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center"/>
              <w:rPr>
                <w:rFonts w:ascii="Arial" w:hAnsi="Arial" w:cs="Arial"/>
                <w:b/>
                <w:bCs/>
                <w:color w:val="000000" w:themeColor="text1"/>
                <w:sz w:val="18"/>
                <w:szCs w:val="18"/>
                <w:lang w:val="en-GB"/>
              </w:rPr>
            </w:pPr>
            <w:r w:rsidRPr="00E14173">
              <w:rPr>
                <w:rFonts w:ascii="Arial" w:hAnsi="Arial" w:cs="Arial"/>
                <w:b/>
                <w:bCs/>
                <w:color w:val="000000" w:themeColor="text1"/>
                <w:sz w:val="18"/>
                <w:szCs w:val="18"/>
                <w:lang w:val="en-GB"/>
              </w:rPr>
              <w:t>2007</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center"/>
              <w:rPr>
                <w:rFonts w:ascii="Arial" w:hAnsi="Arial" w:cs="Arial"/>
                <w:b/>
                <w:bCs/>
                <w:color w:val="000000" w:themeColor="text1"/>
                <w:sz w:val="18"/>
                <w:szCs w:val="18"/>
                <w:lang w:val="en-GB"/>
              </w:rPr>
            </w:pPr>
            <w:r w:rsidRPr="00E14173">
              <w:rPr>
                <w:rFonts w:ascii="Arial" w:hAnsi="Arial" w:cs="Arial"/>
                <w:b/>
                <w:bCs/>
                <w:color w:val="000000" w:themeColor="text1"/>
                <w:sz w:val="18"/>
                <w:szCs w:val="18"/>
                <w:lang w:val="en-GB"/>
              </w:rPr>
              <w:t>2006</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93"/>
              <w:rPr>
                <w:rFonts w:ascii="Arial" w:hAnsi="Arial" w:cs="Arial"/>
                <w:color w:val="000000" w:themeColor="text1"/>
                <w:sz w:val="18"/>
                <w:szCs w:val="18"/>
                <w:lang w:val="en-GB"/>
              </w:rPr>
            </w:pPr>
            <w:r w:rsidRPr="00E14173">
              <w:rPr>
                <w:rFonts w:ascii="Arial" w:hAnsi="Arial" w:cs="Arial"/>
                <w:color w:val="000000" w:themeColor="text1"/>
                <w:sz w:val="18"/>
                <w:szCs w:val="18"/>
                <w:lang w:val="en-GB"/>
              </w:rPr>
              <w:t>Cash and Cash Equivalents at Beginning of Year</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56.65</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18.40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3.10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7.74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17.91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8.43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9.08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93"/>
              <w:rPr>
                <w:rFonts w:ascii="Arial" w:hAnsi="Arial" w:cs="Arial"/>
                <w:b/>
                <w:bCs/>
                <w:i/>
                <w:iCs/>
                <w:color w:val="000000" w:themeColor="text1"/>
                <w:sz w:val="18"/>
                <w:szCs w:val="18"/>
                <w:lang w:val="en-GB"/>
              </w:rPr>
            </w:pPr>
            <w:r w:rsidRPr="00E14173">
              <w:rPr>
                <w:rFonts w:ascii="Arial" w:hAnsi="Arial" w:cs="Arial"/>
                <w:b/>
                <w:bCs/>
                <w:color w:val="000000" w:themeColor="text1"/>
                <w:sz w:val="18"/>
                <w:szCs w:val="18"/>
                <w:lang w:val="en-GB"/>
              </w:rPr>
              <w:t>Cash Flow from Operating Activities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93"/>
              <w:rPr>
                <w:rFonts w:ascii="Arial" w:hAnsi="Arial" w:cs="Arial"/>
                <w:color w:val="000000" w:themeColor="text1"/>
                <w:sz w:val="18"/>
                <w:szCs w:val="18"/>
                <w:lang w:val="en-GB"/>
              </w:rPr>
            </w:pPr>
            <w:r w:rsidRPr="00E14173">
              <w:rPr>
                <w:rFonts w:ascii="Arial" w:hAnsi="Arial" w:cs="Arial"/>
                <w:color w:val="000000" w:themeColor="text1"/>
                <w:sz w:val="18"/>
                <w:szCs w:val="18"/>
                <w:lang w:val="en-GB"/>
              </w:rPr>
              <w:t>Net Profit Before Tax and Extraordinary Items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565.86</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677.48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453.91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245.96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202.47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443.11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158.43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Adjustment for</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Depreciation</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161.68</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151.71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132.13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99.40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96.72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78.59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64.76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Interest (Net)</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102.08</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76.79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64.24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48.99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34.61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35.51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37.66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Dividend Received</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(13.48)</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(4.73)</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(0.84)</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(0.85)</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(2.58)</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(1.49)</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(0.11)</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P/L on Sales of Assets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(4.80)</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(0.05)</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(0.58)</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(0.70)</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0.38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0.49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0.23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P/L on Sales of Invest</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(0.10)</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(2.85)</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(2.01)</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(0.15)</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Provisions (Net)</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0.81</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6.13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0.66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0.65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1.31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2.01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9.97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P/L in Forex</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(5.68)</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(10.23)</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(46.32)</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81.10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21.11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16.74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4.02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Others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0.00</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(0.87)</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(1.81)</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(1.91)</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93"/>
              <w:rPr>
                <w:rFonts w:ascii="Arial" w:hAnsi="Arial" w:cs="Arial"/>
                <w:color w:val="000000" w:themeColor="text1"/>
                <w:sz w:val="18"/>
                <w:szCs w:val="18"/>
                <w:lang w:val="en-GB"/>
              </w:rPr>
            </w:pPr>
            <w:r w:rsidRPr="00E14173">
              <w:rPr>
                <w:rFonts w:ascii="Arial" w:hAnsi="Arial" w:cs="Arial"/>
                <w:color w:val="000000" w:themeColor="text1"/>
                <w:sz w:val="18"/>
                <w:szCs w:val="18"/>
                <w:lang w:val="en-GB"/>
              </w:rPr>
              <w:t>Total Adjustments (PBT and Extraordinary Items)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240.51</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216.77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148.42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226.58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151.40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130.04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114.62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105"/>
              <w:rPr>
                <w:rFonts w:ascii="Arial" w:hAnsi="Arial" w:cs="Arial"/>
                <w:color w:val="000000" w:themeColor="text1"/>
                <w:sz w:val="18"/>
                <w:szCs w:val="18"/>
                <w:lang w:val="en-GB"/>
              </w:rPr>
            </w:pPr>
            <w:r w:rsidRPr="00E14173">
              <w:rPr>
                <w:rFonts w:ascii="Arial" w:hAnsi="Arial" w:cs="Arial"/>
                <w:color w:val="000000" w:themeColor="text1"/>
                <w:sz w:val="18"/>
                <w:szCs w:val="18"/>
                <w:lang w:val="en-GB"/>
              </w:rPr>
              <w:t>Operating Profit Before WC Changes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806.37</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894.25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602.33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472.54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353.87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573.15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273.05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15"/>
              <w:rPr>
                <w:rFonts w:ascii="Arial" w:hAnsi="Arial" w:cs="Arial"/>
                <w:color w:val="000000" w:themeColor="text1"/>
                <w:sz w:val="18"/>
                <w:szCs w:val="18"/>
                <w:lang w:val="en-GB"/>
              </w:rPr>
            </w:pPr>
            <w:r w:rsidRPr="00E14173">
              <w:rPr>
                <w:rFonts w:ascii="Arial" w:hAnsi="Arial" w:cs="Arial"/>
                <w:color w:val="000000" w:themeColor="text1"/>
                <w:sz w:val="18"/>
                <w:szCs w:val="18"/>
                <w:lang w:val="en-GB"/>
              </w:rPr>
              <w:t>Adjustment for</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15"/>
              <w:rPr>
                <w:rFonts w:ascii="Arial" w:hAnsi="Arial" w:cs="Arial"/>
                <w:color w:val="000000" w:themeColor="text1"/>
                <w:sz w:val="18"/>
                <w:szCs w:val="18"/>
                <w:lang w:val="en-GB"/>
              </w:rPr>
            </w:pPr>
            <w:r w:rsidRPr="00E14173">
              <w:rPr>
                <w:rFonts w:ascii="Arial" w:hAnsi="Arial" w:cs="Arial"/>
                <w:color w:val="000000" w:themeColor="text1"/>
                <w:sz w:val="18"/>
                <w:szCs w:val="18"/>
                <w:lang w:val="en-GB"/>
              </w:rPr>
              <w:t>Trade and Other Receivables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33.44</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(113.05)</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(111.09)</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(6.74)</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(27.09)</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(90.62)</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(50.95)</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Inventories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26.34</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(190.96)</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(57.93)</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61.50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(44.51)</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(27.44)</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17.13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Trade Payables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(39.15)</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160.96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173.69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(73.24)</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9.65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16.42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(10.68)</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Loans and Advances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1.87</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9.68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Others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1.76</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2.11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93"/>
              <w:rPr>
                <w:rFonts w:ascii="Arial" w:hAnsi="Arial" w:cs="Arial"/>
                <w:color w:val="000000" w:themeColor="text1"/>
                <w:sz w:val="18"/>
                <w:szCs w:val="18"/>
                <w:lang w:val="en-GB"/>
              </w:rPr>
            </w:pPr>
            <w:r w:rsidRPr="00E14173">
              <w:rPr>
                <w:rFonts w:ascii="Arial" w:hAnsi="Arial" w:cs="Arial"/>
                <w:color w:val="000000" w:themeColor="text1"/>
                <w:sz w:val="18"/>
                <w:szCs w:val="18"/>
                <w:lang w:val="en-GB"/>
              </w:rPr>
              <w:t>Total (OP Before WC Changes)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24.26</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(131.26)</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4.67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(18.48)</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(61.95)</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(101.64)</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(44.50)</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93"/>
              <w:rPr>
                <w:rFonts w:ascii="Arial" w:hAnsi="Arial" w:cs="Arial"/>
                <w:color w:val="000000" w:themeColor="text1"/>
                <w:sz w:val="18"/>
                <w:szCs w:val="18"/>
                <w:lang w:val="en-GB"/>
              </w:rPr>
            </w:pPr>
            <w:r w:rsidRPr="00E14173">
              <w:rPr>
                <w:rFonts w:ascii="Arial" w:hAnsi="Arial" w:cs="Arial"/>
                <w:color w:val="000000" w:themeColor="text1"/>
                <w:sz w:val="18"/>
                <w:szCs w:val="18"/>
                <w:lang w:val="en-GB"/>
              </w:rPr>
              <w:t>Cash Generated from/(Used in) Operations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830.63</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762.99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607.00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454.06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291.92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471.51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228.55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Interest Paid (Net)</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0.00</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(35.51)</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(37.66)</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Direct Taxes Paid</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(165.18)</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(192.71)</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(112.55)</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(57.16)</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(63.69)</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(127.74)</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(45.31)</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Others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0.00</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16.02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(12.46)</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(0.37)</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(16.74)</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(4.02)</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Total Others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(165.18)</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(192.71)</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(96.53)</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(69.62)</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(64.06)</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(179.99)</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(86.99)</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Cash Flow Before Extraordinary Items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665.45</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570.28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510.47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384.44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227.86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291.52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141.56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Extraordinary Items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r>
      <w:tr w:rsidR="00E14173" w:rsidRPr="00E14173" w:rsidTr="00037A65">
        <w:trPr>
          <w:trHeight w:val="288"/>
          <w:jc w:val="center"/>
        </w:trPr>
        <w:tc>
          <w:tcPr>
            <w:tcW w:w="407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93"/>
              <w:rPr>
                <w:rFonts w:ascii="Arial" w:hAnsi="Arial" w:cs="Arial"/>
                <w:b/>
                <w:bCs/>
                <w:color w:val="000000" w:themeColor="text1"/>
                <w:sz w:val="18"/>
                <w:szCs w:val="18"/>
                <w:lang w:val="en-GB"/>
              </w:rPr>
            </w:pPr>
            <w:r w:rsidRPr="00E14173">
              <w:rPr>
                <w:rFonts w:ascii="Arial" w:hAnsi="Arial" w:cs="Arial"/>
                <w:b/>
                <w:bCs/>
                <w:color w:val="000000" w:themeColor="text1"/>
                <w:sz w:val="18"/>
                <w:szCs w:val="18"/>
                <w:lang w:val="en-GB"/>
              </w:rPr>
              <w:t>Net Cash from Operating Activities</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665.45</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570.28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510.47 </w:t>
            </w:r>
          </w:p>
        </w:tc>
        <w:tc>
          <w:tcPr>
            <w:tcW w:w="71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384.44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227.86 </w:t>
            </w:r>
          </w:p>
        </w:tc>
        <w:tc>
          <w:tcPr>
            <w:tcW w:w="81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291.52 </w:t>
            </w:r>
          </w:p>
        </w:tc>
        <w:tc>
          <w:tcPr>
            <w:tcW w:w="75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141.56 </w:t>
            </w:r>
          </w:p>
        </w:tc>
      </w:tr>
    </w:tbl>
    <w:p w:rsidR="00E14173" w:rsidRPr="00E14173" w:rsidRDefault="00E14173" w:rsidP="00FF3444">
      <w:pPr>
        <w:pStyle w:val="BodyTextMain"/>
        <w:rPr>
          <w:lang w:val="en-GB"/>
        </w:rPr>
      </w:pPr>
    </w:p>
    <w:p w:rsidR="00E14173" w:rsidRPr="00E14173" w:rsidRDefault="00E14173" w:rsidP="00FF3444">
      <w:pPr>
        <w:pStyle w:val="BodyTextMain"/>
        <w:rPr>
          <w:lang w:val="en-GB"/>
        </w:rPr>
      </w:pPr>
    </w:p>
    <w:p w:rsidR="00E14173" w:rsidRPr="00E14173" w:rsidRDefault="00E14173" w:rsidP="00E14173">
      <w:pPr>
        <w:spacing w:after="160" w:line="259" w:lineRule="auto"/>
        <w:rPr>
          <w:color w:val="000000" w:themeColor="text1"/>
          <w:lang w:val="en-GB"/>
        </w:rPr>
      </w:pPr>
      <w:r w:rsidRPr="00E14173">
        <w:rPr>
          <w:color w:val="000000" w:themeColor="text1"/>
          <w:lang w:val="en-GB"/>
        </w:rPr>
        <w:br w:type="page"/>
      </w:r>
    </w:p>
    <w:p w:rsidR="00E14173" w:rsidRPr="00E14173" w:rsidRDefault="00E14173" w:rsidP="00FF3444">
      <w:pPr>
        <w:pStyle w:val="Casehead1"/>
        <w:jc w:val="center"/>
        <w:rPr>
          <w:color w:val="000000" w:themeColor="text1"/>
          <w:lang w:val="en-GB"/>
        </w:rPr>
      </w:pPr>
      <w:r w:rsidRPr="00E14173">
        <w:rPr>
          <w:lang w:val="en-GB"/>
        </w:rPr>
        <w:lastRenderedPageBreak/>
        <w:t>Exhibit 1c (continued)</w:t>
      </w:r>
    </w:p>
    <w:p w:rsidR="00E14173" w:rsidRPr="00E14173" w:rsidRDefault="00E14173" w:rsidP="00FF3444">
      <w:pPr>
        <w:pStyle w:val="BodyTextMain"/>
        <w:rPr>
          <w:lang w:val="en-GB"/>
        </w:rPr>
      </w:pPr>
    </w:p>
    <w:tbl>
      <w:tblPr>
        <w:tblW w:w="9405" w:type="dxa"/>
        <w:jc w:val="center"/>
        <w:tblInd w:w="528" w:type="dxa"/>
        <w:tblLayout w:type="fixed"/>
        <w:tblLook w:val="04A0" w:firstRow="1" w:lastRow="0" w:firstColumn="1" w:lastColumn="0" w:noHBand="0" w:noVBand="1"/>
      </w:tblPr>
      <w:tblGrid>
        <w:gridCol w:w="3267"/>
        <w:gridCol w:w="954"/>
        <w:gridCol w:w="864"/>
        <w:gridCol w:w="864"/>
        <w:gridCol w:w="864"/>
        <w:gridCol w:w="864"/>
        <w:gridCol w:w="864"/>
        <w:gridCol w:w="864"/>
      </w:tblGrid>
      <w:tr w:rsidR="00E14173" w:rsidRPr="00E14173" w:rsidTr="0096474B">
        <w:trPr>
          <w:trHeight w:val="300"/>
          <w:jc w:val="center"/>
        </w:trPr>
        <w:tc>
          <w:tcPr>
            <w:tcW w:w="3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93"/>
              <w:rPr>
                <w:rFonts w:ascii="Arial" w:hAnsi="Arial" w:cs="Arial"/>
                <w:b/>
                <w:bCs/>
                <w:iCs/>
                <w:color w:val="000000" w:themeColor="text1"/>
                <w:sz w:val="18"/>
                <w:szCs w:val="18"/>
                <w:lang w:val="en-GB"/>
              </w:rPr>
            </w:pPr>
            <w:r w:rsidRPr="00E14173">
              <w:rPr>
                <w:rFonts w:ascii="Arial" w:hAnsi="Arial" w:cs="Arial"/>
                <w:b/>
                <w:bCs/>
                <w:iCs/>
                <w:color w:val="000000" w:themeColor="text1"/>
                <w:sz w:val="18"/>
                <w:szCs w:val="18"/>
                <w:lang w:val="en-GB"/>
              </w:rPr>
              <w:t>Cash Flow from Investing Activities</w:t>
            </w:r>
          </w:p>
        </w:tc>
        <w:tc>
          <w:tcPr>
            <w:tcW w:w="954"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center"/>
              <w:rPr>
                <w:rFonts w:ascii="Arial" w:hAnsi="Arial" w:cs="Arial"/>
                <w:color w:val="000000" w:themeColor="text1"/>
                <w:sz w:val="18"/>
                <w:szCs w:val="18"/>
                <w:lang w:val="en-GB"/>
              </w:rPr>
            </w:pP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b/>
                <w:color w:val="000000" w:themeColor="text1"/>
                <w:sz w:val="18"/>
                <w:szCs w:val="18"/>
                <w:lang w:val="en-GB"/>
              </w:rPr>
            </w:pPr>
            <w:r w:rsidRPr="00E14173">
              <w:rPr>
                <w:rFonts w:ascii="Arial" w:hAnsi="Arial" w:cs="Arial"/>
                <w:b/>
                <w:color w:val="000000" w:themeColor="text1"/>
                <w:sz w:val="18"/>
                <w:szCs w:val="18"/>
                <w:lang w:val="en-GB"/>
              </w:rPr>
              <w:t>Investment in Assets</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center"/>
              <w:rPr>
                <w:rFonts w:ascii="Arial" w:hAnsi="Arial" w:cs="Arial"/>
                <w:color w:val="000000" w:themeColor="text1"/>
                <w:sz w:val="18"/>
                <w:szCs w:val="18"/>
                <w:lang w:val="en-GB"/>
              </w:rPr>
            </w:pP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Purchased of Fixed Assets</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(495.37)</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(202.02)</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(356.39)</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(385.47)</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(173.87)</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(145.97)</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(334.33)</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Sale of Fixed Assets</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7.34</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1.69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2.47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1.37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1.02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0.50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Financial/Capital Investment </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Purchase of Investments</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(1,040.60)</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(882.76)</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(611.49)</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(479.10)</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(483.18)</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(330.99)</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(2.58)</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Sale of Investments</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1024.24</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861.25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646.55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495.28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434.86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328.16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5.01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Interest Received</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2.23</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3.11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3.81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1.41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1.46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Dividend Received</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13.48</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4.73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0.84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0.85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2.58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1.49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0.11 </w:t>
            </w:r>
          </w:p>
        </w:tc>
      </w:tr>
      <w:tr w:rsidR="00E14173" w:rsidRPr="00E14173" w:rsidTr="0096474B">
        <w:trPr>
          <w:trHeight w:val="300"/>
          <w:jc w:val="center"/>
        </w:trPr>
        <w:tc>
          <w:tcPr>
            <w:tcW w:w="3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Investment in Subsidiaries</w:t>
            </w:r>
          </w:p>
        </w:tc>
        <w:tc>
          <w:tcPr>
            <w:tcW w:w="954"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(0.44)</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(14.56)</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(65.41)</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15"/>
              <w:rPr>
                <w:rFonts w:ascii="Arial" w:hAnsi="Arial" w:cs="Arial"/>
                <w:color w:val="000000" w:themeColor="text1"/>
                <w:sz w:val="18"/>
                <w:szCs w:val="18"/>
                <w:lang w:val="en-GB"/>
              </w:rPr>
            </w:pPr>
            <w:r w:rsidRPr="00E14173">
              <w:rPr>
                <w:rFonts w:ascii="Arial" w:hAnsi="Arial" w:cs="Arial"/>
                <w:color w:val="000000" w:themeColor="text1"/>
                <w:sz w:val="18"/>
                <w:szCs w:val="18"/>
                <w:lang w:val="en-GB"/>
              </w:rPr>
              <w:t>Others</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1.86</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46.24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27.45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(71.57)</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25.46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93"/>
              <w:rPr>
                <w:rFonts w:ascii="Arial" w:hAnsi="Arial" w:cs="Arial"/>
                <w:b/>
                <w:bCs/>
                <w:color w:val="000000" w:themeColor="text1"/>
                <w:sz w:val="18"/>
                <w:szCs w:val="18"/>
                <w:lang w:val="en-GB"/>
              </w:rPr>
            </w:pPr>
            <w:r w:rsidRPr="00E14173">
              <w:rPr>
                <w:rFonts w:ascii="Arial" w:hAnsi="Arial" w:cs="Arial"/>
                <w:b/>
                <w:bCs/>
                <w:color w:val="000000" w:themeColor="text1"/>
                <w:sz w:val="18"/>
                <w:szCs w:val="18"/>
                <w:lang w:val="en-GB"/>
              </w:rPr>
              <w:t>Net Cash Used in Investing Activities</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(487.26)</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(183.01)</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(352.95)</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(436.13)</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(191.32)</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(146.29)</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(331.29)</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93"/>
              <w:rPr>
                <w:rFonts w:ascii="Arial" w:hAnsi="Arial" w:cs="Arial"/>
                <w:b/>
                <w:bCs/>
                <w:iCs/>
                <w:color w:val="000000" w:themeColor="text1"/>
                <w:sz w:val="18"/>
                <w:szCs w:val="18"/>
                <w:lang w:val="en-GB"/>
              </w:rPr>
            </w:pPr>
            <w:r w:rsidRPr="00E14173">
              <w:rPr>
                <w:rFonts w:ascii="Arial" w:hAnsi="Arial" w:cs="Arial"/>
                <w:b/>
                <w:bCs/>
                <w:iCs/>
                <w:color w:val="000000" w:themeColor="text1"/>
                <w:sz w:val="18"/>
                <w:szCs w:val="18"/>
                <w:lang w:val="en-GB"/>
              </w:rPr>
              <w:t>Cash Flow from Financing Activity Proceeds</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Proceeds from Issue of Shares (Including Share Premium)</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0.00</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25.82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2.87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Proceed</w:t>
            </w:r>
            <w:r w:rsidR="00A62944">
              <w:rPr>
                <w:rFonts w:ascii="Arial" w:hAnsi="Arial" w:cs="Arial"/>
                <w:color w:val="000000" w:themeColor="text1"/>
                <w:sz w:val="18"/>
                <w:szCs w:val="18"/>
                <w:lang w:val="en-GB"/>
              </w:rPr>
              <w:t>s</w:t>
            </w:r>
            <w:r w:rsidRPr="00E14173">
              <w:rPr>
                <w:rFonts w:ascii="Arial" w:hAnsi="Arial" w:cs="Arial"/>
                <w:color w:val="000000" w:themeColor="text1"/>
                <w:sz w:val="18"/>
                <w:szCs w:val="18"/>
                <w:lang w:val="en-GB"/>
              </w:rPr>
              <w:t xml:space="preserve"> from Other Long-Term Borrowings</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416.34</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144.90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261.40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200.00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223.22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Proceed</w:t>
            </w:r>
            <w:r w:rsidR="00A62944">
              <w:rPr>
                <w:rFonts w:ascii="Arial" w:hAnsi="Arial" w:cs="Arial"/>
                <w:color w:val="000000" w:themeColor="text1"/>
                <w:sz w:val="18"/>
                <w:szCs w:val="18"/>
                <w:lang w:val="en-GB"/>
              </w:rPr>
              <w:t>s</w:t>
            </w:r>
            <w:r w:rsidRPr="00E14173">
              <w:rPr>
                <w:rFonts w:ascii="Arial" w:hAnsi="Arial" w:cs="Arial"/>
                <w:color w:val="000000" w:themeColor="text1"/>
                <w:sz w:val="18"/>
                <w:szCs w:val="18"/>
                <w:lang w:val="en-GB"/>
              </w:rPr>
              <w:t xml:space="preserve"> from Short-Term Borrowings</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163.63</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44.83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118.32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84.09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25.52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93"/>
              <w:rPr>
                <w:rFonts w:ascii="Arial" w:hAnsi="Arial" w:cs="Arial"/>
                <w:color w:val="000000" w:themeColor="text1"/>
                <w:sz w:val="18"/>
                <w:szCs w:val="18"/>
                <w:lang w:val="en-GB"/>
              </w:rPr>
            </w:pPr>
            <w:r w:rsidRPr="00E14173">
              <w:rPr>
                <w:rFonts w:ascii="Arial" w:hAnsi="Arial" w:cs="Arial"/>
                <w:color w:val="000000" w:themeColor="text1"/>
                <w:sz w:val="18"/>
                <w:szCs w:val="18"/>
                <w:lang w:val="en-GB"/>
              </w:rPr>
              <w:t>Payments</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Of Long-Term Borrowings</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(419.61)</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(75.59)</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(106.69)</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(57.91)</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(40.28)</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(71.67)</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Of Short-Term Borrowings</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0.00</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(192.91)</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(231.65)</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(79.92)</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Dividend Paid</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(80.87)</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(125.27)</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(12.35)</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(47.74)</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(33.94)</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(46.51)</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(16.13)</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Interest Paid</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(88.81)</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(78.88)</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(84.44)</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(40.53)</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(33.64)</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0.00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Others</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(103.26)</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(21.27)</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(73.06)</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(76.31)</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(5.82)</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5.14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25.27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93"/>
              <w:rPr>
                <w:rFonts w:ascii="Arial" w:hAnsi="Arial" w:cs="Arial"/>
                <w:b/>
                <w:bCs/>
                <w:color w:val="000000" w:themeColor="text1"/>
                <w:sz w:val="18"/>
                <w:szCs w:val="18"/>
                <w:lang w:val="en-GB"/>
              </w:rPr>
            </w:pPr>
            <w:r w:rsidRPr="00E14173">
              <w:rPr>
                <w:rFonts w:ascii="Arial" w:hAnsi="Arial" w:cs="Arial"/>
                <w:b/>
                <w:bCs/>
                <w:color w:val="000000" w:themeColor="text1"/>
                <w:sz w:val="18"/>
                <w:szCs w:val="18"/>
                <w:lang w:val="en-GB"/>
              </w:rPr>
              <w:t>Net Cash Used in Financing Activities</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(112.58)</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(349.02)</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(95.27)</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47.05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(47.22)</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(135.75)</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189.08 </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A62944">
            <w:pPr>
              <w:rPr>
                <w:rFonts w:ascii="Arial" w:hAnsi="Arial" w:cs="Arial"/>
                <w:color w:val="000000" w:themeColor="text1"/>
                <w:sz w:val="18"/>
                <w:szCs w:val="18"/>
                <w:lang w:val="en-GB"/>
              </w:rPr>
            </w:pPr>
            <w:r w:rsidRPr="00E14173">
              <w:rPr>
                <w:rFonts w:ascii="Arial" w:hAnsi="Arial" w:cs="Arial"/>
                <w:color w:val="000000" w:themeColor="text1"/>
                <w:sz w:val="18"/>
                <w:szCs w:val="18"/>
                <w:lang w:val="en-GB"/>
              </w:rPr>
              <w:t>Net Income</w:t>
            </w:r>
            <w:r w:rsidR="00A62944">
              <w:rPr>
                <w:rFonts w:ascii="Arial" w:hAnsi="Arial" w:cs="Arial"/>
                <w:color w:val="000000" w:themeColor="text1"/>
                <w:sz w:val="18"/>
                <w:szCs w:val="18"/>
                <w:lang w:val="en-GB"/>
              </w:rPr>
              <w:t xml:space="preserve"> </w:t>
            </w:r>
            <w:r w:rsidRPr="00E14173">
              <w:rPr>
                <w:rFonts w:ascii="Arial" w:hAnsi="Arial" w:cs="Arial"/>
                <w:color w:val="000000" w:themeColor="text1"/>
                <w:sz w:val="18"/>
                <w:szCs w:val="18"/>
                <w:lang w:val="en-GB"/>
              </w:rPr>
              <w:t>(December) in Cash and Cash Equivalent</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65.61</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38.25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62.25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(4.64)</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(10.68)</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9.48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(0.65)</w:t>
            </w:r>
          </w:p>
        </w:tc>
      </w:tr>
      <w:tr w:rsidR="00E14173" w:rsidRPr="00E14173" w:rsidTr="0096474B">
        <w:trPr>
          <w:trHeight w:val="300"/>
          <w:jc w:val="center"/>
        </w:trPr>
        <w:tc>
          <w:tcPr>
            <w:tcW w:w="3267"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ind w:left="-93"/>
              <w:rPr>
                <w:rFonts w:ascii="Arial" w:hAnsi="Arial" w:cs="Arial"/>
                <w:b/>
                <w:color w:val="000000" w:themeColor="text1"/>
                <w:sz w:val="18"/>
                <w:szCs w:val="18"/>
                <w:lang w:val="en-GB"/>
              </w:rPr>
            </w:pPr>
            <w:r w:rsidRPr="00E14173">
              <w:rPr>
                <w:rFonts w:ascii="Arial" w:hAnsi="Arial" w:cs="Arial"/>
                <w:b/>
                <w:bCs/>
                <w:color w:val="000000" w:themeColor="text1"/>
                <w:sz w:val="18"/>
                <w:szCs w:val="18"/>
                <w:lang w:val="en-GB"/>
              </w:rPr>
              <w:t>Cash and Cash Equivalents at End of Year</w:t>
            </w:r>
          </w:p>
        </w:tc>
        <w:tc>
          <w:tcPr>
            <w:tcW w:w="95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122.26</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56.65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65.35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3.10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7.23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17.91 </w:t>
            </w:r>
          </w:p>
        </w:tc>
        <w:tc>
          <w:tcPr>
            <w:tcW w:w="864"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ind w:left="-108"/>
              <w:jc w:val="right"/>
              <w:rPr>
                <w:rFonts w:ascii="Arial" w:hAnsi="Arial" w:cs="Arial"/>
                <w:color w:val="000000" w:themeColor="text1"/>
                <w:sz w:val="18"/>
                <w:szCs w:val="18"/>
                <w:lang w:val="en-GB"/>
              </w:rPr>
            </w:pPr>
            <w:r w:rsidRPr="00E14173">
              <w:rPr>
                <w:rFonts w:ascii="Arial" w:hAnsi="Arial" w:cs="Arial"/>
                <w:color w:val="000000" w:themeColor="text1"/>
                <w:sz w:val="18"/>
                <w:szCs w:val="18"/>
                <w:lang w:val="en-GB"/>
              </w:rPr>
              <w:t xml:space="preserve">8.43 </w:t>
            </w:r>
          </w:p>
        </w:tc>
      </w:tr>
    </w:tbl>
    <w:p w:rsidR="00E14173" w:rsidRPr="00E14173" w:rsidRDefault="00E14173" w:rsidP="00E14173">
      <w:pPr>
        <w:tabs>
          <w:tab w:val="left" w:pos="-1440"/>
          <w:tab w:val="left" w:pos="-720"/>
          <w:tab w:val="left" w:pos="1"/>
          <w:tab w:val="right" w:pos="9000"/>
        </w:tabs>
        <w:jc w:val="both"/>
        <w:rPr>
          <w:rFonts w:ascii="Arial" w:hAnsi="Arial" w:cs="Arial"/>
          <w:iCs/>
          <w:sz w:val="17"/>
          <w:szCs w:val="17"/>
          <w:lang w:val="en-GB"/>
        </w:rPr>
      </w:pPr>
    </w:p>
    <w:p w:rsidR="00E14173" w:rsidRPr="00E14173" w:rsidRDefault="00E14173" w:rsidP="00E14173">
      <w:pPr>
        <w:tabs>
          <w:tab w:val="left" w:pos="-1440"/>
          <w:tab w:val="left" w:pos="-720"/>
          <w:tab w:val="left" w:pos="1"/>
          <w:tab w:val="right" w:pos="9000"/>
        </w:tabs>
        <w:jc w:val="both"/>
        <w:rPr>
          <w:rFonts w:ascii="Arial" w:hAnsi="Arial" w:cs="Arial"/>
          <w:iCs/>
          <w:sz w:val="17"/>
          <w:szCs w:val="17"/>
          <w:lang w:val="en-GB"/>
        </w:rPr>
      </w:pPr>
      <w:r w:rsidRPr="00E14173">
        <w:rPr>
          <w:rFonts w:ascii="Arial" w:hAnsi="Arial" w:cs="Arial"/>
          <w:iCs/>
          <w:sz w:val="17"/>
          <w:szCs w:val="17"/>
          <w:lang w:val="en-GB"/>
        </w:rPr>
        <w:t>Note: P/L = profit/loss; PBT = profit before taxes; WC = working capital; OP = operating profit</w:t>
      </w:r>
    </w:p>
    <w:p w:rsidR="00E14173" w:rsidRPr="00E14173" w:rsidRDefault="00E14173" w:rsidP="00E14173">
      <w:pPr>
        <w:tabs>
          <w:tab w:val="left" w:pos="-1440"/>
          <w:tab w:val="left" w:pos="-720"/>
          <w:tab w:val="left" w:pos="1"/>
          <w:tab w:val="right" w:pos="9000"/>
        </w:tabs>
        <w:jc w:val="both"/>
        <w:rPr>
          <w:rFonts w:ascii="Arial" w:hAnsi="Arial" w:cs="Arial"/>
          <w:iCs/>
          <w:sz w:val="17"/>
          <w:szCs w:val="17"/>
          <w:lang w:val="en-GB"/>
        </w:rPr>
      </w:pPr>
      <w:r w:rsidRPr="00E14173">
        <w:rPr>
          <w:rFonts w:ascii="Arial" w:hAnsi="Arial" w:cs="Arial"/>
          <w:iCs/>
          <w:sz w:val="17"/>
          <w:szCs w:val="17"/>
          <w:lang w:val="en-GB"/>
        </w:rPr>
        <w:t>Source: Prepared by the authors with information from the Capitaline Database, accessed July 8, 2015, www.capitaline.com.</w:t>
      </w:r>
    </w:p>
    <w:p w:rsidR="00E14173" w:rsidRPr="00E14173" w:rsidRDefault="00E14173" w:rsidP="00817E62">
      <w:pPr>
        <w:pStyle w:val="BodyTextMain"/>
        <w:rPr>
          <w:lang w:val="en-GB" w:eastAsia="en-IN"/>
        </w:rPr>
      </w:pPr>
    </w:p>
    <w:p w:rsidR="00E14173" w:rsidRPr="00E14173" w:rsidRDefault="00E14173" w:rsidP="00817E62">
      <w:pPr>
        <w:pStyle w:val="BodyTextMain"/>
        <w:rPr>
          <w:lang w:val="en-GB" w:eastAsia="en-IN"/>
        </w:rPr>
      </w:pPr>
    </w:p>
    <w:p w:rsidR="00E14173" w:rsidRPr="00E14173" w:rsidRDefault="00E14173" w:rsidP="00817E62">
      <w:pPr>
        <w:pStyle w:val="BodyTextMain"/>
        <w:rPr>
          <w:lang w:val="en-GB" w:eastAsia="en-IN"/>
        </w:rPr>
      </w:pPr>
    </w:p>
    <w:p w:rsidR="00E14173" w:rsidRPr="00E14173" w:rsidRDefault="00E14173" w:rsidP="00E14173">
      <w:pPr>
        <w:spacing w:after="160" w:line="259" w:lineRule="auto"/>
        <w:rPr>
          <w:color w:val="000000" w:themeColor="text1"/>
          <w:szCs w:val="24"/>
          <w:lang w:val="en-GB"/>
        </w:rPr>
      </w:pPr>
      <w:r w:rsidRPr="00E14173">
        <w:rPr>
          <w:color w:val="000000" w:themeColor="text1"/>
          <w:lang w:val="en-GB"/>
        </w:rPr>
        <w:br w:type="page"/>
      </w:r>
    </w:p>
    <w:p w:rsidR="00E14173" w:rsidRPr="00E14173" w:rsidRDefault="00E14173" w:rsidP="00817E62">
      <w:pPr>
        <w:pStyle w:val="Casehead1"/>
        <w:jc w:val="center"/>
        <w:rPr>
          <w:lang w:val="en-GB"/>
        </w:rPr>
      </w:pPr>
      <w:r w:rsidRPr="00E14173">
        <w:rPr>
          <w:lang w:val="en-GB"/>
        </w:rPr>
        <w:lastRenderedPageBreak/>
        <w:t>Exhibit 2: Key Ratios and Miscellaneous Information</w:t>
      </w:r>
    </w:p>
    <w:p w:rsidR="00E14173" w:rsidRPr="00E14173" w:rsidRDefault="00E14173" w:rsidP="00817E62">
      <w:pPr>
        <w:pStyle w:val="BodyTextMain"/>
        <w:rPr>
          <w:lang w:val="en-GB"/>
        </w:rPr>
      </w:pPr>
    </w:p>
    <w:tbl>
      <w:tblPr>
        <w:tblW w:w="9203" w:type="dxa"/>
        <w:jc w:val="center"/>
        <w:tblInd w:w="177" w:type="dxa"/>
        <w:tblLook w:val="04A0" w:firstRow="1" w:lastRow="0" w:firstColumn="1" w:lastColumn="0" w:noHBand="0" w:noVBand="1"/>
      </w:tblPr>
      <w:tblGrid>
        <w:gridCol w:w="2483"/>
        <w:gridCol w:w="960"/>
        <w:gridCol w:w="960"/>
        <w:gridCol w:w="960"/>
        <w:gridCol w:w="960"/>
        <w:gridCol w:w="960"/>
        <w:gridCol w:w="960"/>
        <w:gridCol w:w="960"/>
      </w:tblGrid>
      <w:tr w:rsidR="00E14173" w:rsidRPr="00E14173" w:rsidTr="00037A65">
        <w:trPr>
          <w:trHeight w:val="300"/>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173" w:rsidRPr="00E14173" w:rsidRDefault="00E14173" w:rsidP="00E14173">
            <w:pPr>
              <w:rPr>
                <w:rFonts w:ascii="Arial" w:hAnsi="Arial" w:cs="Arial"/>
                <w:sz w:val="18"/>
                <w:szCs w:val="18"/>
                <w:lang w:val="en-GB"/>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b/>
                <w:bCs/>
                <w:sz w:val="18"/>
                <w:szCs w:val="18"/>
                <w:lang w:val="en-GB"/>
              </w:rPr>
            </w:pPr>
            <w:r w:rsidRPr="00E14173">
              <w:rPr>
                <w:rFonts w:ascii="Arial" w:hAnsi="Arial" w:cs="Arial"/>
                <w:b/>
                <w:bCs/>
                <w:sz w:val="18"/>
                <w:szCs w:val="18"/>
                <w:lang w:val="en-GB"/>
              </w:rPr>
              <w:t>2012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b/>
                <w:bCs/>
                <w:sz w:val="18"/>
                <w:szCs w:val="18"/>
                <w:lang w:val="en-GB"/>
              </w:rPr>
            </w:pPr>
            <w:r w:rsidRPr="00E14173">
              <w:rPr>
                <w:rFonts w:ascii="Arial" w:hAnsi="Arial" w:cs="Arial"/>
                <w:b/>
                <w:bCs/>
                <w:sz w:val="18"/>
                <w:szCs w:val="18"/>
                <w:lang w:val="en-GB"/>
              </w:rPr>
              <w:t>2011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b/>
                <w:bCs/>
                <w:sz w:val="18"/>
                <w:szCs w:val="18"/>
                <w:lang w:val="en-GB"/>
              </w:rPr>
            </w:pPr>
            <w:r w:rsidRPr="00E14173">
              <w:rPr>
                <w:rFonts w:ascii="Arial" w:hAnsi="Arial" w:cs="Arial"/>
                <w:b/>
                <w:bCs/>
                <w:sz w:val="18"/>
                <w:szCs w:val="18"/>
                <w:lang w:val="en-GB"/>
              </w:rPr>
              <w:t>2010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b/>
                <w:bCs/>
                <w:sz w:val="18"/>
                <w:szCs w:val="18"/>
                <w:lang w:val="en-GB"/>
              </w:rPr>
            </w:pPr>
            <w:r w:rsidRPr="00E14173">
              <w:rPr>
                <w:rFonts w:ascii="Arial" w:hAnsi="Arial" w:cs="Arial"/>
                <w:b/>
                <w:bCs/>
                <w:sz w:val="18"/>
                <w:szCs w:val="18"/>
                <w:lang w:val="en-GB"/>
              </w:rPr>
              <w:t>2009</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b/>
                <w:bCs/>
                <w:sz w:val="18"/>
                <w:szCs w:val="18"/>
                <w:lang w:val="en-GB"/>
              </w:rPr>
            </w:pPr>
            <w:r w:rsidRPr="00E14173">
              <w:rPr>
                <w:rFonts w:ascii="Arial" w:hAnsi="Arial" w:cs="Arial"/>
                <w:b/>
                <w:bCs/>
                <w:sz w:val="18"/>
                <w:szCs w:val="18"/>
                <w:lang w:val="en-GB"/>
              </w:rPr>
              <w:t>2008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b/>
                <w:bCs/>
                <w:sz w:val="18"/>
                <w:szCs w:val="18"/>
                <w:lang w:val="en-GB"/>
              </w:rPr>
            </w:pPr>
            <w:r w:rsidRPr="00E14173">
              <w:rPr>
                <w:rFonts w:ascii="Arial" w:hAnsi="Arial" w:cs="Arial"/>
                <w:b/>
                <w:bCs/>
                <w:sz w:val="18"/>
                <w:szCs w:val="18"/>
                <w:lang w:val="en-GB"/>
              </w:rPr>
              <w:t>2007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b/>
                <w:bCs/>
                <w:sz w:val="18"/>
                <w:szCs w:val="18"/>
                <w:lang w:val="en-GB"/>
              </w:rPr>
            </w:pPr>
            <w:r w:rsidRPr="00E14173">
              <w:rPr>
                <w:rFonts w:ascii="Arial" w:hAnsi="Arial" w:cs="Arial"/>
                <w:b/>
                <w:bCs/>
                <w:sz w:val="18"/>
                <w:szCs w:val="18"/>
                <w:lang w:val="en-GB"/>
              </w:rPr>
              <w:t>2006</w:t>
            </w:r>
          </w:p>
        </w:tc>
      </w:tr>
      <w:tr w:rsidR="00E14173" w:rsidRPr="00E14173" w:rsidTr="00037A65">
        <w:trPr>
          <w:trHeight w:val="314"/>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b/>
                <w:bCs/>
                <w:sz w:val="18"/>
                <w:szCs w:val="18"/>
                <w:lang w:val="en-GB"/>
              </w:rPr>
            </w:pPr>
            <w:r w:rsidRPr="00E14173">
              <w:rPr>
                <w:rFonts w:ascii="Arial" w:hAnsi="Arial" w:cs="Arial"/>
                <w:b/>
                <w:bCs/>
                <w:sz w:val="18"/>
                <w:szCs w:val="18"/>
                <w:lang w:val="en-GB"/>
              </w:rPr>
              <w:t>Key Ratios</w:t>
            </w:r>
          </w:p>
        </w:tc>
        <w:tc>
          <w:tcPr>
            <w:tcW w:w="6720" w:type="dxa"/>
            <w:gridSpan w:val="7"/>
            <w:tcBorders>
              <w:top w:val="nil"/>
              <w:left w:val="nil"/>
              <w:bottom w:val="single" w:sz="4" w:space="0" w:color="auto"/>
              <w:right w:val="single" w:sz="4" w:space="0" w:color="auto"/>
            </w:tcBorders>
            <w:shd w:val="clear" w:color="auto" w:fill="auto"/>
            <w:noWrap/>
            <w:vAlign w:val="bottom"/>
            <w:hideMark/>
          </w:tcPr>
          <w:p w:rsidR="00E14173" w:rsidRPr="00E14173" w:rsidRDefault="00E14173" w:rsidP="00E14173">
            <w:pPr>
              <w:rPr>
                <w:rFonts w:ascii="Arial" w:hAnsi="Arial" w:cs="Arial"/>
                <w:sz w:val="18"/>
                <w:szCs w:val="18"/>
                <w:lang w:val="en-GB"/>
              </w:rPr>
            </w:pP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Debt-to-Equity Ratio</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0.54</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0.63</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0.86</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0.75</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0.57</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0.81</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1.07</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Long-Term Debt-to-Equity Ratio</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0.30</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0.38</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0.59</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0.56</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0.50</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0.73</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0.98</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Current Ratio</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0.89</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0.88</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0.80</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0.85</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1.07</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1.00</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0.89</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b/>
                <w:bCs/>
                <w:sz w:val="18"/>
                <w:szCs w:val="18"/>
                <w:lang w:val="en-GB"/>
              </w:rPr>
            </w:pPr>
            <w:r w:rsidRPr="00E14173">
              <w:rPr>
                <w:rFonts w:ascii="Arial" w:hAnsi="Arial" w:cs="Arial"/>
                <w:b/>
                <w:bCs/>
                <w:sz w:val="18"/>
                <w:szCs w:val="18"/>
                <w:lang w:val="en-GB"/>
              </w:rPr>
              <w:t>Turnover Ratios</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 </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Fixed Assets</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1.29</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1.22</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0.98</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0.99</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1.04</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1.31</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1.14</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Inventory</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8.91</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9.73</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10.65</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9.33</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8.65</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11.50</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8.59</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Debtors</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8.92</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8.55</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8.22</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8.46</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8.15</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12.08</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13.58</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Total Asset Turnover Ratio</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1.43</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1.43</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1.15</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1.18</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1.26</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1.54</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1.35</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Interest Cover Ratio</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6.44</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9.72</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7.67</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7.35</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7.24</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13.17</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5.03</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b/>
                <w:bCs/>
                <w:sz w:val="18"/>
                <w:szCs w:val="18"/>
                <w:lang w:val="en-GB"/>
              </w:rPr>
            </w:pPr>
            <w:r w:rsidRPr="00E14173">
              <w:rPr>
                <w:rFonts w:ascii="Arial" w:hAnsi="Arial" w:cs="Arial"/>
                <w:b/>
                <w:bCs/>
                <w:sz w:val="18"/>
                <w:szCs w:val="18"/>
                <w:lang w:val="en-GB"/>
              </w:rPr>
              <w:t>Growth Ratios</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 </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PBIDTM (%)</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21.94</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27.12</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27.86</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24.24</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20.05</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28.33</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18.18</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PBITM (%)</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17.67</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22.58</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22.26</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19.17</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14.63</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24.42</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13.79</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PBDTM (%)</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19.19</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24.79</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24.96</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21.63</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18.03</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26.48</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15.44</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CPM (%)</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14.48</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18.99</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18.8</w:t>
            </w:r>
            <w:r w:rsidR="00A62944">
              <w:rPr>
                <w:rFonts w:ascii="Arial" w:hAnsi="Arial" w:cs="Arial"/>
                <w:sz w:val="18"/>
                <w:szCs w:val="18"/>
                <w:lang w:val="en-GB"/>
              </w:rPr>
              <w:t>0</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16.13</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14.07</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18.63</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11.69</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APATM (%)</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10.22</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14.45</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13.2</w:t>
            </w:r>
            <w:r w:rsidR="00A62944">
              <w:rPr>
                <w:rFonts w:ascii="Arial" w:hAnsi="Arial" w:cs="Arial"/>
                <w:sz w:val="18"/>
                <w:szCs w:val="18"/>
                <w:lang w:val="en-GB"/>
              </w:rPr>
              <w:t>0</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11.05</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8.65</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14.72</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7.31</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ROE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22.96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34.59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29.05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23.63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17.86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42.81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21.8</w:t>
            </w:r>
            <w:r w:rsidR="00A62944">
              <w:rPr>
                <w:rFonts w:ascii="Arial" w:hAnsi="Arial" w:cs="Arial"/>
                <w:sz w:val="18"/>
                <w:szCs w:val="18"/>
                <w:lang w:val="en-GB"/>
              </w:rPr>
              <w:t>0</w:t>
            </w:r>
          </w:p>
        </w:tc>
      </w:tr>
      <w:tr w:rsidR="00E14173" w:rsidRPr="00E14173" w:rsidTr="00037A65">
        <w:trPr>
          <w:trHeight w:val="300"/>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ROCE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25.76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33.14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26.4</w:t>
            </w:r>
            <w:r w:rsidR="00A62944">
              <w:rPr>
                <w:rFonts w:ascii="Arial" w:hAnsi="Arial" w:cs="Arial"/>
                <w:sz w:val="18"/>
                <w:szCs w:val="18"/>
                <w:lang w:val="en-GB"/>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23.35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19.27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39.33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19.85</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RONW (%)</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22.96</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34.59</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29.05</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23.63</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17.86</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42.81</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21.8</w:t>
            </w:r>
            <w:r w:rsidR="00A62944">
              <w:rPr>
                <w:rFonts w:ascii="Arial" w:hAnsi="Arial" w:cs="Arial"/>
                <w:sz w:val="18"/>
                <w:szCs w:val="18"/>
                <w:lang w:val="en-GB"/>
              </w:rPr>
              <w:t>0</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Payout (%)</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21.71</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18.05</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28.71</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40.96</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25.53</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14.39</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18.97</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b/>
                <w:bCs/>
                <w:sz w:val="18"/>
                <w:szCs w:val="18"/>
                <w:lang w:val="en-GB"/>
              </w:rPr>
            </w:pPr>
            <w:r w:rsidRPr="00E14173">
              <w:rPr>
                <w:rFonts w:ascii="Arial" w:hAnsi="Arial" w:cs="Arial"/>
                <w:b/>
                <w:bCs/>
                <w:sz w:val="18"/>
                <w:szCs w:val="18"/>
                <w:lang w:val="en-GB"/>
              </w:rPr>
              <w:t>Valuation Ratios</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nil"/>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 </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 </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Shares Outstanding (in Million)</w:t>
            </w:r>
          </w:p>
        </w:tc>
        <w:tc>
          <w:tcPr>
            <w:tcW w:w="960" w:type="dxa"/>
            <w:tcBorders>
              <w:top w:val="nil"/>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57.42</w:t>
            </w:r>
          </w:p>
        </w:tc>
        <w:tc>
          <w:tcPr>
            <w:tcW w:w="960" w:type="dxa"/>
            <w:tcBorders>
              <w:top w:val="nil"/>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60.50</w:t>
            </w:r>
          </w:p>
        </w:tc>
        <w:tc>
          <w:tcPr>
            <w:tcW w:w="960" w:type="dxa"/>
            <w:tcBorders>
              <w:top w:val="nil"/>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60.50</w:t>
            </w:r>
          </w:p>
        </w:tc>
        <w:tc>
          <w:tcPr>
            <w:tcW w:w="960" w:type="dxa"/>
            <w:tcBorders>
              <w:top w:val="nil"/>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60.69</w:t>
            </w:r>
          </w:p>
        </w:tc>
        <w:tc>
          <w:tcPr>
            <w:tcW w:w="960" w:type="dxa"/>
            <w:tcBorders>
              <w:top w:val="nil"/>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67.89</w:t>
            </w:r>
          </w:p>
        </w:tc>
        <w:tc>
          <w:tcPr>
            <w:tcW w:w="960" w:type="dxa"/>
            <w:tcBorders>
              <w:top w:val="nil"/>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67.89</w:t>
            </w:r>
          </w:p>
        </w:tc>
        <w:tc>
          <w:tcPr>
            <w:tcW w:w="960" w:type="dxa"/>
            <w:tcBorders>
              <w:top w:val="nil"/>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64.53</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EPS</w:t>
            </w:r>
          </w:p>
        </w:tc>
        <w:tc>
          <w:tcPr>
            <w:tcW w:w="960" w:type="dxa"/>
            <w:tcBorders>
              <w:top w:val="nil"/>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75.86</w:t>
            </w:r>
          </w:p>
        </w:tc>
        <w:tc>
          <w:tcPr>
            <w:tcW w:w="960" w:type="dxa"/>
            <w:tcBorders>
              <w:top w:val="nil"/>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79.72</w:t>
            </w:r>
          </w:p>
        </w:tc>
        <w:tc>
          <w:tcPr>
            <w:tcW w:w="960" w:type="dxa"/>
            <w:tcBorders>
              <w:top w:val="nil"/>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50.21</w:t>
            </w:r>
          </w:p>
        </w:tc>
        <w:tc>
          <w:tcPr>
            <w:tcW w:w="960" w:type="dxa"/>
            <w:tcBorders>
              <w:top w:val="nil"/>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26.76</w:t>
            </w:r>
          </w:p>
        </w:tc>
        <w:tc>
          <w:tcPr>
            <w:tcW w:w="960" w:type="dxa"/>
            <w:tcBorders>
              <w:top w:val="nil"/>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19.88</w:t>
            </w:r>
          </w:p>
        </w:tc>
        <w:tc>
          <w:tcPr>
            <w:tcW w:w="960" w:type="dxa"/>
            <w:tcBorders>
              <w:top w:val="nil"/>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43.63</w:t>
            </w:r>
          </w:p>
        </w:tc>
        <w:tc>
          <w:tcPr>
            <w:tcW w:w="960" w:type="dxa"/>
            <w:tcBorders>
              <w:top w:val="nil"/>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16.35</w:t>
            </w:r>
          </w:p>
        </w:tc>
      </w:tr>
      <w:tr w:rsidR="00E14173" w:rsidRPr="00E14173" w:rsidTr="00037A65">
        <w:trPr>
          <w:trHeight w:val="300"/>
          <w:jc w:val="center"/>
        </w:trPr>
        <w:tc>
          <w:tcPr>
            <w:tcW w:w="2483"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Price-to-Earnings Ratio</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3.97</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4.16</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3.92</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3.56</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5.39</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2.96</w:t>
            </w:r>
          </w:p>
        </w:tc>
        <w:tc>
          <w:tcPr>
            <w:tcW w:w="960"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21.72</w:t>
            </w:r>
          </w:p>
        </w:tc>
      </w:tr>
      <w:tr w:rsidR="00E14173" w:rsidRPr="00E14173" w:rsidTr="00037A65">
        <w:trPr>
          <w:trHeight w:val="300"/>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73" w:rsidRPr="00E14173" w:rsidRDefault="00E14173" w:rsidP="00E14173">
            <w:pPr>
              <w:rPr>
                <w:rFonts w:ascii="Arial" w:hAnsi="Arial" w:cs="Arial"/>
                <w:b/>
                <w:sz w:val="18"/>
                <w:szCs w:val="18"/>
                <w:lang w:val="en-GB"/>
              </w:rPr>
            </w:pPr>
            <w:r w:rsidRPr="00E14173">
              <w:rPr>
                <w:rFonts w:ascii="Arial" w:hAnsi="Arial" w:cs="Arial"/>
                <w:b/>
                <w:sz w:val="18"/>
                <w:szCs w:val="18"/>
                <w:lang w:val="en-GB"/>
              </w:rPr>
              <w:t>Stock Market</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E14173" w:rsidRPr="00E14173" w:rsidRDefault="00E14173" w:rsidP="00E14173">
            <w:pPr>
              <w:jc w:val="right"/>
              <w:rPr>
                <w:rFonts w:ascii="Arial" w:hAnsi="Arial" w:cs="Arial"/>
                <w:sz w:val="18"/>
                <w:szCs w:val="18"/>
                <w:lang w:val="en-GB"/>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E14173" w:rsidRPr="00E14173" w:rsidRDefault="00E14173" w:rsidP="00E14173">
            <w:pPr>
              <w:jc w:val="right"/>
              <w:rPr>
                <w:rFonts w:ascii="Arial" w:hAnsi="Arial" w:cs="Arial"/>
                <w:sz w:val="18"/>
                <w:szCs w:val="18"/>
                <w:lang w:val="en-GB"/>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E14173" w:rsidRPr="00E14173" w:rsidRDefault="00E14173" w:rsidP="00E14173">
            <w:pPr>
              <w:jc w:val="right"/>
              <w:rPr>
                <w:rFonts w:ascii="Arial" w:hAnsi="Arial" w:cs="Arial"/>
                <w:sz w:val="18"/>
                <w:szCs w:val="18"/>
                <w:lang w:val="en-GB"/>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E14173" w:rsidRPr="00E14173" w:rsidRDefault="00E14173" w:rsidP="00E14173">
            <w:pPr>
              <w:jc w:val="right"/>
              <w:rPr>
                <w:rFonts w:ascii="Arial" w:hAnsi="Arial" w:cs="Arial"/>
                <w:sz w:val="18"/>
                <w:szCs w:val="18"/>
                <w:lang w:val="en-GB"/>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E14173" w:rsidRPr="00E14173" w:rsidRDefault="00E14173" w:rsidP="00E14173">
            <w:pPr>
              <w:jc w:val="right"/>
              <w:rPr>
                <w:rFonts w:ascii="Arial" w:hAnsi="Arial" w:cs="Arial"/>
                <w:sz w:val="18"/>
                <w:szCs w:val="18"/>
                <w:lang w:val="en-GB"/>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E14173" w:rsidRPr="00E14173" w:rsidRDefault="00E14173" w:rsidP="00E14173">
            <w:pPr>
              <w:jc w:val="right"/>
              <w:rPr>
                <w:rFonts w:ascii="Arial" w:hAnsi="Arial" w:cs="Arial"/>
                <w:sz w:val="18"/>
                <w:szCs w:val="18"/>
                <w:lang w:val="en-GB"/>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E14173" w:rsidRPr="00E14173" w:rsidRDefault="00E14173" w:rsidP="00E14173">
            <w:pPr>
              <w:jc w:val="right"/>
              <w:rPr>
                <w:rFonts w:ascii="Arial" w:hAnsi="Arial" w:cs="Arial"/>
                <w:sz w:val="18"/>
                <w:szCs w:val="18"/>
                <w:lang w:val="en-GB"/>
              </w:rPr>
            </w:pPr>
          </w:p>
        </w:tc>
      </w:tr>
      <w:tr w:rsidR="00E14173" w:rsidRPr="00E14173" w:rsidTr="00037A65">
        <w:trPr>
          <w:trHeight w:val="300"/>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Beta</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1.18</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1.18</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1.16</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1.10</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1.33</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0.95</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0.95</w:t>
            </w:r>
          </w:p>
        </w:tc>
      </w:tr>
      <w:tr w:rsidR="00E14173" w:rsidRPr="00E14173" w:rsidTr="00037A65">
        <w:trPr>
          <w:trHeight w:val="300"/>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Standard Deviation Returns (%)</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1.7</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2.7</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3.1</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2.9</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3.7</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4.1</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3.6</w:t>
            </w:r>
          </w:p>
        </w:tc>
      </w:tr>
      <w:tr w:rsidR="00E14173" w:rsidRPr="00E14173" w:rsidTr="00037A65">
        <w:trPr>
          <w:trHeight w:val="300"/>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73" w:rsidRPr="00E14173" w:rsidRDefault="00E14173" w:rsidP="00E14173">
            <w:pPr>
              <w:rPr>
                <w:rFonts w:ascii="Arial" w:hAnsi="Arial" w:cs="Arial"/>
                <w:b/>
                <w:sz w:val="18"/>
                <w:szCs w:val="18"/>
                <w:lang w:val="en-GB"/>
              </w:rPr>
            </w:pPr>
            <w:r w:rsidRPr="00E14173">
              <w:rPr>
                <w:rFonts w:ascii="Arial" w:hAnsi="Arial" w:cs="Arial"/>
                <w:b/>
                <w:sz w:val="18"/>
                <w:szCs w:val="18"/>
                <w:lang w:val="en-GB"/>
              </w:rPr>
              <w:t>Standard &amp; Poor’s BSE Sensex</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p>
        </w:tc>
      </w:tr>
      <w:tr w:rsidR="00E14173" w:rsidRPr="00E14173" w:rsidTr="00037A65">
        <w:trPr>
          <w:trHeight w:val="300"/>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Beta</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0.93</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0.93</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0.93</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0.93</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0.93</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0.93</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0.93</w:t>
            </w:r>
          </w:p>
        </w:tc>
      </w:tr>
      <w:tr w:rsidR="00E14173" w:rsidRPr="00E14173" w:rsidTr="00037A65">
        <w:trPr>
          <w:trHeight w:val="300"/>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73" w:rsidRPr="00E14173" w:rsidRDefault="00E14173" w:rsidP="00E14173">
            <w:pPr>
              <w:rPr>
                <w:rFonts w:ascii="Arial" w:hAnsi="Arial" w:cs="Arial"/>
                <w:sz w:val="18"/>
                <w:szCs w:val="18"/>
                <w:lang w:val="en-GB"/>
              </w:rPr>
            </w:pPr>
            <w:r w:rsidRPr="00E14173">
              <w:rPr>
                <w:rFonts w:ascii="Arial" w:hAnsi="Arial" w:cs="Arial"/>
                <w:sz w:val="18"/>
                <w:szCs w:val="18"/>
                <w:lang w:val="en-GB"/>
              </w:rPr>
              <w:t>Standard Deviation Returns (%)</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1.25</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1.10</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1.91</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2.78</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1.92</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1.74</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E14173" w:rsidRPr="00E14173" w:rsidRDefault="00E14173" w:rsidP="00E14173">
            <w:pPr>
              <w:jc w:val="right"/>
              <w:rPr>
                <w:rFonts w:ascii="Arial" w:hAnsi="Arial" w:cs="Arial"/>
                <w:sz w:val="18"/>
                <w:szCs w:val="18"/>
                <w:lang w:val="en-GB"/>
              </w:rPr>
            </w:pPr>
            <w:r w:rsidRPr="00E14173">
              <w:rPr>
                <w:rFonts w:ascii="Arial" w:hAnsi="Arial" w:cs="Arial"/>
                <w:sz w:val="18"/>
                <w:szCs w:val="18"/>
                <w:lang w:val="en-GB"/>
              </w:rPr>
              <w:t>1.02</w:t>
            </w:r>
          </w:p>
        </w:tc>
      </w:tr>
    </w:tbl>
    <w:p w:rsidR="00E14173" w:rsidRPr="00E14173" w:rsidRDefault="00E14173" w:rsidP="00E14173">
      <w:pPr>
        <w:tabs>
          <w:tab w:val="left" w:pos="-1440"/>
          <w:tab w:val="left" w:pos="-720"/>
          <w:tab w:val="left" w:pos="1"/>
          <w:tab w:val="right" w:pos="9000"/>
        </w:tabs>
        <w:jc w:val="both"/>
        <w:rPr>
          <w:rFonts w:ascii="Arial" w:hAnsi="Arial" w:cs="Arial"/>
          <w:iCs/>
          <w:sz w:val="17"/>
          <w:szCs w:val="17"/>
        </w:rPr>
      </w:pPr>
    </w:p>
    <w:p w:rsidR="00E14173" w:rsidRPr="00E14173" w:rsidRDefault="00E14173" w:rsidP="00E14173">
      <w:pPr>
        <w:tabs>
          <w:tab w:val="left" w:pos="-1440"/>
          <w:tab w:val="left" w:pos="-720"/>
          <w:tab w:val="left" w:pos="1"/>
          <w:tab w:val="right" w:pos="9000"/>
        </w:tabs>
        <w:jc w:val="both"/>
        <w:rPr>
          <w:rFonts w:ascii="Arial" w:hAnsi="Arial" w:cs="Arial"/>
          <w:iCs/>
          <w:sz w:val="17"/>
          <w:szCs w:val="17"/>
        </w:rPr>
      </w:pPr>
      <w:r w:rsidRPr="00E14173">
        <w:rPr>
          <w:rFonts w:ascii="Arial" w:hAnsi="Arial" w:cs="Arial"/>
          <w:iCs/>
          <w:sz w:val="17"/>
          <w:szCs w:val="17"/>
        </w:rPr>
        <w:t>Note: PBIDTM = profit before interest, depreciation, and tax margin; PBITM = profit before interest and tax margin; PBDTM = profit before depreciation and tax margin × 100; ROE = return on equity; ROCE = return on capital employed; RONW = return on net worth; EPS = earnings per share; BSE Sensex = Bombay Stock Exchange Sensitive Index (the oldest and most widely followed stock index in India, comprising 30 of the most actively traded and largest stocks on the BSE)</w:t>
      </w:r>
    </w:p>
    <w:p w:rsidR="00E14173" w:rsidRPr="00E14173" w:rsidRDefault="00E14173" w:rsidP="00E14173">
      <w:pPr>
        <w:tabs>
          <w:tab w:val="left" w:pos="-1440"/>
          <w:tab w:val="left" w:pos="-720"/>
          <w:tab w:val="left" w:pos="1"/>
          <w:tab w:val="right" w:pos="9000"/>
        </w:tabs>
        <w:jc w:val="both"/>
        <w:rPr>
          <w:rFonts w:ascii="Arial" w:hAnsi="Arial" w:cs="Arial"/>
          <w:iCs/>
          <w:sz w:val="17"/>
          <w:szCs w:val="17"/>
        </w:rPr>
      </w:pPr>
      <w:r w:rsidRPr="00E14173">
        <w:rPr>
          <w:rFonts w:ascii="Arial" w:hAnsi="Arial" w:cs="Arial"/>
          <w:iCs/>
          <w:sz w:val="17"/>
          <w:szCs w:val="17"/>
        </w:rPr>
        <w:t>Source: Prepared by the authors with information from the Capitaline Database,</w:t>
      </w:r>
      <w:r w:rsidR="00A62944">
        <w:rPr>
          <w:rFonts w:ascii="Arial" w:hAnsi="Arial" w:cs="Arial"/>
          <w:iCs/>
          <w:sz w:val="17"/>
          <w:szCs w:val="17"/>
        </w:rPr>
        <w:t xml:space="preserve"> accessed July 8, 2015,</w:t>
      </w:r>
      <w:r w:rsidRPr="00E14173">
        <w:rPr>
          <w:rFonts w:ascii="Arial" w:hAnsi="Arial" w:cs="Arial"/>
          <w:iCs/>
          <w:sz w:val="17"/>
          <w:szCs w:val="17"/>
        </w:rPr>
        <w:t xml:space="preserve"> www.capitaline.com, and from the CMIE Prowess database, https://prowess.cmie.com.</w:t>
      </w:r>
    </w:p>
    <w:p w:rsidR="00E14173" w:rsidRPr="00E14173" w:rsidRDefault="00E14173" w:rsidP="00E14173">
      <w:pPr>
        <w:spacing w:after="160" w:line="259" w:lineRule="auto"/>
        <w:rPr>
          <w:lang w:val="en-GB"/>
        </w:rPr>
      </w:pPr>
      <w:r w:rsidRPr="00E14173">
        <w:rPr>
          <w:lang w:val="en-GB"/>
        </w:rPr>
        <w:br w:type="page"/>
      </w:r>
    </w:p>
    <w:p w:rsidR="00E14173" w:rsidRPr="00E14173" w:rsidRDefault="00E14173" w:rsidP="00817E62">
      <w:pPr>
        <w:pStyle w:val="Casehead1"/>
        <w:jc w:val="center"/>
        <w:rPr>
          <w:lang w:val="en-GB"/>
        </w:rPr>
      </w:pPr>
      <w:r w:rsidRPr="00E14173">
        <w:rPr>
          <w:lang w:val="en-GB"/>
        </w:rPr>
        <w:lastRenderedPageBreak/>
        <w:t xml:space="preserve">Exhibit 3: </w:t>
      </w:r>
      <w:r w:rsidR="00A62944">
        <w:rPr>
          <w:lang w:val="en-GB"/>
        </w:rPr>
        <w:t xml:space="preserve">SRF Limited </w:t>
      </w:r>
      <w:r w:rsidRPr="00E14173">
        <w:rPr>
          <w:lang w:val="en-GB"/>
        </w:rPr>
        <w:t>Dividend Per Share (DPS) and Earnings Per Share (EPs)</w:t>
      </w:r>
    </w:p>
    <w:p w:rsidR="00E14173" w:rsidRPr="00E14173" w:rsidRDefault="00E14173" w:rsidP="00817E62">
      <w:pPr>
        <w:pStyle w:val="BodyTextMain"/>
        <w:rPr>
          <w:lang w:val="en-GB"/>
        </w:rPr>
      </w:pPr>
    </w:p>
    <w:tbl>
      <w:tblPr>
        <w:tblW w:w="5829" w:type="dxa"/>
        <w:jc w:val="center"/>
        <w:tblInd w:w="331" w:type="dxa"/>
        <w:tblLook w:val="04A0" w:firstRow="1" w:lastRow="0" w:firstColumn="1" w:lastColumn="0" w:noHBand="0" w:noVBand="1"/>
      </w:tblPr>
      <w:tblGrid>
        <w:gridCol w:w="851"/>
        <w:gridCol w:w="1417"/>
        <w:gridCol w:w="868"/>
        <w:gridCol w:w="1633"/>
        <w:gridCol w:w="1060"/>
      </w:tblGrid>
      <w:tr w:rsidR="00E14173" w:rsidRPr="00E14173" w:rsidTr="00037A65">
        <w:trPr>
          <w:trHeight w:val="555"/>
          <w:jc w:val="center"/>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b/>
                <w:bCs/>
                <w:lang w:val="en-GB"/>
              </w:rPr>
            </w:pPr>
            <w:r w:rsidRPr="00E14173">
              <w:rPr>
                <w:rFonts w:ascii="Arial" w:hAnsi="Arial" w:cs="Arial"/>
                <w:b/>
                <w:bCs/>
                <w:lang w:val="en-GB"/>
              </w:rPr>
              <w:t xml:space="preserve">Year </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E14173" w:rsidRPr="00E14173" w:rsidRDefault="00E14173" w:rsidP="00E14173">
            <w:pPr>
              <w:jc w:val="center"/>
              <w:rPr>
                <w:rFonts w:ascii="Arial" w:hAnsi="Arial" w:cs="Arial"/>
                <w:b/>
                <w:bCs/>
                <w:lang w:val="en-GB"/>
              </w:rPr>
            </w:pPr>
            <w:r w:rsidRPr="00E14173">
              <w:rPr>
                <w:rFonts w:ascii="Arial" w:hAnsi="Arial" w:cs="Arial"/>
                <w:b/>
                <w:bCs/>
                <w:lang w:val="en-GB"/>
              </w:rPr>
              <w:t xml:space="preserve">Dividend </w:t>
            </w:r>
            <w:r w:rsidRPr="00E14173">
              <w:rPr>
                <w:rFonts w:ascii="Arial" w:hAnsi="Arial" w:cs="Arial"/>
                <w:b/>
                <w:bCs/>
                <w:lang w:val="en-GB"/>
              </w:rPr>
              <w:br/>
              <w:t>Amount (₹)</w:t>
            </w:r>
          </w:p>
        </w:tc>
        <w:tc>
          <w:tcPr>
            <w:tcW w:w="868" w:type="dxa"/>
            <w:tcBorders>
              <w:top w:val="single" w:sz="4" w:space="0" w:color="auto"/>
              <w:left w:val="nil"/>
              <w:bottom w:val="single" w:sz="4" w:space="0" w:color="auto"/>
              <w:right w:val="single" w:sz="4" w:space="0" w:color="auto"/>
            </w:tcBorders>
            <w:shd w:val="clear" w:color="auto" w:fill="auto"/>
            <w:vAlign w:val="center"/>
            <w:hideMark/>
          </w:tcPr>
          <w:p w:rsidR="00E14173" w:rsidRPr="00E14173" w:rsidRDefault="00E14173" w:rsidP="00E14173">
            <w:pPr>
              <w:jc w:val="center"/>
              <w:rPr>
                <w:rFonts w:ascii="Arial" w:hAnsi="Arial" w:cs="Arial"/>
                <w:b/>
                <w:bCs/>
                <w:lang w:val="en-GB"/>
              </w:rPr>
            </w:pPr>
            <w:r w:rsidRPr="00E14173">
              <w:rPr>
                <w:rFonts w:ascii="Arial" w:hAnsi="Arial" w:cs="Arial"/>
                <w:b/>
                <w:bCs/>
                <w:lang w:val="en-GB"/>
              </w:rPr>
              <w:t xml:space="preserve">DPS </w:t>
            </w:r>
          </w:p>
          <w:p w:rsidR="00E14173" w:rsidRPr="00E14173" w:rsidRDefault="00E14173" w:rsidP="00E14173">
            <w:pPr>
              <w:jc w:val="center"/>
              <w:rPr>
                <w:rFonts w:ascii="Arial" w:hAnsi="Arial" w:cs="Arial"/>
                <w:b/>
                <w:bCs/>
                <w:lang w:val="en-GB"/>
              </w:rPr>
            </w:pPr>
            <w:r w:rsidRPr="00E14173">
              <w:rPr>
                <w:rFonts w:ascii="Arial" w:hAnsi="Arial" w:cs="Arial"/>
                <w:b/>
                <w:bCs/>
                <w:lang w:val="en-GB"/>
              </w:rPr>
              <w:t xml:space="preserve">(₹) </w:t>
            </w:r>
          </w:p>
        </w:tc>
        <w:tc>
          <w:tcPr>
            <w:tcW w:w="1633" w:type="dxa"/>
            <w:tcBorders>
              <w:top w:val="single" w:sz="4" w:space="0" w:color="auto"/>
              <w:left w:val="nil"/>
              <w:bottom w:val="single" w:sz="4" w:space="0" w:color="auto"/>
              <w:right w:val="single" w:sz="4" w:space="0" w:color="auto"/>
            </w:tcBorders>
            <w:shd w:val="clear" w:color="auto" w:fill="auto"/>
            <w:vAlign w:val="center"/>
            <w:hideMark/>
          </w:tcPr>
          <w:p w:rsidR="00E14173" w:rsidRPr="00E14173" w:rsidRDefault="00E14173" w:rsidP="00E14173">
            <w:pPr>
              <w:jc w:val="center"/>
              <w:rPr>
                <w:rFonts w:ascii="Arial" w:hAnsi="Arial" w:cs="Arial"/>
                <w:b/>
                <w:bCs/>
                <w:lang w:val="en-GB"/>
              </w:rPr>
            </w:pPr>
            <w:r w:rsidRPr="00E14173">
              <w:rPr>
                <w:rFonts w:ascii="Arial" w:hAnsi="Arial" w:cs="Arial"/>
                <w:b/>
                <w:bCs/>
                <w:lang w:val="en-GB"/>
              </w:rPr>
              <w:t xml:space="preserve">Dividend Yield </w:t>
            </w:r>
            <w:r w:rsidRPr="00E14173">
              <w:rPr>
                <w:rFonts w:ascii="Arial" w:hAnsi="Arial" w:cs="Arial"/>
                <w:b/>
                <w:bCs/>
                <w:lang w:val="en-GB"/>
              </w:rPr>
              <w:br/>
              <w:t>(%)</w:t>
            </w:r>
          </w:p>
        </w:tc>
        <w:tc>
          <w:tcPr>
            <w:tcW w:w="1060" w:type="dxa"/>
            <w:tcBorders>
              <w:top w:val="single" w:sz="4" w:space="0" w:color="auto"/>
              <w:left w:val="nil"/>
              <w:bottom w:val="single" w:sz="4" w:space="0" w:color="auto"/>
              <w:right w:val="single" w:sz="4" w:space="0" w:color="auto"/>
            </w:tcBorders>
            <w:shd w:val="clear" w:color="auto" w:fill="auto"/>
            <w:vAlign w:val="center"/>
          </w:tcPr>
          <w:p w:rsidR="00E14173" w:rsidRPr="00E14173" w:rsidRDefault="00E14173" w:rsidP="00E14173">
            <w:pPr>
              <w:jc w:val="center"/>
              <w:rPr>
                <w:rFonts w:ascii="Arial" w:hAnsi="Arial" w:cs="Arial"/>
                <w:b/>
                <w:bCs/>
                <w:lang w:val="en-GB"/>
              </w:rPr>
            </w:pPr>
            <w:r w:rsidRPr="00E14173">
              <w:rPr>
                <w:rFonts w:ascii="Arial" w:hAnsi="Arial" w:cs="Arial"/>
                <w:b/>
                <w:bCs/>
                <w:lang w:val="en-GB"/>
              </w:rPr>
              <w:t>EPS</w:t>
            </w:r>
            <w:r w:rsidRPr="00E14173">
              <w:rPr>
                <w:rFonts w:ascii="Arial" w:hAnsi="Arial" w:cs="Arial"/>
                <w:b/>
                <w:bCs/>
                <w:lang w:val="en-GB"/>
              </w:rPr>
              <w:br/>
              <w:t>(₹)</w:t>
            </w:r>
          </w:p>
        </w:tc>
      </w:tr>
      <w:tr w:rsidR="00E14173" w:rsidRPr="00E14173" w:rsidTr="00037A65">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2012</w:t>
            </w:r>
          </w:p>
        </w:tc>
        <w:tc>
          <w:tcPr>
            <w:tcW w:w="1417"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81.23</w:t>
            </w:r>
          </w:p>
        </w:tc>
        <w:tc>
          <w:tcPr>
            <w:tcW w:w="86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14</w:t>
            </w:r>
          </w:p>
        </w:tc>
        <w:tc>
          <w:tcPr>
            <w:tcW w:w="1633"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5.50</w:t>
            </w:r>
          </w:p>
        </w:tc>
        <w:tc>
          <w:tcPr>
            <w:tcW w:w="1060" w:type="dxa"/>
            <w:tcBorders>
              <w:top w:val="nil"/>
              <w:left w:val="nil"/>
              <w:bottom w:val="single" w:sz="4" w:space="0" w:color="auto"/>
              <w:right w:val="single" w:sz="4" w:space="0" w:color="auto"/>
            </w:tcBorders>
          </w:tcPr>
          <w:p w:rsidR="00E14173" w:rsidRPr="00E14173" w:rsidRDefault="00E14173" w:rsidP="00E14173">
            <w:pPr>
              <w:jc w:val="center"/>
              <w:rPr>
                <w:rFonts w:ascii="Arial" w:hAnsi="Arial" w:cs="Arial"/>
                <w:lang w:val="en-GB"/>
              </w:rPr>
            </w:pPr>
            <w:r w:rsidRPr="00E14173">
              <w:rPr>
                <w:rFonts w:ascii="Arial" w:hAnsi="Arial" w:cs="Arial"/>
                <w:lang w:val="en-GB"/>
              </w:rPr>
              <w:t>64.03</w:t>
            </w:r>
          </w:p>
        </w:tc>
      </w:tr>
      <w:tr w:rsidR="00E14173" w:rsidRPr="00E14173" w:rsidTr="00037A65">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2011</w:t>
            </w:r>
          </w:p>
        </w:tc>
        <w:tc>
          <w:tcPr>
            <w:tcW w:w="1417"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84.71</w:t>
            </w:r>
          </w:p>
        </w:tc>
        <w:tc>
          <w:tcPr>
            <w:tcW w:w="86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14</w:t>
            </w:r>
          </w:p>
        </w:tc>
        <w:tc>
          <w:tcPr>
            <w:tcW w:w="1633"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4.40</w:t>
            </w:r>
          </w:p>
        </w:tc>
        <w:tc>
          <w:tcPr>
            <w:tcW w:w="1060" w:type="dxa"/>
            <w:tcBorders>
              <w:top w:val="nil"/>
              <w:left w:val="nil"/>
              <w:bottom w:val="single" w:sz="4" w:space="0" w:color="auto"/>
              <w:right w:val="single" w:sz="4" w:space="0" w:color="auto"/>
            </w:tcBorders>
            <w:vAlign w:val="center"/>
          </w:tcPr>
          <w:p w:rsidR="00E14173" w:rsidRPr="00E14173" w:rsidRDefault="00E14173" w:rsidP="00E14173">
            <w:pPr>
              <w:jc w:val="center"/>
              <w:rPr>
                <w:rFonts w:ascii="Arial" w:hAnsi="Arial" w:cs="Arial"/>
                <w:lang w:val="en-GB"/>
              </w:rPr>
            </w:pPr>
            <w:r w:rsidRPr="00E14173">
              <w:rPr>
                <w:rFonts w:ascii="Arial" w:hAnsi="Arial" w:cs="Arial"/>
                <w:lang w:val="en-GB"/>
              </w:rPr>
              <w:t>76.31</w:t>
            </w:r>
          </w:p>
        </w:tc>
      </w:tr>
      <w:tr w:rsidR="00E14173" w:rsidRPr="00E14173" w:rsidTr="00037A65">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2010</w:t>
            </w:r>
          </w:p>
        </w:tc>
        <w:tc>
          <w:tcPr>
            <w:tcW w:w="1417"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84.71</w:t>
            </w:r>
          </w:p>
        </w:tc>
        <w:tc>
          <w:tcPr>
            <w:tcW w:w="86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14</w:t>
            </w:r>
          </w:p>
        </w:tc>
        <w:tc>
          <w:tcPr>
            <w:tcW w:w="1633"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7.09</w:t>
            </w:r>
          </w:p>
        </w:tc>
        <w:tc>
          <w:tcPr>
            <w:tcW w:w="1060" w:type="dxa"/>
            <w:tcBorders>
              <w:top w:val="nil"/>
              <w:left w:val="nil"/>
              <w:bottom w:val="single" w:sz="4" w:space="0" w:color="auto"/>
              <w:right w:val="single" w:sz="4" w:space="0" w:color="auto"/>
            </w:tcBorders>
            <w:vAlign w:val="center"/>
          </w:tcPr>
          <w:p w:rsidR="00E14173" w:rsidRPr="00E14173" w:rsidRDefault="00E14173" w:rsidP="00E14173">
            <w:pPr>
              <w:jc w:val="center"/>
              <w:rPr>
                <w:rFonts w:ascii="Arial" w:hAnsi="Arial" w:cs="Arial"/>
                <w:lang w:val="en-GB"/>
              </w:rPr>
            </w:pPr>
            <w:r w:rsidRPr="00E14173">
              <w:rPr>
                <w:rFonts w:ascii="Arial" w:hAnsi="Arial" w:cs="Arial"/>
                <w:lang w:val="en-GB"/>
              </w:rPr>
              <w:t>47.96</w:t>
            </w:r>
          </w:p>
        </w:tc>
      </w:tr>
      <w:tr w:rsidR="00E14173" w:rsidRPr="00E14173" w:rsidTr="00037A65">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2009</w:t>
            </w:r>
          </w:p>
        </w:tc>
        <w:tc>
          <w:tcPr>
            <w:tcW w:w="1417"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62.53</w:t>
            </w:r>
          </w:p>
        </w:tc>
        <w:tc>
          <w:tcPr>
            <w:tcW w:w="86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10</w:t>
            </w:r>
          </w:p>
        </w:tc>
        <w:tc>
          <w:tcPr>
            <w:tcW w:w="1633"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13.56</w:t>
            </w:r>
          </w:p>
        </w:tc>
        <w:tc>
          <w:tcPr>
            <w:tcW w:w="1060" w:type="dxa"/>
            <w:tcBorders>
              <w:top w:val="nil"/>
              <w:left w:val="nil"/>
              <w:bottom w:val="single" w:sz="4" w:space="0" w:color="auto"/>
              <w:right w:val="single" w:sz="4" w:space="0" w:color="auto"/>
            </w:tcBorders>
            <w:vAlign w:val="center"/>
          </w:tcPr>
          <w:p w:rsidR="00E14173" w:rsidRPr="00E14173" w:rsidRDefault="00E14173" w:rsidP="00E14173">
            <w:pPr>
              <w:jc w:val="center"/>
              <w:rPr>
                <w:rFonts w:ascii="Arial" w:hAnsi="Arial" w:cs="Arial"/>
                <w:lang w:val="en-GB"/>
              </w:rPr>
            </w:pPr>
            <w:r w:rsidRPr="00E14173">
              <w:rPr>
                <w:rFonts w:ascii="Arial" w:hAnsi="Arial" w:cs="Arial"/>
                <w:lang w:val="en-GB"/>
              </w:rPr>
              <w:t>24.74</w:t>
            </w:r>
          </w:p>
        </w:tc>
      </w:tr>
      <w:tr w:rsidR="00E14173" w:rsidRPr="00E14173" w:rsidTr="00037A65">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2008</w:t>
            </w:r>
          </w:p>
        </w:tc>
        <w:tc>
          <w:tcPr>
            <w:tcW w:w="1417"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33.94</w:t>
            </w:r>
          </w:p>
        </w:tc>
        <w:tc>
          <w:tcPr>
            <w:tcW w:w="86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5</w:t>
            </w:r>
          </w:p>
        </w:tc>
        <w:tc>
          <w:tcPr>
            <w:tcW w:w="1633"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4.96</w:t>
            </w:r>
          </w:p>
        </w:tc>
        <w:tc>
          <w:tcPr>
            <w:tcW w:w="1060" w:type="dxa"/>
            <w:tcBorders>
              <w:top w:val="nil"/>
              <w:left w:val="nil"/>
              <w:bottom w:val="single" w:sz="4" w:space="0" w:color="auto"/>
              <w:right w:val="single" w:sz="4" w:space="0" w:color="auto"/>
            </w:tcBorders>
            <w:vAlign w:val="center"/>
          </w:tcPr>
          <w:p w:rsidR="00E14173" w:rsidRPr="00E14173" w:rsidRDefault="00E14173" w:rsidP="00E14173">
            <w:pPr>
              <w:jc w:val="center"/>
              <w:rPr>
                <w:rFonts w:ascii="Arial" w:hAnsi="Arial" w:cs="Arial"/>
                <w:lang w:val="en-GB"/>
              </w:rPr>
            </w:pPr>
            <w:r w:rsidRPr="00E14173">
              <w:rPr>
                <w:rFonts w:ascii="Arial" w:hAnsi="Arial" w:cs="Arial"/>
                <w:lang w:val="en-GB"/>
              </w:rPr>
              <w:t>19.30</w:t>
            </w:r>
          </w:p>
        </w:tc>
      </w:tr>
      <w:tr w:rsidR="00E14173" w:rsidRPr="00E14173" w:rsidTr="00037A65">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2007</w:t>
            </w:r>
          </w:p>
        </w:tc>
        <w:tc>
          <w:tcPr>
            <w:tcW w:w="1417"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40.73</w:t>
            </w:r>
          </w:p>
        </w:tc>
        <w:tc>
          <w:tcPr>
            <w:tcW w:w="86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6</w:t>
            </w:r>
          </w:p>
        </w:tc>
        <w:tc>
          <w:tcPr>
            <w:tcW w:w="1633"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4.95</w:t>
            </w:r>
          </w:p>
        </w:tc>
        <w:tc>
          <w:tcPr>
            <w:tcW w:w="1060" w:type="dxa"/>
            <w:tcBorders>
              <w:top w:val="nil"/>
              <w:left w:val="nil"/>
              <w:bottom w:val="single" w:sz="4" w:space="0" w:color="auto"/>
              <w:right w:val="single" w:sz="4" w:space="0" w:color="auto"/>
            </w:tcBorders>
            <w:vAlign w:val="center"/>
          </w:tcPr>
          <w:p w:rsidR="00E14173" w:rsidRPr="00E14173" w:rsidRDefault="00E14173" w:rsidP="00E14173">
            <w:pPr>
              <w:jc w:val="center"/>
              <w:rPr>
                <w:rFonts w:ascii="Arial" w:hAnsi="Arial" w:cs="Arial"/>
                <w:lang w:val="en-GB"/>
              </w:rPr>
            </w:pPr>
            <w:r w:rsidRPr="00E14173">
              <w:rPr>
                <w:rFonts w:ascii="Arial" w:hAnsi="Arial" w:cs="Arial"/>
                <w:lang w:val="en-GB"/>
              </w:rPr>
              <w:t>41.07</w:t>
            </w:r>
          </w:p>
        </w:tc>
      </w:tr>
      <w:tr w:rsidR="00E14173" w:rsidRPr="00E14173" w:rsidTr="00037A65">
        <w:trPr>
          <w:trHeight w:val="30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2006</w:t>
            </w:r>
          </w:p>
        </w:tc>
        <w:tc>
          <w:tcPr>
            <w:tcW w:w="1417"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19.36</w:t>
            </w:r>
          </w:p>
        </w:tc>
        <w:tc>
          <w:tcPr>
            <w:tcW w:w="868"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3</w:t>
            </w:r>
          </w:p>
        </w:tc>
        <w:tc>
          <w:tcPr>
            <w:tcW w:w="1633" w:type="dxa"/>
            <w:tcBorders>
              <w:top w:val="nil"/>
              <w:left w:val="nil"/>
              <w:bottom w:val="single" w:sz="4" w:space="0" w:color="auto"/>
              <w:right w:val="single" w:sz="4" w:space="0" w:color="auto"/>
            </w:tcBorders>
            <w:shd w:val="clear" w:color="auto" w:fill="auto"/>
            <w:noWrap/>
            <w:vAlign w:val="center"/>
            <w:hideMark/>
          </w:tcPr>
          <w:p w:rsidR="00E14173" w:rsidRPr="00E14173" w:rsidRDefault="00E14173" w:rsidP="00E14173">
            <w:pPr>
              <w:jc w:val="center"/>
              <w:rPr>
                <w:rFonts w:ascii="Arial" w:hAnsi="Arial" w:cs="Arial"/>
                <w:lang w:val="en-GB"/>
              </w:rPr>
            </w:pPr>
            <w:r w:rsidRPr="00E14173">
              <w:rPr>
                <w:rFonts w:ascii="Arial" w:hAnsi="Arial" w:cs="Arial"/>
                <w:lang w:val="en-GB"/>
              </w:rPr>
              <w:t>0.91</w:t>
            </w:r>
          </w:p>
        </w:tc>
        <w:tc>
          <w:tcPr>
            <w:tcW w:w="1060" w:type="dxa"/>
            <w:tcBorders>
              <w:top w:val="nil"/>
              <w:left w:val="nil"/>
              <w:bottom w:val="single" w:sz="4" w:space="0" w:color="auto"/>
              <w:right w:val="single" w:sz="4" w:space="0" w:color="auto"/>
            </w:tcBorders>
            <w:vAlign w:val="center"/>
          </w:tcPr>
          <w:p w:rsidR="00E14173" w:rsidRPr="00E14173" w:rsidRDefault="00E14173" w:rsidP="00E14173">
            <w:pPr>
              <w:jc w:val="center"/>
              <w:rPr>
                <w:rFonts w:ascii="Arial" w:hAnsi="Arial" w:cs="Arial"/>
                <w:lang w:val="en-GB"/>
              </w:rPr>
            </w:pPr>
            <w:r w:rsidRPr="00E14173">
              <w:rPr>
                <w:rFonts w:ascii="Arial" w:hAnsi="Arial" w:cs="Arial"/>
                <w:lang w:val="en-GB"/>
              </w:rPr>
              <w:t>15.57</w:t>
            </w:r>
          </w:p>
        </w:tc>
      </w:tr>
    </w:tbl>
    <w:p w:rsidR="00E14173" w:rsidRPr="00E14173" w:rsidRDefault="00E14173" w:rsidP="00E14173">
      <w:pPr>
        <w:tabs>
          <w:tab w:val="left" w:pos="-1440"/>
          <w:tab w:val="left" w:pos="-720"/>
          <w:tab w:val="left" w:pos="1"/>
          <w:tab w:val="right" w:pos="9000"/>
        </w:tabs>
        <w:jc w:val="both"/>
        <w:rPr>
          <w:rFonts w:ascii="Arial" w:hAnsi="Arial" w:cs="Arial"/>
          <w:iCs/>
          <w:sz w:val="17"/>
          <w:szCs w:val="17"/>
        </w:rPr>
      </w:pPr>
    </w:p>
    <w:p w:rsidR="00E14173" w:rsidRPr="00E14173" w:rsidRDefault="00E14173" w:rsidP="00E14173">
      <w:pPr>
        <w:tabs>
          <w:tab w:val="left" w:pos="-1440"/>
          <w:tab w:val="left" w:pos="-720"/>
          <w:tab w:val="left" w:pos="1"/>
          <w:tab w:val="right" w:pos="9000"/>
        </w:tabs>
        <w:jc w:val="both"/>
        <w:rPr>
          <w:rFonts w:ascii="Arial" w:hAnsi="Arial" w:cs="Arial"/>
          <w:iCs/>
          <w:sz w:val="17"/>
          <w:szCs w:val="17"/>
        </w:rPr>
      </w:pPr>
      <w:r w:rsidRPr="00E14173">
        <w:rPr>
          <w:rFonts w:ascii="Arial" w:hAnsi="Arial" w:cs="Arial"/>
          <w:iCs/>
          <w:sz w:val="17"/>
          <w:szCs w:val="17"/>
        </w:rPr>
        <w:t xml:space="preserve">Source: Prepared by the authors with information from the Capitaline Database, accessed July 8, 2015, </w:t>
      </w:r>
      <w:hyperlink r:id="rId12" w:history="1">
        <w:r w:rsidR="00037A65" w:rsidRPr="00E14173">
          <w:rPr>
            <w:rFonts w:ascii="Arial" w:hAnsi="Arial" w:cs="Arial"/>
            <w:iCs/>
            <w:sz w:val="17"/>
            <w:szCs w:val="17"/>
          </w:rPr>
          <w:t>www.capitaline.com</w:t>
        </w:r>
      </w:hyperlink>
      <w:r w:rsidRPr="00E14173">
        <w:rPr>
          <w:rFonts w:ascii="Arial" w:hAnsi="Arial" w:cs="Arial"/>
          <w:iCs/>
          <w:sz w:val="17"/>
          <w:szCs w:val="17"/>
        </w:rPr>
        <w:t>.</w:t>
      </w:r>
    </w:p>
    <w:p w:rsidR="00E14173" w:rsidRPr="00E14173" w:rsidRDefault="00E14173" w:rsidP="00817E62">
      <w:pPr>
        <w:pStyle w:val="BodyTextMain"/>
        <w:rPr>
          <w:lang w:val="en-GB"/>
        </w:rPr>
      </w:pPr>
    </w:p>
    <w:p w:rsidR="00E14173" w:rsidRPr="00E14173" w:rsidRDefault="00E14173" w:rsidP="00817E62">
      <w:pPr>
        <w:pStyle w:val="BodyTextMain"/>
        <w:rPr>
          <w:lang w:val="en-GB"/>
        </w:rPr>
      </w:pPr>
    </w:p>
    <w:p w:rsidR="00E14173" w:rsidRPr="00E14173" w:rsidRDefault="00E14173" w:rsidP="00817E62">
      <w:pPr>
        <w:pStyle w:val="Casehead1"/>
        <w:jc w:val="center"/>
        <w:rPr>
          <w:lang w:val="en-GB"/>
        </w:rPr>
      </w:pPr>
      <w:r w:rsidRPr="00E14173">
        <w:rPr>
          <w:lang w:val="en-GB"/>
        </w:rPr>
        <w:t>Exhibit 4: SRF Limited Stock Price Chart, 2006–2012 (</w:t>
      </w:r>
      <w:r w:rsidRPr="00E14173">
        <w:rPr>
          <w:bCs/>
          <w:lang w:val="en-GB"/>
        </w:rPr>
        <w:t>₹</w:t>
      </w:r>
      <w:r w:rsidRPr="00E14173">
        <w:rPr>
          <w:lang w:val="en-GB"/>
        </w:rPr>
        <w:t>)</w:t>
      </w:r>
    </w:p>
    <w:p w:rsidR="00E14173" w:rsidRPr="00E14173" w:rsidRDefault="00E14173" w:rsidP="00817E62">
      <w:pPr>
        <w:pStyle w:val="BodyTextMain"/>
        <w:rPr>
          <w:lang w:val="en-GB"/>
        </w:rPr>
      </w:pPr>
    </w:p>
    <w:p w:rsidR="00E14173" w:rsidRPr="00E14173" w:rsidRDefault="00E14173" w:rsidP="00E14173">
      <w:pPr>
        <w:jc w:val="center"/>
        <w:rPr>
          <w:caps/>
          <w:color w:val="000000" w:themeColor="text1"/>
          <w:sz w:val="22"/>
          <w:szCs w:val="22"/>
          <w:lang w:val="en-GB" w:eastAsia="en-IN"/>
        </w:rPr>
      </w:pPr>
      <w:r w:rsidRPr="00E14173">
        <w:rPr>
          <w:noProof/>
          <w:sz w:val="24"/>
          <w:szCs w:val="24"/>
          <w:lang w:val="en-GB" w:eastAsia="en-GB"/>
        </w:rPr>
        <w:drawing>
          <wp:inline distT="0" distB="0" distL="0" distR="0" wp14:anchorId="6F49F822" wp14:editId="03C11416">
            <wp:extent cx="5732145" cy="3596064"/>
            <wp:effectExtent l="0" t="0" r="20955" b="234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14173" w:rsidRPr="00E14173" w:rsidRDefault="00E14173" w:rsidP="00E14173">
      <w:pPr>
        <w:tabs>
          <w:tab w:val="left" w:pos="-1440"/>
          <w:tab w:val="left" w:pos="-720"/>
          <w:tab w:val="left" w:pos="1"/>
          <w:tab w:val="right" w:pos="9000"/>
        </w:tabs>
        <w:jc w:val="both"/>
        <w:rPr>
          <w:rFonts w:ascii="Arial" w:hAnsi="Arial" w:cs="Arial"/>
          <w:iCs/>
          <w:sz w:val="17"/>
          <w:szCs w:val="17"/>
          <w:lang w:val="en-GB"/>
        </w:rPr>
      </w:pPr>
    </w:p>
    <w:p w:rsidR="00E14173" w:rsidRPr="00E14173" w:rsidRDefault="00E14173" w:rsidP="00E14173">
      <w:pPr>
        <w:tabs>
          <w:tab w:val="left" w:pos="-1440"/>
          <w:tab w:val="left" w:pos="-720"/>
          <w:tab w:val="left" w:pos="1"/>
          <w:tab w:val="right" w:pos="9000"/>
        </w:tabs>
        <w:jc w:val="both"/>
        <w:rPr>
          <w:rFonts w:ascii="Arial" w:hAnsi="Arial" w:cs="Arial"/>
          <w:iCs/>
          <w:sz w:val="17"/>
          <w:szCs w:val="17"/>
          <w:lang w:val="en-GB"/>
        </w:rPr>
      </w:pPr>
      <w:r w:rsidRPr="00E14173">
        <w:rPr>
          <w:rFonts w:ascii="Arial" w:hAnsi="Arial" w:cs="Arial"/>
          <w:iCs/>
          <w:sz w:val="17"/>
          <w:szCs w:val="17"/>
          <w:lang w:val="en-GB"/>
        </w:rPr>
        <w:t>Source: Created by case writers using data from BSE, India, accessed April 18, 2017.</w:t>
      </w:r>
    </w:p>
    <w:p w:rsidR="00E14173" w:rsidRPr="00E14173" w:rsidRDefault="00E14173" w:rsidP="00E14173">
      <w:pPr>
        <w:jc w:val="both"/>
        <w:rPr>
          <w:caps/>
          <w:color w:val="000000" w:themeColor="text1"/>
          <w:sz w:val="22"/>
          <w:szCs w:val="22"/>
          <w:lang w:val="en-GB" w:eastAsia="en-IN"/>
        </w:rPr>
      </w:pPr>
    </w:p>
    <w:p w:rsidR="00E14173" w:rsidRPr="00E14173" w:rsidRDefault="00E14173" w:rsidP="00E14173">
      <w:pPr>
        <w:jc w:val="both"/>
        <w:rPr>
          <w:caps/>
          <w:color w:val="000000" w:themeColor="text1"/>
          <w:sz w:val="22"/>
          <w:szCs w:val="22"/>
          <w:lang w:val="en-GB" w:eastAsia="en-IN"/>
        </w:rPr>
      </w:pPr>
    </w:p>
    <w:p w:rsidR="00E14173" w:rsidRPr="00E14173" w:rsidRDefault="00E14173" w:rsidP="00E14173">
      <w:pPr>
        <w:spacing w:after="160" w:line="259" w:lineRule="auto"/>
        <w:rPr>
          <w:lang w:val="en-GB"/>
        </w:rPr>
      </w:pPr>
      <w:r w:rsidRPr="00E14173">
        <w:rPr>
          <w:lang w:val="en-GB"/>
        </w:rPr>
        <w:br w:type="page"/>
      </w:r>
    </w:p>
    <w:p w:rsidR="00E14173" w:rsidRPr="00E14173" w:rsidRDefault="00E14173" w:rsidP="00817E62">
      <w:pPr>
        <w:pStyle w:val="Casehead1"/>
        <w:jc w:val="center"/>
        <w:rPr>
          <w:lang w:val="en-GB"/>
        </w:rPr>
      </w:pPr>
      <w:r w:rsidRPr="00E14173">
        <w:rPr>
          <w:lang w:val="en-GB"/>
        </w:rPr>
        <w:lastRenderedPageBreak/>
        <w:t>Exhibit 5: Business Segments of SRF Limited</w:t>
      </w:r>
    </w:p>
    <w:p w:rsidR="00E14173" w:rsidRPr="00E14173" w:rsidRDefault="00E14173" w:rsidP="00817E62">
      <w:pPr>
        <w:pStyle w:val="BodyTextMain"/>
        <w:rPr>
          <w:lang w:val="en-GB"/>
        </w:rPr>
      </w:pPr>
    </w:p>
    <w:p w:rsidR="00E14173" w:rsidRPr="00E14173" w:rsidRDefault="00E14173" w:rsidP="00817E62">
      <w:pPr>
        <w:pStyle w:val="BodyTextMain"/>
        <w:rPr>
          <w:lang w:val="en-GB"/>
        </w:rPr>
      </w:pPr>
      <w:r w:rsidRPr="00E14173">
        <w:rPr>
          <w:noProof/>
          <w:lang w:val="en-GB" w:eastAsia="en-GB"/>
        </w:rPr>
        <mc:AlternateContent>
          <mc:Choice Requires="wps">
            <w:drawing>
              <wp:anchor distT="0" distB="0" distL="114300" distR="114300" simplePos="0" relativeHeight="251661312" behindDoc="0" locked="0" layoutInCell="1" allowOverlap="1" wp14:anchorId="19BAC110" wp14:editId="2C8D4BA5">
                <wp:simplePos x="0" y="0"/>
                <wp:positionH relativeFrom="column">
                  <wp:posOffset>2564130</wp:posOffset>
                </wp:positionH>
                <wp:positionV relativeFrom="paragraph">
                  <wp:posOffset>7620</wp:posOffset>
                </wp:positionV>
                <wp:extent cx="1104900" cy="428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04900" cy="428625"/>
                        </a:xfrm>
                        <a:prstGeom prst="rect">
                          <a:avLst/>
                        </a:prstGeom>
                        <a:noFill/>
                        <a:ln w="12700" cap="flat" cmpd="sng" algn="ctr">
                          <a:solidFill>
                            <a:sysClr val="windowText" lastClr="000000"/>
                          </a:solidFill>
                          <a:prstDash val="solid"/>
                        </a:ln>
                        <a:effectLst/>
                      </wps:spPr>
                      <wps:txbx>
                        <w:txbxContent>
                          <w:p w:rsidR="00A62944" w:rsidRPr="00806415" w:rsidRDefault="00A62944" w:rsidP="00E14173">
                            <w:pPr>
                              <w:jc w:val="center"/>
                              <w:rPr>
                                <w:rFonts w:ascii="Arial" w:hAnsi="Arial" w:cs="Arial"/>
                                <w:b/>
                                <w:color w:val="000000" w:themeColor="text1"/>
                              </w:rPr>
                            </w:pPr>
                            <w:r w:rsidRPr="00806415">
                              <w:rPr>
                                <w:rFonts w:ascii="Arial" w:hAnsi="Arial" w:cs="Arial"/>
                                <w:b/>
                                <w:color w:val="000000" w:themeColor="text1"/>
                              </w:rPr>
                              <w:t>SRF</w:t>
                            </w:r>
                            <w:r>
                              <w:rPr>
                                <w:rFonts w:ascii="Arial" w:hAnsi="Arial" w:cs="Arial"/>
                                <w:b/>
                                <w:color w:val="000000" w:themeColor="text1"/>
                              </w:rPr>
                              <w:t xml:space="preserve"> Limited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7" style="position:absolute;left:0;text-align:left;margin-left:201.9pt;margin-top:.6pt;width:87pt;height:3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" filled="f" strokecolor="windowText" strokeweight="1pt">
                <v:textbox>
                  <w:txbxContent>
                    <w:p w:rsidR="00A62944" w:rsidRPr="00806415" w:rsidRDefault="00A62944" w:rsidP="00E14173">
                      <w:pPr>
                        <w:jc w:val="center"/>
                        <w:rPr>
                          <w:rFonts w:ascii="Arial" w:hAnsi="Arial" w:cs="Arial"/>
                          <w:b/>
                          <w:color w:val="000000" w:themeColor="text1"/>
                        </w:rPr>
                      </w:pPr>
                      <w:r w:rsidRPr="00806415">
                        <w:rPr>
                          <w:rFonts w:ascii="Arial" w:hAnsi="Arial" w:cs="Arial"/>
                          <w:b/>
                          <w:color w:val="000000" w:themeColor="text1"/>
                        </w:rPr>
                        <w:t>SRF</w:t>
                      </w:r>
                      <w:r>
                        <w:rPr>
                          <w:rFonts w:ascii="Arial" w:hAnsi="Arial" w:cs="Arial"/>
                          <w:b/>
                          <w:color w:val="000000" w:themeColor="text1"/>
                        </w:rPr>
                        <w:t xml:space="preserve"> Limited</w:t>
                      </w:r>
                    </w:p>
                  </w:txbxContent>
                </v:textbox>
              </v:rect>
            </w:pict>
          </mc:Fallback>
        </mc:AlternateContent>
      </w:r>
    </w:p>
    <w:p w:rsidR="00E14173" w:rsidRPr="00E14173" w:rsidRDefault="00E14173" w:rsidP="00817E62">
      <w:pPr>
        <w:pStyle w:val="BodyTextMain"/>
        <w:rPr>
          <w:lang w:val="en-GB"/>
        </w:rPr>
      </w:pPr>
    </w:p>
    <w:p w:rsidR="00E14173" w:rsidRPr="00E14173" w:rsidRDefault="00FF6B17" w:rsidP="00817E62">
      <w:pPr>
        <w:pStyle w:val="BodyTextMain"/>
        <w:rPr>
          <w:lang w:val="en-GB"/>
        </w:rPr>
      </w:pPr>
      <w:r w:rsidRPr="00E14173">
        <w:rPr>
          <w:noProof/>
          <w:lang w:val="en-GB" w:eastAsia="en-GB"/>
        </w:rPr>
        <mc:AlternateContent>
          <mc:Choice Requires="wps">
            <w:drawing>
              <wp:anchor distT="0" distB="0" distL="114300" distR="114300" simplePos="0" relativeHeight="251668480" behindDoc="0" locked="0" layoutInCell="1" allowOverlap="1" wp14:anchorId="5792AB1D" wp14:editId="30BB5E57">
                <wp:simplePos x="0" y="0"/>
                <wp:positionH relativeFrom="column">
                  <wp:posOffset>3124200</wp:posOffset>
                </wp:positionH>
                <wp:positionV relativeFrom="paragraph">
                  <wp:posOffset>118745</wp:posOffset>
                </wp:positionV>
                <wp:extent cx="0" cy="257175"/>
                <wp:effectExtent l="0" t="0" r="19050" b="9525"/>
                <wp:wrapNone/>
                <wp:docPr id="11" name="Straight Arrow Connector 11"/>
                <wp:cNvGraphicFramePr/>
                <a:graphic xmlns:a="http://schemas.openxmlformats.org/drawingml/2006/main">
                  <a:graphicData uri="http://schemas.microsoft.com/office/word/2010/wordprocessingShape">
                    <wps:wsp>
                      <wps:cNvCnPr/>
                      <wps:spPr>
                        <a:xfrm>
                          <a:off x="0" y="0"/>
                          <a:ext cx="0" cy="257175"/>
                        </a:xfrm>
                        <a:prstGeom prst="straightConnector1">
                          <a:avLst/>
                        </a:prstGeom>
                        <a:noFill/>
                        <a:ln w="19050" cap="flat" cmpd="sng" algn="ctr">
                          <a:solidFill>
                            <a:sysClr val="windowText" lastClr="000000"/>
                          </a:solidFill>
                          <a:prstDash val="solid"/>
                          <a:headEnd type="none" w="med" len="med"/>
                          <a:tailEnd type="none" w="med" len="med"/>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46pt;margin-top:9.35pt;width:0;height:20.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" strokecolor="windowText" strokeweight="1.5pt"/>
            </w:pict>
          </mc:Fallback>
        </mc:AlternateContent>
      </w:r>
    </w:p>
    <w:p w:rsidR="00E14173" w:rsidRPr="00E14173" w:rsidRDefault="00E14173" w:rsidP="00817E62">
      <w:pPr>
        <w:pStyle w:val="BodyTextMain"/>
        <w:rPr>
          <w:lang w:val="en-GB"/>
        </w:rPr>
      </w:pPr>
    </w:p>
    <w:p w:rsidR="00E14173" w:rsidRPr="00E14173" w:rsidRDefault="00FF6B17" w:rsidP="00817E62">
      <w:pPr>
        <w:pStyle w:val="BodyTextMain"/>
        <w:rPr>
          <w:lang w:val="en-GB"/>
        </w:rPr>
      </w:pPr>
      <w:r w:rsidRPr="00E14173">
        <w:rPr>
          <w:noProof/>
          <w:lang w:val="en-GB" w:eastAsia="en-GB"/>
        </w:rPr>
        <mc:AlternateContent>
          <mc:Choice Requires="wps">
            <w:drawing>
              <wp:anchor distT="0" distB="0" distL="114300" distR="114300" simplePos="0" relativeHeight="251672576" behindDoc="0" locked="0" layoutInCell="1" allowOverlap="1" wp14:anchorId="0CAB1D7F" wp14:editId="1B975673">
                <wp:simplePos x="0" y="0"/>
                <wp:positionH relativeFrom="column">
                  <wp:posOffset>3124200</wp:posOffset>
                </wp:positionH>
                <wp:positionV relativeFrom="paragraph">
                  <wp:posOffset>74930</wp:posOffset>
                </wp:positionV>
                <wp:extent cx="0" cy="219075"/>
                <wp:effectExtent l="95250" t="0" r="57150" b="66675"/>
                <wp:wrapNone/>
                <wp:docPr id="23" name="Straight Arrow Connector 23"/>
                <wp:cNvGraphicFramePr/>
                <a:graphic xmlns:a="http://schemas.openxmlformats.org/drawingml/2006/main">
                  <a:graphicData uri="http://schemas.microsoft.com/office/word/2010/wordprocessingShape">
                    <wps:wsp>
                      <wps:cNvCnPr/>
                      <wps:spPr>
                        <a:xfrm>
                          <a:off x="0" y="0"/>
                          <a:ext cx="0" cy="219075"/>
                        </a:xfrm>
                        <a:prstGeom prst="straightConnector1">
                          <a:avLst/>
                        </a:prstGeom>
                        <a:noFill/>
                        <a:ln w="19050" cap="flat" cmpd="sng" algn="ctr">
                          <a:solidFill>
                            <a:sysClr val="windowText" lastClr="000000"/>
                          </a:solidFill>
                          <a:prstDash val="solid"/>
                          <a:tailEnd type="arrow"/>
                        </a:ln>
                        <a:effectLst/>
                      </wps:spPr>
                      <wps:bodyPr/>
                    </wps:wsp>
                  </a:graphicData>
                </a:graphic>
              </wp:anchor>
            </w:drawing>
          </mc:Choice>
          <mc:Fallback>
            <w:pict>
              <v:shape id="Straight Arrow Connector 23" o:spid="_x0000_s1026" type="#_x0000_t32" style="position:absolute;margin-left:246pt;margin-top:5.9pt;width:0;height:17.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" strokecolor="windowText" strokeweight="1.5pt">
                <v:stroke endarrow="open"/>
              </v:shape>
            </w:pict>
          </mc:Fallback>
        </mc:AlternateContent>
      </w:r>
      <w:r w:rsidRPr="00E14173">
        <w:rPr>
          <w:noProof/>
          <w:lang w:val="en-GB" w:eastAsia="en-GB"/>
        </w:rPr>
        <mc:AlternateContent>
          <mc:Choice Requires="wps">
            <w:drawing>
              <wp:anchor distT="0" distB="0" distL="114300" distR="114300" simplePos="0" relativeHeight="251673600" behindDoc="0" locked="0" layoutInCell="1" allowOverlap="1" wp14:anchorId="49546AE4" wp14:editId="46957DFA">
                <wp:simplePos x="0" y="0"/>
                <wp:positionH relativeFrom="column">
                  <wp:posOffset>4695825</wp:posOffset>
                </wp:positionH>
                <wp:positionV relativeFrom="paragraph">
                  <wp:posOffset>59690</wp:posOffset>
                </wp:positionV>
                <wp:extent cx="0" cy="22860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19050" cap="flat" cmpd="sng" algn="ctr">
                          <a:solidFill>
                            <a:sysClr val="windowText" lastClr="000000"/>
                          </a:solidFill>
                          <a:prstDash val="solid"/>
                          <a:tailEnd type="arrow"/>
                        </a:ln>
                        <a:effectLst/>
                      </wps:spPr>
                      <wps:bodyPr/>
                    </wps:wsp>
                  </a:graphicData>
                </a:graphic>
              </wp:anchor>
            </w:drawing>
          </mc:Choice>
          <mc:Fallback>
            <w:pict>
              <v:shape id="Straight Arrow Connector 24" o:spid="_x0000_s1026" type="#_x0000_t32" style="position:absolute;margin-left:369.75pt;margin-top:4.7pt;width:0;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" strokecolor="windowText" strokeweight="1.5pt">
                <v:stroke endarrow="open"/>
              </v:shape>
            </w:pict>
          </mc:Fallback>
        </mc:AlternateContent>
      </w:r>
      <w:r w:rsidRPr="00E14173">
        <w:rPr>
          <w:noProof/>
          <w:lang w:val="en-GB" w:eastAsia="en-GB"/>
        </w:rPr>
        <mc:AlternateContent>
          <mc:Choice Requires="wps">
            <w:drawing>
              <wp:anchor distT="0" distB="0" distL="114300" distR="114300" simplePos="0" relativeHeight="251670528" behindDoc="0" locked="0" layoutInCell="1" allowOverlap="1" wp14:anchorId="700EAECB" wp14:editId="7E548CD1">
                <wp:simplePos x="0" y="0"/>
                <wp:positionH relativeFrom="column">
                  <wp:posOffset>1457325</wp:posOffset>
                </wp:positionH>
                <wp:positionV relativeFrom="paragraph">
                  <wp:posOffset>59690</wp:posOffset>
                </wp:positionV>
                <wp:extent cx="0" cy="209550"/>
                <wp:effectExtent l="9525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209550"/>
                        </a:xfrm>
                        <a:prstGeom prst="straightConnector1">
                          <a:avLst/>
                        </a:prstGeom>
                        <a:noFill/>
                        <a:ln w="19050" cap="flat" cmpd="sng" algn="ctr">
                          <a:solidFill>
                            <a:sysClr val="windowText" lastClr="000000"/>
                          </a:solidFill>
                          <a:prstDash val="solid"/>
                          <a:tailEnd type="arrow"/>
                        </a:ln>
                        <a:effectLst/>
                      </wps:spPr>
                      <wps:bodyPr/>
                    </wps:wsp>
                  </a:graphicData>
                </a:graphic>
              </wp:anchor>
            </w:drawing>
          </mc:Choice>
          <mc:Fallback>
            <w:pict>
              <v:shape id="Straight Arrow Connector 13" o:spid="_x0000_s1026" type="#_x0000_t32" style="position:absolute;margin-left:114.75pt;margin-top:4.7pt;width:0;height:1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" strokecolor="windowText" strokeweight="1.5pt">
                <v:stroke endarrow="open"/>
              </v:shape>
            </w:pict>
          </mc:Fallback>
        </mc:AlternateContent>
      </w:r>
      <w:r w:rsidRPr="00E14173">
        <w:rPr>
          <w:noProof/>
          <w:lang w:val="en-GB" w:eastAsia="en-GB"/>
        </w:rPr>
        <mc:AlternateContent>
          <mc:Choice Requires="wps">
            <w:drawing>
              <wp:anchor distT="0" distB="0" distL="114300" distR="114300" simplePos="0" relativeHeight="251669504" behindDoc="0" locked="0" layoutInCell="1" allowOverlap="1" wp14:anchorId="4B408657" wp14:editId="056EA11C">
                <wp:simplePos x="0" y="0"/>
                <wp:positionH relativeFrom="column">
                  <wp:posOffset>1457325</wp:posOffset>
                </wp:positionH>
                <wp:positionV relativeFrom="paragraph">
                  <wp:posOffset>64770</wp:posOffset>
                </wp:positionV>
                <wp:extent cx="3238500" cy="0"/>
                <wp:effectExtent l="0" t="0" r="19050" b="19050"/>
                <wp:wrapNone/>
                <wp:docPr id="12" name="Straight Arrow Connector 12"/>
                <wp:cNvGraphicFramePr/>
                <a:graphic xmlns:a="http://schemas.openxmlformats.org/drawingml/2006/main">
                  <a:graphicData uri="http://schemas.microsoft.com/office/word/2010/wordprocessingShape">
                    <wps:wsp>
                      <wps:cNvCnPr/>
                      <wps:spPr>
                        <a:xfrm>
                          <a:off x="0" y="0"/>
                          <a:ext cx="3238500" cy="0"/>
                        </a:xfrm>
                        <a:prstGeom prst="straightConnector1">
                          <a:avLst/>
                        </a:prstGeom>
                        <a:noFill/>
                        <a:ln w="19050" cap="flat" cmpd="sng" algn="ctr">
                          <a:solidFill>
                            <a:sysClr val="windowText" lastClr="000000"/>
                          </a:solidFill>
                          <a:prstDash val="solid"/>
                          <a:headEnd type="none" w="med" len="med"/>
                          <a:tailEnd type="none" w="med" len="med"/>
                        </a:ln>
                        <a:effectLst/>
                      </wps:spPr>
                      <wps:bodyPr/>
                    </wps:wsp>
                  </a:graphicData>
                </a:graphic>
                <wp14:sizeRelH relativeFrom="margin">
                  <wp14:pctWidth>0</wp14:pctWidth>
                </wp14:sizeRelH>
              </wp:anchor>
            </w:drawing>
          </mc:Choice>
          <mc:Fallback>
            <w:pict>
              <v:shape id="Straight Arrow Connector 12" o:spid="_x0000_s1026" type="#_x0000_t32" style="position:absolute;margin-left:114.75pt;margin-top:5.1pt;width:25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" strokecolor="windowText" strokeweight="1.5pt"/>
            </w:pict>
          </mc:Fallback>
        </mc:AlternateContent>
      </w:r>
    </w:p>
    <w:p w:rsidR="00E14173" w:rsidRPr="00E14173" w:rsidRDefault="00FF6B17" w:rsidP="00817E62">
      <w:pPr>
        <w:pStyle w:val="BodyTextMain"/>
        <w:rPr>
          <w:lang w:val="en-GB"/>
        </w:rPr>
      </w:pPr>
      <w:r w:rsidRPr="00E14173">
        <w:rPr>
          <w:noProof/>
          <w:lang w:val="en-GB" w:eastAsia="en-GB"/>
        </w:rPr>
        <mc:AlternateContent>
          <mc:Choice Requires="wps">
            <w:drawing>
              <wp:anchor distT="0" distB="0" distL="114300" distR="114300" simplePos="0" relativeHeight="251664384" behindDoc="0" locked="0" layoutInCell="1" allowOverlap="1" wp14:anchorId="1909707F" wp14:editId="1A2D7043">
                <wp:simplePos x="0" y="0"/>
                <wp:positionH relativeFrom="column">
                  <wp:posOffset>4182110</wp:posOffset>
                </wp:positionH>
                <wp:positionV relativeFrom="paragraph">
                  <wp:posOffset>139700</wp:posOffset>
                </wp:positionV>
                <wp:extent cx="1142365" cy="690245"/>
                <wp:effectExtent l="0" t="0" r="19685" b="14605"/>
                <wp:wrapNone/>
                <wp:docPr id="7" name="Rectangle 7"/>
                <wp:cNvGraphicFramePr/>
                <a:graphic xmlns:a="http://schemas.openxmlformats.org/drawingml/2006/main">
                  <a:graphicData uri="http://schemas.microsoft.com/office/word/2010/wordprocessingShape">
                    <wps:wsp>
                      <wps:cNvSpPr/>
                      <wps:spPr>
                        <a:xfrm>
                          <a:off x="0" y="0"/>
                          <a:ext cx="1142365" cy="690245"/>
                        </a:xfrm>
                        <a:prstGeom prst="rect">
                          <a:avLst/>
                        </a:prstGeom>
                        <a:noFill/>
                        <a:ln w="12700" cap="flat" cmpd="sng" algn="ctr">
                          <a:solidFill>
                            <a:sysClr val="windowText" lastClr="000000"/>
                          </a:solidFill>
                          <a:prstDash val="solid"/>
                        </a:ln>
                        <a:effectLst/>
                      </wps:spPr>
                      <wps:txbx>
                        <w:txbxContent>
                          <w:p w:rsidR="00A62944" w:rsidRPr="00B16A92" w:rsidRDefault="00A62944" w:rsidP="00E14173">
                            <w:pPr>
                              <w:jc w:val="center"/>
                              <w:rPr>
                                <w:rFonts w:ascii="Arial" w:hAnsi="Arial" w:cs="Arial"/>
                                <w:b/>
                                <w:color w:val="000000" w:themeColor="text1"/>
                              </w:rPr>
                            </w:pPr>
                            <w:r w:rsidRPr="00B16A92">
                              <w:rPr>
                                <w:rFonts w:ascii="Arial" w:hAnsi="Arial" w:cs="Arial"/>
                                <w:b/>
                                <w:color w:val="000000" w:themeColor="text1"/>
                              </w:rPr>
                              <w:t>Packaging Films Business (PFB)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left:0;text-align:left;margin-left:329.3pt;margin-top:11pt;width:89.95pt;height:5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" filled="f" strokecolor="windowText" strokeweight="1pt">
                <v:textbox>
                  <w:txbxContent>
                    <w:p w:rsidR="00A62944" w:rsidRPr="00B16A92" w:rsidRDefault="00A62944" w:rsidP="00E14173">
                      <w:pPr>
                        <w:jc w:val="center"/>
                        <w:rPr>
                          <w:rFonts w:ascii="Arial" w:hAnsi="Arial" w:cs="Arial"/>
                          <w:b/>
                          <w:color w:val="000000" w:themeColor="text1"/>
                        </w:rPr>
                      </w:pPr>
                      <w:r w:rsidRPr="00B16A92">
                        <w:rPr>
                          <w:rFonts w:ascii="Arial" w:hAnsi="Arial" w:cs="Arial"/>
                          <w:b/>
                          <w:color w:val="000000" w:themeColor="text1"/>
                        </w:rPr>
                        <w:t>Packaging Films Business (PFB)</w:t>
                      </w:r>
                    </w:p>
                  </w:txbxContent>
                </v:textbox>
              </v:rect>
            </w:pict>
          </mc:Fallback>
        </mc:AlternateContent>
      </w:r>
      <w:r w:rsidRPr="00E14173">
        <w:rPr>
          <w:noProof/>
          <w:lang w:val="en-GB" w:eastAsia="en-GB"/>
        </w:rPr>
        <mc:AlternateContent>
          <mc:Choice Requires="wps">
            <w:drawing>
              <wp:anchor distT="0" distB="0" distL="114300" distR="114300" simplePos="0" relativeHeight="251663360" behindDoc="0" locked="0" layoutInCell="1" allowOverlap="1" wp14:anchorId="4ABACC86" wp14:editId="7B4507AB">
                <wp:simplePos x="0" y="0"/>
                <wp:positionH relativeFrom="column">
                  <wp:posOffset>2569845</wp:posOffset>
                </wp:positionH>
                <wp:positionV relativeFrom="paragraph">
                  <wp:posOffset>155575</wp:posOffset>
                </wp:positionV>
                <wp:extent cx="1142365" cy="690245"/>
                <wp:effectExtent l="0" t="0" r="19685" b="14605"/>
                <wp:wrapNone/>
                <wp:docPr id="6" name="Rectangle 6"/>
                <wp:cNvGraphicFramePr/>
                <a:graphic xmlns:a="http://schemas.openxmlformats.org/drawingml/2006/main">
                  <a:graphicData uri="http://schemas.microsoft.com/office/word/2010/wordprocessingShape">
                    <wps:wsp>
                      <wps:cNvSpPr/>
                      <wps:spPr>
                        <a:xfrm>
                          <a:off x="0" y="0"/>
                          <a:ext cx="1142365" cy="690245"/>
                        </a:xfrm>
                        <a:prstGeom prst="rect">
                          <a:avLst/>
                        </a:prstGeom>
                        <a:noFill/>
                        <a:ln w="12700" cap="flat" cmpd="sng" algn="ctr">
                          <a:solidFill>
                            <a:sysClr val="windowText" lastClr="000000"/>
                          </a:solidFill>
                          <a:prstDash val="solid"/>
                        </a:ln>
                        <a:effectLst/>
                      </wps:spPr>
                      <wps:txbx>
                        <w:txbxContent>
                          <w:p w:rsidR="00A62944" w:rsidRPr="00B16A92" w:rsidRDefault="00A62944" w:rsidP="00E14173">
                            <w:pPr>
                              <w:jc w:val="center"/>
                              <w:rPr>
                                <w:rFonts w:ascii="Arial" w:hAnsi="Arial" w:cs="Arial"/>
                                <w:b/>
                                <w:color w:val="000000" w:themeColor="text1"/>
                              </w:rPr>
                            </w:pPr>
                            <w:r w:rsidRPr="00B16A92">
                              <w:rPr>
                                <w:rFonts w:ascii="Arial" w:hAnsi="Arial" w:cs="Arial"/>
                                <w:b/>
                                <w:color w:val="000000" w:themeColor="text1"/>
                              </w:rPr>
                              <w:t xml:space="preserve">Chemicals </w:t>
                            </w:r>
                            <w:r>
                              <w:rPr>
                                <w:rFonts w:ascii="Arial" w:hAnsi="Arial" w:cs="Arial"/>
                                <w:b/>
                                <w:color w:val="000000" w:themeColor="text1"/>
                              </w:rPr>
                              <w:t>and</w:t>
                            </w:r>
                            <w:r w:rsidRPr="00B16A92">
                              <w:rPr>
                                <w:rFonts w:ascii="Arial" w:hAnsi="Arial" w:cs="Arial"/>
                                <w:b/>
                                <w:color w:val="000000" w:themeColor="text1"/>
                              </w:rPr>
                              <w:t xml:space="preserve"> Polymers Business (CPB)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left:0;text-align:left;margin-left:202.35pt;margin-top:12.25pt;width:89.95pt;height:5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" filled="f" strokecolor="windowText" strokeweight="1pt">
                <v:textbox>
                  <w:txbxContent>
                    <w:p w:rsidR="00A62944" w:rsidRPr="00B16A92" w:rsidRDefault="00A62944" w:rsidP="00E14173">
                      <w:pPr>
                        <w:jc w:val="center"/>
                        <w:rPr>
                          <w:rFonts w:ascii="Arial" w:hAnsi="Arial" w:cs="Arial"/>
                          <w:b/>
                          <w:color w:val="000000" w:themeColor="text1"/>
                        </w:rPr>
                      </w:pPr>
                      <w:r w:rsidRPr="00B16A92">
                        <w:rPr>
                          <w:rFonts w:ascii="Arial" w:hAnsi="Arial" w:cs="Arial"/>
                          <w:b/>
                          <w:color w:val="000000" w:themeColor="text1"/>
                        </w:rPr>
                        <w:t xml:space="preserve">Chemicals </w:t>
                      </w:r>
                      <w:r>
                        <w:rPr>
                          <w:rFonts w:ascii="Arial" w:hAnsi="Arial" w:cs="Arial"/>
                          <w:b/>
                          <w:color w:val="000000" w:themeColor="text1"/>
                        </w:rPr>
                        <w:t>and</w:t>
                      </w:r>
                      <w:r w:rsidRPr="00B16A92">
                        <w:rPr>
                          <w:rFonts w:ascii="Arial" w:hAnsi="Arial" w:cs="Arial"/>
                          <w:b/>
                          <w:color w:val="000000" w:themeColor="text1"/>
                        </w:rPr>
                        <w:t xml:space="preserve"> Polymers Business (CPB)</w:t>
                      </w:r>
                    </w:p>
                  </w:txbxContent>
                </v:textbox>
              </v:rect>
            </w:pict>
          </mc:Fallback>
        </mc:AlternateContent>
      </w:r>
      <w:r w:rsidRPr="00E14173">
        <w:rPr>
          <w:noProof/>
          <w:lang w:val="en-GB" w:eastAsia="en-GB"/>
        </w:rPr>
        <mc:AlternateContent>
          <mc:Choice Requires="wps">
            <w:drawing>
              <wp:anchor distT="0" distB="0" distL="114300" distR="114300" simplePos="0" relativeHeight="251662336" behindDoc="0" locked="0" layoutInCell="1" allowOverlap="1" wp14:anchorId="224426E8" wp14:editId="2B954875">
                <wp:simplePos x="0" y="0"/>
                <wp:positionH relativeFrom="column">
                  <wp:posOffset>902970</wp:posOffset>
                </wp:positionH>
                <wp:positionV relativeFrom="paragraph">
                  <wp:posOffset>135890</wp:posOffset>
                </wp:positionV>
                <wp:extent cx="1142365" cy="690245"/>
                <wp:effectExtent l="0" t="0" r="19685" b="14605"/>
                <wp:wrapNone/>
                <wp:docPr id="3" name="Rectangle 3"/>
                <wp:cNvGraphicFramePr/>
                <a:graphic xmlns:a="http://schemas.openxmlformats.org/drawingml/2006/main">
                  <a:graphicData uri="http://schemas.microsoft.com/office/word/2010/wordprocessingShape">
                    <wps:wsp>
                      <wps:cNvSpPr/>
                      <wps:spPr>
                        <a:xfrm>
                          <a:off x="0" y="0"/>
                          <a:ext cx="1142365" cy="690245"/>
                        </a:xfrm>
                        <a:prstGeom prst="rect">
                          <a:avLst/>
                        </a:prstGeom>
                        <a:noFill/>
                        <a:ln w="12700" cap="flat" cmpd="sng" algn="ctr">
                          <a:solidFill>
                            <a:sysClr val="windowText" lastClr="000000"/>
                          </a:solidFill>
                          <a:prstDash val="solid"/>
                        </a:ln>
                        <a:effectLst/>
                      </wps:spPr>
                      <wps:txbx>
                        <w:txbxContent>
                          <w:p w:rsidR="00A62944" w:rsidRPr="00B16A92" w:rsidRDefault="00A62944" w:rsidP="00E14173">
                            <w:pPr>
                              <w:jc w:val="center"/>
                              <w:rPr>
                                <w:rFonts w:ascii="Arial" w:hAnsi="Arial" w:cs="Arial"/>
                                <w:b/>
                                <w:color w:val="000000" w:themeColor="text1"/>
                              </w:rPr>
                            </w:pPr>
                            <w:r w:rsidRPr="00B16A92">
                              <w:rPr>
                                <w:rFonts w:ascii="Arial" w:hAnsi="Arial" w:cs="Arial"/>
                                <w:b/>
                                <w:color w:val="000000" w:themeColor="text1"/>
                              </w:rPr>
                              <w:t>Technical Textile Business (TTB)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left:0;text-align:left;margin-left:71.1pt;margin-top:10.7pt;width:89.95pt;height:5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" filled="f" strokecolor="windowText" strokeweight="1pt">
                <v:textbox>
                  <w:txbxContent>
                    <w:p w:rsidR="00A62944" w:rsidRPr="00B16A92" w:rsidRDefault="00A62944" w:rsidP="00E14173">
                      <w:pPr>
                        <w:jc w:val="center"/>
                        <w:rPr>
                          <w:rFonts w:ascii="Arial" w:hAnsi="Arial" w:cs="Arial"/>
                          <w:b/>
                          <w:color w:val="000000" w:themeColor="text1"/>
                        </w:rPr>
                      </w:pPr>
                      <w:r w:rsidRPr="00B16A92">
                        <w:rPr>
                          <w:rFonts w:ascii="Arial" w:hAnsi="Arial" w:cs="Arial"/>
                          <w:b/>
                          <w:color w:val="000000" w:themeColor="text1"/>
                        </w:rPr>
                        <w:t>Technical Textile Business (TTB)</w:t>
                      </w:r>
                    </w:p>
                  </w:txbxContent>
                </v:textbox>
              </v:rect>
            </w:pict>
          </mc:Fallback>
        </mc:AlternateContent>
      </w:r>
    </w:p>
    <w:p w:rsidR="00E14173" w:rsidRPr="00E14173" w:rsidRDefault="00E14173" w:rsidP="00817E62">
      <w:pPr>
        <w:pStyle w:val="BodyTextMain"/>
        <w:rPr>
          <w:lang w:val="en-GB"/>
        </w:rPr>
      </w:pPr>
    </w:p>
    <w:p w:rsidR="00E14173" w:rsidRPr="00E14173" w:rsidRDefault="00E14173" w:rsidP="00817E62">
      <w:pPr>
        <w:pStyle w:val="BodyTextMain"/>
        <w:rPr>
          <w:lang w:val="en-GB"/>
        </w:rPr>
      </w:pPr>
    </w:p>
    <w:p w:rsidR="00E14173" w:rsidRPr="00E14173" w:rsidRDefault="00E14173" w:rsidP="00817E62">
      <w:pPr>
        <w:pStyle w:val="BodyTextMain"/>
        <w:rPr>
          <w:lang w:val="en-GB"/>
        </w:rPr>
      </w:pPr>
    </w:p>
    <w:p w:rsidR="00E14173" w:rsidRPr="00E14173" w:rsidRDefault="00E14173" w:rsidP="00817E62">
      <w:pPr>
        <w:pStyle w:val="BodyTextMain"/>
        <w:rPr>
          <w:lang w:val="en-GB"/>
        </w:rPr>
      </w:pPr>
    </w:p>
    <w:p w:rsidR="00E14173" w:rsidRPr="00E14173" w:rsidRDefault="00FF6B17" w:rsidP="00817E62">
      <w:pPr>
        <w:pStyle w:val="BodyTextMain"/>
        <w:rPr>
          <w:lang w:val="en-GB"/>
        </w:rPr>
      </w:pPr>
      <w:r w:rsidRPr="00E14173">
        <w:rPr>
          <w:noProof/>
          <w:lang w:val="en-GB" w:eastAsia="en-GB"/>
        </w:rPr>
        <mc:AlternateContent>
          <mc:Choice Requires="wps">
            <w:drawing>
              <wp:anchor distT="0" distB="0" distL="114300" distR="114300" simplePos="0" relativeHeight="251675648" behindDoc="0" locked="0" layoutInCell="1" allowOverlap="1" wp14:anchorId="739C5B95" wp14:editId="50726069">
                <wp:simplePos x="0" y="0"/>
                <wp:positionH relativeFrom="column">
                  <wp:posOffset>4772025</wp:posOffset>
                </wp:positionH>
                <wp:positionV relativeFrom="paragraph">
                  <wp:posOffset>33655</wp:posOffset>
                </wp:positionV>
                <wp:extent cx="0" cy="357505"/>
                <wp:effectExtent l="95250" t="0" r="95250" b="61595"/>
                <wp:wrapNone/>
                <wp:docPr id="26" name="Straight Arrow Connector 26"/>
                <wp:cNvGraphicFramePr/>
                <a:graphic xmlns:a="http://schemas.openxmlformats.org/drawingml/2006/main">
                  <a:graphicData uri="http://schemas.microsoft.com/office/word/2010/wordprocessingShape">
                    <wps:wsp>
                      <wps:cNvCnPr/>
                      <wps:spPr>
                        <a:xfrm>
                          <a:off x="0" y="0"/>
                          <a:ext cx="0" cy="357505"/>
                        </a:xfrm>
                        <a:prstGeom prst="straightConnector1">
                          <a:avLst/>
                        </a:prstGeom>
                        <a:noFill/>
                        <a:ln w="19050" cap="flat" cmpd="sng" algn="ctr">
                          <a:solidFill>
                            <a:sysClr val="windowText" lastClr="000000"/>
                          </a:solidFill>
                          <a:prstDash val="solid"/>
                          <a:tailEnd type="arrow"/>
                        </a:ln>
                        <a:effectLst/>
                      </wps:spPr>
                      <wps:bodyPr/>
                    </wps:wsp>
                  </a:graphicData>
                </a:graphic>
              </wp:anchor>
            </w:drawing>
          </mc:Choice>
          <mc:Fallback>
            <w:pict>
              <v:shape id="Straight Arrow Connector 26" o:spid="_x0000_s1026" type="#_x0000_t32" style="position:absolute;margin-left:375.75pt;margin-top:2.65pt;width:0;height:28.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" strokecolor="windowText" strokeweight="1.5pt">
                <v:stroke endarrow="open"/>
              </v:shape>
            </w:pict>
          </mc:Fallback>
        </mc:AlternateContent>
      </w:r>
      <w:r w:rsidRPr="00E14173">
        <w:rPr>
          <w:noProof/>
          <w:lang w:val="en-GB" w:eastAsia="en-GB"/>
        </w:rPr>
        <mc:AlternateContent>
          <mc:Choice Requires="wps">
            <w:drawing>
              <wp:anchor distT="0" distB="0" distL="114300" distR="114300" simplePos="0" relativeHeight="251674624" behindDoc="0" locked="0" layoutInCell="1" allowOverlap="1" wp14:anchorId="27D13C9A" wp14:editId="210EB092">
                <wp:simplePos x="0" y="0"/>
                <wp:positionH relativeFrom="column">
                  <wp:posOffset>3190875</wp:posOffset>
                </wp:positionH>
                <wp:positionV relativeFrom="paragraph">
                  <wp:posOffset>57785</wp:posOffset>
                </wp:positionV>
                <wp:extent cx="0" cy="347980"/>
                <wp:effectExtent l="95250" t="0" r="95250" b="52070"/>
                <wp:wrapNone/>
                <wp:docPr id="25" name="Straight Arrow Connector 25"/>
                <wp:cNvGraphicFramePr/>
                <a:graphic xmlns:a="http://schemas.openxmlformats.org/drawingml/2006/main">
                  <a:graphicData uri="http://schemas.microsoft.com/office/word/2010/wordprocessingShape">
                    <wps:wsp>
                      <wps:cNvCnPr/>
                      <wps:spPr>
                        <a:xfrm>
                          <a:off x="0" y="0"/>
                          <a:ext cx="0" cy="347980"/>
                        </a:xfrm>
                        <a:prstGeom prst="straightConnector1">
                          <a:avLst/>
                        </a:prstGeom>
                        <a:noFill/>
                        <a:ln w="19050" cap="flat" cmpd="sng" algn="ctr">
                          <a:solidFill>
                            <a:sysClr val="windowText" lastClr="000000"/>
                          </a:solidFill>
                          <a:prstDash val="solid"/>
                          <a:tailEnd type="arrow"/>
                        </a:ln>
                        <a:effectLst/>
                      </wps:spPr>
                      <wps:bodyPr/>
                    </wps:wsp>
                  </a:graphicData>
                </a:graphic>
              </wp:anchor>
            </w:drawing>
          </mc:Choice>
          <mc:Fallback>
            <w:pict>
              <v:shape id="Straight Arrow Connector 25" o:spid="_x0000_s1026" type="#_x0000_t32" style="position:absolute;margin-left:251.25pt;margin-top:4.55pt;width:0;height:27.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" strokecolor="windowText" strokeweight="1.5pt">
                <v:stroke endarrow="open"/>
              </v:shape>
            </w:pict>
          </mc:Fallback>
        </mc:AlternateContent>
      </w:r>
      <w:r w:rsidRPr="00E14173">
        <w:rPr>
          <w:noProof/>
          <w:lang w:val="en-GB" w:eastAsia="en-GB"/>
        </w:rPr>
        <mc:AlternateContent>
          <mc:Choice Requires="wps">
            <w:drawing>
              <wp:anchor distT="0" distB="0" distL="114300" distR="114300" simplePos="0" relativeHeight="251671552" behindDoc="0" locked="0" layoutInCell="1" allowOverlap="1" wp14:anchorId="4B989599" wp14:editId="37AFF024">
                <wp:simplePos x="0" y="0"/>
                <wp:positionH relativeFrom="column">
                  <wp:posOffset>1443990</wp:posOffset>
                </wp:positionH>
                <wp:positionV relativeFrom="paragraph">
                  <wp:posOffset>34290</wp:posOffset>
                </wp:positionV>
                <wp:extent cx="0" cy="367030"/>
                <wp:effectExtent l="95250" t="0" r="95250" b="52070"/>
                <wp:wrapNone/>
                <wp:docPr id="20" name="Straight Arrow Connector 20"/>
                <wp:cNvGraphicFramePr/>
                <a:graphic xmlns:a="http://schemas.openxmlformats.org/drawingml/2006/main">
                  <a:graphicData uri="http://schemas.microsoft.com/office/word/2010/wordprocessingShape">
                    <wps:wsp>
                      <wps:cNvCnPr/>
                      <wps:spPr>
                        <a:xfrm>
                          <a:off x="0" y="0"/>
                          <a:ext cx="0" cy="367030"/>
                        </a:xfrm>
                        <a:prstGeom prst="straightConnector1">
                          <a:avLst/>
                        </a:prstGeom>
                        <a:noFill/>
                        <a:ln w="19050" cap="flat" cmpd="sng" algn="ctr">
                          <a:solidFill>
                            <a:sysClr val="windowText" lastClr="000000"/>
                          </a:solidFill>
                          <a:prstDash val="solid"/>
                          <a:tailEnd type="arrow"/>
                        </a:ln>
                        <a:effectLst/>
                      </wps:spPr>
                      <wps:bodyPr/>
                    </wps:wsp>
                  </a:graphicData>
                </a:graphic>
              </wp:anchor>
            </w:drawing>
          </mc:Choice>
          <mc:Fallback>
            <w:pict>
              <v:shape id="Straight Arrow Connector 20" o:spid="_x0000_s1026" type="#_x0000_t32" style="position:absolute;margin-left:113.7pt;margin-top:2.7pt;width:0;height:28.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" strokecolor="windowText" strokeweight="1.5pt">
                <v:stroke endarrow="open"/>
              </v:shape>
            </w:pict>
          </mc:Fallback>
        </mc:AlternateContent>
      </w:r>
    </w:p>
    <w:p w:rsidR="00E14173" w:rsidRPr="00E14173" w:rsidRDefault="00E14173" w:rsidP="00817E62">
      <w:pPr>
        <w:pStyle w:val="BodyTextMain"/>
        <w:rPr>
          <w:lang w:val="en-GB"/>
        </w:rPr>
      </w:pPr>
    </w:p>
    <w:p w:rsidR="00E14173" w:rsidRPr="00E14173" w:rsidRDefault="00FF6B17" w:rsidP="00817E62">
      <w:pPr>
        <w:pStyle w:val="BodyTextMain"/>
        <w:rPr>
          <w:lang w:val="en-GB"/>
        </w:rPr>
      </w:pPr>
      <w:r w:rsidRPr="00E14173">
        <w:rPr>
          <w:noProof/>
          <w:lang w:val="en-GB" w:eastAsia="en-GB"/>
        </w:rPr>
        <mc:AlternateContent>
          <mc:Choice Requires="wps">
            <w:drawing>
              <wp:anchor distT="0" distB="0" distL="114300" distR="114300" simplePos="0" relativeHeight="251667456" behindDoc="0" locked="0" layoutInCell="1" allowOverlap="1" wp14:anchorId="545AA529" wp14:editId="347EF847">
                <wp:simplePos x="0" y="0"/>
                <wp:positionH relativeFrom="column">
                  <wp:posOffset>4133850</wp:posOffset>
                </wp:positionH>
                <wp:positionV relativeFrom="paragraph">
                  <wp:posOffset>80010</wp:posOffset>
                </wp:positionV>
                <wp:extent cx="1526540" cy="933450"/>
                <wp:effectExtent l="0" t="0" r="16510" b="19050"/>
                <wp:wrapNone/>
                <wp:docPr id="10" name="Rectangle 10"/>
                <wp:cNvGraphicFramePr/>
                <a:graphic xmlns:a="http://schemas.openxmlformats.org/drawingml/2006/main">
                  <a:graphicData uri="http://schemas.microsoft.com/office/word/2010/wordprocessingShape">
                    <wps:wsp>
                      <wps:cNvSpPr/>
                      <wps:spPr>
                        <a:xfrm>
                          <a:off x="0" y="0"/>
                          <a:ext cx="1526540" cy="933450"/>
                        </a:xfrm>
                        <a:prstGeom prst="rect">
                          <a:avLst/>
                        </a:prstGeom>
                        <a:noFill/>
                        <a:ln w="12700" cap="flat" cmpd="sng" algn="ctr">
                          <a:solidFill>
                            <a:sysClr val="windowText" lastClr="000000"/>
                          </a:solidFill>
                          <a:prstDash val="solid"/>
                        </a:ln>
                        <a:effectLst/>
                      </wps:spPr>
                      <wps:txbx>
                        <w:txbxContent>
                          <w:p w:rsidR="00A62944" w:rsidRPr="00806415" w:rsidRDefault="00A62944" w:rsidP="00E14173">
                            <w:pPr>
                              <w:pStyle w:val="ListParagraph"/>
                              <w:numPr>
                                <w:ilvl w:val="0"/>
                                <w:numId w:val="40"/>
                              </w:numPr>
                              <w:ind w:left="180" w:hanging="180"/>
                              <w:jc w:val="left"/>
                              <w:rPr>
                                <w:color w:val="000000" w:themeColor="text1"/>
                              </w:rPr>
                            </w:pPr>
                            <w:r w:rsidRPr="00806415">
                              <w:rPr>
                                <w:rFonts w:ascii="Arial" w:hAnsi="Arial" w:cs="Arial"/>
                                <w:color w:val="000000" w:themeColor="text1"/>
                                <w:sz w:val="20"/>
                                <w:szCs w:val="20"/>
                              </w:rPr>
                              <w:t>PET Films for Packaging of Foods, Cosmetics, Personal</w:t>
                            </w:r>
                            <w:r>
                              <w:rPr>
                                <w:rFonts w:ascii="Arial" w:hAnsi="Arial" w:cs="Arial"/>
                                <w:color w:val="000000" w:themeColor="text1"/>
                                <w:sz w:val="20"/>
                                <w:szCs w:val="20"/>
                              </w:rPr>
                              <w:t>,</w:t>
                            </w:r>
                            <w:r w:rsidRPr="00806415">
                              <w:rPr>
                                <w:rFonts w:ascii="Arial" w:hAnsi="Arial" w:cs="Arial"/>
                                <w:color w:val="000000" w:themeColor="text1"/>
                                <w:sz w:val="20"/>
                                <w:szCs w:val="20"/>
                              </w:rPr>
                              <w:t xml:space="preserve"> and Healthcare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1" style="position:absolute;left:0;text-align:left;margin-left:325.5pt;margin-top:6.3pt;width:120.2pt;height: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" filled="f" strokecolor="windowText" strokeweight="1pt">
                <v:textbox>
                  <w:txbxContent>
                    <w:p w:rsidR="00A62944" w:rsidRPr="00806415" w:rsidRDefault="00A62944" w:rsidP="00E14173">
                      <w:pPr>
                        <w:pStyle w:val="ListParagraph"/>
                        <w:numPr>
                          <w:ilvl w:val="0"/>
                          <w:numId w:val="40"/>
                        </w:numPr>
                        <w:ind w:left="180" w:hanging="180"/>
                        <w:jc w:val="left"/>
                        <w:rPr>
                          <w:color w:val="000000" w:themeColor="text1"/>
                        </w:rPr>
                      </w:pPr>
                      <w:r w:rsidRPr="00806415">
                        <w:rPr>
                          <w:rFonts w:ascii="Arial" w:hAnsi="Arial" w:cs="Arial"/>
                          <w:color w:val="000000" w:themeColor="text1"/>
                          <w:sz w:val="20"/>
                          <w:szCs w:val="20"/>
                        </w:rPr>
                        <w:t>PET Films for Packaging of Foods, Cosmetics, Personal</w:t>
                      </w:r>
                      <w:r>
                        <w:rPr>
                          <w:rFonts w:ascii="Arial" w:hAnsi="Arial" w:cs="Arial"/>
                          <w:color w:val="000000" w:themeColor="text1"/>
                          <w:sz w:val="20"/>
                          <w:szCs w:val="20"/>
                        </w:rPr>
                        <w:t>,</w:t>
                      </w:r>
                      <w:r w:rsidRPr="00806415">
                        <w:rPr>
                          <w:rFonts w:ascii="Arial" w:hAnsi="Arial" w:cs="Arial"/>
                          <w:color w:val="000000" w:themeColor="text1"/>
                          <w:sz w:val="20"/>
                          <w:szCs w:val="20"/>
                        </w:rPr>
                        <w:t xml:space="preserve"> and Healthcare Products</w:t>
                      </w:r>
                    </w:p>
                  </w:txbxContent>
                </v:textbox>
              </v:rect>
            </w:pict>
          </mc:Fallback>
        </mc:AlternateContent>
      </w:r>
      <w:r w:rsidRPr="00E14173">
        <w:rPr>
          <w:noProof/>
          <w:lang w:val="en-GB" w:eastAsia="en-GB"/>
        </w:rPr>
        <mc:AlternateContent>
          <mc:Choice Requires="wps">
            <w:drawing>
              <wp:anchor distT="0" distB="0" distL="114300" distR="114300" simplePos="0" relativeHeight="251666432" behindDoc="0" locked="0" layoutInCell="1" allowOverlap="1" wp14:anchorId="2A0B5280" wp14:editId="0F68CE99">
                <wp:simplePos x="0" y="0"/>
                <wp:positionH relativeFrom="column">
                  <wp:posOffset>2371725</wp:posOffset>
                </wp:positionH>
                <wp:positionV relativeFrom="paragraph">
                  <wp:posOffset>80010</wp:posOffset>
                </wp:positionV>
                <wp:extent cx="1526540" cy="933450"/>
                <wp:effectExtent l="0" t="0" r="16510" b="19050"/>
                <wp:wrapNone/>
                <wp:docPr id="9" name="Rectangle 9"/>
                <wp:cNvGraphicFramePr/>
                <a:graphic xmlns:a="http://schemas.openxmlformats.org/drawingml/2006/main">
                  <a:graphicData uri="http://schemas.microsoft.com/office/word/2010/wordprocessingShape">
                    <wps:wsp>
                      <wps:cNvSpPr/>
                      <wps:spPr>
                        <a:xfrm>
                          <a:off x="0" y="0"/>
                          <a:ext cx="1526540" cy="933450"/>
                        </a:xfrm>
                        <a:prstGeom prst="rect">
                          <a:avLst/>
                        </a:prstGeom>
                        <a:noFill/>
                        <a:ln w="12700" cap="flat" cmpd="sng" algn="ctr">
                          <a:solidFill>
                            <a:sysClr val="windowText" lastClr="000000"/>
                          </a:solidFill>
                          <a:prstDash val="solid"/>
                        </a:ln>
                        <a:effectLst/>
                      </wps:spPr>
                      <wps:txbx>
                        <w:txbxContent>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Refrigerants</w:t>
                            </w:r>
                          </w:p>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Chloromethane</w:t>
                            </w:r>
                          </w:p>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Fluorospecialties</w:t>
                            </w:r>
                          </w:p>
                          <w:p w:rsidR="00A62944" w:rsidRPr="00806415" w:rsidRDefault="00A62944" w:rsidP="00E14173">
                            <w:pPr>
                              <w:pStyle w:val="ListParagraph"/>
                              <w:numPr>
                                <w:ilvl w:val="0"/>
                                <w:numId w:val="40"/>
                              </w:numPr>
                              <w:ind w:left="180" w:hanging="180"/>
                              <w:jc w:val="left"/>
                              <w:rPr>
                                <w:color w:val="000000" w:themeColor="text1"/>
                              </w:rPr>
                            </w:pPr>
                            <w:r w:rsidRPr="00806415">
                              <w:rPr>
                                <w:rFonts w:ascii="Arial" w:hAnsi="Arial" w:cs="Arial"/>
                                <w:color w:val="000000" w:themeColor="text1"/>
                                <w:sz w:val="20"/>
                                <w:szCs w:val="20"/>
                              </w:rPr>
                              <w:t>Engineering Plastics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left:0;text-align:left;margin-left:186.75pt;margin-top:6.3pt;width:120.2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" filled="f" strokecolor="windowText" strokeweight="1pt">
                <v:textbox>
                  <w:txbxContent>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Refrigerants</w:t>
                      </w:r>
                    </w:p>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Chloromethane</w:t>
                      </w:r>
                    </w:p>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Fluorospecialties</w:t>
                      </w:r>
                    </w:p>
                    <w:p w:rsidR="00A62944" w:rsidRPr="00806415" w:rsidRDefault="00A62944" w:rsidP="00E14173">
                      <w:pPr>
                        <w:pStyle w:val="ListParagraph"/>
                        <w:numPr>
                          <w:ilvl w:val="0"/>
                          <w:numId w:val="40"/>
                        </w:numPr>
                        <w:ind w:left="180" w:hanging="180"/>
                        <w:jc w:val="left"/>
                        <w:rPr>
                          <w:color w:val="000000" w:themeColor="text1"/>
                        </w:rPr>
                      </w:pPr>
                      <w:r w:rsidRPr="00806415">
                        <w:rPr>
                          <w:rFonts w:ascii="Arial" w:hAnsi="Arial" w:cs="Arial"/>
                          <w:color w:val="000000" w:themeColor="text1"/>
                          <w:sz w:val="20"/>
                          <w:szCs w:val="20"/>
                        </w:rPr>
                        <w:t>Engineering Plastics</w:t>
                      </w:r>
                    </w:p>
                  </w:txbxContent>
                </v:textbox>
              </v:rect>
            </w:pict>
          </mc:Fallback>
        </mc:AlternateContent>
      </w:r>
      <w:r w:rsidRPr="00E14173">
        <w:rPr>
          <w:noProof/>
          <w:lang w:val="en-GB" w:eastAsia="en-GB"/>
        </w:rPr>
        <mc:AlternateContent>
          <mc:Choice Requires="wps">
            <w:drawing>
              <wp:anchor distT="0" distB="0" distL="114300" distR="114300" simplePos="0" relativeHeight="251665408" behindDoc="0" locked="0" layoutInCell="1" allowOverlap="1" wp14:anchorId="42CA6BBE" wp14:editId="6A943FA6">
                <wp:simplePos x="0" y="0"/>
                <wp:positionH relativeFrom="column">
                  <wp:posOffset>730885</wp:posOffset>
                </wp:positionH>
                <wp:positionV relativeFrom="paragraph">
                  <wp:posOffset>93980</wp:posOffset>
                </wp:positionV>
                <wp:extent cx="1387475" cy="1229360"/>
                <wp:effectExtent l="0" t="0" r="22225" b="27940"/>
                <wp:wrapNone/>
                <wp:docPr id="8" name="Rectangle 8"/>
                <wp:cNvGraphicFramePr/>
                <a:graphic xmlns:a="http://schemas.openxmlformats.org/drawingml/2006/main">
                  <a:graphicData uri="http://schemas.microsoft.com/office/word/2010/wordprocessingShape">
                    <wps:wsp>
                      <wps:cNvSpPr/>
                      <wps:spPr>
                        <a:xfrm>
                          <a:off x="0" y="0"/>
                          <a:ext cx="1387475" cy="1229360"/>
                        </a:xfrm>
                        <a:prstGeom prst="rect">
                          <a:avLst/>
                        </a:prstGeom>
                        <a:noFill/>
                        <a:ln w="12700" cap="flat" cmpd="sng" algn="ctr">
                          <a:solidFill>
                            <a:sysClr val="windowText" lastClr="000000"/>
                          </a:solidFill>
                          <a:prstDash val="solid"/>
                        </a:ln>
                        <a:effectLst/>
                      </wps:spPr>
                      <wps:txbx>
                        <w:txbxContent>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T</w:t>
                            </w:r>
                            <w:r>
                              <w:rPr>
                                <w:rFonts w:ascii="Arial" w:hAnsi="Arial" w:cs="Arial"/>
                                <w:color w:val="000000" w:themeColor="text1"/>
                                <w:sz w:val="20"/>
                                <w:szCs w:val="20"/>
                              </w:rPr>
                              <w:t>i</w:t>
                            </w:r>
                            <w:r w:rsidRPr="00806415">
                              <w:rPr>
                                <w:rFonts w:ascii="Arial" w:hAnsi="Arial" w:cs="Arial"/>
                                <w:color w:val="000000" w:themeColor="text1"/>
                                <w:sz w:val="20"/>
                                <w:szCs w:val="20"/>
                              </w:rPr>
                              <w:t>re Cord Fabric</w:t>
                            </w:r>
                          </w:p>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Belting Fabric</w:t>
                            </w:r>
                          </w:p>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Coated Fabric</w:t>
                            </w:r>
                          </w:p>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Laminated Fabric</w:t>
                            </w:r>
                          </w:p>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 xml:space="preserve">Fishnet Twine </w:t>
                            </w:r>
                          </w:p>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Industrial Yarn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3" style="position:absolute;left:0;text-align:left;margin-left:57.55pt;margin-top:7.4pt;width:109.25pt;height:9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" filled="f" strokecolor="windowText" strokeweight="1pt">
                <v:textbox>
                  <w:txbxContent>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T</w:t>
                      </w:r>
                      <w:r>
                        <w:rPr>
                          <w:rFonts w:ascii="Arial" w:hAnsi="Arial" w:cs="Arial"/>
                          <w:color w:val="000000" w:themeColor="text1"/>
                          <w:sz w:val="20"/>
                          <w:szCs w:val="20"/>
                        </w:rPr>
                        <w:t>i</w:t>
                      </w:r>
                      <w:r w:rsidRPr="00806415">
                        <w:rPr>
                          <w:rFonts w:ascii="Arial" w:hAnsi="Arial" w:cs="Arial"/>
                          <w:color w:val="000000" w:themeColor="text1"/>
                          <w:sz w:val="20"/>
                          <w:szCs w:val="20"/>
                        </w:rPr>
                        <w:t>re Cord Fabric</w:t>
                      </w:r>
                    </w:p>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Belting Fabric</w:t>
                      </w:r>
                    </w:p>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Coated Fabric</w:t>
                      </w:r>
                    </w:p>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Laminated Fabric</w:t>
                      </w:r>
                    </w:p>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 xml:space="preserve">Fishnet Twine </w:t>
                      </w:r>
                    </w:p>
                    <w:p w:rsidR="00A62944" w:rsidRPr="00806415" w:rsidRDefault="00A62944" w:rsidP="00E14173">
                      <w:pPr>
                        <w:pStyle w:val="ListParagraph"/>
                        <w:numPr>
                          <w:ilvl w:val="0"/>
                          <w:numId w:val="40"/>
                        </w:numPr>
                        <w:ind w:left="180" w:hanging="180"/>
                        <w:jc w:val="left"/>
                        <w:rPr>
                          <w:rFonts w:ascii="Arial" w:hAnsi="Arial" w:cs="Arial"/>
                          <w:color w:val="000000" w:themeColor="text1"/>
                          <w:sz w:val="20"/>
                          <w:szCs w:val="20"/>
                        </w:rPr>
                      </w:pPr>
                      <w:r w:rsidRPr="00806415">
                        <w:rPr>
                          <w:rFonts w:ascii="Arial" w:hAnsi="Arial" w:cs="Arial"/>
                          <w:color w:val="000000" w:themeColor="text1"/>
                          <w:sz w:val="20"/>
                          <w:szCs w:val="20"/>
                        </w:rPr>
                        <w:t>Industrial Yarn</w:t>
                      </w:r>
                    </w:p>
                  </w:txbxContent>
                </v:textbox>
              </v:rect>
            </w:pict>
          </mc:Fallback>
        </mc:AlternateContent>
      </w:r>
    </w:p>
    <w:p w:rsidR="00E14173" w:rsidRPr="00E14173" w:rsidRDefault="00E14173" w:rsidP="00817E62">
      <w:pPr>
        <w:pStyle w:val="BodyTextMain"/>
        <w:rPr>
          <w:lang w:val="en-GB"/>
        </w:rPr>
      </w:pPr>
    </w:p>
    <w:p w:rsidR="00E14173" w:rsidRPr="00E14173" w:rsidRDefault="00E14173" w:rsidP="00817E62">
      <w:pPr>
        <w:pStyle w:val="BodyTextMain"/>
        <w:rPr>
          <w:strike/>
          <w:lang w:val="en-GB"/>
        </w:rPr>
      </w:pPr>
    </w:p>
    <w:p w:rsidR="00E14173" w:rsidRPr="00E14173" w:rsidRDefault="00E14173" w:rsidP="00817E62">
      <w:pPr>
        <w:pStyle w:val="BodyTextMain"/>
        <w:rPr>
          <w:strike/>
          <w:lang w:val="en-GB"/>
        </w:rPr>
      </w:pPr>
    </w:p>
    <w:p w:rsidR="00E14173" w:rsidRPr="00E14173" w:rsidRDefault="00E14173" w:rsidP="00817E62">
      <w:pPr>
        <w:pStyle w:val="BodyTextMain"/>
        <w:rPr>
          <w:strike/>
          <w:lang w:val="en-GB"/>
        </w:rPr>
      </w:pPr>
    </w:p>
    <w:p w:rsidR="00E14173" w:rsidRPr="00E14173" w:rsidRDefault="00E14173" w:rsidP="00817E62">
      <w:pPr>
        <w:pStyle w:val="BodyTextMain"/>
        <w:rPr>
          <w:strike/>
          <w:lang w:val="en-GB"/>
        </w:rPr>
      </w:pPr>
    </w:p>
    <w:p w:rsidR="00E14173" w:rsidRPr="00E14173" w:rsidRDefault="00E14173" w:rsidP="00817E62">
      <w:pPr>
        <w:pStyle w:val="BodyTextMain"/>
        <w:rPr>
          <w:lang w:val="en-GB"/>
        </w:rPr>
      </w:pPr>
    </w:p>
    <w:p w:rsidR="00E14173" w:rsidRPr="00E14173" w:rsidRDefault="00E14173" w:rsidP="00817E62">
      <w:pPr>
        <w:pStyle w:val="BodyTextMain"/>
        <w:rPr>
          <w:lang w:val="en-GB"/>
        </w:rPr>
      </w:pPr>
    </w:p>
    <w:p w:rsidR="00E14173" w:rsidRDefault="00E14173" w:rsidP="00E14173">
      <w:pPr>
        <w:tabs>
          <w:tab w:val="left" w:pos="-1440"/>
          <w:tab w:val="left" w:pos="-720"/>
          <w:tab w:val="left" w:pos="1"/>
          <w:tab w:val="right" w:pos="9000"/>
        </w:tabs>
        <w:jc w:val="both"/>
        <w:rPr>
          <w:rFonts w:ascii="Arial" w:hAnsi="Arial" w:cs="Arial"/>
          <w:iCs/>
          <w:sz w:val="17"/>
          <w:szCs w:val="17"/>
          <w:lang w:val="en-GB"/>
        </w:rPr>
      </w:pPr>
    </w:p>
    <w:p w:rsidR="00E14173" w:rsidRPr="00E14173" w:rsidRDefault="00E14173" w:rsidP="00E14173">
      <w:pPr>
        <w:tabs>
          <w:tab w:val="left" w:pos="-1440"/>
          <w:tab w:val="left" w:pos="-720"/>
          <w:tab w:val="left" w:pos="1"/>
          <w:tab w:val="right" w:pos="9000"/>
        </w:tabs>
        <w:jc w:val="both"/>
        <w:rPr>
          <w:rFonts w:ascii="Arial" w:hAnsi="Arial" w:cs="Arial"/>
          <w:iCs/>
          <w:sz w:val="17"/>
          <w:szCs w:val="17"/>
          <w:lang w:val="en-GB"/>
        </w:rPr>
      </w:pPr>
      <w:r w:rsidRPr="00E14173">
        <w:rPr>
          <w:rFonts w:ascii="Arial" w:hAnsi="Arial" w:cs="Arial"/>
          <w:iCs/>
          <w:sz w:val="17"/>
          <w:szCs w:val="17"/>
          <w:lang w:val="en-GB"/>
        </w:rPr>
        <w:t xml:space="preserve">Note: PET = polyethylene terephthalate </w:t>
      </w:r>
    </w:p>
    <w:p w:rsidR="00E14173" w:rsidRPr="00E14173" w:rsidRDefault="00E14173" w:rsidP="00E14173">
      <w:pPr>
        <w:tabs>
          <w:tab w:val="left" w:pos="-1440"/>
          <w:tab w:val="left" w:pos="-720"/>
          <w:tab w:val="left" w:pos="1"/>
          <w:tab w:val="right" w:pos="9000"/>
        </w:tabs>
        <w:jc w:val="both"/>
        <w:rPr>
          <w:rFonts w:ascii="Arial" w:hAnsi="Arial" w:cs="Arial"/>
          <w:iCs/>
          <w:sz w:val="17"/>
          <w:szCs w:val="17"/>
          <w:lang w:val="en-GB"/>
        </w:rPr>
      </w:pPr>
      <w:r w:rsidRPr="00E14173">
        <w:rPr>
          <w:rFonts w:ascii="Arial" w:hAnsi="Arial" w:cs="Arial"/>
          <w:iCs/>
          <w:sz w:val="17"/>
          <w:szCs w:val="17"/>
          <w:lang w:val="en-GB"/>
        </w:rPr>
        <w:t xml:space="preserve">Source: Prepared by the authors with information from SRF </w:t>
      </w:r>
      <w:r w:rsidR="00A62944">
        <w:rPr>
          <w:rFonts w:ascii="Arial" w:hAnsi="Arial" w:cs="Arial"/>
          <w:iCs/>
          <w:sz w:val="17"/>
          <w:szCs w:val="17"/>
          <w:lang w:val="en-GB"/>
        </w:rPr>
        <w:t xml:space="preserve">Limited </w:t>
      </w:r>
      <w:r w:rsidRPr="00E14173">
        <w:rPr>
          <w:rFonts w:ascii="Arial" w:hAnsi="Arial" w:cs="Arial"/>
          <w:iCs/>
          <w:sz w:val="17"/>
          <w:szCs w:val="17"/>
          <w:lang w:val="en-GB"/>
        </w:rPr>
        <w:t>annual reports.</w:t>
      </w:r>
    </w:p>
    <w:p w:rsidR="00E14173" w:rsidRPr="00E14173" w:rsidRDefault="00E14173" w:rsidP="00E14173">
      <w:pPr>
        <w:jc w:val="both"/>
        <w:rPr>
          <w:color w:val="000000" w:themeColor="text1"/>
          <w:sz w:val="22"/>
          <w:szCs w:val="22"/>
          <w:lang w:val="en-GB" w:eastAsia="en-IN"/>
        </w:rPr>
      </w:pPr>
    </w:p>
    <w:p w:rsidR="00037A65" w:rsidRDefault="00037A65" w:rsidP="00E14173">
      <w:pPr>
        <w:jc w:val="both"/>
        <w:rPr>
          <w:color w:val="000000" w:themeColor="text1"/>
          <w:sz w:val="22"/>
          <w:szCs w:val="22"/>
          <w:lang w:val="en-GB" w:eastAsia="en-IN"/>
        </w:rPr>
        <w:sectPr w:rsidR="00037A65" w:rsidSect="00751E0B">
          <w:headerReference w:type="default" r:id="rId14"/>
          <w:pgSz w:w="12240" w:h="15840" w:code="1"/>
          <w:pgMar w:top="1080" w:right="1440" w:bottom="1440" w:left="1440" w:header="1080" w:footer="720" w:gutter="0"/>
          <w:cols w:space="720"/>
          <w:titlePg/>
          <w:docGrid w:linePitch="360"/>
        </w:sectPr>
      </w:pPr>
    </w:p>
    <w:p w:rsidR="00037A65" w:rsidRPr="00037A65" w:rsidRDefault="00037A65" w:rsidP="00817E62">
      <w:pPr>
        <w:pStyle w:val="Casehead1"/>
        <w:jc w:val="center"/>
        <w:rPr>
          <w:lang w:val="en-GB"/>
        </w:rPr>
      </w:pPr>
      <w:r w:rsidRPr="00037A65">
        <w:rPr>
          <w:lang w:val="en-GB"/>
        </w:rPr>
        <w:lastRenderedPageBreak/>
        <w:t xml:space="preserve">Exhibit 6: Segment Revenue (in </w:t>
      </w:r>
      <w:r w:rsidRPr="00037A65">
        <w:rPr>
          <w:bCs/>
          <w:lang w:val="en-GB"/>
        </w:rPr>
        <w:t xml:space="preserve">₹ </w:t>
      </w:r>
      <w:r w:rsidRPr="00037A65">
        <w:rPr>
          <w:lang w:val="en-GB"/>
        </w:rPr>
        <w:t>million)</w:t>
      </w:r>
    </w:p>
    <w:p w:rsidR="00037A65" w:rsidRPr="00F7129C" w:rsidRDefault="00037A65" w:rsidP="00037A65">
      <w:pPr>
        <w:jc w:val="both"/>
        <w:rPr>
          <w:sz w:val="12"/>
          <w:szCs w:val="12"/>
          <w:lang w:val="en-GB"/>
        </w:rPr>
      </w:pPr>
    </w:p>
    <w:tbl>
      <w:tblPr>
        <w:tblW w:w="11286" w:type="dxa"/>
        <w:jc w:val="center"/>
        <w:tblInd w:w="-340" w:type="dxa"/>
        <w:tblLook w:val="04A0" w:firstRow="1" w:lastRow="0" w:firstColumn="1" w:lastColumn="0" w:noHBand="0" w:noVBand="1"/>
      </w:tblPr>
      <w:tblGrid>
        <w:gridCol w:w="3480"/>
        <w:gridCol w:w="1096"/>
        <w:gridCol w:w="32"/>
        <w:gridCol w:w="10"/>
        <w:gridCol w:w="1055"/>
        <w:gridCol w:w="32"/>
        <w:gridCol w:w="20"/>
        <w:gridCol w:w="1044"/>
        <w:gridCol w:w="32"/>
        <w:gridCol w:w="31"/>
        <w:gridCol w:w="1035"/>
        <w:gridCol w:w="63"/>
        <w:gridCol w:w="38"/>
        <w:gridCol w:w="993"/>
        <w:gridCol w:w="63"/>
        <w:gridCol w:w="50"/>
        <w:gridCol w:w="983"/>
        <w:gridCol w:w="63"/>
        <w:gridCol w:w="60"/>
        <w:gridCol w:w="1106"/>
      </w:tblGrid>
      <w:tr w:rsidR="00037A65" w:rsidRPr="00F7129C" w:rsidTr="00F7129C">
        <w:trPr>
          <w:trHeight w:val="144"/>
          <w:jc w:val="center"/>
        </w:trPr>
        <w:tc>
          <w:tcPr>
            <w:tcW w:w="3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jc w:val="center"/>
              <w:rPr>
                <w:rFonts w:ascii="Arial" w:hAnsi="Arial" w:cs="Arial"/>
                <w:color w:val="000000"/>
                <w:sz w:val="18"/>
                <w:szCs w:val="18"/>
                <w:lang w:val="en-GB"/>
              </w:rPr>
            </w:pPr>
            <w:r w:rsidRPr="00F7129C">
              <w:rPr>
                <w:rFonts w:ascii="Arial" w:hAnsi="Arial" w:cs="Arial"/>
                <w:color w:val="000000"/>
                <w:sz w:val="18"/>
                <w:szCs w:val="18"/>
                <w:lang w:val="en-GB"/>
              </w:rPr>
              <w:t> </w:t>
            </w:r>
          </w:p>
        </w:tc>
        <w:tc>
          <w:tcPr>
            <w:tcW w:w="1138" w:type="dxa"/>
            <w:gridSpan w:val="3"/>
            <w:tcBorders>
              <w:top w:val="single" w:sz="4" w:space="0" w:color="auto"/>
              <w:left w:val="nil"/>
              <w:bottom w:val="single" w:sz="4" w:space="0" w:color="auto"/>
              <w:right w:val="single" w:sz="4" w:space="0" w:color="auto"/>
            </w:tcBorders>
            <w:shd w:val="clear" w:color="auto" w:fill="auto"/>
            <w:noWrap/>
            <w:vAlign w:val="center"/>
            <w:hideMark/>
          </w:tcPr>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color w:val="000000"/>
                <w:sz w:val="18"/>
                <w:szCs w:val="18"/>
                <w:lang w:val="en-GB"/>
              </w:rPr>
              <w:t>2012</w:t>
            </w:r>
          </w:p>
        </w:tc>
        <w:tc>
          <w:tcPr>
            <w:tcW w:w="1107" w:type="dxa"/>
            <w:gridSpan w:val="3"/>
            <w:tcBorders>
              <w:top w:val="single" w:sz="4" w:space="0" w:color="auto"/>
              <w:left w:val="nil"/>
              <w:bottom w:val="single" w:sz="4" w:space="0" w:color="auto"/>
              <w:right w:val="single" w:sz="4" w:space="0" w:color="auto"/>
            </w:tcBorders>
            <w:shd w:val="clear" w:color="auto" w:fill="auto"/>
            <w:noWrap/>
            <w:vAlign w:val="center"/>
            <w:hideMark/>
          </w:tcPr>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color w:val="000000"/>
                <w:sz w:val="18"/>
                <w:szCs w:val="18"/>
                <w:lang w:val="en-GB"/>
              </w:rPr>
              <w:t>2011</w:t>
            </w:r>
          </w:p>
        </w:tc>
        <w:tc>
          <w:tcPr>
            <w:tcW w:w="1107" w:type="dxa"/>
            <w:gridSpan w:val="3"/>
            <w:tcBorders>
              <w:top w:val="single" w:sz="4" w:space="0" w:color="auto"/>
              <w:left w:val="nil"/>
              <w:bottom w:val="single" w:sz="4" w:space="0" w:color="auto"/>
              <w:right w:val="single" w:sz="4" w:space="0" w:color="auto"/>
            </w:tcBorders>
            <w:shd w:val="clear" w:color="auto" w:fill="auto"/>
            <w:noWrap/>
            <w:vAlign w:val="center"/>
            <w:hideMark/>
          </w:tcPr>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color w:val="000000"/>
                <w:sz w:val="18"/>
                <w:szCs w:val="18"/>
                <w:lang w:val="en-GB"/>
              </w:rPr>
              <w:t>2010</w:t>
            </w:r>
          </w:p>
        </w:tc>
        <w:tc>
          <w:tcPr>
            <w:tcW w:w="1136" w:type="dxa"/>
            <w:gridSpan w:val="3"/>
            <w:tcBorders>
              <w:top w:val="single" w:sz="4" w:space="0" w:color="auto"/>
              <w:left w:val="nil"/>
              <w:bottom w:val="single" w:sz="4" w:space="0" w:color="auto"/>
              <w:right w:val="single" w:sz="4" w:space="0" w:color="auto"/>
            </w:tcBorders>
            <w:shd w:val="clear" w:color="auto" w:fill="auto"/>
            <w:noWrap/>
            <w:vAlign w:val="center"/>
            <w:hideMark/>
          </w:tcPr>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color w:val="000000"/>
                <w:sz w:val="18"/>
                <w:szCs w:val="18"/>
                <w:lang w:val="en-GB"/>
              </w:rPr>
              <w:t>2009</w:t>
            </w:r>
          </w:p>
        </w:tc>
        <w:tc>
          <w:tcPr>
            <w:tcW w:w="1106" w:type="dxa"/>
            <w:gridSpan w:val="3"/>
            <w:tcBorders>
              <w:top w:val="single" w:sz="4" w:space="0" w:color="auto"/>
              <w:left w:val="nil"/>
              <w:bottom w:val="single" w:sz="4" w:space="0" w:color="auto"/>
              <w:right w:val="single" w:sz="4" w:space="0" w:color="auto"/>
            </w:tcBorders>
            <w:shd w:val="clear" w:color="auto" w:fill="auto"/>
            <w:noWrap/>
            <w:vAlign w:val="center"/>
            <w:hideMark/>
          </w:tcPr>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color w:val="000000"/>
                <w:sz w:val="18"/>
                <w:szCs w:val="18"/>
                <w:lang w:val="en-GB"/>
              </w:rPr>
              <w:t>2008</w:t>
            </w:r>
          </w:p>
        </w:tc>
        <w:tc>
          <w:tcPr>
            <w:tcW w:w="1106" w:type="dxa"/>
            <w:gridSpan w:val="3"/>
            <w:tcBorders>
              <w:top w:val="single" w:sz="4" w:space="0" w:color="auto"/>
              <w:left w:val="nil"/>
              <w:bottom w:val="single" w:sz="4" w:space="0" w:color="auto"/>
              <w:right w:val="single" w:sz="4" w:space="0" w:color="auto"/>
            </w:tcBorders>
            <w:shd w:val="clear" w:color="auto" w:fill="auto"/>
            <w:noWrap/>
            <w:vAlign w:val="center"/>
            <w:hideMark/>
          </w:tcPr>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color w:val="000000"/>
                <w:sz w:val="18"/>
                <w:szCs w:val="18"/>
                <w:lang w:val="en-GB"/>
              </w:rPr>
              <w:t>2007</w:t>
            </w:r>
          </w:p>
        </w:tc>
        <w:tc>
          <w:tcPr>
            <w:tcW w:w="1106" w:type="dxa"/>
            <w:tcBorders>
              <w:top w:val="single" w:sz="4" w:space="0" w:color="auto"/>
              <w:left w:val="nil"/>
              <w:bottom w:val="single" w:sz="4" w:space="0" w:color="auto"/>
              <w:right w:val="single" w:sz="4" w:space="0" w:color="auto"/>
            </w:tcBorders>
            <w:shd w:val="clear" w:color="auto" w:fill="auto"/>
            <w:noWrap/>
            <w:vAlign w:val="center"/>
            <w:hideMark/>
          </w:tcPr>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color w:val="000000"/>
                <w:sz w:val="18"/>
                <w:szCs w:val="18"/>
                <w:lang w:val="en-GB"/>
              </w:rPr>
              <w:t>2006</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b/>
                <w:bCs/>
                <w:color w:val="000000"/>
                <w:sz w:val="18"/>
                <w:szCs w:val="18"/>
                <w:lang w:val="en-GB"/>
              </w:rPr>
            </w:pPr>
            <w:r w:rsidRPr="00F7129C">
              <w:rPr>
                <w:rFonts w:ascii="Arial" w:hAnsi="Arial" w:cs="Arial"/>
                <w:b/>
                <w:bCs/>
                <w:color w:val="000000"/>
                <w:sz w:val="18"/>
                <w:szCs w:val="18"/>
                <w:lang w:val="en-GB"/>
              </w:rPr>
              <w:t>REVENUES</w:t>
            </w:r>
          </w:p>
        </w:tc>
        <w:tc>
          <w:tcPr>
            <w:tcW w:w="7806" w:type="dxa"/>
            <w:gridSpan w:val="19"/>
            <w:tcBorders>
              <w:top w:val="single" w:sz="4" w:space="0" w:color="auto"/>
              <w:left w:val="nil"/>
              <w:bottom w:val="single" w:sz="4" w:space="0" w:color="auto"/>
              <w:right w:val="single" w:sz="4" w:space="0" w:color="000000"/>
            </w:tcBorders>
            <w:shd w:val="clear" w:color="auto" w:fill="auto"/>
            <w:noWrap/>
            <w:vAlign w:val="bottom"/>
            <w:hideMark/>
          </w:tcPr>
          <w:p w:rsidR="00037A65" w:rsidRPr="00F7129C" w:rsidRDefault="00037A65" w:rsidP="00037A65">
            <w:pPr>
              <w:jc w:val="center"/>
              <w:rPr>
                <w:rFonts w:ascii="Arial" w:hAnsi="Arial" w:cs="Arial"/>
                <w:color w:val="000000"/>
                <w:sz w:val="18"/>
                <w:szCs w:val="18"/>
                <w:lang w:val="en-GB"/>
              </w:rPr>
            </w:pPr>
            <w:r w:rsidRPr="00F7129C">
              <w:rPr>
                <w:rFonts w:ascii="Arial" w:hAnsi="Arial" w:cs="Arial"/>
                <w:color w:val="000000"/>
                <w:sz w:val="18"/>
                <w:szCs w:val="18"/>
                <w:lang w:val="en-GB"/>
              </w:rPr>
              <w:t> </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Technical Textiles Business</w:t>
            </w:r>
          </w:p>
        </w:tc>
        <w:tc>
          <w:tcPr>
            <w:tcW w:w="1138"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16,743.98 </w:t>
            </w:r>
          </w:p>
        </w:tc>
        <w:tc>
          <w:tcPr>
            <w:tcW w:w="110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14,512.00 </w:t>
            </w:r>
          </w:p>
        </w:tc>
        <w:tc>
          <w:tcPr>
            <w:tcW w:w="110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12,034.88 </w:t>
            </w:r>
          </w:p>
        </w:tc>
        <w:tc>
          <w:tcPr>
            <w:tcW w:w="113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9,052.36 </w:t>
            </w:r>
          </w:p>
        </w:tc>
        <w:tc>
          <w:tcPr>
            <w:tcW w:w="110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9,088.00 </w:t>
            </w:r>
          </w:p>
        </w:tc>
        <w:tc>
          <w:tcPr>
            <w:tcW w:w="110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8,699.90 </w:t>
            </w:r>
          </w:p>
        </w:tc>
        <w:tc>
          <w:tcPr>
            <w:tcW w:w="110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8,757.40 </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Chemical Business + CER</w:t>
            </w:r>
          </w:p>
        </w:tc>
        <w:tc>
          <w:tcPr>
            <w:tcW w:w="1138"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12,052.45 </w:t>
            </w:r>
          </w:p>
        </w:tc>
        <w:tc>
          <w:tcPr>
            <w:tcW w:w="110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7,466.71 </w:t>
            </w:r>
          </w:p>
        </w:tc>
        <w:tc>
          <w:tcPr>
            <w:tcW w:w="110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6,577.60 </w:t>
            </w:r>
          </w:p>
        </w:tc>
        <w:tc>
          <w:tcPr>
            <w:tcW w:w="113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6,176.74 </w:t>
            </w:r>
          </w:p>
        </w:tc>
        <w:tc>
          <w:tcPr>
            <w:tcW w:w="110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4,789.40 </w:t>
            </w:r>
          </w:p>
        </w:tc>
        <w:tc>
          <w:tcPr>
            <w:tcW w:w="110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7,294.40 </w:t>
            </w:r>
          </w:p>
        </w:tc>
        <w:tc>
          <w:tcPr>
            <w:tcW w:w="110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3,490.50 </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Packaging Film Business</w:t>
            </w:r>
          </w:p>
        </w:tc>
        <w:tc>
          <w:tcPr>
            <w:tcW w:w="1138"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6,606.66 </w:t>
            </w:r>
          </w:p>
        </w:tc>
        <w:tc>
          <w:tcPr>
            <w:tcW w:w="110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8,713.13 </w:t>
            </w:r>
          </w:p>
        </w:tc>
        <w:tc>
          <w:tcPr>
            <w:tcW w:w="110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3,364.82 </w:t>
            </w:r>
          </w:p>
        </w:tc>
        <w:tc>
          <w:tcPr>
            <w:tcW w:w="113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2,900.58 </w:t>
            </w:r>
          </w:p>
        </w:tc>
        <w:tc>
          <w:tcPr>
            <w:tcW w:w="110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2,275.70 </w:t>
            </w:r>
          </w:p>
        </w:tc>
        <w:tc>
          <w:tcPr>
            <w:tcW w:w="110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2,031.00 </w:t>
            </w:r>
          </w:p>
        </w:tc>
        <w:tc>
          <w:tcPr>
            <w:tcW w:w="110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 xml:space="preserve">1,480.10 </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Less: Inter-Segment Revenues</w:t>
            </w:r>
          </w:p>
        </w:tc>
        <w:tc>
          <w:tcPr>
            <w:tcW w:w="1138"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(100.56)</w:t>
            </w:r>
          </w:p>
        </w:tc>
        <w:tc>
          <w:tcPr>
            <w:tcW w:w="110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(590.69)</w:t>
            </w:r>
          </w:p>
        </w:tc>
        <w:tc>
          <w:tcPr>
            <w:tcW w:w="110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(38.80)</w:t>
            </w:r>
          </w:p>
        </w:tc>
        <w:tc>
          <w:tcPr>
            <w:tcW w:w="113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(2.66)</w:t>
            </w:r>
          </w:p>
        </w:tc>
        <w:tc>
          <w:tcPr>
            <w:tcW w:w="110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(0.10)</w:t>
            </w:r>
          </w:p>
        </w:tc>
        <w:tc>
          <w:tcPr>
            <w:tcW w:w="110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(0.80)</w:t>
            </w:r>
          </w:p>
        </w:tc>
        <w:tc>
          <w:tcPr>
            <w:tcW w:w="110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(0.90)</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b/>
                <w:bCs/>
                <w:color w:val="000000"/>
                <w:sz w:val="18"/>
                <w:szCs w:val="18"/>
                <w:lang w:val="en-GB"/>
              </w:rPr>
            </w:pPr>
            <w:r w:rsidRPr="00F7129C">
              <w:rPr>
                <w:rFonts w:ascii="Arial" w:hAnsi="Arial" w:cs="Arial"/>
                <w:b/>
                <w:bCs/>
                <w:color w:val="000000"/>
                <w:sz w:val="18"/>
                <w:szCs w:val="18"/>
                <w:lang w:val="en-GB"/>
              </w:rPr>
              <w:t>Net Revenues from Operations</w:t>
            </w:r>
          </w:p>
        </w:tc>
        <w:tc>
          <w:tcPr>
            <w:tcW w:w="1138"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35,302.53 </w:t>
            </w:r>
          </w:p>
        </w:tc>
        <w:tc>
          <w:tcPr>
            <w:tcW w:w="110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30,101.15 </w:t>
            </w:r>
          </w:p>
        </w:tc>
        <w:tc>
          <w:tcPr>
            <w:tcW w:w="110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21,938.50 </w:t>
            </w:r>
          </w:p>
        </w:tc>
        <w:tc>
          <w:tcPr>
            <w:tcW w:w="113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18,127.02 </w:t>
            </w:r>
          </w:p>
        </w:tc>
        <w:tc>
          <w:tcPr>
            <w:tcW w:w="110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16,153.00 </w:t>
            </w:r>
          </w:p>
        </w:tc>
        <w:tc>
          <w:tcPr>
            <w:tcW w:w="110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18,024.50 </w:t>
            </w:r>
          </w:p>
        </w:tc>
        <w:tc>
          <w:tcPr>
            <w:tcW w:w="110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13,727.10 </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b/>
                <w:bCs/>
                <w:color w:val="000000"/>
                <w:sz w:val="18"/>
                <w:szCs w:val="18"/>
                <w:lang w:val="en-GB"/>
              </w:rPr>
            </w:pPr>
            <w:r w:rsidRPr="00F7129C">
              <w:rPr>
                <w:rFonts w:ascii="Arial" w:hAnsi="Arial" w:cs="Arial"/>
                <w:b/>
                <w:bCs/>
                <w:color w:val="000000"/>
                <w:sz w:val="18"/>
                <w:szCs w:val="18"/>
                <w:lang w:val="en-GB"/>
              </w:rPr>
              <w:t>EBIT</w:t>
            </w:r>
          </w:p>
        </w:tc>
        <w:tc>
          <w:tcPr>
            <w:tcW w:w="7806" w:type="dxa"/>
            <w:gridSpan w:val="19"/>
            <w:tcBorders>
              <w:top w:val="single" w:sz="4" w:space="0" w:color="auto"/>
              <w:left w:val="nil"/>
              <w:bottom w:val="single" w:sz="4" w:space="0" w:color="auto"/>
              <w:right w:val="single" w:sz="4" w:space="0" w:color="000000"/>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Technical Textiles Business</w:t>
            </w:r>
          </w:p>
        </w:tc>
        <w:tc>
          <w:tcPr>
            <w:tcW w:w="1128" w:type="dxa"/>
            <w:gridSpan w:val="2"/>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1,061.63 </w:t>
            </w:r>
          </w:p>
        </w:tc>
        <w:tc>
          <w:tcPr>
            <w:tcW w:w="109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1,550.97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1,958.23 </w:t>
            </w:r>
          </w:p>
        </w:tc>
        <w:tc>
          <w:tcPr>
            <w:tcW w:w="1129"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375.41 </w:t>
            </w:r>
          </w:p>
        </w:tc>
        <w:tc>
          <w:tcPr>
            <w:tcW w:w="1094"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199.10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466.80 </w:t>
            </w:r>
          </w:p>
        </w:tc>
        <w:tc>
          <w:tcPr>
            <w:tcW w:w="1166" w:type="dxa"/>
            <w:gridSpan w:val="2"/>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750.00 </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Chemical Business</w:t>
            </w:r>
          </w:p>
        </w:tc>
        <w:tc>
          <w:tcPr>
            <w:tcW w:w="1128" w:type="dxa"/>
            <w:gridSpan w:val="2"/>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5,941.34 </w:t>
            </w:r>
          </w:p>
        </w:tc>
        <w:tc>
          <w:tcPr>
            <w:tcW w:w="109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2,888.08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2,768.07 </w:t>
            </w:r>
          </w:p>
        </w:tc>
        <w:tc>
          <w:tcPr>
            <w:tcW w:w="1129"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3,238.43 </w:t>
            </w:r>
          </w:p>
        </w:tc>
        <w:tc>
          <w:tcPr>
            <w:tcW w:w="1094"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2,552.80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4,834.20 </w:t>
            </w:r>
          </w:p>
        </w:tc>
        <w:tc>
          <w:tcPr>
            <w:tcW w:w="1166" w:type="dxa"/>
            <w:gridSpan w:val="2"/>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1,546.60 </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Packaging Film Business</w:t>
            </w:r>
          </w:p>
        </w:tc>
        <w:tc>
          <w:tcPr>
            <w:tcW w:w="1128" w:type="dxa"/>
            <w:gridSpan w:val="2"/>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245.03 </w:t>
            </w:r>
          </w:p>
        </w:tc>
        <w:tc>
          <w:tcPr>
            <w:tcW w:w="109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3,456.51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406.88 </w:t>
            </w:r>
          </w:p>
        </w:tc>
        <w:tc>
          <w:tcPr>
            <w:tcW w:w="1129"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448.16 </w:t>
            </w:r>
          </w:p>
        </w:tc>
        <w:tc>
          <w:tcPr>
            <w:tcW w:w="1094"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213.60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(53.40)</w:t>
            </w:r>
          </w:p>
        </w:tc>
        <w:tc>
          <w:tcPr>
            <w:tcW w:w="1166" w:type="dxa"/>
            <w:gridSpan w:val="2"/>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(193.20)</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b/>
                <w:bCs/>
                <w:color w:val="000000"/>
                <w:sz w:val="18"/>
                <w:szCs w:val="18"/>
                <w:lang w:val="en-GB"/>
              </w:rPr>
            </w:pPr>
            <w:r w:rsidRPr="00F7129C">
              <w:rPr>
                <w:rFonts w:ascii="Arial" w:hAnsi="Arial" w:cs="Arial"/>
                <w:b/>
                <w:bCs/>
                <w:color w:val="000000"/>
                <w:sz w:val="18"/>
                <w:szCs w:val="18"/>
                <w:lang w:val="en-GB"/>
              </w:rPr>
              <w:t>Total EBIT</w:t>
            </w:r>
          </w:p>
        </w:tc>
        <w:tc>
          <w:tcPr>
            <w:tcW w:w="1128" w:type="dxa"/>
            <w:gridSpan w:val="2"/>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7,248.00 </w:t>
            </w:r>
          </w:p>
        </w:tc>
        <w:tc>
          <w:tcPr>
            <w:tcW w:w="109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7,895.56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5,133.18 </w:t>
            </w:r>
          </w:p>
        </w:tc>
        <w:tc>
          <w:tcPr>
            <w:tcW w:w="1129"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4,062.00 </w:t>
            </w:r>
          </w:p>
        </w:tc>
        <w:tc>
          <w:tcPr>
            <w:tcW w:w="1094"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2,965.50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5,247.60 </w:t>
            </w:r>
          </w:p>
        </w:tc>
        <w:tc>
          <w:tcPr>
            <w:tcW w:w="1166" w:type="dxa"/>
            <w:gridSpan w:val="2"/>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2,103.40 </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Less: Interest</w:t>
            </w:r>
          </w:p>
        </w:tc>
        <w:tc>
          <w:tcPr>
            <w:tcW w:w="1128" w:type="dxa"/>
            <w:gridSpan w:val="2"/>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(1,040.93)</w:t>
            </w:r>
          </w:p>
        </w:tc>
        <w:tc>
          <w:tcPr>
            <w:tcW w:w="109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(776.92)</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(680.48)</w:t>
            </w:r>
          </w:p>
        </w:tc>
        <w:tc>
          <w:tcPr>
            <w:tcW w:w="1129"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(511.13)</w:t>
            </w:r>
          </w:p>
        </w:tc>
        <w:tc>
          <w:tcPr>
            <w:tcW w:w="1094"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(346.80)</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(355.10)</w:t>
            </w:r>
          </w:p>
        </w:tc>
        <w:tc>
          <w:tcPr>
            <w:tcW w:w="1166" w:type="dxa"/>
            <w:gridSpan w:val="2"/>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(388.80)</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Other Unallocatable Expenditure</w:t>
            </w:r>
          </w:p>
        </w:tc>
        <w:tc>
          <w:tcPr>
            <w:tcW w:w="1128" w:type="dxa"/>
            <w:gridSpan w:val="2"/>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(548.43)</w:t>
            </w:r>
          </w:p>
        </w:tc>
        <w:tc>
          <w:tcPr>
            <w:tcW w:w="109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343.85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863.95 </w:t>
            </w:r>
          </w:p>
        </w:tc>
        <w:tc>
          <w:tcPr>
            <w:tcW w:w="1129"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(1,091.30)</w:t>
            </w:r>
          </w:p>
        </w:tc>
        <w:tc>
          <w:tcPr>
            <w:tcW w:w="1094"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(565.30)</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(461.40)</w:t>
            </w:r>
          </w:p>
        </w:tc>
        <w:tc>
          <w:tcPr>
            <w:tcW w:w="1166" w:type="dxa"/>
            <w:gridSpan w:val="2"/>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(160.50)</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b/>
                <w:bCs/>
                <w:color w:val="000000"/>
                <w:sz w:val="18"/>
                <w:szCs w:val="18"/>
                <w:lang w:val="en-GB"/>
              </w:rPr>
            </w:pPr>
            <w:r w:rsidRPr="00F7129C">
              <w:rPr>
                <w:rFonts w:ascii="Arial" w:hAnsi="Arial" w:cs="Arial"/>
                <w:b/>
                <w:bCs/>
                <w:color w:val="000000"/>
                <w:sz w:val="18"/>
                <w:szCs w:val="18"/>
                <w:lang w:val="en-GB"/>
              </w:rPr>
              <w:t>PBT</w:t>
            </w:r>
          </w:p>
        </w:tc>
        <w:tc>
          <w:tcPr>
            <w:tcW w:w="1128" w:type="dxa"/>
            <w:gridSpan w:val="2"/>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5,658.64 </w:t>
            </w:r>
          </w:p>
        </w:tc>
        <w:tc>
          <w:tcPr>
            <w:tcW w:w="109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7,462.49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5,316.65 </w:t>
            </w:r>
          </w:p>
        </w:tc>
        <w:tc>
          <w:tcPr>
            <w:tcW w:w="1129"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2,459.57 </w:t>
            </w:r>
          </w:p>
        </w:tc>
        <w:tc>
          <w:tcPr>
            <w:tcW w:w="1094"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2,053.40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4,431.10 </w:t>
            </w:r>
          </w:p>
        </w:tc>
        <w:tc>
          <w:tcPr>
            <w:tcW w:w="1166" w:type="dxa"/>
            <w:gridSpan w:val="2"/>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1,554.10 </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b/>
                <w:bCs/>
                <w:color w:val="000000"/>
                <w:sz w:val="18"/>
                <w:szCs w:val="18"/>
                <w:lang w:val="en-GB"/>
              </w:rPr>
            </w:pPr>
            <w:r w:rsidRPr="00F7129C">
              <w:rPr>
                <w:rFonts w:ascii="Arial" w:hAnsi="Arial" w:cs="Arial"/>
                <w:b/>
                <w:bCs/>
                <w:color w:val="000000"/>
                <w:sz w:val="18"/>
                <w:szCs w:val="18"/>
                <w:lang w:val="en-GB"/>
              </w:rPr>
              <w:t>EBIT MARGIN (%)</w:t>
            </w:r>
          </w:p>
        </w:tc>
        <w:tc>
          <w:tcPr>
            <w:tcW w:w="7806" w:type="dxa"/>
            <w:gridSpan w:val="19"/>
            <w:tcBorders>
              <w:top w:val="single" w:sz="4" w:space="0" w:color="auto"/>
              <w:left w:val="nil"/>
              <w:bottom w:val="single" w:sz="4" w:space="0" w:color="auto"/>
              <w:right w:val="single" w:sz="4" w:space="0" w:color="000000"/>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Technical Textiles Business</w:t>
            </w:r>
          </w:p>
        </w:tc>
        <w:tc>
          <w:tcPr>
            <w:tcW w:w="109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6.34 </w:t>
            </w:r>
          </w:p>
        </w:tc>
        <w:tc>
          <w:tcPr>
            <w:tcW w:w="109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10.69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16.27 </w:t>
            </w:r>
          </w:p>
        </w:tc>
        <w:tc>
          <w:tcPr>
            <w:tcW w:w="1098"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4.15 </w:t>
            </w:r>
          </w:p>
        </w:tc>
        <w:tc>
          <w:tcPr>
            <w:tcW w:w="1094"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2.19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5.37 </w:t>
            </w:r>
          </w:p>
        </w:tc>
        <w:tc>
          <w:tcPr>
            <w:tcW w:w="1229"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8.56 </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Chemical Business</w:t>
            </w:r>
          </w:p>
        </w:tc>
        <w:tc>
          <w:tcPr>
            <w:tcW w:w="109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49.30 </w:t>
            </w:r>
          </w:p>
        </w:tc>
        <w:tc>
          <w:tcPr>
            <w:tcW w:w="109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38.68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42.08 </w:t>
            </w:r>
          </w:p>
        </w:tc>
        <w:tc>
          <w:tcPr>
            <w:tcW w:w="1098"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52.43 </w:t>
            </w:r>
          </w:p>
        </w:tc>
        <w:tc>
          <w:tcPr>
            <w:tcW w:w="1094"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53.30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66.27 </w:t>
            </w:r>
          </w:p>
        </w:tc>
        <w:tc>
          <w:tcPr>
            <w:tcW w:w="1229"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44.31 </w:t>
            </w:r>
          </w:p>
        </w:tc>
      </w:tr>
      <w:tr w:rsidR="00037A65" w:rsidRPr="00F7129C" w:rsidTr="00F7129C">
        <w:trPr>
          <w:trHeight w:val="144"/>
          <w:jc w:val="center"/>
        </w:trPr>
        <w:tc>
          <w:tcPr>
            <w:tcW w:w="3480"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Packaging Film Business</w:t>
            </w:r>
          </w:p>
        </w:tc>
        <w:tc>
          <w:tcPr>
            <w:tcW w:w="109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3.71 </w:t>
            </w:r>
          </w:p>
        </w:tc>
        <w:tc>
          <w:tcPr>
            <w:tcW w:w="1097"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39.67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12.09 </w:t>
            </w:r>
          </w:p>
        </w:tc>
        <w:tc>
          <w:tcPr>
            <w:tcW w:w="1098"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15.45 </w:t>
            </w:r>
          </w:p>
        </w:tc>
        <w:tc>
          <w:tcPr>
            <w:tcW w:w="1094"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 xml:space="preserve">9.39 </w:t>
            </w:r>
          </w:p>
        </w:tc>
        <w:tc>
          <w:tcPr>
            <w:tcW w:w="1096"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(2.63)</w:t>
            </w:r>
          </w:p>
        </w:tc>
        <w:tc>
          <w:tcPr>
            <w:tcW w:w="1229" w:type="dxa"/>
            <w:gridSpan w:val="3"/>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themeColor="text1"/>
                <w:sz w:val="18"/>
                <w:szCs w:val="18"/>
                <w:lang w:val="en-GB"/>
              </w:rPr>
            </w:pPr>
            <w:r w:rsidRPr="00F7129C">
              <w:rPr>
                <w:rFonts w:ascii="Arial" w:hAnsi="Arial" w:cs="Arial"/>
                <w:color w:val="000000" w:themeColor="text1"/>
                <w:sz w:val="18"/>
                <w:szCs w:val="18"/>
                <w:lang w:val="en-GB"/>
              </w:rPr>
              <w:t>(13.05)</w:t>
            </w:r>
          </w:p>
        </w:tc>
      </w:tr>
    </w:tbl>
    <w:p w:rsidR="00037A65" w:rsidRPr="00037A65" w:rsidRDefault="00037A65" w:rsidP="00037A65">
      <w:pPr>
        <w:tabs>
          <w:tab w:val="left" w:pos="-1440"/>
          <w:tab w:val="left" w:pos="-720"/>
          <w:tab w:val="left" w:pos="1"/>
          <w:tab w:val="right" w:pos="9000"/>
        </w:tabs>
        <w:jc w:val="both"/>
        <w:rPr>
          <w:rFonts w:ascii="Arial" w:hAnsi="Arial" w:cs="Arial"/>
          <w:iCs/>
          <w:sz w:val="17"/>
          <w:szCs w:val="17"/>
          <w:lang w:val="en-GB"/>
        </w:rPr>
      </w:pPr>
      <w:r w:rsidRPr="00037A65">
        <w:rPr>
          <w:rFonts w:ascii="Arial" w:hAnsi="Arial" w:cs="Arial"/>
          <w:iCs/>
          <w:sz w:val="17"/>
          <w:szCs w:val="17"/>
          <w:lang w:val="en-GB"/>
        </w:rPr>
        <w:t>Note: CER = certified emissions reduction</w:t>
      </w:r>
      <w:r w:rsidR="00A62944">
        <w:rPr>
          <w:rFonts w:ascii="Arial" w:hAnsi="Arial" w:cs="Arial"/>
          <w:iCs/>
          <w:sz w:val="17"/>
          <w:szCs w:val="17"/>
          <w:lang w:val="en-GB"/>
        </w:rPr>
        <w:t xml:space="preserve">; EBIT = </w:t>
      </w:r>
      <w:r w:rsidR="00A62944" w:rsidRPr="00A62944">
        <w:rPr>
          <w:rStyle w:val="FootnoteChar"/>
        </w:rPr>
        <w:t>earnings before interest and taxes</w:t>
      </w:r>
      <w:r w:rsidR="00A62944">
        <w:rPr>
          <w:rStyle w:val="FootnoteChar"/>
        </w:rPr>
        <w:t>; PBT = profit before taxes</w:t>
      </w:r>
    </w:p>
    <w:p w:rsidR="00037A65" w:rsidRPr="00037A65" w:rsidRDefault="00037A65" w:rsidP="00037A65">
      <w:pPr>
        <w:tabs>
          <w:tab w:val="left" w:pos="-1440"/>
          <w:tab w:val="left" w:pos="-720"/>
          <w:tab w:val="left" w:pos="1"/>
          <w:tab w:val="right" w:pos="9000"/>
        </w:tabs>
        <w:jc w:val="both"/>
        <w:rPr>
          <w:rFonts w:ascii="Arial" w:hAnsi="Arial" w:cs="Arial"/>
          <w:iCs/>
          <w:sz w:val="17"/>
          <w:szCs w:val="17"/>
          <w:lang w:val="en-GB"/>
        </w:rPr>
      </w:pPr>
      <w:r w:rsidRPr="00037A65">
        <w:rPr>
          <w:rFonts w:ascii="Arial" w:hAnsi="Arial" w:cs="Arial"/>
          <w:iCs/>
          <w:sz w:val="17"/>
          <w:szCs w:val="17"/>
          <w:lang w:val="en-GB"/>
        </w:rPr>
        <w:t>Source:</w:t>
      </w:r>
      <w:r w:rsidR="00EF787B">
        <w:rPr>
          <w:rFonts w:ascii="Arial" w:hAnsi="Arial" w:cs="Arial"/>
          <w:iCs/>
          <w:sz w:val="17"/>
          <w:szCs w:val="17"/>
          <w:lang w:val="en-GB"/>
        </w:rPr>
        <w:t xml:space="preserve"> </w:t>
      </w:r>
      <w:r w:rsidR="00261095">
        <w:rPr>
          <w:rFonts w:ascii="Arial" w:hAnsi="Arial" w:cs="Arial"/>
          <w:iCs/>
          <w:sz w:val="17"/>
          <w:szCs w:val="17"/>
          <w:lang w:val="en-GB"/>
        </w:rPr>
        <w:t>V</w:t>
      </w:r>
      <w:r w:rsidRPr="00037A65">
        <w:rPr>
          <w:rFonts w:ascii="Arial" w:hAnsi="Arial" w:cs="Arial"/>
          <w:iCs/>
          <w:sz w:val="17"/>
          <w:szCs w:val="17"/>
          <w:lang w:val="en-GB"/>
        </w:rPr>
        <w:t>arious annual reports of SRF Ltd., accessed July 8, 2015, www.srf.com/investor-relations/investors.html#reports.</w:t>
      </w:r>
    </w:p>
    <w:p w:rsidR="00037A65" w:rsidRPr="00037A65" w:rsidRDefault="00037A65" w:rsidP="00037A65">
      <w:pPr>
        <w:jc w:val="both"/>
        <w:rPr>
          <w:sz w:val="22"/>
          <w:szCs w:val="22"/>
          <w:lang w:val="en-GB"/>
        </w:rPr>
      </w:pPr>
    </w:p>
    <w:p w:rsidR="00037A65" w:rsidRPr="00037A65" w:rsidRDefault="00037A65" w:rsidP="00037A65">
      <w:pPr>
        <w:jc w:val="both"/>
        <w:rPr>
          <w:sz w:val="22"/>
          <w:szCs w:val="22"/>
          <w:lang w:val="en-GB"/>
        </w:rPr>
      </w:pPr>
    </w:p>
    <w:p w:rsidR="00037A65" w:rsidRPr="00037A65" w:rsidRDefault="00037A65" w:rsidP="00817E62">
      <w:pPr>
        <w:pStyle w:val="Casehead1"/>
        <w:jc w:val="center"/>
        <w:rPr>
          <w:lang w:val="en-GB"/>
        </w:rPr>
      </w:pPr>
      <w:r w:rsidRPr="00037A65">
        <w:rPr>
          <w:lang w:val="en-GB"/>
        </w:rPr>
        <w:t>Exhibit 7: SRF Limited and Competitors’ Data</w:t>
      </w:r>
    </w:p>
    <w:p w:rsidR="00037A65" w:rsidRPr="00F7129C" w:rsidRDefault="00037A65" w:rsidP="00037A65">
      <w:pPr>
        <w:jc w:val="both"/>
        <w:rPr>
          <w:sz w:val="12"/>
          <w:szCs w:val="12"/>
          <w:lang w:val="en-GB"/>
        </w:rPr>
      </w:pPr>
    </w:p>
    <w:tbl>
      <w:tblPr>
        <w:tblW w:w="11611" w:type="dxa"/>
        <w:jc w:val="center"/>
        <w:tblInd w:w="-1884" w:type="dxa"/>
        <w:tblLayout w:type="fixed"/>
        <w:tblLook w:val="04A0" w:firstRow="1" w:lastRow="0" w:firstColumn="1" w:lastColumn="0" w:noHBand="0" w:noVBand="1"/>
      </w:tblPr>
      <w:tblGrid>
        <w:gridCol w:w="2425"/>
        <w:gridCol w:w="2661"/>
        <w:gridCol w:w="2116"/>
        <w:gridCol w:w="1530"/>
        <w:gridCol w:w="1530"/>
        <w:gridCol w:w="1349"/>
      </w:tblGrid>
      <w:tr w:rsidR="00F7129C" w:rsidRPr="00F7129C" w:rsidTr="00F7129C">
        <w:trPr>
          <w:trHeight w:val="20"/>
          <w:jc w:val="center"/>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color w:val="000000"/>
                <w:sz w:val="18"/>
                <w:szCs w:val="18"/>
                <w:lang w:val="en-GB"/>
              </w:rPr>
              <w:t>Company</w:t>
            </w:r>
          </w:p>
        </w:tc>
        <w:tc>
          <w:tcPr>
            <w:tcW w:w="2661" w:type="dxa"/>
            <w:tcBorders>
              <w:top w:val="single" w:sz="4" w:space="0" w:color="auto"/>
              <w:left w:val="nil"/>
              <w:bottom w:val="single" w:sz="4" w:space="0" w:color="auto"/>
              <w:right w:val="single" w:sz="4" w:space="0" w:color="auto"/>
            </w:tcBorders>
            <w:shd w:val="clear" w:color="auto" w:fill="auto"/>
            <w:vAlign w:val="center"/>
            <w:hideMark/>
          </w:tcPr>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color w:val="000000"/>
                <w:sz w:val="18"/>
                <w:szCs w:val="18"/>
                <w:lang w:val="en-GB"/>
              </w:rPr>
              <w:t>Share Closing Price on the Bombay Stock Exchange (</w:t>
            </w:r>
            <w:r w:rsidRPr="00F7129C">
              <w:rPr>
                <w:rFonts w:ascii="Arial" w:hAnsi="Arial" w:cs="Arial"/>
                <w:b/>
                <w:bCs/>
                <w:sz w:val="18"/>
                <w:szCs w:val="18"/>
                <w:lang w:val="en-GB"/>
              </w:rPr>
              <w:t>₹</w:t>
            </w:r>
            <w:r w:rsidRPr="00F7129C">
              <w:rPr>
                <w:rFonts w:ascii="Arial" w:hAnsi="Arial" w:cs="Arial"/>
                <w:b/>
                <w:bCs/>
                <w:color w:val="000000"/>
                <w:sz w:val="18"/>
                <w:szCs w:val="18"/>
                <w:lang w:val="en-GB"/>
              </w:rPr>
              <w:t>)</w:t>
            </w:r>
          </w:p>
        </w:tc>
        <w:tc>
          <w:tcPr>
            <w:tcW w:w="2116" w:type="dxa"/>
            <w:tcBorders>
              <w:top w:val="single" w:sz="4" w:space="0" w:color="auto"/>
              <w:left w:val="nil"/>
              <w:bottom w:val="single" w:sz="4" w:space="0" w:color="auto"/>
              <w:right w:val="single" w:sz="4" w:space="0" w:color="auto"/>
            </w:tcBorders>
            <w:shd w:val="clear" w:color="auto" w:fill="auto"/>
            <w:vAlign w:val="center"/>
            <w:hideMark/>
          </w:tcPr>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color w:val="000000"/>
                <w:sz w:val="18"/>
                <w:szCs w:val="18"/>
                <w:lang w:val="en-GB"/>
              </w:rPr>
              <w:t>Market Capitalization</w:t>
            </w:r>
          </w:p>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sz w:val="18"/>
                <w:szCs w:val="18"/>
                <w:lang w:val="en-GB"/>
              </w:rPr>
              <w:t>(in ₹ Million)</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color w:val="000000"/>
                <w:sz w:val="18"/>
                <w:szCs w:val="18"/>
                <w:lang w:val="en-GB"/>
              </w:rPr>
              <w:t>Sales Revenue</w:t>
            </w:r>
          </w:p>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sz w:val="18"/>
                <w:szCs w:val="18"/>
                <w:lang w:val="en-GB"/>
              </w:rPr>
              <w:t>(in ₹ Million)</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color w:val="000000"/>
                <w:sz w:val="18"/>
                <w:szCs w:val="18"/>
                <w:lang w:val="en-GB"/>
              </w:rPr>
              <w:t>Profit After Tax</w:t>
            </w:r>
          </w:p>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sz w:val="18"/>
                <w:szCs w:val="18"/>
                <w:lang w:val="en-GB"/>
              </w:rPr>
              <w:t>(in ₹ Million)</w:t>
            </w:r>
          </w:p>
        </w:tc>
        <w:tc>
          <w:tcPr>
            <w:tcW w:w="1349" w:type="dxa"/>
            <w:tcBorders>
              <w:top w:val="single" w:sz="4" w:space="0" w:color="auto"/>
              <w:left w:val="nil"/>
              <w:bottom w:val="single" w:sz="4" w:space="0" w:color="auto"/>
              <w:right w:val="single" w:sz="4" w:space="0" w:color="auto"/>
            </w:tcBorders>
            <w:shd w:val="clear" w:color="auto" w:fill="auto"/>
            <w:vAlign w:val="center"/>
            <w:hideMark/>
          </w:tcPr>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color w:val="000000"/>
                <w:sz w:val="18"/>
                <w:szCs w:val="18"/>
                <w:lang w:val="en-GB"/>
              </w:rPr>
              <w:t>Total Assets</w:t>
            </w:r>
          </w:p>
          <w:p w:rsidR="00037A65" w:rsidRPr="00F7129C" w:rsidRDefault="00037A65" w:rsidP="00037A65">
            <w:pPr>
              <w:jc w:val="center"/>
              <w:rPr>
                <w:rFonts w:ascii="Arial" w:hAnsi="Arial" w:cs="Arial"/>
                <w:b/>
                <w:bCs/>
                <w:color w:val="000000"/>
                <w:sz w:val="18"/>
                <w:szCs w:val="18"/>
                <w:lang w:val="en-GB"/>
              </w:rPr>
            </w:pPr>
            <w:r w:rsidRPr="00F7129C">
              <w:rPr>
                <w:rFonts w:ascii="Arial" w:hAnsi="Arial" w:cs="Arial"/>
                <w:b/>
                <w:bCs/>
                <w:sz w:val="18"/>
                <w:szCs w:val="18"/>
                <w:lang w:val="en-GB"/>
              </w:rPr>
              <w:t>(in ₹ Million)</w:t>
            </w:r>
          </w:p>
        </w:tc>
      </w:tr>
      <w:tr w:rsidR="00F7129C" w:rsidRPr="00F7129C" w:rsidTr="00F7129C">
        <w:trPr>
          <w:trHeight w:val="20"/>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Aditya Birla Nuvo Ltd.</w:t>
            </w:r>
          </w:p>
        </w:tc>
        <w:tc>
          <w:tcPr>
            <w:tcW w:w="2661"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858.60</w:t>
            </w:r>
          </w:p>
        </w:tc>
        <w:tc>
          <w:tcPr>
            <w:tcW w:w="211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97,464.16</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88,679.50</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3,453.90</w:t>
            </w:r>
          </w:p>
        </w:tc>
        <w:tc>
          <w:tcPr>
            <w:tcW w:w="1349"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122,569.90</w:t>
            </w:r>
          </w:p>
        </w:tc>
      </w:tr>
      <w:tr w:rsidR="00F7129C" w:rsidRPr="00F7129C" w:rsidTr="00F7129C">
        <w:trPr>
          <w:trHeight w:val="20"/>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Century Enka Ltd.</w:t>
            </w:r>
          </w:p>
        </w:tc>
        <w:tc>
          <w:tcPr>
            <w:tcW w:w="2661"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120.85</w:t>
            </w:r>
          </w:p>
        </w:tc>
        <w:tc>
          <w:tcPr>
            <w:tcW w:w="211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2,640.64</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18,256.30</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87.80</w:t>
            </w:r>
          </w:p>
        </w:tc>
        <w:tc>
          <w:tcPr>
            <w:tcW w:w="1349"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13,321.50</w:t>
            </w:r>
          </w:p>
        </w:tc>
      </w:tr>
      <w:tr w:rsidR="00F7129C" w:rsidRPr="00F7129C" w:rsidTr="00F7129C">
        <w:trPr>
          <w:trHeight w:val="20"/>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Filatex India Ltd.</w:t>
            </w:r>
          </w:p>
        </w:tc>
        <w:tc>
          <w:tcPr>
            <w:tcW w:w="2661"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40.15</w:t>
            </w:r>
          </w:p>
        </w:tc>
        <w:tc>
          <w:tcPr>
            <w:tcW w:w="211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963.60</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5,193.30</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137.00</w:t>
            </w:r>
          </w:p>
        </w:tc>
        <w:tc>
          <w:tcPr>
            <w:tcW w:w="1349"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4,626.10</w:t>
            </w:r>
          </w:p>
        </w:tc>
      </w:tr>
      <w:tr w:rsidR="00F7129C" w:rsidRPr="00F7129C" w:rsidTr="00F7129C">
        <w:trPr>
          <w:trHeight w:val="20"/>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J B F Industries Ltd.</w:t>
            </w:r>
          </w:p>
        </w:tc>
        <w:tc>
          <w:tcPr>
            <w:tcW w:w="2661"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114.95</w:t>
            </w:r>
          </w:p>
        </w:tc>
        <w:tc>
          <w:tcPr>
            <w:tcW w:w="211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8,270.36</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47,820.80</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486.70</w:t>
            </w:r>
          </w:p>
        </w:tc>
        <w:tc>
          <w:tcPr>
            <w:tcW w:w="1349"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34,224.90</w:t>
            </w:r>
          </w:p>
        </w:tc>
      </w:tr>
      <w:tr w:rsidR="00F7129C" w:rsidRPr="00F7129C" w:rsidTr="00F7129C">
        <w:trPr>
          <w:trHeight w:val="20"/>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N R C Ltd.</w:t>
            </w:r>
          </w:p>
        </w:tc>
        <w:tc>
          <w:tcPr>
            <w:tcW w:w="2661"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3.95</w:t>
            </w:r>
          </w:p>
        </w:tc>
        <w:tc>
          <w:tcPr>
            <w:tcW w:w="211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147.09</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0.10</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(570.10)</w:t>
            </w:r>
          </w:p>
        </w:tc>
        <w:tc>
          <w:tcPr>
            <w:tcW w:w="1349"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3,789.50</w:t>
            </w:r>
          </w:p>
        </w:tc>
      </w:tr>
      <w:tr w:rsidR="00F7129C" w:rsidRPr="00F7129C" w:rsidTr="00F7129C">
        <w:trPr>
          <w:trHeight w:val="20"/>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Paras Petrofils Ltd.</w:t>
            </w:r>
          </w:p>
        </w:tc>
        <w:tc>
          <w:tcPr>
            <w:tcW w:w="2661"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0.48</w:t>
            </w:r>
          </w:p>
        </w:tc>
        <w:tc>
          <w:tcPr>
            <w:tcW w:w="211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160.43</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1,209.90</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(60.00)</w:t>
            </w:r>
          </w:p>
        </w:tc>
        <w:tc>
          <w:tcPr>
            <w:tcW w:w="1349"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692.90</w:t>
            </w:r>
          </w:p>
        </w:tc>
      </w:tr>
      <w:tr w:rsidR="00F7129C" w:rsidRPr="00F7129C" w:rsidTr="00F7129C">
        <w:trPr>
          <w:trHeight w:val="20"/>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SRF Ltd.</w:t>
            </w:r>
          </w:p>
        </w:tc>
        <w:tc>
          <w:tcPr>
            <w:tcW w:w="2661"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270.35</w:t>
            </w:r>
          </w:p>
        </w:tc>
        <w:tc>
          <w:tcPr>
            <w:tcW w:w="211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15,523.63</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33,470.30</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3,873.80</w:t>
            </w:r>
          </w:p>
        </w:tc>
        <w:tc>
          <w:tcPr>
            <w:tcW w:w="1349"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36,354.60</w:t>
            </w:r>
          </w:p>
        </w:tc>
      </w:tr>
      <w:tr w:rsidR="00F7129C" w:rsidRPr="00F7129C" w:rsidTr="00F7129C">
        <w:trPr>
          <w:trHeight w:val="20"/>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Shekhawati Poly-Yarn Ltd.</w:t>
            </w:r>
          </w:p>
        </w:tc>
        <w:tc>
          <w:tcPr>
            <w:tcW w:w="2661"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26.80</w:t>
            </w:r>
          </w:p>
        </w:tc>
        <w:tc>
          <w:tcPr>
            <w:tcW w:w="211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589.90</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2,143.40</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44.20</w:t>
            </w:r>
          </w:p>
        </w:tc>
        <w:tc>
          <w:tcPr>
            <w:tcW w:w="1349"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1,800.10</w:t>
            </w:r>
          </w:p>
        </w:tc>
      </w:tr>
      <w:tr w:rsidR="00F7129C" w:rsidRPr="00F7129C" w:rsidTr="00F7129C">
        <w:trPr>
          <w:trHeight w:val="20"/>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Sumeet Industries Ltd.</w:t>
            </w:r>
          </w:p>
        </w:tc>
        <w:tc>
          <w:tcPr>
            <w:tcW w:w="2661"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27.10</w:t>
            </w:r>
          </w:p>
        </w:tc>
        <w:tc>
          <w:tcPr>
            <w:tcW w:w="211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1,579.65</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8,934.40</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174.70</w:t>
            </w:r>
          </w:p>
        </w:tc>
        <w:tc>
          <w:tcPr>
            <w:tcW w:w="1349"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6,261.70</w:t>
            </w:r>
          </w:p>
        </w:tc>
      </w:tr>
      <w:tr w:rsidR="00F7129C" w:rsidRPr="00F7129C" w:rsidTr="00F7129C">
        <w:trPr>
          <w:trHeight w:val="20"/>
          <w:jc w:val="center"/>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rsidR="00037A65" w:rsidRPr="00F7129C" w:rsidRDefault="00037A65" w:rsidP="00037A65">
            <w:pPr>
              <w:rPr>
                <w:rFonts w:ascii="Arial" w:hAnsi="Arial" w:cs="Arial"/>
                <w:color w:val="000000"/>
                <w:sz w:val="18"/>
                <w:szCs w:val="18"/>
                <w:lang w:val="en-GB"/>
              </w:rPr>
            </w:pPr>
            <w:r w:rsidRPr="00F7129C">
              <w:rPr>
                <w:rFonts w:ascii="Arial" w:hAnsi="Arial" w:cs="Arial"/>
                <w:color w:val="000000"/>
                <w:sz w:val="18"/>
                <w:szCs w:val="18"/>
                <w:lang w:val="en-GB"/>
              </w:rPr>
              <w:t>Vardhman Acrylics Ltd.</w:t>
            </w:r>
          </w:p>
        </w:tc>
        <w:tc>
          <w:tcPr>
            <w:tcW w:w="2661"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p>
        </w:tc>
        <w:tc>
          <w:tcPr>
            <w:tcW w:w="2116"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4,212.20</w:t>
            </w:r>
          </w:p>
        </w:tc>
        <w:tc>
          <w:tcPr>
            <w:tcW w:w="1530"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244.90</w:t>
            </w:r>
          </w:p>
        </w:tc>
        <w:tc>
          <w:tcPr>
            <w:tcW w:w="1349" w:type="dxa"/>
            <w:tcBorders>
              <w:top w:val="nil"/>
              <w:left w:val="nil"/>
              <w:bottom w:val="single" w:sz="4" w:space="0" w:color="auto"/>
              <w:right w:val="single" w:sz="4" w:space="0" w:color="auto"/>
            </w:tcBorders>
            <w:shd w:val="clear" w:color="auto" w:fill="auto"/>
            <w:noWrap/>
            <w:vAlign w:val="center"/>
            <w:hideMark/>
          </w:tcPr>
          <w:p w:rsidR="00037A65" w:rsidRPr="00F7129C" w:rsidRDefault="00037A65" w:rsidP="00037A65">
            <w:pPr>
              <w:jc w:val="right"/>
              <w:rPr>
                <w:rFonts w:ascii="Arial" w:hAnsi="Arial" w:cs="Arial"/>
                <w:color w:val="000000"/>
                <w:sz w:val="18"/>
                <w:szCs w:val="18"/>
                <w:lang w:val="en-GB"/>
              </w:rPr>
            </w:pPr>
            <w:r w:rsidRPr="00F7129C">
              <w:rPr>
                <w:rFonts w:ascii="Arial" w:hAnsi="Arial" w:cs="Arial"/>
                <w:color w:val="000000"/>
                <w:sz w:val="18"/>
                <w:szCs w:val="18"/>
                <w:lang w:val="en-GB"/>
              </w:rPr>
              <w:t>3,549.70</w:t>
            </w:r>
          </w:p>
        </w:tc>
      </w:tr>
    </w:tbl>
    <w:p w:rsidR="00037A65" w:rsidRPr="00037A65" w:rsidRDefault="00037A65" w:rsidP="00037A65">
      <w:pPr>
        <w:tabs>
          <w:tab w:val="left" w:pos="-1440"/>
          <w:tab w:val="left" w:pos="-720"/>
          <w:tab w:val="left" w:pos="1"/>
          <w:tab w:val="right" w:pos="9000"/>
        </w:tabs>
        <w:jc w:val="both"/>
        <w:rPr>
          <w:rFonts w:ascii="Arial" w:hAnsi="Arial" w:cs="Arial"/>
          <w:iCs/>
          <w:sz w:val="17"/>
          <w:szCs w:val="17"/>
          <w:lang w:val="en-GB"/>
        </w:rPr>
      </w:pPr>
      <w:r w:rsidRPr="00037A65">
        <w:rPr>
          <w:rFonts w:ascii="Arial" w:hAnsi="Arial" w:cs="Arial"/>
          <w:iCs/>
          <w:sz w:val="17"/>
          <w:szCs w:val="17"/>
          <w:lang w:val="en-GB"/>
        </w:rPr>
        <w:t>Note: Share closing price and market capitalization as on February 15, 2012; others as on December 31, 2011.</w:t>
      </w:r>
    </w:p>
    <w:p w:rsidR="00E14173" w:rsidRPr="00E14173" w:rsidRDefault="00037A65" w:rsidP="00261095">
      <w:pPr>
        <w:tabs>
          <w:tab w:val="left" w:pos="-1440"/>
          <w:tab w:val="left" w:pos="-720"/>
          <w:tab w:val="left" w:pos="1"/>
          <w:tab w:val="right" w:pos="9000"/>
        </w:tabs>
        <w:jc w:val="both"/>
        <w:rPr>
          <w:color w:val="000000" w:themeColor="text1"/>
          <w:sz w:val="22"/>
          <w:szCs w:val="22"/>
          <w:lang w:val="en-GB" w:eastAsia="en-IN"/>
        </w:rPr>
      </w:pPr>
      <w:r w:rsidRPr="00037A65">
        <w:rPr>
          <w:rFonts w:ascii="Arial" w:hAnsi="Arial" w:cs="Arial"/>
          <w:iCs/>
          <w:sz w:val="17"/>
          <w:szCs w:val="17"/>
          <w:lang w:val="en-GB"/>
        </w:rPr>
        <w:t>Source: Prepared by the authors with information from the Capitaline Database, accessed July 8, 2015,</w:t>
      </w:r>
      <w:r w:rsidRPr="00037A65">
        <w:rPr>
          <w:rFonts w:ascii="Arial" w:hAnsi="Arial" w:cs="Arial"/>
          <w:iCs/>
          <w:sz w:val="17"/>
          <w:szCs w:val="17"/>
        </w:rPr>
        <w:t xml:space="preserve"> www.capitaline.com</w:t>
      </w:r>
      <w:r w:rsidRPr="00037A65">
        <w:rPr>
          <w:rFonts w:ascii="Arial" w:hAnsi="Arial" w:cs="Arial"/>
          <w:iCs/>
          <w:sz w:val="17"/>
          <w:szCs w:val="17"/>
          <w:lang w:val="en-GB"/>
        </w:rPr>
        <w:t>.</w:t>
      </w:r>
    </w:p>
    <w:p w:rsidR="00037A65" w:rsidRDefault="00037A65" w:rsidP="000D7091">
      <w:pPr>
        <w:pStyle w:val="BodyTextMain"/>
        <w:rPr>
          <w:lang w:val="en-GB"/>
        </w:rPr>
        <w:sectPr w:rsidR="00037A65" w:rsidSect="00037A65">
          <w:headerReference w:type="default" r:id="rId15"/>
          <w:pgSz w:w="15840" w:h="12240" w:orient="landscape" w:code="1"/>
          <w:pgMar w:top="1440" w:right="1440" w:bottom="1440" w:left="1440" w:header="1080" w:footer="720" w:gutter="0"/>
          <w:cols w:space="720"/>
          <w:docGrid w:linePitch="360"/>
        </w:sectPr>
      </w:pPr>
    </w:p>
    <w:p w:rsidR="00037A65" w:rsidRPr="00037A65" w:rsidRDefault="00037A65" w:rsidP="00817E62">
      <w:pPr>
        <w:pStyle w:val="Casehead1"/>
        <w:jc w:val="center"/>
        <w:rPr>
          <w:lang w:val="en-GB"/>
        </w:rPr>
      </w:pPr>
      <w:r w:rsidRPr="00037A65">
        <w:rPr>
          <w:lang w:val="en-GB"/>
        </w:rPr>
        <w:lastRenderedPageBreak/>
        <w:t xml:space="preserve">Exhibit 8: </w:t>
      </w:r>
      <w:r w:rsidR="00A62944">
        <w:rPr>
          <w:lang w:val="en-GB"/>
        </w:rPr>
        <w:t xml:space="preserve">SRF limited </w:t>
      </w:r>
      <w:r w:rsidRPr="00037A65">
        <w:rPr>
          <w:lang w:val="en-GB"/>
        </w:rPr>
        <w:t>Capital expenditures (in</w:t>
      </w:r>
      <w:r w:rsidRPr="00037A65">
        <w:rPr>
          <w:bCs/>
          <w:lang w:val="en-GB"/>
        </w:rPr>
        <w:t xml:space="preserve"> ₹ </w:t>
      </w:r>
      <w:r w:rsidRPr="00037A65">
        <w:rPr>
          <w:lang w:val="en-GB"/>
        </w:rPr>
        <w:t>million)</w:t>
      </w:r>
    </w:p>
    <w:p w:rsidR="00037A65" w:rsidRPr="00261095" w:rsidRDefault="00037A65" w:rsidP="00817E62">
      <w:pPr>
        <w:pStyle w:val="BodyTextMain"/>
        <w:rPr>
          <w:lang w:val="en-GB"/>
        </w:rPr>
      </w:pPr>
    </w:p>
    <w:tbl>
      <w:tblPr>
        <w:tblW w:w="9326" w:type="dxa"/>
        <w:jc w:val="center"/>
        <w:tblInd w:w="-342" w:type="dxa"/>
        <w:tblLook w:val="04A0" w:firstRow="1" w:lastRow="0" w:firstColumn="1" w:lastColumn="0" w:noHBand="0" w:noVBand="1"/>
      </w:tblPr>
      <w:tblGrid>
        <w:gridCol w:w="3782"/>
        <w:gridCol w:w="792"/>
        <w:gridCol w:w="792"/>
        <w:gridCol w:w="792"/>
        <w:gridCol w:w="792"/>
        <w:gridCol w:w="792"/>
        <w:gridCol w:w="792"/>
        <w:gridCol w:w="792"/>
      </w:tblGrid>
      <w:tr w:rsidR="00037A65" w:rsidRPr="00261095" w:rsidTr="00261095">
        <w:trPr>
          <w:trHeight w:val="20"/>
          <w:jc w:val="center"/>
        </w:trPr>
        <w:tc>
          <w:tcPr>
            <w:tcW w:w="3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7A65" w:rsidRPr="00261095" w:rsidRDefault="00037A65" w:rsidP="00037A65">
            <w:pPr>
              <w:rPr>
                <w:rFonts w:ascii="Arial" w:hAnsi="Arial" w:cs="Arial"/>
                <w:b/>
                <w:bCs/>
                <w:sz w:val="18"/>
                <w:szCs w:val="18"/>
                <w:lang w:val="en-GB"/>
              </w:rPr>
            </w:pPr>
            <w:r w:rsidRPr="00261095">
              <w:rPr>
                <w:rFonts w:ascii="Arial" w:hAnsi="Arial" w:cs="Arial"/>
                <w:b/>
                <w:bCs/>
                <w:sz w:val="18"/>
                <w:szCs w:val="18"/>
                <w:lang w:val="en-GB"/>
              </w:rPr>
              <w:t> </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rsidR="00037A65" w:rsidRPr="00261095" w:rsidRDefault="00037A65" w:rsidP="00037A65">
            <w:pPr>
              <w:jc w:val="center"/>
              <w:rPr>
                <w:rFonts w:ascii="Arial" w:hAnsi="Arial" w:cs="Arial"/>
                <w:b/>
                <w:bCs/>
                <w:sz w:val="18"/>
                <w:szCs w:val="18"/>
                <w:lang w:val="en-GB"/>
              </w:rPr>
            </w:pPr>
            <w:r w:rsidRPr="00261095">
              <w:rPr>
                <w:rFonts w:ascii="Arial" w:hAnsi="Arial" w:cs="Arial"/>
                <w:b/>
                <w:bCs/>
                <w:sz w:val="18"/>
                <w:szCs w:val="18"/>
                <w:lang w:val="en-GB"/>
              </w:rPr>
              <w:t>2012</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rsidR="00037A65" w:rsidRPr="00261095" w:rsidRDefault="00037A65" w:rsidP="00037A65">
            <w:pPr>
              <w:jc w:val="center"/>
              <w:rPr>
                <w:rFonts w:ascii="Arial" w:hAnsi="Arial" w:cs="Arial"/>
                <w:b/>
                <w:bCs/>
                <w:sz w:val="18"/>
                <w:szCs w:val="18"/>
                <w:lang w:val="en-GB"/>
              </w:rPr>
            </w:pPr>
            <w:r w:rsidRPr="00261095">
              <w:rPr>
                <w:rFonts w:ascii="Arial" w:hAnsi="Arial" w:cs="Arial"/>
                <w:b/>
                <w:bCs/>
                <w:sz w:val="18"/>
                <w:szCs w:val="18"/>
                <w:lang w:val="en-GB"/>
              </w:rPr>
              <w:t>2011</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rsidR="00037A65" w:rsidRPr="00261095" w:rsidRDefault="00037A65" w:rsidP="00037A65">
            <w:pPr>
              <w:jc w:val="center"/>
              <w:rPr>
                <w:rFonts w:ascii="Arial" w:hAnsi="Arial" w:cs="Arial"/>
                <w:b/>
                <w:bCs/>
                <w:sz w:val="18"/>
                <w:szCs w:val="18"/>
                <w:lang w:val="en-GB"/>
              </w:rPr>
            </w:pPr>
            <w:r w:rsidRPr="00261095">
              <w:rPr>
                <w:rFonts w:ascii="Arial" w:hAnsi="Arial" w:cs="Arial"/>
                <w:b/>
                <w:bCs/>
                <w:sz w:val="18"/>
                <w:szCs w:val="18"/>
                <w:lang w:val="en-GB"/>
              </w:rPr>
              <w:t>2010</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rsidR="00037A65" w:rsidRPr="00261095" w:rsidRDefault="00037A65" w:rsidP="00037A65">
            <w:pPr>
              <w:jc w:val="center"/>
              <w:rPr>
                <w:rFonts w:ascii="Arial" w:hAnsi="Arial" w:cs="Arial"/>
                <w:b/>
                <w:bCs/>
                <w:sz w:val="18"/>
                <w:szCs w:val="18"/>
                <w:lang w:val="en-GB"/>
              </w:rPr>
            </w:pPr>
            <w:r w:rsidRPr="00261095">
              <w:rPr>
                <w:rFonts w:ascii="Arial" w:hAnsi="Arial" w:cs="Arial"/>
                <w:b/>
                <w:bCs/>
                <w:sz w:val="18"/>
                <w:szCs w:val="18"/>
                <w:lang w:val="en-GB"/>
              </w:rPr>
              <w:t>2009</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rsidR="00037A65" w:rsidRPr="00261095" w:rsidRDefault="00037A65" w:rsidP="00037A65">
            <w:pPr>
              <w:jc w:val="center"/>
              <w:rPr>
                <w:rFonts w:ascii="Arial" w:hAnsi="Arial" w:cs="Arial"/>
                <w:b/>
                <w:bCs/>
                <w:sz w:val="18"/>
                <w:szCs w:val="18"/>
                <w:lang w:val="en-GB"/>
              </w:rPr>
            </w:pPr>
            <w:r w:rsidRPr="00261095">
              <w:rPr>
                <w:rFonts w:ascii="Arial" w:hAnsi="Arial" w:cs="Arial"/>
                <w:b/>
                <w:bCs/>
                <w:sz w:val="18"/>
                <w:szCs w:val="18"/>
                <w:lang w:val="en-GB"/>
              </w:rPr>
              <w:t>2008</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rsidR="00037A65" w:rsidRPr="00261095" w:rsidRDefault="00037A65" w:rsidP="00037A65">
            <w:pPr>
              <w:jc w:val="center"/>
              <w:rPr>
                <w:rFonts w:ascii="Arial" w:hAnsi="Arial" w:cs="Arial"/>
                <w:b/>
                <w:bCs/>
                <w:sz w:val="18"/>
                <w:szCs w:val="18"/>
                <w:lang w:val="en-GB"/>
              </w:rPr>
            </w:pPr>
            <w:r w:rsidRPr="00261095">
              <w:rPr>
                <w:rFonts w:ascii="Arial" w:hAnsi="Arial" w:cs="Arial"/>
                <w:b/>
                <w:bCs/>
                <w:sz w:val="18"/>
                <w:szCs w:val="18"/>
                <w:lang w:val="en-GB"/>
              </w:rPr>
              <w:t>2007</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rsidR="00037A65" w:rsidRPr="00261095" w:rsidRDefault="00037A65" w:rsidP="00037A65">
            <w:pPr>
              <w:jc w:val="center"/>
              <w:rPr>
                <w:rFonts w:ascii="Arial" w:hAnsi="Arial" w:cs="Arial"/>
                <w:b/>
                <w:bCs/>
                <w:sz w:val="18"/>
                <w:szCs w:val="18"/>
                <w:lang w:val="en-GB"/>
              </w:rPr>
            </w:pPr>
            <w:r w:rsidRPr="00261095">
              <w:rPr>
                <w:rFonts w:ascii="Arial" w:hAnsi="Arial" w:cs="Arial"/>
                <w:b/>
                <w:bCs/>
                <w:sz w:val="18"/>
                <w:szCs w:val="18"/>
                <w:lang w:val="en-GB"/>
              </w:rPr>
              <w:t>2006</w:t>
            </w:r>
          </w:p>
        </w:tc>
      </w:tr>
      <w:tr w:rsidR="00037A65" w:rsidRPr="00261095" w:rsidTr="00261095">
        <w:trPr>
          <w:trHeight w:val="20"/>
          <w:jc w:val="center"/>
        </w:trPr>
        <w:tc>
          <w:tcPr>
            <w:tcW w:w="3782" w:type="dxa"/>
            <w:tcBorders>
              <w:top w:val="nil"/>
              <w:left w:val="single" w:sz="4" w:space="0" w:color="auto"/>
              <w:bottom w:val="single" w:sz="4" w:space="0" w:color="auto"/>
              <w:right w:val="single" w:sz="4" w:space="0" w:color="auto"/>
            </w:tcBorders>
            <w:shd w:val="clear" w:color="auto" w:fill="auto"/>
            <w:noWrap/>
            <w:vAlign w:val="center"/>
            <w:hideMark/>
          </w:tcPr>
          <w:p w:rsidR="00037A65" w:rsidRPr="00261095" w:rsidRDefault="00037A65" w:rsidP="00037A65">
            <w:pPr>
              <w:rPr>
                <w:rFonts w:ascii="Arial" w:hAnsi="Arial" w:cs="Arial"/>
                <w:sz w:val="18"/>
                <w:szCs w:val="18"/>
                <w:lang w:val="en-GB"/>
              </w:rPr>
            </w:pPr>
            <w:r w:rsidRPr="00261095">
              <w:rPr>
                <w:rFonts w:ascii="Arial" w:hAnsi="Arial" w:cs="Arial"/>
                <w:sz w:val="18"/>
                <w:szCs w:val="18"/>
                <w:lang w:val="en-GB"/>
              </w:rPr>
              <w:t>Capital Expenditure</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618</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767</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536</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381</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2,335</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1,753</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106</w:t>
            </w:r>
          </w:p>
        </w:tc>
      </w:tr>
      <w:tr w:rsidR="00037A65" w:rsidRPr="00261095" w:rsidTr="00261095">
        <w:trPr>
          <w:trHeight w:val="20"/>
          <w:jc w:val="center"/>
        </w:trPr>
        <w:tc>
          <w:tcPr>
            <w:tcW w:w="3782" w:type="dxa"/>
            <w:tcBorders>
              <w:top w:val="nil"/>
              <w:left w:val="single" w:sz="4" w:space="0" w:color="auto"/>
              <w:bottom w:val="single" w:sz="4" w:space="0" w:color="auto"/>
              <w:right w:val="single" w:sz="4" w:space="0" w:color="auto"/>
            </w:tcBorders>
            <w:shd w:val="clear" w:color="auto" w:fill="auto"/>
            <w:noWrap/>
            <w:vAlign w:val="center"/>
            <w:hideMark/>
          </w:tcPr>
          <w:p w:rsidR="00037A65" w:rsidRPr="00261095" w:rsidRDefault="00037A65" w:rsidP="00037A65">
            <w:pPr>
              <w:rPr>
                <w:rFonts w:ascii="Arial" w:hAnsi="Arial" w:cs="Arial"/>
                <w:sz w:val="18"/>
                <w:szCs w:val="18"/>
                <w:lang w:val="en-GB"/>
              </w:rPr>
            </w:pPr>
            <w:r w:rsidRPr="00261095">
              <w:rPr>
                <w:rFonts w:ascii="Arial" w:hAnsi="Arial" w:cs="Arial"/>
                <w:sz w:val="18"/>
                <w:szCs w:val="18"/>
                <w:lang w:val="en-GB"/>
              </w:rPr>
              <w:t>Recurring Expenditure</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2,099</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1,846</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1,375</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1,156</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897</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401</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159</w:t>
            </w:r>
          </w:p>
        </w:tc>
      </w:tr>
      <w:tr w:rsidR="00037A65" w:rsidRPr="00261095" w:rsidTr="00261095">
        <w:trPr>
          <w:trHeight w:val="20"/>
          <w:jc w:val="center"/>
        </w:trPr>
        <w:tc>
          <w:tcPr>
            <w:tcW w:w="3782" w:type="dxa"/>
            <w:tcBorders>
              <w:top w:val="nil"/>
              <w:left w:val="single" w:sz="4" w:space="0" w:color="auto"/>
              <w:bottom w:val="single" w:sz="4" w:space="0" w:color="auto"/>
              <w:right w:val="single" w:sz="4" w:space="0" w:color="auto"/>
            </w:tcBorders>
            <w:shd w:val="clear" w:color="auto" w:fill="auto"/>
            <w:noWrap/>
            <w:vAlign w:val="center"/>
            <w:hideMark/>
          </w:tcPr>
          <w:p w:rsidR="00037A65" w:rsidRPr="00261095" w:rsidRDefault="00037A65" w:rsidP="00037A65">
            <w:pPr>
              <w:rPr>
                <w:rFonts w:ascii="Arial" w:hAnsi="Arial" w:cs="Arial"/>
                <w:sz w:val="18"/>
                <w:szCs w:val="18"/>
                <w:lang w:val="en-GB"/>
              </w:rPr>
            </w:pPr>
            <w:r w:rsidRPr="00261095">
              <w:rPr>
                <w:rFonts w:ascii="Arial" w:hAnsi="Arial" w:cs="Arial"/>
                <w:sz w:val="18"/>
                <w:szCs w:val="18"/>
                <w:lang w:val="en-GB"/>
              </w:rPr>
              <w:t>Total Expenditure</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2,717</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2,613</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1,911</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1,537</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3,232</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2,154</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265</w:t>
            </w:r>
          </w:p>
        </w:tc>
      </w:tr>
      <w:tr w:rsidR="00037A65" w:rsidRPr="00261095" w:rsidTr="00261095">
        <w:trPr>
          <w:trHeight w:val="20"/>
          <w:jc w:val="center"/>
        </w:trPr>
        <w:tc>
          <w:tcPr>
            <w:tcW w:w="3782" w:type="dxa"/>
            <w:tcBorders>
              <w:top w:val="nil"/>
              <w:left w:val="single" w:sz="4" w:space="0" w:color="auto"/>
              <w:bottom w:val="single" w:sz="4" w:space="0" w:color="auto"/>
              <w:right w:val="single" w:sz="4" w:space="0" w:color="auto"/>
            </w:tcBorders>
            <w:shd w:val="clear" w:color="auto" w:fill="auto"/>
            <w:vAlign w:val="center"/>
            <w:hideMark/>
          </w:tcPr>
          <w:p w:rsidR="00037A65" w:rsidRPr="00261095" w:rsidRDefault="00037A65" w:rsidP="00261095">
            <w:pPr>
              <w:rPr>
                <w:rFonts w:ascii="Arial" w:hAnsi="Arial" w:cs="Arial"/>
                <w:sz w:val="18"/>
                <w:szCs w:val="18"/>
                <w:lang w:val="en-GB"/>
              </w:rPr>
            </w:pPr>
            <w:r w:rsidRPr="00261095">
              <w:rPr>
                <w:rFonts w:ascii="Arial" w:hAnsi="Arial" w:cs="Arial"/>
                <w:sz w:val="18"/>
                <w:szCs w:val="18"/>
                <w:lang w:val="en-GB"/>
              </w:rPr>
              <w:t>Total R&amp;D Expenditure (% of Net Turnover)</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0.77</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0.88</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0.88</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0.85</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2.00</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11.90</w:t>
            </w:r>
          </w:p>
        </w:tc>
        <w:tc>
          <w:tcPr>
            <w:tcW w:w="792"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0.21</w:t>
            </w:r>
          </w:p>
        </w:tc>
      </w:tr>
    </w:tbl>
    <w:p w:rsidR="00037A65" w:rsidRPr="00037A65" w:rsidRDefault="00037A65" w:rsidP="00037A65">
      <w:pPr>
        <w:tabs>
          <w:tab w:val="left" w:pos="-1440"/>
          <w:tab w:val="left" w:pos="-720"/>
          <w:tab w:val="left" w:pos="1"/>
          <w:tab w:val="right" w:pos="9000"/>
        </w:tabs>
        <w:jc w:val="both"/>
        <w:rPr>
          <w:rFonts w:ascii="Arial" w:hAnsi="Arial" w:cs="Arial"/>
          <w:iCs/>
          <w:sz w:val="17"/>
          <w:szCs w:val="17"/>
          <w:lang w:val="en-GB"/>
        </w:rPr>
      </w:pPr>
    </w:p>
    <w:p w:rsidR="00037A65" w:rsidRPr="00037A65" w:rsidRDefault="00037A65" w:rsidP="00037A65">
      <w:pPr>
        <w:tabs>
          <w:tab w:val="left" w:pos="-1440"/>
          <w:tab w:val="left" w:pos="-720"/>
          <w:tab w:val="left" w:pos="1"/>
          <w:tab w:val="right" w:pos="9000"/>
        </w:tabs>
        <w:jc w:val="both"/>
        <w:rPr>
          <w:rFonts w:ascii="Arial" w:hAnsi="Arial" w:cs="Arial"/>
          <w:iCs/>
          <w:sz w:val="17"/>
          <w:szCs w:val="17"/>
          <w:lang w:val="en-GB"/>
        </w:rPr>
      </w:pPr>
      <w:r w:rsidRPr="00037A65">
        <w:rPr>
          <w:rFonts w:ascii="Arial" w:hAnsi="Arial" w:cs="Arial"/>
          <w:iCs/>
          <w:sz w:val="17"/>
          <w:szCs w:val="17"/>
          <w:lang w:val="en-GB"/>
        </w:rPr>
        <w:t>Note: R&amp;D = research and development</w:t>
      </w:r>
    </w:p>
    <w:p w:rsidR="00037A65" w:rsidRPr="00037A65" w:rsidRDefault="00037A65" w:rsidP="00037A65">
      <w:pPr>
        <w:tabs>
          <w:tab w:val="left" w:pos="-1440"/>
          <w:tab w:val="left" w:pos="-720"/>
          <w:tab w:val="left" w:pos="1"/>
          <w:tab w:val="right" w:pos="9000"/>
        </w:tabs>
        <w:jc w:val="both"/>
        <w:rPr>
          <w:rFonts w:ascii="Arial" w:hAnsi="Arial" w:cs="Arial"/>
          <w:iCs/>
          <w:color w:val="000000" w:themeColor="text1"/>
          <w:sz w:val="22"/>
          <w:szCs w:val="22"/>
          <w:lang w:val="en-GB"/>
        </w:rPr>
      </w:pPr>
      <w:r w:rsidRPr="00037A65">
        <w:rPr>
          <w:rFonts w:ascii="Arial" w:hAnsi="Arial" w:cs="Arial"/>
          <w:iCs/>
          <w:sz w:val="17"/>
          <w:szCs w:val="17"/>
          <w:lang w:val="en-GB"/>
        </w:rPr>
        <w:t>Source: Prepared by the authors with information from the Capitaline Database.</w:t>
      </w:r>
    </w:p>
    <w:p w:rsidR="00037A65" w:rsidRPr="00817E62" w:rsidRDefault="00037A65" w:rsidP="00817E62">
      <w:pPr>
        <w:pStyle w:val="BodyTextMain"/>
        <w:rPr>
          <w:sz w:val="18"/>
          <w:szCs w:val="18"/>
          <w:lang w:val="en-GB"/>
        </w:rPr>
      </w:pPr>
    </w:p>
    <w:p w:rsidR="00037A65" w:rsidRPr="00817E62" w:rsidRDefault="00037A65" w:rsidP="00817E62">
      <w:pPr>
        <w:pStyle w:val="BodyTextMain"/>
        <w:rPr>
          <w:sz w:val="18"/>
          <w:szCs w:val="18"/>
          <w:lang w:val="en-GB"/>
        </w:rPr>
      </w:pPr>
    </w:p>
    <w:p w:rsidR="00037A65" w:rsidRPr="00037A65" w:rsidRDefault="00037A65" w:rsidP="00037A65">
      <w:pPr>
        <w:jc w:val="center"/>
        <w:rPr>
          <w:rFonts w:ascii="Arial" w:hAnsi="Arial" w:cs="Arial"/>
          <w:b/>
          <w:caps/>
          <w:lang w:val="en-GB"/>
        </w:rPr>
      </w:pPr>
      <w:r w:rsidRPr="00037A65">
        <w:rPr>
          <w:rFonts w:ascii="Arial" w:hAnsi="Arial" w:cs="Arial"/>
          <w:b/>
          <w:caps/>
          <w:lang w:val="en-GB"/>
        </w:rPr>
        <w:t>Exhibit 9: CERtified Emissions reduction Receipts</w:t>
      </w:r>
    </w:p>
    <w:p w:rsidR="00037A65" w:rsidRPr="00261095" w:rsidRDefault="00037A65" w:rsidP="00037A65">
      <w:pPr>
        <w:jc w:val="both"/>
        <w:rPr>
          <w:sz w:val="18"/>
          <w:szCs w:val="18"/>
          <w:lang w:val="en-GB"/>
        </w:rPr>
      </w:pPr>
    </w:p>
    <w:tbl>
      <w:tblPr>
        <w:tblW w:w="7029" w:type="dxa"/>
        <w:jc w:val="center"/>
        <w:tblInd w:w="-1169" w:type="dxa"/>
        <w:tblLook w:val="04A0" w:firstRow="1" w:lastRow="0" w:firstColumn="1" w:lastColumn="0" w:noHBand="0" w:noVBand="1"/>
      </w:tblPr>
      <w:tblGrid>
        <w:gridCol w:w="2949"/>
        <w:gridCol w:w="1020"/>
        <w:gridCol w:w="1020"/>
        <w:gridCol w:w="1020"/>
        <w:gridCol w:w="1020"/>
      </w:tblGrid>
      <w:tr w:rsidR="00037A65" w:rsidRPr="00261095" w:rsidTr="00037A65">
        <w:trPr>
          <w:trHeight w:val="20"/>
          <w:jc w:val="center"/>
        </w:trPr>
        <w:tc>
          <w:tcPr>
            <w:tcW w:w="2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7A65" w:rsidRPr="00261095" w:rsidRDefault="00037A65" w:rsidP="00261095">
            <w:pPr>
              <w:rPr>
                <w:rFonts w:ascii="Arial" w:hAnsi="Arial" w:cs="Arial"/>
                <w:sz w:val="18"/>
                <w:szCs w:val="18"/>
                <w:lang w:val="en-GB"/>
              </w:rPr>
            </w:pPr>
            <w:r w:rsidRPr="00261095">
              <w:rPr>
                <w:rFonts w:ascii="Arial" w:hAnsi="Arial" w:cs="Arial"/>
                <w:sz w:val="18"/>
                <w:szCs w:val="18"/>
                <w:lang w:val="en-GB"/>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037A65" w:rsidRPr="00261095" w:rsidRDefault="00037A65" w:rsidP="00037A65">
            <w:pPr>
              <w:jc w:val="center"/>
              <w:rPr>
                <w:rFonts w:ascii="Arial" w:hAnsi="Arial" w:cs="Arial"/>
                <w:b/>
                <w:bCs/>
                <w:sz w:val="18"/>
                <w:szCs w:val="18"/>
                <w:lang w:val="en-GB"/>
              </w:rPr>
            </w:pPr>
            <w:r w:rsidRPr="00261095">
              <w:rPr>
                <w:rFonts w:ascii="Arial" w:hAnsi="Arial" w:cs="Arial"/>
                <w:b/>
                <w:bCs/>
                <w:sz w:val="18"/>
                <w:szCs w:val="18"/>
                <w:lang w:val="en-GB"/>
              </w:rPr>
              <w:t>2011</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037A65" w:rsidRPr="00261095" w:rsidRDefault="00037A65" w:rsidP="00037A65">
            <w:pPr>
              <w:jc w:val="center"/>
              <w:rPr>
                <w:rFonts w:ascii="Arial" w:hAnsi="Arial" w:cs="Arial"/>
                <w:b/>
                <w:bCs/>
                <w:sz w:val="18"/>
                <w:szCs w:val="18"/>
                <w:lang w:val="en-GB"/>
              </w:rPr>
            </w:pPr>
            <w:r w:rsidRPr="00261095">
              <w:rPr>
                <w:rFonts w:ascii="Arial" w:hAnsi="Arial" w:cs="Arial"/>
                <w:b/>
                <w:bCs/>
                <w:sz w:val="18"/>
                <w:szCs w:val="18"/>
                <w:lang w:val="en-GB"/>
              </w:rPr>
              <w:t>2010</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037A65" w:rsidRPr="00261095" w:rsidRDefault="00037A65" w:rsidP="00037A65">
            <w:pPr>
              <w:jc w:val="center"/>
              <w:rPr>
                <w:rFonts w:ascii="Arial" w:hAnsi="Arial" w:cs="Arial"/>
                <w:b/>
                <w:bCs/>
                <w:sz w:val="18"/>
                <w:szCs w:val="18"/>
                <w:lang w:val="en-GB"/>
              </w:rPr>
            </w:pPr>
            <w:r w:rsidRPr="00261095">
              <w:rPr>
                <w:rFonts w:ascii="Arial" w:hAnsi="Arial" w:cs="Arial"/>
                <w:b/>
                <w:bCs/>
                <w:sz w:val="18"/>
                <w:szCs w:val="18"/>
                <w:lang w:val="en-GB"/>
              </w:rPr>
              <w:t>2009</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037A65" w:rsidRPr="00261095" w:rsidRDefault="00037A65" w:rsidP="00037A65">
            <w:pPr>
              <w:jc w:val="center"/>
              <w:rPr>
                <w:rFonts w:ascii="Arial" w:hAnsi="Arial" w:cs="Arial"/>
                <w:b/>
                <w:bCs/>
                <w:sz w:val="18"/>
                <w:szCs w:val="18"/>
                <w:lang w:val="en-GB"/>
              </w:rPr>
            </w:pPr>
            <w:r w:rsidRPr="00261095">
              <w:rPr>
                <w:rFonts w:ascii="Arial" w:hAnsi="Arial" w:cs="Arial"/>
                <w:b/>
                <w:bCs/>
                <w:sz w:val="18"/>
                <w:szCs w:val="18"/>
                <w:lang w:val="en-GB"/>
              </w:rPr>
              <w:t>2008</w:t>
            </w:r>
          </w:p>
        </w:tc>
      </w:tr>
      <w:tr w:rsidR="00037A65" w:rsidRPr="00261095" w:rsidTr="00037A65">
        <w:trPr>
          <w:trHeight w:val="20"/>
          <w:jc w:val="center"/>
        </w:trPr>
        <w:tc>
          <w:tcPr>
            <w:tcW w:w="2949" w:type="dxa"/>
            <w:tcBorders>
              <w:top w:val="nil"/>
              <w:left w:val="single" w:sz="4" w:space="0" w:color="auto"/>
              <w:bottom w:val="single" w:sz="4" w:space="0" w:color="auto"/>
              <w:right w:val="single" w:sz="4" w:space="0" w:color="auto"/>
            </w:tcBorders>
            <w:shd w:val="clear" w:color="auto" w:fill="auto"/>
            <w:noWrap/>
            <w:vAlign w:val="center"/>
            <w:hideMark/>
          </w:tcPr>
          <w:p w:rsidR="00037A65" w:rsidRPr="00261095" w:rsidRDefault="00037A65" w:rsidP="00261095">
            <w:pPr>
              <w:spacing w:before="100" w:beforeAutospacing="1" w:after="100" w:afterAutospacing="1"/>
              <w:outlineLvl w:val="0"/>
              <w:rPr>
                <w:rFonts w:ascii="Arial Bold" w:hAnsi="Arial Bold" w:cs="Arial"/>
                <w:b/>
                <w:caps/>
                <w:color w:val="000000" w:themeColor="text1"/>
                <w:sz w:val="18"/>
                <w:szCs w:val="18"/>
                <w:lang w:val="en-GB" w:eastAsia="en-IN"/>
              </w:rPr>
            </w:pPr>
            <w:r w:rsidRPr="00261095">
              <w:rPr>
                <w:rFonts w:ascii="Arial" w:hAnsi="Arial" w:cs="Arial"/>
                <w:sz w:val="18"/>
                <w:szCs w:val="18"/>
                <w:lang w:val="en-GB" w:eastAsia="en-IN"/>
              </w:rPr>
              <w:t xml:space="preserve">CER Receipts (in Million </w:t>
            </w:r>
            <w:r w:rsidRPr="00261095">
              <w:rPr>
                <w:rFonts w:ascii="Arial" w:hAnsi="Arial" w:cs="Arial"/>
                <w:bCs/>
                <w:sz w:val="18"/>
                <w:szCs w:val="18"/>
                <w:lang w:val="en-GB" w:eastAsia="en-IN"/>
              </w:rPr>
              <w:t>₹</w:t>
            </w:r>
            <w:r w:rsidRPr="00261095">
              <w:rPr>
                <w:rFonts w:ascii="Arial" w:hAnsi="Arial" w:cs="Arial" w:hint="eastAsia"/>
                <w:caps/>
                <w:color w:val="000000" w:themeColor="text1"/>
                <w:sz w:val="18"/>
                <w:szCs w:val="18"/>
                <w:lang w:val="en-GB" w:eastAsia="en-IN"/>
              </w:rPr>
              <w:t>)</w:t>
            </w:r>
          </w:p>
        </w:tc>
        <w:tc>
          <w:tcPr>
            <w:tcW w:w="1020"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1,369.80</w:t>
            </w:r>
          </w:p>
        </w:tc>
        <w:tc>
          <w:tcPr>
            <w:tcW w:w="1020"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2,595.60</w:t>
            </w:r>
          </w:p>
        </w:tc>
        <w:tc>
          <w:tcPr>
            <w:tcW w:w="1020"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3,483.74</w:t>
            </w:r>
          </w:p>
        </w:tc>
        <w:tc>
          <w:tcPr>
            <w:tcW w:w="1020"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2,677.11</w:t>
            </w:r>
          </w:p>
        </w:tc>
      </w:tr>
      <w:tr w:rsidR="00037A65" w:rsidRPr="00261095" w:rsidTr="00037A65">
        <w:trPr>
          <w:trHeight w:val="20"/>
          <w:jc w:val="center"/>
        </w:trPr>
        <w:tc>
          <w:tcPr>
            <w:tcW w:w="2949" w:type="dxa"/>
            <w:tcBorders>
              <w:top w:val="nil"/>
              <w:left w:val="single" w:sz="4" w:space="0" w:color="auto"/>
              <w:bottom w:val="single" w:sz="4" w:space="0" w:color="auto"/>
              <w:right w:val="single" w:sz="4" w:space="0" w:color="auto"/>
            </w:tcBorders>
            <w:shd w:val="clear" w:color="auto" w:fill="auto"/>
            <w:noWrap/>
            <w:vAlign w:val="center"/>
            <w:hideMark/>
          </w:tcPr>
          <w:p w:rsidR="00037A65" w:rsidRPr="00261095" w:rsidRDefault="00037A65" w:rsidP="00A62944">
            <w:pPr>
              <w:rPr>
                <w:rFonts w:ascii="Arial" w:hAnsi="Arial" w:cs="Arial"/>
                <w:sz w:val="18"/>
                <w:szCs w:val="18"/>
                <w:lang w:val="en-GB"/>
              </w:rPr>
            </w:pPr>
            <w:r w:rsidRPr="00261095">
              <w:rPr>
                <w:rFonts w:ascii="Arial" w:hAnsi="Arial" w:cs="Arial"/>
                <w:sz w:val="18"/>
                <w:szCs w:val="18"/>
                <w:lang w:val="en-GB"/>
              </w:rPr>
              <w:t xml:space="preserve">% of </w:t>
            </w:r>
            <w:r w:rsidR="00261095">
              <w:rPr>
                <w:rFonts w:ascii="Arial" w:hAnsi="Arial" w:cs="Arial"/>
                <w:sz w:val="18"/>
                <w:szCs w:val="18"/>
                <w:lang w:val="en-GB"/>
              </w:rPr>
              <w:t xml:space="preserve">Profit </w:t>
            </w:r>
            <w:r w:rsidR="00A62944">
              <w:rPr>
                <w:rFonts w:ascii="Arial" w:hAnsi="Arial" w:cs="Arial"/>
                <w:sz w:val="18"/>
                <w:szCs w:val="18"/>
                <w:lang w:val="en-GB"/>
              </w:rPr>
              <w:t>B</w:t>
            </w:r>
            <w:r w:rsidR="00261095">
              <w:rPr>
                <w:rFonts w:ascii="Arial" w:hAnsi="Arial" w:cs="Arial"/>
                <w:sz w:val="18"/>
                <w:szCs w:val="18"/>
                <w:lang w:val="en-GB"/>
              </w:rPr>
              <w:t xml:space="preserve">efore </w:t>
            </w:r>
            <w:r w:rsidR="00A62944">
              <w:rPr>
                <w:rFonts w:ascii="Arial" w:hAnsi="Arial" w:cs="Arial"/>
                <w:sz w:val="18"/>
                <w:szCs w:val="18"/>
                <w:lang w:val="en-GB"/>
              </w:rPr>
              <w:t>T</w:t>
            </w:r>
            <w:r w:rsidR="00261095">
              <w:rPr>
                <w:rFonts w:ascii="Arial" w:hAnsi="Arial" w:cs="Arial"/>
                <w:sz w:val="18"/>
                <w:szCs w:val="18"/>
                <w:lang w:val="en-GB"/>
              </w:rPr>
              <w:t>ax</w:t>
            </w:r>
          </w:p>
        </w:tc>
        <w:tc>
          <w:tcPr>
            <w:tcW w:w="1020"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20%</w:t>
            </w:r>
          </w:p>
        </w:tc>
        <w:tc>
          <w:tcPr>
            <w:tcW w:w="1020"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57%</w:t>
            </w:r>
          </w:p>
        </w:tc>
        <w:tc>
          <w:tcPr>
            <w:tcW w:w="1020"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142%</w:t>
            </w:r>
          </w:p>
        </w:tc>
        <w:tc>
          <w:tcPr>
            <w:tcW w:w="1020" w:type="dxa"/>
            <w:tcBorders>
              <w:top w:val="nil"/>
              <w:left w:val="nil"/>
              <w:bottom w:val="single" w:sz="4" w:space="0" w:color="auto"/>
              <w:right w:val="single" w:sz="4" w:space="0" w:color="auto"/>
            </w:tcBorders>
            <w:shd w:val="clear" w:color="auto" w:fill="auto"/>
            <w:noWrap/>
            <w:vAlign w:val="center"/>
            <w:hideMark/>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132%</w:t>
            </w:r>
          </w:p>
        </w:tc>
      </w:tr>
    </w:tbl>
    <w:p w:rsidR="00037A65" w:rsidRPr="00037A65" w:rsidRDefault="00A62944" w:rsidP="00037A65">
      <w:pPr>
        <w:tabs>
          <w:tab w:val="left" w:pos="-1440"/>
          <w:tab w:val="left" w:pos="-720"/>
          <w:tab w:val="left" w:pos="1"/>
          <w:tab w:val="right" w:pos="9000"/>
        </w:tabs>
        <w:jc w:val="both"/>
        <w:rPr>
          <w:rFonts w:ascii="Arial" w:hAnsi="Arial" w:cs="Arial"/>
          <w:iCs/>
          <w:sz w:val="17"/>
          <w:szCs w:val="17"/>
          <w:lang w:val="en-GB"/>
        </w:rPr>
      </w:pPr>
      <w:r>
        <w:rPr>
          <w:rFonts w:ascii="Arial" w:hAnsi="Arial" w:cs="Arial"/>
          <w:iCs/>
          <w:sz w:val="17"/>
          <w:szCs w:val="17"/>
          <w:lang w:val="en-GB"/>
        </w:rPr>
        <w:t>CER = certified emissions reduction</w:t>
      </w:r>
    </w:p>
    <w:p w:rsidR="00037A65" w:rsidRPr="00037A65" w:rsidRDefault="00037A65" w:rsidP="00037A65">
      <w:pPr>
        <w:tabs>
          <w:tab w:val="left" w:pos="-1440"/>
          <w:tab w:val="left" w:pos="-720"/>
          <w:tab w:val="left" w:pos="1"/>
          <w:tab w:val="right" w:pos="9000"/>
        </w:tabs>
        <w:jc w:val="both"/>
        <w:rPr>
          <w:rFonts w:ascii="Arial" w:hAnsi="Arial" w:cs="Arial"/>
          <w:iCs/>
          <w:strike/>
          <w:color w:val="0C355D"/>
          <w:sz w:val="17"/>
          <w:szCs w:val="17"/>
          <w:lang w:val="en-GB"/>
        </w:rPr>
      </w:pPr>
      <w:r w:rsidRPr="00037A65">
        <w:rPr>
          <w:rFonts w:ascii="Arial" w:hAnsi="Arial" w:cs="Arial"/>
          <w:iCs/>
          <w:sz w:val="17"/>
          <w:szCs w:val="17"/>
          <w:lang w:val="en-GB"/>
        </w:rPr>
        <w:t>Source: Prepared by the authors with information from the Capitaline Database and SRF annual reports.</w:t>
      </w:r>
    </w:p>
    <w:p w:rsidR="00037A65" w:rsidRPr="00261095" w:rsidRDefault="00037A65" w:rsidP="00037A65">
      <w:pPr>
        <w:jc w:val="both"/>
        <w:rPr>
          <w:sz w:val="18"/>
          <w:szCs w:val="18"/>
          <w:lang w:val="en-GB"/>
        </w:rPr>
      </w:pPr>
    </w:p>
    <w:p w:rsidR="00037A65" w:rsidRPr="00261095" w:rsidRDefault="00037A65" w:rsidP="00037A65">
      <w:pPr>
        <w:jc w:val="both"/>
        <w:rPr>
          <w:sz w:val="18"/>
          <w:szCs w:val="18"/>
          <w:lang w:val="en-GB"/>
        </w:rPr>
      </w:pPr>
    </w:p>
    <w:p w:rsidR="00037A65" w:rsidRPr="00037A65" w:rsidRDefault="00037A65" w:rsidP="00817E62">
      <w:pPr>
        <w:pStyle w:val="Casehead1"/>
        <w:jc w:val="center"/>
        <w:rPr>
          <w:lang w:val="en-GB"/>
        </w:rPr>
      </w:pPr>
      <w:r w:rsidRPr="00037A65">
        <w:rPr>
          <w:lang w:val="en-GB"/>
        </w:rPr>
        <w:t>Exhibit 10: Generation and Receipt of CERtified Emissions reductions from HFC2</w:t>
      </w:r>
    </w:p>
    <w:p w:rsidR="00037A65" w:rsidRPr="00261095" w:rsidRDefault="00037A65" w:rsidP="00817E62">
      <w:pPr>
        <w:pStyle w:val="BodyTextMain"/>
        <w:rPr>
          <w:lang w:val="en-GB"/>
        </w:rPr>
      </w:pPr>
    </w:p>
    <w:tbl>
      <w:tblPr>
        <w:tblW w:w="4203" w:type="dxa"/>
        <w:jc w:val="center"/>
        <w:tblLook w:val="04A0" w:firstRow="1" w:lastRow="0" w:firstColumn="1" w:lastColumn="0" w:noHBand="0" w:noVBand="1"/>
      </w:tblPr>
      <w:tblGrid>
        <w:gridCol w:w="1235"/>
        <w:gridCol w:w="1559"/>
        <w:gridCol w:w="1409"/>
      </w:tblGrid>
      <w:tr w:rsidR="00037A65" w:rsidRPr="00261095" w:rsidTr="00C46532">
        <w:trPr>
          <w:trHeight w:val="144"/>
          <w:jc w:val="center"/>
        </w:trPr>
        <w:tc>
          <w:tcPr>
            <w:tcW w:w="1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7A65" w:rsidRPr="00261095" w:rsidRDefault="00037A65" w:rsidP="00037A65">
            <w:pPr>
              <w:jc w:val="center"/>
              <w:rPr>
                <w:rFonts w:ascii="Arial" w:hAnsi="Arial" w:cs="Arial"/>
                <w:b/>
                <w:bCs/>
                <w:sz w:val="18"/>
                <w:szCs w:val="18"/>
                <w:lang w:val="en-GB"/>
              </w:rPr>
            </w:pPr>
            <w:r w:rsidRPr="00261095">
              <w:rPr>
                <w:rFonts w:ascii="Arial" w:hAnsi="Arial" w:cs="Arial"/>
                <w:b/>
                <w:bCs/>
                <w:sz w:val="18"/>
                <w:szCs w:val="18"/>
                <w:lang w:val="en-GB"/>
              </w:rPr>
              <w:t>YEAR</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037A65" w:rsidRPr="00261095" w:rsidRDefault="00037A65" w:rsidP="00037A65">
            <w:pPr>
              <w:jc w:val="center"/>
              <w:rPr>
                <w:rFonts w:ascii="Arial" w:hAnsi="Arial" w:cs="Arial"/>
                <w:b/>
                <w:bCs/>
                <w:sz w:val="18"/>
                <w:szCs w:val="18"/>
                <w:lang w:val="en-GB"/>
              </w:rPr>
            </w:pPr>
            <w:r w:rsidRPr="00261095">
              <w:rPr>
                <w:rFonts w:ascii="Arial" w:hAnsi="Arial" w:cs="Arial"/>
                <w:b/>
                <w:bCs/>
                <w:sz w:val="18"/>
                <w:szCs w:val="18"/>
                <w:lang w:val="en-GB"/>
              </w:rPr>
              <w:t>GENERATED</w:t>
            </w:r>
          </w:p>
        </w:tc>
        <w:tc>
          <w:tcPr>
            <w:tcW w:w="1409" w:type="dxa"/>
            <w:tcBorders>
              <w:top w:val="single" w:sz="4" w:space="0" w:color="auto"/>
              <w:left w:val="nil"/>
              <w:bottom w:val="single" w:sz="4" w:space="0" w:color="auto"/>
              <w:right w:val="single" w:sz="4" w:space="0" w:color="auto"/>
            </w:tcBorders>
            <w:shd w:val="clear" w:color="auto" w:fill="auto"/>
            <w:vAlign w:val="center"/>
            <w:hideMark/>
          </w:tcPr>
          <w:p w:rsidR="00037A65" w:rsidRPr="00261095" w:rsidRDefault="00037A65" w:rsidP="00037A65">
            <w:pPr>
              <w:jc w:val="center"/>
              <w:rPr>
                <w:rFonts w:ascii="Arial" w:hAnsi="Arial" w:cs="Arial"/>
                <w:b/>
                <w:bCs/>
                <w:sz w:val="18"/>
                <w:szCs w:val="18"/>
                <w:lang w:val="en-GB"/>
              </w:rPr>
            </w:pPr>
            <w:r w:rsidRPr="00261095">
              <w:rPr>
                <w:rFonts w:ascii="Arial" w:hAnsi="Arial" w:cs="Arial"/>
                <w:b/>
                <w:bCs/>
                <w:sz w:val="18"/>
                <w:szCs w:val="18"/>
                <w:lang w:val="en-GB"/>
              </w:rPr>
              <w:t>RECEIVED</w:t>
            </w:r>
          </w:p>
        </w:tc>
      </w:tr>
      <w:tr w:rsidR="00037A65" w:rsidRPr="00261095" w:rsidTr="00C46532">
        <w:trPr>
          <w:trHeight w:val="144"/>
          <w:jc w:val="center"/>
        </w:trPr>
        <w:tc>
          <w:tcPr>
            <w:tcW w:w="1235" w:type="dxa"/>
            <w:tcBorders>
              <w:top w:val="nil"/>
              <w:left w:val="single" w:sz="4" w:space="0" w:color="auto"/>
              <w:bottom w:val="single" w:sz="4" w:space="0" w:color="auto"/>
              <w:right w:val="single" w:sz="4" w:space="0" w:color="auto"/>
            </w:tcBorders>
            <w:shd w:val="clear" w:color="auto" w:fill="auto"/>
            <w:vAlign w:val="center"/>
            <w:hideMark/>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2005–06</w:t>
            </w:r>
          </w:p>
        </w:tc>
        <w:tc>
          <w:tcPr>
            <w:tcW w:w="1559" w:type="dxa"/>
            <w:tcBorders>
              <w:top w:val="nil"/>
              <w:left w:val="nil"/>
              <w:bottom w:val="single" w:sz="4" w:space="0" w:color="auto"/>
              <w:right w:val="single" w:sz="4" w:space="0" w:color="auto"/>
            </w:tcBorders>
            <w:shd w:val="clear" w:color="auto" w:fill="auto"/>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 xml:space="preserve">3,823,225 </w:t>
            </w:r>
          </w:p>
        </w:tc>
        <w:tc>
          <w:tcPr>
            <w:tcW w:w="1409" w:type="dxa"/>
            <w:tcBorders>
              <w:top w:val="nil"/>
              <w:left w:val="nil"/>
              <w:bottom w:val="single" w:sz="4" w:space="0" w:color="auto"/>
              <w:right w:val="single" w:sz="4" w:space="0" w:color="auto"/>
            </w:tcBorders>
            <w:shd w:val="clear" w:color="auto" w:fill="auto"/>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 xml:space="preserve">2,510,549 </w:t>
            </w:r>
          </w:p>
        </w:tc>
      </w:tr>
      <w:tr w:rsidR="00037A65" w:rsidRPr="00261095" w:rsidTr="00C46532">
        <w:trPr>
          <w:trHeight w:val="144"/>
          <w:jc w:val="center"/>
        </w:trPr>
        <w:tc>
          <w:tcPr>
            <w:tcW w:w="1235" w:type="dxa"/>
            <w:tcBorders>
              <w:top w:val="nil"/>
              <w:left w:val="single" w:sz="4" w:space="0" w:color="auto"/>
              <w:bottom w:val="single" w:sz="4" w:space="0" w:color="auto"/>
              <w:right w:val="single" w:sz="4" w:space="0" w:color="auto"/>
            </w:tcBorders>
            <w:shd w:val="clear" w:color="auto" w:fill="auto"/>
            <w:vAlign w:val="center"/>
            <w:hideMark/>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2006–07</w:t>
            </w:r>
          </w:p>
        </w:tc>
        <w:tc>
          <w:tcPr>
            <w:tcW w:w="1559" w:type="dxa"/>
            <w:tcBorders>
              <w:top w:val="nil"/>
              <w:left w:val="nil"/>
              <w:bottom w:val="single" w:sz="4" w:space="0" w:color="auto"/>
              <w:right w:val="single" w:sz="4" w:space="0" w:color="auto"/>
            </w:tcBorders>
            <w:shd w:val="clear" w:color="auto" w:fill="auto"/>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 xml:space="preserve">4,828,337 </w:t>
            </w:r>
          </w:p>
        </w:tc>
        <w:tc>
          <w:tcPr>
            <w:tcW w:w="1409" w:type="dxa"/>
            <w:tcBorders>
              <w:top w:val="nil"/>
              <w:left w:val="nil"/>
              <w:bottom w:val="single" w:sz="4" w:space="0" w:color="auto"/>
              <w:right w:val="single" w:sz="4" w:space="0" w:color="auto"/>
            </w:tcBorders>
            <w:shd w:val="clear" w:color="auto" w:fill="auto"/>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 xml:space="preserve">5,369,088 </w:t>
            </w:r>
          </w:p>
        </w:tc>
      </w:tr>
      <w:tr w:rsidR="00037A65" w:rsidRPr="00261095" w:rsidTr="00C46532">
        <w:trPr>
          <w:trHeight w:val="144"/>
          <w:jc w:val="center"/>
        </w:trPr>
        <w:tc>
          <w:tcPr>
            <w:tcW w:w="1235" w:type="dxa"/>
            <w:tcBorders>
              <w:top w:val="nil"/>
              <w:left w:val="single" w:sz="4" w:space="0" w:color="auto"/>
              <w:bottom w:val="single" w:sz="4" w:space="0" w:color="auto"/>
              <w:right w:val="single" w:sz="4" w:space="0" w:color="auto"/>
            </w:tcBorders>
            <w:shd w:val="clear" w:color="auto" w:fill="auto"/>
            <w:vAlign w:val="center"/>
            <w:hideMark/>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2007–08</w:t>
            </w:r>
          </w:p>
        </w:tc>
        <w:tc>
          <w:tcPr>
            <w:tcW w:w="1559" w:type="dxa"/>
            <w:tcBorders>
              <w:top w:val="nil"/>
              <w:left w:val="nil"/>
              <w:bottom w:val="single" w:sz="4" w:space="0" w:color="auto"/>
              <w:right w:val="single" w:sz="4" w:space="0" w:color="auto"/>
            </w:tcBorders>
            <w:shd w:val="clear" w:color="auto" w:fill="auto"/>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 xml:space="preserve">3,906,220 </w:t>
            </w:r>
          </w:p>
        </w:tc>
        <w:tc>
          <w:tcPr>
            <w:tcW w:w="1409" w:type="dxa"/>
            <w:tcBorders>
              <w:top w:val="nil"/>
              <w:left w:val="nil"/>
              <w:bottom w:val="single" w:sz="4" w:space="0" w:color="auto"/>
              <w:right w:val="single" w:sz="4" w:space="0" w:color="auto"/>
            </w:tcBorders>
            <w:shd w:val="clear" w:color="auto" w:fill="auto"/>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 xml:space="preserve">1,744,265 </w:t>
            </w:r>
          </w:p>
        </w:tc>
      </w:tr>
      <w:tr w:rsidR="00037A65" w:rsidRPr="00261095" w:rsidTr="00C46532">
        <w:trPr>
          <w:trHeight w:val="144"/>
          <w:jc w:val="center"/>
        </w:trPr>
        <w:tc>
          <w:tcPr>
            <w:tcW w:w="1235" w:type="dxa"/>
            <w:tcBorders>
              <w:top w:val="nil"/>
              <w:left w:val="single" w:sz="4" w:space="0" w:color="auto"/>
              <w:bottom w:val="single" w:sz="4" w:space="0" w:color="auto"/>
              <w:right w:val="single" w:sz="4" w:space="0" w:color="auto"/>
            </w:tcBorders>
            <w:shd w:val="clear" w:color="auto" w:fill="auto"/>
            <w:vAlign w:val="center"/>
            <w:hideMark/>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2008–09</w:t>
            </w:r>
          </w:p>
        </w:tc>
        <w:tc>
          <w:tcPr>
            <w:tcW w:w="1559" w:type="dxa"/>
            <w:tcBorders>
              <w:top w:val="nil"/>
              <w:left w:val="nil"/>
              <w:bottom w:val="single" w:sz="4" w:space="0" w:color="auto"/>
              <w:right w:val="single" w:sz="4" w:space="0" w:color="auto"/>
            </w:tcBorders>
            <w:shd w:val="clear" w:color="auto" w:fill="auto"/>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 xml:space="preserve">3,950,689 </w:t>
            </w:r>
          </w:p>
        </w:tc>
        <w:tc>
          <w:tcPr>
            <w:tcW w:w="1409" w:type="dxa"/>
            <w:tcBorders>
              <w:top w:val="nil"/>
              <w:left w:val="nil"/>
              <w:bottom w:val="single" w:sz="4" w:space="0" w:color="auto"/>
              <w:right w:val="single" w:sz="4" w:space="0" w:color="auto"/>
            </w:tcBorders>
            <w:shd w:val="clear" w:color="auto" w:fill="auto"/>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 xml:space="preserve">3,903,416 </w:t>
            </w:r>
          </w:p>
        </w:tc>
      </w:tr>
      <w:tr w:rsidR="00037A65" w:rsidRPr="00261095" w:rsidTr="00C46532">
        <w:trPr>
          <w:trHeight w:val="144"/>
          <w:jc w:val="center"/>
        </w:trPr>
        <w:tc>
          <w:tcPr>
            <w:tcW w:w="1235" w:type="dxa"/>
            <w:tcBorders>
              <w:top w:val="nil"/>
              <w:left w:val="single" w:sz="4" w:space="0" w:color="auto"/>
              <w:bottom w:val="single" w:sz="4" w:space="0" w:color="auto"/>
              <w:right w:val="single" w:sz="4" w:space="0" w:color="auto"/>
            </w:tcBorders>
            <w:shd w:val="clear" w:color="auto" w:fill="auto"/>
            <w:vAlign w:val="center"/>
            <w:hideMark/>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2009–10</w:t>
            </w:r>
          </w:p>
        </w:tc>
        <w:tc>
          <w:tcPr>
            <w:tcW w:w="1559" w:type="dxa"/>
            <w:tcBorders>
              <w:top w:val="nil"/>
              <w:left w:val="nil"/>
              <w:bottom w:val="single" w:sz="4" w:space="0" w:color="auto"/>
              <w:right w:val="single" w:sz="4" w:space="0" w:color="auto"/>
            </w:tcBorders>
            <w:shd w:val="clear" w:color="auto" w:fill="auto"/>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 xml:space="preserve">4,706,063 </w:t>
            </w:r>
          </w:p>
        </w:tc>
        <w:tc>
          <w:tcPr>
            <w:tcW w:w="1409" w:type="dxa"/>
            <w:tcBorders>
              <w:top w:val="nil"/>
              <w:left w:val="nil"/>
              <w:bottom w:val="single" w:sz="4" w:space="0" w:color="auto"/>
              <w:right w:val="single" w:sz="4" w:space="0" w:color="auto"/>
            </w:tcBorders>
            <w:shd w:val="clear" w:color="auto" w:fill="auto"/>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 xml:space="preserve">2,981,153 </w:t>
            </w:r>
          </w:p>
        </w:tc>
      </w:tr>
      <w:tr w:rsidR="00037A65" w:rsidRPr="00261095" w:rsidTr="00C46532">
        <w:trPr>
          <w:trHeight w:val="144"/>
          <w:jc w:val="center"/>
        </w:trPr>
        <w:tc>
          <w:tcPr>
            <w:tcW w:w="1235" w:type="dxa"/>
            <w:tcBorders>
              <w:top w:val="nil"/>
              <w:left w:val="single" w:sz="4" w:space="0" w:color="auto"/>
              <w:bottom w:val="single" w:sz="4" w:space="0" w:color="auto"/>
              <w:right w:val="single" w:sz="4" w:space="0" w:color="auto"/>
            </w:tcBorders>
            <w:shd w:val="clear" w:color="auto" w:fill="auto"/>
            <w:vAlign w:val="center"/>
            <w:hideMark/>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2010–11</w:t>
            </w:r>
          </w:p>
        </w:tc>
        <w:tc>
          <w:tcPr>
            <w:tcW w:w="1559" w:type="dxa"/>
            <w:tcBorders>
              <w:top w:val="nil"/>
              <w:left w:val="nil"/>
              <w:bottom w:val="single" w:sz="4" w:space="0" w:color="auto"/>
              <w:right w:val="single" w:sz="4" w:space="0" w:color="auto"/>
            </w:tcBorders>
            <w:shd w:val="clear" w:color="auto" w:fill="auto"/>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 xml:space="preserve">2,861,580 </w:t>
            </w:r>
          </w:p>
        </w:tc>
        <w:tc>
          <w:tcPr>
            <w:tcW w:w="1409" w:type="dxa"/>
            <w:tcBorders>
              <w:top w:val="nil"/>
              <w:left w:val="nil"/>
              <w:bottom w:val="single" w:sz="4" w:space="0" w:color="auto"/>
              <w:right w:val="single" w:sz="4" w:space="0" w:color="auto"/>
            </w:tcBorders>
            <w:shd w:val="clear" w:color="auto" w:fill="auto"/>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 xml:space="preserve">871,079 </w:t>
            </w:r>
          </w:p>
        </w:tc>
      </w:tr>
      <w:tr w:rsidR="00037A65" w:rsidRPr="00261095" w:rsidTr="00C46532">
        <w:trPr>
          <w:trHeight w:val="144"/>
          <w:jc w:val="center"/>
        </w:trPr>
        <w:tc>
          <w:tcPr>
            <w:tcW w:w="12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2011–12</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 xml:space="preserve">1,472,078 </w:t>
            </w:r>
          </w:p>
        </w:tc>
        <w:tc>
          <w:tcPr>
            <w:tcW w:w="1409" w:type="dxa"/>
            <w:tcBorders>
              <w:top w:val="single" w:sz="4" w:space="0" w:color="auto"/>
              <w:left w:val="nil"/>
              <w:bottom w:val="single" w:sz="4" w:space="0" w:color="auto"/>
              <w:right w:val="single" w:sz="4" w:space="0" w:color="auto"/>
            </w:tcBorders>
            <w:shd w:val="clear" w:color="auto" w:fill="auto"/>
            <w:vAlign w:val="center"/>
            <w:hideMark/>
          </w:tcPr>
          <w:p w:rsidR="00037A65" w:rsidRPr="00261095" w:rsidRDefault="00037A65" w:rsidP="00037A65">
            <w:pPr>
              <w:jc w:val="right"/>
              <w:rPr>
                <w:rFonts w:ascii="Arial" w:hAnsi="Arial" w:cs="Arial"/>
                <w:sz w:val="18"/>
                <w:szCs w:val="18"/>
                <w:lang w:val="en-GB"/>
              </w:rPr>
            </w:pPr>
            <w:r w:rsidRPr="00261095">
              <w:rPr>
                <w:rFonts w:ascii="Arial" w:hAnsi="Arial" w:cs="Arial"/>
                <w:sz w:val="18"/>
                <w:szCs w:val="18"/>
                <w:lang w:val="en-GB"/>
              </w:rPr>
              <w:t xml:space="preserve">8,168,642 </w:t>
            </w:r>
          </w:p>
        </w:tc>
      </w:tr>
      <w:tr w:rsidR="00037A65" w:rsidRPr="00261095" w:rsidTr="00C46532">
        <w:trPr>
          <w:trHeight w:val="144"/>
          <w:jc w:val="center"/>
        </w:trPr>
        <w:tc>
          <w:tcPr>
            <w:tcW w:w="1235" w:type="dxa"/>
            <w:tcBorders>
              <w:top w:val="single" w:sz="4" w:space="0" w:color="auto"/>
              <w:left w:val="single" w:sz="4" w:space="0" w:color="auto"/>
              <w:bottom w:val="single" w:sz="4" w:space="0" w:color="auto"/>
              <w:right w:val="single" w:sz="4" w:space="0" w:color="auto"/>
            </w:tcBorders>
            <w:shd w:val="clear" w:color="auto" w:fill="auto"/>
            <w:vAlign w:val="center"/>
          </w:tcPr>
          <w:p w:rsidR="00037A65" w:rsidRPr="00261095" w:rsidRDefault="00037A65" w:rsidP="00037A65">
            <w:pPr>
              <w:jc w:val="center"/>
              <w:rPr>
                <w:rFonts w:ascii="Arial" w:hAnsi="Arial" w:cs="Arial"/>
                <w:color w:val="000000" w:themeColor="text1"/>
                <w:sz w:val="18"/>
                <w:szCs w:val="18"/>
                <w:lang w:val="en-GB"/>
              </w:rPr>
            </w:pPr>
            <w:r w:rsidRPr="00261095">
              <w:rPr>
                <w:rFonts w:ascii="Arial" w:hAnsi="Arial" w:cs="Arial"/>
                <w:b/>
                <w:color w:val="000000" w:themeColor="text1"/>
                <w:sz w:val="18"/>
                <w:szCs w:val="18"/>
                <w:lang w:val="en-GB"/>
              </w:rPr>
              <w:t>TOTAL</w:t>
            </w:r>
          </w:p>
        </w:tc>
        <w:tc>
          <w:tcPr>
            <w:tcW w:w="1559" w:type="dxa"/>
            <w:tcBorders>
              <w:top w:val="single" w:sz="4" w:space="0" w:color="auto"/>
              <w:left w:val="nil"/>
              <w:bottom w:val="single" w:sz="4" w:space="0" w:color="auto"/>
              <w:right w:val="single" w:sz="4" w:space="0" w:color="auto"/>
            </w:tcBorders>
            <w:shd w:val="clear" w:color="auto" w:fill="auto"/>
            <w:vAlign w:val="center"/>
          </w:tcPr>
          <w:p w:rsidR="00037A65" w:rsidRPr="00261095" w:rsidRDefault="00037A65" w:rsidP="00037A65">
            <w:pPr>
              <w:jc w:val="right"/>
              <w:rPr>
                <w:rFonts w:ascii="Arial" w:hAnsi="Arial" w:cs="Arial"/>
                <w:b/>
                <w:color w:val="000000" w:themeColor="text1"/>
                <w:sz w:val="18"/>
                <w:szCs w:val="18"/>
                <w:lang w:val="en-GB"/>
              </w:rPr>
            </w:pPr>
            <w:r w:rsidRPr="00261095">
              <w:rPr>
                <w:rFonts w:ascii="Arial" w:hAnsi="Arial" w:cs="Arial"/>
                <w:b/>
                <w:color w:val="000000" w:themeColor="text1"/>
                <w:sz w:val="18"/>
                <w:szCs w:val="18"/>
                <w:lang w:val="en-GB"/>
              </w:rPr>
              <w:t xml:space="preserve">25,548,192 </w:t>
            </w:r>
          </w:p>
        </w:tc>
        <w:tc>
          <w:tcPr>
            <w:tcW w:w="1409" w:type="dxa"/>
            <w:tcBorders>
              <w:top w:val="single" w:sz="4" w:space="0" w:color="auto"/>
              <w:left w:val="nil"/>
              <w:bottom w:val="single" w:sz="4" w:space="0" w:color="auto"/>
              <w:right w:val="single" w:sz="4" w:space="0" w:color="auto"/>
            </w:tcBorders>
            <w:shd w:val="clear" w:color="auto" w:fill="auto"/>
            <w:vAlign w:val="center"/>
          </w:tcPr>
          <w:p w:rsidR="00037A65" w:rsidRPr="00261095" w:rsidRDefault="00037A65" w:rsidP="00037A65">
            <w:pPr>
              <w:jc w:val="right"/>
              <w:rPr>
                <w:rFonts w:ascii="Arial" w:hAnsi="Arial" w:cs="Arial"/>
                <w:b/>
                <w:color w:val="000000" w:themeColor="text1"/>
                <w:sz w:val="18"/>
                <w:szCs w:val="18"/>
                <w:lang w:val="en-GB"/>
              </w:rPr>
            </w:pPr>
            <w:r w:rsidRPr="00261095">
              <w:rPr>
                <w:rFonts w:ascii="Arial" w:hAnsi="Arial" w:cs="Arial"/>
                <w:b/>
                <w:color w:val="000000" w:themeColor="text1"/>
                <w:sz w:val="18"/>
                <w:szCs w:val="18"/>
                <w:lang w:val="en-GB"/>
              </w:rPr>
              <w:t xml:space="preserve">25,548,192 </w:t>
            </w:r>
          </w:p>
        </w:tc>
      </w:tr>
    </w:tbl>
    <w:p w:rsidR="00037A65" w:rsidRPr="00037A65" w:rsidRDefault="00037A65" w:rsidP="00037A65">
      <w:pPr>
        <w:tabs>
          <w:tab w:val="left" w:pos="-1440"/>
          <w:tab w:val="left" w:pos="-720"/>
          <w:tab w:val="left" w:pos="1"/>
          <w:tab w:val="right" w:pos="9000"/>
        </w:tabs>
        <w:jc w:val="both"/>
        <w:rPr>
          <w:rFonts w:ascii="Arial" w:hAnsi="Arial" w:cs="Arial"/>
          <w:iCs/>
          <w:sz w:val="17"/>
          <w:szCs w:val="17"/>
          <w:lang w:val="en-GB"/>
        </w:rPr>
      </w:pPr>
    </w:p>
    <w:p w:rsidR="00037A65" w:rsidRPr="00037A65" w:rsidRDefault="00037A65" w:rsidP="00037A65">
      <w:pPr>
        <w:tabs>
          <w:tab w:val="left" w:pos="-1440"/>
          <w:tab w:val="left" w:pos="-720"/>
          <w:tab w:val="left" w:pos="1"/>
          <w:tab w:val="right" w:pos="9000"/>
        </w:tabs>
        <w:jc w:val="both"/>
        <w:rPr>
          <w:rFonts w:ascii="Arial" w:hAnsi="Arial" w:cs="Arial"/>
          <w:b/>
          <w:iCs/>
          <w:strike/>
          <w:sz w:val="17"/>
          <w:szCs w:val="17"/>
          <w:lang w:val="en-GB"/>
        </w:rPr>
      </w:pPr>
      <w:r w:rsidRPr="00037A65">
        <w:rPr>
          <w:rFonts w:ascii="Arial" w:hAnsi="Arial" w:cs="Arial"/>
          <w:iCs/>
          <w:sz w:val="17"/>
          <w:szCs w:val="17"/>
          <w:lang w:val="en-GB"/>
        </w:rPr>
        <w:t xml:space="preserve">Source: </w:t>
      </w:r>
      <w:r w:rsidRPr="00037A65">
        <w:rPr>
          <w:rFonts w:ascii="Arial" w:hAnsi="Arial" w:cs="Arial"/>
          <w:iCs/>
          <w:sz w:val="17"/>
          <w:szCs w:val="17"/>
        </w:rPr>
        <w:t>“</w:t>
      </w:r>
      <w:r w:rsidRPr="00037A65">
        <w:rPr>
          <w:rFonts w:ascii="Arial" w:hAnsi="Arial" w:cs="Arial"/>
          <w:iCs/>
          <w:sz w:val="17"/>
          <w:szCs w:val="17"/>
          <w:lang w:val="en-GB"/>
        </w:rPr>
        <w:t>Project 0115: GHG Emission Reduction by Thermal Oxidation of HFC 23 at Refrigerant (HCFC-22) Manufacturing Facility of SRF Ltd,”</w:t>
      </w:r>
      <w:r w:rsidRPr="00037A65">
        <w:rPr>
          <w:rFonts w:ascii="Arial" w:eastAsiaTheme="minorEastAsia" w:hAnsi="Arial" w:cs="Arial"/>
          <w:bCs/>
          <w:iCs/>
          <w:color w:val="000000" w:themeColor="text1"/>
          <w:sz w:val="17"/>
          <w:szCs w:val="17"/>
          <w:lang w:val="en-GB"/>
        </w:rPr>
        <w:t xml:space="preserve"> </w:t>
      </w:r>
      <w:r w:rsidRPr="00037A65">
        <w:rPr>
          <w:rFonts w:ascii="Arial" w:hAnsi="Arial" w:cs="Arial"/>
          <w:iCs/>
          <w:sz w:val="17"/>
          <w:szCs w:val="17"/>
          <w:lang w:val="en-GB"/>
        </w:rPr>
        <w:t>accessed July 8, 2015, https://cdm.unfccc.int/Projects/DB/DNV-CUK1129901204.48/view.</w:t>
      </w:r>
    </w:p>
    <w:p w:rsidR="00037A65" w:rsidRPr="00261095" w:rsidRDefault="00037A65" w:rsidP="00037A65">
      <w:pPr>
        <w:jc w:val="both"/>
        <w:rPr>
          <w:sz w:val="18"/>
          <w:szCs w:val="18"/>
          <w:lang w:val="en-GB"/>
        </w:rPr>
      </w:pPr>
    </w:p>
    <w:p w:rsidR="00037A65" w:rsidRPr="00261095" w:rsidRDefault="00037A65" w:rsidP="00037A65">
      <w:pPr>
        <w:jc w:val="both"/>
        <w:rPr>
          <w:sz w:val="18"/>
          <w:szCs w:val="18"/>
          <w:lang w:val="en-GB"/>
        </w:rPr>
      </w:pPr>
    </w:p>
    <w:p w:rsidR="00037A65" w:rsidRPr="00037A65" w:rsidRDefault="00037A65" w:rsidP="00817E62">
      <w:pPr>
        <w:pStyle w:val="Casehead1"/>
        <w:jc w:val="center"/>
        <w:rPr>
          <w:lang w:val="en-GB"/>
        </w:rPr>
      </w:pPr>
      <w:r w:rsidRPr="00037A65">
        <w:rPr>
          <w:lang w:val="en-GB"/>
        </w:rPr>
        <w:t>Exhibit 11a: SRF Limited Shareholding Information (as on March 31)</w:t>
      </w:r>
    </w:p>
    <w:p w:rsidR="00037A65" w:rsidRPr="00261095" w:rsidRDefault="00037A65" w:rsidP="00817E62">
      <w:pPr>
        <w:pStyle w:val="BodyTextMain"/>
        <w:rPr>
          <w:lang w:val="en-GB"/>
        </w:rPr>
      </w:pPr>
    </w:p>
    <w:tbl>
      <w:tblPr>
        <w:tblW w:w="9498" w:type="dxa"/>
        <w:jc w:val="center"/>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8"/>
        <w:gridCol w:w="1035"/>
        <w:gridCol w:w="1035"/>
        <w:gridCol w:w="1035"/>
        <w:gridCol w:w="1035"/>
        <w:gridCol w:w="1035"/>
        <w:gridCol w:w="1035"/>
      </w:tblGrid>
      <w:tr w:rsidR="00037A65" w:rsidRPr="00261095" w:rsidTr="00EF787B">
        <w:trPr>
          <w:trHeight w:val="20"/>
          <w:jc w:val="center"/>
        </w:trPr>
        <w:tc>
          <w:tcPr>
            <w:tcW w:w="3288" w:type="dxa"/>
            <w:shd w:val="clear" w:color="auto" w:fill="auto"/>
          </w:tcPr>
          <w:p w:rsidR="00037A65" w:rsidRPr="00261095" w:rsidRDefault="00037A65" w:rsidP="00037A65">
            <w:pPr>
              <w:rPr>
                <w:rFonts w:ascii="Arial" w:hAnsi="Arial" w:cs="Arial"/>
                <w:sz w:val="18"/>
                <w:szCs w:val="18"/>
                <w:lang w:val="en-GB"/>
              </w:rPr>
            </w:pPr>
          </w:p>
        </w:tc>
        <w:tc>
          <w:tcPr>
            <w:tcW w:w="6210" w:type="dxa"/>
            <w:gridSpan w:val="6"/>
            <w:shd w:val="clear" w:color="auto" w:fill="auto"/>
            <w:vAlign w:val="center"/>
          </w:tcPr>
          <w:p w:rsidR="00037A65" w:rsidRPr="00261095" w:rsidRDefault="00037A65" w:rsidP="00037A65">
            <w:pPr>
              <w:jc w:val="center"/>
              <w:rPr>
                <w:rFonts w:ascii="Arial" w:hAnsi="Arial" w:cs="Arial"/>
                <w:b/>
                <w:i/>
                <w:sz w:val="18"/>
                <w:szCs w:val="18"/>
                <w:lang w:val="en-GB"/>
              </w:rPr>
            </w:pPr>
            <w:r w:rsidRPr="00261095">
              <w:rPr>
                <w:rFonts w:ascii="Arial" w:hAnsi="Arial" w:cs="Arial"/>
                <w:b/>
                <w:sz w:val="18"/>
                <w:szCs w:val="18"/>
                <w:lang w:val="en-GB"/>
              </w:rPr>
              <w:t>Shareholding (%)</w:t>
            </w:r>
          </w:p>
        </w:tc>
      </w:tr>
      <w:tr w:rsidR="00037A65" w:rsidRPr="00261095" w:rsidTr="00EF787B">
        <w:trPr>
          <w:trHeight w:val="20"/>
          <w:jc w:val="center"/>
        </w:trPr>
        <w:tc>
          <w:tcPr>
            <w:tcW w:w="3288" w:type="dxa"/>
            <w:shd w:val="clear" w:color="auto" w:fill="auto"/>
            <w:vAlign w:val="center"/>
          </w:tcPr>
          <w:p w:rsidR="00037A65" w:rsidRPr="00261095" w:rsidRDefault="00037A65" w:rsidP="00037A65">
            <w:pPr>
              <w:jc w:val="center"/>
              <w:rPr>
                <w:rFonts w:ascii="Arial" w:hAnsi="Arial" w:cs="Arial"/>
                <w:sz w:val="18"/>
                <w:szCs w:val="18"/>
                <w:lang w:val="en-GB"/>
              </w:rPr>
            </w:pPr>
          </w:p>
        </w:tc>
        <w:tc>
          <w:tcPr>
            <w:tcW w:w="1035" w:type="dxa"/>
            <w:shd w:val="clear" w:color="auto" w:fill="auto"/>
            <w:vAlign w:val="center"/>
          </w:tcPr>
          <w:p w:rsidR="00037A65" w:rsidRPr="00261095" w:rsidRDefault="00037A65" w:rsidP="00037A65">
            <w:pPr>
              <w:jc w:val="center"/>
              <w:rPr>
                <w:rFonts w:ascii="Arial" w:hAnsi="Arial" w:cs="Arial"/>
                <w:b/>
                <w:sz w:val="18"/>
                <w:szCs w:val="18"/>
                <w:lang w:val="en-GB"/>
              </w:rPr>
            </w:pPr>
            <w:r w:rsidRPr="00261095">
              <w:rPr>
                <w:rFonts w:ascii="Arial" w:hAnsi="Arial" w:cs="Arial"/>
                <w:b/>
                <w:sz w:val="18"/>
                <w:szCs w:val="18"/>
                <w:lang w:val="en-GB"/>
              </w:rPr>
              <w:t>2012</w:t>
            </w:r>
          </w:p>
        </w:tc>
        <w:tc>
          <w:tcPr>
            <w:tcW w:w="1035" w:type="dxa"/>
            <w:shd w:val="clear" w:color="auto" w:fill="auto"/>
            <w:vAlign w:val="center"/>
          </w:tcPr>
          <w:p w:rsidR="00037A65" w:rsidRPr="00261095" w:rsidRDefault="00037A65" w:rsidP="00037A65">
            <w:pPr>
              <w:jc w:val="center"/>
              <w:rPr>
                <w:rFonts w:ascii="Arial" w:hAnsi="Arial" w:cs="Arial"/>
                <w:b/>
                <w:sz w:val="18"/>
                <w:szCs w:val="18"/>
                <w:lang w:val="en-GB"/>
              </w:rPr>
            </w:pPr>
            <w:r w:rsidRPr="00261095">
              <w:rPr>
                <w:rFonts w:ascii="Arial" w:hAnsi="Arial" w:cs="Arial"/>
                <w:b/>
                <w:sz w:val="18"/>
                <w:szCs w:val="18"/>
                <w:lang w:val="en-GB"/>
              </w:rPr>
              <w:t>2011</w:t>
            </w:r>
          </w:p>
        </w:tc>
        <w:tc>
          <w:tcPr>
            <w:tcW w:w="1035" w:type="dxa"/>
            <w:shd w:val="clear" w:color="auto" w:fill="auto"/>
            <w:vAlign w:val="center"/>
          </w:tcPr>
          <w:p w:rsidR="00037A65" w:rsidRPr="00261095" w:rsidRDefault="00037A65" w:rsidP="00037A65">
            <w:pPr>
              <w:jc w:val="center"/>
              <w:rPr>
                <w:rFonts w:ascii="Arial" w:hAnsi="Arial" w:cs="Arial"/>
                <w:b/>
                <w:sz w:val="18"/>
                <w:szCs w:val="18"/>
                <w:lang w:val="en-GB"/>
              </w:rPr>
            </w:pPr>
            <w:r w:rsidRPr="00261095">
              <w:rPr>
                <w:rFonts w:ascii="Arial" w:hAnsi="Arial" w:cs="Arial"/>
                <w:b/>
                <w:sz w:val="18"/>
                <w:szCs w:val="18"/>
                <w:lang w:val="en-GB"/>
              </w:rPr>
              <w:t>2010</w:t>
            </w:r>
          </w:p>
        </w:tc>
        <w:tc>
          <w:tcPr>
            <w:tcW w:w="1035" w:type="dxa"/>
            <w:shd w:val="clear" w:color="auto" w:fill="auto"/>
            <w:vAlign w:val="center"/>
          </w:tcPr>
          <w:p w:rsidR="00037A65" w:rsidRPr="00261095" w:rsidRDefault="00037A65" w:rsidP="00037A65">
            <w:pPr>
              <w:jc w:val="center"/>
              <w:rPr>
                <w:rFonts w:ascii="Arial" w:hAnsi="Arial" w:cs="Arial"/>
                <w:b/>
                <w:sz w:val="18"/>
                <w:szCs w:val="18"/>
                <w:lang w:val="en-GB"/>
              </w:rPr>
            </w:pPr>
            <w:r w:rsidRPr="00261095">
              <w:rPr>
                <w:rFonts w:ascii="Arial" w:hAnsi="Arial" w:cs="Arial"/>
                <w:b/>
                <w:sz w:val="18"/>
                <w:szCs w:val="18"/>
                <w:lang w:val="en-GB"/>
              </w:rPr>
              <w:t>2009</w:t>
            </w:r>
          </w:p>
        </w:tc>
        <w:tc>
          <w:tcPr>
            <w:tcW w:w="1035" w:type="dxa"/>
            <w:shd w:val="clear" w:color="auto" w:fill="auto"/>
            <w:vAlign w:val="center"/>
          </w:tcPr>
          <w:p w:rsidR="00037A65" w:rsidRPr="00261095" w:rsidRDefault="00037A65" w:rsidP="00037A65">
            <w:pPr>
              <w:jc w:val="center"/>
              <w:rPr>
                <w:rFonts w:ascii="Arial" w:hAnsi="Arial" w:cs="Arial"/>
                <w:b/>
                <w:sz w:val="18"/>
                <w:szCs w:val="18"/>
                <w:lang w:val="en-GB"/>
              </w:rPr>
            </w:pPr>
            <w:r w:rsidRPr="00261095">
              <w:rPr>
                <w:rFonts w:ascii="Arial" w:hAnsi="Arial" w:cs="Arial"/>
                <w:b/>
                <w:sz w:val="18"/>
                <w:szCs w:val="18"/>
                <w:lang w:val="en-GB"/>
              </w:rPr>
              <w:t>2008</w:t>
            </w:r>
          </w:p>
        </w:tc>
        <w:tc>
          <w:tcPr>
            <w:tcW w:w="1035" w:type="dxa"/>
            <w:shd w:val="clear" w:color="auto" w:fill="auto"/>
            <w:vAlign w:val="center"/>
          </w:tcPr>
          <w:p w:rsidR="00037A65" w:rsidRPr="00261095" w:rsidRDefault="00037A65" w:rsidP="00037A65">
            <w:pPr>
              <w:jc w:val="center"/>
              <w:rPr>
                <w:rFonts w:ascii="Arial" w:hAnsi="Arial" w:cs="Arial"/>
                <w:b/>
                <w:sz w:val="18"/>
                <w:szCs w:val="18"/>
                <w:lang w:val="en-GB"/>
              </w:rPr>
            </w:pPr>
            <w:r w:rsidRPr="00261095">
              <w:rPr>
                <w:rFonts w:ascii="Arial" w:hAnsi="Arial" w:cs="Arial"/>
                <w:b/>
                <w:sz w:val="18"/>
                <w:szCs w:val="18"/>
                <w:lang w:val="en-GB"/>
              </w:rPr>
              <w:t>2007</w:t>
            </w:r>
          </w:p>
        </w:tc>
      </w:tr>
      <w:tr w:rsidR="00037A65" w:rsidRPr="00261095" w:rsidTr="00EF787B">
        <w:trPr>
          <w:trHeight w:val="20"/>
          <w:jc w:val="center"/>
        </w:trPr>
        <w:tc>
          <w:tcPr>
            <w:tcW w:w="3288" w:type="dxa"/>
            <w:shd w:val="clear" w:color="auto" w:fill="auto"/>
            <w:vAlign w:val="center"/>
          </w:tcPr>
          <w:p w:rsidR="00037A65" w:rsidRPr="00261095" w:rsidRDefault="00037A65" w:rsidP="00037A65">
            <w:pPr>
              <w:ind w:left="-90"/>
              <w:rPr>
                <w:rFonts w:ascii="Arial" w:hAnsi="Arial" w:cs="Arial"/>
                <w:sz w:val="18"/>
                <w:szCs w:val="18"/>
                <w:lang w:val="en-GB"/>
              </w:rPr>
            </w:pPr>
            <w:r w:rsidRPr="00261095">
              <w:rPr>
                <w:rFonts w:ascii="Arial" w:hAnsi="Arial" w:cs="Arial"/>
                <w:sz w:val="18"/>
                <w:szCs w:val="18"/>
                <w:lang w:val="en-GB"/>
              </w:rPr>
              <w:t>Promoters</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49.95</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47.44</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47.25</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46.20</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42.39</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42.42</w:t>
            </w:r>
          </w:p>
        </w:tc>
      </w:tr>
      <w:tr w:rsidR="00037A65" w:rsidRPr="00261095" w:rsidTr="00EF787B">
        <w:trPr>
          <w:trHeight w:val="20"/>
          <w:jc w:val="center"/>
        </w:trPr>
        <w:tc>
          <w:tcPr>
            <w:tcW w:w="3288" w:type="dxa"/>
            <w:shd w:val="clear" w:color="auto" w:fill="auto"/>
            <w:vAlign w:val="center"/>
          </w:tcPr>
          <w:p w:rsidR="00037A65" w:rsidRPr="00261095" w:rsidRDefault="00037A65" w:rsidP="00037A65">
            <w:pPr>
              <w:ind w:left="-90"/>
              <w:rPr>
                <w:rFonts w:ascii="Arial" w:hAnsi="Arial" w:cs="Arial"/>
                <w:sz w:val="18"/>
                <w:szCs w:val="18"/>
                <w:lang w:val="en-GB"/>
              </w:rPr>
            </w:pPr>
            <w:r w:rsidRPr="00261095">
              <w:rPr>
                <w:rFonts w:ascii="Arial" w:hAnsi="Arial" w:cs="Arial"/>
                <w:sz w:val="18"/>
                <w:szCs w:val="18"/>
                <w:lang w:val="en-GB"/>
              </w:rPr>
              <w:t>Mutual Funds and UTI</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8.80</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8.35</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7.04</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6.35</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5.96</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5.76</w:t>
            </w:r>
          </w:p>
        </w:tc>
      </w:tr>
      <w:tr w:rsidR="00037A65" w:rsidRPr="00261095" w:rsidTr="00EF787B">
        <w:trPr>
          <w:trHeight w:val="20"/>
          <w:jc w:val="center"/>
        </w:trPr>
        <w:tc>
          <w:tcPr>
            <w:tcW w:w="3288" w:type="dxa"/>
            <w:shd w:val="clear" w:color="auto" w:fill="auto"/>
            <w:vAlign w:val="center"/>
          </w:tcPr>
          <w:p w:rsidR="00037A65" w:rsidRPr="00261095" w:rsidRDefault="00037A65" w:rsidP="00037A65">
            <w:pPr>
              <w:ind w:left="-90"/>
              <w:rPr>
                <w:rFonts w:ascii="Arial" w:hAnsi="Arial" w:cs="Arial"/>
                <w:sz w:val="18"/>
                <w:szCs w:val="18"/>
                <w:lang w:val="en-GB"/>
              </w:rPr>
            </w:pPr>
            <w:r w:rsidRPr="00261095">
              <w:rPr>
                <w:rFonts w:ascii="Arial" w:hAnsi="Arial" w:cs="Arial"/>
                <w:sz w:val="18"/>
                <w:szCs w:val="18"/>
                <w:lang w:val="en-GB"/>
              </w:rPr>
              <w:t>Banks, FIs, Insurance Companies</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4.07</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3.87</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4.18</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4.42</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4.24</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4.25</w:t>
            </w:r>
          </w:p>
        </w:tc>
      </w:tr>
      <w:tr w:rsidR="00037A65" w:rsidRPr="00261095" w:rsidTr="00EF787B">
        <w:trPr>
          <w:trHeight w:val="20"/>
          <w:jc w:val="center"/>
        </w:trPr>
        <w:tc>
          <w:tcPr>
            <w:tcW w:w="3288" w:type="dxa"/>
            <w:shd w:val="clear" w:color="auto" w:fill="auto"/>
            <w:vAlign w:val="center"/>
          </w:tcPr>
          <w:p w:rsidR="00037A65" w:rsidRPr="00261095" w:rsidRDefault="00037A65" w:rsidP="00037A65">
            <w:pPr>
              <w:ind w:left="-90"/>
              <w:rPr>
                <w:rFonts w:ascii="Arial" w:hAnsi="Arial" w:cs="Arial"/>
                <w:sz w:val="18"/>
                <w:szCs w:val="18"/>
                <w:lang w:val="en-GB"/>
              </w:rPr>
            </w:pPr>
            <w:r w:rsidRPr="00261095">
              <w:rPr>
                <w:rFonts w:ascii="Arial" w:hAnsi="Arial" w:cs="Arial"/>
                <w:sz w:val="18"/>
                <w:szCs w:val="18"/>
                <w:lang w:val="en-GB"/>
              </w:rPr>
              <w:t>Central Government/State Government</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0.00</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0.00</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0.00</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0.94</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0.86</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0.86</w:t>
            </w:r>
          </w:p>
        </w:tc>
      </w:tr>
      <w:tr w:rsidR="00037A65" w:rsidRPr="00261095" w:rsidTr="00EF787B">
        <w:trPr>
          <w:trHeight w:val="20"/>
          <w:jc w:val="center"/>
        </w:trPr>
        <w:tc>
          <w:tcPr>
            <w:tcW w:w="3288" w:type="dxa"/>
            <w:shd w:val="clear" w:color="auto" w:fill="auto"/>
            <w:vAlign w:val="center"/>
          </w:tcPr>
          <w:p w:rsidR="00037A65" w:rsidRPr="00261095" w:rsidRDefault="00037A65" w:rsidP="00037A65">
            <w:pPr>
              <w:ind w:left="-90"/>
              <w:rPr>
                <w:rFonts w:ascii="Arial" w:hAnsi="Arial" w:cs="Arial"/>
                <w:sz w:val="18"/>
                <w:szCs w:val="18"/>
                <w:lang w:val="en-GB"/>
              </w:rPr>
            </w:pPr>
            <w:r w:rsidRPr="00261095">
              <w:rPr>
                <w:rFonts w:ascii="Arial" w:hAnsi="Arial" w:cs="Arial"/>
                <w:sz w:val="18"/>
                <w:szCs w:val="18"/>
                <w:lang w:val="en-GB"/>
              </w:rPr>
              <w:t>Foreign Institutional Investors</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10.47</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13.23</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4.62</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5.04</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9.08</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8.54</w:t>
            </w:r>
          </w:p>
        </w:tc>
      </w:tr>
      <w:tr w:rsidR="00037A65" w:rsidRPr="00261095" w:rsidTr="00EF787B">
        <w:trPr>
          <w:trHeight w:val="20"/>
          <w:jc w:val="center"/>
        </w:trPr>
        <w:tc>
          <w:tcPr>
            <w:tcW w:w="3288" w:type="dxa"/>
            <w:shd w:val="clear" w:color="auto" w:fill="auto"/>
            <w:vAlign w:val="center"/>
          </w:tcPr>
          <w:p w:rsidR="00037A65" w:rsidRPr="00261095" w:rsidRDefault="00037A65" w:rsidP="00037A65">
            <w:pPr>
              <w:ind w:left="-90"/>
              <w:rPr>
                <w:rFonts w:ascii="Arial" w:hAnsi="Arial" w:cs="Arial"/>
                <w:sz w:val="18"/>
                <w:szCs w:val="18"/>
                <w:lang w:val="en-GB"/>
              </w:rPr>
            </w:pPr>
            <w:r w:rsidRPr="00261095">
              <w:rPr>
                <w:rFonts w:ascii="Arial" w:hAnsi="Arial" w:cs="Arial"/>
                <w:sz w:val="18"/>
                <w:szCs w:val="18"/>
                <w:lang w:val="en-GB"/>
              </w:rPr>
              <w:t>Private Corporate Bodies</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4.42</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5.02</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9.31</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10.77</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10.23</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12.30</w:t>
            </w:r>
          </w:p>
        </w:tc>
      </w:tr>
      <w:tr w:rsidR="00037A65" w:rsidRPr="00261095" w:rsidTr="00EF787B">
        <w:trPr>
          <w:trHeight w:val="20"/>
          <w:jc w:val="center"/>
        </w:trPr>
        <w:tc>
          <w:tcPr>
            <w:tcW w:w="3288" w:type="dxa"/>
            <w:shd w:val="clear" w:color="auto" w:fill="auto"/>
            <w:vAlign w:val="center"/>
          </w:tcPr>
          <w:p w:rsidR="00037A65" w:rsidRPr="00261095" w:rsidRDefault="00037A65" w:rsidP="00037A65">
            <w:pPr>
              <w:ind w:left="-90"/>
              <w:rPr>
                <w:rFonts w:ascii="Arial" w:hAnsi="Arial" w:cs="Arial"/>
                <w:sz w:val="18"/>
                <w:szCs w:val="18"/>
                <w:lang w:val="en-GB"/>
              </w:rPr>
            </w:pPr>
            <w:r w:rsidRPr="00261095">
              <w:rPr>
                <w:rFonts w:ascii="Arial" w:hAnsi="Arial" w:cs="Arial"/>
                <w:sz w:val="18"/>
                <w:szCs w:val="18"/>
                <w:lang w:val="en-GB"/>
              </w:rPr>
              <w:t>Indian Public</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20.78</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21.37</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26.41</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25.22</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26.38</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24.98</w:t>
            </w:r>
          </w:p>
        </w:tc>
      </w:tr>
      <w:tr w:rsidR="00037A65" w:rsidRPr="00261095" w:rsidTr="00EF787B">
        <w:trPr>
          <w:trHeight w:val="20"/>
          <w:jc w:val="center"/>
        </w:trPr>
        <w:tc>
          <w:tcPr>
            <w:tcW w:w="3288" w:type="dxa"/>
            <w:shd w:val="clear" w:color="auto" w:fill="auto"/>
            <w:vAlign w:val="center"/>
          </w:tcPr>
          <w:p w:rsidR="00037A65" w:rsidRPr="00261095" w:rsidRDefault="00037A65" w:rsidP="00037A65">
            <w:pPr>
              <w:ind w:left="-90"/>
              <w:rPr>
                <w:rFonts w:ascii="Arial" w:hAnsi="Arial" w:cs="Arial"/>
                <w:sz w:val="18"/>
                <w:szCs w:val="18"/>
                <w:lang w:val="en-GB"/>
              </w:rPr>
            </w:pPr>
            <w:r w:rsidRPr="00261095">
              <w:rPr>
                <w:rFonts w:ascii="Arial" w:hAnsi="Arial" w:cs="Arial"/>
                <w:sz w:val="18"/>
                <w:szCs w:val="18"/>
                <w:lang w:val="en-GB"/>
              </w:rPr>
              <w:t>NRIs/OCBs</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0.61</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0.65</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0.74</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0.53</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0.58</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0.49</w:t>
            </w:r>
          </w:p>
        </w:tc>
      </w:tr>
      <w:tr w:rsidR="00037A65" w:rsidRPr="00261095" w:rsidTr="00EF787B">
        <w:trPr>
          <w:trHeight w:val="20"/>
          <w:jc w:val="center"/>
        </w:trPr>
        <w:tc>
          <w:tcPr>
            <w:tcW w:w="3288" w:type="dxa"/>
            <w:shd w:val="clear" w:color="auto" w:fill="auto"/>
            <w:vAlign w:val="center"/>
          </w:tcPr>
          <w:p w:rsidR="00037A65" w:rsidRPr="00261095" w:rsidRDefault="00037A65" w:rsidP="00037A65">
            <w:pPr>
              <w:ind w:left="-90"/>
              <w:rPr>
                <w:rFonts w:ascii="Arial" w:hAnsi="Arial" w:cs="Arial"/>
                <w:sz w:val="18"/>
                <w:szCs w:val="18"/>
                <w:lang w:val="en-GB"/>
              </w:rPr>
            </w:pPr>
            <w:r w:rsidRPr="00261095">
              <w:rPr>
                <w:rFonts w:ascii="Arial" w:hAnsi="Arial" w:cs="Arial"/>
                <w:sz w:val="18"/>
                <w:szCs w:val="18"/>
                <w:lang w:val="en-GB"/>
              </w:rPr>
              <w:t xml:space="preserve">Others </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0.89</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0.09</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0.45</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0.53</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0.28</w:t>
            </w:r>
          </w:p>
        </w:tc>
        <w:tc>
          <w:tcPr>
            <w:tcW w:w="1035" w:type="dxa"/>
            <w:shd w:val="clear" w:color="auto" w:fill="auto"/>
            <w:vAlign w:val="center"/>
          </w:tcPr>
          <w:p w:rsidR="00037A65" w:rsidRPr="00261095" w:rsidRDefault="00037A65" w:rsidP="00037A65">
            <w:pPr>
              <w:jc w:val="center"/>
              <w:rPr>
                <w:rFonts w:ascii="Arial" w:hAnsi="Arial" w:cs="Arial"/>
                <w:sz w:val="18"/>
                <w:szCs w:val="18"/>
                <w:lang w:val="en-GB"/>
              </w:rPr>
            </w:pPr>
            <w:r w:rsidRPr="00261095">
              <w:rPr>
                <w:rFonts w:ascii="Arial" w:hAnsi="Arial" w:cs="Arial"/>
                <w:sz w:val="18"/>
                <w:szCs w:val="18"/>
                <w:lang w:val="en-GB"/>
              </w:rPr>
              <w:t>0.40</w:t>
            </w:r>
          </w:p>
        </w:tc>
      </w:tr>
    </w:tbl>
    <w:p w:rsidR="00037A65" w:rsidRPr="00037A65" w:rsidRDefault="00037A65" w:rsidP="00037A65">
      <w:pPr>
        <w:tabs>
          <w:tab w:val="left" w:pos="-1440"/>
          <w:tab w:val="left" w:pos="-720"/>
          <w:tab w:val="left" w:pos="1"/>
          <w:tab w:val="right" w:pos="9000"/>
        </w:tabs>
        <w:jc w:val="both"/>
        <w:rPr>
          <w:rFonts w:ascii="Arial" w:hAnsi="Arial" w:cs="Arial"/>
          <w:iCs/>
          <w:sz w:val="17"/>
          <w:szCs w:val="17"/>
          <w:lang w:val="en-GB"/>
        </w:rPr>
      </w:pPr>
    </w:p>
    <w:p w:rsidR="00037A65" w:rsidRPr="00037A65" w:rsidRDefault="00037A65" w:rsidP="00037A65">
      <w:pPr>
        <w:tabs>
          <w:tab w:val="left" w:pos="-1440"/>
          <w:tab w:val="left" w:pos="-720"/>
          <w:tab w:val="left" w:pos="1"/>
          <w:tab w:val="right" w:pos="9000"/>
        </w:tabs>
        <w:jc w:val="both"/>
        <w:rPr>
          <w:rFonts w:ascii="Arial" w:hAnsi="Arial" w:cs="Arial"/>
          <w:iCs/>
          <w:sz w:val="17"/>
          <w:szCs w:val="17"/>
          <w:lang w:val="en-GB"/>
        </w:rPr>
      </w:pPr>
      <w:r w:rsidRPr="00037A65">
        <w:rPr>
          <w:rFonts w:ascii="Arial" w:hAnsi="Arial" w:cs="Arial"/>
          <w:iCs/>
          <w:sz w:val="17"/>
          <w:szCs w:val="17"/>
          <w:lang w:val="en-GB"/>
        </w:rPr>
        <w:t>Note: UTI = Unit Trust of India (a mutual fund co. owned by the government of India); FI = financial institution; NRI = Non-Resident Indians; OCB = overseas corporate bodies</w:t>
      </w:r>
    </w:p>
    <w:p w:rsidR="00261095" w:rsidRDefault="00037A65" w:rsidP="00261095">
      <w:pPr>
        <w:tabs>
          <w:tab w:val="left" w:pos="-1440"/>
          <w:tab w:val="left" w:pos="-720"/>
          <w:tab w:val="left" w:pos="1"/>
          <w:tab w:val="right" w:pos="9000"/>
        </w:tabs>
        <w:jc w:val="both"/>
        <w:rPr>
          <w:rFonts w:ascii="Arial" w:hAnsi="Arial" w:cs="Arial"/>
          <w:iCs/>
          <w:sz w:val="17"/>
          <w:szCs w:val="17"/>
        </w:rPr>
      </w:pPr>
      <w:r w:rsidRPr="00037A65">
        <w:rPr>
          <w:rFonts w:ascii="Arial" w:hAnsi="Arial" w:cs="Arial"/>
          <w:iCs/>
          <w:sz w:val="17"/>
          <w:szCs w:val="17"/>
        </w:rPr>
        <w:t>Source: Prepared by the authors with information from various of SRF Ltd.’s annual reports, accessed July 8, 2015, www.srf.com/investor-relations/investors.html#reports</w:t>
      </w:r>
      <w:r w:rsidR="00261095">
        <w:rPr>
          <w:rFonts w:ascii="Arial" w:hAnsi="Arial" w:cs="Arial"/>
          <w:iCs/>
          <w:sz w:val="17"/>
          <w:szCs w:val="17"/>
        </w:rPr>
        <w:t>;</w:t>
      </w:r>
      <w:r w:rsidRPr="00037A65">
        <w:rPr>
          <w:rFonts w:ascii="Arial" w:hAnsi="Arial" w:cs="Arial"/>
          <w:iCs/>
          <w:sz w:val="17"/>
          <w:szCs w:val="17"/>
        </w:rPr>
        <w:t xml:space="preserve"> National Stock Exchange, Mumbai</w:t>
      </w:r>
      <w:r w:rsidR="00261095">
        <w:rPr>
          <w:rFonts w:ascii="Arial" w:hAnsi="Arial" w:cs="Arial"/>
          <w:iCs/>
          <w:sz w:val="17"/>
          <w:szCs w:val="17"/>
        </w:rPr>
        <w:t>;</w:t>
      </w:r>
      <w:r w:rsidRPr="00037A65">
        <w:rPr>
          <w:rFonts w:ascii="Arial" w:hAnsi="Arial" w:cs="Arial"/>
          <w:iCs/>
          <w:sz w:val="17"/>
          <w:szCs w:val="17"/>
        </w:rPr>
        <w:t xml:space="preserve"> www.nseindia.com.</w:t>
      </w:r>
    </w:p>
    <w:p w:rsidR="00C46532" w:rsidRDefault="00C46532" w:rsidP="00261095">
      <w:pPr>
        <w:tabs>
          <w:tab w:val="left" w:pos="-1440"/>
          <w:tab w:val="left" w:pos="-720"/>
          <w:tab w:val="left" w:pos="1"/>
          <w:tab w:val="right" w:pos="9000"/>
        </w:tabs>
        <w:jc w:val="both"/>
        <w:rPr>
          <w:rFonts w:ascii="Arial" w:hAnsi="Arial" w:cs="Arial"/>
          <w:iCs/>
          <w:sz w:val="17"/>
          <w:szCs w:val="17"/>
        </w:rPr>
      </w:pPr>
    </w:p>
    <w:p w:rsidR="00C46532" w:rsidRDefault="00C46532" w:rsidP="00261095">
      <w:pPr>
        <w:tabs>
          <w:tab w:val="left" w:pos="-1440"/>
          <w:tab w:val="left" w:pos="-720"/>
          <w:tab w:val="left" w:pos="1"/>
          <w:tab w:val="right" w:pos="9000"/>
        </w:tabs>
        <w:jc w:val="both"/>
        <w:rPr>
          <w:rFonts w:ascii="Arial" w:hAnsi="Arial" w:cs="Arial"/>
          <w:iCs/>
          <w:sz w:val="17"/>
          <w:szCs w:val="17"/>
        </w:rPr>
        <w:sectPr w:rsidR="00C46532" w:rsidSect="00037A65">
          <w:headerReference w:type="default" r:id="rId16"/>
          <w:pgSz w:w="12240" w:h="15840" w:code="1"/>
          <w:pgMar w:top="1080" w:right="1440" w:bottom="1440" w:left="1440" w:header="1080" w:footer="720" w:gutter="0"/>
          <w:cols w:space="720"/>
          <w:docGrid w:linePitch="360"/>
        </w:sectPr>
      </w:pPr>
    </w:p>
    <w:p w:rsidR="00261095" w:rsidRPr="00261095" w:rsidRDefault="00261095" w:rsidP="00817E62">
      <w:pPr>
        <w:pStyle w:val="Casehead1"/>
        <w:jc w:val="center"/>
        <w:rPr>
          <w:lang w:val="en-GB"/>
        </w:rPr>
      </w:pPr>
      <w:r w:rsidRPr="00261095">
        <w:rPr>
          <w:lang w:val="en-GB"/>
        </w:rPr>
        <w:lastRenderedPageBreak/>
        <w:t>Exhibit 11b: Pattern of Shareholding by Share Class</w:t>
      </w:r>
    </w:p>
    <w:p w:rsidR="00261095" w:rsidRDefault="00261095" w:rsidP="00817E62">
      <w:pPr>
        <w:pStyle w:val="BodyTextMain"/>
        <w:rPr>
          <w:lang w:val="en-GB"/>
        </w:rPr>
      </w:pPr>
    </w:p>
    <w:tbl>
      <w:tblPr>
        <w:tblpPr w:leftFromText="180" w:rightFromText="180" w:vertAnchor="page" w:horzAnchor="margin" w:tblpXSpec="center" w:tblpY="2513"/>
        <w:tblW w:w="5205" w:type="pct"/>
        <w:tblLook w:val="04A0" w:firstRow="1" w:lastRow="0" w:firstColumn="1" w:lastColumn="0" w:noHBand="0" w:noVBand="1"/>
      </w:tblPr>
      <w:tblGrid>
        <w:gridCol w:w="1354"/>
        <w:gridCol w:w="1239"/>
        <w:gridCol w:w="821"/>
        <w:gridCol w:w="1239"/>
        <w:gridCol w:w="821"/>
        <w:gridCol w:w="1239"/>
        <w:gridCol w:w="821"/>
        <w:gridCol w:w="1239"/>
        <w:gridCol w:w="821"/>
        <w:gridCol w:w="1240"/>
        <w:gridCol w:w="821"/>
        <w:gridCol w:w="1240"/>
        <w:gridCol w:w="821"/>
      </w:tblGrid>
      <w:tr w:rsidR="00261095" w:rsidRPr="00261095" w:rsidTr="00C46532">
        <w:trPr>
          <w:trHeight w:val="296"/>
        </w:trPr>
        <w:tc>
          <w:tcPr>
            <w:tcW w:w="49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61095" w:rsidRPr="00261095" w:rsidRDefault="00261095" w:rsidP="00261095">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Number of Equity Shares Held</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1095" w:rsidRPr="00261095" w:rsidRDefault="00261095" w:rsidP="00C46532">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March 31, 2012</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1095" w:rsidRPr="00261095" w:rsidRDefault="00261095" w:rsidP="00C46532">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March 31, 2011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1095" w:rsidRPr="00261095" w:rsidRDefault="00261095" w:rsidP="00C46532">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March 31, 2010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1095" w:rsidRPr="00261095" w:rsidRDefault="00261095" w:rsidP="00C46532">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March 31, 2009</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1095" w:rsidRPr="00261095" w:rsidRDefault="00261095" w:rsidP="00C46532">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March 31, 2008</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rsidR="00261095" w:rsidRPr="00261095" w:rsidRDefault="00261095" w:rsidP="00C46532">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March 31, 2007</w:t>
            </w:r>
          </w:p>
        </w:tc>
      </w:tr>
      <w:tr w:rsidR="00261095" w:rsidRPr="00261095" w:rsidTr="00C46532">
        <w:trPr>
          <w:trHeight w:val="815"/>
        </w:trPr>
        <w:tc>
          <w:tcPr>
            <w:tcW w:w="49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61095" w:rsidRPr="00261095" w:rsidRDefault="00261095" w:rsidP="00261095">
            <w:pPr>
              <w:jc w:val="center"/>
              <w:rPr>
                <w:rFonts w:ascii="Arial" w:hAnsi="Arial" w:cs="Arial"/>
                <w:b/>
                <w:bCs/>
                <w:color w:val="000000"/>
                <w:sz w:val="16"/>
                <w:szCs w:val="16"/>
                <w:lang w:val="en-GB"/>
              </w:rPr>
            </w:pPr>
          </w:p>
        </w:tc>
        <w:tc>
          <w:tcPr>
            <w:tcW w:w="452" w:type="pct"/>
            <w:tcBorders>
              <w:top w:val="nil"/>
              <w:left w:val="nil"/>
              <w:bottom w:val="single" w:sz="4" w:space="0" w:color="auto"/>
              <w:right w:val="single" w:sz="4" w:space="0" w:color="auto"/>
            </w:tcBorders>
            <w:shd w:val="clear" w:color="auto" w:fill="auto"/>
            <w:vAlign w:val="center"/>
            <w:hideMark/>
          </w:tcPr>
          <w:p w:rsidR="00261095" w:rsidRPr="00261095" w:rsidRDefault="00261095" w:rsidP="00261095">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Number of Shareholders (%)</w:t>
            </w:r>
          </w:p>
        </w:tc>
        <w:tc>
          <w:tcPr>
            <w:tcW w:w="299" w:type="pct"/>
            <w:tcBorders>
              <w:top w:val="nil"/>
              <w:left w:val="nil"/>
              <w:bottom w:val="single" w:sz="4" w:space="0" w:color="auto"/>
              <w:right w:val="single" w:sz="4" w:space="0" w:color="auto"/>
            </w:tcBorders>
            <w:shd w:val="clear" w:color="auto" w:fill="auto"/>
            <w:vAlign w:val="center"/>
            <w:hideMark/>
          </w:tcPr>
          <w:p w:rsidR="00261095" w:rsidRPr="00261095" w:rsidRDefault="00261095" w:rsidP="00261095">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Number of Shares (%)</w:t>
            </w:r>
          </w:p>
        </w:tc>
        <w:tc>
          <w:tcPr>
            <w:tcW w:w="452" w:type="pct"/>
            <w:tcBorders>
              <w:top w:val="nil"/>
              <w:left w:val="nil"/>
              <w:bottom w:val="single" w:sz="4" w:space="0" w:color="auto"/>
              <w:right w:val="single" w:sz="4" w:space="0" w:color="auto"/>
            </w:tcBorders>
            <w:shd w:val="clear" w:color="auto" w:fill="auto"/>
            <w:vAlign w:val="center"/>
            <w:hideMark/>
          </w:tcPr>
          <w:p w:rsidR="00261095" w:rsidRPr="00261095" w:rsidRDefault="00261095" w:rsidP="00261095">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Number of Shareholders (%)</w:t>
            </w:r>
          </w:p>
        </w:tc>
        <w:tc>
          <w:tcPr>
            <w:tcW w:w="299" w:type="pct"/>
            <w:tcBorders>
              <w:top w:val="nil"/>
              <w:left w:val="nil"/>
              <w:bottom w:val="single" w:sz="4" w:space="0" w:color="auto"/>
              <w:right w:val="single" w:sz="4" w:space="0" w:color="auto"/>
            </w:tcBorders>
            <w:shd w:val="clear" w:color="auto" w:fill="auto"/>
            <w:vAlign w:val="center"/>
            <w:hideMark/>
          </w:tcPr>
          <w:p w:rsidR="00261095" w:rsidRPr="00261095" w:rsidRDefault="00261095" w:rsidP="00261095">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Number of Shares (%)</w:t>
            </w:r>
          </w:p>
        </w:tc>
        <w:tc>
          <w:tcPr>
            <w:tcW w:w="452" w:type="pct"/>
            <w:tcBorders>
              <w:top w:val="nil"/>
              <w:left w:val="nil"/>
              <w:bottom w:val="single" w:sz="4" w:space="0" w:color="auto"/>
              <w:right w:val="single" w:sz="4" w:space="0" w:color="auto"/>
            </w:tcBorders>
            <w:shd w:val="clear" w:color="auto" w:fill="auto"/>
            <w:vAlign w:val="center"/>
            <w:hideMark/>
          </w:tcPr>
          <w:p w:rsidR="00261095" w:rsidRPr="00261095" w:rsidRDefault="00261095" w:rsidP="00261095">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Number of Shareholders (%)</w:t>
            </w:r>
          </w:p>
        </w:tc>
        <w:tc>
          <w:tcPr>
            <w:tcW w:w="299" w:type="pct"/>
            <w:tcBorders>
              <w:top w:val="nil"/>
              <w:left w:val="nil"/>
              <w:bottom w:val="single" w:sz="4" w:space="0" w:color="auto"/>
              <w:right w:val="single" w:sz="4" w:space="0" w:color="auto"/>
            </w:tcBorders>
            <w:shd w:val="clear" w:color="auto" w:fill="auto"/>
            <w:vAlign w:val="center"/>
            <w:hideMark/>
          </w:tcPr>
          <w:p w:rsidR="00261095" w:rsidRPr="00261095" w:rsidRDefault="00261095" w:rsidP="00261095">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Number of Shares</w:t>
            </w:r>
          </w:p>
          <w:p w:rsidR="00261095" w:rsidRPr="00261095" w:rsidRDefault="00261095" w:rsidP="00261095">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w:t>
            </w:r>
          </w:p>
        </w:tc>
        <w:tc>
          <w:tcPr>
            <w:tcW w:w="452" w:type="pct"/>
            <w:tcBorders>
              <w:top w:val="nil"/>
              <w:left w:val="nil"/>
              <w:bottom w:val="single" w:sz="4" w:space="0" w:color="auto"/>
              <w:right w:val="single" w:sz="4" w:space="0" w:color="auto"/>
            </w:tcBorders>
            <w:shd w:val="clear" w:color="auto" w:fill="auto"/>
            <w:vAlign w:val="center"/>
            <w:hideMark/>
          </w:tcPr>
          <w:p w:rsidR="00261095" w:rsidRPr="00261095" w:rsidRDefault="00261095" w:rsidP="00261095">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Number of Shareholders (%)</w:t>
            </w:r>
          </w:p>
        </w:tc>
        <w:tc>
          <w:tcPr>
            <w:tcW w:w="299" w:type="pct"/>
            <w:tcBorders>
              <w:top w:val="nil"/>
              <w:left w:val="nil"/>
              <w:bottom w:val="single" w:sz="4" w:space="0" w:color="auto"/>
              <w:right w:val="single" w:sz="4" w:space="0" w:color="auto"/>
            </w:tcBorders>
            <w:shd w:val="clear" w:color="auto" w:fill="auto"/>
            <w:vAlign w:val="center"/>
            <w:hideMark/>
          </w:tcPr>
          <w:p w:rsidR="00261095" w:rsidRPr="00261095" w:rsidRDefault="00261095" w:rsidP="00261095">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Number of Shares (%)</w:t>
            </w:r>
          </w:p>
        </w:tc>
        <w:tc>
          <w:tcPr>
            <w:tcW w:w="452" w:type="pct"/>
            <w:tcBorders>
              <w:top w:val="nil"/>
              <w:left w:val="nil"/>
              <w:bottom w:val="single" w:sz="4" w:space="0" w:color="auto"/>
              <w:right w:val="single" w:sz="4" w:space="0" w:color="auto"/>
            </w:tcBorders>
            <w:shd w:val="clear" w:color="auto" w:fill="auto"/>
            <w:vAlign w:val="center"/>
            <w:hideMark/>
          </w:tcPr>
          <w:p w:rsidR="00261095" w:rsidRPr="00261095" w:rsidRDefault="00261095" w:rsidP="00261095">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Number of Shareholders (%)</w:t>
            </w:r>
          </w:p>
        </w:tc>
        <w:tc>
          <w:tcPr>
            <w:tcW w:w="299" w:type="pct"/>
            <w:tcBorders>
              <w:top w:val="nil"/>
              <w:left w:val="nil"/>
              <w:bottom w:val="single" w:sz="4" w:space="0" w:color="auto"/>
              <w:right w:val="single" w:sz="4" w:space="0" w:color="auto"/>
            </w:tcBorders>
            <w:shd w:val="clear" w:color="auto" w:fill="auto"/>
            <w:vAlign w:val="center"/>
            <w:hideMark/>
          </w:tcPr>
          <w:p w:rsidR="00261095" w:rsidRPr="00261095" w:rsidRDefault="00261095" w:rsidP="00261095">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Number of Shares (%)</w:t>
            </w:r>
          </w:p>
        </w:tc>
        <w:tc>
          <w:tcPr>
            <w:tcW w:w="452" w:type="pct"/>
            <w:tcBorders>
              <w:top w:val="nil"/>
              <w:left w:val="nil"/>
              <w:bottom w:val="single" w:sz="4" w:space="0" w:color="auto"/>
              <w:right w:val="single" w:sz="4" w:space="0" w:color="auto"/>
            </w:tcBorders>
            <w:shd w:val="clear" w:color="auto" w:fill="auto"/>
            <w:vAlign w:val="center"/>
            <w:hideMark/>
          </w:tcPr>
          <w:p w:rsidR="00261095" w:rsidRPr="00261095" w:rsidRDefault="00261095" w:rsidP="00261095">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Number of Shareholders (%)</w:t>
            </w:r>
          </w:p>
        </w:tc>
        <w:tc>
          <w:tcPr>
            <w:tcW w:w="299" w:type="pct"/>
            <w:tcBorders>
              <w:top w:val="nil"/>
              <w:left w:val="nil"/>
              <w:bottom w:val="single" w:sz="4" w:space="0" w:color="auto"/>
              <w:right w:val="single" w:sz="4" w:space="0" w:color="auto"/>
            </w:tcBorders>
            <w:shd w:val="clear" w:color="auto" w:fill="auto"/>
            <w:vAlign w:val="center"/>
            <w:hideMark/>
          </w:tcPr>
          <w:p w:rsidR="00261095" w:rsidRPr="00261095" w:rsidRDefault="00261095" w:rsidP="00261095">
            <w:pPr>
              <w:jc w:val="center"/>
              <w:rPr>
                <w:rFonts w:ascii="Arial" w:hAnsi="Arial" w:cs="Arial"/>
                <w:b/>
                <w:bCs/>
                <w:color w:val="000000"/>
                <w:sz w:val="16"/>
                <w:szCs w:val="16"/>
                <w:lang w:val="en-GB"/>
              </w:rPr>
            </w:pPr>
            <w:r w:rsidRPr="00261095">
              <w:rPr>
                <w:rFonts w:ascii="Arial" w:hAnsi="Arial" w:cs="Arial"/>
                <w:b/>
                <w:bCs/>
                <w:color w:val="000000"/>
                <w:sz w:val="16"/>
                <w:szCs w:val="16"/>
                <w:lang w:val="en-GB"/>
              </w:rPr>
              <w:t>Number of Shares (%)</w:t>
            </w:r>
          </w:p>
        </w:tc>
      </w:tr>
      <w:tr w:rsidR="00261095" w:rsidRPr="00261095" w:rsidTr="00C46532">
        <w:trPr>
          <w:trHeight w:val="296"/>
        </w:trPr>
        <w:tc>
          <w:tcPr>
            <w:tcW w:w="494" w:type="pct"/>
            <w:tcBorders>
              <w:top w:val="nil"/>
              <w:left w:val="single" w:sz="4" w:space="0" w:color="auto"/>
              <w:bottom w:val="single" w:sz="4" w:space="0" w:color="auto"/>
              <w:right w:val="single" w:sz="4" w:space="0" w:color="auto"/>
            </w:tcBorders>
            <w:shd w:val="clear" w:color="auto" w:fill="auto"/>
            <w:noWrap/>
            <w:vAlign w:val="bottom"/>
            <w:hideMark/>
          </w:tcPr>
          <w:p w:rsidR="00261095" w:rsidRPr="00261095" w:rsidRDefault="00261095" w:rsidP="00261095">
            <w:pPr>
              <w:jc w:val="both"/>
              <w:rPr>
                <w:rFonts w:ascii="Arial" w:hAnsi="Arial" w:cs="Arial"/>
                <w:color w:val="000000"/>
                <w:sz w:val="16"/>
                <w:szCs w:val="16"/>
                <w:lang w:val="en-GB"/>
              </w:rPr>
            </w:pPr>
            <w:r w:rsidRPr="00261095">
              <w:rPr>
                <w:rFonts w:ascii="Arial" w:hAnsi="Arial" w:cs="Arial"/>
                <w:color w:val="000000"/>
                <w:sz w:val="16"/>
                <w:szCs w:val="16"/>
                <w:lang w:val="en-GB"/>
              </w:rPr>
              <w:t>Up to 500</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93.08</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10.27</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92.95</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9.98</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92.65</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12.11</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93.09</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12.84</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92.53</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12.67</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92.88</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12.97</w:t>
            </w:r>
          </w:p>
        </w:tc>
      </w:tr>
      <w:tr w:rsidR="00261095" w:rsidRPr="00261095" w:rsidTr="00C46532">
        <w:trPr>
          <w:trHeight w:val="296"/>
        </w:trPr>
        <w:tc>
          <w:tcPr>
            <w:tcW w:w="494" w:type="pct"/>
            <w:tcBorders>
              <w:top w:val="nil"/>
              <w:left w:val="single" w:sz="4" w:space="0" w:color="auto"/>
              <w:bottom w:val="single" w:sz="4" w:space="0" w:color="auto"/>
              <w:right w:val="single" w:sz="4" w:space="0" w:color="auto"/>
            </w:tcBorders>
            <w:shd w:val="clear" w:color="auto" w:fill="auto"/>
            <w:noWrap/>
            <w:vAlign w:val="bottom"/>
            <w:hideMark/>
          </w:tcPr>
          <w:p w:rsidR="00261095" w:rsidRPr="00261095" w:rsidRDefault="00261095" w:rsidP="00261095">
            <w:pPr>
              <w:jc w:val="both"/>
              <w:rPr>
                <w:rFonts w:ascii="Arial" w:hAnsi="Arial" w:cs="Arial"/>
                <w:color w:val="000000"/>
                <w:sz w:val="16"/>
                <w:szCs w:val="16"/>
                <w:lang w:val="en-GB"/>
              </w:rPr>
            </w:pPr>
            <w:r w:rsidRPr="00261095">
              <w:rPr>
                <w:rFonts w:ascii="Arial" w:hAnsi="Arial" w:cs="Arial"/>
                <w:color w:val="000000"/>
                <w:sz w:val="16"/>
                <w:szCs w:val="16"/>
                <w:lang w:val="en-GB"/>
              </w:rPr>
              <w:t>501–1,000</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3.95</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3.24</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3.96</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3.15</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4.13</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3.83</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4.10</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3.93</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4.29</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4.01</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4.07</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3.90</w:t>
            </w:r>
          </w:p>
        </w:tc>
      </w:tr>
      <w:tr w:rsidR="00261095" w:rsidRPr="00261095" w:rsidTr="00C46532">
        <w:trPr>
          <w:trHeight w:val="296"/>
        </w:trPr>
        <w:tc>
          <w:tcPr>
            <w:tcW w:w="494" w:type="pct"/>
            <w:tcBorders>
              <w:top w:val="nil"/>
              <w:left w:val="single" w:sz="4" w:space="0" w:color="auto"/>
              <w:bottom w:val="single" w:sz="4" w:space="0" w:color="auto"/>
              <w:right w:val="single" w:sz="4" w:space="0" w:color="auto"/>
            </w:tcBorders>
            <w:shd w:val="clear" w:color="auto" w:fill="auto"/>
            <w:noWrap/>
            <w:vAlign w:val="bottom"/>
            <w:hideMark/>
          </w:tcPr>
          <w:p w:rsidR="00261095" w:rsidRPr="00261095" w:rsidRDefault="00261095" w:rsidP="00261095">
            <w:pPr>
              <w:jc w:val="both"/>
              <w:rPr>
                <w:rFonts w:ascii="Arial" w:hAnsi="Arial" w:cs="Arial"/>
                <w:color w:val="000000"/>
                <w:sz w:val="16"/>
                <w:szCs w:val="16"/>
                <w:lang w:val="en-GB"/>
              </w:rPr>
            </w:pPr>
            <w:r w:rsidRPr="00261095">
              <w:rPr>
                <w:rFonts w:ascii="Arial" w:hAnsi="Arial" w:cs="Arial"/>
                <w:color w:val="000000"/>
                <w:sz w:val="16"/>
                <w:szCs w:val="16"/>
                <w:lang w:val="en-GB"/>
              </w:rPr>
              <w:t>1,001–2,000</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1.53</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2.47</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1.57</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2.48</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1.67</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3.02</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1.52</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2.86</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1.67</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3.03</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1.65</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3.10</w:t>
            </w:r>
          </w:p>
        </w:tc>
      </w:tr>
      <w:tr w:rsidR="00261095" w:rsidRPr="00261095" w:rsidTr="00C46532">
        <w:trPr>
          <w:trHeight w:val="296"/>
        </w:trPr>
        <w:tc>
          <w:tcPr>
            <w:tcW w:w="494" w:type="pct"/>
            <w:tcBorders>
              <w:top w:val="nil"/>
              <w:left w:val="single" w:sz="4" w:space="0" w:color="auto"/>
              <w:bottom w:val="single" w:sz="4" w:space="0" w:color="auto"/>
              <w:right w:val="single" w:sz="4" w:space="0" w:color="auto"/>
            </w:tcBorders>
            <w:shd w:val="clear" w:color="auto" w:fill="auto"/>
            <w:noWrap/>
            <w:vAlign w:val="bottom"/>
            <w:hideMark/>
          </w:tcPr>
          <w:p w:rsidR="00261095" w:rsidRPr="00261095" w:rsidRDefault="00261095" w:rsidP="00261095">
            <w:pPr>
              <w:jc w:val="both"/>
              <w:rPr>
                <w:rFonts w:ascii="Arial" w:hAnsi="Arial" w:cs="Arial"/>
                <w:color w:val="000000"/>
                <w:sz w:val="16"/>
                <w:szCs w:val="16"/>
                <w:lang w:val="en-GB"/>
              </w:rPr>
            </w:pPr>
            <w:r w:rsidRPr="00261095">
              <w:rPr>
                <w:rFonts w:ascii="Arial" w:hAnsi="Arial" w:cs="Arial"/>
                <w:color w:val="000000"/>
                <w:sz w:val="16"/>
                <w:szCs w:val="16"/>
                <w:lang w:val="en-GB"/>
              </w:rPr>
              <w:t>2,001–3,000</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0.46</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1.30</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0.45</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1.21</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0.49</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1.54</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0.45</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1.45</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0.51</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1.63</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0.51</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1.63</w:t>
            </w:r>
          </w:p>
        </w:tc>
      </w:tr>
      <w:tr w:rsidR="00261095" w:rsidRPr="00261095" w:rsidTr="00C46532">
        <w:trPr>
          <w:trHeight w:val="296"/>
        </w:trPr>
        <w:tc>
          <w:tcPr>
            <w:tcW w:w="494" w:type="pct"/>
            <w:tcBorders>
              <w:top w:val="nil"/>
              <w:left w:val="single" w:sz="4" w:space="0" w:color="auto"/>
              <w:bottom w:val="single" w:sz="4" w:space="0" w:color="auto"/>
              <w:right w:val="single" w:sz="4" w:space="0" w:color="auto"/>
            </w:tcBorders>
            <w:shd w:val="clear" w:color="auto" w:fill="auto"/>
            <w:noWrap/>
            <w:vAlign w:val="bottom"/>
            <w:hideMark/>
          </w:tcPr>
          <w:p w:rsidR="00261095" w:rsidRPr="00261095" w:rsidRDefault="00261095" w:rsidP="00261095">
            <w:pPr>
              <w:jc w:val="both"/>
              <w:rPr>
                <w:rFonts w:ascii="Arial" w:hAnsi="Arial" w:cs="Arial"/>
                <w:color w:val="000000"/>
                <w:sz w:val="16"/>
                <w:szCs w:val="16"/>
                <w:lang w:val="en-GB"/>
              </w:rPr>
            </w:pPr>
            <w:r w:rsidRPr="00261095">
              <w:rPr>
                <w:rFonts w:ascii="Arial" w:hAnsi="Arial" w:cs="Arial"/>
                <w:color w:val="000000"/>
                <w:sz w:val="16"/>
                <w:szCs w:val="16"/>
                <w:lang w:val="en-GB"/>
              </w:rPr>
              <w:t>3,001–4,000</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0.24</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0.94</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0.25</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0.93</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0.21</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0.90</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0.19</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0.85</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0.24</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1.03</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0.21</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0.97</w:t>
            </w:r>
          </w:p>
        </w:tc>
      </w:tr>
      <w:tr w:rsidR="00261095" w:rsidRPr="00261095" w:rsidTr="00C46532">
        <w:trPr>
          <w:trHeight w:val="296"/>
        </w:trPr>
        <w:tc>
          <w:tcPr>
            <w:tcW w:w="494" w:type="pct"/>
            <w:tcBorders>
              <w:top w:val="nil"/>
              <w:left w:val="single" w:sz="4" w:space="0" w:color="auto"/>
              <w:bottom w:val="single" w:sz="4" w:space="0" w:color="auto"/>
              <w:right w:val="single" w:sz="4" w:space="0" w:color="auto"/>
            </w:tcBorders>
            <w:shd w:val="clear" w:color="auto" w:fill="auto"/>
            <w:noWrap/>
            <w:vAlign w:val="bottom"/>
            <w:hideMark/>
          </w:tcPr>
          <w:p w:rsidR="00261095" w:rsidRPr="00261095" w:rsidRDefault="00261095" w:rsidP="00261095">
            <w:pPr>
              <w:jc w:val="both"/>
              <w:rPr>
                <w:rFonts w:ascii="Arial" w:hAnsi="Arial" w:cs="Arial"/>
                <w:color w:val="000000"/>
                <w:sz w:val="16"/>
                <w:szCs w:val="16"/>
                <w:lang w:val="en-GB"/>
              </w:rPr>
            </w:pPr>
            <w:r w:rsidRPr="00261095">
              <w:rPr>
                <w:rFonts w:ascii="Arial" w:hAnsi="Arial" w:cs="Arial"/>
                <w:color w:val="000000"/>
                <w:sz w:val="16"/>
                <w:szCs w:val="16"/>
                <w:lang w:val="en-GB"/>
              </w:rPr>
              <w:t>4,001–5,000</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0.16</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0.82</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0.19</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0.93</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0.21</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1.17</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0.15</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0.91</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0.18</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1.03</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0.14</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0.84</w:t>
            </w:r>
          </w:p>
        </w:tc>
      </w:tr>
      <w:tr w:rsidR="00261095" w:rsidRPr="00261095" w:rsidTr="00C46532">
        <w:trPr>
          <w:trHeight w:val="296"/>
        </w:trPr>
        <w:tc>
          <w:tcPr>
            <w:tcW w:w="494" w:type="pct"/>
            <w:tcBorders>
              <w:top w:val="nil"/>
              <w:left w:val="single" w:sz="4" w:space="0" w:color="auto"/>
              <w:bottom w:val="single" w:sz="4" w:space="0" w:color="auto"/>
              <w:right w:val="single" w:sz="4" w:space="0" w:color="auto"/>
            </w:tcBorders>
            <w:shd w:val="clear" w:color="auto" w:fill="auto"/>
            <w:noWrap/>
            <w:vAlign w:val="bottom"/>
            <w:hideMark/>
          </w:tcPr>
          <w:p w:rsidR="00261095" w:rsidRPr="00261095" w:rsidRDefault="00261095" w:rsidP="00261095">
            <w:pPr>
              <w:jc w:val="both"/>
              <w:rPr>
                <w:rFonts w:ascii="Arial" w:hAnsi="Arial" w:cs="Arial"/>
                <w:color w:val="000000"/>
                <w:sz w:val="16"/>
                <w:szCs w:val="16"/>
                <w:lang w:val="en-GB"/>
              </w:rPr>
            </w:pPr>
            <w:r w:rsidRPr="00261095">
              <w:rPr>
                <w:rFonts w:ascii="Arial" w:hAnsi="Arial" w:cs="Arial"/>
                <w:color w:val="000000"/>
                <w:sz w:val="16"/>
                <w:szCs w:val="16"/>
                <w:lang w:val="en-GB"/>
              </w:rPr>
              <w:t>5,001–10,000</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0.29</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2.20</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0.30</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2.27</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0.32</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2.84</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0.15</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2.24</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0.28</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2.40</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0.26</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2.34</w:t>
            </w:r>
          </w:p>
        </w:tc>
      </w:tr>
      <w:tr w:rsidR="00261095" w:rsidRPr="00261095" w:rsidTr="00C46532">
        <w:trPr>
          <w:trHeight w:val="296"/>
        </w:trPr>
        <w:tc>
          <w:tcPr>
            <w:tcW w:w="494" w:type="pct"/>
            <w:tcBorders>
              <w:top w:val="nil"/>
              <w:left w:val="single" w:sz="4" w:space="0" w:color="auto"/>
              <w:bottom w:val="single" w:sz="4" w:space="0" w:color="auto"/>
              <w:right w:val="single" w:sz="4" w:space="0" w:color="auto"/>
            </w:tcBorders>
            <w:shd w:val="clear" w:color="auto" w:fill="auto"/>
            <w:noWrap/>
            <w:vAlign w:val="bottom"/>
            <w:hideMark/>
          </w:tcPr>
          <w:p w:rsidR="00261095" w:rsidRPr="00261095" w:rsidRDefault="00261095" w:rsidP="00EF787B">
            <w:pPr>
              <w:jc w:val="both"/>
              <w:rPr>
                <w:rFonts w:ascii="Arial" w:hAnsi="Arial" w:cs="Arial"/>
                <w:color w:val="000000"/>
                <w:sz w:val="16"/>
                <w:szCs w:val="16"/>
                <w:lang w:val="en-GB"/>
              </w:rPr>
            </w:pPr>
            <w:r w:rsidRPr="00261095">
              <w:rPr>
                <w:rFonts w:ascii="Arial" w:hAnsi="Arial" w:cs="Arial"/>
                <w:color w:val="000000"/>
                <w:sz w:val="16"/>
                <w:szCs w:val="16"/>
                <w:lang w:val="en-GB"/>
              </w:rPr>
              <w:t xml:space="preserve">10,001 &amp; </w:t>
            </w:r>
            <w:r w:rsidR="00EF787B">
              <w:rPr>
                <w:rFonts w:ascii="Arial" w:hAnsi="Arial" w:cs="Arial"/>
                <w:color w:val="000000"/>
                <w:sz w:val="16"/>
                <w:szCs w:val="16"/>
                <w:lang w:val="en-GB"/>
              </w:rPr>
              <w:t>a</w:t>
            </w:r>
            <w:r w:rsidRPr="00261095">
              <w:rPr>
                <w:rFonts w:ascii="Arial" w:hAnsi="Arial" w:cs="Arial"/>
                <w:color w:val="000000"/>
                <w:sz w:val="16"/>
                <w:szCs w:val="16"/>
                <w:lang w:val="en-GB"/>
              </w:rPr>
              <w:t>bove</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0.29</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78.76</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0.33</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79.06</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0.32</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74.59</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0.25</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74.92</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0.30</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74.20</w:t>
            </w:r>
          </w:p>
        </w:tc>
        <w:tc>
          <w:tcPr>
            <w:tcW w:w="452"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0.28</w:t>
            </w:r>
          </w:p>
        </w:tc>
        <w:tc>
          <w:tcPr>
            <w:tcW w:w="299" w:type="pct"/>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right"/>
              <w:rPr>
                <w:rFonts w:ascii="Arial" w:hAnsi="Arial" w:cs="Arial"/>
                <w:color w:val="000000"/>
                <w:sz w:val="16"/>
                <w:szCs w:val="16"/>
                <w:lang w:val="en-GB"/>
              </w:rPr>
            </w:pPr>
            <w:r w:rsidRPr="00261095">
              <w:rPr>
                <w:rFonts w:ascii="Arial" w:hAnsi="Arial" w:cs="Arial"/>
                <w:color w:val="000000"/>
                <w:sz w:val="16"/>
                <w:szCs w:val="16"/>
                <w:lang w:val="en-GB"/>
              </w:rPr>
              <w:t>74.25</w:t>
            </w:r>
          </w:p>
        </w:tc>
      </w:tr>
    </w:tbl>
    <w:p w:rsidR="00261095" w:rsidRDefault="00261095" w:rsidP="00261095">
      <w:pPr>
        <w:tabs>
          <w:tab w:val="left" w:pos="-1440"/>
          <w:tab w:val="left" w:pos="-720"/>
          <w:tab w:val="left" w:pos="1"/>
          <w:tab w:val="right" w:pos="9000"/>
        </w:tabs>
        <w:jc w:val="both"/>
        <w:rPr>
          <w:lang w:val="en-GB"/>
        </w:rPr>
      </w:pPr>
    </w:p>
    <w:p w:rsidR="00C46532" w:rsidRDefault="00C46532" w:rsidP="00FF6B17">
      <w:pPr>
        <w:pStyle w:val="FootnoteText1"/>
        <w:rPr>
          <w:lang w:val="en-GB"/>
        </w:rPr>
      </w:pPr>
    </w:p>
    <w:p w:rsidR="00261095" w:rsidRPr="00261095" w:rsidRDefault="00261095" w:rsidP="00FF6B17">
      <w:pPr>
        <w:pStyle w:val="FootnoteText1"/>
        <w:rPr>
          <w:lang w:val="en-GB"/>
        </w:rPr>
      </w:pPr>
      <w:r w:rsidRPr="00261095">
        <w:rPr>
          <w:lang w:val="en-GB"/>
        </w:rPr>
        <w:t>Source: Prepared by the authors with company information (annual reports).</w:t>
      </w:r>
    </w:p>
    <w:p w:rsidR="00261095" w:rsidRPr="00261095" w:rsidRDefault="00261095" w:rsidP="00FF6B17">
      <w:pPr>
        <w:pStyle w:val="FootnoteText1"/>
        <w:rPr>
          <w:lang w:val="en-GB"/>
        </w:rPr>
      </w:pPr>
    </w:p>
    <w:p w:rsidR="00261095" w:rsidRDefault="00261095" w:rsidP="00261095">
      <w:pPr>
        <w:tabs>
          <w:tab w:val="left" w:pos="-1440"/>
          <w:tab w:val="left" w:pos="-720"/>
          <w:tab w:val="left" w:pos="1"/>
          <w:tab w:val="right" w:pos="9000"/>
        </w:tabs>
        <w:jc w:val="both"/>
        <w:sectPr w:rsidR="00261095" w:rsidSect="00261095">
          <w:headerReference w:type="default" r:id="rId17"/>
          <w:pgSz w:w="15840" w:h="12240" w:orient="landscape" w:code="1"/>
          <w:pgMar w:top="1440" w:right="1440" w:bottom="1440" w:left="1440" w:header="1080" w:footer="720" w:gutter="0"/>
          <w:cols w:space="720"/>
          <w:docGrid w:linePitch="360"/>
        </w:sectPr>
      </w:pPr>
    </w:p>
    <w:p w:rsidR="00261095" w:rsidRDefault="00261095" w:rsidP="00817E62">
      <w:pPr>
        <w:pStyle w:val="Casehead1"/>
        <w:jc w:val="center"/>
        <w:rPr>
          <w:lang w:val="en-GB"/>
        </w:rPr>
      </w:pPr>
      <w:r w:rsidRPr="00261095">
        <w:rPr>
          <w:lang w:val="en-GB"/>
        </w:rPr>
        <w:lastRenderedPageBreak/>
        <w:t>Exhibit 12a: Share Buyback Details</w:t>
      </w:r>
    </w:p>
    <w:p w:rsidR="00261095" w:rsidRPr="00261095" w:rsidRDefault="00261095" w:rsidP="00261095">
      <w:pPr>
        <w:tabs>
          <w:tab w:val="left" w:pos="-1440"/>
          <w:tab w:val="left" w:pos="-720"/>
          <w:tab w:val="left" w:pos="1"/>
          <w:tab w:val="right" w:pos="9000"/>
        </w:tabs>
        <w:jc w:val="both"/>
        <w:rPr>
          <w:rFonts w:ascii="Arial" w:hAnsi="Arial" w:cs="Arial"/>
          <w:iCs/>
          <w:sz w:val="17"/>
          <w:szCs w:val="17"/>
          <w:lang w:val="en-GB"/>
        </w:rPr>
      </w:pPr>
      <w:r w:rsidRPr="00261095">
        <w:rPr>
          <w:noProof/>
          <w:lang w:val="en-GB" w:eastAsia="en-GB"/>
        </w:rPr>
        <w:drawing>
          <wp:anchor distT="0" distB="0" distL="114300" distR="114300" simplePos="0" relativeHeight="251677696" behindDoc="0" locked="0" layoutInCell="1" allowOverlap="1" wp14:anchorId="5698FAF3" wp14:editId="45E01943">
            <wp:simplePos x="0" y="0"/>
            <wp:positionH relativeFrom="column">
              <wp:posOffset>71120</wp:posOffset>
            </wp:positionH>
            <wp:positionV relativeFrom="paragraph">
              <wp:posOffset>150495</wp:posOffset>
            </wp:positionV>
            <wp:extent cx="5791200" cy="2763520"/>
            <wp:effectExtent l="0" t="0" r="19050" b="1778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261095" w:rsidRDefault="00E73875" w:rsidP="00261095">
      <w:pPr>
        <w:tabs>
          <w:tab w:val="left" w:pos="-1440"/>
          <w:tab w:val="left" w:pos="-720"/>
          <w:tab w:val="left" w:pos="1"/>
          <w:tab w:val="right" w:pos="9000"/>
        </w:tabs>
        <w:jc w:val="both"/>
        <w:rPr>
          <w:rFonts w:ascii="Arial" w:hAnsi="Arial" w:cs="Arial"/>
          <w:iCs/>
          <w:sz w:val="17"/>
          <w:szCs w:val="17"/>
        </w:rPr>
      </w:pPr>
      <w:r w:rsidRPr="00E73875">
        <w:rPr>
          <w:rFonts w:ascii="Arial" w:hAnsi="Arial" w:cs="Arial"/>
          <w:iCs/>
          <w:noProof/>
          <w:sz w:val="17"/>
          <w:szCs w:val="17"/>
          <w:lang w:val="en-GB" w:eastAsia="en-GB"/>
        </w:rPr>
        <mc:AlternateContent>
          <mc:Choice Requires="wps">
            <w:drawing>
              <wp:anchor distT="0" distB="0" distL="114300" distR="114300" simplePos="0" relativeHeight="251679744" behindDoc="0" locked="0" layoutInCell="1" allowOverlap="1" wp14:anchorId="636F0009" wp14:editId="346157D3">
                <wp:simplePos x="0" y="0"/>
                <wp:positionH relativeFrom="column">
                  <wp:posOffset>4069080</wp:posOffset>
                </wp:positionH>
                <wp:positionV relativeFrom="paragraph">
                  <wp:posOffset>2480310</wp:posOffset>
                </wp:positionV>
                <wp:extent cx="259080" cy="208280"/>
                <wp:effectExtent l="0" t="0" r="762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08280"/>
                        </a:xfrm>
                        <a:prstGeom prst="rect">
                          <a:avLst/>
                        </a:prstGeom>
                        <a:solidFill>
                          <a:srgbClr val="FFFFFF"/>
                        </a:solidFill>
                        <a:ln w="9525">
                          <a:noFill/>
                          <a:miter lim="800000"/>
                          <a:headEnd/>
                          <a:tailEnd/>
                        </a:ln>
                      </wps:spPr>
                      <wps:txbx>
                        <w:txbxContent>
                          <w:p w:rsidR="00E73875" w:rsidRPr="00E73875" w:rsidRDefault="00E73875" w:rsidP="00E73875">
                            <w:pPr>
                              <w:pStyle w:val="NormalWeb"/>
                              <w:spacing w:before="0" w:beforeAutospacing="0" w:after="0" w:afterAutospacing="0"/>
                              <w:rPr>
                                <w:sz w:val="16"/>
                                <w:szCs w:val="16"/>
                              </w:rPr>
                            </w:pPr>
                            <w:r w:rsidRPr="00E73875">
                              <w:rPr>
                                <w:rFonts w:ascii="Arial" w:eastAsiaTheme="minorEastAsia" w:hAnsi="Arial" w:cs="Arial"/>
                                <w:b/>
                                <w:bCs/>
                                <w:caps/>
                                <w:color w:val="000000"/>
                                <w:kern w:val="24"/>
                                <w:sz w:val="16"/>
                                <w:szCs w:val="16"/>
                                <w:lang w:val="en-US" w:eastAsia="en-GB"/>
                              </w:rPr>
                              <w:t>(</w:t>
                            </w:r>
                            <w:r w:rsidRPr="00E73875">
                              <w:rPr>
                                <w:rFonts w:ascii="Arial" w:eastAsiaTheme="minorEastAsia" w:hAnsi="Arial" w:cs="Arial"/>
                                <w:caps/>
                                <w:color w:val="000000"/>
                                <w:kern w:val="24"/>
                                <w:sz w:val="16"/>
                                <w:szCs w:val="16"/>
                                <w:lang w:val="en-US" w:eastAsia="en-GB"/>
                              </w:rPr>
                              <w:t>₹</w:t>
                            </w:r>
                            <w:r w:rsidRPr="00E73875">
                              <w:rPr>
                                <w:rFonts w:ascii="Arial" w:eastAsiaTheme="minorEastAsia" w:hAnsi="Arial" w:cs="Arial"/>
                                <w:b/>
                                <w:bCs/>
                                <w:caps/>
                                <w:color w:val="000000"/>
                                <w:kern w:val="24"/>
                                <w:sz w:val="16"/>
                                <w:szCs w:val="16"/>
                                <w:lang w:val="en-US" w:eastAsia="en-GB"/>
                              </w:rPr>
                              <w:t>)</w:t>
                            </w:r>
                          </w:p>
                        </w:txbxContent>
                      </wps:txbx>
                      <wps:bodyPr rot="0" vert="horz" wrap="square" lIns="9144" tIns="45720" rIns="9144"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320.4pt;margin-top:195.3pt;width:20.4pt;height:1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" stroked="f">
                <v:textbox inset=".72pt,,.72pt">
                  <w:txbxContent>
                    <w:p w:rsidR="00E73875" w:rsidRPr="00E73875" w:rsidRDefault="00E73875" w:rsidP="00E73875">
                      <w:pPr>
                        <w:pStyle w:val="NormalWeb"/>
                        <w:spacing w:before="0" w:beforeAutospacing="0" w:after="0" w:afterAutospacing="0"/>
                        <w:rPr>
                          <w:sz w:val="16"/>
                          <w:szCs w:val="16"/>
                        </w:rPr>
                      </w:pPr>
                      <w:r w:rsidRPr="00E73875">
                        <w:rPr>
                          <w:rFonts w:ascii="Arial" w:eastAsiaTheme="minorEastAsia" w:hAnsi="Arial" w:cs="Arial"/>
                          <w:b/>
                          <w:bCs/>
                          <w:caps/>
                          <w:color w:val="000000"/>
                          <w:kern w:val="24"/>
                          <w:sz w:val="16"/>
                          <w:szCs w:val="16"/>
                          <w:lang w:val="en-US" w:eastAsia="en-GB"/>
                        </w:rPr>
                        <w:t>(</w:t>
                      </w:r>
                      <w:r w:rsidRPr="00E73875">
                        <w:rPr>
                          <w:rFonts w:ascii="Arial" w:eastAsiaTheme="minorEastAsia" w:hAnsi="Arial" w:cs="Arial"/>
                          <w:caps/>
                          <w:color w:val="000000"/>
                          <w:kern w:val="24"/>
                          <w:sz w:val="16"/>
                          <w:szCs w:val="16"/>
                          <w:lang w:val="en-US" w:eastAsia="en-GB"/>
                        </w:rPr>
                        <w:t>₹</w:t>
                      </w:r>
                      <w:r w:rsidRPr="00E73875">
                        <w:rPr>
                          <w:rFonts w:ascii="Arial" w:eastAsiaTheme="minorEastAsia" w:hAnsi="Arial" w:cs="Arial"/>
                          <w:b/>
                          <w:bCs/>
                          <w:caps/>
                          <w:color w:val="000000"/>
                          <w:kern w:val="24"/>
                          <w:sz w:val="16"/>
                          <w:szCs w:val="16"/>
                          <w:lang w:val="en-US" w:eastAsia="en-GB"/>
                        </w:rPr>
                        <w:t>)</w:t>
                      </w:r>
                    </w:p>
                  </w:txbxContent>
                </v:textbox>
              </v:shape>
            </w:pict>
          </mc:Fallback>
        </mc:AlternateContent>
      </w:r>
    </w:p>
    <w:p w:rsidR="0047109C" w:rsidRDefault="00261095" w:rsidP="00C46532">
      <w:pPr>
        <w:pStyle w:val="FootnoteText1"/>
      </w:pPr>
      <w:r w:rsidRPr="00C46532">
        <w:t xml:space="preserve">Source: Prepared by authors using data from accessed July 8, 2015, </w:t>
      </w:r>
      <w:r w:rsidR="0047109C">
        <w:t xml:space="preserve">ProwessIO, </w:t>
      </w:r>
      <w:r w:rsidR="0047109C" w:rsidRPr="0047109C">
        <w:t>https://prowessiq.cmie.com;</w:t>
      </w:r>
      <w:r w:rsidRPr="00C46532">
        <w:t xml:space="preserve"> National Stock Exchange, Mumbai, </w:t>
      </w:r>
      <w:r w:rsidR="0047109C" w:rsidRPr="0047109C">
        <w:t>www.nseindia.com/live_market/dynaContent/live_watch/get_quote/GetQuote.jsp?symbol</w:t>
      </w:r>
      <w:r w:rsidR="0047109C" w:rsidRPr="0047109C">
        <w:t>=SRF&amp;</w:t>
      </w:r>
    </w:p>
    <w:p w:rsidR="0047109C" w:rsidRDefault="00C46532" w:rsidP="00C46532">
      <w:pPr>
        <w:pStyle w:val="FootnoteText1"/>
      </w:pPr>
      <w:r w:rsidRPr="0047109C">
        <w:t>illiquid=0&amp;sme</w:t>
      </w:r>
      <w:r w:rsidR="00261095" w:rsidRPr="00C46532">
        <w:t xml:space="preserve">Flag=0&amp;itpFlag=0#); Bombay Stock Exchange, </w:t>
      </w:r>
      <w:r w:rsidR="0047109C" w:rsidRPr="0047109C">
        <w:t>www.bseindia.com/markets/equity/EQReports/Stock</w:t>
      </w:r>
      <w:r w:rsidR="0047109C" w:rsidRPr="0047109C">
        <w:t>Prc</w:t>
      </w:r>
    </w:p>
    <w:p w:rsidR="00261095" w:rsidRPr="00C46532" w:rsidRDefault="00C46532" w:rsidP="00C46532">
      <w:pPr>
        <w:pStyle w:val="FootnoteText1"/>
      </w:pPr>
      <w:r w:rsidRPr="0047109C">
        <w:t>Histori.aspx</w:t>
      </w:r>
      <w:r w:rsidR="00261095" w:rsidRPr="00C46532">
        <w:t>?expandable=7&amp;scripcode=503806&amp;flag=sp&amp;Submit=G.</w:t>
      </w:r>
    </w:p>
    <w:p w:rsidR="00261095" w:rsidRDefault="00261095" w:rsidP="00817E62">
      <w:pPr>
        <w:pStyle w:val="BodyTextMain"/>
        <w:rPr>
          <w:lang w:val="en-GB"/>
        </w:rPr>
      </w:pPr>
    </w:p>
    <w:p w:rsidR="00261095" w:rsidRPr="00261095" w:rsidRDefault="00261095" w:rsidP="00817E62">
      <w:pPr>
        <w:pStyle w:val="BodyTextMain"/>
        <w:rPr>
          <w:lang w:val="en-GB"/>
        </w:rPr>
      </w:pPr>
    </w:p>
    <w:p w:rsidR="00261095" w:rsidRPr="00261095" w:rsidRDefault="00817E62" w:rsidP="00261095">
      <w:pPr>
        <w:jc w:val="center"/>
        <w:rPr>
          <w:rFonts w:ascii="Arial" w:hAnsi="Arial" w:cs="Arial"/>
          <w:b/>
          <w:caps/>
          <w:sz w:val="18"/>
          <w:lang w:val="en-GB"/>
        </w:rPr>
      </w:pPr>
      <w:r>
        <w:rPr>
          <w:rFonts w:ascii="Arial" w:hAnsi="Arial" w:cs="Arial"/>
          <w:b/>
          <w:caps/>
          <w:lang w:val="en-GB"/>
        </w:rPr>
        <w:t>e</w:t>
      </w:r>
      <w:r w:rsidR="00261095" w:rsidRPr="00261095">
        <w:rPr>
          <w:rFonts w:ascii="Arial" w:hAnsi="Arial" w:cs="Arial"/>
          <w:b/>
          <w:caps/>
          <w:lang w:val="en-GB"/>
        </w:rPr>
        <w:t>xhibit 12b: Share Buyback Details</w:t>
      </w:r>
    </w:p>
    <w:p w:rsidR="00261095" w:rsidRPr="00261095" w:rsidRDefault="00261095" w:rsidP="00261095">
      <w:pPr>
        <w:jc w:val="both"/>
        <w:rPr>
          <w:sz w:val="22"/>
          <w:szCs w:val="22"/>
          <w:lang w:val="en-GB"/>
        </w:rPr>
      </w:pPr>
    </w:p>
    <w:p w:rsidR="00261095" w:rsidRPr="00261095" w:rsidRDefault="00A061DF" w:rsidP="00261095">
      <w:pPr>
        <w:jc w:val="center"/>
        <w:rPr>
          <w:color w:val="000000" w:themeColor="text1"/>
          <w:sz w:val="22"/>
          <w:szCs w:val="22"/>
          <w:lang w:val="en-GB" w:eastAsia="en-IN"/>
        </w:rPr>
      </w:pPr>
      <w:r w:rsidRPr="00E73875">
        <w:rPr>
          <w:rFonts w:ascii="Arial" w:hAnsi="Arial" w:cs="Arial"/>
          <w:iCs/>
          <w:noProof/>
          <w:sz w:val="17"/>
          <w:szCs w:val="17"/>
          <w:lang w:val="en-GB" w:eastAsia="en-GB"/>
        </w:rPr>
        <mc:AlternateContent>
          <mc:Choice Requires="wps">
            <w:drawing>
              <wp:anchor distT="0" distB="0" distL="114300" distR="114300" simplePos="0" relativeHeight="251681792" behindDoc="0" locked="0" layoutInCell="1" allowOverlap="1" wp14:anchorId="0445FECB" wp14:editId="0C4C56B0">
                <wp:simplePos x="0" y="0"/>
                <wp:positionH relativeFrom="column">
                  <wp:posOffset>4028440</wp:posOffset>
                </wp:positionH>
                <wp:positionV relativeFrom="paragraph">
                  <wp:posOffset>2630170</wp:posOffset>
                </wp:positionV>
                <wp:extent cx="259080" cy="208280"/>
                <wp:effectExtent l="0" t="0" r="7620" b="12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08280"/>
                        </a:xfrm>
                        <a:prstGeom prst="rect">
                          <a:avLst/>
                        </a:prstGeom>
                        <a:solidFill>
                          <a:srgbClr val="FFFFFF"/>
                        </a:solidFill>
                        <a:ln w="9525">
                          <a:noFill/>
                          <a:miter lim="800000"/>
                          <a:headEnd/>
                          <a:tailEnd/>
                        </a:ln>
                      </wps:spPr>
                      <wps:txbx>
                        <w:txbxContent>
                          <w:p w:rsidR="00A061DF" w:rsidRPr="00E73875" w:rsidRDefault="00A061DF" w:rsidP="00A061DF">
                            <w:pPr>
                              <w:pStyle w:val="NormalWeb"/>
                              <w:spacing w:before="0" w:beforeAutospacing="0" w:after="0" w:afterAutospacing="0"/>
                              <w:rPr>
                                <w:sz w:val="16"/>
                                <w:szCs w:val="16"/>
                              </w:rPr>
                            </w:pPr>
                            <w:r w:rsidRPr="00E73875">
                              <w:rPr>
                                <w:rFonts w:ascii="Arial" w:eastAsiaTheme="minorEastAsia" w:hAnsi="Arial" w:cs="Arial"/>
                                <w:b/>
                                <w:bCs/>
                                <w:caps/>
                                <w:color w:val="000000"/>
                                <w:kern w:val="24"/>
                                <w:sz w:val="16"/>
                                <w:szCs w:val="16"/>
                                <w:lang w:val="en-US" w:eastAsia="en-GB"/>
                              </w:rPr>
                              <w:t>(</w:t>
                            </w:r>
                            <w:r w:rsidRPr="00E73875">
                              <w:rPr>
                                <w:rFonts w:ascii="Arial" w:eastAsiaTheme="minorEastAsia" w:hAnsi="Arial" w:cs="Arial"/>
                                <w:caps/>
                                <w:color w:val="000000"/>
                                <w:kern w:val="24"/>
                                <w:sz w:val="16"/>
                                <w:szCs w:val="16"/>
                                <w:lang w:val="en-US" w:eastAsia="en-GB"/>
                              </w:rPr>
                              <w:t>₹</w:t>
                            </w:r>
                            <w:r w:rsidRPr="00E73875">
                              <w:rPr>
                                <w:rFonts w:ascii="Arial" w:eastAsiaTheme="minorEastAsia" w:hAnsi="Arial" w:cs="Arial"/>
                                <w:b/>
                                <w:bCs/>
                                <w:caps/>
                                <w:color w:val="000000"/>
                                <w:kern w:val="24"/>
                                <w:sz w:val="16"/>
                                <w:szCs w:val="16"/>
                                <w:lang w:val="en-US" w:eastAsia="en-GB"/>
                              </w:rPr>
                              <w:t>)</w:t>
                            </w:r>
                          </w:p>
                        </w:txbxContent>
                      </wps:txbx>
                      <wps:bodyPr rot="0" vert="horz" wrap="square" lIns="9144" tIns="45720" rIns="9144"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17.2pt;margin-top:207.1pt;width:20.4pt;height:1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" stroked="f">
                <v:textbox inset=".72pt,,.72pt">
                  <w:txbxContent>
                    <w:p w:rsidR="00A061DF" w:rsidRPr="00E73875" w:rsidRDefault="00A061DF" w:rsidP="00A061DF">
                      <w:pPr>
                        <w:pStyle w:val="NormalWeb"/>
                        <w:spacing w:before="0" w:beforeAutospacing="0" w:after="0" w:afterAutospacing="0"/>
                        <w:rPr>
                          <w:sz w:val="16"/>
                          <w:szCs w:val="16"/>
                        </w:rPr>
                      </w:pPr>
                      <w:r w:rsidRPr="00E73875">
                        <w:rPr>
                          <w:rFonts w:ascii="Arial" w:eastAsiaTheme="minorEastAsia" w:hAnsi="Arial" w:cs="Arial"/>
                          <w:b/>
                          <w:bCs/>
                          <w:caps/>
                          <w:color w:val="000000"/>
                          <w:kern w:val="24"/>
                          <w:sz w:val="16"/>
                          <w:szCs w:val="16"/>
                          <w:lang w:val="en-US" w:eastAsia="en-GB"/>
                        </w:rPr>
                        <w:t>(</w:t>
                      </w:r>
                      <w:r w:rsidRPr="00E73875">
                        <w:rPr>
                          <w:rFonts w:ascii="Arial" w:eastAsiaTheme="minorEastAsia" w:hAnsi="Arial" w:cs="Arial"/>
                          <w:caps/>
                          <w:color w:val="000000"/>
                          <w:kern w:val="24"/>
                          <w:sz w:val="16"/>
                          <w:szCs w:val="16"/>
                          <w:lang w:val="en-US" w:eastAsia="en-GB"/>
                        </w:rPr>
                        <w:t>₹</w:t>
                      </w:r>
                      <w:r w:rsidRPr="00E73875">
                        <w:rPr>
                          <w:rFonts w:ascii="Arial" w:eastAsiaTheme="minorEastAsia" w:hAnsi="Arial" w:cs="Arial"/>
                          <w:b/>
                          <w:bCs/>
                          <w:caps/>
                          <w:color w:val="000000"/>
                          <w:kern w:val="24"/>
                          <w:sz w:val="16"/>
                          <w:szCs w:val="16"/>
                          <w:lang w:val="en-US" w:eastAsia="en-GB"/>
                        </w:rPr>
                        <w:t>)</w:t>
                      </w:r>
                    </w:p>
                  </w:txbxContent>
                </v:textbox>
              </v:shape>
            </w:pict>
          </mc:Fallback>
        </mc:AlternateContent>
      </w:r>
      <w:r w:rsidR="00261095" w:rsidRPr="00261095">
        <w:rPr>
          <w:noProof/>
          <w:sz w:val="24"/>
          <w:szCs w:val="24"/>
          <w:lang w:val="en-GB" w:eastAsia="en-GB"/>
        </w:rPr>
        <w:drawing>
          <wp:inline distT="0" distB="0" distL="0" distR="0" wp14:anchorId="4E5AFE71" wp14:editId="13E01A6F">
            <wp:extent cx="5709920" cy="2915920"/>
            <wp:effectExtent l="0" t="0" r="24130" b="1778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61095" w:rsidRPr="00261095" w:rsidRDefault="00261095" w:rsidP="00261095">
      <w:pPr>
        <w:tabs>
          <w:tab w:val="left" w:pos="-1440"/>
          <w:tab w:val="left" w:pos="-720"/>
          <w:tab w:val="left" w:pos="1"/>
          <w:tab w:val="right" w:pos="9000"/>
        </w:tabs>
        <w:jc w:val="both"/>
        <w:rPr>
          <w:rFonts w:ascii="Arial" w:hAnsi="Arial" w:cs="Arial"/>
          <w:iCs/>
          <w:sz w:val="17"/>
          <w:szCs w:val="17"/>
          <w:lang w:val="en-GB"/>
        </w:rPr>
      </w:pPr>
    </w:p>
    <w:p w:rsidR="0047109C" w:rsidRDefault="0047109C" w:rsidP="0047109C">
      <w:pPr>
        <w:pStyle w:val="FootnoteText1"/>
      </w:pPr>
      <w:r w:rsidRPr="00C46532">
        <w:t xml:space="preserve">Source: Prepared by authors using data from accessed July 8, 2015, </w:t>
      </w:r>
      <w:r>
        <w:t xml:space="preserve">ProwessIO, </w:t>
      </w:r>
      <w:r w:rsidRPr="0047109C">
        <w:t>https://prowessiq.cmie.com;</w:t>
      </w:r>
      <w:r w:rsidRPr="00C46532">
        <w:t xml:space="preserve"> National Stock Exchange, Mumbai, </w:t>
      </w:r>
      <w:r w:rsidRPr="0047109C">
        <w:t>www.nseindia.com/live_market/dynaContent/live_watch/get_quote/GetQuote.jsp?symbol=SRF&amp;</w:t>
      </w:r>
    </w:p>
    <w:p w:rsidR="0047109C" w:rsidRDefault="0047109C" w:rsidP="0047109C">
      <w:pPr>
        <w:pStyle w:val="FootnoteText1"/>
      </w:pPr>
      <w:r w:rsidRPr="0047109C">
        <w:t>illiquid=0&amp;sme</w:t>
      </w:r>
      <w:r w:rsidRPr="00C46532">
        <w:t xml:space="preserve">Flag=0&amp;itpFlag=0#); Bombay Stock Exchange, </w:t>
      </w:r>
      <w:r w:rsidRPr="0047109C">
        <w:t>www.bseindia.com/markets/equity/EQReports/StockPrc</w:t>
      </w:r>
    </w:p>
    <w:p w:rsidR="00261095" w:rsidRPr="00261095" w:rsidRDefault="0047109C" w:rsidP="0047109C">
      <w:pPr>
        <w:pStyle w:val="FootnoteText1"/>
        <w:rPr>
          <w:color w:val="000000" w:themeColor="text1"/>
          <w:lang w:val="en-GB"/>
        </w:rPr>
      </w:pPr>
      <w:r w:rsidRPr="0047109C">
        <w:t>Histori.aspx</w:t>
      </w:r>
      <w:r w:rsidRPr="00C46532">
        <w:t>?expandable=7&amp;scripcode=503806&amp;flag=sp&amp;Submit=G.</w:t>
      </w:r>
      <w:r w:rsidR="00261095" w:rsidRPr="00261095">
        <w:rPr>
          <w:color w:val="000000" w:themeColor="text1"/>
          <w:lang w:val="en-GB"/>
        </w:rPr>
        <w:br w:type="page"/>
      </w:r>
    </w:p>
    <w:p w:rsidR="00261095" w:rsidRPr="00261095" w:rsidRDefault="00261095" w:rsidP="00817E62">
      <w:pPr>
        <w:pStyle w:val="Casehead1"/>
        <w:jc w:val="center"/>
        <w:rPr>
          <w:lang w:val="en-GB"/>
        </w:rPr>
      </w:pPr>
      <w:r w:rsidRPr="00261095">
        <w:rPr>
          <w:lang w:val="en-GB"/>
        </w:rPr>
        <w:lastRenderedPageBreak/>
        <w:t>Exhibit 13a: Index of Industrial Production</w:t>
      </w:r>
      <w:r w:rsidR="00A061DF">
        <w:rPr>
          <w:lang w:val="en-GB"/>
        </w:rPr>
        <w:t xml:space="preserve"> in India</w:t>
      </w:r>
    </w:p>
    <w:tbl>
      <w:tblPr>
        <w:tblpPr w:leftFromText="180" w:rightFromText="180" w:vertAnchor="text" w:horzAnchor="margin" w:tblpXSpec="center" w:tblpY="215"/>
        <w:tblW w:w="5562" w:type="dxa"/>
        <w:tblLayout w:type="fixed"/>
        <w:tblLook w:val="04A0" w:firstRow="1" w:lastRow="0" w:firstColumn="1" w:lastColumn="0" w:noHBand="0" w:noVBand="1"/>
      </w:tblPr>
      <w:tblGrid>
        <w:gridCol w:w="1586"/>
        <w:gridCol w:w="1636"/>
        <w:gridCol w:w="2340"/>
      </w:tblGrid>
      <w:tr w:rsidR="00FF6B17" w:rsidRPr="00261095" w:rsidTr="00A061DF">
        <w:trPr>
          <w:trHeight w:val="288"/>
        </w:trPr>
        <w:tc>
          <w:tcPr>
            <w:tcW w:w="15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B17" w:rsidRPr="00261095" w:rsidRDefault="00FF6B17" w:rsidP="00FF6B17">
            <w:pPr>
              <w:jc w:val="center"/>
              <w:rPr>
                <w:rFonts w:ascii="Arial" w:hAnsi="Arial" w:cs="Arial"/>
                <w:b/>
                <w:bCs/>
                <w:color w:val="000000"/>
                <w:lang w:val="en-GB"/>
              </w:rPr>
            </w:pPr>
            <w:r w:rsidRPr="00261095">
              <w:rPr>
                <w:rFonts w:ascii="Arial" w:hAnsi="Arial" w:cs="Arial"/>
                <w:b/>
                <w:bCs/>
                <w:color w:val="000000"/>
                <w:lang w:val="en-GB"/>
              </w:rPr>
              <w:t>Month</w:t>
            </w:r>
          </w:p>
        </w:tc>
        <w:tc>
          <w:tcPr>
            <w:tcW w:w="1636" w:type="dxa"/>
            <w:tcBorders>
              <w:top w:val="single" w:sz="4" w:space="0" w:color="auto"/>
              <w:left w:val="nil"/>
              <w:bottom w:val="single" w:sz="4" w:space="0" w:color="auto"/>
              <w:right w:val="single" w:sz="4" w:space="0" w:color="auto"/>
            </w:tcBorders>
            <w:shd w:val="clear" w:color="auto" w:fill="auto"/>
            <w:vAlign w:val="center"/>
            <w:hideMark/>
          </w:tcPr>
          <w:p w:rsidR="00FF6B17" w:rsidRPr="00261095" w:rsidRDefault="00FF6B17" w:rsidP="00FF6B17">
            <w:pPr>
              <w:jc w:val="center"/>
              <w:rPr>
                <w:rFonts w:ascii="Arial" w:hAnsi="Arial" w:cs="Arial"/>
                <w:b/>
                <w:bCs/>
                <w:color w:val="000000"/>
                <w:lang w:val="en-GB"/>
              </w:rPr>
            </w:pPr>
            <w:r w:rsidRPr="00261095">
              <w:rPr>
                <w:rFonts w:ascii="Arial" w:hAnsi="Arial" w:cs="Arial"/>
                <w:b/>
                <w:bCs/>
                <w:color w:val="000000"/>
                <w:lang w:val="en-GB"/>
              </w:rPr>
              <w:t>Manufacturing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FF6B17" w:rsidRPr="00261095" w:rsidRDefault="00FF6B17" w:rsidP="00FF6B17">
            <w:pPr>
              <w:jc w:val="center"/>
              <w:rPr>
                <w:rFonts w:ascii="Arial" w:hAnsi="Arial" w:cs="Arial"/>
                <w:b/>
                <w:bCs/>
                <w:color w:val="000000"/>
                <w:lang w:val="en-GB"/>
              </w:rPr>
            </w:pPr>
            <w:r w:rsidRPr="00261095">
              <w:rPr>
                <w:rFonts w:ascii="Arial" w:hAnsi="Arial" w:cs="Arial"/>
                <w:b/>
                <w:bCs/>
                <w:color w:val="000000"/>
                <w:lang w:val="en-GB"/>
              </w:rPr>
              <w:t>Mining and Quarrying</w:t>
            </w:r>
          </w:p>
        </w:tc>
      </w:tr>
      <w:tr w:rsidR="00FF6B17" w:rsidRPr="00261095" w:rsidTr="00A061DF">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hideMark/>
          </w:tcPr>
          <w:p w:rsidR="00FF6B17" w:rsidRPr="00261095" w:rsidRDefault="00FF6B17" w:rsidP="00FF6B17">
            <w:pPr>
              <w:rPr>
                <w:rFonts w:ascii="Arial" w:hAnsi="Arial" w:cs="Arial"/>
                <w:color w:val="000000"/>
                <w:lang w:val="en-GB"/>
              </w:rPr>
            </w:pPr>
            <w:r w:rsidRPr="00261095">
              <w:rPr>
                <w:rFonts w:ascii="Arial" w:hAnsi="Arial" w:cs="Arial"/>
                <w:color w:val="000000"/>
                <w:lang w:val="en-GB"/>
              </w:rPr>
              <w:t>January 2012</w:t>
            </w:r>
          </w:p>
        </w:tc>
        <w:tc>
          <w:tcPr>
            <w:tcW w:w="1636"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188.60</w:t>
            </w:r>
          </w:p>
        </w:tc>
        <w:tc>
          <w:tcPr>
            <w:tcW w:w="2340"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138.00</w:t>
            </w:r>
          </w:p>
        </w:tc>
      </w:tr>
      <w:tr w:rsidR="00FF6B17" w:rsidRPr="00261095" w:rsidTr="00A061DF">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hideMark/>
          </w:tcPr>
          <w:p w:rsidR="00FF6B17" w:rsidRPr="00261095" w:rsidRDefault="00FF6B17" w:rsidP="00FF6B17">
            <w:pPr>
              <w:rPr>
                <w:rFonts w:ascii="Arial" w:hAnsi="Arial" w:cs="Arial"/>
                <w:color w:val="000000"/>
                <w:lang w:val="en-GB"/>
              </w:rPr>
            </w:pPr>
            <w:r w:rsidRPr="00261095">
              <w:rPr>
                <w:rFonts w:ascii="Arial" w:hAnsi="Arial" w:cs="Arial"/>
                <w:color w:val="000000"/>
                <w:lang w:val="en-GB"/>
              </w:rPr>
              <w:t>February 2012</w:t>
            </w:r>
          </w:p>
        </w:tc>
        <w:tc>
          <w:tcPr>
            <w:tcW w:w="1636"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186.80</w:t>
            </w:r>
          </w:p>
        </w:tc>
        <w:tc>
          <w:tcPr>
            <w:tcW w:w="2340"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135.00</w:t>
            </w:r>
          </w:p>
        </w:tc>
      </w:tr>
      <w:tr w:rsidR="00FF6B17" w:rsidRPr="00261095" w:rsidTr="00A061DF">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hideMark/>
          </w:tcPr>
          <w:p w:rsidR="00FF6B17" w:rsidRPr="00261095" w:rsidRDefault="00FF6B17" w:rsidP="00FF6B17">
            <w:pPr>
              <w:rPr>
                <w:rFonts w:ascii="Arial" w:hAnsi="Arial" w:cs="Arial"/>
                <w:color w:val="000000"/>
                <w:lang w:val="en-GB"/>
              </w:rPr>
            </w:pPr>
            <w:r w:rsidRPr="00261095">
              <w:rPr>
                <w:rFonts w:ascii="Arial" w:hAnsi="Arial" w:cs="Arial"/>
                <w:color w:val="000000"/>
                <w:lang w:val="en-GB"/>
              </w:rPr>
              <w:t>March 2012</w:t>
            </w:r>
          </w:p>
        </w:tc>
        <w:tc>
          <w:tcPr>
            <w:tcW w:w="1636"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198.70</w:t>
            </w:r>
          </w:p>
        </w:tc>
        <w:tc>
          <w:tcPr>
            <w:tcW w:w="2340"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149.60</w:t>
            </w:r>
          </w:p>
        </w:tc>
      </w:tr>
      <w:tr w:rsidR="00FF6B17" w:rsidRPr="00261095" w:rsidTr="00A061DF">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hideMark/>
          </w:tcPr>
          <w:p w:rsidR="00FF6B17" w:rsidRPr="00261095" w:rsidRDefault="00FF6B17" w:rsidP="00FF6B17">
            <w:pPr>
              <w:rPr>
                <w:rFonts w:ascii="Arial" w:hAnsi="Arial" w:cs="Arial"/>
                <w:color w:val="000000"/>
                <w:lang w:val="en-GB"/>
              </w:rPr>
            </w:pPr>
            <w:r w:rsidRPr="00261095">
              <w:rPr>
                <w:rFonts w:ascii="Arial" w:hAnsi="Arial" w:cs="Arial"/>
                <w:color w:val="000000"/>
                <w:lang w:val="en-GB"/>
              </w:rPr>
              <w:t>April 2012</w:t>
            </w:r>
          </w:p>
        </w:tc>
        <w:tc>
          <w:tcPr>
            <w:tcW w:w="1636"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173.00</w:t>
            </w:r>
          </w:p>
        </w:tc>
        <w:tc>
          <w:tcPr>
            <w:tcW w:w="2340"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124.80</w:t>
            </w:r>
          </w:p>
        </w:tc>
      </w:tr>
      <w:tr w:rsidR="00FF6B17" w:rsidRPr="00261095" w:rsidTr="00A061DF">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hideMark/>
          </w:tcPr>
          <w:p w:rsidR="00FF6B17" w:rsidRPr="00261095" w:rsidRDefault="00FF6B17" w:rsidP="00FF6B17">
            <w:pPr>
              <w:rPr>
                <w:rFonts w:ascii="Arial" w:hAnsi="Arial" w:cs="Arial"/>
                <w:color w:val="000000"/>
                <w:lang w:val="en-GB"/>
              </w:rPr>
            </w:pPr>
            <w:r w:rsidRPr="00261095">
              <w:rPr>
                <w:rFonts w:ascii="Arial" w:hAnsi="Arial" w:cs="Arial"/>
                <w:color w:val="000000"/>
                <w:lang w:val="en-GB"/>
              </w:rPr>
              <w:t>May 2012E</w:t>
            </w:r>
          </w:p>
        </w:tc>
        <w:tc>
          <w:tcPr>
            <w:tcW w:w="1636"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178.30</w:t>
            </w:r>
          </w:p>
        </w:tc>
        <w:tc>
          <w:tcPr>
            <w:tcW w:w="2340"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128.40</w:t>
            </w:r>
          </w:p>
        </w:tc>
      </w:tr>
      <w:tr w:rsidR="00FF6B17" w:rsidRPr="00261095" w:rsidTr="00A061DF">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hideMark/>
          </w:tcPr>
          <w:p w:rsidR="00FF6B17" w:rsidRPr="00261095" w:rsidRDefault="00FF6B17" w:rsidP="00FF6B17">
            <w:pPr>
              <w:rPr>
                <w:rFonts w:ascii="Arial" w:hAnsi="Arial" w:cs="Arial"/>
                <w:color w:val="000000"/>
                <w:lang w:val="en-GB"/>
              </w:rPr>
            </w:pPr>
            <w:r w:rsidRPr="00261095">
              <w:rPr>
                <w:rFonts w:ascii="Arial" w:hAnsi="Arial" w:cs="Arial"/>
                <w:color w:val="000000"/>
                <w:lang w:val="en-GB"/>
              </w:rPr>
              <w:t>June 2012E</w:t>
            </w:r>
          </w:p>
        </w:tc>
        <w:tc>
          <w:tcPr>
            <w:tcW w:w="1636"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177.10</w:t>
            </w:r>
          </w:p>
        </w:tc>
        <w:tc>
          <w:tcPr>
            <w:tcW w:w="2340"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121.20</w:t>
            </w:r>
          </w:p>
        </w:tc>
      </w:tr>
      <w:tr w:rsidR="00FF6B17" w:rsidRPr="00261095" w:rsidTr="00A061DF">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hideMark/>
          </w:tcPr>
          <w:p w:rsidR="00FF6B17" w:rsidRPr="00261095" w:rsidRDefault="00FF6B17" w:rsidP="00FF6B17">
            <w:pPr>
              <w:rPr>
                <w:rFonts w:ascii="Arial" w:hAnsi="Arial" w:cs="Arial"/>
                <w:color w:val="000000"/>
                <w:lang w:val="en-GB"/>
              </w:rPr>
            </w:pPr>
            <w:r w:rsidRPr="00261095">
              <w:rPr>
                <w:rFonts w:ascii="Arial" w:hAnsi="Arial" w:cs="Arial"/>
                <w:color w:val="000000"/>
                <w:lang w:val="en-GB"/>
              </w:rPr>
              <w:t>July 2012E</w:t>
            </w:r>
          </w:p>
        </w:tc>
        <w:tc>
          <w:tcPr>
            <w:tcW w:w="1636"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174.30</w:t>
            </w:r>
          </w:p>
        </w:tc>
        <w:tc>
          <w:tcPr>
            <w:tcW w:w="2340"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114.00</w:t>
            </w:r>
          </w:p>
        </w:tc>
      </w:tr>
      <w:tr w:rsidR="00FF6B17" w:rsidRPr="00261095" w:rsidTr="00A061DF">
        <w:trPr>
          <w:trHeight w:val="300"/>
        </w:trPr>
        <w:tc>
          <w:tcPr>
            <w:tcW w:w="1586" w:type="dxa"/>
            <w:tcBorders>
              <w:top w:val="nil"/>
              <w:left w:val="single" w:sz="4" w:space="0" w:color="auto"/>
              <w:bottom w:val="single" w:sz="4" w:space="0" w:color="auto"/>
              <w:right w:val="single" w:sz="4" w:space="0" w:color="auto"/>
            </w:tcBorders>
            <w:shd w:val="clear" w:color="auto" w:fill="auto"/>
            <w:noWrap/>
            <w:vAlign w:val="center"/>
            <w:hideMark/>
          </w:tcPr>
          <w:p w:rsidR="00FF6B17" w:rsidRPr="00261095" w:rsidRDefault="00FF6B17" w:rsidP="00FF6B17">
            <w:pPr>
              <w:rPr>
                <w:rFonts w:ascii="Arial" w:hAnsi="Arial" w:cs="Arial"/>
                <w:color w:val="000000"/>
                <w:lang w:val="en-GB"/>
              </w:rPr>
            </w:pPr>
            <w:r w:rsidRPr="00261095">
              <w:rPr>
                <w:rFonts w:ascii="Arial" w:hAnsi="Arial" w:cs="Arial"/>
                <w:color w:val="000000"/>
                <w:lang w:val="en-GB"/>
              </w:rPr>
              <w:t>August 2012E</w:t>
            </w:r>
          </w:p>
        </w:tc>
        <w:tc>
          <w:tcPr>
            <w:tcW w:w="1636"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173.90</w:t>
            </w:r>
          </w:p>
        </w:tc>
        <w:tc>
          <w:tcPr>
            <w:tcW w:w="2340" w:type="dxa"/>
            <w:tcBorders>
              <w:top w:val="nil"/>
              <w:left w:val="nil"/>
              <w:bottom w:val="single" w:sz="4" w:space="0" w:color="auto"/>
              <w:right w:val="single" w:sz="4" w:space="0" w:color="auto"/>
            </w:tcBorders>
            <w:shd w:val="clear" w:color="auto" w:fill="auto"/>
            <w:noWrap/>
            <w:vAlign w:val="center"/>
            <w:hideMark/>
          </w:tcPr>
          <w:p w:rsidR="00FF6B17" w:rsidRPr="00261095" w:rsidRDefault="00FF6B17" w:rsidP="00A061DF">
            <w:pPr>
              <w:jc w:val="right"/>
              <w:rPr>
                <w:rFonts w:ascii="Arial" w:hAnsi="Arial" w:cs="Arial"/>
                <w:color w:val="000000"/>
                <w:lang w:val="en-GB"/>
              </w:rPr>
            </w:pPr>
            <w:r w:rsidRPr="00261095">
              <w:rPr>
                <w:rFonts w:ascii="Arial" w:hAnsi="Arial" w:cs="Arial"/>
                <w:color w:val="000000"/>
                <w:lang w:val="en-GB"/>
              </w:rPr>
              <w:t>110.10</w:t>
            </w:r>
          </w:p>
        </w:tc>
      </w:tr>
    </w:tbl>
    <w:p w:rsidR="00261095" w:rsidRDefault="00261095" w:rsidP="00817E62">
      <w:pPr>
        <w:pStyle w:val="BodyTextMain"/>
        <w:rPr>
          <w:lang w:val="en-GB"/>
        </w:rPr>
      </w:pPr>
    </w:p>
    <w:p w:rsidR="00C46532" w:rsidRDefault="00C46532" w:rsidP="00817E62">
      <w:pPr>
        <w:pStyle w:val="BodyTextMain"/>
        <w:rPr>
          <w:lang w:val="en-GB"/>
        </w:rPr>
      </w:pPr>
    </w:p>
    <w:p w:rsidR="00C46532" w:rsidRDefault="00C46532" w:rsidP="00817E62">
      <w:pPr>
        <w:pStyle w:val="BodyTextMain"/>
        <w:rPr>
          <w:lang w:val="en-GB"/>
        </w:rPr>
      </w:pPr>
    </w:p>
    <w:p w:rsidR="00C46532" w:rsidRDefault="00C46532" w:rsidP="00817E62">
      <w:pPr>
        <w:pStyle w:val="BodyTextMain"/>
        <w:rPr>
          <w:lang w:val="en-GB"/>
        </w:rPr>
      </w:pPr>
    </w:p>
    <w:p w:rsidR="00C46532" w:rsidRDefault="00C46532" w:rsidP="00817E62">
      <w:pPr>
        <w:pStyle w:val="BodyTextMain"/>
        <w:rPr>
          <w:lang w:val="en-GB"/>
        </w:rPr>
      </w:pPr>
    </w:p>
    <w:p w:rsidR="00C46532" w:rsidRDefault="00C46532" w:rsidP="00817E62">
      <w:pPr>
        <w:pStyle w:val="BodyTextMain"/>
        <w:rPr>
          <w:lang w:val="en-GB"/>
        </w:rPr>
      </w:pPr>
    </w:p>
    <w:p w:rsidR="00C46532" w:rsidRDefault="00C46532" w:rsidP="00817E62">
      <w:pPr>
        <w:pStyle w:val="BodyTextMain"/>
        <w:rPr>
          <w:lang w:val="en-GB"/>
        </w:rPr>
      </w:pPr>
    </w:p>
    <w:p w:rsidR="00C46532" w:rsidRDefault="00C46532" w:rsidP="00817E62">
      <w:pPr>
        <w:pStyle w:val="BodyTextMain"/>
        <w:rPr>
          <w:lang w:val="en-GB"/>
        </w:rPr>
      </w:pPr>
    </w:p>
    <w:p w:rsidR="00C46532" w:rsidRDefault="00C46532" w:rsidP="00817E62">
      <w:pPr>
        <w:pStyle w:val="BodyTextMain"/>
        <w:rPr>
          <w:lang w:val="en-GB"/>
        </w:rPr>
      </w:pPr>
    </w:p>
    <w:p w:rsidR="00C46532" w:rsidRDefault="00C46532" w:rsidP="00817E62">
      <w:pPr>
        <w:pStyle w:val="BodyTextMain"/>
        <w:rPr>
          <w:lang w:val="en-GB"/>
        </w:rPr>
      </w:pPr>
    </w:p>
    <w:p w:rsidR="00C46532" w:rsidRDefault="00C46532" w:rsidP="00817E62">
      <w:pPr>
        <w:pStyle w:val="BodyTextMain"/>
        <w:rPr>
          <w:lang w:val="en-GB"/>
        </w:rPr>
      </w:pPr>
    </w:p>
    <w:p w:rsidR="00C46532" w:rsidRDefault="00C46532" w:rsidP="00817E62">
      <w:pPr>
        <w:pStyle w:val="BodyTextMain"/>
        <w:rPr>
          <w:lang w:val="en-GB"/>
        </w:rPr>
      </w:pPr>
    </w:p>
    <w:p w:rsidR="00261095" w:rsidRPr="00261095" w:rsidRDefault="00261095" w:rsidP="00261095">
      <w:pPr>
        <w:tabs>
          <w:tab w:val="left" w:pos="-1440"/>
          <w:tab w:val="left" w:pos="-720"/>
          <w:tab w:val="left" w:pos="1"/>
          <w:tab w:val="right" w:pos="9000"/>
        </w:tabs>
        <w:jc w:val="both"/>
        <w:rPr>
          <w:rFonts w:ascii="Arial" w:hAnsi="Arial" w:cs="Arial"/>
          <w:iCs/>
          <w:sz w:val="17"/>
          <w:szCs w:val="17"/>
          <w:lang w:val="en-GB"/>
        </w:rPr>
      </w:pPr>
    </w:p>
    <w:p w:rsidR="00261095" w:rsidRPr="00261095" w:rsidRDefault="00261095" w:rsidP="00261095">
      <w:pPr>
        <w:tabs>
          <w:tab w:val="left" w:pos="-1440"/>
          <w:tab w:val="left" w:pos="-720"/>
          <w:tab w:val="left" w:pos="1"/>
          <w:tab w:val="right" w:pos="9000"/>
        </w:tabs>
        <w:jc w:val="both"/>
        <w:rPr>
          <w:rFonts w:ascii="Arial" w:hAnsi="Arial" w:cs="Arial"/>
          <w:iCs/>
          <w:sz w:val="17"/>
          <w:szCs w:val="17"/>
          <w:lang w:val="en-GB"/>
        </w:rPr>
      </w:pPr>
      <w:r w:rsidRPr="00261095">
        <w:rPr>
          <w:rFonts w:ascii="Arial" w:hAnsi="Arial" w:cs="Arial"/>
          <w:iCs/>
          <w:sz w:val="17"/>
          <w:szCs w:val="17"/>
          <w:lang w:val="en-GB"/>
        </w:rPr>
        <w:t>Note: E = estimate</w:t>
      </w:r>
    </w:p>
    <w:p w:rsidR="00261095" w:rsidRPr="00261095" w:rsidRDefault="00261095" w:rsidP="00261095">
      <w:pPr>
        <w:tabs>
          <w:tab w:val="left" w:pos="-1440"/>
          <w:tab w:val="left" w:pos="-720"/>
          <w:tab w:val="left" w:pos="1"/>
          <w:tab w:val="right" w:pos="9000"/>
        </w:tabs>
        <w:jc w:val="both"/>
        <w:rPr>
          <w:rFonts w:ascii="Arial" w:hAnsi="Arial" w:cs="Arial"/>
          <w:iCs/>
          <w:sz w:val="17"/>
          <w:szCs w:val="17"/>
          <w:lang w:val="en-GB"/>
        </w:rPr>
      </w:pPr>
      <w:r w:rsidRPr="00261095">
        <w:rPr>
          <w:rFonts w:ascii="Arial" w:hAnsi="Arial" w:cs="Arial"/>
          <w:iCs/>
          <w:sz w:val="17"/>
          <w:szCs w:val="17"/>
          <w:lang w:val="en-GB"/>
        </w:rPr>
        <w:t>Source: “Database on Indian Economy,” Reserve Bank of India, accessed July 8, 2015, https://dbie.rbi.org.in/DBIE/dbie.rbi?site=home.</w:t>
      </w:r>
    </w:p>
    <w:p w:rsidR="00261095" w:rsidRDefault="00261095" w:rsidP="00817E62">
      <w:pPr>
        <w:pStyle w:val="BodyTextMain"/>
        <w:rPr>
          <w:lang w:val="en-GB"/>
        </w:rPr>
      </w:pPr>
    </w:p>
    <w:p w:rsidR="00261095" w:rsidRPr="00261095" w:rsidRDefault="00261095" w:rsidP="00817E62">
      <w:pPr>
        <w:pStyle w:val="BodyTextMain"/>
        <w:rPr>
          <w:lang w:val="en-GB"/>
        </w:rPr>
      </w:pPr>
    </w:p>
    <w:p w:rsidR="00261095" w:rsidRPr="00261095" w:rsidRDefault="00261095" w:rsidP="00817E62">
      <w:pPr>
        <w:pStyle w:val="Casehead1"/>
        <w:jc w:val="center"/>
        <w:rPr>
          <w:lang w:val="en-GB"/>
        </w:rPr>
      </w:pPr>
      <w:r w:rsidRPr="00261095">
        <w:rPr>
          <w:lang w:val="en-GB"/>
        </w:rPr>
        <w:t>Exhibit 13b: Median Forecasts of Selected Macroeconomics Indicators</w:t>
      </w:r>
    </w:p>
    <w:p w:rsidR="00261095" w:rsidRPr="00261095" w:rsidRDefault="00261095" w:rsidP="00817E62">
      <w:pPr>
        <w:pStyle w:val="BodyTextMain"/>
        <w:rPr>
          <w:lang w:val="en-GB"/>
        </w:rPr>
      </w:pPr>
    </w:p>
    <w:tbl>
      <w:tblPr>
        <w:tblW w:w="7636" w:type="dxa"/>
        <w:jc w:val="center"/>
        <w:tblInd w:w="259" w:type="dxa"/>
        <w:tblLook w:val="04A0" w:firstRow="1" w:lastRow="0" w:firstColumn="1" w:lastColumn="0" w:noHBand="0" w:noVBand="1"/>
      </w:tblPr>
      <w:tblGrid>
        <w:gridCol w:w="4253"/>
        <w:gridCol w:w="903"/>
        <w:gridCol w:w="1260"/>
        <w:gridCol w:w="1220"/>
      </w:tblGrid>
      <w:tr w:rsidR="00261095" w:rsidRPr="00261095" w:rsidTr="00F167CC">
        <w:trPr>
          <w:trHeight w:val="300"/>
          <w:jc w:val="center"/>
        </w:trPr>
        <w:tc>
          <w:tcPr>
            <w:tcW w:w="425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61095" w:rsidRPr="00261095" w:rsidRDefault="00261095" w:rsidP="00261095">
            <w:pPr>
              <w:jc w:val="center"/>
              <w:rPr>
                <w:rFonts w:ascii="Arial" w:hAnsi="Arial" w:cs="Arial"/>
                <w:color w:val="000000"/>
                <w:lang w:val="en-GB"/>
              </w:rPr>
            </w:pPr>
          </w:p>
        </w:tc>
        <w:tc>
          <w:tcPr>
            <w:tcW w:w="903" w:type="dxa"/>
            <w:vMerge w:val="restart"/>
            <w:tcBorders>
              <w:top w:val="single" w:sz="4" w:space="0" w:color="auto"/>
              <w:left w:val="nil"/>
              <w:right w:val="single" w:sz="4" w:space="0" w:color="auto"/>
            </w:tcBorders>
            <w:shd w:val="clear" w:color="auto" w:fill="auto"/>
            <w:noWrap/>
            <w:vAlign w:val="center"/>
            <w:hideMark/>
          </w:tcPr>
          <w:p w:rsidR="00261095" w:rsidRPr="00261095" w:rsidRDefault="00261095" w:rsidP="00261095">
            <w:pPr>
              <w:jc w:val="center"/>
              <w:rPr>
                <w:rFonts w:ascii="Arial" w:hAnsi="Arial" w:cs="Arial"/>
                <w:b/>
                <w:color w:val="000000"/>
                <w:lang w:val="en-GB"/>
              </w:rPr>
            </w:pPr>
            <w:r w:rsidRPr="00261095">
              <w:rPr>
                <w:rFonts w:ascii="Arial" w:hAnsi="Arial" w:cs="Arial"/>
                <w:b/>
                <w:color w:val="000000"/>
                <w:lang w:val="en-GB"/>
              </w:rPr>
              <w:t>Actual</w:t>
            </w:r>
          </w:p>
        </w:tc>
        <w:tc>
          <w:tcPr>
            <w:tcW w:w="2480" w:type="dxa"/>
            <w:gridSpan w:val="2"/>
            <w:tcBorders>
              <w:top w:val="single" w:sz="4" w:space="0" w:color="auto"/>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b/>
                <w:color w:val="000000"/>
                <w:lang w:val="en-GB"/>
              </w:rPr>
            </w:pPr>
            <w:r w:rsidRPr="00261095">
              <w:rPr>
                <w:rFonts w:ascii="Arial" w:hAnsi="Arial" w:cs="Arial"/>
                <w:b/>
                <w:color w:val="000000"/>
                <w:lang w:val="en-GB"/>
              </w:rPr>
              <w:t>Annual Forecasts</w:t>
            </w:r>
          </w:p>
        </w:tc>
      </w:tr>
      <w:tr w:rsidR="00261095" w:rsidRPr="00261095" w:rsidTr="00F167CC">
        <w:trPr>
          <w:trHeight w:val="300"/>
          <w:jc w:val="center"/>
        </w:trPr>
        <w:tc>
          <w:tcPr>
            <w:tcW w:w="4253" w:type="dxa"/>
            <w:vMerge/>
            <w:tcBorders>
              <w:top w:val="single" w:sz="4" w:space="0" w:color="auto"/>
              <w:left w:val="single" w:sz="4" w:space="0" w:color="auto"/>
              <w:bottom w:val="single" w:sz="4" w:space="0" w:color="000000"/>
              <w:right w:val="single" w:sz="4" w:space="0" w:color="auto"/>
            </w:tcBorders>
            <w:vAlign w:val="center"/>
            <w:hideMark/>
          </w:tcPr>
          <w:p w:rsidR="00261095" w:rsidRPr="00261095" w:rsidRDefault="00261095" w:rsidP="00261095">
            <w:pPr>
              <w:rPr>
                <w:rFonts w:ascii="Arial" w:hAnsi="Arial" w:cs="Arial"/>
                <w:color w:val="000000"/>
                <w:lang w:val="en-GB"/>
              </w:rPr>
            </w:pPr>
          </w:p>
        </w:tc>
        <w:tc>
          <w:tcPr>
            <w:tcW w:w="903" w:type="dxa"/>
            <w:vMerge/>
            <w:tcBorders>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b/>
                <w:color w:val="000000"/>
                <w:lang w:val="en-GB"/>
              </w:rPr>
            </w:pPr>
          </w:p>
        </w:tc>
        <w:tc>
          <w:tcPr>
            <w:tcW w:w="1260" w:type="dxa"/>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b/>
                <w:color w:val="000000"/>
                <w:lang w:val="en-GB"/>
              </w:rPr>
            </w:pPr>
            <w:r w:rsidRPr="00261095">
              <w:rPr>
                <w:rFonts w:ascii="Arial" w:hAnsi="Arial" w:cs="Arial"/>
                <w:b/>
                <w:color w:val="000000"/>
                <w:lang w:val="en-GB"/>
              </w:rPr>
              <w:t>2011–12</w:t>
            </w:r>
          </w:p>
        </w:tc>
        <w:tc>
          <w:tcPr>
            <w:tcW w:w="1220" w:type="dxa"/>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b/>
                <w:color w:val="000000"/>
                <w:lang w:val="en-GB"/>
              </w:rPr>
            </w:pPr>
            <w:r w:rsidRPr="00261095">
              <w:rPr>
                <w:rFonts w:ascii="Arial" w:hAnsi="Arial" w:cs="Arial"/>
                <w:b/>
                <w:color w:val="000000"/>
                <w:lang w:val="en-GB"/>
              </w:rPr>
              <w:t>2012–13</w:t>
            </w:r>
          </w:p>
        </w:tc>
      </w:tr>
      <w:tr w:rsidR="00261095" w:rsidRPr="00261095" w:rsidTr="00F167CC">
        <w:trPr>
          <w:trHeight w:val="288"/>
          <w:jc w:val="center"/>
        </w:trPr>
        <w:tc>
          <w:tcPr>
            <w:tcW w:w="4253" w:type="dxa"/>
            <w:tcBorders>
              <w:top w:val="nil"/>
              <w:left w:val="single" w:sz="4" w:space="0" w:color="auto"/>
              <w:bottom w:val="single" w:sz="4" w:space="0" w:color="auto"/>
              <w:right w:val="single" w:sz="4" w:space="0" w:color="auto"/>
            </w:tcBorders>
            <w:shd w:val="clear" w:color="auto" w:fill="auto"/>
            <w:vAlign w:val="center"/>
            <w:hideMark/>
          </w:tcPr>
          <w:p w:rsidR="00261095" w:rsidRPr="00261095" w:rsidRDefault="00261095" w:rsidP="00261095">
            <w:pPr>
              <w:rPr>
                <w:rFonts w:ascii="Arial" w:hAnsi="Arial" w:cs="Arial"/>
                <w:color w:val="000000"/>
                <w:lang w:val="en-GB"/>
              </w:rPr>
            </w:pPr>
            <w:r w:rsidRPr="00261095">
              <w:rPr>
                <w:rFonts w:ascii="Arial" w:hAnsi="Arial" w:cs="Arial"/>
                <w:color w:val="000000"/>
                <w:lang w:val="en-GB"/>
              </w:rPr>
              <w:t>Real GDP Growth Rate at Factor Cost (%)</w:t>
            </w:r>
          </w:p>
        </w:tc>
        <w:tc>
          <w:tcPr>
            <w:tcW w:w="903" w:type="dxa"/>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8.4</w:t>
            </w:r>
          </w:p>
        </w:tc>
        <w:tc>
          <w:tcPr>
            <w:tcW w:w="1260" w:type="dxa"/>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6.9</w:t>
            </w:r>
          </w:p>
        </w:tc>
        <w:tc>
          <w:tcPr>
            <w:tcW w:w="1220" w:type="dxa"/>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7.2</w:t>
            </w:r>
          </w:p>
        </w:tc>
      </w:tr>
      <w:tr w:rsidR="00261095" w:rsidRPr="00261095" w:rsidTr="00F167CC">
        <w:trPr>
          <w:trHeight w:val="288"/>
          <w:jc w:val="center"/>
        </w:trPr>
        <w:tc>
          <w:tcPr>
            <w:tcW w:w="4253" w:type="dxa"/>
            <w:tcBorders>
              <w:top w:val="nil"/>
              <w:left w:val="single" w:sz="4" w:space="0" w:color="auto"/>
              <w:bottom w:val="single" w:sz="4" w:space="0" w:color="auto"/>
              <w:right w:val="single" w:sz="4" w:space="0" w:color="auto"/>
            </w:tcBorders>
            <w:shd w:val="clear" w:color="auto" w:fill="auto"/>
            <w:vAlign w:val="center"/>
            <w:hideMark/>
          </w:tcPr>
          <w:p w:rsidR="00261095" w:rsidRPr="00261095" w:rsidRDefault="00261095" w:rsidP="00261095">
            <w:pPr>
              <w:rPr>
                <w:rFonts w:ascii="Arial" w:hAnsi="Arial" w:cs="Arial"/>
                <w:color w:val="000000"/>
                <w:lang w:val="en-GB"/>
              </w:rPr>
            </w:pPr>
            <w:r w:rsidRPr="00261095">
              <w:rPr>
                <w:rFonts w:ascii="Arial" w:hAnsi="Arial" w:cs="Arial"/>
                <w:color w:val="000000"/>
                <w:lang w:val="en-GB"/>
              </w:rPr>
              <w:t>Treasury Bill, 91 Days’ Yield (% at Year-End)</w:t>
            </w:r>
          </w:p>
        </w:tc>
        <w:tc>
          <w:tcPr>
            <w:tcW w:w="903" w:type="dxa"/>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8.2</w:t>
            </w:r>
          </w:p>
        </w:tc>
        <w:tc>
          <w:tcPr>
            <w:tcW w:w="1260" w:type="dxa"/>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8.8</w:t>
            </w:r>
          </w:p>
        </w:tc>
        <w:tc>
          <w:tcPr>
            <w:tcW w:w="1220" w:type="dxa"/>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7.9</w:t>
            </w:r>
          </w:p>
        </w:tc>
      </w:tr>
      <w:tr w:rsidR="00261095" w:rsidRPr="00261095" w:rsidTr="00F167CC">
        <w:trPr>
          <w:trHeight w:val="288"/>
          <w:jc w:val="center"/>
        </w:trPr>
        <w:tc>
          <w:tcPr>
            <w:tcW w:w="4253" w:type="dxa"/>
            <w:tcBorders>
              <w:top w:val="nil"/>
              <w:left w:val="single" w:sz="4" w:space="0" w:color="auto"/>
              <w:bottom w:val="single" w:sz="4" w:space="0" w:color="auto"/>
              <w:right w:val="single" w:sz="4" w:space="0" w:color="auto"/>
            </w:tcBorders>
            <w:shd w:val="clear" w:color="auto" w:fill="auto"/>
            <w:noWrap/>
            <w:vAlign w:val="center"/>
            <w:hideMark/>
          </w:tcPr>
          <w:p w:rsidR="00261095" w:rsidRPr="00261095" w:rsidRDefault="00261095" w:rsidP="00261095">
            <w:pPr>
              <w:rPr>
                <w:rFonts w:ascii="Arial" w:hAnsi="Arial" w:cs="Arial"/>
                <w:color w:val="000000"/>
                <w:lang w:val="en-GB"/>
              </w:rPr>
            </w:pPr>
            <w:r w:rsidRPr="00261095">
              <w:rPr>
                <w:rFonts w:ascii="Arial" w:hAnsi="Arial" w:cs="Arial"/>
                <w:color w:val="000000"/>
                <w:lang w:val="en-GB"/>
              </w:rPr>
              <w:t>10-Year Guaranteed Security Yield (%)</w:t>
            </w:r>
          </w:p>
        </w:tc>
        <w:tc>
          <w:tcPr>
            <w:tcW w:w="903" w:type="dxa"/>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8.4</w:t>
            </w:r>
          </w:p>
        </w:tc>
        <w:tc>
          <w:tcPr>
            <w:tcW w:w="1260" w:type="dxa"/>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8.4</w:t>
            </w:r>
          </w:p>
        </w:tc>
        <w:tc>
          <w:tcPr>
            <w:tcW w:w="1220" w:type="dxa"/>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8.2</w:t>
            </w:r>
          </w:p>
        </w:tc>
      </w:tr>
    </w:tbl>
    <w:p w:rsidR="00261095" w:rsidRPr="00261095" w:rsidRDefault="00261095" w:rsidP="00261095">
      <w:pPr>
        <w:tabs>
          <w:tab w:val="left" w:pos="-1440"/>
          <w:tab w:val="left" w:pos="-720"/>
          <w:tab w:val="left" w:pos="1"/>
          <w:tab w:val="right" w:pos="9000"/>
        </w:tabs>
        <w:jc w:val="both"/>
        <w:rPr>
          <w:rFonts w:ascii="Arial" w:hAnsi="Arial" w:cs="Arial"/>
          <w:iCs/>
          <w:sz w:val="17"/>
          <w:szCs w:val="17"/>
          <w:lang w:val="en-GB"/>
        </w:rPr>
      </w:pPr>
    </w:p>
    <w:p w:rsidR="00261095" w:rsidRPr="00261095" w:rsidRDefault="00261095" w:rsidP="00261095">
      <w:pPr>
        <w:tabs>
          <w:tab w:val="left" w:pos="-1440"/>
          <w:tab w:val="left" w:pos="-720"/>
          <w:tab w:val="left" w:pos="1"/>
          <w:tab w:val="right" w:pos="9000"/>
        </w:tabs>
        <w:jc w:val="both"/>
        <w:rPr>
          <w:rFonts w:ascii="Arial" w:hAnsi="Arial" w:cs="Arial"/>
          <w:iCs/>
          <w:sz w:val="17"/>
          <w:szCs w:val="17"/>
          <w:lang w:val="en-GB"/>
        </w:rPr>
      </w:pPr>
      <w:r w:rsidRPr="00261095">
        <w:rPr>
          <w:rFonts w:ascii="Arial" w:hAnsi="Arial" w:cs="Arial"/>
          <w:iCs/>
          <w:sz w:val="17"/>
          <w:szCs w:val="17"/>
          <w:lang w:val="en-GB"/>
        </w:rPr>
        <w:t>Note: GDP = gross domestic product</w:t>
      </w:r>
    </w:p>
    <w:p w:rsidR="00261095" w:rsidRPr="00261095" w:rsidRDefault="00261095" w:rsidP="00261095">
      <w:pPr>
        <w:tabs>
          <w:tab w:val="left" w:pos="-1440"/>
          <w:tab w:val="left" w:pos="-720"/>
          <w:tab w:val="left" w:pos="1"/>
          <w:tab w:val="right" w:pos="9000"/>
        </w:tabs>
        <w:jc w:val="both"/>
        <w:rPr>
          <w:rFonts w:ascii="Arial" w:hAnsi="Arial" w:cs="Arial"/>
          <w:iCs/>
          <w:sz w:val="17"/>
          <w:szCs w:val="17"/>
          <w:lang w:val="en-GB"/>
        </w:rPr>
      </w:pPr>
      <w:r w:rsidRPr="00261095">
        <w:rPr>
          <w:rFonts w:ascii="Arial" w:hAnsi="Arial" w:cs="Arial"/>
          <w:iCs/>
          <w:sz w:val="17"/>
          <w:szCs w:val="17"/>
          <w:lang w:val="en-GB"/>
        </w:rPr>
        <w:t>Source: “Macroeconomic Outlook April 2012,” Reserve Bank of India, accessed July 8, 2015, https://dbie.rbi.org.in/DBIE/dbie.rbi?site=home.</w:t>
      </w:r>
    </w:p>
    <w:p w:rsidR="00261095" w:rsidRPr="00261095" w:rsidRDefault="00261095" w:rsidP="00261095">
      <w:pPr>
        <w:jc w:val="both"/>
        <w:rPr>
          <w:sz w:val="22"/>
          <w:szCs w:val="22"/>
          <w:lang w:val="en-GB"/>
        </w:rPr>
      </w:pPr>
    </w:p>
    <w:p w:rsidR="00261095" w:rsidRDefault="00261095">
      <w:pPr>
        <w:spacing w:after="200" w:line="276" w:lineRule="auto"/>
        <w:rPr>
          <w:lang w:val="en-GB"/>
        </w:rPr>
      </w:pPr>
      <w:r>
        <w:rPr>
          <w:lang w:val="en-GB"/>
        </w:rPr>
        <w:br w:type="page"/>
      </w:r>
    </w:p>
    <w:p w:rsidR="00261095" w:rsidRPr="00261095" w:rsidRDefault="00261095" w:rsidP="00817E62">
      <w:pPr>
        <w:pStyle w:val="Casehead1"/>
        <w:jc w:val="center"/>
        <w:rPr>
          <w:lang w:val="en-GB"/>
        </w:rPr>
      </w:pPr>
      <w:r w:rsidRPr="00261095">
        <w:rPr>
          <w:lang w:val="en-GB"/>
        </w:rPr>
        <w:lastRenderedPageBreak/>
        <w:t>Exhibit 14: Taxation Brackets for Individuals in India</w:t>
      </w:r>
    </w:p>
    <w:p w:rsidR="00261095" w:rsidRPr="00261095" w:rsidRDefault="00261095" w:rsidP="00817E62">
      <w:pPr>
        <w:pStyle w:val="BodyTextMain"/>
        <w:rPr>
          <w:lang w:val="en-GB"/>
        </w:rPr>
      </w:pPr>
    </w:p>
    <w:tbl>
      <w:tblPr>
        <w:tblW w:w="9461" w:type="dxa"/>
        <w:jc w:val="center"/>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8"/>
        <w:gridCol w:w="1800"/>
        <w:gridCol w:w="1800"/>
        <w:gridCol w:w="1893"/>
        <w:gridCol w:w="1170"/>
        <w:gridCol w:w="1170"/>
      </w:tblGrid>
      <w:tr w:rsidR="00261095" w:rsidRPr="00261095" w:rsidTr="00C46532">
        <w:trPr>
          <w:trHeight w:val="20"/>
          <w:jc w:val="center"/>
        </w:trPr>
        <w:tc>
          <w:tcPr>
            <w:tcW w:w="7121" w:type="dxa"/>
            <w:gridSpan w:val="4"/>
            <w:shd w:val="clear" w:color="auto" w:fill="auto"/>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Income Brackets (</w:t>
            </w:r>
            <w:r w:rsidRPr="00261095">
              <w:rPr>
                <w:rFonts w:ascii="Arial" w:hAnsi="Arial" w:cs="Arial"/>
                <w:b/>
                <w:color w:val="000000"/>
                <w:szCs w:val="18"/>
                <w:lang w:val="en-GB"/>
              </w:rPr>
              <w:t>in ₹ Million</w:t>
            </w:r>
            <w:r w:rsidRPr="00261095">
              <w:rPr>
                <w:rFonts w:ascii="Arial" w:hAnsi="Arial" w:cs="Arial"/>
                <w:b/>
                <w:lang w:val="en-GB"/>
              </w:rPr>
              <w:t>)</w:t>
            </w:r>
          </w:p>
          <w:p w:rsidR="00261095" w:rsidRPr="00261095" w:rsidRDefault="00261095" w:rsidP="00261095">
            <w:pPr>
              <w:jc w:val="center"/>
              <w:rPr>
                <w:rFonts w:ascii="Arial" w:hAnsi="Arial" w:cs="Arial"/>
                <w:b/>
                <w:lang w:val="en-GB"/>
              </w:rPr>
            </w:pPr>
            <w:r w:rsidRPr="00261095">
              <w:rPr>
                <w:rFonts w:ascii="Arial" w:hAnsi="Arial" w:cs="Arial"/>
                <w:b/>
                <w:lang w:val="en-GB"/>
              </w:rPr>
              <w:t>(as per Age and Gender)</w:t>
            </w:r>
          </w:p>
        </w:tc>
        <w:tc>
          <w:tcPr>
            <w:tcW w:w="2340" w:type="dxa"/>
            <w:gridSpan w:val="2"/>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Tax Rates</w:t>
            </w:r>
          </w:p>
          <w:p w:rsidR="00261095" w:rsidRPr="00261095" w:rsidRDefault="00261095" w:rsidP="00261095">
            <w:pPr>
              <w:jc w:val="center"/>
              <w:rPr>
                <w:rFonts w:ascii="Arial" w:hAnsi="Arial" w:cs="Arial"/>
                <w:b/>
                <w:lang w:val="en-GB"/>
              </w:rPr>
            </w:pPr>
            <w:r w:rsidRPr="00261095">
              <w:rPr>
                <w:rFonts w:ascii="Arial" w:hAnsi="Arial" w:cs="Arial"/>
                <w:b/>
                <w:lang w:val="en-GB"/>
              </w:rPr>
              <w:t>2012</w:t>
            </w:r>
          </w:p>
        </w:tc>
      </w:tr>
      <w:tr w:rsidR="00261095" w:rsidRPr="00261095" w:rsidTr="00C46532">
        <w:trPr>
          <w:trHeight w:val="20"/>
          <w:jc w:val="center"/>
        </w:trPr>
        <w:tc>
          <w:tcPr>
            <w:tcW w:w="1628" w:type="dxa"/>
            <w:shd w:val="clear" w:color="auto" w:fill="auto"/>
            <w:vAlign w:val="center"/>
          </w:tcPr>
          <w:p w:rsidR="00261095" w:rsidRPr="00261095" w:rsidRDefault="00261095" w:rsidP="00261095">
            <w:pPr>
              <w:ind w:left="-90"/>
              <w:jc w:val="center"/>
              <w:rPr>
                <w:rFonts w:ascii="Arial" w:hAnsi="Arial" w:cs="Arial"/>
                <w:b/>
                <w:lang w:val="en-GB"/>
              </w:rPr>
            </w:pPr>
            <w:r w:rsidRPr="00261095">
              <w:rPr>
                <w:rFonts w:ascii="Arial" w:hAnsi="Arial" w:cs="Arial"/>
                <w:b/>
                <w:lang w:val="en-GB"/>
              </w:rPr>
              <w:t>Less than 60 Years</w:t>
            </w:r>
          </w:p>
        </w:tc>
        <w:tc>
          <w:tcPr>
            <w:tcW w:w="1800" w:type="dxa"/>
            <w:shd w:val="clear" w:color="auto" w:fill="auto"/>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60–80 Years</w:t>
            </w:r>
          </w:p>
        </w:tc>
        <w:tc>
          <w:tcPr>
            <w:tcW w:w="1800" w:type="dxa"/>
            <w:shd w:val="clear" w:color="auto" w:fill="auto"/>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More than 80 Years</w:t>
            </w:r>
          </w:p>
        </w:tc>
        <w:tc>
          <w:tcPr>
            <w:tcW w:w="1893" w:type="dxa"/>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Women</w:t>
            </w:r>
          </w:p>
        </w:tc>
        <w:tc>
          <w:tcPr>
            <w:tcW w:w="1170" w:type="dxa"/>
            <w:shd w:val="clear" w:color="auto" w:fill="auto"/>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Ordinary</w:t>
            </w:r>
          </w:p>
          <w:p w:rsidR="00261095" w:rsidRPr="00261095" w:rsidRDefault="00261095" w:rsidP="00261095">
            <w:pPr>
              <w:jc w:val="center"/>
              <w:rPr>
                <w:rFonts w:ascii="Arial" w:hAnsi="Arial" w:cs="Arial"/>
                <w:b/>
                <w:lang w:val="en-GB"/>
              </w:rPr>
            </w:pPr>
            <w:r w:rsidRPr="00261095">
              <w:rPr>
                <w:rFonts w:ascii="Arial" w:hAnsi="Arial" w:cs="Arial"/>
                <w:b/>
                <w:lang w:val="en-GB"/>
              </w:rPr>
              <w:t>Citizen</w:t>
            </w:r>
          </w:p>
        </w:tc>
        <w:tc>
          <w:tcPr>
            <w:tcW w:w="1170" w:type="dxa"/>
          </w:tcPr>
          <w:p w:rsidR="00261095" w:rsidRPr="00261095" w:rsidRDefault="00261095" w:rsidP="00261095">
            <w:pPr>
              <w:jc w:val="center"/>
              <w:rPr>
                <w:rFonts w:ascii="Arial" w:hAnsi="Arial" w:cs="Arial"/>
                <w:b/>
                <w:lang w:val="en-GB"/>
              </w:rPr>
            </w:pPr>
            <w:r w:rsidRPr="00261095">
              <w:rPr>
                <w:rFonts w:ascii="Arial" w:hAnsi="Arial" w:cs="Arial"/>
                <w:b/>
                <w:lang w:val="en-GB"/>
              </w:rPr>
              <w:t>Senior Citizen</w:t>
            </w:r>
          </w:p>
        </w:tc>
      </w:tr>
      <w:tr w:rsidR="00261095" w:rsidRPr="00261095" w:rsidTr="00C46532">
        <w:trPr>
          <w:trHeight w:val="20"/>
          <w:jc w:val="center"/>
        </w:trPr>
        <w:tc>
          <w:tcPr>
            <w:tcW w:w="1628"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0–0.18</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0–0.25</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0–0.50</w:t>
            </w:r>
          </w:p>
        </w:tc>
        <w:tc>
          <w:tcPr>
            <w:tcW w:w="1893" w:type="dxa"/>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0–0.19</w:t>
            </w:r>
          </w:p>
        </w:tc>
        <w:tc>
          <w:tcPr>
            <w:tcW w:w="1170" w:type="dxa"/>
            <w:shd w:val="clear" w:color="auto" w:fill="auto"/>
            <w:vAlign w:val="center"/>
          </w:tcPr>
          <w:p w:rsidR="00261095" w:rsidRPr="00261095" w:rsidRDefault="00261095" w:rsidP="00261095">
            <w:pPr>
              <w:jc w:val="center"/>
              <w:rPr>
                <w:rFonts w:ascii="Arial" w:hAnsi="Arial" w:cs="Arial"/>
                <w:lang w:val="en-GB"/>
              </w:rPr>
            </w:pPr>
            <w:r w:rsidRPr="00261095">
              <w:rPr>
                <w:rFonts w:ascii="Arial" w:hAnsi="Arial" w:cs="Arial"/>
                <w:lang w:val="en-GB"/>
              </w:rPr>
              <w:t>NIL</w:t>
            </w:r>
          </w:p>
        </w:tc>
        <w:tc>
          <w:tcPr>
            <w:tcW w:w="1170" w:type="dxa"/>
            <w:vAlign w:val="center"/>
          </w:tcPr>
          <w:p w:rsidR="00261095" w:rsidRPr="00261095" w:rsidRDefault="00261095" w:rsidP="00261095">
            <w:pPr>
              <w:jc w:val="center"/>
              <w:rPr>
                <w:rFonts w:ascii="Arial" w:hAnsi="Arial" w:cs="Arial"/>
                <w:lang w:val="en-GB"/>
              </w:rPr>
            </w:pPr>
            <w:r w:rsidRPr="00261095">
              <w:rPr>
                <w:rFonts w:ascii="Arial" w:hAnsi="Arial" w:cs="Arial"/>
                <w:lang w:val="en-GB"/>
              </w:rPr>
              <w:t>NIL</w:t>
            </w:r>
          </w:p>
        </w:tc>
      </w:tr>
      <w:tr w:rsidR="00261095" w:rsidRPr="00261095" w:rsidTr="00C46532">
        <w:trPr>
          <w:trHeight w:val="20"/>
          <w:jc w:val="center"/>
        </w:trPr>
        <w:tc>
          <w:tcPr>
            <w:tcW w:w="1628"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0.18–0.49</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0.25–0.50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0.50–0.80</w:t>
            </w:r>
          </w:p>
        </w:tc>
        <w:tc>
          <w:tcPr>
            <w:tcW w:w="1893" w:type="dxa"/>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0.16–0.49</w:t>
            </w:r>
          </w:p>
        </w:tc>
        <w:tc>
          <w:tcPr>
            <w:tcW w:w="1170" w:type="dxa"/>
            <w:shd w:val="clear" w:color="auto" w:fill="auto"/>
            <w:vAlign w:val="center"/>
          </w:tcPr>
          <w:p w:rsidR="00261095" w:rsidRPr="00261095" w:rsidRDefault="00261095" w:rsidP="00261095">
            <w:pPr>
              <w:jc w:val="center"/>
              <w:rPr>
                <w:rFonts w:ascii="Arial" w:hAnsi="Arial" w:cs="Arial"/>
                <w:lang w:val="en-GB"/>
              </w:rPr>
            </w:pPr>
            <w:r w:rsidRPr="00261095">
              <w:rPr>
                <w:rFonts w:ascii="Arial" w:hAnsi="Arial" w:cs="Arial"/>
                <w:lang w:val="en-GB"/>
              </w:rPr>
              <w:t>10%</w:t>
            </w:r>
          </w:p>
        </w:tc>
        <w:tc>
          <w:tcPr>
            <w:tcW w:w="1170" w:type="dxa"/>
            <w:vAlign w:val="center"/>
          </w:tcPr>
          <w:p w:rsidR="00261095" w:rsidRPr="00261095" w:rsidRDefault="00261095" w:rsidP="00261095">
            <w:pPr>
              <w:jc w:val="center"/>
              <w:rPr>
                <w:rFonts w:ascii="Arial" w:hAnsi="Arial" w:cs="Arial"/>
                <w:lang w:val="en-GB"/>
              </w:rPr>
            </w:pPr>
            <w:r w:rsidRPr="00261095">
              <w:rPr>
                <w:rFonts w:ascii="Arial" w:hAnsi="Arial" w:cs="Arial"/>
                <w:lang w:val="en-GB"/>
              </w:rPr>
              <w:t>20%</w:t>
            </w:r>
          </w:p>
        </w:tc>
      </w:tr>
      <w:tr w:rsidR="00261095" w:rsidRPr="00261095" w:rsidTr="00C46532">
        <w:trPr>
          <w:trHeight w:val="20"/>
          <w:jc w:val="center"/>
        </w:trPr>
        <w:tc>
          <w:tcPr>
            <w:tcW w:w="1628"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0.50–0.79</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0.50–0.80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More than 0.80</w:t>
            </w:r>
          </w:p>
        </w:tc>
        <w:tc>
          <w:tcPr>
            <w:tcW w:w="1893" w:type="dxa"/>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0.50–0.79</w:t>
            </w:r>
          </w:p>
        </w:tc>
        <w:tc>
          <w:tcPr>
            <w:tcW w:w="1170" w:type="dxa"/>
            <w:shd w:val="clear" w:color="auto" w:fill="auto"/>
            <w:vAlign w:val="center"/>
          </w:tcPr>
          <w:p w:rsidR="00261095" w:rsidRPr="00261095" w:rsidRDefault="00261095" w:rsidP="00261095">
            <w:pPr>
              <w:jc w:val="center"/>
              <w:rPr>
                <w:rFonts w:ascii="Arial" w:hAnsi="Arial" w:cs="Arial"/>
                <w:lang w:val="en-GB"/>
              </w:rPr>
            </w:pPr>
            <w:r w:rsidRPr="00261095">
              <w:rPr>
                <w:rFonts w:ascii="Arial" w:hAnsi="Arial" w:cs="Arial"/>
                <w:lang w:val="en-GB"/>
              </w:rPr>
              <w:t>20%</w:t>
            </w:r>
          </w:p>
        </w:tc>
        <w:tc>
          <w:tcPr>
            <w:tcW w:w="1170" w:type="dxa"/>
            <w:vAlign w:val="center"/>
          </w:tcPr>
          <w:p w:rsidR="00261095" w:rsidRPr="00261095" w:rsidRDefault="00261095" w:rsidP="00261095">
            <w:pPr>
              <w:jc w:val="center"/>
              <w:rPr>
                <w:rFonts w:ascii="Arial" w:hAnsi="Arial" w:cs="Arial"/>
                <w:lang w:val="en-GB"/>
              </w:rPr>
            </w:pPr>
            <w:r w:rsidRPr="00261095">
              <w:rPr>
                <w:rFonts w:ascii="Arial" w:hAnsi="Arial" w:cs="Arial"/>
                <w:lang w:val="en-GB"/>
              </w:rPr>
              <w:t>30%</w:t>
            </w:r>
          </w:p>
        </w:tc>
      </w:tr>
      <w:tr w:rsidR="00261095" w:rsidRPr="00261095" w:rsidTr="00C46532">
        <w:trPr>
          <w:trHeight w:val="20"/>
          <w:jc w:val="center"/>
        </w:trPr>
        <w:tc>
          <w:tcPr>
            <w:tcW w:w="1628"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More than 0.80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More than 0.80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p>
        </w:tc>
        <w:tc>
          <w:tcPr>
            <w:tcW w:w="1893" w:type="dxa"/>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More than 0.80</w:t>
            </w:r>
          </w:p>
        </w:tc>
        <w:tc>
          <w:tcPr>
            <w:tcW w:w="1170" w:type="dxa"/>
            <w:shd w:val="clear" w:color="auto" w:fill="auto"/>
            <w:vAlign w:val="center"/>
          </w:tcPr>
          <w:p w:rsidR="00261095" w:rsidRPr="00261095" w:rsidRDefault="00261095" w:rsidP="00261095">
            <w:pPr>
              <w:jc w:val="center"/>
              <w:rPr>
                <w:rFonts w:ascii="Arial" w:hAnsi="Arial" w:cs="Arial"/>
                <w:lang w:val="en-GB"/>
              </w:rPr>
            </w:pPr>
            <w:r w:rsidRPr="00261095">
              <w:rPr>
                <w:rFonts w:ascii="Arial" w:hAnsi="Arial" w:cs="Arial"/>
                <w:lang w:val="en-GB"/>
              </w:rPr>
              <w:t>30%</w:t>
            </w:r>
          </w:p>
        </w:tc>
        <w:tc>
          <w:tcPr>
            <w:tcW w:w="1170" w:type="dxa"/>
            <w:vAlign w:val="center"/>
          </w:tcPr>
          <w:p w:rsidR="00261095" w:rsidRPr="00261095" w:rsidRDefault="00261095" w:rsidP="00261095">
            <w:pPr>
              <w:jc w:val="center"/>
              <w:rPr>
                <w:rFonts w:ascii="Arial" w:hAnsi="Arial" w:cs="Arial"/>
                <w:lang w:val="en-GB"/>
              </w:rPr>
            </w:pPr>
          </w:p>
        </w:tc>
      </w:tr>
      <w:tr w:rsidR="00261095" w:rsidRPr="00261095" w:rsidTr="00C46532">
        <w:trPr>
          <w:trHeight w:val="20"/>
          <w:jc w:val="center"/>
        </w:trPr>
        <w:tc>
          <w:tcPr>
            <w:tcW w:w="1628" w:type="dxa"/>
            <w:shd w:val="clear" w:color="auto" w:fill="auto"/>
            <w:vAlign w:val="center"/>
          </w:tcPr>
          <w:p w:rsidR="00261095" w:rsidRPr="00FF6B17" w:rsidRDefault="00261095" w:rsidP="00261095">
            <w:pPr>
              <w:ind w:left="-90"/>
              <w:rPr>
                <w:rFonts w:ascii="Arial" w:hAnsi="Arial" w:cs="Arial"/>
                <w:sz w:val="16"/>
                <w:szCs w:val="16"/>
                <w:lang w:val="en-GB"/>
              </w:rPr>
            </w:pPr>
          </w:p>
        </w:tc>
        <w:tc>
          <w:tcPr>
            <w:tcW w:w="1800" w:type="dxa"/>
            <w:shd w:val="clear" w:color="auto" w:fill="auto"/>
            <w:vAlign w:val="center"/>
          </w:tcPr>
          <w:p w:rsidR="00261095" w:rsidRPr="00FF6B17" w:rsidRDefault="00261095" w:rsidP="00261095">
            <w:pPr>
              <w:jc w:val="center"/>
              <w:rPr>
                <w:rFonts w:ascii="Arial" w:hAnsi="Arial" w:cs="Arial"/>
                <w:sz w:val="16"/>
                <w:szCs w:val="16"/>
                <w:lang w:val="en-GB"/>
              </w:rPr>
            </w:pPr>
          </w:p>
        </w:tc>
        <w:tc>
          <w:tcPr>
            <w:tcW w:w="1800" w:type="dxa"/>
            <w:shd w:val="clear" w:color="auto" w:fill="auto"/>
            <w:vAlign w:val="center"/>
          </w:tcPr>
          <w:p w:rsidR="00261095" w:rsidRPr="00FF6B17" w:rsidRDefault="00261095" w:rsidP="00261095">
            <w:pPr>
              <w:jc w:val="center"/>
              <w:rPr>
                <w:rFonts w:ascii="Arial" w:hAnsi="Arial" w:cs="Arial"/>
                <w:sz w:val="16"/>
                <w:szCs w:val="16"/>
                <w:lang w:val="en-GB"/>
              </w:rPr>
            </w:pPr>
          </w:p>
        </w:tc>
        <w:tc>
          <w:tcPr>
            <w:tcW w:w="1893" w:type="dxa"/>
          </w:tcPr>
          <w:p w:rsidR="00261095" w:rsidRPr="00FF6B17" w:rsidRDefault="00261095" w:rsidP="00261095">
            <w:pPr>
              <w:jc w:val="center"/>
              <w:rPr>
                <w:rFonts w:ascii="Arial" w:hAnsi="Arial" w:cs="Arial"/>
                <w:sz w:val="16"/>
                <w:szCs w:val="16"/>
                <w:lang w:val="en-GB"/>
              </w:rPr>
            </w:pPr>
          </w:p>
        </w:tc>
        <w:tc>
          <w:tcPr>
            <w:tcW w:w="1170" w:type="dxa"/>
            <w:shd w:val="clear" w:color="auto" w:fill="auto"/>
            <w:vAlign w:val="center"/>
          </w:tcPr>
          <w:p w:rsidR="00261095" w:rsidRPr="00FF6B17" w:rsidRDefault="00261095" w:rsidP="00261095">
            <w:pPr>
              <w:jc w:val="center"/>
              <w:rPr>
                <w:rFonts w:ascii="Arial" w:hAnsi="Arial" w:cs="Arial"/>
                <w:sz w:val="16"/>
                <w:szCs w:val="16"/>
                <w:lang w:val="en-GB"/>
              </w:rPr>
            </w:pPr>
          </w:p>
        </w:tc>
        <w:tc>
          <w:tcPr>
            <w:tcW w:w="1170" w:type="dxa"/>
          </w:tcPr>
          <w:p w:rsidR="00261095" w:rsidRPr="00FF6B17" w:rsidRDefault="00261095" w:rsidP="00261095">
            <w:pPr>
              <w:jc w:val="center"/>
              <w:rPr>
                <w:rFonts w:ascii="Arial" w:hAnsi="Arial" w:cs="Arial"/>
                <w:sz w:val="16"/>
                <w:szCs w:val="16"/>
                <w:lang w:val="en-GB"/>
              </w:rPr>
            </w:pPr>
          </w:p>
        </w:tc>
      </w:tr>
      <w:tr w:rsidR="00261095" w:rsidRPr="00261095" w:rsidTr="00C46532">
        <w:trPr>
          <w:trHeight w:val="20"/>
          <w:jc w:val="center"/>
        </w:trPr>
        <w:tc>
          <w:tcPr>
            <w:tcW w:w="7121" w:type="dxa"/>
            <w:gridSpan w:val="4"/>
            <w:shd w:val="clear" w:color="auto" w:fill="auto"/>
            <w:vAlign w:val="center"/>
          </w:tcPr>
          <w:p w:rsidR="00261095" w:rsidRPr="00261095" w:rsidRDefault="00261095" w:rsidP="00261095">
            <w:pPr>
              <w:jc w:val="center"/>
              <w:rPr>
                <w:rFonts w:ascii="Arial" w:hAnsi="Arial" w:cs="Arial"/>
                <w:lang w:val="en-GB"/>
              </w:rPr>
            </w:pPr>
            <w:r w:rsidRPr="00261095">
              <w:rPr>
                <w:rFonts w:ascii="Arial" w:hAnsi="Arial" w:cs="Arial"/>
                <w:b/>
                <w:lang w:val="en-GB"/>
              </w:rPr>
              <w:t>Income Brackets (</w:t>
            </w:r>
            <w:r w:rsidRPr="00261095">
              <w:rPr>
                <w:rFonts w:ascii="Arial" w:hAnsi="Arial" w:cs="Arial"/>
                <w:b/>
                <w:color w:val="000000"/>
                <w:szCs w:val="18"/>
                <w:lang w:val="en-GB"/>
              </w:rPr>
              <w:t>in ₹ Million</w:t>
            </w:r>
            <w:r w:rsidRPr="00261095">
              <w:rPr>
                <w:rFonts w:ascii="Arial" w:hAnsi="Arial" w:cs="Arial"/>
                <w:b/>
                <w:lang w:val="en-GB"/>
              </w:rPr>
              <w:t xml:space="preserve">) </w:t>
            </w:r>
          </w:p>
        </w:tc>
        <w:tc>
          <w:tcPr>
            <w:tcW w:w="2340" w:type="dxa"/>
            <w:gridSpan w:val="2"/>
            <w:shd w:val="clear" w:color="auto" w:fill="auto"/>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2011</w:t>
            </w:r>
          </w:p>
        </w:tc>
      </w:tr>
      <w:tr w:rsidR="00261095" w:rsidRPr="00261095" w:rsidTr="00C46532">
        <w:trPr>
          <w:trHeight w:val="20"/>
          <w:jc w:val="center"/>
        </w:trPr>
        <w:tc>
          <w:tcPr>
            <w:tcW w:w="1628" w:type="dxa"/>
            <w:shd w:val="clear" w:color="auto" w:fill="auto"/>
            <w:vAlign w:val="center"/>
          </w:tcPr>
          <w:p w:rsidR="00261095" w:rsidRPr="00261095" w:rsidRDefault="00261095" w:rsidP="00261095">
            <w:pPr>
              <w:ind w:left="-90"/>
              <w:jc w:val="center"/>
              <w:rPr>
                <w:rFonts w:ascii="Arial" w:hAnsi="Arial" w:cs="Arial"/>
                <w:b/>
                <w:lang w:val="en-GB"/>
              </w:rPr>
            </w:pPr>
            <w:r w:rsidRPr="00261095">
              <w:rPr>
                <w:rFonts w:ascii="Arial" w:hAnsi="Arial" w:cs="Arial"/>
                <w:b/>
                <w:lang w:val="en-GB"/>
              </w:rPr>
              <w:t>Less than 60 Years</w:t>
            </w:r>
          </w:p>
        </w:tc>
        <w:tc>
          <w:tcPr>
            <w:tcW w:w="1800" w:type="dxa"/>
            <w:shd w:val="clear" w:color="auto" w:fill="auto"/>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65–80 Years</w:t>
            </w:r>
          </w:p>
        </w:tc>
        <w:tc>
          <w:tcPr>
            <w:tcW w:w="1800" w:type="dxa"/>
            <w:shd w:val="clear" w:color="auto" w:fill="auto"/>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More than 80 Years</w:t>
            </w:r>
          </w:p>
        </w:tc>
        <w:tc>
          <w:tcPr>
            <w:tcW w:w="1893" w:type="dxa"/>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Women</w:t>
            </w:r>
          </w:p>
        </w:tc>
        <w:tc>
          <w:tcPr>
            <w:tcW w:w="1170" w:type="dxa"/>
            <w:shd w:val="clear" w:color="auto" w:fill="auto"/>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Ordinary</w:t>
            </w:r>
          </w:p>
          <w:p w:rsidR="00261095" w:rsidRPr="00261095" w:rsidRDefault="00261095" w:rsidP="00261095">
            <w:pPr>
              <w:jc w:val="center"/>
              <w:rPr>
                <w:rFonts w:ascii="Arial" w:hAnsi="Arial" w:cs="Arial"/>
                <w:b/>
                <w:lang w:val="en-GB"/>
              </w:rPr>
            </w:pPr>
            <w:r w:rsidRPr="00261095">
              <w:rPr>
                <w:rFonts w:ascii="Arial" w:hAnsi="Arial" w:cs="Arial"/>
                <w:b/>
                <w:lang w:val="en-GB"/>
              </w:rPr>
              <w:t>Citizen</w:t>
            </w:r>
          </w:p>
        </w:tc>
        <w:tc>
          <w:tcPr>
            <w:tcW w:w="1170" w:type="dxa"/>
          </w:tcPr>
          <w:p w:rsidR="00261095" w:rsidRPr="00261095" w:rsidRDefault="00261095" w:rsidP="00261095">
            <w:pPr>
              <w:jc w:val="center"/>
              <w:rPr>
                <w:rFonts w:ascii="Arial" w:hAnsi="Arial" w:cs="Arial"/>
                <w:b/>
                <w:lang w:val="en-GB"/>
              </w:rPr>
            </w:pPr>
          </w:p>
        </w:tc>
      </w:tr>
      <w:tr w:rsidR="00261095" w:rsidRPr="00261095" w:rsidTr="00C46532">
        <w:trPr>
          <w:trHeight w:val="20"/>
          <w:jc w:val="center"/>
        </w:trPr>
        <w:tc>
          <w:tcPr>
            <w:tcW w:w="1628"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0–0.16</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0–0.24</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Same</w:t>
            </w:r>
          </w:p>
        </w:tc>
        <w:tc>
          <w:tcPr>
            <w:tcW w:w="1893" w:type="dxa"/>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0–0.19</w:t>
            </w:r>
          </w:p>
        </w:tc>
        <w:tc>
          <w:tcPr>
            <w:tcW w:w="1170" w:type="dxa"/>
            <w:shd w:val="clear" w:color="auto" w:fill="auto"/>
            <w:vAlign w:val="center"/>
          </w:tcPr>
          <w:p w:rsidR="00261095" w:rsidRPr="00261095" w:rsidRDefault="00261095" w:rsidP="00261095">
            <w:pPr>
              <w:jc w:val="center"/>
              <w:rPr>
                <w:rFonts w:ascii="Arial" w:hAnsi="Arial" w:cs="Arial"/>
                <w:lang w:val="en-GB"/>
              </w:rPr>
            </w:pPr>
            <w:r w:rsidRPr="00261095">
              <w:rPr>
                <w:rFonts w:ascii="Arial" w:hAnsi="Arial" w:cs="Arial"/>
                <w:lang w:val="en-GB"/>
              </w:rPr>
              <w:t>NIL</w:t>
            </w:r>
          </w:p>
        </w:tc>
        <w:tc>
          <w:tcPr>
            <w:tcW w:w="1170" w:type="dxa"/>
          </w:tcPr>
          <w:p w:rsidR="00261095" w:rsidRPr="00261095" w:rsidRDefault="00261095" w:rsidP="00261095">
            <w:pPr>
              <w:jc w:val="center"/>
              <w:rPr>
                <w:rFonts w:ascii="Arial" w:hAnsi="Arial" w:cs="Arial"/>
                <w:lang w:val="en-GB"/>
              </w:rPr>
            </w:pPr>
          </w:p>
        </w:tc>
      </w:tr>
      <w:tr w:rsidR="00261095" w:rsidRPr="00261095" w:rsidTr="00C46532">
        <w:trPr>
          <w:trHeight w:val="20"/>
          <w:jc w:val="center"/>
        </w:trPr>
        <w:tc>
          <w:tcPr>
            <w:tcW w:w="1628"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0.16–0.50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0.24–0.50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Same</w:t>
            </w:r>
          </w:p>
        </w:tc>
        <w:tc>
          <w:tcPr>
            <w:tcW w:w="1893" w:type="dxa"/>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0.16–0.50</w:t>
            </w:r>
          </w:p>
        </w:tc>
        <w:tc>
          <w:tcPr>
            <w:tcW w:w="1170" w:type="dxa"/>
            <w:shd w:val="clear" w:color="auto" w:fill="auto"/>
            <w:vAlign w:val="center"/>
          </w:tcPr>
          <w:p w:rsidR="00261095" w:rsidRPr="00261095" w:rsidRDefault="00261095" w:rsidP="00261095">
            <w:pPr>
              <w:jc w:val="center"/>
              <w:rPr>
                <w:rFonts w:ascii="Arial" w:hAnsi="Arial" w:cs="Arial"/>
                <w:lang w:val="en-GB"/>
              </w:rPr>
            </w:pPr>
            <w:r w:rsidRPr="00261095">
              <w:rPr>
                <w:rFonts w:ascii="Arial" w:hAnsi="Arial" w:cs="Arial"/>
                <w:lang w:val="en-GB"/>
              </w:rPr>
              <w:t>10%</w:t>
            </w:r>
          </w:p>
        </w:tc>
        <w:tc>
          <w:tcPr>
            <w:tcW w:w="1170" w:type="dxa"/>
          </w:tcPr>
          <w:p w:rsidR="00261095" w:rsidRPr="00261095" w:rsidRDefault="00261095" w:rsidP="00261095">
            <w:pPr>
              <w:jc w:val="center"/>
              <w:rPr>
                <w:rFonts w:ascii="Arial" w:hAnsi="Arial" w:cs="Arial"/>
                <w:lang w:val="en-GB"/>
              </w:rPr>
            </w:pPr>
          </w:p>
        </w:tc>
      </w:tr>
      <w:tr w:rsidR="00261095" w:rsidRPr="00261095" w:rsidTr="00C46532">
        <w:trPr>
          <w:trHeight w:val="20"/>
          <w:jc w:val="center"/>
        </w:trPr>
        <w:tc>
          <w:tcPr>
            <w:tcW w:w="1628"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0.50–0.80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0.50–0.80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Same</w:t>
            </w:r>
          </w:p>
        </w:tc>
        <w:tc>
          <w:tcPr>
            <w:tcW w:w="1893" w:type="dxa"/>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0.50–0.80</w:t>
            </w:r>
          </w:p>
        </w:tc>
        <w:tc>
          <w:tcPr>
            <w:tcW w:w="1170" w:type="dxa"/>
            <w:shd w:val="clear" w:color="auto" w:fill="auto"/>
            <w:vAlign w:val="center"/>
          </w:tcPr>
          <w:p w:rsidR="00261095" w:rsidRPr="00261095" w:rsidRDefault="00261095" w:rsidP="00261095">
            <w:pPr>
              <w:jc w:val="center"/>
              <w:rPr>
                <w:rFonts w:ascii="Arial" w:hAnsi="Arial" w:cs="Arial"/>
                <w:lang w:val="en-GB"/>
              </w:rPr>
            </w:pPr>
            <w:r w:rsidRPr="00261095">
              <w:rPr>
                <w:rFonts w:ascii="Arial" w:hAnsi="Arial" w:cs="Arial"/>
                <w:lang w:val="en-GB"/>
              </w:rPr>
              <w:t>20%</w:t>
            </w:r>
          </w:p>
        </w:tc>
        <w:tc>
          <w:tcPr>
            <w:tcW w:w="1170" w:type="dxa"/>
          </w:tcPr>
          <w:p w:rsidR="00261095" w:rsidRPr="00261095" w:rsidRDefault="00261095" w:rsidP="00261095">
            <w:pPr>
              <w:jc w:val="center"/>
              <w:rPr>
                <w:rFonts w:ascii="Arial" w:hAnsi="Arial" w:cs="Arial"/>
                <w:lang w:val="en-GB"/>
              </w:rPr>
            </w:pPr>
          </w:p>
        </w:tc>
      </w:tr>
      <w:tr w:rsidR="00261095" w:rsidRPr="00261095" w:rsidTr="00C46532">
        <w:trPr>
          <w:trHeight w:val="20"/>
          <w:jc w:val="center"/>
        </w:trPr>
        <w:tc>
          <w:tcPr>
            <w:tcW w:w="1628"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More than 0.80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More than 0.80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Same</w:t>
            </w:r>
          </w:p>
        </w:tc>
        <w:tc>
          <w:tcPr>
            <w:tcW w:w="1893" w:type="dxa"/>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More than 0.80</w:t>
            </w:r>
          </w:p>
        </w:tc>
        <w:tc>
          <w:tcPr>
            <w:tcW w:w="1170" w:type="dxa"/>
            <w:shd w:val="clear" w:color="auto" w:fill="auto"/>
            <w:vAlign w:val="center"/>
          </w:tcPr>
          <w:p w:rsidR="00261095" w:rsidRPr="00261095" w:rsidRDefault="00261095" w:rsidP="00261095">
            <w:pPr>
              <w:jc w:val="center"/>
              <w:rPr>
                <w:rFonts w:ascii="Arial" w:hAnsi="Arial" w:cs="Arial"/>
                <w:lang w:val="en-GB"/>
              </w:rPr>
            </w:pPr>
            <w:r w:rsidRPr="00261095">
              <w:rPr>
                <w:rFonts w:ascii="Arial" w:hAnsi="Arial" w:cs="Arial"/>
                <w:lang w:val="en-GB"/>
              </w:rPr>
              <w:t>30%</w:t>
            </w:r>
          </w:p>
        </w:tc>
        <w:tc>
          <w:tcPr>
            <w:tcW w:w="1170" w:type="dxa"/>
          </w:tcPr>
          <w:p w:rsidR="00261095" w:rsidRPr="00261095" w:rsidRDefault="00261095" w:rsidP="00261095">
            <w:pPr>
              <w:jc w:val="center"/>
              <w:rPr>
                <w:rFonts w:ascii="Arial" w:hAnsi="Arial" w:cs="Arial"/>
                <w:lang w:val="en-GB"/>
              </w:rPr>
            </w:pPr>
          </w:p>
        </w:tc>
      </w:tr>
      <w:tr w:rsidR="00261095" w:rsidRPr="00FF6B17" w:rsidTr="00C46532">
        <w:trPr>
          <w:trHeight w:val="20"/>
          <w:jc w:val="center"/>
        </w:trPr>
        <w:tc>
          <w:tcPr>
            <w:tcW w:w="1628" w:type="dxa"/>
            <w:shd w:val="clear" w:color="auto" w:fill="auto"/>
            <w:vAlign w:val="center"/>
          </w:tcPr>
          <w:p w:rsidR="00261095" w:rsidRPr="00FF6B17" w:rsidRDefault="00261095" w:rsidP="00261095">
            <w:pPr>
              <w:ind w:left="-90"/>
              <w:rPr>
                <w:rFonts w:ascii="Arial" w:hAnsi="Arial" w:cs="Arial"/>
                <w:sz w:val="16"/>
                <w:szCs w:val="16"/>
                <w:lang w:val="en-GB"/>
              </w:rPr>
            </w:pPr>
          </w:p>
        </w:tc>
        <w:tc>
          <w:tcPr>
            <w:tcW w:w="1800" w:type="dxa"/>
            <w:shd w:val="clear" w:color="auto" w:fill="auto"/>
            <w:vAlign w:val="center"/>
          </w:tcPr>
          <w:p w:rsidR="00261095" w:rsidRPr="00FF6B17" w:rsidRDefault="00261095" w:rsidP="00261095">
            <w:pPr>
              <w:jc w:val="center"/>
              <w:rPr>
                <w:rFonts w:ascii="Arial" w:hAnsi="Arial" w:cs="Arial"/>
                <w:sz w:val="16"/>
                <w:szCs w:val="16"/>
                <w:lang w:val="en-GB"/>
              </w:rPr>
            </w:pPr>
          </w:p>
        </w:tc>
        <w:tc>
          <w:tcPr>
            <w:tcW w:w="1800" w:type="dxa"/>
            <w:shd w:val="clear" w:color="auto" w:fill="auto"/>
            <w:vAlign w:val="center"/>
          </w:tcPr>
          <w:p w:rsidR="00261095" w:rsidRPr="00FF6B17" w:rsidRDefault="00261095" w:rsidP="00261095">
            <w:pPr>
              <w:jc w:val="center"/>
              <w:rPr>
                <w:rFonts w:ascii="Arial" w:hAnsi="Arial" w:cs="Arial"/>
                <w:sz w:val="16"/>
                <w:szCs w:val="16"/>
                <w:lang w:val="en-GB"/>
              </w:rPr>
            </w:pPr>
          </w:p>
        </w:tc>
        <w:tc>
          <w:tcPr>
            <w:tcW w:w="1893" w:type="dxa"/>
          </w:tcPr>
          <w:p w:rsidR="00261095" w:rsidRPr="00FF6B17" w:rsidRDefault="00261095" w:rsidP="00261095">
            <w:pPr>
              <w:jc w:val="center"/>
              <w:rPr>
                <w:rFonts w:ascii="Arial" w:hAnsi="Arial" w:cs="Arial"/>
                <w:sz w:val="16"/>
                <w:szCs w:val="16"/>
                <w:lang w:val="en-GB"/>
              </w:rPr>
            </w:pPr>
          </w:p>
        </w:tc>
        <w:tc>
          <w:tcPr>
            <w:tcW w:w="1170" w:type="dxa"/>
            <w:shd w:val="clear" w:color="auto" w:fill="auto"/>
            <w:vAlign w:val="center"/>
          </w:tcPr>
          <w:p w:rsidR="00261095" w:rsidRPr="00FF6B17" w:rsidRDefault="00261095" w:rsidP="00261095">
            <w:pPr>
              <w:jc w:val="center"/>
              <w:rPr>
                <w:rFonts w:ascii="Arial" w:hAnsi="Arial" w:cs="Arial"/>
                <w:sz w:val="16"/>
                <w:szCs w:val="16"/>
                <w:lang w:val="en-GB"/>
              </w:rPr>
            </w:pPr>
          </w:p>
        </w:tc>
        <w:tc>
          <w:tcPr>
            <w:tcW w:w="1170" w:type="dxa"/>
          </w:tcPr>
          <w:p w:rsidR="00261095" w:rsidRPr="00FF6B17" w:rsidRDefault="00261095" w:rsidP="00261095">
            <w:pPr>
              <w:jc w:val="center"/>
              <w:rPr>
                <w:rFonts w:ascii="Arial" w:hAnsi="Arial" w:cs="Arial"/>
                <w:sz w:val="16"/>
                <w:szCs w:val="16"/>
                <w:lang w:val="en-GB"/>
              </w:rPr>
            </w:pPr>
          </w:p>
        </w:tc>
      </w:tr>
      <w:tr w:rsidR="00261095" w:rsidRPr="00261095" w:rsidTr="00C46532">
        <w:trPr>
          <w:trHeight w:val="20"/>
          <w:jc w:val="center"/>
        </w:trPr>
        <w:tc>
          <w:tcPr>
            <w:tcW w:w="7121" w:type="dxa"/>
            <w:gridSpan w:val="4"/>
            <w:shd w:val="clear" w:color="auto" w:fill="auto"/>
            <w:vAlign w:val="center"/>
          </w:tcPr>
          <w:p w:rsidR="00261095" w:rsidRPr="00261095" w:rsidRDefault="00261095" w:rsidP="00261095">
            <w:pPr>
              <w:tabs>
                <w:tab w:val="left" w:pos="4545"/>
              </w:tabs>
              <w:jc w:val="center"/>
              <w:rPr>
                <w:rFonts w:ascii="Arial" w:hAnsi="Arial" w:cs="Arial"/>
                <w:lang w:val="en-GB"/>
              </w:rPr>
            </w:pPr>
            <w:r w:rsidRPr="00261095">
              <w:rPr>
                <w:rFonts w:ascii="Arial" w:hAnsi="Arial" w:cs="Arial"/>
                <w:b/>
                <w:lang w:val="en-GB"/>
              </w:rPr>
              <w:t>Income Brackets (</w:t>
            </w:r>
            <w:r w:rsidRPr="00261095">
              <w:rPr>
                <w:rFonts w:ascii="Arial" w:hAnsi="Arial" w:cs="Arial"/>
                <w:b/>
                <w:color w:val="000000"/>
                <w:szCs w:val="18"/>
                <w:lang w:val="en-GB"/>
              </w:rPr>
              <w:t>in ₹ Million</w:t>
            </w:r>
            <w:r w:rsidRPr="00261095">
              <w:rPr>
                <w:rFonts w:ascii="Arial" w:hAnsi="Arial" w:cs="Arial"/>
                <w:b/>
                <w:lang w:val="en-GB"/>
              </w:rPr>
              <w:t xml:space="preserve">) </w:t>
            </w:r>
          </w:p>
        </w:tc>
        <w:tc>
          <w:tcPr>
            <w:tcW w:w="2340" w:type="dxa"/>
            <w:gridSpan w:val="2"/>
            <w:shd w:val="clear" w:color="auto" w:fill="auto"/>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2010</w:t>
            </w:r>
          </w:p>
        </w:tc>
      </w:tr>
      <w:tr w:rsidR="00261095" w:rsidRPr="00261095" w:rsidTr="00C46532">
        <w:trPr>
          <w:trHeight w:val="20"/>
          <w:jc w:val="center"/>
        </w:trPr>
        <w:tc>
          <w:tcPr>
            <w:tcW w:w="1628" w:type="dxa"/>
            <w:shd w:val="clear" w:color="auto" w:fill="auto"/>
            <w:vAlign w:val="center"/>
          </w:tcPr>
          <w:p w:rsidR="00261095" w:rsidRPr="00261095" w:rsidRDefault="00261095" w:rsidP="00261095">
            <w:pPr>
              <w:ind w:left="-90"/>
              <w:jc w:val="center"/>
              <w:rPr>
                <w:rFonts w:ascii="Arial" w:hAnsi="Arial" w:cs="Arial"/>
                <w:b/>
                <w:lang w:val="en-GB"/>
              </w:rPr>
            </w:pPr>
            <w:r w:rsidRPr="00261095">
              <w:rPr>
                <w:rFonts w:ascii="Arial" w:hAnsi="Arial" w:cs="Arial"/>
                <w:b/>
                <w:lang w:val="en-GB"/>
              </w:rPr>
              <w:t>Less than 60 Years</w:t>
            </w:r>
          </w:p>
        </w:tc>
        <w:tc>
          <w:tcPr>
            <w:tcW w:w="1800" w:type="dxa"/>
            <w:shd w:val="clear" w:color="auto" w:fill="auto"/>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65–80 Years</w:t>
            </w:r>
          </w:p>
        </w:tc>
        <w:tc>
          <w:tcPr>
            <w:tcW w:w="1800" w:type="dxa"/>
            <w:shd w:val="clear" w:color="auto" w:fill="auto"/>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More than 80 Years</w:t>
            </w:r>
          </w:p>
        </w:tc>
        <w:tc>
          <w:tcPr>
            <w:tcW w:w="1893" w:type="dxa"/>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Women</w:t>
            </w:r>
          </w:p>
        </w:tc>
        <w:tc>
          <w:tcPr>
            <w:tcW w:w="1170" w:type="dxa"/>
            <w:shd w:val="clear" w:color="auto" w:fill="auto"/>
            <w:vAlign w:val="center"/>
          </w:tcPr>
          <w:p w:rsidR="00261095" w:rsidRPr="00261095" w:rsidRDefault="00261095" w:rsidP="00261095">
            <w:pPr>
              <w:jc w:val="center"/>
              <w:rPr>
                <w:rFonts w:ascii="Arial" w:hAnsi="Arial" w:cs="Arial"/>
                <w:b/>
                <w:lang w:val="en-GB"/>
              </w:rPr>
            </w:pPr>
            <w:r w:rsidRPr="00261095">
              <w:rPr>
                <w:rFonts w:ascii="Arial" w:hAnsi="Arial" w:cs="Arial"/>
                <w:b/>
                <w:lang w:val="en-GB"/>
              </w:rPr>
              <w:t>Ordinary</w:t>
            </w:r>
          </w:p>
          <w:p w:rsidR="00261095" w:rsidRPr="00261095" w:rsidRDefault="00261095" w:rsidP="00261095">
            <w:pPr>
              <w:jc w:val="center"/>
              <w:rPr>
                <w:rFonts w:ascii="Arial" w:hAnsi="Arial" w:cs="Arial"/>
                <w:b/>
                <w:lang w:val="en-GB"/>
              </w:rPr>
            </w:pPr>
            <w:r w:rsidRPr="00261095">
              <w:rPr>
                <w:rFonts w:ascii="Arial" w:hAnsi="Arial" w:cs="Arial"/>
                <w:b/>
                <w:lang w:val="en-GB"/>
              </w:rPr>
              <w:t>Citizen</w:t>
            </w:r>
          </w:p>
        </w:tc>
        <w:tc>
          <w:tcPr>
            <w:tcW w:w="1170" w:type="dxa"/>
          </w:tcPr>
          <w:p w:rsidR="00261095" w:rsidRPr="00261095" w:rsidRDefault="00261095" w:rsidP="00261095">
            <w:pPr>
              <w:jc w:val="center"/>
              <w:rPr>
                <w:rFonts w:ascii="Arial" w:hAnsi="Arial" w:cs="Arial"/>
                <w:b/>
                <w:lang w:val="en-GB"/>
              </w:rPr>
            </w:pPr>
          </w:p>
        </w:tc>
      </w:tr>
      <w:tr w:rsidR="00261095" w:rsidRPr="00261095" w:rsidTr="00C46532">
        <w:trPr>
          <w:trHeight w:val="20"/>
          <w:jc w:val="center"/>
        </w:trPr>
        <w:tc>
          <w:tcPr>
            <w:tcW w:w="1628"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0–0.15</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0–0.225</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Same</w:t>
            </w:r>
          </w:p>
        </w:tc>
        <w:tc>
          <w:tcPr>
            <w:tcW w:w="1893" w:type="dxa"/>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0–0.18</w:t>
            </w:r>
          </w:p>
        </w:tc>
        <w:tc>
          <w:tcPr>
            <w:tcW w:w="1170" w:type="dxa"/>
            <w:shd w:val="clear" w:color="auto" w:fill="auto"/>
            <w:vAlign w:val="center"/>
          </w:tcPr>
          <w:p w:rsidR="00261095" w:rsidRPr="00261095" w:rsidRDefault="00261095" w:rsidP="00261095">
            <w:pPr>
              <w:jc w:val="center"/>
              <w:rPr>
                <w:rFonts w:ascii="Arial" w:hAnsi="Arial" w:cs="Arial"/>
                <w:lang w:val="en-GB"/>
              </w:rPr>
            </w:pPr>
            <w:r w:rsidRPr="00261095">
              <w:rPr>
                <w:rFonts w:ascii="Arial" w:hAnsi="Arial" w:cs="Arial"/>
                <w:lang w:val="en-GB"/>
              </w:rPr>
              <w:t>NIL</w:t>
            </w:r>
          </w:p>
        </w:tc>
        <w:tc>
          <w:tcPr>
            <w:tcW w:w="1170" w:type="dxa"/>
          </w:tcPr>
          <w:p w:rsidR="00261095" w:rsidRPr="00261095" w:rsidRDefault="00261095" w:rsidP="00261095">
            <w:pPr>
              <w:jc w:val="center"/>
              <w:rPr>
                <w:rFonts w:ascii="Arial" w:hAnsi="Arial" w:cs="Arial"/>
                <w:lang w:val="en-GB"/>
              </w:rPr>
            </w:pPr>
          </w:p>
        </w:tc>
      </w:tr>
      <w:tr w:rsidR="00261095" w:rsidRPr="00261095" w:rsidTr="00C46532">
        <w:trPr>
          <w:trHeight w:val="20"/>
          <w:jc w:val="center"/>
        </w:trPr>
        <w:tc>
          <w:tcPr>
            <w:tcW w:w="1628"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0.15–0.30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0.225–0.30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Same</w:t>
            </w:r>
          </w:p>
        </w:tc>
        <w:tc>
          <w:tcPr>
            <w:tcW w:w="1893" w:type="dxa"/>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0.18–0.30</w:t>
            </w:r>
          </w:p>
        </w:tc>
        <w:tc>
          <w:tcPr>
            <w:tcW w:w="1170" w:type="dxa"/>
            <w:shd w:val="clear" w:color="auto" w:fill="auto"/>
            <w:vAlign w:val="center"/>
          </w:tcPr>
          <w:p w:rsidR="00261095" w:rsidRPr="00261095" w:rsidRDefault="00261095" w:rsidP="00261095">
            <w:pPr>
              <w:jc w:val="center"/>
              <w:rPr>
                <w:rFonts w:ascii="Arial" w:hAnsi="Arial" w:cs="Arial"/>
                <w:lang w:val="en-GB"/>
              </w:rPr>
            </w:pPr>
            <w:r w:rsidRPr="00261095">
              <w:rPr>
                <w:rFonts w:ascii="Arial" w:hAnsi="Arial" w:cs="Arial"/>
                <w:lang w:val="en-GB"/>
              </w:rPr>
              <w:t>10%</w:t>
            </w:r>
          </w:p>
        </w:tc>
        <w:tc>
          <w:tcPr>
            <w:tcW w:w="1170" w:type="dxa"/>
          </w:tcPr>
          <w:p w:rsidR="00261095" w:rsidRPr="00261095" w:rsidRDefault="00261095" w:rsidP="00261095">
            <w:pPr>
              <w:jc w:val="center"/>
              <w:rPr>
                <w:rFonts w:ascii="Arial" w:hAnsi="Arial" w:cs="Arial"/>
                <w:lang w:val="en-GB"/>
              </w:rPr>
            </w:pPr>
          </w:p>
        </w:tc>
      </w:tr>
      <w:tr w:rsidR="00261095" w:rsidRPr="00261095" w:rsidTr="00C46532">
        <w:trPr>
          <w:trHeight w:val="20"/>
          <w:jc w:val="center"/>
        </w:trPr>
        <w:tc>
          <w:tcPr>
            <w:tcW w:w="1628"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0.30–0.50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0.30–0.50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Same</w:t>
            </w:r>
          </w:p>
        </w:tc>
        <w:tc>
          <w:tcPr>
            <w:tcW w:w="1893" w:type="dxa"/>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0.30–0.50</w:t>
            </w:r>
          </w:p>
        </w:tc>
        <w:tc>
          <w:tcPr>
            <w:tcW w:w="1170" w:type="dxa"/>
            <w:shd w:val="clear" w:color="auto" w:fill="auto"/>
            <w:vAlign w:val="center"/>
          </w:tcPr>
          <w:p w:rsidR="00261095" w:rsidRPr="00261095" w:rsidRDefault="00261095" w:rsidP="00261095">
            <w:pPr>
              <w:jc w:val="center"/>
              <w:rPr>
                <w:rFonts w:ascii="Arial" w:hAnsi="Arial" w:cs="Arial"/>
                <w:lang w:val="en-GB"/>
              </w:rPr>
            </w:pPr>
            <w:r w:rsidRPr="00261095">
              <w:rPr>
                <w:rFonts w:ascii="Arial" w:hAnsi="Arial" w:cs="Arial"/>
                <w:lang w:val="en-GB"/>
              </w:rPr>
              <w:t>20%</w:t>
            </w:r>
          </w:p>
        </w:tc>
        <w:tc>
          <w:tcPr>
            <w:tcW w:w="1170" w:type="dxa"/>
          </w:tcPr>
          <w:p w:rsidR="00261095" w:rsidRPr="00261095" w:rsidRDefault="00261095" w:rsidP="00261095">
            <w:pPr>
              <w:jc w:val="center"/>
              <w:rPr>
                <w:rFonts w:ascii="Arial" w:hAnsi="Arial" w:cs="Arial"/>
                <w:lang w:val="en-GB"/>
              </w:rPr>
            </w:pPr>
          </w:p>
        </w:tc>
      </w:tr>
      <w:tr w:rsidR="00261095" w:rsidRPr="00261095" w:rsidTr="00C46532">
        <w:trPr>
          <w:trHeight w:val="20"/>
          <w:jc w:val="center"/>
        </w:trPr>
        <w:tc>
          <w:tcPr>
            <w:tcW w:w="1628"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More than 0.50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More than 0.50</w:t>
            </w:r>
          </w:p>
        </w:tc>
        <w:tc>
          <w:tcPr>
            <w:tcW w:w="1800" w:type="dxa"/>
            <w:shd w:val="clear" w:color="auto" w:fill="auto"/>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Same</w:t>
            </w:r>
          </w:p>
        </w:tc>
        <w:tc>
          <w:tcPr>
            <w:tcW w:w="1893" w:type="dxa"/>
            <w:vAlign w:val="center"/>
          </w:tcPr>
          <w:p w:rsidR="00261095" w:rsidRPr="00261095" w:rsidRDefault="00261095" w:rsidP="00261095">
            <w:pPr>
              <w:ind w:left="-90"/>
              <w:jc w:val="center"/>
              <w:rPr>
                <w:rFonts w:ascii="Arial" w:hAnsi="Arial" w:cs="Arial"/>
                <w:lang w:val="en-GB"/>
              </w:rPr>
            </w:pPr>
            <w:r w:rsidRPr="00261095">
              <w:rPr>
                <w:rFonts w:ascii="Arial" w:hAnsi="Arial" w:cs="Arial"/>
                <w:lang w:val="en-GB"/>
              </w:rPr>
              <w:t>More than 0.50</w:t>
            </w:r>
          </w:p>
        </w:tc>
        <w:tc>
          <w:tcPr>
            <w:tcW w:w="1170" w:type="dxa"/>
            <w:shd w:val="clear" w:color="auto" w:fill="auto"/>
            <w:vAlign w:val="center"/>
          </w:tcPr>
          <w:p w:rsidR="00261095" w:rsidRPr="00261095" w:rsidRDefault="00261095" w:rsidP="00261095">
            <w:pPr>
              <w:jc w:val="center"/>
              <w:rPr>
                <w:rFonts w:ascii="Arial" w:hAnsi="Arial" w:cs="Arial"/>
                <w:lang w:val="en-GB"/>
              </w:rPr>
            </w:pPr>
            <w:r w:rsidRPr="00261095">
              <w:rPr>
                <w:rFonts w:ascii="Arial" w:hAnsi="Arial" w:cs="Arial"/>
                <w:lang w:val="en-GB"/>
              </w:rPr>
              <w:t>30%</w:t>
            </w:r>
          </w:p>
        </w:tc>
        <w:tc>
          <w:tcPr>
            <w:tcW w:w="1170" w:type="dxa"/>
          </w:tcPr>
          <w:p w:rsidR="00261095" w:rsidRPr="00261095" w:rsidRDefault="00261095" w:rsidP="00261095">
            <w:pPr>
              <w:jc w:val="center"/>
              <w:rPr>
                <w:rFonts w:ascii="Arial" w:hAnsi="Arial" w:cs="Arial"/>
                <w:lang w:val="en-GB"/>
              </w:rPr>
            </w:pPr>
          </w:p>
        </w:tc>
      </w:tr>
    </w:tbl>
    <w:p w:rsidR="00261095" w:rsidRPr="00261095" w:rsidRDefault="00261095" w:rsidP="00261095">
      <w:pPr>
        <w:tabs>
          <w:tab w:val="left" w:pos="-1440"/>
          <w:tab w:val="left" w:pos="-720"/>
          <w:tab w:val="left" w:pos="1"/>
          <w:tab w:val="right" w:pos="9000"/>
        </w:tabs>
        <w:jc w:val="both"/>
        <w:rPr>
          <w:rFonts w:ascii="Arial" w:hAnsi="Arial" w:cs="Arial"/>
          <w:iCs/>
          <w:sz w:val="17"/>
          <w:szCs w:val="17"/>
          <w:lang w:val="en-GB"/>
        </w:rPr>
      </w:pPr>
    </w:p>
    <w:p w:rsidR="00261095" w:rsidRPr="00261095" w:rsidRDefault="00261095" w:rsidP="00261095">
      <w:pPr>
        <w:tabs>
          <w:tab w:val="left" w:pos="-1440"/>
          <w:tab w:val="left" w:pos="-720"/>
          <w:tab w:val="left" w:pos="1"/>
          <w:tab w:val="right" w:pos="9000"/>
        </w:tabs>
        <w:jc w:val="both"/>
        <w:rPr>
          <w:rFonts w:ascii="Arial" w:hAnsi="Arial" w:cs="Arial"/>
          <w:iCs/>
          <w:sz w:val="17"/>
          <w:szCs w:val="17"/>
          <w:lang w:val="en-GB"/>
        </w:rPr>
      </w:pPr>
      <w:r w:rsidRPr="00261095">
        <w:rPr>
          <w:rFonts w:ascii="Arial" w:hAnsi="Arial" w:cs="Arial"/>
          <w:iCs/>
          <w:sz w:val="17"/>
          <w:szCs w:val="17"/>
          <w:lang w:val="en-GB"/>
        </w:rPr>
        <w:t>Note: Any individual age 80 years and above is classified as a senior citizen as per the government of India’s Income Tax Act. This concept came into existence in 2012.</w:t>
      </w:r>
    </w:p>
    <w:p w:rsidR="00261095" w:rsidRPr="00261095" w:rsidRDefault="00261095" w:rsidP="00261095">
      <w:pPr>
        <w:tabs>
          <w:tab w:val="left" w:pos="-1440"/>
          <w:tab w:val="left" w:pos="-720"/>
          <w:tab w:val="left" w:pos="1"/>
          <w:tab w:val="right" w:pos="9000"/>
        </w:tabs>
        <w:jc w:val="both"/>
        <w:rPr>
          <w:rFonts w:ascii="Arial" w:hAnsi="Arial" w:cs="Arial"/>
          <w:iCs/>
          <w:sz w:val="17"/>
          <w:szCs w:val="17"/>
        </w:rPr>
      </w:pPr>
      <w:r w:rsidRPr="00261095">
        <w:rPr>
          <w:rFonts w:ascii="Arial" w:hAnsi="Arial" w:cs="Arial"/>
          <w:iCs/>
          <w:sz w:val="17"/>
          <w:szCs w:val="17"/>
        </w:rPr>
        <w:t>Source: Prepared by the authors with information accessed July 8, 2015 from Ministry of Finance, http://finmin.nic.in</w:t>
      </w:r>
      <w:r w:rsidR="00F167CC" w:rsidRPr="00261095">
        <w:rPr>
          <w:rFonts w:ascii="Arial" w:hAnsi="Arial" w:cs="Arial"/>
          <w:iCs/>
          <w:sz w:val="17"/>
          <w:szCs w:val="17"/>
        </w:rPr>
        <w:t xml:space="preserve">, and Income Tax Department, </w:t>
      </w:r>
      <w:r w:rsidRPr="00261095">
        <w:rPr>
          <w:rFonts w:ascii="Arial" w:hAnsi="Arial" w:cs="Arial"/>
          <w:iCs/>
          <w:sz w:val="17"/>
          <w:szCs w:val="17"/>
        </w:rPr>
        <w:t>www.incometaxindia.gov.in/Pages/default.aspx.</w:t>
      </w:r>
    </w:p>
    <w:p w:rsidR="00261095" w:rsidRPr="00261095" w:rsidRDefault="00261095" w:rsidP="00817E62">
      <w:pPr>
        <w:pStyle w:val="BodyTextMain"/>
        <w:rPr>
          <w:lang w:val="en-GB"/>
        </w:rPr>
      </w:pPr>
    </w:p>
    <w:p w:rsidR="00261095" w:rsidRPr="00261095" w:rsidRDefault="00261095" w:rsidP="00817E62">
      <w:pPr>
        <w:pStyle w:val="BodyTextMain"/>
        <w:rPr>
          <w:lang w:val="en-GB"/>
        </w:rPr>
      </w:pPr>
    </w:p>
    <w:p w:rsidR="00261095" w:rsidRPr="00261095" w:rsidRDefault="00261095" w:rsidP="00817E62">
      <w:pPr>
        <w:pStyle w:val="Casehead1"/>
        <w:jc w:val="center"/>
        <w:rPr>
          <w:lang w:val="en-GB"/>
        </w:rPr>
      </w:pPr>
      <w:r w:rsidRPr="00261095">
        <w:rPr>
          <w:lang w:val="en-GB"/>
        </w:rPr>
        <w:t>Exhibit 15: Tax Rate on Dividend Income and Capital Gains in Sale of Equity Shares (India)</w:t>
      </w:r>
    </w:p>
    <w:p w:rsidR="00261095" w:rsidRPr="00261095" w:rsidRDefault="00261095" w:rsidP="00817E62">
      <w:pPr>
        <w:pStyle w:val="BodyTextMain"/>
        <w:rPr>
          <w:lang w:val="en-GB"/>
        </w:rPr>
      </w:pPr>
    </w:p>
    <w:tbl>
      <w:tblPr>
        <w:tblW w:w="9381" w:type="dxa"/>
        <w:jc w:val="center"/>
        <w:tblInd w:w="-708" w:type="dxa"/>
        <w:tblLook w:val="04A0" w:firstRow="1" w:lastRow="0" w:firstColumn="1" w:lastColumn="0" w:noHBand="0" w:noVBand="1"/>
      </w:tblPr>
      <w:tblGrid>
        <w:gridCol w:w="5763"/>
        <w:gridCol w:w="1170"/>
        <w:gridCol w:w="1211"/>
        <w:gridCol w:w="49"/>
        <w:gridCol w:w="1188"/>
      </w:tblGrid>
      <w:tr w:rsidR="00261095" w:rsidRPr="00261095" w:rsidTr="00F167CC">
        <w:trPr>
          <w:trHeight w:val="300"/>
          <w:jc w:val="center"/>
        </w:trPr>
        <w:tc>
          <w:tcPr>
            <w:tcW w:w="57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61095" w:rsidRPr="00261095" w:rsidRDefault="00261095" w:rsidP="00261095">
            <w:pPr>
              <w:rPr>
                <w:rFonts w:ascii="Arial" w:hAnsi="Arial" w:cs="Arial"/>
                <w:b/>
                <w:color w:val="000000"/>
                <w:lang w:val="en-GB"/>
              </w:rPr>
            </w:pPr>
            <w:r w:rsidRPr="00261095">
              <w:rPr>
                <w:rFonts w:ascii="Arial" w:hAnsi="Arial" w:cs="Arial"/>
                <w:b/>
                <w:color w:val="000000"/>
                <w:lang w:val="en-GB"/>
              </w:rPr>
              <w:t>Cash Dividend Income Received by</w:t>
            </w:r>
          </w:p>
        </w:tc>
        <w:tc>
          <w:tcPr>
            <w:tcW w:w="3618" w:type="dxa"/>
            <w:gridSpan w:val="4"/>
            <w:tcBorders>
              <w:top w:val="single" w:sz="4" w:space="0" w:color="auto"/>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b/>
                <w:color w:val="000000"/>
                <w:lang w:val="en-GB"/>
              </w:rPr>
            </w:pPr>
            <w:r w:rsidRPr="00261095">
              <w:rPr>
                <w:rFonts w:ascii="Arial" w:hAnsi="Arial" w:cs="Arial"/>
                <w:b/>
                <w:color w:val="000000"/>
                <w:lang w:val="en-GB"/>
              </w:rPr>
              <w:t>Tax Rate</w:t>
            </w:r>
          </w:p>
        </w:tc>
      </w:tr>
      <w:tr w:rsidR="00261095" w:rsidRPr="00261095" w:rsidTr="00F167CC">
        <w:trPr>
          <w:trHeight w:val="300"/>
          <w:jc w:val="center"/>
        </w:trPr>
        <w:tc>
          <w:tcPr>
            <w:tcW w:w="5763" w:type="dxa"/>
            <w:vMerge/>
            <w:tcBorders>
              <w:top w:val="single" w:sz="4" w:space="0" w:color="auto"/>
              <w:left w:val="single" w:sz="4" w:space="0" w:color="auto"/>
              <w:bottom w:val="single" w:sz="4" w:space="0" w:color="000000"/>
              <w:right w:val="single" w:sz="4" w:space="0" w:color="auto"/>
            </w:tcBorders>
            <w:vAlign w:val="center"/>
            <w:hideMark/>
          </w:tcPr>
          <w:p w:rsidR="00261095" w:rsidRPr="00261095" w:rsidRDefault="00261095" w:rsidP="00261095">
            <w:pPr>
              <w:rPr>
                <w:rFonts w:ascii="Arial" w:hAnsi="Arial" w:cs="Arial"/>
                <w:color w:val="000000"/>
                <w:lang w:val="en-GB"/>
              </w:rPr>
            </w:pPr>
          </w:p>
        </w:tc>
        <w:tc>
          <w:tcPr>
            <w:tcW w:w="1170" w:type="dxa"/>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b/>
                <w:color w:val="000000"/>
                <w:lang w:val="en-GB"/>
              </w:rPr>
            </w:pPr>
            <w:r w:rsidRPr="00261095">
              <w:rPr>
                <w:rFonts w:ascii="Arial" w:hAnsi="Arial" w:cs="Arial"/>
                <w:b/>
                <w:color w:val="000000"/>
                <w:lang w:val="en-GB"/>
              </w:rPr>
              <w:t>2012</w:t>
            </w:r>
          </w:p>
        </w:tc>
        <w:tc>
          <w:tcPr>
            <w:tcW w:w="1260" w:type="dxa"/>
            <w:gridSpan w:val="2"/>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b/>
                <w:color w:val="000000"/>
                <w:lang w:val="en-GB"/>
              </w:rPr>
            </w:pPr>
            <w:r w:rsidRPr="00261095">
              <w:rPr>
                <w:rFonts w:ascii="Arial" w:hAnsi="Arial" w:cs="Arial"/>
                <w:b/>
                <w:color w:val="000000"/>
                <w:lang w:val="en-GB"/>
              </w:rPr>
              <w:t>2011</w:t>
            </w:r>
          </w:p>
        </w:tc>
        <w:tc>
          <w:tcPr>
            <w:tcW w:w="1188" w:type="dxa"/>
            <w:tcBorders>
              <w:top w:val="nil"/>
              <w:left w:val="nil"/>
              <w:bottom w:val="single" w:sz="4" w:space="0" w:color="auto"/>
              <w:right w:val="single" w:sz="4" w:space="0" w:color="auto"/>
            </w:tcBorders>
          </w:tcPr>
          <w:p w:rsidR="00261095" w:rsidRPr="00261095" w:rsidRDefault="00261095" w:rsidP="00261095">
            <w:pPr>
              <w:jc w:val="center"/>
              <w:rPr>
                <w:rFonts w:ascii="Arial" w:hAnsi="Arial" w:cs="Arial"/>
                <w:b/>
                <w:color w:val="000000"/>
                <w:lang w:val="en-GB"/>
              </w:rPr>
            </w:pPr>
            <w:r w:rsidRPr="00261095">
              <w:rPr>
                <w:rFonts w:ascii="Arial" w:hAnsi="Arial" w:cs="Arial"/>
                <w:b/>
                <w:color w:val="000000"/>
                <w:lang w:val="en-GB"/>
              </w:rPr>
              <w:t>2010</w:t>
            </w:r>
          </w:p>
        </w:tc>
      </w:tr>
      <w:tr w:rsidR="00261095" w:rsidRPr="00261095" w:rsidTr="00F167CC">
        <w:trPr>
          <w:trHeight w:val="288"/>
          <w:jc w:val="center"/>
        </w:trPr>
        <w:tc>
          <w:tcPr>
            <w:tcW w:w="5763" w:type="dxa"/>
            <w:tcBorders>
              <w:top w:val="nil"/>
              <w:left w:val="single" w:sz="4" w:space="0" w:color="auto"/>
              <w:bottom w:val="single" w:sz="4" w:space="0" w:color="auto"/>
              <w:right w:val="single" w:sz="4" w:space="0" w:color="auto"/>
            </w:tcBorders>
            <w:shd w:val="clear" w:color="auto" w:fill="auto"/>
            <w:vAlign w:val="center"/>
            <w:hideMark/>
          </w:tcPr>
          <w:p w:rsidR="00261095" w:rsidRPr="00261095" w:rsidRDefault="00261095" w:rsidP="00261095">
            <w:pPr>
              <w:rPr>
                <w:rFonts w:ascii="Arial" w:hAnsi="Arial" w:cs="Arial"/>
                <w:color w:val="000000"/>
                <w:lang w:val="en-GB"/>
              </w:rPr>
            </w:pPr>
            <w:r w:rsidRPr="00261095">
              <w:rPr>
                <w:rFonts w:ascii="Arial" w:hAnsi="Arial" w:cs="Arial"/>
                <w:color w:val="000000"/>
                <w:lang w:val="en-GB"/>
              </w:rPr>
              <w:t>Individuals and Firms (Less than or Equal to ₹1 Million)</w:t>
            </w:r>
          </w:p>
        </w:tc>
        <w:tc>
          <w:tcPr>
            <w:tcW w:w="1170" w:type="dxa"/>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NIL</w:t>
            </w:r>
          </w:p>
        </w:tc>
        <w:tc>
          <w:tcPr>
            <w:tcW w:w="1260" w:type="dxa"/>
            <w:gridSpan w:val="2"/>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NIL</w:t>
            </w:r>
          </w:p>
        </w:tc>
        <w:tc>
          <w:tcPr>
            <w:tcW w:w="1188" w:type="dxa"/>
            <w:tcBorders>
              <w:top w:val="nil"/>
              <w:left w:val="nil"/>
              <w:bottom w:val="single" w:sz="4" w:space="0" w:color="auto"/>
              <w:right w:val="single" w:sz="4" w:space="0" w:color="auto"/>
            </w:tcBorders>
            <w:vAlign w:val="center"/>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NIL</w:t>
            </w:r>
          </w:p>
        </w:tc>
      </w:tr>
      <w:tr w:rsidR="00261095" w:rsidRPr="00261095" w:rsidTr="00F167CC">
        <w:trPr>
          <w:trHeight w:val="288"/>
          <w:jc w:val="center"/>
        </w:trPr>
        <w:tc>
          <w:tcPr>
            <w:tcW w:w="5763" w:type="dxa"/>
            <w:tcBorders>
              <w:top w:val="nil"/>
              <w:left w:val="single" w:sz="4" w:space="0" w:color="auto"/>
              <w:bottom w:val="single" w:sz="4" w:space="0" w:color="auto"/>
              <w:right w:val="single" w:sz="4" w:space="0" w:color="auto"/>
            </w:tcBorders>
            <w:shd w:val="clear" w:color="auto" w:fill="auto"/>
            <w:vAlign w:val="center"/>
            <w:hideMark/>
          </w:tcPr>
          <w:p w:rsidR="00261095" w:rsidRPr="00261095" w:rsidRDefault="00261095" w:rsidP="00261095">
            <w:pPr>
              <w:rPr>
                <w:rFonts w:ascii="Arial" w:hAnsi="Arial" w:cs="Arial"/>
                <w:color w:val="000000"/>
                <w:lang w:val="en-GB"/>
              </w:rPr>
            </w:pPr>
            <w:r w:rsidRPr="00261095">
              <w:rPr>
                <w:rFonts w:ascii="Arial" w:hAnsi="Arial" w:cs="Arial"/>
                <w:color w:val="000000"/>
                <w:lang w:val="en-GB"/>
              </w:rPr>
              <w:t>Individuals and Firms (More than ₹1 Million)</w:t>
            </w:r>
          </w:p>
        </w:tc>
        <w:tc>
          <w:tcPr>
            <w:tcW w:w="1170" w:type="dxa"/>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10%</w:t>
            </w:r>
          </w:p>
        </w:tc>
        <w:tc>
          <w:tcPr>
            <w:tcW w:w="1260" w:type="dxa"/>
            <w:gridSpan w:val="2"/>
            <w:tcBorders>
              <w:top w:val="nil"/>
              <w:left w:val="nil"/>
              <w:bottom w:val="single" w:sz="4" w:space="0" w:color="auto"/>
              <w:right w:val="single" w:sz="4" w:space="0" w:color="auto"/>
            </w:tcBorders>
            <w:shd w:val="clear" w:color="auto" w:fill="auto"/>
            <w:noWrap/>
            <w:vAlign w:val="center"/>
            <w:hideMark/>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10%</w:t>
            </w:r>
          </w:p>
        </w:tc>
        <w:tc>
          <w:tcPr>
            <w:tcW w:w="1188" w:type="dxa"/>
            <w:tcBorders>
              <w:top w:val="nil"/>
              <w:left w:val="nil"/>
              <w:bottom w:val="single" w:sz="4" w:space="0" w:color="auto"/>
              <w:right w:val="single" w:sz="4" w:space="0" w:color="auto"/>
            </w:tcBorders>
            <w:vAlign w:val="center"/>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10%</w:t>
            </w:r>
          </w:p>
        </w:tc>
      </w:tr>
      <w:tr w:rsidR="00261095" w:rsidRPr="00261095" w:rsidTr="00F167CC">
        <w:trPr>
          <w:trHeight w:val="125"/>
          <w:jc w:val="center"/>
        </w:trPr>
        <w:tc>
          <w:tcPr>
            <w:tcW w:w="9381" w:type="dxa"/>
            <w:gridSpan w:val="5"/>
            <w:tcBorders>
              <w:top w:val="nil"/>
              <w:left w:val="single" w:sz="4" w:space="0" w:color="auto"/>
              <w:bottom w:val="single" w:sz="4" w:space="0" w:color="auto"/>
              <w:right w:val="single" w:sz="4" w:space="0" w:color="auto"/>
            </w:tcBorders>
            <w:shd w:val="clear" w:color="auto" w:fill="auto"/>
            <w:vAlign w:val="center"/>
          </w:tcPr>
          <w:p w:rsidR="00261095" w:rsidRPr="00FF6B17" w:rsidRDefault="00261095" w:rsidP="00261095">
            <w:pPr>
              <w:jc w:val="center"/>
              <w:rPr>
                <w:rFonts w:ascii="Arial" w:hAnsi="Arial" w:cs="Arial"/>
                <w:color w:val="000000"/>
                <w:sz w:val="18"/>
                <w:szCs w:val="18"/>
                <w:lang w:val="en-GB"/>
              </w:rPr>
            </w:pPr>
          </w:p>
        </w:tc>
      </w:tr>
      <w:tr w:rsidR="00261095" w:rsidRPr="00261095" w:rsidTr="00F167CC">
        <w:trPr>
          <w:trHeight w:val="288"/>
          <w:jc w:val="center"/>
        </w:trPr>
        <w:tc>
          <w:tcPr>
            <w:tcW w:w="5763" w:type="dxa"/>
            <w:tcBorders>
              <w:top w:val="nil"/>
              <w:left w:val="single" w:sz="4" w:space="0" w:color="auto"/>
              <w:bottom w:val="single" w:sz="4" w:space="0" w:color="auto"/>
              <w:right w:val="single" w:sz="4" w:space="0" w:color="auto"/>
            </w:tcBorders>
            <w:shd w:val="clear" w:color="auto" w:fill="auto"/>
            <w:vAlign w:val="center"/>
          </w:tcPr>
          <w:p w:rsidR="00261095" w:rsidRPr="00261095" w:rsidRDefault="00261095" w:rsidP="00261095">
            <w:pPr>
              <w:rPr>
                <w:rFonts w:ascii="Arial" w:hAnsi="Arial" w:cs="Arial"/>
                <w:b/>
                <w:color w:val="000000"/>
                <w:lang w:val="en-GB"/>
              </w:rPr>
            </w:pPr>
            <w:r w:rsidRPr="00261095">
              <w:rPr>
                <w:rFonts w:ascii="Arial" w:hAnsi="Arial" w:cs="Arial"/>
                <w:b/>
                <w:color w:val="000000"/>
                <w:lang w:val="en-GB"/>
              </w:rPr>
              <w:t>Tax on Cash Dividend Paid by Firms</w:t>
            </w:r>
          </w:p>
          <w:p w:rsidR="00261095" w:rsidRPr="00261095" w:rsidRDefault="00261095" w:rsidP="00261095">
            <w:pPr>
              <w:rPr>
                <w:rFonts w:ascii="Arial" w:hAnsi="Arial" w:cs="Arial"/>
                <w:color w:val="000000"/>
                <w:lang w:val="en-GB"/>
              </w:rPr>
            </w:pPr>
            <w:r w:rsidRPr="00261095">
              <w:rPr>
                <w:rFonts w:ascii="Arial" w:hAnsi="Arial" w:cs="Arial"/>
                <w:color w:val="000000"/>
                <w:lang w:val="en-GB"/>
              </w:rPr>
              <w:t xml:space="preserve">(Dividend Distribution Tax) </w:t>
            </w:r>
          </w:p>
        </w:tc>
        <w:tc>
          <w:tcPr>
            <w:tcW w:w="1170" w:type="dxa"/>
            <w:tcBorders>
              <w:top w:val="nil"/>
              <w:left w:val="nil"/>
              <w:bottom w:val="single" w:sz="4" w:space="0" w:color="auto"/>
              <w:right w:val="single" w:sz="4" w:space="0" w:color="auto"/>
            </w:tcBorders>
            <w:shd w:val="clear" w:color="auto" w:fill="auto"/>
            <w:noWrap/>
            <w:vAlign w:val="center"/>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16.608%</w:t>
            </w:r>
          </w:p>
        </w:tc>
        <w:tc>
          <w:tcPr>
            <w:tcW w:w="1260" w:type="dxa"/>
            <w:gridSpan w:val="2"/>
            <w:tcBorders>
              <w:top w:val="nil"/>
              <w:left w:val="nil"/>
              <w:bottom w:val="single" w:sz="4" w:space="0" w:color="auto"/>
              <w:right w:val="single" w:sz="4" w:space="0" w:color="auto"/>
            </w:tcBorders>
            <w:shd w:val="clear" w:color="auto" w:fill="auto"/>
            <w:noWrap/>
            <w:vAlign w:val="center"/>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16.995%</w:t>
            </w:r>
          </w:p>
        </w:tc>
        <w:tc>
          <w:tcPr>
            <w:tcW w:w="1188" w:type="dxa"/>
            <w:tcBorders>
              <w:top w:val="nil"/>
              <w:left w:val="nil"/>
              <w:bottom w:val="single" w:sz="4" w:space="0" w:color="auto"/>
              <w:right w:val="single" w:sz="4" w:space="0" w:color="auto"/>
            </w:tcBorders>
            <w:vAlign w:val="center"/>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16.995%</w:t>
            </w:r>
          </w:p>
        </w:tc>
      </w:tr>
      <w:tr w:rsidR="00261095" w:rsidRPr="00261095" w:rsidTr="00F167CC">
        <w:trPr>
          <w:trHeight w:val="80"/>
          <w:jc w:val="center"/>
        </w:trPr>
        <w:tc>
          <w:tcPr>
            <w:tcW w:w="9381" w:type="dxa"/>
            <w:gridSpan w:val="5"/>
            <w:tcBorders>
              <w:top w:val="nil"/>
              <w:left w:val="single" w:sz="4" w:space="0" w:color="auto"/>
              <w:bottom w:val="single" w:sz="4" w:space="0" w:color="auto"/>
              <w:right w:val="single" w:sz="4" w:space="0" w:color="auto"/>
            </w:tcBorders>
            <w:shd w:val="clear" w:color="auto" w:fill="auto"/>
            <w:vAlign w:val="center"/>
          </w:tcPr>
          <w:p w:rsidR="00261095" w:rsidRPr="00FF6B17" w:rsidRDefault="00261095" w:rsidP="00261095">
            <w:pPr>
              <w:jc w:val="center"/>
              <w:rPr>
                <w:rFonts w:ascii="Arial" w:hAnsi="Arial" w:cs="Arial"/>
                <w:color w:val="000000"/>
                <w:sz w:val="16"/>
                <w:szCs w:val="16"/>
                <w:lang w:val="en-GB"/>
              </w:rPr>
            </w:pPr>
          </w:p>
        </w:tc>
      </w:tr>
      <w:tr w:rsidR="00261095" w:rsidRPr="00261095" w:rsidTr="00F167CC">
        <w:trPr>
          <w:trHeight w:val="288"/>
          <w:jc w:val="center"/>
        </w:trPr>
        <w:tc>
          <w:tcPr>
            <w:tcW w:w="5763" w:type="dxa"/>
            <w:tcBorders>
              <w:top w:val="nil"/>
              <w:left w:val="single" w:sz="4" w:space="0" w:color="auto"/>
              <w:bottom w:val="single" w:sz="4" w:space="0" w:color="auto"/>
              <w:right w:val="single" w:sz="4" w:space="0" w:color="auto"/>
            </w:tcBorders>
            <w:shd w:val="clear" w:color="auto" w:fill="auto"/>
            <w:vAlign w:val="center"/>
          </w:tcPr>
          <w:p w:rsidR="00261095" w:rsidRPr="00261095" w:rsidRDefault="00261095" w:rsidP="00261095">
            <w:pPr>
              <w:rPr>
                <w:rFonts w:ascii="Arial" w:hAnsi="Arial" w:cs="Arial"/>
                <w:b/>
                <w:color w:val="000000"/>
                <w:lang w:val="en-GB"/>
              </w:rPr>
            </w:pPr>
            <w:r w:rsidRPr="00261095">
              <w:rPr>
                <w:rFonts w:ascii="Arial" w:hAnsi="Arial" w:cs="Arial"/>
                <w:b/>
                <w:color w:val="000000"/>
                <w:lang w:val="en-GB"/>
              </w:rPr>
              <w:t>Short-Term Capital Gains Effective Tax (Equity Shares)</w:t>
            </w:r>
          </w:p>
          <w:p w:rsidR="00261095" w:rsidRPr="00261095" w:rsidRDefault="00261095" w:rsidP="00261095">
            <w:pPr>
              <w:rPr>
                <w:rFonts w:ascii="Arial" w:hAnsi="Arial" w:cs="Arial"/>
                <w:color w:val="000000"/>
                <w:lang w:val="en-GB"/>
              </w:rPr>
            </w:pPr>
            <w:r w:rsidRPr="00261095">
              <w:rPr>
                <w:rFonts w:ascii="Arial" w:hAnsi="Arial" w:cs="Arial"/>
                <w:color w:val="000000"/>
                <w:lang w:val="en-GB"/>
              </w:rPr>
              <w:t>Individuals and Firms (Less than or Equal to ₹1 Million)</w:t>
            </w:r>
          </w:p>
          <w:p w:rsidR="00261095" w:rsidRPr="00261095" w:rsidRDefault="00261095" w:rsidP="00261095">
            <w:pPr>
              <w:rPr>
                <w:rFonts w:ascii="Arial" w:hAnsi="Arial" w:cs="Arial"/>
                <w:b/>
                <w:color w:val="000000"/>
                <w:lang w:val="en-GB"/>
              </w:rPr>
            </w:pPr>
            <w:r w:rsidRPr="00261095">
              <w:rPr>
                <w:rFonts w:ascii="Arial" w:hAnsi="Arial" w:cs="Arial"/>
                <w:color w:val="000000"/>
                <w:lang w:val="en-GB"/>
              </w:rPr>
              <w:t xml:space="preserve">Individuals and Firms (More </w:t>
            </w:r>
            <w:r w:rsidR="00A061DF">
              <w:rPr>
                <w:rFonts w:ascii="Arial" w:hAnsi="Arial" w:cs="Arial"/>
                <w:color w:val="000000"/>
                <w:lang w:val="en-GB"/>
              </w:rPr>
              <w:t xml:space="preserve">than </w:t>
            </w:r>
            <w:r w:rsidRPr="00261095">
              <w:rPr>
                <w:rFonts w:ascii="Arial" w:hAnsi="Arial" w:cs="Arial"/>
                <w:color w:val="000000"/>
                <w:lang w:val="en-GB"/>
              </w:rPr>
              <w:t>₹1 Million)</w:t>
            </w:r>
          </w:p>
        </w:tc>
        <w:tc>
          <w:tcPr>
            <w:tcW w:w="1170" w:type="dxa"/>
            <w:tcBorders>
              <w:top w:val="nil"/>
              <w:left w:val="nil"/>
              <w:bottom w:val="single" w:sz="4" w:space="0" w:color="auto"/>
              <w:right w:val="single" w:sz="4" w:space="0" w:color="auto"/>
            </w:tcBorders>
            <w:shd w:val="clear" w:color="auto" w:fill="auto"/>
            <w:noWrap/>
            <w:vAlign w:val="center"/>
          </w:tcPr>
          <w:p w:rsidR="00261095" w:rsidRPr="00261095" w:rsidRDefault="00261095" w:rsidP="00261095">
            <w:pPr>
              <w:jc w:val="center"/>
              <w:rPr>
                <w:rFonts w:ascii="Arial" w:hAnsi="Arial" w:cs="Arial"/>
                <w:color w:val="000000"/>
                <w:lang w:val="en-GB"/>
              </w:rPr>
            </w:pPr>
          </w:p>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15.450%</w:t>
            </w:r>
          </w:p>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16.950%</w:t>
            </w:r>
          </w:p>
        </w:tc>
        <w:tc>
          <w:tcPr>
            <w:tcW w:w="1211" w:type="dxa"/>
            <w:tcBorders>
              <w:top w:val="nil"/>
              <w:left w:val="nil"/>
              <w:bottom w:val="single" w:sz="4" w:space="0" w:color="auto"/>
              <w:right w:val="single" w:sz="4" w:space="0" w:color="auto"/>
            </w:tcBorders>
            <w:shd w:val="clear" w:color="auto" w:fill="auto"/>
            <w:noWrap/>
            <w:vAlign w:val="center"/>
          </w:tcPr>
          <w:p w:rsidR="00261095" w:rsidRPr="00261095" w:rsidRDefault="00261095" w:rsidP="00261095">
            <w:pPr>
              <w:jc w:val="center"/>
              <w:rPr>
                <w:rFonts w:ascii="Arial" w:hAnsi="Arial" w:cs="Arial"/>
                <w:color w:val="000000"/>
                <w:lang w:val="en-GB"/>
              </w:rPr>
            </w:pPr>
          </w:p>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15.450%</w:t>
            </w:r>
          </w:p>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16.950%</w:t>
            </w:r>
          </w:p>
        </w:tc>
        <w:tc>
          <w:tcPr>
            <w:tcW w:w="1237" w:type="dxa"/>
            <w:gridSpan w:val="2"/>
            <w:tcBorders>
              <w:top w:val="nil"/>
              <w:left w:val="nil"/>
              <w:bottom w:val="single" w:sz="4" w:space="0" w:color="auto"/>
              <w:right w:val="single" w:sz="4" w:space="0" w:color="auto"/>
            </w:tcBorders>
            <w:vAlign w:val="center"/>
          </w:tcPr>
          <w:p w:rsidR="00261095" w:rsidRPr="00261095" w:rsidRDefault="00261095" w:rsidP="00261095">
            <w:pPr>
              <w:jc w:val="center"/>
              <w:rPr>
                <w:rFonts w:ascii="Arial" w:hAnsi="Arial" w:cs="Arial"/>
                <w:color w:val="000000"/>
                <w:lang w:val="en-GB"/>
              </w:rPr>
            </w:pPr>
          </w:p>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15.450%</w:t>
            </w:r>
          </w:p>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16.575%</w:t>
            </w:r>
          </w:p>
        </w:tc>
      </w:tr>
      <w:tr w:rsidR="00261095" w:rsidRPr="00261095" w:rsidTr="00F167CC">
        <w:trPr>
          <w:trHeight w:val="288"/>
          <w:jc w:val="center"/>
        </w:trPr>
        <w:tc>
          <w:tcPr>
            <w:tcW w:w="5763" w:type="dxa"/>
            <w:tcBorders>
              <w:top w:val="nil"/>
              <w:left w:val="single" w:sz="4" w:space="0" w:color="auto"/>
              <w:bottom w:val="single" w:sz="4" w:space="0" w:color="auto"/>
              <w:right w:val="single" w:sz="4" w:space="0" w:color="auto"/>
            </w:tcBorders>
            <w:shd w:val="clear" w:color="auto" w:fill="auto"/>
            <w:vAlign w:val="center"/>
          </w:tcPr>
          <w:p w:rsidR="00261095" w:rsidRPr="00261095" w:rsidRDefault="00261095" w:rsidP="00261095">
            <w:pPr>
              <w:rPr>
                <w:rFonts w:ascii="Arial" w:hAnsi="Arial" w:cs="Arial"/>
                <w:b/>
                <w:color w:val="000000"/>
                <w:lang w:val="en-GB"/>
              </w:rPr>
            </w:pPr>
            <w:r w:rsidRPr="00261095">
              <w:rPr>
                <w:rFonts w:ascii="Arial" w:hAnsi="Arial" w:cs="Arial"/>
                <w:b/>
                <w:color w:val="000000"/>
                <w:lang w:val="en-GB"/>
              </w:rPr>
              <w:t>Long-Term Capital Gains Tax (Equity Shares)</w:t>
            </w:r>
          </w:p>
        </w:tc>
        <w:tc>
          <w:tcPr>
            <w:tcW w:w="1170" w:type="dxa"/>
            <w:tcBorders>
              <w:top w:val="nil"/>
              <w:left w:val="nil"/>
              <w:bottom w:val="single" w:sz="4" w:space="0" w:color="auto"/>
              <w:right w:val="single" w:sz="4" w:space="0" w:color="auto"/>
            </w:tcBorders>
            <w:shd w:val="clear" w:color="auto" w:fill="auto"/>
            <w:noWrap/>
            <w:vAlign w:val="center"/>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NIL</w:t>
            </w:r>
          </w:p>
        </w:tc>
        <w:tc>
          <w:tcPr>
            <w:tcW w:w="1260" w:type="dxa"/>
            <w:gridSpan w:val="2"/>
            <w:tcBorders>
              <w:top w:val="nil"/>
              <w:left w:val="nil"/>
              <w:bottom w:val="single" w:sz="4" w:space="0" w:color="auto"/>
              <w:right w:val="single" w:sz="4" w:space="0" w:color="auto"/>
            </w:tcBorders>
            <w:shd w:val="clear" w:color="auto" w:fill="auto"/>
            <w:noWrap/>
            <w:vAlign w:val="center"/>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NIL</w:t>
            </w:r>
          </w:p>
        </w:tc>
        <w:tc>
          <w:tcPr>
            <w:tcW w:w="1188" w:type="dxa"/>
            <w:tcBorders>
              <w:top w:val="nil"/>
              <w:left w:val="nil"/>
              <w:bottom w:val="single" w:sz="4" w:space="0" w:color="auto"/>
              <w:right w:val="single" w:sz="4" w:space="0" w:color="auto"/>
            </w:tcBorders>
            <w:vAlign w:val="center"/>
          </w:tcPr>
          <w:p w:rsidR="00261095" w:rsidRPr="00261095" w:rsidRDefault="00261095" w:rsidP="00261095">
            <w:pPr>
              <w:jc w:val="center"/>
              <w:rPr>
                <w:rFonts w:ascii="Arial" w:hAnsi="Arial" w:cs="Arial"/>
                <w:color w:val="000000"/>
                <w:lang w:val="en-GB"/>
              </w:rPr>
            </w:pPr>
            <w:r w:rsidRPr="00261095">
              <w:rPr>
                <w:rFonts w:ascii="Arial" w:hAnsi="Arial" w:cs="Arial"/>
                <w:color w:val="000000"/>
                <w:lang w:val="en-GB"/>
              </w:rPr>
              <w:t>NIL</w:t>
            </w:r>
          </w:p>
        </w:tc>
      </w:tr>
    </w:tbl>
    <w:p w:rsidR="00261095" w:rsidRPr="00261095" w:rsidRDefault="00261095" w:rsidP="00261095">
      <w:pPr>
        <w:tabs>
          <w:tab w:val="left" w:pos="-1440"/>
          <w:tab w:val="left" w:pos="-720"/>
          <w:tab w:val="left" w:pos="1"/>
          <w:tab w:val="right" w:pos="9000"/>
        </w:tabs>
        <w:jc w:val="both"/>
        <w:rPr>
          <w:rFonts w:ascii="Arial" w:hAnsi="Arial" w:cs="Arial"/>
          <w:iCs/>
          <w:sz w:val="17"/>
          <w:szCs w:val="17"/>
          <w:lang w:val="en-GB"/>
        </w:rPr>
      </w:pPr>
    </w:p>
    <w:p w:rsidR="00261095" w:rsidRPr="00261095" w:rsidRDefault="00261095" w:rsidP="00261095">
      <w:pPr>
        <w:tabs>
          <w:tab w:val="left" w:pos="-1440"/>
          <w:tab w:val="left" w:pos="-720"/>
          <w:tab w:val="left" w:pos="1"/>
          <w:tab w:val="right" w:pos="9000"/>
        </w:tabs>
        <w:jc w:val="both"/>
        <w:rPr>
          <w:rFonts w:ascii="Arial" w:hAnsi="Arial" w:cs="Arial"/>
          <w:iCs/>
          <w:sz w:val="17"/>
          <w:szCs w:val="17"/>
        </w:rPr>
      </w:pPr>
      <w:r w:rsidRPr="00261095">
        <w:rPr>
          <w:rFonts w:ascii="Arial" w:hAnsi="Arial" w:cs="Arial"/>
          <w:iCs/>
          <w:sz w:val="17"/>
          <w:szCs w:val="17"/>
        </w:rPr>
        <w:t xml:space="preserve">Source: Prepared by the authors with information accessed July 8, 2015, Ministry of Finance, </w:t>
      </w:r>
      <w:hyperlink r:id="rId20" w:history="1">
        <w:r w:rsidR="00F167CC" w:rsidRPr="00261095">
          <w:rPr>
            <w:rFonts w:ascii="Arial" w:hAnsi="Arial" w:cs="Arial"/>
            <w:iCs/>
            <w:sz w:val="17"/>
            <w:szCs w:val="17"/>
          </w:rPr>
          <w:t>http://finmin.nic.in</w:t>
        </w:r>
      </w:hyperlink>
      <w:r w:rsidR="00F167CC" w:rsidRPr="00261095">
        <w:rPr>
          <w:rFonts w:ascii="Arial" w:hAnsi="Arial" w:cs="Arial"/>
          <w:iCs/>
          <w:sz w:val="17"/>
          <w:szCs w:val="17"/>
        </w:rPr>
        <w:t>;</w:t>
      </w:r>
      <w:r w:rsidRPr="00261095">
        <w:rPr>
          <w:rFonts w:ascii="Arial" w:hAnsi="Arial" w:cs="Arial"/>
          <w:iCs/>
          <w:sz w:val="17"/>
          <w:szCs w:val="17"/>
        </w:rPr>
        <w:t xml:space="preserve"> Income Tax Department, www.incometaxindia.gov.in/Pages/default.aspx; and Raja Babu, “Special Income Tax Rates on Long Term-Short Term Capital Gain,” </w:t>
      </w:r>
      <w:hyperlink r:id="rId21" w:history="1">
        <w:r w:rsidR="00F167CC" w:rsidRPr="00261095">
          <w:rPr>
            <w:rFonts w:ascii="Arial" w:hAnsi="Arial" w:cs="Arial"/>
            <w:iCs/>
            <w:sz w:val="17"/>
            <w:szCs w:val="17"/>
          </w:rPr>
          <w:t>www.itaxindia.org/2011/10/special-income-tax-rates-on-long-term.html</w:t>
        </w:r>
      </w:hyperlink>
      <w:r w:rsidRPr="00261095">
        <w:rPr>
          <w:rFonts w:ascii="Arial" w:hAnsi="Arial" w:cs="Arial"/>
          <w:iCs/>
          <w:sz w:val="17"/>
          <w:szCs w:val="17"/>
        </w:rPr>
        <w:t>.</w:t>
      </w:r>
    </w:p>
    <w:p w:rsidR="00261095" w:rsidRPr="00261095" w:rsidRDefault="00261095" w:rsidP="00261095">
      <w:pPr>
        <w:tabs>
          <w:tab w:val="left" w:pos="-1440"/>
          <w:tab w:val="left" w:pos="-720"/>
          <w:tab w:val="left" w:pos="1"/>
          <w:tab w:val="right" w:pos="9000"/>
        </w:tabs>
        <w:jc w:val="both"/>
      </w:pPr>
    </w:p>
    <w:sectPr w:rsidR="00261095" w:rsidRPr="00261095" w:rsidSect="00261095">
      <w:headerReference w:type="default" r:id="rId22"/>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944" w:rsidRDefault="00A62944" w:rsidP="00D75295">
      <w:r>
        <w:separator/>
      </w:r>
    </w:p>
  </w:endnote>
  <w:endnote w:type="continuationSeparator" w:id="0">
    <w:p w:rsidR="00A62944" w:rsidRDefault="00A6294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944" w:rsidRDefault="00A62944" w:rsidP="00D75295">
      <w:r>
        <w:separator/>
      </w:r>
    </w:p>
  </w:footnote>
  <w:footnote w:type="continuationSeparator" w:id="0">
    <w:p w:rsidR="00A62944" w:rsidRDefault="00A62944" w:rsidP="00D75295">
      <w:r>
        <w:continuationSeparator/>
      </w:r>
    </w:p>
  </w:footnote>
  <w:footnote w:id="1">
    <w:p w:rsidR="00A62944" w:rsidRDefault="00A62944" w:rsidP="00D95FCD">
      <w:pPr>
        <w:pStyle w:val="FootnoteText1"/>
      </w:pPr>
      <w:r>
        <w:rPr>
          <w:rStyle w:val="FootnoteReference"/>
        </w:rPr>
        <w:footnoteRef/>
      </w:r>
      <w:r>
        <w:t xml:space="preserve"> This case has been written on the basis of published sources only. Consequently, the interpretation and perspectives presented in this case are not necessarily those of SRF Limited or any of its employees.</w:t>
      </w:r>
    </w:p>
  </w:footnote>
  <w:footnote w:id="2">
    <w:p w:rsidR="00A62944" w:rsidRPr="004628F5" w:rsidRDefault="00A62944" w:rsidP="00E14173">
      <w:pPr>
        <w:pStyle w:val="FootnoteText1"/>
      </w:pPr>
      <w:r w:rsidRPr="008D1A40">
        <w:rPr>
          <w:rStyle w:val="FootnoteReference"/>
        </w:rPr>
        <w:footnoteRef/>
      </w:r>
      <w:r w:rsidRPr="008D1A40">
        <w:t xml:space="preserve"> ₹ = INR =</w:t>
      </w:r>
      <w:r>
        <w:t xml:space="preserve"> </w:t>
      </w:r>
      <w:r w:rsidRPr="008D1A40">
        <w:t xml:space="preserve">Indian rupee; </w:t>
      </w:r>
      <w:r>
        <w:t>a</w:t>
      </w:r>
      <w:r w:rsidRPr="008D1A40">
        <w:t>ll currency amounts are in ₹ unless otherwise specified</w:t>
      </w:r>
      <w:r>
        <w:t>;</w:t>
      </w:r>
      <w:r w:rsidRPr="008D1A40">
        <w:t xml:space="preserve"> US$1 = ₹</w:t>
      </w:r>
      <w:r>
        <w:t>51</w:t>
      </w:r>
      <w:r w:rsidRPr="008D1A40">
        <w:t xml:space="preserve"> on April 5, 2012.</w:t>
      </w:r>
    </w:p>
  </w:footnote>
  <w:footnote w:id="3">
    <w:p w:rsidR="00A62944" w:rsidRPr="00174F1E" w:rsidRDefault="00A62944" w:rsidP="00E14173">
      <w:pPr>
        <w:pStyle w:val="FootnoteText1"/>
      </w:pPr>
      <w:r>
        <w:rPr>
          <w:rStyle w:val="FootnoteReference"/>
        </w:rPr>
        <w:footnoteRef/>
      </w:r>
      <w:r w:rsidRPr="00174F1E">
        <w:t xml:space="preserve"> SRF Ltd. Annual Report 2011</w:t>
      </w:r>
      <w:r>
        <w:t>–</w:t>
      </w:r>
      <w:r w:rsidRPr="00174F1E">
        <w:t>12, Schedule 19, p</w:t>
      </w:r>
      <w:r>
        <w:t>.</w:t>
      </w:r>
      <w:r w:rsidRPr="00174F1E">
        <w:t xml:space="preserve"> 62 (excluding excise duty)</w:t>
      </w:r>
      <w:r>
        <w:t>.</w:t>
      </w:r>
    </w:p>
  </w:footnote>
  <w:footnote w:id="4">
    <w:p w:rsidR="00A62944" w:rsidRPr="00551746" w:rsidRDefault="00A62944" w:rsidP="00E14173">
      <w:pPr>
        <w:pStyle w:val="FootnoteText1"/>
        <w:rPr>
          <w:lang w:val="en-GB"/>
        </w:rPr>
      </w:pPr>
      <w:r w:rsidRPr="00551746">
        <w:rPr>
          <w:rStyle w:val="FootnoteReference"/>
          <w:lang w:val="en-GB"/>
        </w:rPr>
        <w:footnoteRef/>
      </w:r>
      <w:r w:rsidRPr="00551746">
        <w:rPr>
          <w:lang w:val="en-GB"/>
        </w:rPr>
        <w:t xml:space="preserve"> </w:t>
      </w:r>
      <w:r>
        <w:rPr>
          <w:lang w:val="en-GB"/>
        </w:rPr>
        <w:t>Various SRF Ltd. annual reports, accessed July 8, 2015,</w:t>
      </w:r>
      <w:r w:rsidRPr="002C3BC9">
        <w:rPr>
          <w:lang w:val="en-GB"/>
        </w:rPr>
        <w:t xml:space="preserve"> www.srf.com/investor-relations/investors.html#reports</w:t>
      </w:r>
      <w:r>
        <w:rPr>
          <w:lang w:val="en-GB"/>
        </w:rPr>
        <w:t>.</w:t>
      </w:r>
    </w:p>
  </w:footnote>
  <w:footnote w:id="5">
    <w:p w:rsidR="00A62944" w:rsidRPr="00551746" w:rsidRDefault="00A62944" w:rsidP="00E14173">
      <w:pPr>
        <w:pStyle w:val="FootnoteText1"/>
        <w:rPr>
          <w:lang w:val="en-GB"/>
        </w:rPr>
      </w:pPr>
      <w:r w:rsidRPr="00551746">
        <w:rPr>
          <w:rStyle w:val="FootnoteReference"/>
          <w:lang w:val="en-GB"/>
        </w:rPr>
        <w:footnoteRef/>
      </w:r>
      <w:r w:rsidRPr="00551746">
        <w:rPr>
          <w:lang w:val="en-GB"/>
        </w:rPr>
        <w:t xml:space="preserve"> </w:t>
      </w:r>
      <w:r w:rsidRPr="002C3BC9">
        <w:rPr>
          <w:lang w:val="en-GB"/>
        </w:rPr>
        <w:t>Various SRF Ltd. annual reports</w:t>
      </w:r>
      <w:r>
        <w:rPr>
          <w:lang w:val="en-GB"/>
        </w:rPr>
        <w:t xml:space="preserve">, accessed July 8, 2015, </w:t>
      </w:r>
      <w:r w:rsidRPr="008D51D6">
        <w:rPr>
          <w:lang w:val="en-GB"/>
        </w:rPr>
        <w:t>www.srf.com/investor-relations/investors.html#reports</w:t>
      </w:r>
      <w:r>
        <w:rPr>
          <w:lang w:val="en-GB"/>
        </w:rPr>
        <w:t>.</w:t>
      </w:r>
    </w:p>
  </w:footnote>
  <w:footnote w:id="6">
    <w:p w:rsidR="00A62944" w:rsidRDefault="00A62944" w:rsidP="00E14173">
      <w:pPr>
        <w:pStyle w:val="FootnoteText1"/>
      </w:pPr>
      <w:r>
        <w:rPr>
          <w:rStyle w:val="FootnoteReference"/>
        </w:rPr>
        <w:footnoteRef/>
      </w:r>
      <w:r>
        <w:t xml:space="preserve"> Various facts and figures related to production, factories, and products are taken from the Management Discussion and Analysis (MDA) section of various annual reports of SRF Ltd., accessed July 8, 2015,</w:t>
      </w:r>
      <w:r w:rsidRPr="008D51D6">
        <w:rPr>
          <w:lang w:val="en-GB"/>
        </w:rPr>
        <w:t xml:space="preserve"> www.srf.com/investor-relations/investors.html#reports</w:t>
      </w:r>
      <w:r>
        <w:t>.</w:t>
      </w:r>
    </w:p>
  </w:footnote>
  <w:footnote w:id="7">
    <w:p w:rsidR="00A62944" w:rsidRPr="00551746" w:rsidRDefault="00A62944" w:rsidP="00E14173">
      <w:pPr>
        <w:pStyle w:val="FootnoteText1"/>
        <w:rPr>
          <w:lang w:val="en-GB"/>
        </w:rPr>
      </w:pPr>
      <w:r w:rsidRPr="00551746">
        <w:rPr>
          <w:rStyle w:val="FootnoteReference"/>
          <w:lang w:val="en-GB"/>
        </w:rPr>
        <w:footnoteRef/>
      </w:r>
      <w:r w:rsidRPr="00551746">
        <w:rPr>
          <w:lang w:val="en-GB"/>
        </w:rPr>
        <w:t xml:space="preserve"> Afshan Yasmeen, </w:t>
      </w:r>
      <w:r>
        <w:rPr>
          <w:lang w:val="en-GB"/>
        </w:rPr>
        <w:t>“</w:t>
      </w:r>
      <w:r w:rsidRPr="00551746">
        <w:rPr>
          <w:lang w:val="en-GB"/>
        </w:rPr>
        <w:t xml:space="preserve">Gutka </w:t>
      </w:r>
      <w:r>
        <w:rPr>
          <w:lang w:val="en-GB"/>
        </w:rPr>
        <w:t>M</w:t>
      </w:r>
      <w:r w:rsidRPr="00551746">
        <w:rPr>
          <w:lang w:val="en-GB"/>
        </w:rPr>
        <w:t xml:space="preserve">ore </w:t>
      </w:r>
      <w:r>
        <w:rPr>
          <w:lang w:val="en-GB"/>
        </w:rPr>
        <w:t>H</w:t>
      </w:r>
      <w:r w:rsidRPr="00551746">
        <w:rPr>
          <w:lang w:val="en-GB"/>
        </w:rPr>
        <w:t xml:space="preserve">armful than </w:t>
      </w:r>
      <w:r>
        <w:rPr>
          <w:lang w:val="en-GB"/>
        </w:rPr>
        <w:t>O</w:t>
      </w:r>
      <w:r w:rsidRPr="00551746">
        <w:rPr>
          <w:lang w:val="en-GB"/>
        </w:rPr>
        <w:t xml:space="preserve">ther </w:t>
      </w:r>
      <w:r>
        <w:rPr>
          <w:lang w:val="en-GB"/>
        </w:rPr>
        <w:t>F</w:t>
      </w:r>
      <w:r w:rsidRPr="00551746">
        <w:rPr>
          <w:lang w:val="en-GB"/>
        </w:rPr>
        <w:t xml:space="preserve">orms of </w:t>
      </w:r>
      <w:r>
        <w:rPr>
          <w:lang w:val="en-GB"/>
        </w:rPr>
        <w:t>T</w:t>
      </w:r>
      <w:r w:rsidRPr="00551746">
        <w:rPr>
          <w:lang w:val="en-GB"/>
        </w:rPr>
        <w:t>obacco,</w:t>
      </w:r>
      <w:r>
        <w:rPr>
          <w:lang w:val="en-GB"/>
        </w:rPr>
        <w:t>”</w:t>
      </w:r>
      <w:r w:rsidRPr="00551746">
        <w:rPr>
          <w:lang w:val="en-GB"/>
        </w:rPr>
        <w:t xml:space="preserve"> </w:t>
      </w:r>
      <w:r w:rsidRPr="004628F5">
        <w:rPr>
          <w:lang w:val="en-GB"/>
        </w:rPr>
        <w:t>The Hindu</w:t>
      </w:r>
      <w:r w:rsidRPr="0039162D">
        <w:rPr>
          <w:lang w:val="en-GB"/>
        </w:rPr>
        <w:t>,</w:t>
      </w:r>
      <w:r w:rsidRPr="00551746">
        <w:rPr>
          <w:lang w:val="en-GB"/>
        </w:rPr>
        <w:t xml:space="preserve"> June 7, 2016, accessed February 23, 2017, www.thehindu.com/news/national/karnataka/gutka-more-harmful-than-other-forms-of-tobacco/article4769653.ece</w:t>
      </w:r>
      <w:r>
        <w:rPr>
          <w:lang w:val="en-GB"/>
        </w:rPr>
        <w:t>.</w:t>
      </w:r>
    </w:p>
  </w:footnote>
  <w:footnote w:id="8">
    <w:p w:rsidR="00A62944" w:rsidRDefault="00A62944" w:rsidP="00E14173">
      <w:pPr>
        <w:pStyle w:val="FootnoteText1"/>
      </w:pPr>
      <w:r>
        <w:rPr>
          <w:rStyle w:val="FootnoteReference"/>
        </w:rPr>
        <w:footnoteRef/>
      </w:r>
      <w:r>
        <w:t xml:space="preserve"> Details related to product, processes, production, plant locations, etc. are based on the Management Discussion and Analysis (MDA) sections of various annual reports of SRF Ltd., accessed July 8, 2015, </w:t>
      </w:r>
      <w:r w:rsidRPr="008D51D6">
        <w:rPr>
          <w:lang w:val="en-GB"/>
        </w:rPr>
        <w:t>www.srf.com/investor-relations/investors.html#reports</w:t>
      </w:r>
      <w:r>
        <w:rPr>
          <w:lang w:val="en-GB"/>
        </w:rPr>
        <w:t>.</w:t>
      </w:r>
    </w:p>
  </w:footnote>
  <w:footnote w:id="9">
    <w:p w:rsidR="00A62944" w:rsidRPr="00551746" w:rsidRDefault="00A62944" w:rsidP="00E14173">
      <w:pPr>
        <w:pStyle w:val="FootnoteText1"/>
        <w:rPr>
          <w:lang w:val="en-GB"/>
        </w:rPr>
      </w:pPr>
      <w:r w:rsidRPr="00551746">
        <w:rPr>
          <w:rStyle w:val="FootnoteReference"/>
          <w:lang w:val="en-GB"/>
        </w:rPr>
        <w:footnoteRef/>
      </w:r>
      <w:r w:rsidRPr="00551746">
        <w:rPr>
          <w:lang w:val="en-GB"/>
        </w:rPr>
        <w:t xml:space="preserve"> </w:t>
      </w:r>
      <w:r>
        <w:rPr>
          <w:lang w:val="en-GB"/>
        </w:rPr>
        <w:t>“</w:t>
      </w:r>
      <w:r w:rsidRPr="00DE65C2">
        <w:rPr>
          <w:lang w:val="en-GB"/>
        </w:rPr>
        <w:t xml:space="preserve">India Ratings </w:t>
      </w:r>
      <w:r>
        <w:rPr>
          <w:lang w:val="en-GB"/>
        </w:rPr>
        <w:t>A</w:t>
      </w:r>
      <w:r w:rsidRPr="00DE65C2">
        <w:rPr>
          <w:lang w:val="en-GB"/>
        </w:rPr>
        <w:t xml:space="preserve">ffirms SRF at </w:t>
      </w:r>
      <w:r>
        <w:rPr>
          <w:lang w:val="en-GB"/>
        </w:rPr>
        <w:t>‘</w:t>
      </w:r>
      <w:r w:rsidRPr="00DE65C2">
        <w:rPr>
          <w:lang w:val="en-GB"/>
        </w:rPr>
        <w:t>IND AA</w:t>
      </w:r>
      <w:r>
        <w:rPr>
          <w:lang w:val="en-GB"/>
        </w:rPr>
        <w:t>’/S</w:t>
      </w:r>
      <w:r w:rsidRPr="00DE65C2">
        <w:rPr>
          <w:lang w:val="en-GB"/>
        </w:rPr>
        <w:t>table,</w:t>
      </w:r>
      <w:r>
        <w:rPr>
          <w:lang w:val="en-GB"/>
        </w:rPr>
        <w:t>”</w:t>
      </w:r>
      <w:r w:rsidRPr="00DE65C2">
        <w:rPr>
          <w:lang w:val="en-GB"/>
        </w:rPr>
        <w:t xml:space="preserve"> </w:t>
      </w:r>
      <w:r w:rsidRPr="0039162D">
        <w:rPr>
          <w:lang w:val="en-GB"/>
        </w:rPr>
        <w:t>money control</w:t>
      </w:r>
      <w:r w:rsidRPr="00DE65C2">
        <w:rPr>
          <w:lang w:val="en-GB"/>
        </w:rPr>
        <w:t>, Sep</w:t>
      </w:r>
      <w:r>
        <w:rPr>
          <w:lang w:val="en-GB"/>
        </w:rPr>
        <w:t>tember</w:t>
      </w:r>
      <w:r w:rsidRPr="00DE65C2">
        <w:rPr>
          <w:lang w:val="en-GB"/>
        </w:rPr>
        <w:t xml:space="preserve"> 26, 2012, accessed February 23, 2017,</w:t>
      </w:r>
      <w:r>
        <w:rPr>
          <w:lang w:val="en-GB"/>
        </w:rPr>
        <w:t xml:space="preserve"> </w:t>
      </w:r>
      <w:r w:rsidRPr="00551746">
        <w:rPr>
          <w:lang w:val="en-GB"/>
        </w:rPr>
        <w:t>www.moneycontrol.com/news/fitch-research/india-ratings-affirms-srf-at-%60ind-aa%60-stable_761993.html</w:t>
      </w:r>
      <w:r>
        <w:rPr>
          <w:lang w:val="en-GB"/>
        </w:rPr>
        <w:t>.</w:t>
      </w:r>
    </w:p>
  </w:footnote>
  <w:footnote w:id="10">
    <w:p w:rsidR="00A62944" w:rsidRDefault="00A62944" w:rsidP="00E14173">
      <w:pPr>
        <w:pStyle w:val="FootnoteText1"/>
      </w:pPr>
      <w:r>
        <w:rPr>
          <w:rStyle w:val="FootnoteReference"/>
        </w:rPr>
        <w:footnoteRef/>
      </w:r>
      <w:r>
        <w:t xml:space="preserve"> Details related to stocks (such as number of buybacks, date of announcement, and price) mentioned here are based on various annual reports, accessed July 8, 2015, </w:t>
      </w:r>
      <w:r w:rsidRPr="008D51D6">
        <w:rPr>
          <w:lang w:val="en-GB"/>
        </w:rPr>
        <w:t>www.srf.com/investor-relations/investors.html#reports</w:t>
      </w:r>
      <w:r>
        <w:rPr>
          <w:lang w:val="en-GB"/>
        </w:rPr>
        <w:t>.</w:t>
      </w:r>
    </w:p>
  </w:footnote>
  <w:footnote w:id="11">
    <w:p w:rsidR="00A62944" w:rsidRDefault="00A62944" w:rsidP="00E14173">
      <w:pPr>
        <w:pStyle w:val="FootnoteText1"/>
      </w:pPr>
      <w:r>
        <w:rPr>
          <w:rStyle w:val="FootnoteReference"/>
        </w:rPr>
        <w:footnoteRef/>
      </w:r>
      <w:r>
        <w:t xml:space="preserve"> Some details mentioned here are based on various annual reports, accessed July 8, 2015,</w:t>
      </w:r>
      <w:r w:rsidRPr="008D51D6">
        <w:rPr>
          <w:lang w:val="en-GB"/>
        </w:rPr>
        <w:t xml:space="preserve"> www.srf.com/investor-relations/investors.html#reports</w:t>
      </w:r>
      <w:r>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944" w:rsidRPr="00C92CC4" w:rsidRDefault="00A6294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C236B">
      <w:rPr>
        <w:rFonts w:ascii="Arial" w:hAnsi="Arial"/>
        <w:b/>
        <w:noProof/>
      </w:rPr>
      <w:t>14</w:t>
    </w:r>
    <w:r>
      <w:rPr>
        <w:rFonts w:ascii="Arial" w:hAnsi="Arial"/>
        <w:b/>
      </w:rPr>
      <w:fldChar w:fldCharType="end"/>
    </w:r>
    <w:r>
      <w:rPr>
        <w:rFonts w:ascii="Arial" w:hAnsi="Arial"/>
        <w:b/>
      </w:rPr>
      <w:tab/>
      <w:t>9B17N012</w:t>
    </w:r>
  </w:p>
  <w:p w:rsidR="00A62944" w:rsidRDefault="00A62944" w:rsidP="00D13667">
    <w:pPr>
      <w:pStyle w:val="Header"/>
      <w:tabs>
        <w:tab w:val="clear" w:pos="4680"/>
      </w:tabs>
      <w:rPr>
        <w:sz w:val="18"/>
        <w:szCs w:val="18"/>
      </w:rPr>
    </w:pPr>
  </w:p>
  <w:p w:rsidR="00A62944" w:rsidRPr="00C92CC4" w:rsidRDefault="00A62944"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944" w:rsidRPr="00C92CC4" w:rsidRDefault="00A62944" w:rsidP="00037A65">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C236B">
      <w:rPr>
        <w:rFonts w:ascii="Arial" w:hAnsi="Arial"/>
        <w:b/>
        <w:noProof/>
      </w:rPr>
      <w:t>15</w:t>
    </w:r>
    <w:r>
      <w:rPr>
        <w:rFonts w:ascii="Arial" w:hAnsi="Arial"/>
        <w:b/>
      </w:rPr>
      <w:fldChar w:fldCharType="end"/>
    </w:r>
    <w:r>
      <w:rPr>
        <w:rFonts w:ascii="Arial" w:hAnsi="Arial"/>
        <w:b/>
      </w:rPr>
      <w:tab/>
      <w:t>9B17N012</w:t>
    </w:r>
  </w:p>
  <w:p w:rsidR="00A62944" w:rsidRDefault="00A62944" w:rsidP="00037A65">
    <w:pPr>
      <w:pStyle w:val="Header"/>
      <w:tabs>
        <w:tab w:val="clear" w:pos="4680"/>
        <w:tab w:val="clear" w:pos="9360"/>
        <w:tab w:val="right" w:pos="12960"/>
      </w:tabs>
      <w:rPr>
        <w:sz w:val="18"/>
        <w:szCs w:val="18"/>
      </w:rPr>
    </w:pPr>
  </w:p>
  <w:p w:rsidR="00A62944" w:rsidRPr="00C92CC4" w:rsidRDefault="00A62944" w:rsidP="00037A65">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944" w:rsidRPr="00C92CC4" w:rsidRDefault="00A62944" w:rsidP="00037A65">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C236B">
      <w:rPr>
        <w:rFonts w:ascii="Arial" w:hAnsi="Arial"/>
        <w:b/>
        <w:noProof/>
      </w:rPr>
      <w:t>16</w:t>
    </w:r>
    <w:r>
      <w:rPr>
        <w:rFonts w:ascii="Arial" w:hAnsi="Arial"/>
        <w:b/>
      </w:rPr>
      <w:fldChar w:fldCharType="end"/>
    </w:r>
    <w:r>
      <w:rPr>
        <w:rFonts w:ascii="Arial" w:hAnsi="Arial"/>
        <w:b/>
      </w:rPr>
      <w:tab/>
      <w:t>9B17N012</w:t>
    </w:r>
  </w:p>
  <w:p w:rsidR="00A62944" w:rsidRDefault="00A62944" w:rsidP="00037A65">
    <w:pPr>
      <w:pStyle w:val="Header"/>
      <w:tabs>
        <w:tab w:val="clear" w:pos="4680"/>
      </w:tabs>
      <w:rPr>
        <w:sz w:val="18"/>
        <w:szCs w:val="18"/>
      </w:rPr>
    </w:pPr>
  </w:p>
  <w:p w:rsidR="00A62944" w:rsidRPr="00C92CC4" w:rsidRDefault="00A62944" w:rsidP="00037A65">
    <w:pPr>
      <w:pStyle w:val="Header"/>
      <w:tabs>
        <w:tab w:val="clear" w:pos="468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944" w:rsidRPr="00C92CC4" w:rsidRDefault="00A62944" w:rsidP="00261095">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C236B">
      <w:rPr>
        <w:rFonts w:ascii="Arial" w:hAnsi="Arial"/>
        <w:b/>
        <w:noProof/>
      </w:rPr>
      <w:t>17</w:t>
    </w:r>
    <w:r>
      <w:rPr>
        <w:rFonts w:ascii="Arial" w:hAnsi="Arial"/>
        <w:b/>
      </w:rPr>
      <w:fldChar w:fldCharType="end"/>
    </w:r>
    <w:r>
      <w:rPr>
        <w:rFonts w:ascii="Arial" w:hAnsi="Arial"/>
        <w:b/>
      </w:rPr>
      <w:tab/>
      <w:t>9B17N012</w:t>
    </w:r>
  </w:p>
  <w:p w:rsidR="00A62944" w:rsidRDefault="00A62944" w:rsidP="00261095">
    <w:pPr>
      <w:pStyle w:val="Header"/>
      <w:tabs>
        <w:tab w:val="clear" w:pos="4680"/>
        <w:tab w:val="clear" w:pos="9360"/>
        <w:tab w:val="right" w:pos="12960"/>
      </w:tabs>
      <w:rPr>
        <w:sz w:val="18"/>
        <w:szCs w:val="18"/>
      </w:rPr>
    </w:pPr>
  </w:p>
  <w:p w:rsidR="00A62944" w:rsidRPr="00C92CC4" w:rsidRDefault="00A62944" w:rsidP="00261095">
    <w:pPr>
      <w:pStyle w:val="Header"/>
      <w:tabs>
        <w:tab w:val="clear" w:pos="4680"/>
        <w:tab w:val="clear" w:pos="9360"/>
        <w:tab w:val="right" w:pos="12960"/>
      </w:tabs>
      <w:rPr>
        <w:sz w:val="18"/>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944" w:rsidRPr="00C92CC4" w:rsidRDefault="00A62944" w:rsidP="00261095">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C236B">
      <w:rPr>
        <w:rFonts w:ascii="Arial" w:hAnsi="Arial"/>
        <w:b/>
        <w:noProof/>
      </w:rPr>
      <w:t>19</w:t>
    </w:r>
    <w:r>
      <w:rPr>
        <w:rFonts w:ascii="Arial" w:hAnsi="Arial"/>
        <w:b/>
      </w:rPr>
      <w:fldChar w:fldCharType="end"/>
    </w:r>
    <w:r>
      <w:rPr>
        <w:rFonts w:ascii="Arial" w:hAnsi="Arial"/>
        <w:b/>
      </w:rPr>
      <w:tab/>
      <w:t>9B17N012</w:t>
    </w:r>
  </w:p>
  <w:p w:rsidR="00A62944" w:rsidRDefault="00A62944" w:rsidP="00261095">
    <w:pPr>
      <w:pStyle w:val="Header"/>
      <w:tabs>
        <w:tab w:val="clear" w:pos="4680"/>
      </w:tabs>
      <w:rPr>
        <w:sz w:val="18"/>
        <w:szCs w:val="18"/>
      </w:rPr>
    </w:pPr>
  </w:p>
  <w:p w:rsidR="00A62944" w:rsidRPr="00C92CC4" w:rsidRDefault="00A62944" w:rsidP="00261095">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5FE6DAA"/>
    <w:lvl w:ilvl="0">
      <w:start w:val="1"/>
      <w:numFmt w:val="decimal"/>
      <w:lvlText w:val="%1."/>
      <w:lvlJc w:val="left"/>
      <w:pPr>
        <w:tabs>
          <w:tab w:val="num" w:pos="1800"/>
        </w:tabs>
        <w:ind w:left="1800" w:hanging="360"/>
      </w:pPr>
    </w:lvl>
  </w:abstractNum>
  <w:abstractNum w:abstractNumId="1">
    <w:nsid w:val="FFFFFF7D"/>
    <w:multiLevelType w:val="singleLevel"/>
    <w:tmpl w:val="39E0C5F2"/>
    <w:lvl w:ilvl="0">
      <w:start w:val="1"/>
      <w:numFmt w:val="decimal"/>
      <w:lvlText w:val="%1."/>
      <w:lvlJc w:val="left"/>
      <w:pPr>
        <w:tabs>
          <w:tab w:val="num" w:pos="1440"/>
        </w:tabs>
        <w:ind w:left="1440" w:hanging="360"/>
      </w:pPr>
    </w:lvl>
  </w:abstractNum>
  <w:abstractNum w:abstractNumId="2">
    <w:nsid w:val="FFFFFF7E"/>
    <w:multiLevelType w:val="singleLevel"/>
    <w:tmpl w:val="E6803870"/>
    <w:lvl w:ilvl="0">
      <w:start w:val="1"/>
      <w:numFmt w:val="decimal"/>
      <w:lvlText w:val="%1."/>
      <w:lvlJc w:val="left"/>
      <w:pPr>
        <w:tabs>
          <w:tab w:val="num" w:pos="1080"/>
        </w:tabs>
        <w:ind w:left="1080" w:hanging="360"/>
      </w:pPr>
    </w:lvl>
  </w:abstractNum>
  <w:abstractNum w:abstractNumId="3">
    <w:nsid w:val="FFFFFF7F"/>
    <w:multiLevelType w:val="singleLevel"/>
    <w:tmpl w:val="57F6F10C"/>
    <w:lvl w:ilvl="0">
      <w:start w:val="1"/>
      <w:numFmt w:val="decimal"/>
      <w:lvlText w:val="%1."/>
      <w:lvlJc w:val="left"/>
      <w:pPr>
        <w:tabs>
          <w:tab w:val="num" w:pos="720"/>
        </w:tabs>
        <w:ind w:left="720" w:hanging="360"/>
      </w:pPr>
    </w:lvl>
  </w:abstractNum>
  <w:abstractNum w:abstractNumId="4">
    <w:nsid w:val="FFFFFF80"/>
    <w:multiLevelType w:val="singleLevel"/>
    <w:tmpl w:val="0CB61CE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7C68D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D004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BFC14F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16749E"/>
    <w:lvl w:ilvl="0">
      <w:start w:val="1"/>
      <w:numFmt w:val="decimal"/>
      <w:lvlText w:val="%1."/>
      <w:lvlJc w:val="left"/>
      <w:pPr>
        <w:tabs>
          <w:tab w:val="num" w:pos="360"/>
        </w:tabs>
        <w:ind w:left="360" w:hanging="360"/>
      </w:pPr>
    </w:lvl>
  </w:abstractNum>
  <w:abstractNum w:abstractNumId="9">
    <w:nsid w:val="FFFFFF89"/>
    <w:multiLevelType w:val="singleLevel"/>
    <w:tmpl w:val="A176AA8E"/>
    <w:lvl w:ilvl="0">
      <w:start w:val="1"/>
      <w:numFmt w:val="bullet"/>
      <w:lvlText w:val=""/>
      <w:lvlJc w:val="left"/>
      <w:pPr>
        <w:tabs>
          <w:tab w:val="num" w:pos="360"/>
        </w:tabs>
        <w:ind w:left="360" w:hanging="360"/>
      </w:pPr>
      <w:rPr>
        <w:rFonts w:ascii="Symbol" w:hAnsi="Symbol" w:hint="default"/>
      </w:rPr>
    </w:lvl>
  </w:abstractNum>
  <w:abstractNum w:abstractNumId="10">
    <w:nsid w:val="01566B03"/>
    <w:multiLevelType w:val="hybridMultilevel"/>
    <w:tmpl w:val="5802B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2D7B89"/>
    <w:multiLevelType w:val="singleLevel"/>
    <w:tmpl w:val="0409000F"/>
    <w:lvl w:ilvl="0">
      <w:start w:val="1"/>
      <w:numFmt w:val="decimal"/>
      <w:lvlText w:val="%1."/>
      <w:lvlJc w:val="left"/>
      <w:pPr>
        <w:tabs>
          <w:tab w:val="num" w:pos="360"/>
        </w:tabs>
        <w:ind w:left="360" w:hanging="360"/>
      </w:pPr>
    </w:lvl>
  </w:abstractNum>
  <w:abstractNum w:abstractNumId="25">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2"/>
  </w:num>
  <w:num w:numId="10">
    <w:abstractNumId w:val="19"/>
  </w:num>
  <w:num w:numId="11">
    <w:abstractNumId w:val="13"/>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1"/>
  </w:num>
  <w:num w:numId="24">
    <w:abstractNumId w:val="14"/>
  </w:num>
  <w:num w:numId="25">
    <w:abstractNumId w:val="38"/>
  </w:num>
  <w:num w:numId="26">
    <w:abstractNumId w:val="39"/>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37A65"/>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24D5"/>
    <w:rsid w:val="00213E98"/>
    <w:rsid w:val="0023081A"/>
    <w:rsid w:val="00261095"/>
    <w:rsid w:val="002F460C"/>
    <w:rsid w:val="002F48D6"/>
    <w:rsid w:val="00317391"/>
    <w:rsid w:val="00326216"/>
    <w:rsid w:val="00336580"/>
    <w:rsid w:val="00341B76"/>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7109C"/>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B4A3F"/>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17E62"/>
    <w:rsid w:val="00821FFC"/>
    <w:rsid w:val="008271CA"/>
    <w:rsid w:val="008467D5"/>
    <w:rsid w:val="0088091E"/>
    <w:rsid w:val="008A4DC4"/>
    <w:rsid w:val="008B438C"/>
    <w:rsid w:val="008D3A46"/>
    <w:rsid w:val="009067A4"/>
    <w:rsid w:val="00933D68"/>
    <w:rsid w:val="009340DB"/>
    <w:rsid w:val="0094618C"/>
    <w:rsid w:val="0095684B"/>
    <w:rsid w:val="0096474B"/>
    <w:rsid w:val="00972498"/>
    <w:rsid w:val="0097481F"/>
    <w:rsid w:val="00974CC6"/>
    <w:rsid w:val="00976AD4"/>
    <w:rsid w:val="00995547"/>
    <w:rsid w:val="009A312F"/>
    <w:rsid w:val="009A5348"/>
    <w:rsid w:val="009B0AB7"/>
    <w:rsid w:val="009C76D5"/>
    <w:rsid w:val="009F7AA4"/>
    <w:rsid w:val="00A061DF"/>
    <w:rsid w:val="00A10AD7"/>
    <w:rsid w:val="00A559DB"/>
    <w:rsid w:val="00A569EA"/>
    <w:rsid w:val="00A62944"/>
    <w:rsid w:val="00AF35FC"/>
    <w:rsid w:val="00AF5556"/>
    <w:rsid w:val="00B03639"/>
    <w:rsid w:val="00B0652A"/>
    <w:rsid w:val="00B40937"/>
    <w:rsid w:val="00B423EF"/>
    <w:rsid w:val="00B453DE"/>
    <w:rsid w:val="00B72597"/>
    <w:rsid w:val="00B901F9"/>
    <w:rsid w:val="00BC236B"/>
    <w:rsid w:val="00BD6EFB"/>
    <w:rsid w:val="00C1584D"/>
    <w:rsid w:val="00C15BE2"/>
    <w:rsid w:val="00C3447F"/>
    <w:rsid w:val="00C46532"/>
    <w:rsid w:val="00C67102"/>
    <w:rsid w:val="00C81491"/>
    <w:rsid w:val="00C81676"/>
    <w:rsid w:val="00C85C5D"/>
    <w:rsid w:val="00C90DD1"/>
    <w:rsid w:val="00C92CC4"/>
    <w:rsid w:val="00CA0AFB"/>
    <w:rsid w:val="00CA2CE1"/>
    <w:rsid w:val="00CA3976"/>
    <w:rsid w:val="00CA50E3"/>
    <w:rsid w:val="00CA757B"/>
    <w:rsid w:val="00CC1787"/>
    <w:rsid w:val="00CC182C"/>
    <w:rsid w:val="00CD0824"/>
    <w:rsid w:val="00CD2908"/>
    <w:rsid w:val="00CD6FB7"/>
    <w:rsid w:val="00D03A82"/>
    <w:rsid w:val="00D13667"/>
    <w:rsid w:val="00D15344"/>
    <w:rsid w:val="00D23F57"/>
    <w:rsid w:val="00D31BEC"/>
    <w:rsid w:val="00D63150"/>
    <w:rsid w:val="00D636BA"/>
    <w:rsid w:val="00D64A32"/>
    <w:rsid w:val="00D64EFC"/>
    <w:rsid w:val="00D75295"/>
    <w:rsid w:val="00D76CE9"/>
    <w:rsid w:val="00D95FCD"/>
    <w:rsid w:val="00D97F12"/>
    <w:rsid w:val="00DA6095"/>
    <w:rsid w:val="00DB42E7"/>
    <w:rsid w:val="00DE01A6"/>
    <w:rsid w:val="00DE7A98"/>
    <w:rsid w:val="00DF32C2"/>
    <w:rsid w:val="00E14173"/>
    <w:rsid w:val="00E471A7"/>
    <w:rsid w:val="00E635CF"/>
    <w:rsid w:val="00E73875"/>
    <w:rsid w:val="00E825E1"/>
    <w:rsid w:val="00EC6E0A"/>
    <w:rsid w:val="00ED4E18"/>
    <w:rsid w:val="00EE1F37"/>
    <w:rsid w:val="00EF787B"/>
    <w:rsid w:val="00F0159C"/>
    <w:rsid w:val="00F105B7"/>
    <w:rsid w:val="00F13220"/>
    <w:rsid w:val="00F167CC"/>
    <w:rsid w:val="00F17A21"/>
    <w:rsid w:val="00F37B27"/>
    <w:rsid w:val="00F46556"/>
    <w:rsid w:val="00F50E91"/>
    <w:rsid w:val="00F57D29"/>
    <w:rsid w:val="00F7129C"/>
    <w:rsid w:val="00F96201"/>
    <w:rsid w:val="00FD0B18"/>
    <w:rsid w:val="00FD2FAD"/>
    <w:rsid w:val="00FE714F"/>
    <w:rsid w:val="00FF3444"/>
    <w:rsid w:val="00FF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A62944"/>
    <w:pPr>
      <w:jc w:val="both"/>
    </w:pPr>
    <w:rPr>
      <w:rFonts w:ascii="Arial" w:hAnsi="Arial" w:cs="Arial"/>
      <w:sz w:val="17"/>
      <w:szCs w:val="17"/>
    </w:rPr>
  </w:style>
  <w:style w:type="character" w:customStyle="1" w:styleId="FootnoteChar">
    <w:name w:val="Footnote Char"/>
    <w:basedOn w:val="FootnoteTextChar"/>
    <w:link w:val="Footnote"/>
    <w:rsid w:val="00A62944"/>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26109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E14173"/>
  </w:style>
  <w:style w:type="table" w:customStyle="1" w:styleId="TableGrid1">
    <w:name w:val="Table Grid1"/>
    <w:basedOn w:val="TableNormal"/>
    <w:next w:val="TableGrid"/>
    <w:uiPriority w:val="59"/>
    <w:rsid w:val="00E14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a1">
    <w:name w:val="data1"/>
    <w:basedOn w:val="DefaultParagraphFont"/>
    <w:rsid w:val="00E14173"/>
    <w:rPr>
      <w:rFonts w:ascii="Verdana" w:hAnsi="Verdana" w:hint="default"/>
      <w:strike w:val="0"/>
      <w:dstrike w:val="0"/>
      <w:color w:val="000000"/>
      <w:sz w:val="20"/>
      <w:szCs w:val="20"/>
      <w:u w:val="none"/>
      <w:effect w:val="none"/>
    </w:rPr>
  </w:style>
  <w:style w:type="paragraph" w:customStyle="1" w:styleId="Default">
    <w:name w:val="Default"/>
    <w:rsid w:val="00E14173"/>
    <w:pPr>
      <w:autoSpaceDE w:val="0"/>
      <w:autoSpaceDN w:val="0"/>
      <w:adjustRightInd w:val="0"/>
      <w:spacing w:after="0" w:line="240" w:lineRule="auto"/>
    </w:pPr>
    <w:rPr>
      <w:rFonts w:ascii="Arial" w:eastAsiaTheme="minorEastAsia" w:hAnsi="Arial" w:cs="Arial"/>
      <w:color w:val="000000"/>
      <w:sz w:val="24"/>
      <w:szCs w:val="24"/>
    </w:rPr>
  </w:style>
  <w:style w:type="paragraph" w:styleId="PlainText">
    <w:name w:val="Plain Text"/>
    <w:basedOn w:val="Normal"/>
    <w:link w:val="PlainTextChar"/>
    <w:rsid w:val="00E14173"/>
    <w:rPr>
      <w:rFonts w:ascii="Courier New" w:hAnsi="Courier New" w:cs="Courier New"/>
      <w:iCs/>
    </w:rPr>
  </w:style>
  <w:style w:type="character" w:customStyle="1" w:styleId="PlainTextChar">
    <w:name w:val="Plain Text Char"/>
    <w:basedOn w:val="DefaultParagraphFont"/>
    <w:link w:val="PlainText"/>
    <w:rsid w:val="00E14173"/>
    <w:rPr>
      <w:rFonts w:ascii="Courier New" w:eastAsia="Times New Roman" w:hAnsi="Courier New" w:cs="Courier New"/>
      <w:iCs/>
      <w:sz w:val="20"/>
      <w:szCs w:val="20"/>
    </w:rPr>
  </w:style>
  <w:style w:type="paragraph" w:customStyle="1" w:styleId="xl65">
    <w:name w:val="xl65"/>
    <w:basedOn w:val="Normal"/>
    <w:rsid w:val="00E1417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66">
    <w:name w:val="xl66"/>
    <w:basedOn w:val="Normal"/>
    <w:rsid w:val="00E1417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7">
    <w:name w:val="xl67"/>
    <w:basedOn w:val="Normal"/>
    <w:rsid w:val="00E1417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8">
    <w:name w:val="xl68"/>
    <w:basedOn w:val="Normal"/>
    <w:rsid w:val="00E1417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9">
    <w:name w:val="xl69"/>
    <w:basedOn w:val="Normal"/>
    <w:rsid w:val="00E141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70">
    <w:name w:val="xl70"/>
    <w:basedOn w:val="Normal"/>
    <w:rsid w:val="00E14173"/>
    <w:pPr>
      <w:pBdr>
        <w:bottom w:val="single" w:sz="4" w:space="0" w:color="auto"/>
      </w:pBdr>
      <w:spacing w:before="100" w:beforeAutospacing="1" w:after="100" w:afterAutospacing="1"/>
    </w:pPr>
    <w:rPr>
      <w:sz w:val="24"/>
      <w:szCs w:val="24"/>
    </w:rPr>
  </w:style>
  <w:style w:type="paragraph" w:customStyle="1" w:styleId="xl71">
    <w:name w:val="xl71"/>
    <w:basedOn w:val="Normal"/>
    <w:rsid w:val="00E14173"/>
    <w:pPr>
      <w:pBdr>
        <w:bottom w:val="single" w:sz="4" w:space="0" w:color="auto"/>
      </w:pBdr>
      <w:spacing w:before="100" w:beforeAutospacing="1" w:after="100" w:afterAutospacing="1"/>
    </w:pPr>
    <w:rPr>
      <w:sz w:val="24"/>
      <w:szCs w:val="24"/>
    </w:rPr>
  </w:style>
  <w:style w:type="character" w:customStyle="1" w:styleId="DocumentMapChar">
    <w:name w:val="Document Map Char"/>
    <w:basedOn w:val="DefaultParagraphFont"/>
    <w:link w:val="DocumentMap"/>
    <w:uiPriority w:val="99"/>
    <w:semiHidden/>
    <w:rsid w:val="00E14173"/>
    <w:rPr>
      <w:rFonts w:ascii="Times New Roman" w:eastAsiaTheme="minorEastAsia" w:hAnsi="Times New Roman" w:cs="Times New Roman"/>
      <w:sz w:val="24"/>
      <w:szCs w:val="24"/>
    </w:rPr>
  </w:style>
  <w:style w:type="paragraph" w:styleId="DocumentMap">
    <w:name w:val="Document Map"/>
    <w:basedOn w:val="Normal"/>
    <w:link w:val="DocumentMapChar"/>
    <w:uiPriority w:val="99"/>
    <w:semiHidden/>
    <w:unhideWhenUsed/>
    <w:rsid w:val="00E14173"/>
    <w:rPr>
      <w:rFonts w:eastAsiaTheme="minorEastAsia"/>
      <w:sz w:val="24"/>
      <w:szCs w:val="24"/>
    </w:rPr>
  </w:style>
  <w:style w:type="character" w:customStyle="1" w:styleId="DocumentMapChar1">
    <w:name w:val="Document Map Char1"/>
    <w:basedOn w:val="DefaultParagraphFont"/>
    <w:uiPriority w:val="99"/>
    <w:semiHidden/>
    <w:rsid w:val="00E1417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A62944"/>
    <w:pPr>
      <w:jc w:val="both"/>
    </w:pPr>
    <w:rPr>
      <w:rFonts w:ascii="Arial" w:hAnsi="Arial" w:cs="Arial"/>
      <w:sz w:val="17"/>
      <w:szCs w:val="17"/>
    </w:rPr>
  </w:style>
  <w:style w:type="character" w:customStyle="1" w:styleId="FootnoteChar">
    <w:name w:val="Footnote Char"/>
    <w:basedOn w:val="FootnoteTextChar"/>
    <w:link w:val="Footnote"/>
    <w:rsid w:val="00A62944"/>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261095"/>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E14173"/>
  </w:style>
  <w:style w:type="table" w:customStyle="1" w:styleId="TableGrid1">
    <w:name w:val="Table Grid1"/>
    <w:basedOn w:val="TableNormal"/>
    <w:next w:val="TableGrid"/>
    <w:uiPriority w:val="59"/>
    <w:rsid w:val="00E14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a1">
    <w:name w:val="data1"/>
    <w:basedOn w:val="DefaultParagraphFont"/>
    <w:rsid w:val="00E14173"/>
    <w:rPr>
      <w:rFonts w:ascii="Verdana" w:hAnsi="Verdana" w:hint="default"/>
      <w:strike w:val="0"/>
      <w:dstrike w:val="0"/>
      <w:color w:val="000000"/>
      <w:sz w:val="20"/>
      <w:szCs w:val="20"/>
      <w:u w:val="none"/>
      <w:effect w:val="none"/>
    </w:rPr>
  </w:style>
  <w:style w:type="paragraph" w:customStyle="1" w:styleId="Default">
    <w:name w:val="Default"/>
    <w:rsid w:val="00E14173"/>
    <w:pPr>
      <w:autoSpaceDE w:val="0"/>
      <w:autoSpaceDN w:val="0"/>
      <w:adjustRightInd w:val="0"/>
      <w:spacing w:after="0" w:line="240" w:lineRule="auto"/>
    </w:pPr>
    <w:rPr>
      <w:rFonts w:ascii="Arial" w:eastAsiaTheme="minorEastAsia" w:hAnsi="Arial" w:cs="Arial"/>
      <w:color w:val="000000"/>
      <w:sz w:val="24"/>
      <w:szCs w:val="24"/>
    </w:rPr>
  </w:style>
  <w:style w:type="paragraph" w:styleId="PlainText">
    <w:name w:val="Plain Text"/>
    <w:basedOn w:val="Normal"/>
    <w:link w:val="PlainTextChar"/>
    <w:rsid w:val="00E14173"/>
    <w:rPr>
      <w:rFonts w:ascii="Courier New" w:hAnsi="Courier New" w:cs="Courier New"/>
      <w:iCs/>
    </w:rPr>
  </w:style>
  <w:style w:type="character" w:customStyle="1" w:styleId="PlainTextChar">
    <w:name w:val="Plain Text Char"/>
    <w:basedOn w:val="DefaultParagraphFont"/>
    <w:link w:val="PlainText"/>
    <w:rsid w:val="00E14173"/>
    <w:rPr>
      <w:rFonts w:ascii="Courier New" w:eastAsia="Times New Roman" w:hAnsi="Courier New" w:cs="Courier New"/>
      <w:iCs/>
      <w:sz w:val="20"/>
      <w:szCs w:val="20"/>
    </w:rPr>
  </w:style>
  <w:style w:type="paragraph" w:customStyle="1" w:styleId="xl65">
    <w:name w:val="xl65"/>
    <w:basedOn w:val="Normal"/>
    <w:rsid w:val="00E1417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66">
    <w:name w:val="xl66"/>
    <w:basedOn w:val="Normal"/>
    <w:rsid w:val="00E1417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7">
    <w:name w:val="xl67"/>
    <w:basedOn w:val="Normal"/>
    <w:rsid w:val="00E1417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8">
    <w:name w:val="xl68"/>
    <w:basedOn w:val="Normal"/>
    <w:rsid w:val="00E1417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9">
    <w:name w:val="xl69"/>
    <w:basedOn w:val="Normal"/>
    <w:rsid w:val="00E141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70">
    <w:name w:val="xl70"/>
    <w:basedOn w:val="Normal"/>
    <w:rsid w:val="00E14173"/>
    <w:pPr>
      <w:pBdr>
        <w:bottom w:val="single" w:sz="4" w:space="0" w:color="auto"/>
      </w:pBdr>
      <w:spacing w:before="100" w:beforeAutospacing="1" w:after="100" w:afterAutospacing="1"/>
    </w:pPr>
    <w:rPr>
      <w:sz w:val="24"/>
      <w:szCs w:val="24"/>
    </w:rPr>
  </w:style>
  <w:style w:type="paragraph" w:customStyle="1" w:styleId="xl71">
    <w:name w:val="xl71"/>
    <w:basedOn w:val="Normal"/>
    <w:rsid w:val="00E14173"/>
    <w:pPr>
      <w:pBdr>
        <w:bottom w:val="single" w:sz="4" w:space="0" w:color="auto"/>
      </w:pBdr>
      <w:spacing w:before="100" w:beforeAutospacing="1" w:after="100" w:afterAutospacing="1"/>
    </w:pPr>
    <w:rPr>
      <w:sz w:val="24"/>
      <w:szCs w:val="24"/>
    </w:rPr>
  </w:style>
  <w:style w:type="character" w:customStyle="1" w:styleId="DocumentMapChar">
    <w:name w:val="Document Map Char"/>
    <w:basedOn w:val="DefaultParagraphFont"/>
    <w:link w:val="DocumentMap"/>
    <w:uiPriority w:val="99"/>
    <w:semiHidden/>
    <w:rsid w:val="00E14173"/>
    <w:rPr>
      <w:rFonts w:ascii="Times New Roman" w:eastAsiaTheme="minorEastAsia" w:hAnsi="Times New Roman" w:cs="Times New Roman"/>
      <w:sz w:val="24"/>
      <w:szCs w:val="24"/>
    </w:rPr>
  </w:style>
  <w:style w:type="paragraph" w:styleId="DocumentMap">
    <w:name w:val="Document Map"/>
    <w:basedOn w:val="Normal"/>
    <w:link w:val="DocumentMapChar"/>
    <w:uiPriority w:val="99"/>
    <w:semiHidden/>
    <w:unhideWhenUsed/>
    <w:rsid w:val="00E14173"/>
    <w:rPr>
      <w:rFonts w:eastAsiaTheme="minorEastAsia"/>
      <w:sz w:val="24"/>
      <w:szCs w:val="24"/>
    </w:rPr>
  </w:style>
  <w:style w:type="character" w:customStyle="1" w:styleId="DocumentMapChar1">
    <w:name w:val="Document Map Char1"/>
    <w:basedOn w:val="DefaultParagraphFont"/>
    <w:uiPriority w:val="99"/>
    <w:semiHidden/>
    <w:rsid w:val="00E1417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224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yperlink" Target="http://www.itaxindia.org/2011/10/special-income-tax-rates-on-long-term.html" TargetMode="External"/><Relationship Id="rId7" Type="http://schemas.openxmlformats.org/officeDocument/2006/relationships/footnotes" Target="footnotes.xml"/><Relationship Id="rId12" Type="http://schemas.openxmlformats.org/officeDocument/2006/relationships/hyperlink" Target="http://www.capitaline.com"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finmin.nic.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mailto:cases@ivey.ca" TargetMode="External"/><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header" Target="header5.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tx>
            <c:strRef>
              <c:f>'[Chart in Microsoft Word]Sheet4'!$B$1</c:f>
              <c:strCache>
                <c:ptCount val="1"/>
                <c:pt idx="0">
                  <c:v>Return (SRF)</c:v>
                </c:pt>
              </c:strCache>
            </c:strRef>
          </c:tx>
          <c:spPr>
            <a:ln>
              <a:solidFill>
                <a:schemeClr val="tx1">
                  <a:lumMod val="50000"/>
                  <a:lumOff val="50000"/>
                </a:schemeClr>
              </a:solidFill>
              <a:prstDash val="dash"/>
            </a:ln>
          </c:spPr>
          <c:marker>
            <c:symbol val="none"/>
          </c:marker>
          <c:xVal>
            <c:numRef>
              <c:f>'[Chart in Microsoft Word]Sheet4'!$A$2:$A$81</c:f>
              <c:numCache>
                <c:formatCode>mmm\-yy</c:formatCode>
                <c:ptCount val="80"/>
                <c:pt idx="0">
                  <c:v>38838</c:v>
                </c:pt>
                <c:pt idx="1">
                  <c:v>38869</c:v>
                </c:pt>
                <c:pt idx="2">
                  <c:v>38899</c:v>
                </c:pt>
                <c:pt idx="3">
                  <c:v>38930</c:v>
                </c:pt>
                <c:pt idx="4">
                  <c:v>38961</c:v>
                </c:pt>
                <c:pt idx="5">
                  <c:v>38991</c:v>
                </c:pt>
                <c:pt idx="6">
                  <c:v>39022</c:v>
                </c:pt>
                <c:pt idx="7">
                  <c:v>39052</c:v>
                </c:pt>
                <c:pt idx="8">
                  <c:v>39083</c:v>
                </c:pt>
                <c:pt idx="9">
                  <c:v>39114</c:v>
                </c:pt>
                <c:pt idx="10">
                  <c:v>39142</c:v>
                </c:pt>
                <c:pt idx="11">
                  <c:v>39173</c:v>
                </c:pt>
                <c:pt idx="12">
                  <c:v>39203</c:v>
                </c:pt>
                <c:pt idx="13">
                  <c:v>39234</c:v>
                </c:pt>
                <c:pt idx="14">
                  <c:v>39264</c:v>
                </c:pt>
                <c:pt idx="15">
                  <c:v>39295</c:v>
                </c:pt>
                <c:pt idx="16">
                  <c:v>39326</c:v>
                </c:pt>
                <c:pt idx="17">
                  <c:v>39356</c:v>
                </c:pt>
                <c:pt idx="18">
                  <c:v>39387</c:v>
                </c:pt>
                <c:pt idx="19">
                  <c:v>39417</c:v>
                </c:pt>
                <c:pt idx="20">
                  <c:v>39448</c:v>
                </c:pt>
                <c:pt idx="21">
                  <c:v>39479</c:v>
                </c:pt>
                <c:pt idx="22">
                  <c:v>39508</c:v>
                </c:pt>
                <c:pt idx="23">
                  <c:v>39539</c:v>
                </c:pt>
                <c:pt idx="24">
                  <c:v>39569</c:v>
                </c:pt>
                <c:pt idx="25">
                  <c:v>39600</c:v>
                </c:pt>
                <c:pt idx="26">
                  <c:v>39630</c:v>
                </c:pt>
                <c:pt idx="27">
                  <c:v>39661</c:v>
                </c:pt>
                <c:pt idx="28">
                  <c:v>39692</c:v>
                </c:pt>
                <c:pt idx="29">
                  <c:v>39722</c:v>
                </c:pt>
                <c:pt idx="30">
                  <c:v>39753</c:v>
                </c:pt>
                <c:pt idx="31">
                  <c:v>39783</c:v>
                </c:pt>
                <c:pt idx="32">
                  <c:v>39814</c:v>
                </c:pt>
                <c:pt idx="33">
                  <c:v>39845</c:v>
                </c:pt>
                <c:pt idx="34">
                  <c:v>39873</c:v>
                </c:pt>
                <c:pt idx="35">
                  <c:v>39904</c:v>
                </c:pt>
                <c:pt idx="36">
                  <c:v>39934</c:v>
                </c:pt>
                <c:pt idx="37">
                  <c:v>39965</c:v>
                </c:pt>
                <c:pt idx="38">
                  <c:v>39995</c:v>
                </c:pt>
                <c:pt idx="39">
                  <c:v>40026</c:v>
                </c:pt>
                <c:pt idx="40">
                  <c:v>40057</c:v>
                </c:pt>
                <c:pt idx="41">
                  <c:v>40087</c:v>
                </c:pt>
                <c:pt idx="42">
                  <c:v>40118</c:v>
                </c:pt>
                <c:pt idx="43">
                  <c:v>40148</c:v>
                </c:pt>
                <c:pt idx="44">
                  <c:v>40179</c:v>
                </c:pt>
                <c:pt idx="45">
                  <c:v>40210</c:v>
                </c:pt>
                <c:pt idx="46">
                  <c:v>40238</c:v>
                </c:pt>
                <c:pt idx="47">
                  <c:v>40269</c:v>
                </c:pt>
                <c:pt idx="48">
                  <c:v>40299</c:v>
                </c:pt>
                <c:pt idx="49">
                  <c:v>40330</c:v>
                </c:pt>
                <c:pt idx="50">
                  <c:v>40360</c:v>
                </c:pt>
                <c:pt idx="51">
                  <c:v>40391</c:v>
                </c:pt>
                <c:pt idx="52">
                  <c:v>40422</c:v>
                </c:pt>
                <c:pt idx="53">
                  <c:v>40452</c:v>
                </c:pt>
                <c:pt idx="54">
                  <c:v>40483</c:v>
                </c:pt>
                <c:pt idx="55">
                  <c:v>40513</c:v>
                </c:pt>
                <c:pt idx="56">
                  <c:v>40544</c:v>
                </c:pt>
                <c:pt idx="57">
                  <c:v>40575</c:v>
                </c:pt>
                <c:pt idx="58">
                  <c:v>40603</c:v>
                </c:pt>
                <c:pt idx="59">
                  <c:v>40634</c:v>
                </c:pt>
                <c:pt idx="60">
                  <c:v>40664</c:v>
                </c:pt>
                <c:pt idx="61">
                  <c:v>40695</c:v>
                </c:pt>
                <c:pt idx="62">
                  <c:v>40725</c:v>
                </c:pt>
                <c:pt idx="63">
                  <c:v>40756</c:v>
                </c:pt>
                <c:pt idx="64">
                  <c:v>40787</c:v>
                </c:pt>
                <c:pt idx="65">
                  <c:v>40817</c:v>
                </c:pt>
                <c:pt idx="66">
                  <c:v>40848</c:v>
                </c:pt>
                <c:pt idx="67">
                  <c:v>40878</c:v>
                </c:pt>
                <c:pt idx="68">
                  <c:v>40909</c:v>
                </c:pt>
                <c:pt idx="69">
                  <c:v>40940</c:v>
                </c:pt>
                <c:pt idx="70">
                  <c:v>40969</c:v>
                </c:pt>
                <c:pt idx="71">
                  <c:v>41000</c:v>
                </c:pt>
                <c:pt idx="72">
                  <c:v>41030</c:v>
                </c:pt>
                <c:pt idx="73">
                  <c:v>41061</c:v>
                </c:pt>
                <c:pt idx="74">
                  <c:v>41091</c:v>
                </c:pt>
                <c:pt idx="75">
                  <c:v>41122</c:v>
                </c:pt>
                <c:pt idx="76">
                  <c:v>41153</c:v>
                </c:pt>
                <c:pt idx="77">
                  <c:v>41183</c:v>
                </c:pt>
                <c:pt idx="78">
                  <c:v>41214</c:v>
                </c:pt>
                <c:pt idx="79">
                  <c:v>41244</c:v>
                </c:pt>
              </c:numCache>
            </c:numRef>
          </c:xVal>
          <c:yVal>
            <c:numRef>
              <c:f>'[Chart in Microsoft Word]Sheet4'!$B$2:$B$81</c:f>
              <c:numCache>
                <c:formatCode>0.00</c:formatCode>
                <c:ptCount val="80"/>
                <c:pt idx="0">
                  <c:v>-0.43325624282567921</c:v>
                </c:pt>
                <c:pt idx="1">
                  <c:v>-7.3098434595544409E-2</c:v>
                </c:pt>
                <c:pt idx="2">
                  <c:v>-7.0587344320109005E-2</c:v>
                </c:pt>
                <c:pt idx="3">
                  <c:v>0.22908332270199391</c:v>
                </c:pt>
                <c:pt idx="4">
                  <c:v>5.484088834204948E-3</c:v>
                </c:pt>
                <c:pt idx="5">
                  <c:v>3.0452896989408309E-2</c:v>
                </c:pt>
                <c:pt idx="6">
                  <c:v>-0.16705408466316621</c:v>
                </c:pt>
                <c:pt idx="7">
                  <c:v>-0.10812402304418529</c:v>
                </c:pt>
                <c:pt idx="8">
                  <c:v>2.3105529276407955E-2</c:v>
                </c:pt>
                <c:pt idx="9">
                  <c:v>-0.22485149365936588</c:v>
                </c:pt>
                <c:pt idx="10">
                  <c:v>-0.22750875200271228</c:v>
                </c:pt>
                <c:pt idx="11">
                  <c:v>0.24348822131559059</c:v>
                </c:pt>
                <c:pt idx="12">
                  <c:v>1.8590278968908219E-2</c:v>
                </c:pt>
                <c:pt idx="13">
                  <c:v>8.3432417429160757E-2</c:v>
                </c:pt>
                <c:pt idx="14">
                  <c:v>-0.17064589919636908</c:v>
                </c:pt>
                <c:pt idx="15">
                  <c:v>-7.6295981671927901E-2</c:v>
                </c:pt>
                <c:pt idx="16">
                  <c:v>8.079037125976693E-2</c:v>
                </c:pt>
                <c:pt idx="17">
                  <c:v>-3.5460973696228845E-2</c:v>
                </c:pt>
                <c:pt idx="18">
                  <c:v>0.1219835569901913</c:v>
                </c:pt>
                <c:pt idx="19">
                  <c:v>0.15663324672101417</c:v>
                </c:pt>
                <c:pt idx="20">
                  <c:v>-0.44674365801059845</c:v>
                </c:pt>
                <c:pt idx="21">
                  <c:v>-1.6927638405203982E-3</c:v>
                </c:pt>
                <c:pt idx="22">
                  <c:v>-0.15796990789425369</c:v>
                </c:pt>
                <c:pt idx="23">
                  <c:v>0.22670861747870599</c:v>
                </c:pt>
                <c:pt idx="24">
                  <c:v>-7.468605081894171E-2</c:v>
                </c:pt>
                <c:pt idx="25">
                  <c:v>2.0245313993992198E-2</c:v>
                </c:pt>
                <c:pt idx="26">
                  <c:v>0.10042140721188327</c:v>
                </c:pt>
                <c:pt idx="27">
                  <c:v>3.769322216291917E-3</c:v>
                </c:pt>
                <c:pt idx="28">
                  <c:v>-0.20885559288403435</c:v>
                </c:pt>
                <c:pt idx="29">
                  <c:v>-0.34935035412986348</c:v>
                </c:pt>
                <c:pt idx="30">
                  <c:v>-8.8626451364927888E-2</c:v>
                </c:pt>
                <c:pt idx="31">
                  <c:v>5.11136805568028E-2</c:v>
                </c:pt>
                <c:pt idx="32">
                  <c:v>-0.12026050478056811</c:v>
                </c:pt>
                <c:pt idx="33">
                  <c:v>0.13986234902216307</c:v>
                </c:pt>
                <c:pt idx="34">
                  <c:v>-2.6809667532578241E-3</c:v>
                </c:pt>
                <c:pt idx="35">
                  <c:v>0.13185213110480254</c:v>
                </c:pt>
                <c:pt idx="36">
                  <c:v>0.37358989957771538</c:v>
                </c:pt>
                <c:pt idx="37">
                  <c:v>-9.9082468131893364E-2</c:v>
                </c:pt>
                <c:pt idx="38">
                  <c:v>0.21695546825237416</c:v>
                </c:pt>
                <c:pt idx="39">
                  <c:v>0.10995591399398043</c:v>
                </c:pt>
                <c:pt idx="40">
                  <c:v>0.13855582186935209</c:v>
                </c:pt>
                <c:pt idx="41">
                  <c:v>3.8810430160233854E-2</c:v>
                </c:pt>
                <c:pt idx="42">
                  <c:v>-2.1283204451273508E-2</c:v>
                </c:pt>
                <c:pt idx="43">
                  <c:v>0.12114808517760668</c:v>
                </c:pt>
                <c:pt idx="44">
                  <c:v>-6.1984573740107907E-2</c:v>
                </c:pt>
                <c:pt idx="45">
                  <c:v>-7.893856051495389E-2</c:v>
                </c:pt>
                <c:pt idx="46">
                  <c:v>0.10460073342550584</c:v>
                </c:pt>
                <c:pt idx="47">
                  <c:v>9.3765813551795071E-2</c:v>
                </c:pt>
                <c:pt idx="48">
                  <c:v>3.2454907944057899E-2</c:v>
                </c:pt>
                <c:pt idx="49">
                  <c:v>4.8598733865430344E-2</c:v>
                </c:pt>
                <c:pt idx="50">
                  <c:v>1.708361699413952E-2</c:v>
                </c:pt>
                <c:pt idx="51">
                  <c:v>9.8498885387397941E-2</c:v>
                </c:pt>
                <c:pt idx="52">
                  <c:v>8.6711287750315044E-2</c:v>
                </c:pt>
                <c:pt idx="53">
                  <c:v>0.33274181697559396</c:v>
                </c:pt>
                <c:pt idx="54">
                  <c:v>-0.20655706694494352</c:v>
                </c:pt>
                <c:pt idx="55">
                  <c:v>8.0172298578792489E-2</c:v>
                </c:pt>
                <c:pt idx="56">
                  <c:v>-7.4064476872953047E-2</c:v>
                </c:pt>
                <c:pt idx="57">
                  <c:v>-5.7328567919355498E-2</c:v>
                </c:pt>
                <c:pt idx="58">
                  <c:v>2.5938282868920744E-2</c:v>
                </c:pt>
                <c:pt idx="59">
                  <c:v>4.9194014211940473E-2</c:v>
                </c:pt>
                <c:pt idx="60">
                  <c:v>-6.6464506055615061E-2</c:v>
                </c:pt>
                <c:pt idx="61">
                  <c:v>-9.2357853702187534E-2</c:v>
                </c:pt>
                <c:pt idx="62">
                  <c:v>0.10789892132737838</c:v>
                </c:pt>
                <c:pt idx="63">
                  <c:v>-5.5484432750689296E-2</c:v>
                </c:pt>
                <c:pt idx="64">
                  <c:v>3.0469187474828262E-2</c:v>
                </c:pt>
                <c:pt idx="65">
                  <c:v>-1.3481890226420743E-2</c:v>
                </c:pt>
                <c:pt idx="66">
                  <c:v>-3.5622941064103908E-2</c:v>
                </c:pt>
                <c:pt idx="67">
                  <c:v>-0.20963580317011413</c:v>
                </c:pt>
                <c:pt idx="68">
                  <c:v>0.12571618933182238</c:v>
                </c:pt>
                <c:pt idx="69">
                  <c:v>-1.2424823724026843E-2</c:v>
                </c:pt>
                <c:pt idx="70">
                  <c:v>-7.4553045131500337E-2</c:v>
                </c:pt>
                <c:pt idx="71">
                  <c:v>-3.8947328732882362E-2</c:v>
                </c:pt>
                <c:pt idx="72">
                  <c:v>-0.12852721203994671</c:v>
                </c:pt>
                <c:pt idx="73">
                  <c:v>-1.9926238453670388E-2</c:v>
                </c:pt>
                <c:pt idx="74">
                  <c:v>-1.5886928297952838E-2</c:v>
                </c:pt>
                <c:pt idx="75">
                  <c:v>5.2782699577919173E-2</c:v>
                </c:pt>
                <c:pt idx="76">
                  <c:v>4.6350037944055462E-2</c:v>
                </c:pt>
                <c:pt idx="77">
                  <c:v>-7.3900235548305009E-3</c:v>
                </c:pt>
                <c:pt idx="78">
                  <c:v>-6.740469106313017E-2</c:v>
                </c:pt>
                <c:pt idx="79">
                  <c:v>-3.5486410386628212E-2</c:v>
                </c:pt>
              </c:numCache>
            </c:numRef>
          </c:yVal>
          <c:smooth val="0"/>
        </c:ser>
        <c:ser>
          <c:idx val="1"/>
          <c:order val="1"/>
          <c:tx>
            <c:strRef>
              <c:f>'[Chart in Microsoft Word]Sheet4'!$C$1</c:f>
              <c:strCache>
                <c:ptCount val="1"/>
                <c:pt idx="0">
                  <c:v>Return (Sensex)</c:v>
                </c:pt>
              </c:strCache>
            </c:strRef>
          </c:tx>
          <c:spPr>
            <a:ln>
              <a:solidFill>
                <a:schemeClr val="tx1"/>
              </a:solidFill>
              <a:prstDash val="solid"/>
            </a:ln>
          </c:spPr>
          <c:marker>
            <c:symbol val="none"/>
          </c:marker>
          <c:xVal>
            <c:numRef>
              <c:f>'[Chart in Microsoft Word]Sheet4'!$A$2:$A$81</c:f>
              <c:numCache>
                <c:formatCode>mmm\-yy</c:formatCode>
                <c:ptCount val="80"/>
                <c:pt idx="0">
                  <c:v>38838</c:v>
                </c:pt>
                <c:pt idx="1">
                  <c:v>38869</c:v>
                </c:pt>
                <c:pt idx="2">
                  <c:v>38899</c:v>
                </c:pt>
                <c:pt idx="3">
                  <c:v>38930</c:v>
                </c:pt>
                <c:pt idx="4">
                  <c:v>38961</c:v>
                </c:pt>
                <c:pt idx="5">
                  <c:v>38991</c:v>
                </c:pt>
                <c:pt idx="6">
                  <c:v>39022</c:v>
                </c:pt>
                <c:pt idx="7">
                  <c:v>39052</c:v>
                </c:pt>
                <c:pt idx="8">
                  <c:v>39083</c:v>
                </c:pt>
                <c:pt idx="9">
                  <c:v>39114</c:v>
                </c:pt>
                <c:pt idx="10">
                  <c:v>39142</c:v>
                </c:pt>
                <c:pt idx="11">
                  <c:v>39173</c:v>
                </c:pt>
                <c:pt idx="12">
                  <c:v>39203</c:v>
                </c:pt>
                <c:pt idx="13">
                  <c:v>39234</c:v>
                </c:pt>
                <c:pt idx="14">
                  <c:v>39264</c:v>
                </c:pt>
                <c:pt idx="15">
                  <c:v>39295</c:v>
                </c:pt>
                <c:pt idx="16">
                  <c:v>39326</c:v>
                </c:pt>
                <c:pt idx="17">
                  <c:v>39356</c:v>
                </c:pt>
                <c:pt idx="18">
                  <c:v>39387</c:v>
                </c:pt>
                <c:pt idx="19">
                  <c:v>39417</c:v>
                </c:pt>
                <c:pt idx="20">
                  <c:v>39448</c:v>
                </c:pt>
                <c:pt idx="21">
                  <c:v>39479</c:v>
                </c:pt>
                <c:pt idx="22">
                  <c:v>39508</c:v>
                </c:pt>
                <c:pt idx="23">
                  <c:v>39539</c:v>
                </c:pt>
                <c:pt idx="24">
                  <c:v>39569</c:v>
                </c:pt>
                <c:pt idx="25">
                  <c:v>39600</c:v>
                </c:pt>
                <c:pt idx="26">
                  <c:v>39630</c:v>
                </c:pt>
                <c:pt idx="27">
                  <c:v>39661</c:v>
                </c:pt>
                <c:pt idx="28">
                  <c:v>39692</c:v>
                </c:pt>
                <c:pt idx="29">
                  <c:v>39722</c:v>
                </c:pt>
                <c:pt idx="30">
                  <c:v>39753</c:v>
                </c:pt>
                <c:pt idx="31">
                  <c:v>39783</c:v>
                </c:pt>
                <c:pt idx="32">
                  <c:v>39814</c:v>
                </c:pt>
                <c:pt idx="33">
                  <c:v>39845</c:v>
                </c:pt>
                <c:pt idx="34">
                  <c:v>39873</c:v>
                </c:pt>
                <c:pt idx="35">
                  <c:v>39904</c:v>
                </c:pt>
                <c:pt idx="36">
                  <c:v>39934</c:v>
                </c:pt>
                <c:pt idx="37">
                  <c:v>39965</c:v>
                </c:pt>
                <c:pt idx="38">
                  <c:v>39995</c:v>
                </c:pt>
                <c:pt idx="39">
                  <c:v>40026</c:v>
                </c:pt>
                <c:pt idx="40">
                  <c:v>40057</c:v>
                </c:pt>
                <c:pt idx="41">
                  <c:v>40087</c:v>
                </c:pt>
                <c:pt idx="42">
                  <c:v>40118</c:v>
                </c:pt>
                <c:pt idx="43">
                  <c:v>40148</c:v>
                </c:pt>
                <c:pt idx="44">
                  <c:v>40179</c:v>
                </c:pt>
                <c:pt idx="45">
                  <c:v>40210</c:v>
                </c:pt>
                <c:pt idx="46">
                  <c:v>40238</c:v>
                </c:pt>
                <c:pt idx="47">
                  <c:v>40269</c:v>
                </c:pt>
                <c:pt idx="48">
                  <c:v>40299</c:v>
                </c:pt>
                <c:pt idx="49">
                  <c:v>40330</c:v>
                </c:pt>
                <c:pt idx="50">
                  <c:v>40360</c:v>
                </c:pt>
                <c:pt idx="51">
                  <c:v>40391</c:v>
                </c:pt>
                <c:pt idx="52">
                  <c:v>40422</c:v>
                </c:pt>
                <c:pt idx="53">
                  <c:v>40452</c:v>
                </c:pt>
                <c:pt idx="54">
                  <c:v>40483</c:v>
                </c:pt>
                <c:pt idx="55">
                  <c:v>40513</c:v>
                </c:pt>
                <c:pt idx="56">
                  <c:v>40544</c:v>
                </c:pt>
                <c:pt idx="57">
                  <c:v>40575</c:v>
                </c:pt>
                <c:pt idx="58">
                  <c:v>40603</c:v>
                </c:pt>
                <c:pt idx="59">
                  <c:v>40634</c:v>
                </c:pt>
                <c:pt idx="60">
                  <c:v>40664</c:v>
                </c:pt>
                <c:pt idx="61">
                  <c:v>40695</c:v>
                </c:pt>
                <c:pt idx="62">
                  <c:v>40725</c:v>
                </c:pt>
                <c:pt idx="63">
                  <c:v>40756</c:v>
                </c:pt>
                <c:pt idx="64">
                  <c:v>40787</c:v>
                </c:pt>
                <c:pt idx="65">
                  <c:v>40817</c:v>
                </c:pt>
                <c:pt idx="66">
                  <c:v>40848</c:v>
                </c:pt>
                <c:pt idx="67">
                  <c:v>40878</c:v>
                </c:pt>
                <c:pt idx="68">
                  <c:v>40909</c:v>
                </c:pt>
                <c:pt idx="69">
                  <c:v>40940</c:v>
                </c:pt>
                <c:pt idx="70">
                  <c:v>40969</c:v>
                </c:pt>
                <c:pt idx="71">
                  <c:v>41000</c:v>
                </c:pt>
                <c:pt idx="72">
                  <c:v>41030</c:v>
                </c:pt>
                <c:pt idx="73">
                  <c:v>41061</c:v>
                </c:pt>
                <c:pt idx="74">
                  <c:v>41091</c:v>
                </c:pt>
                <c:pt idx="75">
                  <c:v>41122</c:v>
                </c:pt>
                <c:pt idx="76">
                  <c:v>41153</c:v>
                </c:pt>
                <c:pt idx="77">
                  <c:v>41183</c:v>
                </c:pt>
                <c:pt idx="78">
                  <c:v>41214</c:v>
                </c:pt>
                <c:pt idx="79">
                  <c:v>41244</c:v>
                </c:pt>
              </c:numCache>
            </c:numRef>
          </c:xVal>
          <c:yVal>
            <c:numRef>
              <c:f>'[Chart in Microsoft Word]Sheet4'!$C$2:$C$81</c:f>
              <c:numCache>
                <c:formatCode>0.00</c:formatCode>
                <c:ptCount val="80"/>
                <c:pt idx="0">
                  <c:v>-0.14677489849528727</c:v>
                </c:pt>
                <c:pt idx="1">
                  <c:v>2.0054118728512912E-2</c:v>
                </c:pt>
                <c:pt idx="2">
                  <c:v>1.2610028036775436E-2</c:v>
                </c:pt>
                <c:pt idx="3">
                  <c:v>8.5171351791902494E-2</c:v>
                </c:pt>
                <c:pt idx="4">
                  <c:v>6.2567938060427861E-2</c:v>
                </c:pt>
                <c:pt idx="5">
                  <c:v>3.9938705130625744E-2</c:v>
                </c:pt>
                <c:pt idx="6">
                  <c:v>5.5112168372081195E-2</c:v>
                </c:pt>
                <c:pt idx="7">
                  <c:v>6.5931377905667022E-3</c:v>
                </c:pt>
                <c:pt idx="8">
                  <c:v>2.1811027034530257E-2</c:v>
                </c:pt>
                <c:pt idx="9">
                  <c:v>-8.5354944463627291E-2</c:v>
                </c:pt>
                <c:pt idx="10">
                  <c:v>1.0304514176689407E-2</c:v>
                </c:pt>
                <c:pt idx="11">
                  <c:v>5.941890408897544E-2</c:v>
                </c:pt>
                <c:pt idx="12">
                  <c:v>4.7311072981617033E-2</c:v>
                </c:pt>
                <c:pt idx="13">
                  <c:v>7.2649820460526336E-3</c:v>
                </c:pt>
                <c:pt idx="14">
                  <c:v>5.9649155049698269E-2</c:v>
                </c:pt>
                <c:pt idx="15">
                  <c:v>-1.5056525868850579E-2</c:v>
                </c:pt>
                <c:pt idx="16">
                  <c:v>0.12112414193675169</c:v>
                </c:pt>
                <c:pt idx="17">
                  <c:v>0.13740686797917057</c:v>
                </c:pt>
                <c:pt idx="18">
                  <c:v>-2.4224945238433288E-2</c:v>
                </c:pt>
                <c:pt idx="19">
                  <c:v>4.660595289039754E-2</c:v>
                </c:pt>
                <c:pt idx="20">
                  <c:v>-0.13931710100300218</c:v>
                </c:pt>
                <c:pt idx="21">
                  <c:v>-3.9736132946871644E-3</c:v>
                </c:pt>
                <c:pt idx="22">
                  <c:v>-0.11657349729810368</c:v>
                </c:pt>
                <c:pt idx="23">
                  <c:v>9.9857124033561756E-2</c:v>
                </c:pt>
                <c:pt idx="24">
                  <c:v>-5.1742431642158665E-2</c:v>
                </c:pt>
                <c:pt idx="25">
                  <c:v>-0.19838908680807654</c:v>
                </c:pt>
                <c:pt idx="26">
                  <c:v>6.4309370932091825E-2</c:v>
                </c:pt>
                <c:pt idx="27">
                  <c:v>1.4438561940200989E-2</c:v>
                </c:pt>
                <c:pt idx="28">
                  <c:v>-0.12443396548792701</c:v>
                </c:pt>
                <c:pt idx="29">
                  <c:v>-0.27299187974778166</c:v>
                </c:pt>
                <c:pt idx="30">
                  <c:v>-7.3689182164648925E-2</c:v>
                </c:pt>
                <c:pt idx="31">
                  <c:v>5.9205026662367002E-2</c:v>
                </c:pt>
                <c:pt idx="32">
                  <c:v>-2.3394026536408038E-2</c:v>
                </c:pt>
                <c:pt idx="33">
                  <c:v>-5.8176957987029286E-2</c:v>
                </c:pt>
                <c:pt idx="34">
                  <c:v>8.7893654961406442E-2</c:v>
                </c:pt>
                <c:pt idx="35">
                  <c:v>0.16089661203759464</c:v>
                </c:pt>
                <c:pt idx="36">
                  <c:v>0.24885108449894713</c:v>
                </c:pt>
                <c:pt idx="37">
                  <c:v>-9.0257554133959406E-3</c:v>
                </c:pt>
                <c:pt idx="38">
                  <c:v>7.804410762161898E-2</c:v>
                </c:pt>
                <c:pt idx="39">
                  <c:v>-2.3422828429567287E-4</c:v>
                </c:pt>
                <c:pt idx="40">
                  <c:v>8.9113212719094698E-2</c:v>
                </c:pt>
                <c:pt idx="41">
                  <c:v>-7.4561704043340685E-2</c:v>
                </c:pt>
                <c:pt idx="42">
                  <c:v>6.2778779329782597E-2</c:v>
                </c:pt>
                <c:pt idx="43">
                  <c:v>3.1324100380583704E-2</c:v>
                </c:pt>
                <c:pt idx="44">
                  <c:v>-6.5473370275878517E-2</c:v>
                </c:pt>
                <c:pt idx="45">
                  <c:v>4.3669137283082922E-3</c:v>
                </c:pt>
                <c:pt idx="46">
                  <c:v>6.4704937593518794E-2</c:v>
                </c:pt>
                <c:pt idx="47">
                  <c:v>1.7636427489869425E-3</c:v>
                </c:pt>
                <c:pt idx="48">
                  <c:v>-3.5599153622937328E-2</c:v>
                </c:pt>
                <c:pt idx="49">
                  <c:v>4.3664516273763124E-2</c:v>
                </c:pt>
                <c:pt idx="50">
                  <c:v>9.4121477455223028E-3</c:v>
                </c:pt>
                <c:pt idx="51">
                  <c:v>5.7383914620862328E-3</c:v>
                </c:pt>
                <c:pt idx="52">
                  <c:v>0.1104162903575082</c:v>
                </c:pt>
                <c:pt idx="53">
                  <c:v>-1.8343476927377344E-3</c:v>
                </c:pt>
                <c:pt idx="54">
                  <c:v>-2.584435179718288E-2</c:v>
                </c:pt>
                <c:pt idx="55">
                  <c:v>4.9364586679372567E-2</c:v>
                </c:pt>
                <c:pt idx="56">
                  <c:v>-0.11245135215229701</c:v>
                </c:pt>
                <c:pt idx="57">
                  <c:v>-2.7904649646272886E-2</c:v>
                </c:pt>
                <c:pt idx="58">
                  <c:v>8.7089080805445057E-2</c:v>
                </c:pt>
                <c:pt idx="59">
                  <c:v>-1.6031994041133292E-2</c:v>
                </c:pt>
                <c:pt idx="60">
                  <c:v>-3.3621273798765131E-2</c:v>
                </c:pt>
                <c:pt idx="61">
                  <c:v>1.8345778079011048E-2</c:v>
                </c:pt>
                <c:pt idx="62">
                  <c:v>-3.5026055651908916E-2</c:v>
                </c:pt>
                <c:pt idx="63">
                  <c:v>-8.7252202272052132E-2</c:v>
                </c:pt>
                <c:pt idx="64">
                  <c:v>-1.3461511299834764E-2</c:v>
                </c:pt>
                <c:pt idx="65">
                  <c:v>7.3293627854424351E-2</c:v>
                </c:pt>
                <c:pt idx="66">
                  <c:v>-9.3572296130825836E-2</c:v>
                </c:pt>
                <c:pt idx="67">
                  <c:v>-4.2347954992742715E-2</c:v>
                </c:pt>
                <c:pt idx="68">
                  <c:v>0.10660691423698535</c:v>
                </c:pt>
                <c:pt idx="69">
                  <c:v>3.2002176950367299E-2</c:v>
                </c:pt>
                <c:pt idx="70">
                  <c:v>-1.9824934036162103E-2</c:v>
                </c:pt>
                <c:pt idx="71">
                  <c:v>-4.9183623271131611E-3</c:v>
                </c:pt>
                <c:pt idx="72">
                  <c:v>-6.5638778349459651E-2</c:v>
                </c:pt>
                <c:pt idx="73">
                  <c:v>7.2037296357384012E-2</c:v>
                </c:pt>
                <c:pt idx="74">
                  <c:v>-1.118104912698291E-2</c:v>
                </c:pt>
                <c:pt idx="75">
                  <c:v>1.1156952423468263E-2</c:v>
                </c:pt>
                <c:pt idx="76">
                  <c:v>7.3705372969295982E-2</c:v>
                </c:pt>
                <c:pt idx="77">
                  <c:v>-1.3811487732299548E-2</c:v>
                </c:pt>
                <c:pt idx="78">
                  <c:v>4.4108818763141294E-2</c:v>
                </c:pt>
                <c:pt idx="79">
                  <c:v>4.4786038862870779E-3</c:v>
                </c:pt>
              </c:numCache>
            </c:numRef>
          </c:yVal>
          <c:smooth val="0"/>
        </c:ser>
        <c:dLbls>
          <c:showLegendKey val="0"/>
          <c:showVal val="0"/>
          <c:showCatName val="0"/>
          <c:showSerName val="0"/>
          <c:showPercent val="0"/>
          <c:showBubbleSize val="0"/>
        </c:dLbls>
        <c:axId val="123382016"/>
        <c:axId val="141182848"/>
      </c:scatterChart>
      <c:valAx>
        <c:axId val="123382016"/>
        <c:scaling>
          <c:orientation val="minMax"/>
        </c:scaling>
        <c:delete val="0"/>
        <c:axPos val="b"/>
        <c:majorGridlines>
          <c:spPr>
            <a:ln>
              <a:noFill/>
            </a:ln>
          </c:spPr>
        </c:majorGridlines>
        <c:title>
          <c:tx>
            <c:rich>
              <a:bodyPr rot="0" vert="horz"/>
              <a:lstStyle/>
              <a:p>
                <a:pPr>
                  <a:defRPr>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Period </a:t>
                </a:r>
              </a:p>
            </c:rich>
          </c:tx>
          <c:layout/>
          <c:overlay val="0"/>
        </c:title>
        <c:numFmt formatCode="m/yyyy" sourceLinked="0"/>
        <c:majorTickMark val="none"/>
        <c:minorTickMark val="none"/>
        <c:tickLblPos val="low"/>
        <c:txPr>
          <a:bodyPr rot="-60000000" vert="horz"/>
          <a:lstStyle/>
          <a:p>
            <a:pPr>
              <a:defRPr>
                <a:latin typeface="Arial" panose="020B0604020202020204" pitchFamily="34" charset="0"/>
                <a:cs typeface="Arial" panose="020B0604020202020204" pitchFamily="34" charset="0"/>
              </a:defRPr>
            </a:pPr>
            <a:endParaRPr lang="en-US"/>
          </a:p>
        </c:txPr>
        <c:crossAx val="141182848"/>
        <c:crosses val="autoZero"/>
        <c:crossBetween val="midCat"/>
        <c:majorUnit val="300"/>
        <c:minorUnit val="20"/>
      </c:valAx>
      <c:valAx>
        <c:axId val="141182848"/>
        <c:scaling>
          <c:orientation val="minMax"/>
          <c:max val="0.4"/>
          <c:min val="-0.4"/>
        </c:scaling>
        <c:delete val="0"/>
        <c:axPos val="l"/>
        <c:majorGridlines>
          <c:spPr>
            <a:ln>
              <a:noFill/>
            </a:ln>
          </c:spPr>
        </c:majorGridlines>
        <c:title>
          <c:tx>
            <c:rich>
              <a:bodyPr rot="-5400000" vert="horz"/>
              <a:lstStyle/>
              <a:p>
                <a:pPr>
                  <a:defRPr>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Return (Log)</a:t>
                </a:r>
              </a:p>
            </c:rich>
          </c:tx>
          <c:layout/>
          <c:overlay val="0"/>
        </c:title>
        <c:numFmt formatCode="0.00" sourceLinked="1"/>
        <c:majorTickMark val="none"/>
        <c:minorTickMark val="none"/>
        <c:tickLblPos val="nextTo"/>
        <c:txPr>
          <a:bodyPr rot="-60000000" vert="horz"/>
          <a:lstStyle/>
          <a:p>
            <a:pPr>
              <a:defRPr>
                <a:latin typeface="Arial" panose="020B0604020202020204" pitchFamily="34" charset="0"/>
                <a:cs typeface="Arial" panose="020B0604020202020204" pitchFamily="34" charset="0"/>
              </a:defRPr>
            </a:pPr>
            <a:endParaRPr lang="en-US"/>
          </a:p>
        </c:txPr>
        <c:crossAx val="123382016"/>
        <c:crosses val="autoZero"/>
        <c:crossBetween val="midCat"/>
      </c:valAx>
    </c:plotArea>
    <c:legend>
      <c:legendPos val="t"/>
      <c:layout/>
      <c:overlay val="0"/>
      <c:txPr>
        <a:bodyPr rot="0" vert="horz"/>
        <a:lstStyle/>
        <a:p>
          <a:pPr>
            <a:defRPr>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1" i="0" u="none" strike="noStrike" kern="1200" cap="none" spc="20" baseline="0">
                <a:solidFill>
                  <a:schemeClr val="tx1"/>
                </a:solidFill>
                <a:latin typeface="Arial" panose="020B0604020202020204" pitchFamily="34" charset="0"/>
                <a:ea typeface="+mn-ea"/>
                <a:cs typeface="Arial" panose="020B0604020202020204" pitchFamily="34" charset="0"/>
              </a:defRPr>
            </a:pPr>
            <a:r>
              <a:rPr lang="en-US" sz="1000">
                <a:latin typeface="Arial" panose="020B0604020202020204" pitchFamily="34" charset="0"/>
                <a:cs typeface="Arial" panose="020B0604020202020204" pitchFamily="34" charset="0"/>
              </a:rPr>
              <a:t>SRF Limited: Buyback of Shares, July 2008 to April 2009</a:t>
            </a:r>
          </a:p>
        </c:rich>
      </c:tx>
      <c:layout/>
      <c:overlay val="0"/>
      <c:spPr>
        <a:noFill/>
        <a:ln>
          <a:noFill/>
        </a:ln>
        <a:effectLst/>
      </c:spPr>
    </c:title>
    <c:autoTitleDeleted val="0"/>
    <c:plotArea>
      <c:layout/>
      <c:barChart>
        <c:barDir val="col"/>
        <c:grouping val="clustered"/>
        <c:varyColors val="0"/>
        <c:ser>
          <c:idx val="0"/>
          <c:order val="0"/>
          <c:tx>
            <c:strRef>
              <c:f>Sheet2!$B$1</c:f>
              <c:strCache>
                <c:ptCount val="1"/>
                <c:pt idx="0">
                  <c:v>Shares Purchased</c:v>
                </c:pt>
              </c:strCache>
            </c:strRef>
          </c:tx>
          <c:spPr>
            <a:solidFill>
              <a:schemeClr val="tx1">
                <a:lumMod val="50000"/>
                <a:lumOff val="50000"/>
              </a:schemeClr>
            </a:solidFill>
            <a:ln w="9525" cap="flat" cmpd="sng" algn="ctr">
              <a:solidFill>
                <a:schemeClr val="tx1">
                  <a:lumMod val="50000"/>
                  <a:lumOff val="50000"/>
                </a:schemeClr>
              </a:solidFill>
              <a:round/>
            </a:ln>
            <a:effectLst/>
          </c:spPr>
          <c:invertIfNegative val="0"/>
          <c:cat>
            <c:numRef>
              <c:f>Sheet2!$A$2:$A$106</c:f>
              <c:numCache>
                <c:formatCode>d\-mmm\-yy</c:formatCode>
                <c:ptCount val="105"/>
                <c:pt idx="0">
                  <c:v>39631</c:v>
                </c:pt>
                <c:pt idx="1">
                  <c:v>39632</c:v>
                </c:pt>
                <c:pt idx="2">
                  <c:v>39633</c:v>
                </c:pt>
                <c:pt idx="3">
                  <c:v>39636</c:v>
                </c:pt>
                <c:pt idx="4">
                  <c:v>39638</c:v>
                </c:pt>
                <c:pt idx="5">
                  <c:v>39639</c:v>
                </c:pt>
                <c:pt idx="6">
                  <c:v>39640</c:v>
                </c:pt>
                <c:pt idx="7">
                  <c:v>39644</c:v>
                </c:pt>
                <c:pt idx="8">
                  <c:v>39645</c:v>
                </c:pt>
                <c:pt idx="9">
                  <c:v>39646</c:v>
                </c:pt>
                <c:pt idx="10">
                  <c:v>39650</c:v>
                </c:pt>
                <c:pt idx="11">
                  <c:v>39651</c:v>
                </c:pt>
                <c:pt idx="12">
                  <c:v>39657</c:v>
                </c:pt>
                <c:pt idx="13">
                  <c:v>39658</c:v>
                </c:pt>
                <c:pt idx="14">
                  <c:v>39659</c:v>
                </c:pt>
                <c:pt idx="15">
                  <c:v>39660</c:v>
                </c:pt>
                <c:pt idx="16">
                  <c:v>39667</c:v>
                </c:pt>
                <c:pt idx="17">
                  <c:v>39668</c:v>
                </c:pt>
                <c:pt idx="18">
                  <c:v>39671</c:v>
                </c:pt>
                <c:pt idx="19">
                  <c:v>39672</c:v>
                </c:pt>
                <c:pt idx="20">
                  <c:v>39674</c:v>
                </c:pt>
                <c:pt idx="21">
                  <c:v>39678</c:v>
                </c:pt>
                <c:pt idx="22">
                  <c:v>39679</c:v>
                </c:pt>
                <c:pt idx="23">
                  <c:v>39681</c:v>
                </c:pt>
                <c:pt idx="24">
                  <c:v>39682</c:v>
                </c:pt>
                <c:pt idx="25">
                  <c:v>39685</c:v>
                </c:pt>
                <c:pt idx="26">
                  <c:v>39687</c:v>
                </c:pt>
                <c:pt idx="27">
                  <c:v>39688</c:v>
                </c:pt>
                <c:pt idx="28">
                  <c:v>39695</c:v>
                </c:pt>
                <c:pt idx="29">
                  <c:v>39702</c:v>
                </c:pt>
                <c:pt idx="30">
                  <c:v>39708</c:v>
                </c:pt>
                <c:pt idx="31">
                  <c:v>39709</c:v>
                </c:pt>
                <c:pt idx="32">
                  <c:v>39710</c:v>
                </c:pt>
                <c:pt idx="33">
                  <c:v>39715</c:v>
                </c:pt>
                <c:pt idx="34">
                  <c:v>39716</c:v>
                </c:pt>
                <c:pt idx="35">
                  <c:v>39717</c:v>
                </c:pt>
                <c:pt idx="36">
                  <c:v>39721</c:v>
                </c:pt>
                <c:pt idx="37">
                  <c:v>39728</c:v>
                </c:pt>
                <c:pt idx="38">
                  <c:v>39729</c:v>
                </c:pt>
                <c:pt idx="39">
                  <c:v>39731</c:v>
                </c:pt>
                <c:pt idx="40">
                  <c:v>39734</c:v>
                </c:pt>
                <c:pt idx="41">
                  <c:v>39735</c:v>
                </c:pt>
                <c:pt idx="42">
                  <c:v>39737</c:v>
                </c:pt>
                <c:pt idx="43">
                  <c:v>39738</c:v>
                </c:pt>
                <c:pt idx="44">
                  <c:v>39741</c:v>
                </c:pt>
                <c:pt idx="45">
                  <c:v>39742</c:v>
                </c:pt>
                <c:pt idx="46">
                  <c:v>39744</c:v>
                </c:pt>
                <c:pt idx="47">
                  <c:v>39745</c:v>
                </c:pt>
                <c:pt idx="48">
                  <c:v>39748</c:v>
                </c:pt>
                <c:pt idx="49">
                  <c:v>39758</c:v>
                </c:pt>
                <c:pt idx="50">
                  <c:v>39766</c:v>
                </c:pt>
                <c:pt idx="51">
                  <c:v>39771</c:v>
                </c:pt>
                <c:pt idx="52">
                  <c:v>39772</c:v>
                </c:pt>
                <c:pt idx="53">
                  <c:v>39773</c:v>
                </c:pt>
                <c:pt idx="54">
                  <c:v>39777</c:v>
                </c:pt>
                <c:pt idx="55">
                  <c:v>39778</c:v>
                </c:pt>
                <c:pt idx="56">
                  <c:v>39780</c:v>
                </c:pt>
                <c:pt idx="57">
                  <c:v>39783</c:v>
                </c:pt>
                <c:pt idx="58">
                  <c:v>39784</c:v>
                </c:pt>
                <c:pt idx="59">
                  <c:v>39785</c:v>
                </c:pt>
                <c:pt idx="60">
                  <c:v>39786</c:v>
                </c:pt>
                <c:pt idx="61">
                  <c:v>39794</c:v>
                </c:pt>
                <c:pt idx="62">
                  <c:v>39801</c:v>
                </c:pt>
                <c:pt idx="63">
                  <c:v>39808</c:v>
                </c:pt>
                <c:pt idx="64">
                  <c:v>39815</c:v>
                </c:pt>
                <c:pt idx="65">
                  <c:v>39820</c:v>
                </c:pt>
                <c:pt idx="66">
                  <c:v>39825</c:v>
                </c:pt>
                <c:pt idx="67">
                  <c:v>39829</c:v>
                </c:pt>
                <c:pt idx="68">
                  <c:v>39833</c:v>
                </c:pt>
                <c:pt idx="69">
                  <c:v>39835</c:v>
                </c:pt>
                <c:pt idx="70">
                  <c:v>39836</c:v>
                </c:pt>
                <c:pt idx="71">
                  <c:v>39842</c:v>
                </c:pt>
                <c:pt idx="72">
                  <c:v>39847</c:v>
                </c:pt>
                <c:pt idx="73">
                  <c:v>39848</c:v>
                </c:pt>
                <c:pt idx="74">
                  <c:v>39849</c:v>
                </c:pt>
                <c:pt idx="75">
                  <c:v>39855</c:v>
                </c:pt>
                <c:pt idx="76">
                  <c:v>39856</c:v>
                </c:pt>
                <c:pt idx="77">
                  <c:v>39857</c:v>
                </c:pt>
                <c:pt idx="78">
                  <c:v>39861</c:v>
                </c:pt>
                <c:pt idx="79">
                  <c:v>39862</c:v>
                </c:pt>
                <c:pt idx="80">
                  <c:v>39863</c:v>
                </c:pt>
                <c:pt idx="81">
                  <c:v>39864</c:v>
                </c:pt>
                <c:pt idx="82">
                  <c:v>39868</c:v>
                </c:pt>
                <c:pt idx="83">
                  <c:v>39869</c:v>
                </c:pt>
                <c:pt idx="84">
                  <c:v>39871</c:v>
                </c:pt>
                <c:pt idx="85">
                  <c:v>39874</c:v>
                </c:pt>
                <c:pt idx="86">
                  <c:v>39875</c:v>
                </c:pt>
                <c:pt idx="87">
                  <c:v>39876</c:v>
                </c:pt>
                <c:pt idx="88">
                  <c:v>39878</c:v>
                </c:pt>
                <c:pt idx="89">
                  <c:v>39881</c:v>
                </c:pt>
                <c:pt idx="90">
                  <c:v>39885</c:v>
                </c:pt>
                <c:pt idx="91">
                  <c:v>39889</c:v>
                </c:pt>
                <c:pt idx="92">
                  <c:v>39890</c:v>
                </c:pt>
                <c:pt idx="93">
                  <c:v>39891</c:v>
                </c:pt>
                <c:pt idx="94">
                  <c:v>39892</c:v>
                </c:pt>
                <c:pt idx="95">
                  <c:v>39895</c:v>
                </c:pt>
                <c:pt idx="96">
                  <c:v>39896</c:v>
                </c:pt>
                <c:pt idx="97">
                  <c:v>39897</c:v>
                </c:pt>
                <c:pt idx="98">
                  <c:v>39898</c:v>
                </c:pt>
                <c:pt idx="99">
                  <c:v>39899</c:v>
                </c:pt>
                <c:pt idx="100">
                  <c:v>39905</c:v>
                </c:pt>
                <c:pt idx="101">
                  <c:v>39909</c:v>
                </c:pt>
                <c:pt idx="102">
                  <c:v>39911</c:v>
                </c:pt>
                <c:pt idx="103">
                  <c:v>39918</c:v>
                </c:pt>
                <c:pt idx="104">
                  <c:v>39919</c:v>
                </c:pt>
              </c:numCache>
            </c:numRef>
          </c:cat>
          <c:val>
            <c:numRef>
              <c:f>Sheet2!$B$2:$B$106</c:f>
              <c:numCache>
                <c:formatCode>#,##0</c:formatCode>
                <c:ptCount val="105"/>
                <c:pt idx="0">
                  <c:v>42705</c:v>
                </c:pt>
                <c:pt idx="1">
                  <c:v>100000</c:v>
                </c:pt>
                <c:pt idx="2">
                  <c:v>24017</c:v>
                </c:pt>
                <c:pt idx="3">
                  <c:v>111168</c:v>
                </c:pt>
                <c:pt idx="4">
                  <c:v>50000</c:v>
                </c:pt>
                <c:pt idx="5">
                  <c:v>22691</c:v>
                </c:pt>
                <c:pt idx="6">
                  <c:v>88912</c:v>
                </c:pt>
                <c:pt idx="7">
                  <c:v>111337</c:v>
                </c:pt>
                <c:pt idx="8">
                  <c:v>120438</c:v>
                </c:pt>
                <c:pt idx="9">
                  <c:v>106741</c:v>
                </c:pt>
                <c:pt idx="10">
                  <c:v>88440</c:v>
                </c:pt>
                <c:pt idx="11">
                  <c:v>6546</c:v>
                </c:pt>
                <c:pt idx="12">
                  <c:v>53916</c:v>
                </c:pt>
                <c:pt idx="13">
                  <c:v>85539</c:v>
                </c:pt>
                <c:pt idx="14">
                  <c:v>170000</c:v>
                </c:pt>
                <c:pt idx="15">
                  <c:v>77527</c:v>
                </c:pt>
                <c:pt idx="16">
                  <c:v>32395</c:v>
                </c:pt>
                <c:pt idx="17">
                  <c:v>46276</c:v>
                </c:pt>
                <c:pt idx="18">
                  <c:v>33711</c:v>
                </c:pt>
                <c:pt idx="19">
                  <c:v>250574</c:v>
                </c:pt>
                <c:pt idx="20">
                  <c:v>133820</c:v>
                </c:pt>
                <c:pt idx="21">
                  <c:v>94513</c:v>
                </c:pt>
                <c:pt idx="22">
                  <c:v>72839</c:v>
                </c:pt>
                <c:pt idx="23">
                  <c:v>71077</c:v>
                </c:pt>
                <c:pt idx="24">
                  <c:v>54160</c:v>
                </c:pt>
                <c:pt idx="25">
                  <c:v>15487</c:v>
                </c:pt>
                <c:pt idx="26">
                  <c:v>46460</c:v>
                </c:pt>
                <c:pt idx="27">
                  <c:v>179212</c:v>
                </c:pt>
                <c:pt idx="28">
                  <c:v>4000</c:v>
                </c:pt>
                <c:pt idx="29">
                  <c:v>113418</c:v>
                </c:pt>
                <c:pt idx="30">
                  <c:v>81057</c:v>
                </c:pt>
                <c:pt idx="31">
                  <c:v>13925</c:v>
                </c:pt>
                <c:pt idx="32">
                  <c:v>25000</c:v>
                </c:pt>
                <c:pt idx="33">
                  <c:v>25000</c:v>
                </c:pt>
                <c:pt idx="34">
                  <c:v>14000</c:v>
                </c:pt>
                <c:pt idx="35">
                  <c:v>6090</c:v>
                </c:pt>
                <c:pt idx="36">
                  <c:v>75000</c:v>
                </c:pt>
                <c:pt idx="37">
                  <c:v>67967</c:v>
                </c:pt>
                <c:pt idx="38">
                  <c:v>62000</c:v>
                </c:pt>
                <c:pt idx="39">
                  <c:v>48705</c:v>
                </c:pt>
                <c:pt idx="40">
                  <c:v>22000</c:v>
                </c:pt>
                <c:pt idx="41">
                  <c:v>7000</c:v>
                </c:pt>
                <c:pt idx="42">
                  <c:v>22000</c:v>
                </c:pt>
                <c:pt idx="43">
                  <c:v>28856</c:v>
                </c:pt>
                <c:pt idx="44">
                  <c:v>50000</c:v>
                </c:pt>
                <c:pt idx="45">
                  <c:v>27000</c:v>
                </c:pt>
                <c:pt idx="46">
                  <c:v>100000</c:v>
                </c:pt>
                <c:pt idx="47">
                  <c:v>250000</c:v>
                </c:pt>
                <c:pt idx="48">
                  <c:v>166486</c:v>
                </c:pt>
                <c:pt idx="49">
                  <c:v>50000</c:v>
                </c:pt>
                <c:pt idx="50">
                  <c:v>50000</c:v>
                </c:pt>
                <c:pt idx="51">
                  <c:v>100000</c:v>
                </c:pt>
                <c:pt idx="52">
                  <c:v>60000</c:v>
                </c:pt>
                <c:pt idx="53">
                  <c:v>40000</c:v>
                </c:pt>
                <c:pt idx="54">
                  <c:v>50000</c:v>
                </c:pt>
                <c:pt idx="55">
                  <c:v>25000</c:v>
                </c:pt>
                <c:pt idx="56">
                  <c:v>14925</c:v>
                </c:pt>
                <c:pt idx="57">
                  <c:v>20000</c:v>
                </c:pt>
                <c:pt idx="58">
                  <c:v>25000</c:v>
                </c:pt>
                <c:pt idx="59">
                  <c:v>30000</c:v>
                </c:pt>
                <c:pt idx="60">
                  <c:v>60000</c:v>
                </c:pt>
                <c:pt idx="61">
                  <c:v>10000</c:v>
                </c:pt>
                <c:pt idx="62">
                  <c:v>10000</c:v>
                </c:pt>
                <c:pt idx="63">
                  <c:v>10000</c:v>
                </c:pt>
                <c:pt idx="64">
                  <c:v>5000</c:v>
                </c:pt>
                <c:pt idx="65">
                  <c:v>39841</c:v>
                </c:pt>
                <c:pt idx="66">
                  <c:v>25000</c:v>
                </c:pt>
                <c:pt idx="67">
                  <c:v>25000</c:v>
                </c:pt>
                <c:pt idx="68">
                  <c:v>25000</c:v>
                </c:pt>
                <c:pt idx="69">
                  <c:v>25000</c:v>
                </c:pt>
                <c:pt idx="70">
                  <c:v>25000</c:v>
                </c:pt>
                <c:pt idx="71">
                  <c:v>5000</c:v>
                </c:pt>
                <c:pt idx="72">
                  <c:v>100000</c:v>
                </c:pt>
                <c:pt idx="73">
                  <c:v>20000</c:v>
                </c:pt>
                <c:pt idx="74">
                  <c:v>4300</c:v>
                </c:pt>
                <c:pt idx="75">
                  <c:v>15297</c:v>
                </c:pt>
                <c:pt idx="76">
                  <c:v>206000</c:v>
                </c:pt>
                <c:pt idx="77">
                  <c:v>99100</c:v>
                </c:pt>
                <c:pt idx="78">
                  <c:v>105700</c:v>
                </c:pt>
                <c:pt idx="79">
                  <c:v>93567</c:v>
                </c:pt>
                <c:pt idx="80">
                  <c:v>123000</c:v>
                </c:pt>
                <c:pt idx="81">
                  <c:v>97059</c:v>
                </c:pt>
                <c:pt idx="82">
                  <c:v>46332</c:v>
                </c:pt>
                <c:pt idx="83">
                  <c:v>4000</c:v>
                </c:pt>
                <c:pt idx="84">
                  <c:v>160380</c:v>
                </c:pt>
                <c:pt idx="85">
                  <c:v>300000</c:v>
                </c:pt>
                <c:pt idx="86">
                  <c:v>175000</c:v>
                </c:pt>
                <c:pt idx="87">
                  <c:v>109539</c:v>
                </c:pt>
                <c:pt idx="88">
                  <c:v>61560</c:v>
                </c:pt>
                <c:pt idx="89">
                  <c:v>50000</c:v>
                </c:pt>
                <c:pt idx="90">
                  <c:v>100000</c:v>
                </c:pt>
                <c:pt idx="91">
                  <c:v>255000</c:v>
                </c:pt>
                <c:pt idx="92">
                  <c:v>45000</c:v>
                </c:pt>
                <c:pt idx="93">
                  <c:v>50000</c:v>
                </c:pt>
                <c:pt idx="94">
                  <c:v>31000</c:v>
                </c:pt>
                <c:pt idx="95">
                  <c:v>223480</c:v>
                </c:pt>
                <c:pt idx="96">
                  <c:v>250000</c:v>
                </c:pt>
                <c:pt idx="97">
                  <c:v>94915</c:v>
                </c:pt>
                <c:pt idx="98">
                  <c:v>50000</c:v>
                </c:pt>
                <c:pt idx="99">
                  <c:v>100000</c:v>
                </c:pt>
                <c:pt idx="100">
                  <c:v>5000</c:v>
                </c:pt>
                <c:pt idx="101">
                  <c:v>150000</c:v>
                </c:pt>
                <c:pt idx="102">
                  <c:v>10000</c:v>
                </c:pt>
                <c:pt idx="103">
                  <c:v>10000</c:v>
                </c:pt>
                <c:pt idx="104">
                  <c:v>6425</c:v>
                </c:pt>
              </c:numCache>
            </c:numRef>
          </c:val>
        </c:ser>
        <c:dLbls>
          <c:showLegendKey val="0"/>
          <c:showVal val="0"/>
          <c:showCatName val="0"/>
          <c:showSerName val="0"/>
          <c:showPercent val="0"/>
          <c:showBubbleSize val="0"/>
        </c:dLbls>
        <c:gapWidth val="150"/>
        <c:axId val="121187328"/>
        <c:axId val="121189504"/>
      </c:barChart>
      <c:lineChart>
        <c:grouping val="standard"/>
        <c:varyColors val="0"/>
        <c:ser>
          <c:idx val="1"/>
          <c:order val="1"/>
          <c:tx>
            <c:strRef>
              <c:f>Sheet2!$C$1</c:f>
              <c:strCache>
                <c:ptCount val="1"/>
                <c:pt idx="0">
                  <c:v>Buyback Price (Rs.)</c:v>
                </c:pt>
              </c:strCache>
            </c:strRef>
          </c:tx>
          <c:spPr>
            <a:ln w="15875" cap="rnd">
              <a:solidFill>
                <a:schemeClr val="tx1"/>
              </a:solidFill>
              <a:round/>
            </a:ln>
            <a:effectLst/>
          </c:spPr>
          <c:marker>
            <c:symbol val="none"/>
          </c:marker>
          <c:cat>
            <c:numRef>
              <c:f>Sheet2!$A$2:$A$106</c:f>
              <c:numCache>
                <c:formatCode>d\-mmm\-yy</c:formatCode>
                <c:ptCount val="105"/>
                <c:pt idx="0">
                  <c:v>39631</c:v>
                </c:pt>
                <c:pt idx="1">
                  <c:v>39632</c:v>
                </c:pt>
                <c:pt idx="2">
                  <c:v>39633</c:v>
                </c:pt>
                <c:pt idx="3">
                  <c:v>39636</c:v>
                </c:pt>
                <c:pt idx="4">
                  <c:v>39638</c:v>
                </c:pt>
                <c:pt idx="5">
                  <c:v>39639</c:v>
                </c:pt>
                <c:pt idx="6">
                  <c:v>39640</c:v>
                </c:pt>
                <c:pt idx="7">
                  <c:v>39644</c:v>
                </c:pt>
                <c:pt idx="8">
                  <c:v>39645</c:v>
                </c:pt>
                <c:pt idx="9">
                  <c:v>39646</c:v>
                </c:pt>
                <c:pt idx="10">
                  <c:v>39650</c:v>
                </c:pt>
                <c:pt idx="11">
                  <c:v>39651</c:v>
                </c:pt>
                <c:pt idx="12">
                  <c:v>39657</c:v>
                </c:pt>
                <c:pt idx="13">
                  <c:v>39658</c:v>
                </c:pt>
                <c:pt idx="14">
                  <c:v>39659</c:v>
                </c:pt>
                <c:pt idx="15">
                  <c:v>39660</c:v>
                </c:pt>
                <c:pt idx="16">
                  <c:v>39667</c:v>
                </c:pt>
                <c:pt idx="17">
                  <c:v>39668</c:v>
                </c:pt>
                <c:pt idx="18">
                  <c:v>39671</c:v>
                </c:pt>
                <c:pt idx="19">
                  <c:v>39672</c:v>
                </c:pt>
                <c:pt idx="20">
                  <c:v>39674</c:v>
                </c:pt>
                <c:pt idx="21">
                  <c:v>39678</c:v>
                </c:pt>
                <c:pt idx="22">
                  <c:v>39679</c:v>
                </c:pt>
                <c:pt idx="23">
                  <c:v>39681</c:v>
                </c:pt>
                <c:pt idx="24">
                  <c:v>39682</c:v>
                </c:pt>
                <c:pt idx="25">
                  <c:v>39685</c:v>
                </c:pt>
                <c:pt idx="26">
                  <c:v>39687</c:v>
                </c:pt>
                <c:pt idx="27">
                  <c:v>39688</c:v>
                </c:pt>
                <c:pt idx="28">
                  <c:v>39695</c:v>
                </c:pt>
                <c:pt idx="29">
                  <c:v>39702</c:v>
                </c:pt>
                <c:pt idx="30">
                  <c:v>39708</c:v>
                </c:pt>
                <c:pt idx="31">
                  <c:v>39709</c:v>
                </c:pt>
                <c:pt idx="32">
                  <c:v>39710</c:v>
                </c:pt>
                <c:pt idx="33">
                  <c:v>39715</c:v>
                </c:pt>
                <c:pt idx="34">
                  <c:v>39716</c:v>
                </c:pt>
                <c:pt idx="35">
                  <c:v>39717</c:v>
                </c:pt>
                <c:pt idx="36">
                  <c:v>39721</c:v>
                </c:pt>
                <c:pt idx="37">
                  <c:v>39728</c:v>
                </c:pt>
                <c:pt idx="38">
                  <c:v>39729</c:v>
                </c:pt>
                <c:pt idx="39">
                  <c:v>39731</c:v>
                </c:pt>
                <c:pt idx="40">
                  <c:v>39734</c:v>
                </c:pt>
                <c:pt idx="41">
                  <c:v>39735</c:v>
                </c:pt>
                <c:pt idx="42">
                  <c:v>39737</c:v>
                </c:pt>
                <c:pt idx="43">
                  <c:v>39738</c:v>
                </c:pt>
                <c:pt idx="44">
                  <c:v>39741</c:v>
                </c:pt>
                <c:pt idx="45">
                  <c:v>39742</c:v>
                </c:pt>
                <c:pt idx="46">
                  <c:v>39744</c:v>
                </c:pt>
                <c:pt idx="47">
                  <c:v>39745</c:v>
                </c:pt>
                <c:pt idx="48">
                  <c:v>39748</c:v>
                </c:pt>
                <c:pt idx="49">
                  <c:v>39758</c:v>
                </c:pt>
                <c:pt idx="50">
                  <c:v>39766</c:v>
                </c:pt>
                <c:pt idx="51">
                  <c:v>39771</c:v>
                </c:pt>
                <c:pt idx="52">
                  <c:v>39772</c:v>
                </c:pt>
                <c:pt idx="53">
                  <c:v>39773</c:v>
                </c:pt>
                <c:pt idx="54">
                  <c:v>39777</c:v>
                </c:pt>
                <c:pt idx="55">
                  <c:v>39778</c:v>
                </c:pt>
                <c:pt idx="56">
                  <c:v>39780</c:v>
                </c:pt>
                <c:pt idx="57">
                  <c:v>39783</c:v>
                </c:pt>
                <c:pt idx="58">
                  <c:v>39784</c:v>
                </c:pt>
                <c:pt idx="59">
                  <c:v>39785</c:v>
                </c:pt>
                <c:pt idx="60">
                  <c:v>39786</c:v>
                </c:pt>
                <c:pt idx="61">
                  <c:v>39794</c:v>
                </c:pt>
                <c:pt idx="62">
                  <c:v>39801</c:v>
                </c:pt>
                <c:pt idx="63">
                  <c:v>39808</c:v>
                </c:pt>
                <c:pt idx="64">
                  <c:v>39815</c:v>
                </c:pt>
                <c:pt idx="65">
                  <c:v>39820</c:v>
                </c:pt>
                <c:pt idx="66">
                  <c:v>39825</c:v>
                </c:pt>
                <c:pt idx="67">
                  <c:v>39829</c:v>
                </c:pt>
                <c:pt idx="68">
                  <c:v>39833</c:v>
                </c:pt>
                <c:pt idx="69">
                  <c:v>39835</c:v>
                </c:pt>
                <c:pt idx="70">
                  <c:v>39836</c:v>
                </c:pt>
                <c:pt idx="71">
                  <c:v>39842</c:v>
                </c:pt>
                <c:pt idx="72">
                  <c:v>39847</c:v>
                </c:pt>
                <c:pt idx="73">
                  <c:v>39848</c:v>
                </c:pt>
                <c:pt idx="74">
                  <c:v>39849</c:v>
                </c:pt>
                <c:pt idx="75">
                  <c:v>39855</c:v>
                </c:pt>
                <c:pt idx="76">
                  <c:v>39856</c:v>
                </c:pt>
                <c:pt idx="77">
                  <c:v>39857</c:v>
                </c:pt>
                <c:pt idx="78">
                  <c:v>39861</c:v>
                </c:pt>
                <c:pt idx="79">
                  <c:v>39862</c:v>
                </c:pt>
                <c:pt idx="80">
                  <c:v>39863</c:v>
                </c:pt>
                <c:pt idx="81">
                  <c:v>39864</c:v>
                </c:pt>
                <c:pt idx="82">
                  <c:v>39868</c:v>
                </c:pt>
                <c:pt idx="83">
                  <c:v>39869</c:v>
                </c:pt>
                <c:pt idx="84">
                  <c:v>39871</c:v>
                </c:pt>
                <c:pt idx="85">
                  <c:v>39874</c:v>
                </c:pt>
                <c:pt idx="86">
                  <c:v>39875</c:v>
                </c:pt>
                <c:pt idx="87">
                  <c:v>39876</c:v>
                </c:pt>
                <c:pt idx="88">
                  <c:v>39878</c:v>
                </c:pt>
                <c:pt idx="89">
                  <c:v>39881</c:v>
                </c:pt>
                <c:pt idx="90">
                  <c:v>39885</c:v>
                </c:pt>
                <c:pt idx="91">
                  <c:v>39889</c:v>
                </c:pt>
                <c:pt idx="92">
                  <c:v>39890</c:v>
                </c:pt>
                <c:pt idx="93">
                  <c:v>39891</c:v>
                </c:pt>
                <c:pt idx="94">
                  <c:v>39892</c:v>
                </c:pt>
                <c:pt idx="95">
                  <c:v>39895</c:v>
                </c:pt>
                <c:pt idx="96">
                  <c:v>39896</c:v>
                </c:pt>
                <c:pt idx="97">
                  <c:v>39897</c:v>
                </c:pt>
                <c:pt idx="98">
                  <c:v>39898</c:v>
                </c:pt>
                <c:pt idx="99">
                  <c:v>39899</c:v>
                </c:pt>
                <c:pt idx="100">
                  <c:v>39905</c:v>
                </c:pt>
                <c:pt idx="101">
                  <c:v>39909</c:v>
                </c:pt>
                <c:pt idx="102">
                  <c:v>39911</c:v>
                </c:pt>
                <c:pt idx="103">
                  <c:v>39918</c:v>
                </c:pt>
                <c:pt idx="104">
                  <c:v>39919</c:v>
                </c:pt>
              </c:numCache>
            </c:numRef>
          </c:cat>
          <c:val>
            <c:numRef>
              <c:f>Sheet2!$C$2:$C$106</c:f>
              <c:numCache>
                <c:formatCode>General</c:formatCode>
                <c:ptCount val="105"/>
                <c:pt idx="0">
                  <c:v>114.01</c:v>
                </c:pt>
                <c:pt idx="1">
                  <c:v>114.25</c:v>
                </c:pt>
                <c:pt idx="2">
                  <c:v>114.48</c:v>
                </c:pt>
                <c:pt idx="3">
                  <c:v>120.08</c:v>
                </c:pt>
                <c:pt idx="4">
                  <c:v>124.97</c:v>
                </c:pt>
                <c:pt idx="5">
                  <c:v>124.58</c:v>
                </c:pt>
                <c:pt idx="6">
                  <c:v>122.98</c:v>
                </c:pt>
                <c:pt idx="7">
                  <c:v>121.26</c:v>
                </c:pt>
                <c:pt idx="8">
                  <c:v>120.68</c:v>
                </c:pt>
                <c:pt idx="9">
                  <c:v>123.11</c:v>
                </c:pt>
                <c:pt idx="10">
                  <c:v>126.73</c:v>
                </c:pt>
                <c:pt idx="11">
                  <c:v>125</c:v>
                </c:pt>
                <c:pt idx="12">
                  <c:v>129.75</c:v>
                </c:pt>
                <c:pt idx="13">
                  <c:v>127.3</c:v>
                </c:pt>
                <c:pt idx="14">
                  <c:v>130.72</c:v>
                </c:pt>
                <c:pt idx="15">
                  <c:v>131.91</c:v>
                </c:pt>
                <c:pt idx="16">
                  <c:v>140</c:v>
                </c:pt>
                <c:pt idx="17">
                  <c:v>142.37</c:v>
                </c:pt>
                <c:pt idx="18">
                  <c:v>142.49</c:v>
                </c:pt>
                <c:pt idx="19">
                  <c:v>142.43</c:v>
                </c:pt>
                <c:pt idx="20">
                  <c:v>140.63999999999999</c:v>
                </c:pt>
                <c:pt idx="21">
                  <c:v>139.49</c:v>
                </c:pt>
                <c:pt idx="22">
                  <c:v>138.41</c:v>
                </c:pt>
                <c:pt idx="23">
                  <c:v>137.77000000000001</c:v>
                </c:pt>
                <c:pt idx="24">
                  <c:v>138.05000000000001</c:v>
                </c:pt>
                <c:pt idx="25">
                  <c:v>134.51</c:v>
                </c:pt>
                <c:pt idx="26">
                  <c:v>133.76</c:v>
                </c:pt>
                <c:pt idx="27">
                  <c:v>131.72</c:v>
                </c:pt>
                <c:pt idx="28">
                  <c:v>133</c:v>
                </c:pt>
                <c:pt idx="29">
                  <c:v>131.75</c:v>
                </c:pt>
                <c:pt idx="30">
                  <c:v>120.97</c:v>
                </c:pt>
                <c:pt idx="31">
                  <c:v>130.13999999999999</c:v>
                </c:pt>
                <c:pt idx="32">
                  <c:v>118.04</c:v>
                </c:pt>
                <c:pt idx="33">
                  <c:v>116</c:v>
                </c:pt>
                <c:pt idx="34">
                  <c:v>112.39</c:v>
                </c:pt>
                <c:pt idx="35">
                  <c:v>111.29</c:v>
                </c:pt>
                <c:pt idx="36">
                  <c:v>104.8</c:v>
                </c:pt>
                <c:pt idx="37">
                  <c:v>103.22</c:v>
                </c:pt>
                <c:pt idx="38">
                  <c:v>94.4</c:v>
                </c:pt>
                <c:pt idx="39">
                  <c:v>93.56</c:v>
                </c:pt>
                <c:pt idx="40">
                  <c:v>93.92</c:v>
                </c:pt>
                <c:pt idx="41">
                  <c:v>94.9</c:v>
                </c:pt>
                <c:pt idx="42">
                  <c:v>92.41</c:v>
                </c:pt>
                <c:pt idx="43">
                  <c:v>89.62</c:v>
                </c:pt>
                <c:pt idx="44">
                  <c:v>92.62</c:v>
                </c:pt>
                <c:pt idx="45">
                  <c:v>92.669999999999973</c:v>
                </c:pt>
                <c:pt idx="46">
                  <c:v>90.27</c:v>
                </c:pt>
                <c:pt idx="47">
                  <c:v>80.75</c:v>
                </c:pt>
                <c:pt idx="48">
                  <c:v>71.77</c:v>
                </c:pt>
                <c:pt idx="49">
                  <c:v>77.92</c:v>
                </c:pt>
                <c:pt idx="50">
                  <c:v>78.61</c:v>
                </c:pt>
                <c:pt idx="51">
                  <c:v>73.489999999999995</c:v>
                </c:pt>
                <c:pt idx="52">
                  <c:v>70.459999999999994</c:v>
                </c:pt>
                <c:pt idx="53">
                  <c:v>71.87</c:v>
                </c:pt>
                <c:pt idx="54">
                  <c:v>70.2</c:v>
                </c:pt>
                <c:pt idx="55">
                  <c:v>70.98</c:v>
                </c:pt>
                <c:pt idx="56">
                  <c:v>69.86</c:v>
                </c:pt>
                <c:pt idx="57">
                  <c:v>70.7</c:v>
                </c:pt>
                <c:pt idx="58">
                  <c:v>70.209999999999994</c:v>
                </c:pt>
                <c:pt idx="59">
                  <c:v>68.66</c:v>
                </c:pt>
                <c:pt idx="60">
                  <c:v>69.61</c:v>
                </c:pt>
                <c:pt idx="61">
                  <c:v>74.569999999999993</c:v>
                </c:pt>
                <c:pt idx="62">
                  <c:v>77.97</c:v>
                </c:pt>
                <c:pt idx="63">
                  <c:v>72</c:v>
                </c:pt>
                <c:pt idx="64">
                  <c:v>79</c:v>
                </c:pt>
                <c:pt idx="65">
                  <c:v>74.849999999999994</c:v>
                </c:pt>
                <c:pt idx="66">
                  <c:v>70.290000000000006</c:v>
                </c:pt>
                <c:pt idx="67">
                  <c:v>69.650000000000006</c:v>
                </c:pt>
                <c:pt idx="68">
                  <c:v>68.66</c:v>
                </c:pt>
                <c:pt idx="69">
                  <c:v>68.650000000000006</c:v>
                </c:pt>
                <c:pt idx="70">
                  <c:v>67.989999999999995</c:v>
                </c:pt>
                <c:pt idx="71">
                  <c:v>66.989999999999995</c:v>
                </c:pt>
                <c:pt idx="72">
                  <c:v>64.239999999999995</c:v>
                </c:pt>
                <c:pt idx="73">
                  <c:v>65.39</c:v>
                </c:pt>
                <c:pt idx="74">
                  <c:v>63.67</c:v>
                </c:pt>
                <c:pt idx="75">
                  <c:v>65.7</c:v>
                </c:pt>
                <c:pt idx="76">
                  <c:v>68.87</c:v>
                </c:pt>
                <c:pt idx="77">
                  <c:v>68.75</c:v>
                </c:pt>
                <c:pt idx="78">
                  <c:v>70.489999999999995</c:v>
                </c:pt>
                <c:pt idx="79">
                  <c:v>72.56</c:v>
                </c:pt>
                <c:pt idx="80">
                  <c:v>74.45</c:v>
                </c:pt>
                <c:pt idx="81">
                  <c:v>73.569999999999993</c:v>
                </c:pt>
                <c:pt idx="82">
                  <c:v>73.679999999999978</c:v>
                </c:pt>
                <c:pt idx="83">
                  <c:v>73.94</c:v>
                </c:pt>
                <c:pt idx="84">
                  <c:v>73.98</c:v>
                </c:pt>
                <c:pt idx="85">
                  <c:v>75.61</c:v>
                </c:pt>
                <c:pt idx="86">
                  <c:v>74.959999999999994</c:v>
                </c:pt>
                <c:pt idx="87">
                  <c:v>73.33</c:v>
                </c:pt>
                <c:pt idx="88">
                  <c:v>73.33</c:v>
                </c:pt>
                <c:pt idx="89">
                  <c:v>72.11</c:v>
                </c:pt>
                <c:pt idx="90">
                  <c:v>72.69</c:v>
                </c:pt>
                <c:pt idx="91">
                  <c:v>73.11</c:v>
                </c:pt>
                <c:pt idx="92">
                  <c:v>75.260000000000005</c:v>
                </c:pt>
                <c:pt idx="93">
                  <c:v>74.44</c:v>
                </c:pt>
                <c:pt idx="94">
                  <c:v>72.64</c:v>
                </c:pt>
                <c:pt idx="95">
                  <c:v>74.61</c:v>
                </c:pt>
                <c:pt idx="96">
                  <c:v>75.97</c:v>
                </c:pt>
                <c:pt idx="97">
                  <c:v>76.75</c:v>
                </c:pt>
                <c:pt idx="98">
                  <c:v>74.94</c:v>
                </c:pt>
                <c:pt idx="99">
                  <c:v>78.11</c:v>
                </c:pt>
                <c:pt idx="100">
                  <c:v>78.92</c:v>
                </c:pt>
                <c:pt idx="101">
                  <c:v>80.31</c:v>
                </c:pt>
                <c:pt idx="102">
                  <c:v>81.849999999999994</c:v>
                </c:pt>
                <c:pt idx="103">
                  <c:v>90.96</c:v>
                </c:pt>
                <c:pt idx="104">
                  <c:v>91.76</c:v>
                </c:pt>
              </c:numCache>
            </c:numRef>
          </c:val>
          <c:smooth val="0"/>
        </c:ser>
        <c:dLbls>
          <c:showLegendKey val="0"/>
          <c:showVal val="0"/>
          <c:showCatName val="0"/>
          <c:showSerName val="0"/>
          <c:showPercent val="0"/>
          <c:showBubbleSize val="0"/>
        </c:dLbls>
        <c:marker val="1"/>
        <c:smooth val="0"/>
        <c:axId val="121198080"/>
        <c:axId val="121191808"/>
      </c:lineChart>
      <c:dateAx>
        <c:axId val="121187328"/>
        <c:scaling>
          <c:orientation val="minMax"/>
        </c:scaling>
        <c:delete val="0"/>
        <c:axPos val="b"/>
        <c:title>
          <c:tx>
            <c:rich>
              <a:bodyPr rot="0" spcFirstLastPara="1" vertOverflow="ellipsis" vert="horz" wrap="square" anchor="ctr" anchorCtr="1"/>
              <a:lstStyle/>
              <a:p>
                <a:pPr>
                  <a:defRPr sz="800" b="1" i="0" u="none" strike="noStrike" kern="1200" cap="all" baseline="0">
                    <a:solidFill>
                      <a:schemeClr val="tx1"/>
                    </a:solidFill>
                    <a:latin typeface="Arial" panose="020B0604020202020204" pitchFamily="34" charset="0"/>
                    <a:ea typeface="+mn-ea"/>
                    <a:cs typeface="Arial" panose="020B0604020202020204" pitchFamily="34" charset="0"/>
                  </a:defRPr>
                </a:pPr>
                <a:r>
                  <a:rPr lang="en-US" sz="800">
                    <a:latin typeface="Arial" panose="020B0604020202020204" pitchFamily="34" charset="0"/>
                    <a:cs typeface="Arial" panose="020B0604020202020204" pitchFamily="34" charset="0"/>
                  </a:rPr>
                  <a:t>Period</a:t>
                </a:r>
              </a:p>
            </c:rich>
          </c:tx>
          <c:layout/>
          <c:overlay val="0"/>
          <c:spPr>
            <a:noFill/>
            <a:ln>
              <a:noFill/>
            </a:ln>
            <a:effectLst/>
          </c:sp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1189504"/>
        <c:crosses val="autoZero"/>
        <c:auto val="1"/>
        <c:lblOffset val="100"/>
        <c:baseTimeUnit val="days"/>
      </c:dateAx>
      <c:valAx>
        <c:axId val="12118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1" i="0" u="none" strike="noStrike" kern="1200" cap="all" baseline="0">
                    <a:solidFill>
                      <a:schemeClr val="tx1"/>
                    </a:solidFill>
                    <a:latin typeface="Arial" panose="020B0604020202020204" pitchFamily="34" charset="0"/>
                    <a:ea typeface="+mn-ea"/>
                    <a:cs typeface="Arial" panose="020B0604020202020204" pitchFamily="34" charset="0"/>
                  </a:defRPr>
                </a:pPr>
                <a:r>
                  <a:rPr lang="en-US" sz="800">
                    <a:latin typeface="Arial" panose="020B0604020202020204" pitchFamily="34" charset="0"/>
                    <a:cs typeface="Arial" panose="020B0604020202020204" pitchFamily="34" charset="0"/>
                  </a:rPr>
                  <a:t>No. of Shares ('000)</a:t>
                </a:r>
              </a:p>
            </c:rich>
          </c:tx>
          <c:layout>
            <c:manualLayout>
              <c:xMode val="edge"/>
              <c:yMode val="edge"/>
              <c:x val="1.2176560121765601E-2"/>
              <c:y val="0.26016820652836398"/>
            </c:manualLayout>
          </c:layout>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1187328"/>
        <c:crosses val="autoZero"/>
        <c:crossBetween val="between"/>
        <c:majorUnit val="20000"/>
        <c:dispUnits>
          <c:builtInUnit val="tenThousands"/>
        </c:dispUnits>
      </c:valAx>
      <c:valAx>
        <c:axId val="121191808"/>
        <c:scaling>
          <c:orientation val="minMax"/>
        </c:scaling>
        <c:delete val="0"/>
        <c:axPos val="r"/>
        <c:title>
          <c:tx>
            <c:rich>
              <a:bodyPr rot="-5400000" spcFirstLastPara="1" vertOverflow="ellipsis" vert="horz" wrap="square" anchor="ctr" anchorCtr="1"/>
              <a:lstStyle/>
              <a:p>
                <a:pPr>
                  <a:defRPr sz="800" b="1" i="0" u="none" strike="noStrike" kern="1200" cap="all" baseline="0">
                    <a:solidFill>
                      <a:schemeClr val="tx1"/>
                    </a:solidFill>
                    <a:latin typeface="Arial" panose="020B0604020202020204" pitchFamily="34" charset="0"/>
                    <a:ea typeface="+mn-ea"/>
                    <a:cs typeface="Arial" panose="020B0604020202020204" pitchFamily="34" charset="0"/>
                  </a:defRPr>
                </a:pPr>
                <a:r>
                  <a:rPr lang="en-US" sz="800">
                    <a:latin typeface="Arial" panose="020B0604020202020204" pitchFamily="34" charset="0"/>
                    <a:cs typeface="Arial" panose="020B0604020202020204" pitchFamily="34" charset="0"/>
                  </a:rPr>
                  <a:t>Stock Price (</a:t>
                </a:r>
                <a:r>
                  <a:rPr lang="en-US" sz="800" b="0">
                    <a:latin typeface="Arial" panose="020B0604020202020204" pitchFamily="34" charset="0"/>
                    <a:cs typeface="Arial" panose="020B0604020202020204" pitchFamily="34" charset="0"/>
                  </a:rPr>
                  <a:t>₹</a:t>
                </a:r>
                <a:r>
                  <a:rPr lang="en-US" sz="800">
                    <a:latin typeface="Arial" panose="020B0604020202020204" pitchFamily="34" charset="0"/>
                    <a:cs typeface="Arial" panose="020B0604020202020204" pitchFamily="34" charset="0"/>
                  </a:rPr>
                  <a:t>)</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1198080"/>
        <c:crosses val="max"/>
        <c:crossBetween val="between"/>
        <c:majorUnit val="10"/>
      </c:valAx>
      <c:dateAx>
        <c:axId val="121198080"/>
        <c:scaling>
          <c:orientation val="minMax"/>
        </c:scaling>
        <c:delete val="1"/>
        <c:axPos val="b"/>
        <c:numFmt formatCode="d\-mmm\-yy" sourceLinked="1"/>
        <c:majorTickMark val="out"/>
        <c:minorTickMark val="none"/>
        <c:tickLblPos val="nextTo"/>
        <c:crossAx val="121191808"/>
        <c:crosses val="autoZero"/>
        <c:auto val="1"/>
        <c:lblOffset val="100"/>
        <c:baseTimeUnit val="days"/>
      </c:dateAx>
      <c:spPr>
        <a:effectLst/>
      </c:spPr>
    </c:plotArea>
    <c:legend>
      <c:legendPos val="b"/>
      <c:layout/>
      <c:overlay val="0"/>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chemeClr val="tx1"/>
          </a:solidFill>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1" i="0" u="none" strike="noStrike" kern="1200" cap="none" spc="20" baseline="0">
                <a:solidFill>
                  <a:schemeClr val="tx1"/>
                </a:solidFill>
                <a:latin typeface="Arial" panose="020B0604020202020204" pitchFamily="34" charset="0"/>
                <a:ea typeface="+mn-ea"/>
                <a:cs typeface="Arial" panose="020B0604020202020204" pitchFamily="34" charset="0"/>
              </a:defRPr>
            </a:pPr>
            <a:r>
              <a:rPr lang="en-US" sz="1000" b="1" i="0" baseline="0">
                <a:effectLst/>
                <a:latin typeface="Arial" panose="020B0604020202020204" pitchFamily="34" charset="0"/>
                <a:cs typeface="Arial" panose="020B0604020202020204" pitchFamily="34" charset="0"/>
              </a:rPr>
              <a:t>SRF Limited: Buyback of Shares, April 2011 to February 2012</a:t>
            </a:r>
            <a:endParaRPr lang="en-US" sz="1000">
              <a:effectLst/>
              <a:latin typeface="Arial" panose="020B0604020202020204" pitchFamily="34" charset="0"/>
              <a:cs typeface="Arial" panose="020B0604020202020204" pitchFamily="34" charset="0"/>
            </a:endParaRPr>
          </a:p>
        </c:rich>
      </c:tx>
      <c:layout>
        <c:manualLayout>
          <c:xMode val="edge"/>
          <c:yMode val="edge"/>
          <c:x val="0.12985527473763001"/>
          <c:y val="1.8492831334020399E-2"/>
        </c:manualLayout>
      </c:layout>
      <c:overlay val="0"/>
      <c:spPr>
        <a:noFill/>
        <a:ln>
          <a:noFill/>
        </a:ln>
        <a:effectLst/>
      </c:spPr>
    </c:title>
    <c:autoTitleDeleted val="0"/>
    <c:plotArea>
      <c:layout/>
      <c:barChart>
        <c:barDir val="col"/>
        <c:grouping val="clustered"/>
        <c:varyColors val="0"/>
        <c:ser>
          <c:idx val="0"/>
          <c:order val="0"/>
          <c:tx>
            <c:strRef>
              <c:f>Sheet3!$B$1</c:f>
              <c:strCache>
                <c:ptCount val="1"/>
                <c:pt idx="0">
                  <c:v>Shares Purchased</c:v>
                </c:pt>
              </c:strCache>
            </c:strRef>
          </c:tx>
          <c:spPr>
            <a:solidFill>
              <a:schemeClr val="tx1">
                <a:lumMod val="50000"/>
                <a:lumOff val="50000"/>
              </a:schemeClr>
            </a:solidFill>
            <a:ln w="9525" cap="flat" cmpd="sng" algn="ctr">
              <a:solidFill>
                <a:schemeClr val="tx1">
                  <a:lumMod val="50000"/>
                  <a:lumOff val="50000"/>
                </a:schemeClr>
              </a:solidFill>
              <a:round/>
            </a:ln>
            <a:effectLst/>
          </c:spPr>
          <c:invertIfNegative val="0"/>
          <c:cat>
            <c:numRef>
              <c:f>Sheet3!$A$2:$A$142</c:f>
              <c:numCache>
                <c:formatCode>d\-mmm\-yy</c:formatCode>
                <c:ptCount val="141"/>
                <c:pt idx="0">
                  <c:v>40641</c:v>
                </c:pt>
                <c:pt idx="1">
                  <c:v>40648</c:v>
                </c:pt>
                <c:pt idx="2">
                  <c:v>40652</c:v>
                </c:pt>
                <c:pt idx="3">
                  <c:v>40659</c:v>
                </c:pt>
                <c:pt idx="4">
                  <c:v>40661</c:v>
                </c:pt>
                <c:pt idx="5">
                  <c:v>40662</c:v>
                </c:pt>
                <c:pt idx="6">
                  <c:v>40667</c:v>
                </c:pt>
                <c:pt idx="7">
                  <c:v>40668</c:v>
                </c:pt>
                <c:pt idx="8">
                  <c:v>40673</c:v>
                </c:pt>
                <c:pt idx="9">
                  <c:v>40674</c:v>
                </c:pt>
                <c:pt idx="10">
                  <c:v>40675</c:v>
                </c:pt>
                <c:pt idx="11">
                  <c:v>40676</c:v>
                </c:pt>
                <c:pt idx="12">
                  <c:v>40679</c:v>
                </c:pt>
                <c:pt idx="13">
                  <c:v>40680</c:v>
                </c:pt>
                <c:pt idx="14">
                  <c:v>40681</c:v>
                </c:pt>
                <c:pt idx="15">
                  <c:v>40682</c:v>
                </c:pt>
                <c:pt idx="16">
                  <c:v>40683</c:v>
                </c:pt>
                <c:pt idx="17">
                  <c:v>40686</c:v>
                </c:pt>
                <c:pt idx="18">
                  <c:v>40687</c:v>
                </c:pt>
                <c:pt idx="19">
                  <c:v>40688</c:v>
                </c:pt>
                <c:pt idx="20">
                  <c:v>40689</c:v>
                </c:pt>
                <c:pt idx="21">
                  <c:v>40690</c:v>
                </c:pt>
                <c:pt idx="22">
                  <c:v>40693</c:v>
                </c:pt>
                <c:pt idx="23">
                  <c:v>40696</c:v>
                </c:pt>
                <c:pt idx="24">
                  <c:v>40697</c:v>
                </c:pt>
                <c:pt idx="25">
                  <c:v>40700</c:v>
                </c:pt>
                <c:pt idx="26">
                  <c:v>40702</c:v>
                </c:pt>
                <c:pt idx="27">
                  <c:v>40703</c:v>
                </c:pt>
                <c:pt idx="28">
                  <c:v>40704</c:v>
                </c:pt>
                <c:pt idx="29">
                  <c:v>40707</c:v>
                </c:pt>
                <c:pt idx="30">
                  <c:v>40708</c:v>
                </c:pt>
                <c:pt idx="31">
                  <c:v>40709</c:v>
                </c:pt>
                <c:pt idx="32">
                  <c:v>40710</c:v>
                </c:pt>
                <c:pt idx="33">
                  <c:v>40711</c:v>
                </c:pt>
                <c:pt idx="34">
                  <c:v>40714</c:v>
                </c:pt>
                <c:pt idx="35">
                  <c:v>40715</c:v>
                </c:pt>
                <c:pt idx="36">
                  <c:v>40716</c:v>
                </c:pt>
                <c:pt idx="37">
                  <c:v>40717</c:v>
                </c:pt>
                <c:pt idx="38">
                  <c:v>40718</c:v>
                </c:pt>
                <c:pt idx="39">
                  <c:v>40721</c:v>
                </c:pt>
                <c:pt idx="40">
                  <c:v>40724</c:v>
                </c:pt>
                <c:pt idx="41">
                  <c:v>40731</c:v>
                </c:pt>
                <c:pt idx="42">
                  <c:v>40732</c:v>
                </c:pt>
                <c:pt idx="43">
                  <c:v>40736</c:v>
                </c:pt>
                <c:pt idx="44">
                  <c:v>40739</c:v>
                </c:pt>
                <c:pt idx="45">
                  <c:v>40746</c:v>
                </c:pt>
                <c:pt idx="46">
                  <c:v>40753</c:v>
                </c:pt>
                <c:pt idx="47">
                  <c:v>40756</c:v>
                </c:pt>
                <c:pt idx="48">
                  <c:v>40757</c:v>
                </c:pt>
                <c:pt idx="49">
                  <c:v>40758</c:v>
                </c:pt>
                <c:pt idx="50">
                  <c:v>40759</c:v>
                </c:pt>
                <c:pt idx="51">
                  <c:v>40760</c:v>
                </c:pt>
                <c:pt idx="52">
                  <c:v>40763</c:v>
                </c:pt>
                <c:pt idx="53">
                  <c:v>40764</c:v>
                </c:pt>
                <c:pt idx="54">
                  <c:v>40765</c:v>
                </c:pt>
                <c:pt idx="55">
                  <c:v>40766</c:v>
                </c:pt>
                <c:pt idx="56">
                  <c:v>40767</c:v>
                </c:pt>
                <c:pt idx="57">
                  <c:v>40771</c:v>
                </c:pt>
                <c:pt idx="58">
                  <c:v>40772</c:v>
                </c:pt>
                <c:pt idx="59">
                  <c:v>40773</c:v>
                </c:pt>
                <c:pt idx="60">
                  <c:v>40774</c:v>
                </c:pt>
                <c:pt idx="61">
                  <c:v>40777</c:v>
                </c:pt>
                <c:pt idx="62">
                  <c:v>40778</c:v>
                </c:pt>
                <c:pt idx="63">
                  <c:v>40779</c:v>
                </c:pt>
                <c:pt idx="64">
                  <c:v>40780</c:v>
                </c:pt>
                <c:pt idx="65">
                  <c:v>40781</c:v>
                </c:pt>
                <c:pt idx="66">
                  <c:v>40785</c:v>
                </c:pt>
                <c:pt idx="67">
                  <c:v>40788</c:v>
                </c:pt>
                <c:pt idx="68">
                  <c:v>40791</c:v>
                </c:pt>
                <c:pt idx="69">
                  <c:v>40792</c:v>
                </c:pt>
                <c:pt idx="70">
                  <c:v>40793</c:v>
                </c:pt>
                <c:pt idx="71">
                  <c:v>40795</c:v>
                </c:pt>
                <c:pt idx="72">
                  <c:v>40798</c:v>
                </c:pt>
                <c:pt idx="73">
                  <c:v>40799</c:v>
                </c:pt>
                <c:pt idx="74">
                  <c:v>40801</c:v>
                </c:pt>
                <c:pt idx="75">
                  <c:v>40802</c:v>
                </c:pt>
                <c:pt idx="76">
                  <c:v>40806</c:v>
                </c:pt>
                <c:pt idx="77">
                  <c:v>40807</c:v>
                </c:pt>
                <c:pt idx="78">
                  <c:v>40808</c:v>
                </c:pt>
                <c:pt idx="79">
                  <c:v>40809</c:v>
                </c:pt>
                <c:pt idx="80">
                  <c:v>40812</c:v>
                </c:pt>
                <c:pt idx="81">
                  <c:v>40814</c:v>
                </c:pt>
                <c:pt idx="82">
                  <c:v>40815</c:v>
                </c:pt>
                <c:pt idx="83">
                  <c:v>40816</c:v>
                </c:pt>
                <c:pt idx="84">
                  <c:v>40819</c:v>
                </c:pt>
                <c:pt idx="85">
                  <c:v>40821</c:v>
                </c:pt>
                <c:pt idx="86">
                  <c:v>40823</c:v>
                </c:pt>
                <c:pt idx="87">
                  <c:v>40826</c:v>
                </c:pt>
                <c:pt idx="88">
                  <c:v>40829</c:v>
                </c:pt>
                <c:pt idx="89">
                  <c:v>40834</c:v>
                </c:pt>
                <c:pt idx="90">
                  <c:v>40835</c:v>
                </c:pt>
                <c:pt idx="91">
                  <c:v>40836</c:v>
                </c:pt>
                <c:pt idx="92">
                  <c:v>40837</c:v>
                </c:pt>
                <c:pt idx="93">
                  <c:v>40840</c:v>
                </c:pt>
                <c:pt idx="94">
                  <c:v>40841</c:v>
                </c:pt>
                <c:pt idx="95">
                  <c:v>40847</c:v>
                </c:pt>
                <c:pt idx="96">
                  <c:v>40848</c:v>
                </c:pt>
                <c:pt idx="97">
                  <c:v>40851</c:v>
                </c:pt>
                <c:pt idx="98">
                  <c:v>40855</c:v>
                </c:pt>
                <c:pt idx="99">
                  <c:v>40856</c:v>
                </c:pt>
                <c:pt idx="100">
                  <c:v>40861</c:v>
                </c:pt>
                <c:pt idx="101">
                  <c:v>40862</c:v>
                </c:pt>
                <c:pt idx="102">
                  <c:v>40863</c:v>
                </c:pt>
                <c:pt idx="103">
                  <c:v>40864</c:v>
                </c:pt>
                <c:pt idx="104">
                  <c:v>40865</c:v>
                </c:pt>
                <c:pt idx="105">
                  <c:v>40871</c:v>
                </c:pt>
                <c:pt idx="106">
                  <c:v>40872</c:v>
                </c:pt>
                <c:pt idx="107">
                  <c:v>40875</c:v>
                </c:pt>
                <c:pt idx="108">
                  <c:v>40876</c:v>
                </c:pt>
                <c:pt idx="109">
                  <c:v>40877</c:v>
                </c:pt>
                <c:pt idx="110">
                  <c:v>40878</c:v>
                </c:pt>
                <c:pt idx="111">
                  <c:v>40879</c:v>
                </c:pt>
                <c:pt idx="112">
                  <c:v>40885</c:v>
                </c:pt>
                <c:pt idx="113">
                  <c:v>40890</c:v>
                </c:pt>
                <c:pt idx="114">
                  <c:v>40891</c:v>
                </c:pt>
                <c:pt idx="115">
                  <c:v>40892</c:v>
                </c:pt>
                <c:pt idx="116">
                  <c:v>40893</c:v>
                </c:pt>
                <c:pt idx="117">
                  <c:v>40896</c:v>
                </c:pt>
                <c:pt idx="118">
                  <c:v>40897</c:v>
                </c:pt>
                <c:pt idx="119">
                  <c:v>40898</c:v>
                </c:pt>
                <c:pt idx="120">
                  <c:v>40899</c:v>
                </c:pt>
                <c:pt idx="121">
                  <c:v>40903</c:v>
                </c:pt>
                <c:pt idx="122">
                  <c:v>40904</c:v>
                </c:pt>
                <c:pt idx="123">
                  <c:v>40905</c:v>
                </c:pt>
                <c:pt idx="124">
                  <c:v>40906</c:v>
                </c:pt>
                <c:pt idx="125">
                  <c:v>40907</c:v>
                </c:pt>
                <c:pt idx="126">
                  <c:v>40914</c:v>
                </c:pt>
                <c:pt idx="127">
                  <c:v>40917</c:v>
                </c:pt>
                <c:pt idx="128">
                  <c:v>40920</c:v>
                </c:pt>
                <c:pt idx="129">
                  <c:v>40924</c:v>
                </c:pt>
                <c:pt idx="130">
                  <c:v>40926</c:v>
                </c:pt>
                <c:pt idx="131">
                  <c:v>40927</c:v>
                </c:pt>
                <c:pt idx="132">
                  <c:v>40928</c:v>
                </c:pt>
                <c:pt idx="133">
                  <c:v>40931</c:v>
                </c:pt>
                <c:pt idx="134">
                  <c:v>40932</c:v>
                </c:pt>
                <c:pt idx="135">
                  <c:v>40942</c:v>
                </c:pt>
                <c:pt idx="136">
                  <c:v>40945</c:v>
                </c:pt>
                <c:pt idx="137">
                  <c:v>40946</c:v>
                </c:pt>
                <c:pt idx="138">
                  <c:v>40947</c:v>
                </c:pt>
                <c:pt idx="139">
                  <c:v>40948</c:v>
                </c:pt>
                <c:pt idx="140">
                  <c:v>40949</c:v>
                </c:pt>
              </c:numCache>
            </c:numRef>
          </c:cat>
          <c:val>
            <c:numRef>
              <c:f>Sheet3!$B$2:$B$142</c:f>
              <c:numCache>
                <c:formatCode>#,##0</c:formatCode>
                <c:ptCount val="141"/>
                <c:pt idx="0">
                  <c:v>1000</c:v>
                </c:pt>
                <c:pt idx="1">
                  <c:v>1050</c:v>
                </c:pt>
                <c:pt idx="2">
                  <c:v>9000</c:v>
                </c:pt>
                <c:pt idx="3">
                  <c:v>1950</c:v>
                </c:pt>
                <c:pt idx="4">
                  <c:v>10300</c:v>
                </c:pt>
                <c:pt idx="5">
                  <c:v>2977</c:v>
                </c:pt>
                <c:pt idx="6">
                  <c:v>21929</c:v>
                </c:pt>
                <c:pt idx="7">
                  <c:v>10645</c:v>
                </c:pt>
                <c:pt idx="8">
                  <c:v>16730</c:v>
                </c:pt>
                <c:pt idx="9">
                  <c:v>10690</c:v>
                </c:pt>
                <c:pt idx="10">
                  <c:v>18989</c:v>
                </c:pt>
                <c:pt idx="11">
                  <c:v>13480</c:v>
                </c:pt>
                <c:pt idx="12">
                  <c:v>27848</c:v>
                </c:pt>
                <c:pt idx="13">
                  <c:v>7112</c:v>
                </c:pt>
                <c:pt idx="14">
                  <c:v>20000</c:v>
                </c:pt>
                <c:pt idx="15">
                  <c:v>14246</c:v>
                </c:pt>
                <c:pt idx="16">
                  <c:v>10448</c:v>
                </c:pt>
                <c:pt idx="17">
                  <c:v>11240</c:v>
                </c:pt>
                <c:pt idx="18">
                  <c:v>14396</c:v>
                </c:pt>
                <c:pt idx="19">
                  <c:v>25000</c:v>
                </c:pt>
                <c:pt idx="20">
                  <c:v>11104</c:v>
                </c:pt>
                <c:pt idx="21">
                  <c:v>6421</c:v>
                </c:pt>
                <c:pt idx="22">
                  <c:v>3823</c:v>
                </c:pt>
                <c:pt idx="23">
                  <c:v>4828</c:v>
                </c:pt>
                <c:pt idx="24">
                  <c:v>6292</c:v>
                </c:pt>
                <c:pt idx="25">
                  <c:v>5236</c:v>
                </c:pt>
                <c:pt idx="26">
                  <c:v>4254</c:v>
                </c:pt>
                <c:pt idx="27">
                  <c:v>12791</c:v>
                </c:pt>
                <c:pt idx="28">
                  <c:v>2616</c:v>
                </c:pt>
                <c:pt idx="29">
                  <c:v>6723</c:v>
                </c:pt>
                <c:pt idx="30">
                  <c:v>3628</c:v>
                </c:pt>
                <c:pt idx="31">
                  <c:v>16000</c:v>
                </c:pt>
                <c:pt idx="32">
                  <c:v>40000</c:v>
                </c:pt>
                <c:pt idx="33">
                  <c:v>12302</c:v>
                </c:pt>
                <c:pt idx="34">
                  <c:v>17803</c:v>
                </c:pt>
                <c:pt idx="35">
                  <c:v>11627</c:v>
                </c:pt>
                <c:pt idx="36">
                  <c:v>23809</c:v>
                </c:pt>
                <c:pt idx="37">
                  <c:v>37360</c:v>
                </c:pt>
                <c:pt idx="38">
                  <c:v>4764</c:v>
                </c:pt>
                <c:pt idx="39" formatCode="General">
                  <c:v>84</c:v>
                </c:pt>
                <c:pt idx="40">
                  <c:v>7474</c:v>
                </c:pt>
                <c:pt idx="41" formatCode="General">
                  <c:v>90</c:v>
                </c:pt>
                <c:pt idx="42">
                  <c:v>2000</c:v>
                </c:pt>
                <c:pt idx="43" formatCode="General">
                  <c:v>341</c:v>
                </c:pt>
                <c:pt idx="44">
                  <c:v>1127</c:v>
                </c:pt>
                <c:pt idx="45">
                  <c:v>2000</c:v>
                </c:pt>
                <c:pt idx="46">
                  <c:v>10000</c:v>
                </c:pt>
                <c:pt idx="47">
                  <c:v>10240</c:v>
                </c:pt>
                <c:pt idx="48">
                  <c:v>7662</c:v>
                </c:pt>
                <c:pt idx="49">
                  <c:v>12622</c:v>
                </c:pt>
                <c:pt idx="50">
                  <c:v>22668</c:v>
                </c:pt>
                <c:pt idx="51">
                  <c:v>81652</c:v>
                </c:pt>
                <c:pt idx="52">
                  <c:v>42202</c:v>
                </c:pt>
                <c:pt idx="53">
                  <c:v>24409</c:v>
                </c:pt>
                <c:pt idx="54">
                  <c:v>12808</c:v>
                </c:pt>
                <c:pt idx="55">
                  <c:v>7390</c:v>
                </c:pt>
                <c:pt idx="56">
                  <c:v>20195</c:v>
                </c:pt>
                <c:pt idx="57">
                  <c:v>22904</c:v>
                </c:pt>
                <c:pt idx="58">
                  <c:v>15770</c:v>
                </c:pt>
                <c:pt idx="59">
                  <c:v>15513</c:v>
                </c:pt>
                <c:pt idx="60">
                  <c:v>52885</c:v>
                </c:pt>
                <c:pt idx="61">
                  <c:v>6583</c:v>
                </c:pt>
                <c:pt idx="62">
                  <c:v>12377</c:v>
                </c:pt>
                <c:pt idx="63">
                  <c:v>9449</c:v>
                </c:pt>
                <c:pt idx="64">
                  <c:v>23705</c:v>
                </c:pt>
                <c:pt idx="65">
                  <c:v>48009</c:v>
                </c:pt>
                <c:pt idx="66">
                  <c:v>20119</c:v>
                </c:pt>
                <c:pt idx="67">
                  <c:v>5229</c:v>
                </c:pt>
                <c:pt idx="68">
                  <c:v>15849</c:v>
                </c:pt>
                <c:pt idx="69">
                  <c:v>17938</c:v>
                </c:pt>
                <c:pt idx="70" formatCode="General">
                  <c:v>512</c:v>
                </c:pt>
                <c:pt idx="71">
                  <c:v>5284</c:v>
                </c:pt>
                <c:pt idx="72">
                  <c:v>19165</c:v>
                </c:pt>
                <c:pt idx="73">
                  <c:v>22020</c:v>
                </c:pt>
                <c:pt idx="74">
                  <c:v>3249</c:v>
                </c:pt>
                <c:pt idx="75">
                  <c:v>18714</c:v>
                </c:pt>
                <c:pt idx="76" formatCode="General">
                  <c:v>698</c:v>
                </c:pt>
                <c:pt idx="77">
                  <c:v>7478</c:v>
                </c:pt>
                <c:pt idx="78">
                  <c:v>75753</c:v>
                </c:pt>
                <c:pt idx="79">
                  <c:v>5254</c:v>
                </c:pt>
                <c:pt idx="80">
                  <c:v>16687</c:v>
                </c:pt>
                <c:pt idx="81">
                  <c:v>2436</c:v>
                </c:pt>
                <c:pt idx="82">
                  <c:v>21784</c:v>
                </c:pt>
                <c:pt idx="83">
                  <c:v>2151</c:v>
                </c:pt>
                <c:pt idx="84">
                  <c:v>9368</c:v>
                </c:pt>
                <c:pt idx="85">
                  <c:v>9876</c:v>
                </c:pt>
                <c:pt idx="86">
                  <c:v>11939</c:v>
                </c:pt>
                <c:pt idx="87">
                  <c:v>3001</c:v>
                </c:pt>
                <c:pt idx="88">
                  <c:v>29929</c:v>
                </c:pt>
                <c:pt idx="89">
                  <c:v>7848</c:v>
                </c:pt>
                <c:pt idx="90">
                  <c:v>1350</c:v>
                </c:pt>
                <c:pt idx="91">
                  <c:v>5542</c:v>
                </c:pt>
                <c:pt idx="92">
                  <c:v>10185</c:v>
                </c:pt>
                <c:pt idx="93">
                  <c:v>16824</c:v>
                </c:pt>
                <c:pt idx="94">
                  <c:v>7625</c:v>
                </c:pt>
                <c:pt idx="95">
                  <c:v>15286</c:v>
                </c:pt>
                <c:pt idx="96">
                  <c:v>3817</c:v>
                </c:pt>
                <c:pt idx="97">
                  <c:v>13753</c:v>
                </c:pt>
                <c:pt idx="98">
                  <c:v>3217</c:v>
                </c:pt>
                <c:pt idx="99">
                  <c:v>3237</c:v>
                </c:pt>
                <c:pt idx="100">
                  <c:v>140161</c:v>
                </c:pt>
                <c:pt idx="101">
                  <c:v>94785</c:v>
                </c:pt>
                <c:pt idx="102">
                  <c:v>25563</c:v>
                </c:pt>
                <c:pt idx="103">
                  <c:v>120714</c:v>
                </c:pt>
                <c:pt idx="104">
                  <c:v>139792</c:v>
                </c:pt>
                <c:pt idx="105">
                  <c:v>17424</c:v>
                </c:pt>
                <c:pt idx="106">
                  <c:v>26214</c:v>
                </c:pt>
                <c:pt idx="107">
                  <c:v>3262</c:v>
                </c:pt>
                <c:pt idx="108">
                  <c:v>1300</c:v>
                </c:pt>
                <c:pt idx="109">
                  <c:v>7207</c:v>
                </c:pt>
                <c:pt idx="110">
                  <c:v>79315</c:v>
                </c:pt>
                <c:pt idx="111">
                  <c:v>264319</c:v>
                </c:pt>
                <c:pt idx="112" formatCode="General">
                  <c:v>259</c:v>
                </c:pt>
                <c:pt idx="113">
                  <c:v>10153</c:v>
                </c:pt>
                <c:pt idx="114">
                  <c:v>5570</c:v>
                </c:pt>
                <c:pt idx="115">
                  <c:v>17466</c:v>
                </c:pt>
                <c:pt idx="116">
                  <c:v>20000</c:v>
                </c:pt>
                <c:pt idx="117">
                  <c:v>55598</c:v>
                </c:pt>
                <c:pt idx="118">
                  <c:v>23089</c:v>
                </c:pt>
                <c:pt idx="119">
                  <c:v>25953</c:v>
                </c:pt>
                <c:pt idx="120">
                  <c:v>1334</c:v>
                </c:pt>
                <c:pt idx="121">
                  <c:v>23069</c:v>
                </c:pt>
                <c:pt idx="122" formatCode="General">
                  <c:v>727</c:v>
                </c:pt>
                <c:pt idx="123">
                  <c:v>8340</c:v>
                </c:pt>
                <c:pt idx="124">
                  <c:v>3665</c:v>
                </c:pt>
                <c:pt idx="125">
                  <c:v>24999</c:v>
                </c:pt>
                <c:pt idx="126">
                  <c:v>4275</c:v>
                </c:pt>
                <c:pt idx="127">
                  <c:v>3000</c:v>
                </c:pt>
                <c:pt idx="128">
                  <c:v>3204</c:v>
                </c:pt>
                <c:pt idx="129">
                  <c:v>4935</c:v>
                </c:pt>
                <c:pt idx="130">
                  <c:v>24973</c:v>
                </c:pt>
                <c:pt idx="131">
                  <c:v>48674</c:v>
                </c:pt>
                <c:pt idx="132">
                  <c:v>94631</c:v>
                </c:pt>
                <c:pt idx="133">
                  <c:v>92510</c:v>
                </c:pt>
                <c:pt idx="134">
                  <c:v>70000</c:v>
                </c:pt>
                <c:pt idx="135">
                  <c:v>28716</c:v>
                </c:pt>
                <c:pt idx="136">
                  <c:v>50000</c:v>
                </c:pt>
                <c:pt idx="137">
                  <c:v>62612</c:v>
                </c:pt>
                <c:pt idx="138">
                  <c:v>50000</c:v>
                </c:pt>
                <c:pt idx="139">
                  <c:v>37000</c:v>
                </c:pt>
                <c:pt idx="140">
                  <c:v>2585</c:v>
                </c:pt>
              </c:numCache>
            </c:numRef>
          </c:val>
        </c:ser>
        <c:dLbls>
          <c:showLegendKey val="0"/>
          <c:showVal val="0"/>
          <c:showCatName val="0"/>
          <c:showSerName val="0"/>
          <c:showPercent val="0"/>
          <c:showBubbleSize val="0"/>
        </c:dLbls>
        <c:gapWidth val="150"/>
        <c:axId val="121255808"/>
        <c:axId val="121270272"/>
      </c:barChart>
      <c:lineChart>
        <c:grouping val="standard"/>
        <c:varyColors val="0"/>
        <c:ser>
          <c:idx val="1"/>
          <c:order val="1"/>
          <c:tx>
            <c:strRef>
              <c:f>Sheet3!$C$1</c:f>
              <c:strCache>
                <c:ptCount val="1"/>
                <c:pt idx="0">
                  <c:v>Buyback Price (Rs.)</c:v>
                </c:pt>
              </c:strCache>
            </c:strRef>
          </c:tx>
          <c:spPr>
            <a:ln w="15875" cap="rnd">
              <a:solidFill>
                <a:schemeClr val="tx1"/>
              </a:solidFill>
              <a:round/>
            </a:ln>
            <a:effectLst/>
          </c:spPr>
          <c:marker>
            <c:symbol val="none"/>
          </c:marker>
          <c:cat>
            <c:numRef>
              <c:f>Sheet3!$A$2:$A$142</c:f>
              <c:numCache>
                <c:formatCode>d\-mmm\-yy</c:formatCode>
                <c:ptCount val="141"/>
                <c:pt idx="0">
                  <c:v>40641</c:v>
                </c:pt>
                <c:pt idx="1">
                  <c:v>40648</c:v>
                </c:pt>
                <c:pt idx="2">
                  <c:v>40652</c:v>
                </c:pt>
                <c:pt idx="3">
                  <c:v>40659</c:v>
                </c:pt>
                <c:pt idx="4">
                  <c:v>40661</c:v>
                </c:pt>
                <c:pt idx="5">
                  <c:v>40662</c:v>
                </c:pt>
                <c:pt idx="6">
                  <c:v>40667</c:v>
                </c:pt>
                <c:pt idx="7">
                  <c:v>40668</c:v>
                </c:pt>
                <c:pt idx="8">
                  <c:v>40673</c:v>
                </c:pt>
                <c:pt idx="9">
                  <c:v>40674</c:v>
                </c:pt>
                <c:pt idx="10">
                  <c:v>40675</c:v>
                </c:pt>
                <c:pt idx="11">
                  <c:v>40676</c:v>
                </c:pt>
                <c:pt idx="12">
                  <c:v>40679</c:v>
                </c:pt>
                <c:pt idx="13">
                  <c:v>40680</c:v>
                </c:pt>
                <c:pt idx="14">
                  <c:v>40681</c:v>
                </c:pt>
                <c:pt idx="15">
                  <c:v>40682</c:v>
                </c:pt>
                <c:pt idx="16">
                  <c:v>40683</c:v>
                </c:pt>
                <c:pt idx="17">
                  <c:v>40686</c:v>
                </c:pt>
                <c:pt idx="18">
                  <c:v>40687</c:v>
                </c:pt>
                <c:pt idx="19">
                  <c:v>40688</c:v>
                </c:pt>
                <c:pt idx="20">
                  <c:v>40689</c:v>
                </c:pt>
                <c:pt idx="21">
                  <c:v>40690</c:v>
                </c:pt>
                <c:pt idx="22">
                  <c:v>40693</c:v>
                </c:pt>
                <c:pt idx="23">
                  <c:v>40696</c:v>
                </c:pt>
                <c:pt idx="24">
                  <c:v>40697</c:v>
                </c:pt>
                <c:pt idx="25">
                  <c:v>40700</c:v>
                </c:pt>
                <c:pt idx="26">
                  <c:v>40702</c:v>
                </c:pt>
                <c:pt idx="27">
                  <c:v>40703</c:v>
                </c:pt>
                <c:pt idx="28">
                  <c:v>40704</c:v>
                </c:pt>
                <c:pt idx="29">
                  <c:v>40707</c:v>
                </c:pt>
                <c:pt idx="30">
                  <c:v>40708</c:v>
                </c:pt>
                <c:pt idx="31">
                  <c:v>40709</c:v>
                </c:pt>
                <c:pt idx="32">
                  <c:v>40710</c:v>
                </c:pt>
                <c:pt idx="33">
                  <c:v>40711</c:v>
                </c:pt>
                <c:pt idx="34">
                  <c:v>40714</c:v>
                </c:pt>
                <c:pt idx="35">
                  <c:v>40715</c:v>
                </c:pt>
                <c:pt idx="36">
                  <c:v>40716</c:v>
                </c:pt>
                <c:pt idx="37">
                  <c:v>40717</c:v>
                </c:pt>
                <c:pt idx="38">
                  <c:v>40718</c:v>
                </c:pt>
                <c:pt idx="39">
                  <c:v>40721</c:v>
                </c:pt>
                <c:pt idx="40">
                  <c:v>40724</c:v>
                </c:pt>
                <c:pt idx="41">
                  <c:v>40731</c:v>
                </c:pt>
                <c:pt idx="42">
                  <c:v>40732</c:v>
                </c:pt>
                <c:pt idx="43">
                  <c:v>40736</c:v>
                </c:pt>
                <c:pt idx="44">
                  <c:v>40739</c:v>
                </c:pt>
                <c:pt idx="45">
                  <c:v>40746</c:v>
                </c:pt>
                <c:pt idx="46">
                  <c:v>40753</c:v>
                </c:pt>
                <c:pt idx="47">
                  <c:v>40756</c:v>
                </c:pt>
                <c:pt idx="48">
                  <c:v>40757</c:v>
                </c:pt>
                <c:pt idx="49">
                  <c:v>40758</c:v>
                </c:pt>
                <c:pt idx="50">
                  <c:v>40759</c:v>
                </c:pt>
                <c:pt idx="51">
                  <c:v>40760</c:v>
                </c:pt>
                <c:pt idx="52">
                  <c:v>40763</c:v>
                </c:pt>
                <c:pt idx="53">
                  <c:v>40764</c:v>
                </c:pt>
                <c:pt idx="54">
                  <c:v>40765</c:v>
                </c:pt>
                <c:pt idx="55">
                  <c:v>40766</c:v>
                </c:pt>
                <c:pt idx="56">
                  <c:v>40767</c:v>
                </c:pt>
                <c:pt idx="57">
                  <c:v>40771</c:v>
                </c:pt>
                <c:pt idx="58">
                  <c:v>40772</c:v>
                </c:pt>
                <c:pt idx="59">
                  <c:v>40773</c:v>
                </c:pt>
                <c:pt idx="60">
                  <c:v>40774</c:v>
                </c:pt>
                <c:pt idx="61">
                  <c:v>40777</c:v>
                </c:pt>
                <c:pt idx="62">
                  <c:v>40778</c:v>
                </c:pt>
                <c:pt idx="63">
                  <c:v>40779</c:v>
                </c:pt>
                <c:pt idx="64">
                  <c:v>40780</c:v>
                </c:pt>
                <c:pt idx="65">
                  <c:v>40781</c:v>
                </c:pt>
                <c:pt idx="66">
                  <c:v>40785</c:v>
                </c:pt>
                <c:pt idx="67">
                  <c:v>40788</c:v>
                </c:pt>
                <c:pt idx="68">
                  <c:v>40791</c:v>
                </c:pt>
                <c:pt idx="69">
                  <c:v>40792</c:v>
                </c:pt>
                <c:pt idx="70">
                  <c:v>40793</c:v>
                </c:pt>
                <c:pt idx="71">
                  <c:v>40795</c:v>
                </c:pt>
                <c:pt idx="72">
                  <c:v>40798</c:v>
                </c:pt>
                <c:pt idx="73">
                  <c:v>40799</c:v>
                </c:pt>
                <c:pt idx="74">
                  <c:v>40801</c:v>
                </c:pt>
                <c:pt idx="75">
                  <c:v>40802</c:v>
                </c:pt>
                <c:pt idx="76">
                  <c:v>40806</c:v>
                </c:pt>
                <c:pt idx="77">
                  <c:v>40807</c:v>
                </c:pt>
                <c:pt idx="78">
                  <c:v>40808</c:v>
                </c:pt>
                <c:pt idx="79">
                  <c:v>40809</c:v>
                </c:pt>
                <c:pt idx="80">
                  <c:v>40812</c:v>
                </c:pt>
                <c:pt idx="81">
                  <c:v>40814</c:v>
                </c:pt>
                <c:pt idx="82">
                  <c:v>40815</c:v>
                </c:pt>
                <c:pt idx="83">
                  <c:v>40816</c:v>
                </c:pt>
                <c:pt idx="84">
                  <c:v>40819</c:v>
                </c:pt>
                <c:pt idx="85">
                  <c:v>40821</c:v>
                </c:pt>
                <c:pt idx="86">
                  <c:v>40823</c:v>
                </c:pt>
                <c:pt idx="87">
                  <c:v>40826</c:v>
                </c:pt>
                <c:pt idx="88">
                  <c:v>40829</c:v>
                </c:pt>
                <c:pt idx="89">
                  <c:v>40834</c:v>
                </c:pt>
                <c:pt idx="90">
                  <c:v>40835</c:v>
                </c:pt>
                <c:pt idx="91">
                  <c:v>40836</c:v>
                </c:pt>
                <c:pt idx="92">
                  <c:v>40837</c:v>
                </c:pt>
                <c:pt idx="93">
                  <c:v>40840</c:v>
                </c:pt>
                <c:pt idx="94">
                  <c:v>40841</c:v>
                </c:pt>
                <c:pt idx="95">
                  <c:v>40847</c:v>
                </c:pt>
                <c:pt idx="96">
                  <c:v>40848</c:v>
                </c:pt>
                <c:pt idx="97">
                  <c:v>40851</c:v>
                </c:pt>
                <c:pt idx="98">
                  <c:v>40855</c:v>
                </c:pt>
                <c:pt idx="99">
                  <c:v>40856</c:v>
                </c:pt>
                <c:pt idx="100">
                  <c:v>40861</c:v>
                </c:pt>
                <c:pt idx="101">
                  <c:v>40862</c:v>
                </c:pt>
                <c:pt idx="102">
                  <c:v>40863</c:v>
                </c:pt>
                <c:pt idx="103">
                  <c:v>40864</c:v>
                </c:pt>
                <c:pt idx="104">
                  <c:v>40865</c:v>
                </c:pt>
                <c:pt idx="105">
                  <c:v>40871</c:v>
                </c:pt>
                <c:pt idx="106">
                  <c:v>40872</c:v>
                </c:pt>
                <c:pt idx="107">
                  <c:v>40875</c:v>
                </c:pt>
                <c:pt idx="108">
                  <c:v>40876</c:v>
                </c:pt>
                <c:pt idx="109">
                  <c:v>40877</c:v>
                </c:pt>
                <c:pt idx="110">
                  <c:v>40878</c:v>
                </c:pt>
                <c:pt idx="111">
                  <c:v>40879</c:v>
                </c:pt>
                <c:pt idx="112">
                  <c:v>40885</c:v>
                </c:pt>
                <c:pt idx="113">
                  <c:v>40890</c:v>
                </c:pt>
                <c:pt idx="114">
                  <c:v>40891</c:v>
                </c:pt>
                <c:pt idx="115">
                  <c:v>40892</c:v>
                </c:pt>
                <c:pt idx="116">
                  <c:v>40893</c:v>
                </c:pt>
                <c:pt idx="117">
                  <c:v>40896</c:v>
                </c:pt>
                <c:pt idx="118">
                  <c:v>40897</c:v>
                </c:pt>
                <c:pt idx="119">
                  <c:v>40898</c:v>
                </c:pt>
                <c:pt idx="120">
                  <c:v>40899</c:v>
                </c:pt>
                <c:pt idx="121">
                  <c:v>40903</c:v>
                </c:pt>
                <c:pt idx="122">
                  <c:v>40904</c:v>
                </c:pt>
                <c:pt idx="123">
                  <c:v>40905</c:v>
                </c:pt>
                <c:pt idx="124">
                  <c:v>40906</c:v>
                </c:pt>
                <c:pt idx="125">
                  <c:v>40907</c:v>
                </c:pt>
                <c:pt idx="126">
                  <c:v>40914</c:v>
                </c:pt>
                <c:pt idx="127">
                  <c:v>40917</c:v>
                </c:pt>
                <c:pt idx="128">
                  <c:v>40920</c:v>
                </c:pt>
                <c:pt idx="129">
                  <c:v>40924</c:v>
                </c:pt>
                <c:pt idx="130">
                  <c:v>40926</c:v>
                </c:pt>
                <c:pt idx="131">
                  <c:v>40927</c:v>
                </c:pt>
                <c:pt idx="132">
                  <c:v>40928</c:v>
                </c:pt>
                <c:pt idx="133">
                  <c:v>40931</c:v>
                </c:pt>
                <c:pt idx="134">
                  <c:v>40932</c:v>
                </c:pt>
                <c:pt idx="135">
                  <c:v>40942</c:v>
                </c:pt>
                <c:pt idx="136">
                  <c:v>40945</c:v>
                </c:pt>
                <c:pt idx="137">
                  <c:v>40946</c:v>
                </c:pt>
                <c:pt idx="138">
                  <c:v>40947</c:v>
                </c:pt>
                <c:pt idx="139">
                  <c:v>40948</c:v>
                </c:pt>
                <c:pt idx="140">
                  <c:v>40949</c:v>
                </c:pt>
              </c:numCache>
            </c:numRef>
          </c:cat>
          <c:val>
            <c:numRef>
              <c:f>Sheet3!$C$2:$C$142</c:f>
              <c:numCache>
                <c:formatCode>General</c:formatCode>
                <c:ptCount val="141"/>
                <c:pt idx="0">
                  <c:v>346.05</c:v>
                </c:pt>
                <c:pt idx="1">
                  <c:v>348.95</c:v>
                </c:pt>
                <c:pt idx="2">
                  <c:v>349.78</c:v>
                </c:pt>
                <c:pt idx="3">
                  <c:v>349.05</c:v>
                </c:pt>
                <c:pt idx="4">
                  <c:v>340.62</c:v>
                </c:pt>
                <c:pt idx="5">
                  <c:v>333.7</c:v>
                </c:pt>
                <c:pt idx="6">
                  <c:v>326.48</c:v>
                </c:pt>
                <c:pt idx="7">
                  <c:v>326.85000000000002</c:v>
                </c:pt>
                <c:pt idx="8">
                  <c:v>324.23</c:v>
                </c:pt>
                <c:pt idx="9">
                  <c:v>319.85000000000002</c:v>
                </c:pt>
                <c:pt idx="10">
                  <c:v>315.54000000000002</c:v>
                </c:pt>
                <c:pt idx="11">
                  <c:v>314.64999999999998</c:v>
                </c:pt>
                <c:pt idx="12">
                  <c:v>309.86</c:v>
                </c:pt>
                <c:pt idx="13">
                  <c:v>308.58</c:v>
                </c:pt>
                <c:pt idx="14">
                  <c:v>309.62</c:v>
                </c:pt>
                <c:pt idx="15">
                  <c:v>304.94</c:v>
                </c:pt>
                <c:pt idx="16">
                  <c:v>307.25</c:v>
                </c:pt>
                <c:pt idx="17">
                  <c:v>305.49</c:v>
                </c:pt>
                <c:pt idx="18">
                  <c:v>302</c:v>
                </c:pt>
                <c:pt idx="19">
                  <c:v>302.8</c:v>
                </c:pt>
                <c:pt idx="20">
                  <c:v>302.48</c:v>
                </c:pt>
                <c:pt idx="21">
                  <c:v>300.95999999999992</c:v>
                </c:pt>
                <c:pt idx="22">
                  <c:v>302.72000000000003</c:v>
                </c:pt>
                <c:pt idx="23">
                  <c:v>308.99</c:v>
                </c:pt>
                <c:pt idx="24">
                  <c:v>309.36</c:v>
                </c:pt>
                <c:pt idx="25">
                  <c:v>307.85000000000002</c:v>
                </c:pt>
                <c:pt idx="26">
                  <c:v>307.02999999999992</c:v>
                </c:pt>
                <c:pt idx="27">
                  <c:v>305.94</c:v>
                </c:pt>
                <c:pt idx="28">
                  <c:v>306.85000000000002</c:v>
                </c:pt>
                <c:pt idx="29">
                  <c:v>307</c:v>
                </c:pt>
                <c:pt idx="30">
                  <c:v>306.98</c:v>
                </c:pt>
                <c:pt idx="31">
                  <c:v>306.13</c:v>
                </c:pt>
                <c:pt idx="32">
                  <c:v>297.3</c:v>
                </c:pt>
                <c:pt idx="33">
                  <c:v>294</c:v>
                </c:pt>
                <c:pt idx="34">
                  <c:v>288.42</c:v>
                </c:pt>
                <c:pt idx="35">
                  <c:v>283.85000000000002</c:v>
                </c:pt>
                <c:pt idx="36">
                  <c:v>279.49</c:v>
                </c:pt>
                <c:pt idx="37">
                  <c:v>272.32</c:v>
                </c:pt>
                <c:pt idx="38">
                  <c:v>282.89999999999992</c:v>
                </c:pt>
                <c:pt idx="39">
                  <c:v>285</c:v>
                </c:pt>
                <c:pt idx="40">
                  <c:v>284.19</c:v>
                </c:pt>
                <c:pt idx="41">
                  <c:v>310.76</c:v>
                </c:pt>
                <c:pt idx="42">
                  <c:v>309.89999999999992</c:v>
                </c:pt>
                <c:pt idx="43">
                  <c:v>303</c:v>
                </c:pt>
                <c:pt idx="44">
                  <c:v>303.89999999999992</c:v>
                </c:pt>
                <c:pt idx="45">
                  <c:v>320.95999999999992</c:v>
                </c:pt>
                <c:pt idx="46">
                  <c:v>319</c:v>
                </c:pt>
                <c:pt idx="47">
                  <c:v>315.42</c:v>
                </c:pt>
                <c:pt idx="48">
                  <c:v>313.10000000000002</c:v>
                </c:pt>
                <c:pt idx="49">
                  <c:v>311.06</c:v>
                </c:pt>
                <c:pt idx="50">
                  <c:v>313</c:v>
                </c:pt>
                <c:pt idx="51">
                  <c:v>304.3</c:v>
                </c:pt>
                <c:pt idx="52">
                  <c:v>303.82</c:v>
                </c:pt>
                <c:pt idx="53">
                  <c:v>302.89</c:v>
                </c:pt>
                <c:pt idx="54">
                  <c:v>303.81</c:v>
                </c:pt>
                <c:pt idx="55">
                  <c:v>299.89</c:v>
                </c:pt>
                <c:pt idx="56">
                  <c:v>298.94</c:v>
                </c:pt>
                <c:pt idx="57">
                  <c:v>301.23</c:v>
                </c:pt>
                <c:pt idx="58">
                  <c:v>299.83999999999992</c:v>
                </c:pt>
                <c:pt idx="59">
                  <c:v>294.52</c:v>
                </c:pt>
                <c:pt idx="60">
                  <c:v>288.05</c:v>
                </c:pt>
                <c:pt idx="61">
                  <c:v>291.06</c:v>
                </c:pt>
                <c:pt idx="62">
                  <c:v>296.24</c:v>
                </c:pt>
                <c:pt idx="63">
                  <c:v>296.72000000000003</c:v>
                </c:pt>
                <c:pt idx="64">
                  <c:v>296.45999999999992</c:v>
                </c:pt>
                <c:pt idx="65">
                  <c:v>297.77999999999992</c:v>
                </c:pt>
                <c:pt idx="66">
                  <c:v>299.97000000000003</c:v>
                </c:pt>
                <c:pt idx="67">
                  <c:v>301.3</c:v>
                </c:pt>
                <c:pt idx="68">
                  <c:v>300.77</c:v>
                </c:pt>
                <c:pt idx="69">
                  <c:v>301.49</c:v>
                </c:pt>
                <c:pt idx="70">
                  <c:v>302.98</c:v>
                </c:pt>
                <c:pt idx="71">
                  <c:v>308.07</c:v>
                </c:pt>
                <c:pt idx="72">
                  <c:v>302.8</c:v>
                </c:pt>
                <c:pt idx="73">
                  <c:v>308.58</c:v>
                </c:pt>
                <c:pt idx="74">
                  <c:v>308.08999999999992</c:v>
                </c:pt>
                <c:pt idx="75">
                  <c:v>308.54000000000002</c:v>
                </c:pt>
                <c:pt idx="76">
                  <c:v>313.64999999999998</c:v>
                </c:pt>
                <c:pt idx="77">
                  <c:v>316.49</c:v>
                </c:pt>
                <c:pt idx="78">
                  <c:v>314.29000000000002</c:v>
                </c:pt>
                <c:pt idx="79">
                  <c:v>317.07</c:v>
                </c:pt>
                <c:pt idx="80">
                  <c:v>308.26</c:v>
                </c:pt>
                <c:pt idx="81">
                  <c:v>313.41000000000003</c:v>
                </c:pt>
                <c:pt idx="82">
                  <c:v>308.51</c:v>
                </c:pt>
                <c:pt idx="83">
                  <c:v>309.54000000000002</c:v>
                </c:pt>
                <c:pt idx="84">
                  <c:v>302.08999999999992</c:v>
                </c:pt>
                <c:pt idx="85">
                  <c:v>295.49</c:v>
                </c:pt>
                <c:pt idx="86">
                  <c:v>294.52999999999992</c:v>
                </c:pt>
                <c:pt idx="87">
                  <c:v>294.82</c:v>
                </c:pt>
                <c:pt idx="88">
                  <c:v>300.97000000000003</c:v>
                </c:pt>
                <c:pt idx="89">
                  <c:v>299.16000000000008</c:v>
                </c:pt>
                <c:pt idx="90">
                  <c:v>299.89999999999992</c:v>
                </c:pt>
                <c:pt idx="91">
                  <c:v>300.44</c:v>
                </c:pt>
                <c:pt idx="92">
                  <c:v>300.02</c:v>
                </c:pt>
                <c:pt idx="93">
                  <c:v>301.60000000000002</c:v>
                </c:pt>
                <c:pt idx="94">
                  <c:v>301.56</c:v>
                </c:pt>
                <c:pt idx="95">
                  <c:v>304.79000000000002</c:v>
                </c:pt>
                <c:pt idx="96">
                  <c:v>306.25</c:v>
                </c:pt>
                <c:pt idx="97">
                  <c:v>307.61</c:v>
                </c:pt>
                <c:pt idx="98">
                  <c:v>310.56</c:v>
                </c:pt>
                <c:pt idx="99">
                  <c:v>310.77999999999992</c:v>
                </c:pt>
                <c:pt idx="100">
                  <c:v>310.07</c:v>
                </c:pt>
                <c:pt idx="101">
                  <c:v>310.02</c:v>
                </c:pt>
                <c:pt idx="102">
                  <c:v>306.2</c:v>
                </c:pt>
                <c:pt idx="103">
                  <c:v>310.18</c:v>
                </c:pt>
                <c:pt idx="104">
                  <c:v>303.52</c:v>
                </c:pt>
                <c:pt idx="105">
                  <c:v>290</c:v>
                </c:pt>
                <c:pt idx="106">
                  <c:v>290.55</c:v>
                </c:pt>
                <c:pt idx="107">
                  <c:v>291.72000000000003</c:v>
                </c:pt>
                <c:pt idx="108">
                  <c:v>294</c:v>
                </c:pt>
                <c:pt idx="109">
                  <c:v>294.44</c:v>
                </c:pt>
                <c:pt idx="110">
                  <c:v>297.17</c:v>
                </c:pt>
                <c:pt idx="111">
                  <c:v>294.98</c:v>
                </c:pt>
                <c:pt idx="112">
                  <c:v>273.44</c:v>
                </c:pt>
                <c:pt idx="113">
                  <c:v>268.5</c:v>
                </c:pt>
                <c:pt idx="114">
                  <c:v>264.5</c:v>
                </c:pt>
                <c:pt idx="115">
                  <c:v>254.5</c:v>
                </c:pt>
                <c:pt idx="116">
                  <c:v>249</c:v>
                </c:pt>
                <c:pt idx="117">
                  <c:v>238.08</c:v>
                </c:pt>
                <c:pt idx="118">
                  <c:v>232.54</c:v>
                </c:pt>
                <c:pt idx="119">
                  <c:v>234.85</c:v>
                </c:pt>
                <c:pt idx="120">
                  <c:v>234.98</c:v>
                </c:pt>
                <c:pt idx="121">
                  <c:v>239.97</c:v>
                </c:pt>
                <c:pt idx="122">
                  <c:v>239.88</c:v>
                </c:pt>
                <c:pt idx="123">
                  <c:v>239.66</c:v>
                </c:pt>
                <c:pt idx="124">
                  <c:v>238.95</c:v>
                </c:pt>
                <c:pt idx="125">
                  <c:v>238.1</c:v>
                </c:pt>
                <c:pt idx="126">
                  <c:v>253.68</c:v>
                </c:pt>
                <c:pt idx="127">
                  <c:v>256</c:v>
                </c:pt>
                <c:pt idx="128">
                  <c:v>259.97000000000003</c:v>
                </c:pt>
                <c:pt idx="129">
                  <c:v>261.97000000000003</c:v>
                </c:pt>
                <c:pt idx="130">
                  <c:v>264.89999999999992</c:v>
                </c:pt>
                <c:pt idx="131">
                  <c:v>265.95</c:v>
                </c:pt>
                <c:pt idx="132">
                  <c:v>265.94</c:v>
                </c:pt>
                <c:pt idx="133">
                  <c:v>265.99</c:v>
                </c:pt>
                <c:pt idx="134">
                  <c:v>265.99</c:v>
                </c:pt>
                <c:pt idx="135">
                  <c:v>267.58</c:v>
                </c:pt>
                <c:pt idx="136">
                  <c:v>267.99</c:v>
                </c:pt>
                <c:pt idx="137">
                  <c:v>267.25</c:v>
                </c:pt>
                <c:pt idx="138">
                  <c:v>266.16000000000008</c:v>
                </c:pt>
                <c:pt idx="139">
                  <c:v>263.62</c:v>
                </c:pt>
                <c:pt idx="140">
                  <c:v>262.64</c:v>
                </c:pt>
              </c:numCache>
            </c:numRef>
          </c:val>
          <c:smooth val="0"/>
        </c:ser>
        <c:dLbls>
          <c:showLegendKey val="0"/>
          <c:showVal val="0"/>
          <c:showCatName val="0"/>
          <c:showSerName val="0"/>
          <c:showPercent val="0"/>
          <c:showBubbleSize val="0"/>
        </c:dLbls>
        <c:marker val="1"/>
        <c:smooth val="0"/>
        <c:axId val="121274752"/>
        <c:axId val="121272576"/>
      </c:lineChart>
      <c:dateAx>
        <c:axId val="121255808"/>
        <c:scaling>
          <c:orientation val="minMax"/>
        </c:scaling>
        <c:delete val="0"/>
        <c:axPos val="b"/>
        <c:title>
          <c:tx>
            <c:rich>
              <a:bodyPr rot="0" spcFirstLastPara="1" vertOverflow="ellipsis" vert="horz" wrap="square" anchor="ctr" anchorCtr="1"/>
              <a:lstStyle/>
              <a:p>
                <a:pPr>
                  <a:defRPr sz="800" b="1" i="0" u="none" strike="noStrike" kern="1200" cap="all" baseline="0">
                    <a:solidFill>
                      <a:schemeClr val="tx1"/>
                    </a:solidFill>
                    <a:latin typeface="Arial" panose="020B0604020202020204" pitchFamily="34" charset="0"/>
                    <a:ea typeface="+mn-ea"/>
                    <a:cs typeface="Arial" panose="020B0604020202020204" pitchFamily="34" charset="0"/>
                  </a:defRPr>
                </a:pPr>
                <a:r>
                  <a:rPr lang="en-US" sz="800">
                    <a:latin typeface="Arial" panose="020B0604020202020204" pitchFamily="34" charset="0"/>
                    <a:cs typeface="Arial" panose="020B0604020202020204" pitchFamily="34" charset="0"/>
                  </a:rPr>
                  <a:t>PeriOD</a:t>
                </a:r>
              </a:p>
            </c:rich>
          </c:tx>
          <c:layout>
            <c:manualLayout>
              <c:xMode val="edge"/>
              <c:yMode val="edge"/>
              <c:x val="0.45783004397177601"/>
              <c:y val="0.84517743362020104"/>
            </c:manualLayout>
          </c:layout>
          <c:overlay val="0"/>
          <c:spPr>
            <a:noFill/>
            <a:ln>
              <a:noFill/>
            </a:ln>
            <a:effectLst/>
          </c:spPr>
        </c:title>
        <c:numFmt formatCode="d\-mmm\-yy"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8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1270272"/>
        <c:crosses val="autoZero"/>
        <c:auto val="1"/>
        <c:lblOffset val="100"/>
        <c:baseTimeUnit val="days"/>
      </c:dateAx>
      <c:valAx>
        <c:axId val="121270272"/>
        <c:scaling>
          <c:orientation val="minMax"/>
          <c:max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1" i="0" u="none" strike="noStrike" kern="1200" cap="all" baseline="0">
                    <a:solidFill>
                      <a:schemeClr val="tx1"/>
                    </a:solidFill>
                    <a:latin typeface="Arial" panose="020B0604020202020204" pitchFamily="34" charset="0"/>
                    <a:ea typeface="+mn-ea"/>
                    <a:cs typeface="Arial" panose="020B0604020202020204" pitchFamily="34" charset="0"/>
                  </a:defRPr>
                </a:pPr>
                <a:r>
                  <a:rPr lang="en-US" sz="800" b="1" i="0" u="none" strike="noStrike" cap="all" baseline="0">
                    <a:effectLst/>
                    <a:latin typeface="Arial" panose="020B0604020202020204" pitchFamily="34" charset="0"/>
                    <a:cs typeface="Arial" panose="020B0604020202020204" pitchFamily="34" charset="0"/>
                  </a:rPr>
                  <a:t>No. of Shares ('000)</a:t>
                </a:r>
                <a:endParaRPr lang="en-US" sz="800">
                  <a:latin typeface="Arial" panose="020B0604020202020204" pitchFamily="34" charset="0"/>
                  <a:cs typeface="Arial" panose="020B0604020202020204" pitchFamily="34" charset="0"/>
                </a:endParaRPr>
              </a:p>
            </c:rich>
          </c:tx>
          <c:layout/>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1255808"/>
        <c:crosses val="autoZero"/>
        <c:crossBetween val="between"/>
        <c:majorUnit val="15000"/>
        <c:minorUnit val="2000"/>
        <c:dispUnits>
          <c:builtInUnit val="tenThousands"/>
        </c:dispUnits>
      </c:valAx>
      <c:valAx>
        <c:axId val="121272576"/>
        <c:scaling>
          <c:orientation val="minMax"/>
        </c:scaling>
        <c:delete val="0"/>
        <c:axPos val="r"/>
        <c:title>
          <c:tx>
            <c:rich>
              <a:bodyPr rot="-5400000" spcFirstLastPara="1" vertOverflow="ellipsis" vert="horz" wrap="square" anchor="ctr" anchorCtr="1"/>
              <a:lstStyle/>
              <a:p>
                <a:pPr>
                  <a:defRPr sz="800" b="1" i="0" u="none" strike="noStrike" kern="1200" cap="all" baseline="0">
                    <a:solidFill>
                      <a:schemeClr val="tx1"/>
                    </a:solidFill>
                    <a:latin typeface="Arial" panose="020B0604020202020204" pitchFamily="34" charset="0"/>
                    <a:ea typeface="+mn-ea"/>
                    <a:cs typeface="Arial" panose="020B0604020202020204" pitchFamily="34" charset="0"/>
                  </a:defRPr>
                </a:pPr>
                <a:r>
                  <a:rPr lang="en-US" sz="800" b="1" i="0" cap="all" baseline="0">
                    <a:effectLst/>
                    <a:latin typeface="Arial" panose="020B0604020202020204" pitchFamily="34" charset="0"/>
                    <a:cs typeface="Arial" panose="020B0604020202020204" pitchFamily="34" charset="0"/>
                  </a:rPr>
                  <a:t>Stock Price (</a:t>
                </a:r>
                <a:r>
                  <a:rPr lang="en-US" sz="800" b="0" i="0" u="none" strike="noStrike" cap="all" baseline="0">
                    <a:effectLst/>
                    <a:latin typeface="Arial" panose="020B0604020202020204" pitchFamily="34" charset="0"/>
                    <a:cs typeface="Arial" panose="020B0604020202020204" pitchFamily="34" charset="0"/>
                  </a:rPr>
                  <a:t>₹</a:t>
                </a:r>
                <a:r>
                  <a:rPr lang="en-US" sz="800" b="1" i="0" cap="all" baseline="0">
                    <a:effectLst/>
                    <a:latin typeface="Arial" panose="020B0604020202020204" pitchFamily="34" charset="0"/>
                    <a:cs typeface="Arial" panose="020B0604020202020204" pitchFamily="34" charset="0"/>
                  </a:rPr>
                  <a:t>)</a:t>
                </a:r>
                <a:endParaRPr lang="en-US" sz="800">
                  <a:effectLst/>
                  <a:latin typeface="Arial" panose="020B0604020202020204" pitchFamily="34" charset="0"/>
                  <a:cs typeface="Arial" panose="020B0604020202020204" pitchFamily="34" charset="0"/>
                </a:endParaRPr>
              </a:p>
            </c:rich>
          </c:tx>
          <c:layout>
            <c:manualLayout>
              <c:xMode val="edge"/>
              <c:yMode val="edge"/>
              <c:x val="0.95241333469679901"/>
              <c:y val="0.31088575420027498"/>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1274752"/>
        <c:crosses val="max"/>
        <c:crossBetween val="between"/>
        <c:majorUnit val="40"/>
      </c:valAx>
      <c:dateAx>
        <c:axId val="121274752"/>
        <c:scaling>
          <c:orientation val="minMax"/>
        </c:scaling>
        <c:delete val="1"/>
        <c:axPos val="b"/>
        <c:numFmt formatCode="d\-mmm\-yy" sourceLinked="1"/>
        <c:majorTickMark val="out"/>
        <c:minorTickMark val="none"/>
        <c:tickLblPos val="nextTo"/>
        <c:crossAx val="121272576"/>
        <c:crosses val="autoZero"/>
        <c:auto val="1"/>
        <c:lblOffset val="100"/>
        <c:baseTimeUnit val="days"/>
      </c:date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8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chemeClr val="tx1"/>
          </a:solidFill>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8795A-A489-4997-9932-76CAF21D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20</Pages>
  <Words>6012</Words>
  <Characters>34272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18</cp:revision>
  <cp:lastPrinted>2015-03-04T20:34:00Z</cp:lastPrinted>
  <dcterms:created xsi:type="dcterms:W3CDTF">2015-03-04T20:39:00Z</dcterms:created>
  <dcterms:modified xsi:type="dcterms:W3CDTF">2017-06-27T14:31:00Z</dcterms:modified>
</cp:coreProperties>
</file>