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3E1E" w14:paraId="7F13BBFA" w14:textId="77777777" w:rsidTr="0056537D">
        <w:tc>
          <w:tcPr>
            <w:tcW w:w="4788" w:type="dxa"/>
          </w:tcPr>
          <w:p w14:paraId="4890C37D" w14:textId="77777777" w:rsidR="00F33E1E" w:rsidRDefault="00F33E1E" w:rsidP="0056537D">
            <w:pPr>
              <w:tabs>
                <w:tab w:val="left" w:pos="-1440"/>
                <w:tab w:val="left" w:pos="-720"/>
                <w:tab w:val="left" w:pos="1"/>
              </w:tabs>
              <w:jc w:val="both"/>
              <w:rPr>
                <w:rFonts w:ascii="Arial" w:hAnsi="Arial"/>
                <w:b/>
                <w:sz w:val="24"/>
              </w:rPr>
            </w:pPr>
            <w:r w:rsidRPr="00521B55">
              <w:rPr>
                <w:rFonts w:ascii="Arial" w:hAnsi="Arial"/>
                <w:b/>
                <w:noProof/>
                <w:sz w:val="24"/>
                <w:lang w:val="en-GB" w:eastAsia="en-GB"/>
              </w:rPr>
              <w:drawing>
                <wp:inline distT="0" distB="0" distL="0" distR="0" wp14:anchorId="331F6E6A" wp14:editId="57DBB771">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4A87EC2" w14:textId="77777777" w:rsidR="00F33E1E" w:rsidRDefault="00F33E1E" w:rsidP="0056537D">
            <w:pPr>
              <w:tabs>
                <w:tab w:val="left" w:pos="-1440"/>
                <w:tab w:val="left" w:pos="-720"/>
                <w:tab w:val="left" w:pos="1"/>
              </w:tabs>
              <w:jc w:val="both"/>
              <w:rPr>
                <w:rFonts w:ascii="Arial" w:hAnsi="Arial"/>
                <w:b/>
                <w:sz w:val="24"/>
              </w:rPr>
            </w:pPr>
            <w:r>
              <w:rPr>
                <w:rFonts w:ascii="Arial" w:hAnsi="Arial"/>
                <w:b/>
                <w:noProof/>
                <w:sz w:val="24"/>
                <w:lang w:val="en-GB" w:eastAsia="en-GB"/>
              </w:rPr>
              <w:drawing>
                <wp:anchor distT="0" distB="0" distL="114300" distR="114300" simplePos="0" relativeHeight="251659264" behindDoc="1" locked="0" layoutInCell="1" allowOverlap="1" wp14:anchorId="23194936" wp14:editId="1C1A6A52">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58B4AD8" w14:textId="77777777" w:rsidR="0084377F" w:rsidRPr="00007B22" w:rsidRDefault="0084377F" w:rsidP="003C32C6">
      <w:pPr>
        <w:pBdr>
          <w:bottom w:val="single" w:sz="18" w:space="1" w:color="auto"/>
        </w:pBdr>
        <w:tabs>
          <w:tab w:val="left" w:pos="-1440"/>
          <w:tab w:val="left" w:pos="-720"/>
          <w:tab w:val="left" w:pos="1"/>
        </w:tabs>
        <w:jc w:val="both"/>
        <w:rPr>
          <w:rFonts w:ascii="Arial" w:hAnsi="Arial"/>
          <w:b/>
          <w:sz w:val="24"/>
          <w:lang w:val="en-CA"/>
        </w:rPr>
      </w:pPr>
    </w:p>
    <w:p w14:paraId="5BC335CE" w14:textId="317D8360" w:rsidR="003C32C6" w:rsidRPr="00FE57AD" w:rsidRDefault="00BE4A3F" w:rsidP="0084377F">
      <w:pPr>
        <w:pStyle w:val="ProductNumber"/>
        <w:rPr>
          <w:lang w:val="en-CA"/>
        </w:rPr>
      </w:pPr>
      <w:r>
        <w:rPr>
          <w:lang w:val="en-CA"/>
        </w:rPr>
        <w:t>9B17N013</w:t>
      </w:r>
    </w:p>
    <w:p w14:paraId="6AF40AE8" w14:textId="77777777" w:rsidR="003C32C6" w:rsidRDefault="003C32C6" w:rsidP="0084377F">
      <w:pPr>
        <w:jc w:val="right"/>
        <w:rPr>
          <w:rFonts w:ascii="Arial" w:hAnsi="Arial"/>
          <w:b/>
          <w:sz w:val="28"/>
          <w:lang w:val="en-CA"/>
        </w:rPr>
      </w:pPr>
    </w:p>
    <w:p w14:paraId="2F5355C7" w14:textId="77777777" w:rsidR="0084377F" w:rsidRPr="0084377F" w:rsidRDefault="0084377F" w:rsidP="0084377F">
      <w:pPr>
        <w:jc w:val="right"/>
        <w:rPr>
          <w:rFonts w:ascii="Arial" w:hAnsi="Arial"/>
          <w:b/>
          <w:sz w:val="28"/>
          <w:lang w:val="en-CA"/>
        </w:rPr>
      </w:pPr>
    </w:p>
    <w:p w14:paraId="2B0E718F" w14:textId="63C8EB02" w:rsidR="003C32C6" w:rsidRPr="00F33E1E" w:rsidRDefault="0003451D" w:rsidP="0086550F">
      <w:pPr>
        <w:pStyle w:val="CaseTitle"/>
        <w:spacing w:after="0" w:line="240" w:lineRule="auto"/>
        <w:rPr>
          <w:sz w:val="20"/>
          <w:szCs w:val="20"/>
          <w:lang w:val="en-CA"/>
        </w:rPr>
      </w:pPr>
      <w:r w:rsidRPr="00F33E1E">
        <w:rPr>
          <w:lang w:val="en-CA"/>
        </w:rPr>
        <w:t>BUY</w:t>
      </w:r>
      <w:r w:rsidR="003C32C6" w:rsidRPr="00F33E1E">
        <w:rPr>
          <w:lang w:val="en-CA"/>
        </w:rPr>
        <w:t xml:space="preserve"> OR </w:t>
      </w:r>
      <w:r w:rsidRPr="00F33E1E">
        <w:rPr>
          <w:lang w:val="en-CA"/>
        </w:rPr>
        <w:t>RENT</w:t>
      </w:r>
      <w:r w:rsidR="00E732C1" w:rsidRPr="00F33E1E">
        <w:rPr>
          <w:lang w:val="en-CA"/>
        </w:rPr>
        <w:t>: living in singapore</w:t>
      </w:r>
    </w:p>
    <w:p w14:paraId="53993ECE" w14:textId="77777777" w:rsidR="0084377F" w:rsidRPr="00F33E1E" w:rsidRDefault="0084377F" w:rsidP="00013360">
      <w:pPr>
        <w:pStyle w:val="CaseTitle"/>
        <w:spacing w:after="0" w:line="240" w:lineRule="auto"/>
        <w:rPr>
          <w:sz w:val="20"/>
          <w:szCs w:val="20"/>
          <w:lang w:val="en-CA"/>
        </w:rPr>
      </w:pPr>
    </w:p>
    <w:p w14:paraId="390B42A6" w14:textId="77777777" w:rsidR="0084377F" w:rsidRPr="00F33E1E" w:rsidRDefault="0084377F" w:rsidP="00013360">
      <w:pPr>
        <w:pStyle w:val="CaseTitle"/>
        <w:spacing w:after="0" w:line="240" w:lineRule="auto"/>
        <w:rPr>
          <w:sz w:val="20"/>
          <w:szCs w:val="20"/>
          <w:lang w:val="en-CA"/>
        </w:rPr>
      </w:pPr>
    </w:p>
    <w:p w14:paraId="00089DAB" w14:textId="77777777" w:rsidR="00627C63" w:rsidRPr="00F33E1E" w:rsidRDefault="00B964C8" w:rsidP="00627C63">
      <w:pPr>
        <w:pStyle w:val="StyleCopyrightStatementAfter0ptBottomSinglesolidline1"/>
        <w:rPr>
          <w:lang w:val="en-CA"/>
        </w:rPr>
      </w:pPr>
      <w:r w:rsidRPr="00F33E1E">
        <w:rPr>
          <w:rFonts w:cs="Arial"/>
          <w:lang w:val="en-CA"/>
        </w:rPr>
        <w:t xml:space="preserve">Ruth S. K. Tan, Zsuzsa R. </w:t>
      </w:r>
      <w:proofErr w:type="spellStart"/>
      <w:r w:rsidRPr="00F33E1E">
        <w:rPr>
          <w:rFonts w:cs="Arial"/>
          <w:lang w:val="en-CA"/>
        </w:rPr>
        <w:t>Huszár</w:t>
      </w:r>
      <w:proofErr w:type="spellEnd"/>
      <w:r w:rsidR="00A87595" w:rsidRPr="00F33E1E">
        <w:rPr>
          <w:rFonts w:cs="Arial"/>
          <w:lang w:val="en-CA"/>
        </w:rPr>
        <w:t>,</w:t>
      </w:r>
      <w:r w:rsidRPr="00F33E1E">
        <w:rPr>
          <w:rFonts w:cs="Arial"/>
          <w:lang w:val="en-CA"/>
        </w:rPr>
        <w:t xml:space="preserve"> and </w:t>
      </w:r>
      <w:proofErr w:type="spellStart"/>
      <w:r w:rsidRPr="00F33E1E">
        <w:rPr>
          <w:rFonts w:cs="Arial"/>
          <w:lang w:val="en-CA"/>
        </w:rPr>
        <w:t>Weina</w:t>
      </w:r>
      <w:proofErr w:type="spellEnd"/>
      <w:r w:rsidRPr="00F33E1E">
        <w:rPr>
          <w:rFonts w:cs="Arial"/>
          <w:lang w:val="en-CA"/>
        </w:rPr>
        <w:t xml:space="preserve"> Zhang </w:t>
      </w:r>
      <w:r w:rsidR="004B632F" w:rsidRPr="00F33E1E">
        <w:rPr>
          <w:lang w:val="en-CA"/>
        </w:rPr>
        <w:t xml:space="preserve">wrote this </w:t>
      </w:r>
      <w:r w:rsidR="00152682" w:rsidRPr="00F33E1E">
        <w:rPr>
          <w:lang w:val="en-CA"/>
        </w:rPr>
        <w:t>case</w:t>
      </w:r>
      <w:r w:rsidR="004B632F" w:rsidRPr="00F33E1E">
        <w:rPr>
          <w:lang w:val="en-CA"/>
        </w:rPr>
        <w:t xml:space="preserve"> </w:t>
      </w:r>
      <w:r w:rsidR="00152682" w:rsidRPr="00F33E1E">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59567E9" w14:textId="77777777" w:rsidR="009375E5" w:rsidRPr="00F33E1E" w:rsidRDefault="009375E5" w:rsidP="00751E0B">
      <w:pPr>
        <w:pStyle w:val="StyleCopyrightStatementAfter0ptBottomSinglesolidline1"/>
        <w:rPr>
          <w:lang w:val="en-CA"/>
        </w:rPr>
      </w:pPr>
    </w:p>
    <w:p w14:paraId="680F3EC9" w14:textId="77777777" w:rsidR="00F33E1E" w:rsidRDefault="00F33E1E"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w:t>
      </w:r>
      <w:r w:rsidRPr="00F33E1E">
        <w:rPr>
          <w:rFonts w:ascii="Arial" w:hAnsi="Arial" w:cs="Arial"/>
          <w:i/>
          <w:iCs/>
          <w:sz w:val="16"/>
          <w:szCs w:val="16"/>
          <w:lang w:val="en-CA"/>
        </w:rPr>
        <w:t xml:space="preserve">University, London, Ontario, Canada, N6G 0N1; (t) 519.661.3208; (e) </w:t>
      </w:r>
      <w:hyperlink r:id="rId10" w:history="1">
        <w:r w:rsidRPr="00F33E1E">
          <w:rPr>
            <w:rFonts w:ascii="Arial" w:hAnsi="Arial" w:cs="Arial"/>
            <w:i/>
            <w:iCs/>
            <w:sz w:val="16"/>
            <w:szCs w:val="16"/>
            <w:lang w:val="en-CA"/>
          </w:rPr>
          <w:t>cases@ivey.ca</w:t>
        </w:r>
      </w:hyperlink>
      <w:r w:rsidRPr="00F33E1E">
        <w:rPr>
          <w:rFonts w:ascii="Arial" w:hAnsi="Arial" w:cs="Arial"/>
          <w:i/>
          <w:iCs/>
          <w:sz w:val="16"/>
          <w:szCs w:val="16"/>
          <w:lang w:val="en-CA"/>
        </w:rPr>
        <w:t xml:space="preserve">; </w:t>
      </w:r>
      <w:hyperlink r:id="rId11" w:history="1">
        <w:r w:rsidRPr="00F33E1E">
          <w:rPr>
            <w:rFonts w:ascii="Arial" w:hAnsi="Arial" w:cs="Arial"/>
            <w:i/>
            <w:iCs/>
            <w:sz w:val="16"/>
            <w:szCs w:val="16"/>
            <w:lang w:val="en-CA"/>
          </w:rPr>
          <w:t>www.iveycases.com</w:t>
        </w:r>
      </w:hyperlink>
      <w:r w:rsidRPr="00F33E1E">
        <w:rPr>
          <w:rFonts w:ascii="Arial" w:hAnsi="Arial" w:cs="Arial"/>
          <w:i/>
          <w:iCs/>
          <w:sz w:val="16"/>
          <w:szCs w:val="16"/>
          <w:lang w:val="en-CA"/>
        </w:rPr>
        <w:t>.</w:t>
      </w:r>
    </w:p>
    <w:p w14:paraId="48FEE7E8" w14:textId="77777777" w:rsidR="00F33E1E" w:rsidRPr="00F33E1E" w:rsidRDefault="00F33E1E" w:rsidP="00F33E1E">
      <w:pPr>
        <w:jc w:val="both"/>
        <w:rPr>
          <w:rFonts w:ascii="Arial" w:hAnsi="Arial" w:cs="Arial"/>
          <w:i/>
          <w:iCs/>
          <w:sz w:val="16"/>
          <w:szCs w:val="16"/>
          <w:lang w:val="en-CA"/>
        </w:rPr>
      </w:pPr>
    </w:p>
    <w:p w14:paraId="3802216E" w14:textId="0E83C58A" w:rsidR="009375E5" w:rsidRPr="00F33E1E" w:rsidRDefault="00F33E1E" w:rsidP="00F33E1E">
      <w:pPr>
        <w:pStyle w:val="StyleCopyrightStatementAfter0ptBottomSinglesolidline1"/>
        <w:pBdr>
          <w:top w:val="none" w:sz="0" w:space="0" w:color="auto"/>
        </w:pBdr>
        <w:rPr>
          <w:lang w:val="en-CA"/>
        </w:rPr>
      </w:pPr>
      <w:r>
        <w:t>Copyright © 2017, National University of Singapore and Richard Ivey School of Business Foundation</w:t>
      </w:r>
      <w:r w:rsidR="009375E5" w:rsidRPr="00F33E1E">
        <w:rPr>
          <w:lang w:val="en-CA"/>
        </w:rPr>
        <w:tab/>
        <w:t>Version: 20</w:t>
      </w:r>
      <w:r w:rsidR="0086550F">
        <w:rPr>
          <w:lang w:val="en-CA"/>
        </w:rPr>
        <w:t>20</w:t>
      </w:r>
      <w:r w:rsidR="009375E5" w:rsidRPr="00F33E1E">
        <w:rPr>
          <w:lang w:val="en-CA"/>
        </w:rPr>
        <w:t>-</w:t>
      </w:r>
      <w:r w:rsidR="005C2416" w:rsidRPr="00F33E1E">
        <w:rPr>
          <w:lang w:val="en-CA"/>
        </w:rPr>
        <w:t>0</w:t>
      </w:r>
      <w:r w:rsidR="0086550F">
        <w:rPr>
          <w:lang w:val="en-CA"/>
        </w:rPr>
        <w:t>2</w:t>
      </w:r>
      <w:r w:rsidR="00782CEA" w:rsidRPr="00F33E1E">
        <w:rPr>
          <w:lang w:val="en-CA"/>
        </w:rPr>
        <w:t>-</w:t>
      </w:r>
      <w:r w:rsidR="0086550F">
        <w:rPr>
          <w:lang w:val="en-CA"/>
        </w:rPr>
        <w:t>24</w:t>
      </w:r>
    </w:p>
    <w:p w14:paraId="44C94769" w14:textId="77777777" w:rsidR="009375E5" w:rsidRDefault="009375E5" w:rsidP="00E10845">
      <w:pPr>
        <w:pStyle w:val="StyleCopyrightStatementAfter0ptBottomSinglesolidline1"/>
        <w:rPr>
          <w:rFonts w:ascii="Times New Roman" w:hAnsi="Times New Roman"/>
          <w:sz w:val="20"/>
          <w:lang w:val="en-CA"/>
        </w:rPr>
      </w:pPr>
    </w:p>
    <w:p w14:paraId="13715641" w14:textId="77777777" w:rsidR="00F33E1E" w:rsidRPr="00F33E1E" w:rsidRDefault="00F33E1E" w:rsidP="00E10845">
      <w:pPr>
        <w:pStyle w:val="StyleCopyrightStatementAfter0ptBottomSinglesolidline1"/>
        <w:rPr>
          <w:rFonts w:ascii="Times New Roman" w:hAnsi="Times New Roman"/>
          <w:sz w:val="20"/>
          <w:lang w:val="en-CA"/>
        </w:rPr>
      </w:pPr>
    </w:p>
    <w:p w14:paraId="78C567CD" w14:textId="4B319D3A" w:rsidR="00F33E1E" w:rsidRPr="00F33E1E" w:rsidRDefault="00F23161" w:rsidP="00D04358">
      <w:pPr>
        <w:pStyle w:val="BodyTextMain"/>
        <w:rPr>
          <w:lang w:val="en-SG"/>
        </w:rPr>
      </w:pPr>
      <w:r w:rsidRPr="00F33E1E">
        <w:rPr>
          <w:lang w:val="en-SG"/>
        </w:rPr>
        <w:t>The</w:t>
      </w:r>
      <w:r w:rsidR="00DA7F62" w:rsidRPr="00F33E1E">
        <w:rPr>
          <w:lang w:val="en-SG"/>
        </w:rPr>
        <w:t xml:space="preserve"> Wong</w:t>
      </w:r>
      <w:r w:rsidRPr="00F33E1E">
        <w:rPr>
          <w:lang w:val="en-SG"/>
        </w:rPr>
        <w:t xml:space="preserve"> family</w:t>
      </w:r>
      <w:r w:rsidR="006E3DB8" w:rsidRPr="00F33E1E">
        <w:rPr>
          <w:lang w:val="en-SG"/>
        </w:rPr>
        <w:t>—</w:t>
      </w:r>
      <w:r w:rsidRPr="00F33E1E">
        <w:rPr>
          <w:lang w:val="en-SG"/>
        </w:rPr>
        <w:t>comprising Mr</w:t>
      </w:r>
      <w:r w:rsidR="00A87595" w:rsidRPr="00F33E1E">
        <w:rPr>
          <w:lang w:val="en-SG"/>
        </w:rPr>
        <w:t>.</w:t>
      </w:r>
      <w:r w:rsidR="0087655F" w:rsidRPr="00F33E1E">
        <w:rPr>
          <w:lang w:val="en-SG"/>
        </w:rPr>
        <w:t xml:space="preserve"> </w:t>
      </w:r>
      <w:r w:rsidR="0087655F" w:rsidRPr="00F33E1E">
        <w:rPr>
          <w:lang w:val="en-SG" w:eastAsia="en-SG"/>
        </w:rPr>
        <w:t>Wong</w:t>
      </w:r>
      <w:r w:rsidR="00557E62" w:rsidRPr="00F33E1E">
        <w:rPr>
          <w:lang w:val="en-SG" w:eastAsia="en-SG"/>
        </w:rPr>
        <w:t>,</w:t>
      </w:r>
      <w:r w:rsidR="0087655F" w:rsidRPr="00F33E1E">
        <w:rPr>
          <w:lang w:val="en-SG" w:eastAsia="en-SG"/>
        </w:rPr>
        <w:t xml:space="preserve"> aged 40,</w:t>
      </w:r>
      <w:r w:rsidR="0087655F" w:rsidRPr="00F33E1E">
        <w:rPr>
          <w:lang w:val="en-SG"/>
        </w:rPr>
        <w:t xml:space="preserve"> Mrs</w:t>
      </w:r>
      <w:r w:rsidR="00A87595" w:rsidRPr="00F33E1E">
        <w:rPr>
          <w:lang w:val="en-SG"/>
        </w:rPr>
        <w:t>.</w:t>
      </w:r>
      <w:r w:rsidR="0087655F" w:rsidRPr="00F33E1E">
        <w:rPr>
          <w:lang w:val="en-SG"/>
        </w:rPr>
        <w:t xml:space="preserve"> Wong</w:t>
      </w:r>
      <w:r w:rsidR="00557E62" w:rsidRPr="00F33E1E">
        <w:rPr>
          <w:lang w:val="en-SG"/>
        </w:rPr>
        <w:t>,</w:t>
      </w:r>
      <w:r w:rsidR="0087655F" w:rsidRPr="00F33E1E">
        <w:rPr>
          <w:lang w:val="en-SG"/>
        </w:rPr>
        <w:t xml:space="preserve"> </w:t>
      </w:r>
      <w:r w:rsidR="0087655F" w:rsidRPr="00F33E1E">
        <w:rPr>
          <w:lang w:val="en-SG" w:eastAsia="en-SG"/>
        </w:rPr>
        <w:t>aged 38</w:t>
      </w:r>
      <w:r w:rsidR="00A87595" w:rsidRPr="00F33E1E">
        <w:rPr>
          <w:lang w:val="en-SG" w:eastAsia="en-SG"/>
        </w:rPr>
        <w:t>,</w:t>
      </w:r>
      <w:r w:rsidRPr="00F33E1E">
        <w:rPr>
          <w:lang w:val="en-SG" w:eastAsia="en-SG"/>
        </w:rPr>
        <w:t xml:space="preserve"> and</w:t>
      </w:r>
      <w:r w:rsidRPr="00F33E1E">
        <w:rPr>
          <w:lang w:val="en-SG"/>
        </w:rPr>
        <w:t xml:space="preserve"> their t</w:t>
      </w:r>
      <w:r w:rsidR="00E565B2" w:rsidRPr="00F33E1E">
        <w:rPr>
          <w:lang w:val="en-SG"/>
        </w:rPr>
        <w:t>hree</w:t>
      </w:r>
      <w:r w:rsidRPr="00F33E1E">
        <w:rPr>
          <w:lang w:val="en-SG"/>
        </w:rPr>
        <w:t xml:space="preserve"> young children</w:t>
      </w:r>
      <w:r w:rsidR="006E3DB8" w:rsidRPr="00F33E1E">
        <w:rPr>
          <w:lang w:val="en-SG"/>
        </w:rPr>
        <w:t>—</w:t>
      </w:r>
      <w:r w:rsidRPr="00F33E1E">
        <w:rPr>
          <w:lang w:val="en-SG"/>
        </w:rPr>
        <w:t xml:space="preserve"> relocated to Singapore </w:t>
      </w:r>
      <w:r w:rsidR="00B71440" w:rsidRPr="00F33E1E">
        <w:rPr>
          <w:lang w:val="en-SG"/>
        </w:rPr>
        <w:t>in 2010</w:t>
      </w:r>
      <w:r w:rsidRPr="00F33E1E">
        <w:rPr>
          <w:lang w:val="en-SG"/>
        </w:rPr>
        <w:t xml:space="preserve"> when Mr</w:t>
      </w:r>
      <w:r w:rsidR="00557E62" w:rsidRPr="00F33E1E">
        <w:rPr>
          <w:lang w:val="en-SG"/>
        </w:rPr>
        <w:t>.</w:t>
      </w:r>
      <w:r w:rsidRPr="00F33E1E">
        <w:rPr>
          <w:lang w:val="en-SG"/>
        </w:rPr>
        <w:t xml:space="preserve"> </w:t>
      </w:r>
      <w:r w:rsidR="00DA7F62" w:rsidRPr="00F33E1E">
        <w:rPr>
          <w:lang w:val="en-SG"/>
        </w:rPr>
        <w:t>Wong</w:t>
      </w:r>
      <w:r w:rsidRPr="00F33E1E">
        <w:rPr>
          <w:lang w:val="en-SG"/>
        </w:rPr>
        <w:t xml:space="preserve"> received a job offer from a leading investment banking giant. </w:t>
      </w:r>
      <w:r w:rsidR="00B71440" w:rsidRPr="00F33E1E">
        <w:rPr>
          <w:lang w:val="en-SG"/>
        </w:rPr>
        <w:t>For the next six years</w:t>
      </w:r>
      <w:r w:rsidRPr="00F33E1E">
        <w:rPr>
          <w:lang w:val="en-SG"/>
        </w:rPr>
        <w:t>, they rent</w:t>
      </w:r>
      <w:r w:rsidR="00B71440" w:rsidRPr="00F33E1E">
        <w:rPr>
          <w:lang w:val="en-SG"/>
        </w:rPr>
        <w:t>ed</w:t>
      </w:r>
      <w:r w:rsidRPr="00F33E1E">
        <w:rPr>
          <w:lang w:val="en-SG"/>
        </w:rPr>
        <w:t xml:space="preserve"> a t</w:t>
      </w:r>
      <w:r w:rsidR="00E565B2" w:rsidRPr="00F33E1E">
        <w:rPr>
          <w:lang w:val="en-SG"/>
        </w:rPr>
        <w:t>hree</w:t>
      </w:r>
      <w:r w:rsidRPr="00F33E1E">
        <w:rPr>
          <w:lang w:val="en-SG"/>
        </w:rPr>
        <w:t xml:space="preserve">-bedroom condominium for </w:t>
      </w:r>
      <w:r w:rsidR="009A03FC">
        <w:rPr>
          <w:lang w:val="en-SG"/>
        </w:rPr>
        <w:t>US</w:t>
      </w:r>
      <w:r w:rsidRPr="00F33E1E">
        <w:rPr>
          <w:lang w:val="en-SG"/>
        </w:rPr>
        <w:t>$</w:t>
      </w:r>
      <w:r w:rsidR="004A589E" w:rsidRPr="00F33E1E">
        <w:rPr>
          <w:lang w:val="en-SG"/>
        </w:rPr>
        <w:t>4</w:t>
      </w:r>
      <w:r w:rsidR="00FE5D48" w:rsidRPr="00F33E1E">
        <w:rPr>
          <w:lang w:val="en-SG"/>
        </w:rPr>
        <w:t>,000</w:t>
      </w:r>
      <w:r w:rsidR="0092553F" w:rsidRPr="00F33E1E">
        <w:rPr>
          <w:lang w:val="en-SG"/>
        </w:rPr>
        <w:t xml:space="preserve"> in Singapore dollars</w:t>
      </w:r>
      <w:r w:rsidR="00F33E1E" w:rsidRPr="00F33E1E">
        <w:rPr>
          <w:rStyle w:val="FootnoteReference"/>
          <w:color w:val="000000"/>
          <w:lang w:val="en-SG" w:eastAsia="en-SG"/>
        </w:rPr>
        <w:footnoteReference w:id="2"/>
      </w:r>
      <w:r w:rsidR="00F33E1E" w:rsidRPr="00F33E1E">
        <w:rPr>
          <w:lang w:val="en-SG"/>
        </w:rPr>
        <w:t xml:space="preserve"> per month, which included parking </w:t>
      </w:r>
      <w:r w:rsidR="00F33E1E" w:rsidRPr="00F33E1E">
        <w:rPr>
          <w:lang w:val="en-SG" w:eastAsia="en-SG"/>
        </w:rPr>
        <w:t xml:space="preserve">and condominium fees </w:t>
      </w:r>
      <w:r w:rsidR="00F33E1E" w:rsidRPr="00F33E1E">
        <w:rPr>
          <w:lang w:val="en-SG"/>
        </w:rPr>
        <w:t xml:space="preserve">but not </w:t>
      </w:r>
      <w:r w:rsidR="00F33E1E" w:rsidRPr="00F33E1E">
        <w:rPr>
          <w:lang w:val="en-SG" w:eastAsia="en-SG"/>
        </w:rPr>
        <w:t>the maintenance cost, which was borne by the owner.</w:t>
      </w:r>
    </w:p>
    <w:p w14:paraId="482C0973" w14:textId="77777777" w:rsidR="00F33E1E" w:rsidRPr="00F33E1E" w:rsidRDefault="00F33E1E" w:rsidP="00D04358">
      <w:pPr>
        <w:pStyle w:val="BodyTextMain"/>
        <w:rPr>
          <w:lang w:val="en-SG"/>
        </w:rPr>
      </w:pPr>
    </w:p>
    <w:p w14:paraId="5C7362DB" w14:textId="3DEA5DB9" w:rsidR="00F33E1E" w:rsidRPr="00F33E1E" w:rsidRDefault="00F33E1E" w:rsidP="00D04358">
      <w:pPr>
        <w:pStyle w:val="BodyTextMain"/>
        <w:rPr>
          <w:lang w:val="en-SG" w:eastAsia="en-SG"/>
        </w:rPr>
      </w:pPr>
      <w:r w:rsidRPr="00F33E1E">
        <w:rPr>
          <w:lang w:val="en-SG" w:eastAsia="en-SG"/>
        </w:rPr>
        <w:t xml:space="preserve">While renting made life easy, the Wong family began weighing the pros and cons of purchasing a larger unit, in the same building, that became available in June 2016. In the past three years, the real estate market had softened somewhat and the cost of the unit had declined from $1.6 million to $1.5 million. The idea of home ownership as a form of pension investment appealed to the couple. The monthly rents could be used for mortgage payments instead. </w:t>
      </w:r>
    </w:p>
    <w:p w14:paraId="51A462D8" w14:textId="77777777" w:rsidR="00F33E1E" w:rsidRPr="00F33E1E" w:rsidRDefault="00F33E1E" w:rsidP="00D04358">
      <w:pPr>
        <w:pStyle w:val="BodyTextMain"/>
        <w:rPr>
          <w:lang w:val="en-SG" w:eastAsia="en-SG"/>
        </w:rPr>
      </w:pPr>
    </w:p>
    <w:p w14:paraId="2A70D8E7" w14:textId="77777777" w:rsidR="00F33E1E" w:rsidRPr="00F33E1E" w:rsidRDefault="00F33E1E" w:rsidP="00D04358">
      <w:pPr>
        <w:pStyle w:val="BodyTextMain"/>
        <w:rPr>
          <w:lang w:val="en-CA"/>
        </w:rPr>
      </w:pPr>
    </w:p>
    <w:p w14:paraId="463DE6FE" w14:textId="77777777" w:rsidR="00F33E1E" w:rsidRPr="00F33E1E" w:rsidRDefault="00F33E1E" w:rsidP="00807E4B">
      <w:pPr>
        <w:pStyle w:val="Casehead1"/>
        <w:rPr>
          <w:lang w:val="en-CA"/>
        </w:rPr>
      </w:pPr>
      <w:r w:rsidRPr="00F33E1E">
        <w:rPr>
          <w:lang w:val="en-CA"/>
        </w:rPr>
        <w:t>Home ownership as a form of investment</w:t>
      </w:r>
    </w:p>
    <w:p w14:paraId="4FD36647" w14:textId="77777777" w:rsidR="00F33E1E" w:rsidRPr="00F33E1E" w:rsidRDefault="00F33E1E" w:rsidP="00D04358">
      <w:pPr>
        <w:pStyle w:val="BodyTextMain"/>
        <w:rPr>
          <w:lang w:val="en-SG" w:eastAsia="en-SG"/>
        </w:rPr>
      </w:pPr>
    </w:p>
    <w:p w14:paraId="7C07A0FC" w14:textId="2E4F2071" w:rsidR="00F33E1E" w:rsidRPr="00F33E1E" w:rsidRDefault="00F33E1E" w:rsidP="00D04358">
      <w:pPr>
        <w:pStyle w:val="BodyTextMain"/>
        <w:rPr>
          <w:lang w:val="en-SG" w:eastAsia="en-SG"/>
        </w:rPr>
      </w:pPr>
      <w:r w:rsidRPr="00F33E1E">
        <w:rPr>
          <w:lang w:val="en-SG" w:eastAsia="en-SG"/>
        </w:rPr>
        <w:t xml:space="preserve">Some years back, the </w:t>
      </w:r>
      <w:proofErr w:type="spellStart"/>
      <w:r w:rsidRPr="00F33E1E">
        <w:rPr>
          <w:lang w:val="en-SG" w:eastAsia="en-SG"/>
        </w:rPr>
        <w:t>Wongs</w:t>
      </w:r>
      <w:proofErr w:type="spellEnd"/>
      <w:r w:rsidRPr="00F33E1E">
        <w:rPr>
          <w:lang w:val="en-SG" w:eastAsia="en-SG"/>
        </w:rPr>
        <w:t xml:space="preserve"> had made the decision to settle down in Singapore. They were ecstatic to receive Singapore</w:t>
      </w:r>
      <w:r w:rsidR="009A03FC">
        <w:rPr>
          <w:lang w:val="en-SG" w:eastAsia="en-SG"/>
        </w:rPr>
        <w:t>an</w:t>
      </w:r>
      <w:r w:rsidRPr="00F33E1E">
        <w:rPr>
          <w:lang w:val="en-SG" w:eastAsia="en-SG"/>
        </w:rPr>
        <w:t xml:space="preserve"> citizenship in January 2016. They understood that Singapore had a pay-as-you-go pension system that placed the responsibility of retirement planning on the individual instead of the state. All citizens were required to </w:t>
      </w:r>
      <w:r w:rsidR="00F67528">
        <w:rPr>
          <w:lang w:val="en-SG" w:eastAsia="en-SG"/>
        </w:rPr>
        <w:t>put</w:t>
      </w:r>
      <w:r w:rsidRPr="00F33E1E">
        <w:rPr>
          <w:lang w:val="en-SG" w:eastAsia="en-SG"/>
        </w:rPr>
        <w:t xml:space="preserve"> a percentage of their monthly income into their own account in the Central Provident Fund (CPF),</w:t>
      </w:r>
      <w:r w:rsidRPr="00F33E1E">
        <w:rPr>
          <w:rStyle w:val="FootnoteReference"/>
          <w:color w:val="000000"/>
          <w:lang w:val="en-SG" w:eastAsia="en-SG"/>
        </w:rPr>
        <w:footnoteReference w:id="3"/>
      </w:r>
      <w:r w:rsidRPr="00F33E1E">
        <w:rPr>
          <w:lang w:val="en-SG" w:eastAsia="en-SG"/>
        </w:rPr>
        <w:t xml:space="preserve"> which was managed by the Singapore government.</w:t>
      </w:r>
    </w:p>
    <w:p w14:paraId="4BB7D2AA" w14:textId="77777777" w:rsidR="00F33E1E" w:rsidRPr="00F33E1E" w:rsidRDefault="00F33E1E" w:rsidP="00D04358">
      <w:pPr>
        <w:pStyle w:val="BodyTextMain"/>
        <w:rPr>
          <w:lang w:val="en-SG" w:eastAsia="en-SG"/>
        </w:rPr>
      </w:pPr>
    </w:p>
    <w:p w14:paraId="6619ABFB" w14:textId="518181EA" w:rsidR="00F33E1E" w:rsidRPr="00F33E1E" w:rsidRDefault="00F33E1E" w:rsidP="00D04358">
      <w:pPr>
        <w:pStyle w:val="BodyTextMain"/>
        <w:rPr>
          <w:lang w:val="en-SG" w:eastAsia="en-SG"/>
        </w:rPr>
      </w:pPr>
      <w:r w:rsidRPr="00F33E1E">
        <w:rPr>
          <w:lang w:val="en-SG" w:eastAsia="en-SG"/>
        </w:rPr>
        <w:lastRenderedPageBreak/>
        <w:t xml:space="preserve">On reaching the retirement age of 55, all Singaporeans could choose to receive a lump sum from the CPF after setting aside a minimum sum. The minimum sum would be kept untouched until age 65, at which time monthly </w:t>
      </w:r>
      <w:proofErr w:type="spellStart"/>
      <w:r w:rsidRPr="00F33E1E">
        <w:rPr>
          <w:lang w:val="en-SG" w:eastAsia="en-SG"/>
        </w:rPr>
        <w:t>payouts</w:t>
      </w:r>
      <w:proofErr w:type="spellEnd"/>
      <w:r w:rsidRPr="00F33E1E">
        <w:rPr>
          <w:lang w:val="en-SG" w:eastAsia="en-SG"/>
        </w:rPr>
        <w:t xml:space="preserve"> would be made to the retiree until he or she passed away (see Exhibit 1). </w:t>
      </w:r>
    </w:p>
    <w:p w14:paraId="01E7AF6D" w14:textId="77777777" w:rsidR="00F33E1E" w:rsidRPr="00F33E1E" w:rsidRDefault="00F33E1E" w:rsidP="00D04358">
      <w:pPr>
        <w:pStyle w:val="BodyTextMain"/>
        <w:rPr>
          <w:lang w:val="en-SG" w:eastAsia="en-SG"/>
        </w:rPr>
      </w:pPr>
    </w:p>
    <w:p w14:paraId="3041AA03" w14:textId="36A60D27" w:rsidR="00F33E1E" w:rsidRPr="00F33E1E" w:rsidRDefault="00F33E1E" w:rsidP="00D04358">
      <w:pPr>
        <w:pStyle w:val="BodyTextMain"/>
        <w:rPr>
          <w:lang w:val="en-SG" w:eastAsia="en-SG"/>
        </w:rPr>
      </w:pPr>
      <w:r w:rsidRPr="00F33E1E">
        <w:rPr>
          <w:lang w:val="en-SG" w:eastAsia="en-SG"/>
        </w:rPr>
        <w:t xml:space="preserve">The savings in the CPF alone might not be sufficient for a citizen to maintain the same standard of living after retirement. For stay-at-home spouses, the problem was very real. Since Mrs. Wong was a housewife, Mr. Wong would need to have additional savings to provide for himself as well as his wife. </w:t>
      </w:r>
    </w:p>
    <w:p w14:paraId="6223FE85" w14:textId="77777777" w:rsidR="00F33E1E" w:rsidRPr="00F33E1E" w:rsidRDefault="00F33E1E" w:rsidP="00D04358">
      <w:pPr>
        <w:pStyle w:val="BodyTextMain"/>
        <w:rPr>
          <w:lang w:val="en-SG" w:eastAsia="en-SG"/>
        </w:rPr>
      </w:pPr>
    </w:p>
    <w:p w14:paraId="19E82576" w14:textId="36BED8E8" w:rsidR="00F33E1E" w:rsidRPr="00F33E1E" w:rsidRDefault="00F33E1E" w:rsidP="00D04358">
      <w:pPr>
        <w:pStyle w:val="BodyTextMain"/>
        <w:rPr>
          <w:lang w:val="en-SG" w:eastAsia="en-SG"/>
        </w:rPr>
      </w:pPr>
      <w:r w:rsidRPr="00F33E1E">
        <w:rPr>
          <w:lang w:val="en-SG" w:eastAsia="en-SG"/>
        </w:rPr>
        <w:t xml:space="preserve">The Singapore government strongly encouraged home ownership as a form of savings. After retirement, if the need arose, the retiree could unlock savings by moving to a smaller unit or consider a reverse mortgage. First-timer buyers (only citizens with monthly income below $12,000 qualified as first-time buyers) of public housing could obtain subsidies from the government. First-time buyers of private property, such as condominiums, would not qualify for subsidies. </w:t>
      </w:r>
    </w:p>
    <w:p w14:paraId="79F1DDFB" w14:textId="77777777" w:rsidR="00F33E1E" w:rsidRPr="00F33E1E" w:rsidRDefault="00F33E1E" w:rsidP="00D04358">
      <w:pPr>
        <w:pStyle w:val="BodyTextMain"/>
        <w:rPr>
          <w:lang w:val="en-SG" w:eastAsia="en-SG"/>
        </w:rPr>
      </w:pPr>
    </w:p>
    <w:p w14:paraId="4EDDD647" w14:textId="606CD0DF" w:rsidR="00F33E1E" w:rsidRPr="00F33E1E" w:rsidRDefault="00F33E1E" w:rsidP="00D04358">
      <w:pPr>
        <w:pStyle w:val="BodyTextMain"/>
        <w:rPr>
          <w:lang w:val="en-SG" w:eastAsia="en-SG"/>
        </w:rPr>
      </w:pPr>
      <w:r w:rsidRPr="00F33E1E">
        <w:rPr>
          <w:lang w:val="en-SG" w:eastAsia="en-SG"/>
        </w:rPr>
        <w:t xml:space="preserve">Singapore citizens who purchased properties could pay part of the down payment using their CPF funds. Specifically, for a $1.5 million property, the </w:t>
      </w:r>
      <w:proofErr w:type="spellStart"/>
      <w:r w:rsidRPr="00F33E1E">
        <w:rPr>
          <w:lang w:val="en-SG" w:eastAsia="en-SG"/>
        </w:rPr>
        <w:t>Wongs</w:t>
      </w:r>
      <w:proofErr w:type="spellEnd"/>
      <w:r w:rsidRPr="00F33E1E">
        <w:rPr>
          <w:lang w:val="en-SG" w:eastAsia="en-SG"/>
        </w:rPr>
        <w:t xml:space="preserve"> had to put down a minimum of $75,000 in cash and withdraw $225,000 from the Ordinary Account of their CPF accounts. They could borrow up to 80</w:t>
      </w:r>
      <w:r w:rsidR="00F67528">
        <w:rPr>
          <w:lang w:val="en-SG" w:eastAsia="en-SG"/>
        </w:rPr>
        <w:t xml:space="preserve"> per cent</w:t>
      </w:r>
      <w:r w:rsidRPr="00F33E1E">
        <w:rPr>
          <w:lang w:val="en-SG" w:eastAsia="en-SG"/>
        </w:rPr>
        <w:t xml:space="preserve"> loan-to-value or $1,200,000, assuming they qualified for the loan. </w:t>
      </w:r>
    </w:p>
    <w:p w14:paraId="2F723171" w14:textId="77777777" w:rsidR="00F33E1E" w:rsidRPr="00F33E1E" w:rsidRDefault="00F33E1E" w:rsidP="00D04358">
      <w:pPr>
        <w:pStyle w:val="BodyTextMain"/>
        <w:rPr>
          <w:lang w:val="en-SG"/>
        </w:rPr>
      </w:pPr>
    </w:p>
    <w:p w14:paraId="4ADF991D" w14:textId="77777777" w:rsidR="00F33E1E" w:rsidRPr="00F33E1E" w:rsidRDefault="00F33E1E" w:rsidP="00D04358">
      <w:pPr>
        <w:pStyle w:val="BodyTextMain"/>
        <w:rPr>
          <w:lang w:val="en-SG"/>
        </w:rPr>
      </w:pPr>
    </w:p>
    <w:p w14:paraId="7F01B7EF" w14:textId="77777777" w:rsidR="00F33E1E" w:rsidRPr="00F33E1E" w:rsidRDefault="00F33E1E" w:rsidP="00807E4B">
      <w:pPr>
        <w:pStyle w:val="Casehead1"/>
        <w:rPr>
          <w:lang w:val="en-CA"/>
        </w:rPr>
      </w:pPr>
      <w:r w:rsidRPr="00F33E1E">
        <w:rPr>
          <w:lang w:val="en-CA"/>
        </w:rPr>
        <w:t>singapore property market</w:t>
      </w:r>
    </w:p>
    <w:p w14:paraId="1981227D" w14:textId="77777777" w:rsidR="00D04358" w:rsidRDefault="00D04358" w:rsidP="00D04358">
      <w:pPr>
        <w:pStyle w:val="BodyTextMain"/>
        <w:rPr>
          <w:lang w:val="en-SG" w:eastAsia="en-SG"/>
        </w:rPr>
      </w:pPr>
    </w:p>
    <w:p w14:paraId="7FFA5A2F" w14:textId="0A14D973" w:rsidR="00F33E1E" w:rsidRDefault="00F33E1E" w:rsidP="00D04358">
      <w:pPr>
        <w:pStyle w:val="BodyTextMain"/>
        <w:rPr>
          <w:lang w:val="en-SG" w:eastAsia="en-SG"/>
        </w:rPr>
      </w:pPr>
      <w:r w:rsidRPr="00F33E1E">
        <w:rPr>
          <w:lang w:val="en-SG" w:eastAsia="en-SG"/>
        </w:rPr>
        <w:t xml:space="preserve">Between 2009 and 2013, property prices rallied 70 per cent. Exhibit 2 shows that the residential price index reached </w:t>
      </w:r>
      <w:r w:rsidR="008F1C84">
        <w:rPr>
          <w:lang w:val="en-SG" w:eastAsia="en-SG"/>
        </w:rPr>
        <w:t>a</w:t>
      </w:r>
      <w:r w:rsidRPr="00F33E1E">
        <w:rPr>
          <w:lang w:val="en-SG" w:eastAsia="en-SG"/>
        </w:rPr>
        <w:t xml:space="preserve"> level of 170 in </w:t>
      </w:r>
      <w:r w:rsidR="008F1C84">
        <w:rPr>
          <w:lang w:val="en-SG" w:eastAsia="en-SG"/>
        </w:rPr>
        <w:t>the third quarter (</w:t>
      </w:r>
      <w:r w:rsidRPr="00F33E1E">
        <w:rPr>
          <w:lang w:val="en-SG" w:eastAsia="en-SG"/>
        </w:rPr>
        <w:t>Q3</w:t>
      </w:r>
      <w:r w:rsidR="008F1C84">
        <w:rPr>
          <w:lang w:val="en-SG" w:eastAsia="en-SG"/>
        </w:rPr>
        <w:t xml:space="preserve">) of </w:t>
      </w:r>
      <w:r w:rsidRPr="00F33E1E">
        <w:rPr>
          <w:lang w:val="en-SG" w:eastAsia="en-SG"/>
        </w:rPr>
        <w:t xml:space="preserve">2013 while it was at </w:t>
      </w:r>
      <w:r w:rsidR="008F1C84">
        <w:rPr>
          <w:lang w:val="en-SG" w:eastAsia="en-SG"/>
        </w:rPr>
        <w:t xml:space="preserve">a level of </w:t>
      </w:r>
      <w:r w:rsidRPr="00F33E1E">
        <w:rPr>
          <w:lang w:val="en-SG" w:eastAsia="en-SG"/>
        </w:rPr>
        <w:t>100 in Q1/2009. During the same period, the average nominal wages increased by only 30 per cent</w:t>
      </w:r>
      <w:r w:rsidR="008F1C84">
        <w:rPr>
          <w:lang w:val="en-SG" w:eastAsia="en-SG"/>
        </w:rPr>
        <w:t>.</w:t>
      </w:r>
      <w:r w:rsidRPr="00F33E1E">
        <w:rPr>
          <w:rStyle w:val="FootnoteReference"/>
          <w:color w:val="000000"/>
          <w:lang w:val="en-SG" w:eastAsia="en-SG"/>
        </w:rPr>
        <w:footnoteReference w:id="4"/>
      </w:r>
    </w:p>
    <w:p w14:paraId="5CE6C18E" w14:textId="77777777" w:rsidR="00D04358" w:rsidRPr="00F33E1E" w:rsidRDefault="00D04358" w:rsidP="00D04358">
      <w:pPr>
        <w:pStyle w:val="BodyTextMain"/>
        <w:rPr>
          <w:lang w:val="en-SG" w:eastAsia="en-SG"/>
        </w:rPr>
      </w:pPr>
    </w:p>
    <w:p w14:paraId="4262C1C6" w14:textId="1B9C47F2" w:rsidR="00F33E1E" w:rsidRDefault="00F33E1E" w:rsidP="00D04358">
      <w:pPr>
        <w:pStyle w:val="BodyTextMain"/>
      </w:pPr>
      <w:r w:rsidRPr="00F33E1E">
        <w:rPr>
          <w:lang w:val="en-SG" w:eastAsia="en-SG"/>
        </w:rPr>
        <w:t>Since 2013</w:t>
      </w:r>
      <w:r w:rsidRPr="00F33E1E">
        <w:rPr>
          <w:lang w:val="en-SG"/>
        </w:rPr>
        <w:t xml:space="preserve">, the Singapore property market had softened on the back of </w:t>
      </w:r>
      <w:r w:rsidRPr="00F33E1E">
        <w:rPr>
          <w:lang w:val="en-SG" w:eastAsia="en-SG"/>
        </w:rPr>
        <w:t>sluggish</w:t>
      </w:r>
      <w:r w:rsidRPr="00F33E1E">
        <w:rPr>
          <w:lang w:val="en-SG"/>
        </w:rPr>
        <w:t xml:space="preserve"> economic growth</w:t>
      </w:r>
      <w:r w:rsidRPr="00F33E1E">
        <w:rPr>
          <w:lang w:val="en-SG" w:eastAsia="en-SG"/>
        </w:rPr>
        <w:t>, various newly adopted</w:t>
      </w:r>
      <w:r w:rsidRPr="00F33E1E">
        <w:rPr>
          <w:lang w:val="en-SG"/>
        </w:rPr>
        <w:t xml:space="preserve"> property cooling measures</w:t>
      </w:r>
      <w:r w:rsidRPr="00F33E1E">
        <w:rPr>
          <w:rStyle w:val="FootnoteReference"/>
          <w:lang w:val="en-SG" w:eastAsia="en-SG"/>
        </w:rPr>
        <w:footnoteReference w:id="5"/>
      </w:r>
      <w:r w:rsidRPr="00F33E1E">
        <w:rPr>
          <w:lang w:val="en-SG" w:eastAsia="en-SG"/>
        </w:rPr>
        <w:t xml:space="preserve"> (see Exhibit 3),</w:t>
      </w:r>
      <w:r w:rsidRPr="00F33E1E">
        <w:rPr>
          <w:lang w:val="en-SG"/>
        </w:rPr>
        <w:t xml:space="preserve"> and </w:t>
      </w:r>
      <w:r w:rsidR="008F1C84">
        <w:rPr>
          <w:lang w:val="en-SG"/>
        </w:rPr>
        <w:t>a</w:t>
      </w:r>
      <w:r w:rsidRPr="00F33E1E">
        <w:rPr>
          <w:lang w:val="en-SG"/>
        </w:rPr>
        <w:t xml:space="preserve"> large supply of </w:t>
      </w:r>
      <w:r w:rsidRPr="00F33E1E">
        <w:rPr>
          <w:lang w:val="en-SG" w:eastAsia="en-SG"/>
        </w:rPr>
        <w:t xml:space="preserve">newly built </w:t>
      </w:r>
      <w:r w:rsidRPr="00F33E1E">
        <w:rPr>
          <w:lang w:val="en-SG"/>
        </w:rPr>
        <w:t xml:space="preserve">private residential units. </w:t>
      </w:r>
      <w:r w:rsidRPr="00F33E1E">
        <w:rPr>
          <w:lang w:val="en-SG" w:eastAsia="en-SG"/>
        </w:rPr>
        <w:t xml:space="preserve">According to Augustine Tan, president of the Real Estate Developers’ Association of Singapore, </w:t>
      </w:r>
      <w:r w:rsidRPr="00F33E1E">
        <w:t>there were 57,597 new private residential units and 12,077 executive condominiums available as of May 2016. These numbers were significant in view of the prevailing weak demand.</w:t>
      </w:r>
      <w:r w:rsidRPr="00F33E1E">
        <w:rPr>
          <w:rStyle w:val="FootnoteReference"/>
        </w:rPr>
        <w:footnoteReference w:id="6"/>
      </w:r>
      <w:r w:rsidRPr="00F33E1E">
        <w:t xml:space="preserve"> Exhibit 4 shows th</w:t>
      </w:r>
      <w:r w:rsidR="008F1C84">
        <w:t>at th</w:t>
      </w:r>
      <w:r w:rsidRPr="00F33E1E">
        <w:t>e supply of new units in the pipeline had dropped from Q1 to Q2 in 2016.</w:t>
      </w:r>
    </w:p>
    <w:p w14:paraId="5580BCD8" w14:textId="77777777" w:rsidR="00D04358" w:rsidRPr="00F33E1E" w:rsidRDefault="00D04358" w:rsidP="00D04358">
      <w:pPr>
        <w:pStyle w:val="BodyTextMain"/>
        <w:rPr>
          <w:lang w:val="en-SG" w:eastAsia="en-SG"/>
        </w:rPr>
      </w:pPr>
    </w:p>
    <w:p w14:paraId="61B096C7" w14:textId="46D99192" w:rsidR="00F33E1E" w:rsidRDefault="00F33E1E" w:rsidP="00D04358">
      <w:pPr>
        <w:pStyle w:val="BodyTextMain"/>
        <w:rPr>
          <w:lang w:val="en-SG" w:eastAsia="en-SG"/>
        </w:rPr>
      </w:pPr>
      <w:r w:rsidRPr="00F33E1E">
        <w:rPr>
          <w:lang w:val="en-SG" w:eastAsia="en-SG"/>
        </w:rPr>
        <w:t>Property</w:t>
      </w:r>
      <w:r w:rsidRPr="00F33E1E">
        <w:rPr>
          <w:lang w:val="en-SG"/>
        </w:rPr>
        <w:t xml:space="preserve"> home prices had dropped for </w:t>
      </w:r>
      <w:r w:rsidRPr="00F33E1E">
        <w:rPr>
          <w:lang w:val="en-SG" w:eastAsia="en-SG"/>
        </w:rPr>
        <w:t xml:space="preserve">11 straight quarters </w:t>
      </w:r>
      <w:r w:rsidRPr="00F33E1E">
        <w:rPr>
          <w:lang w:val="en-SG"/>
        </w:rPr>
        <w:t xml:space="preserve">at the end of June </w:t>
      </w:r>
      <w:r w:rsidRPr="00F33E1E">
        <w:rPr>
          <w:lang w:val="en-SG" w:eastAsia="en-SG"/>
        </w:rPr>
        <w:t>2016.</w:t>
      </w:r>
      <w:r w:rsidRPr="00F33E1E">
        <w:rPr>
          <w:rStyle w:val="FootnoteReference"/>
          <w:color w:val="000000"/>
          <w:lang w:val="en-SG" w:eastAsia="en-SG"/>
        </w:rPr>
        <w:footnoteReference w:id="7"/>
      </w:r>
      <w:r w:rsidRPr="00F33E1E">
        <w:rPr>
          <w:lang w:val="en-SG" w:eastAsia="en-SG"/>
        </w:rPr>
        <w:t xml:space="preserve"> Prices were 9.4 per cent below the peak of </w:t>
      </w:r>
      <w:r w:rsidR="00B31719">
        <w:rPr>
          <w:lang w:val="en-SG" w:eastAsia="en-SG"/>
        </w:rPr>
        <w:t>Q3</w:t>
      </w:r>
      <w:r w:rsidRPr="00F33E1E">
        <w:rPr>
          <w:lang w:val="en-SG" w:eastAsia="en-SG"/>
        </w:rPr>
        <w:t xml:space="preserve"> in 2013. </w:t>
      </w:r>
    </w:p>
    <w:p w14:paraId="23B2657C" w14:textId="77777777" w:rsidR="00D04358" w:rsidRPr="00F33E1E" w:rsidRDefault="00D04358" w:rsidP="00D04358">
      <w:pPr>
        <w:pStyle w:val="BodyTextMain"/>
        <w:rPr>
          <w:lang w:val="en-SG" w:eastAsia="en-SG"/>
        </w:rPr>
      </w:pPr>
    </w:p>
    <w:p w14:paraId="4E9545EE" w14:textId="55B9D38F" w:rsidR="00F33E1E" w:rsidRPr="00F33E1E" w:rsidRDefault="00F33E1E" w:rsidP="00D04358">
      <w:pPr>
        <w:pStyle w:val="BodyTextMain"/>
        <w:rPr>
          <w:lang w:val="en-SG" w:eastAsia="en-SG"/>
        </w:rPr>
      </w:pPr>
      <w:r w:rsidRPr="00F33E1E">
        <w:rPr>
          <w:lang w:val="en-SG" w:eastAsia="en-SG"/>
        </w:rPr>
        <w:t>At the central bank annual briefing on July 25, 2016, Ravi Menon</w:t>
      </w:r>
      <w:r w:rsidRPr="00F33E1E">
        <w:rPr>
          <w:szCs w:val="20"/>
          <w:lang w:val="en-SG"/>
        </w:rPr>
        <w:t xml:space="preserve">, the </w:t>
      </w:r>
      <w:r w:rsidRPr="00F33E1E">
        <w:rPr>
          <w:lang w:val="en-SG" w:eastAsia="en-SG"/>
        </w:rPr>
        <w:t xml:space="preserve">managing director of </w:t>
      </w:r>
      <w:r w:rsidRPr="00F33E1E">
        <w:rPr>
          <w:szCs w:val="20"/>
          <w:lang w:val="en-SG"/>
        </w:rPr>
        <w:t xml:space="preserve">the </w:t>
      </w:r>
      <w:r w:rsidRPr="00F33E1E">
        <w:rPr>
          <w:lang w:val="en-SG" w:eastAsia="en-SG"/>
        </w:rPr>
        <w:t xml:space="preserve">central bank—the Monetary Authority of Singapore (MAS)—said that MAS was “quite happy” with the way the property sector was evolving. </w:t>
      </w:r>
    </w:p>
    <w:p w14:paraId="4FA89C0B" w14:textId="77777777" w:rsidR="00F33E1E" w:rsidRPr="00F33E1E" w:rsidRDefault="00F33E1E" w:rsidP="00D04358">
      <w:pPr>
        <w:pStyle w:val="BodyTextMain"/>
        <w:rPr>
          <w:lang w:val="en-SG" w:eastAsia="en-SG"/>
        </w:rPr>
      </w:pPr>
    </w:p>
    <w:p w14:paraId="12773102" w14:textId="21F49F19" w:rsidR="00F33E1E" w:rsidRPr="00F33E1E" w:rsidRDefault="00F33E1E" w:rsidP="001D12B0">
      <w:pPr>
        <w:pStyle w:val="BodyTextMain"/>
        <w:ind w:left="720"/>
      </w:pPr>
      <w:r w:rsidRPr="00F33E1E">
        <w:lastRenderedPageBreak/>
        <w:t>It’s a gradual softening of prices, unwinding some of the sharp run-up that you saw earlier. The household debt situation has improved and the debt servicing ratio for new loans is very good. Banks’ non-performing loans for property are very low. So we don’t have concerns for the property market as such. I think things are playing out in a good manner.</w:t>
      </w:r>
      <w:r w:rsidRPr="00F33E1E">
        <w:rPr>
          <w:rStyle w:val="FootnoteReference"/>
        </w:rPr>
        <w:footnoteReference w:id="8"/>
      </w:r>
      <w:r w:rsidRPr="00F33E1E">
        <w:t xml:space="preserve"> </w:t>
      </w:r>
    </w:p>
    <w:p w14:paraId="019FD97F" w14:textId="77777777" w:rsidR="00F33E1E" w:rsidRPr="00D04358" w:rsidRDefault="00F33E1E" w:rsidP="00D04358">
      <w:pPr>
        <w:pStyle w:val="BodyTextMain"/>
      </w:pPr>
    </w:p>
    <w:p w14:paraId="6C67805A" w14:textId="668942FC" w:rsidR="00FC7766" w:rsidRPr="00D04358" w:rsidRDefault="006D70A2" w:rsidP="00D04358">
      <w:pPr>
        <w:pStyle w:val="BodyTextMain"/>
      </w:pPr>
      <w:r w:rsidRPr="00D04358">
        <w:t>Menon</w:t>
      </w:r>
      <w:r w:rsidR="00F33E1E" w:rsidRPr="00D04358">
        <w:t xml:space="preserve"> said it was too early to lift the cooling measures</w:t>
      </w:r>
      <w:r w:rsidR="00CA4C1F" w:rsidRPr="00D04358">
        <w:t>,</w:t>
      </w:r>
      <w:r w:rsidR="00F33E1E" w:rsidRPr="00D04358">
        <w:t xml:space="preserve"> as “we want to make sure the gains we have made painstakingly over the last one to two years are entrenched, that we are on a sustainable path for the property market</w:t>
      </w:r>
      <w:r w:rsidRPr="00D04358">
        <w:t>,</w:t>
      </w:r>
      <w:r w:rsidR="00F33E1E" w:rsidRPr="00D04358">
        <w:t xml:space="preserve"> and that the household balance sheets become stronger still to withstand (interest rate and income) shocks.”</w:t>
      </w:r>
      <w:r w:rsidR="00F33E1E" w:rsidRPr="00D04358">
        <w:rPr>
          <w:rStyle w:val="FootnoteReference"/>
        </w:rPr>
        <w:footnoteReference w:id="9"/>
      </w:r>
      <w:r w:rsidR="00F33E1E" w:rsidRPr="00D04358">
        <w:t xml:space="preserve"> </w:t>
      </w:r>
    </w:p>
    <w:p w14:paraId="59B3E4C5" w14:textId="77777777" w:rsidR="0084377F" w:rsidRPr="00D04358" w:rsidRDefault="0084377F" w:rsidP="00D04358">
      <w:pPr>
        <w:pStyle w:val="BodyTextMain"/>
      </w:pPr>
    </w:p>
    <w:p w14:paraId="655C4A7B" w14:textId="77777777" w:rsidR="0084377F" w:rsidRPr="00D04358" w:rsidRDefault="0084377F" w:rsidP="00D04358">
      <w:pPr>
        <w:pStyle w:val="BodyTextMain"/>
      </w:pPr>
    </w:p>
    <w:p w14:paraId="20A2469F" w14:textId="77777777" w:rsidR="00187394" w:rsidRPr="00F33E1E" w:rsidRDefault="00187394" w:rsidP="00187394">
      <w:pPr>
        <w:pStyle w:val="Casehead1"/>
        <w:rPr>
          <w:lang w:val="en-CA"/>
        </w:rPr>
      </w:pPr>
      <w:r w:rsidRPr="00F33E1E">
        <w:rPr>
          <w:lang w:val="en-CA"/>
        </w:rPr>
        <w:t>financial considerations</w:t>
      </w:r>
    </w:p>
    <w:p w14:paraId="0C7C17DC" w14:textId="77777777" w:rsidR="00A87595" w:rsidRPr="00F33E1E" w:rsidRDefault="00A87595" w:rsidP="00D04358">
      <w:pPr>
        <w:pStyle w:val="BodyTextMain"/>
        <w:rPr>
          <w:lang w:val="en-CA"/>
        </w:rPr>
      </w:pPr>
    </w:p>
    <w:p w14:paraId="0FABFB16" w14:textId="7BB3924D" w:rsidR="00F23161" w:rsidRPr="00F33E1E" w:rsidRDefault="00F23161" w:rsidP="00D04358">
      <w:pPr>
        <w:pStyle w:val="BodyTextMain"/>
        <w:rPr>
          <w:lang w:val="en-SG" w:eastAsia="en-SG"/>
        </w:rPr>
      </w:pPr>
      <w:r w:rsidRPr="00F33E1E">
        <w:rPr>
          <w:lang w:val="en-SG" w:eastAsia="en-SG"/>
        </w:rPr>
        <w:t xml:space="preserve">While the </w:t>
      </w:r>
      <w:proofErr w:type="spellStart"/>
      <w:r w:rsidR="00DA7F62" w:rsidRPr="00F33E1E">
        <w:rPr>
          <w:lang w:val="en-SG" w:eastAsia="en-SG"/>
        </w:rPr>
        <w:t>Wong</w:t>
      </w:r>
      <w:r w:rsidR="00E565B2" w:rsidRPr="00F33E1E">
        <w:rPr>
          <w:lang w:val="en-SG" w:eastAsia="en-SG"/>
        </w:rPr>
        <w:t>s</w:t>
      </w:r>
      <w:proofErr w:type="spellEnd"/>
      <w:r w:rsidRPr="00F33E1E">
        <w:rPr>
          <w:lang w:val="en-SG" w:eastAsia="en-SG"/>
        </w:rPr>
        <w:t xml:space="preserve"> really liked the</w:t>
      </w:r>
      <w:r w:rsidR="005B3039" w:rsidRPr="00F33E1E">
        <w:rPr>
          <w:lang w:val="en-SG" w:eastAsia="en-SG"/>
        </w:rPr>
        <w:t>ir rental unit a</w:t>
      </w:r>
      <w:r w:rsidRPr="00F33E1E">
        <w:rPr>
          <w:lang w:val="en-SG" w:eastAsia="en-SG"/>
        </w:rPr>
        <w:t xml:space="preserve">nd </w:t>
      </w:r>
      <w:r w:rsidR="00BE5944" w:rsidRPr="00F33E1E">
        <w:rPr>
          <w:lang w:val="en-SG" w:eastAsia="en-SG"/>
        </w:rPr>
        <w:t xml:space="preserve">its </w:t>
      </w:r>
      <w:r w:rsidRPr="00F33E1E">
        <w:rPr>
          <w:lang w:val="en-SG" w:eastAsia="en-SG"/>
        </w:rPr>
        <w:t xml:space="preserve">surroundings, </w:t>
      </w:r>
      <w:r w:rsidR="00934F0C" w:rsidRPr="00F33E1E">
        <w:rPr>
          <w:lang w:val="en-SG" w:eastAsia="en-SG"/>
        </w:rPr>
        <w:t>their children</w:t>
      </w:r>
      <w:r w:rsidR="002C374E" w:rsidRPr="00F33E1E">
        <w:rPr>
          <w:lang w:val="en-SG" w:eastAsia="en-SG"/>
        </w:rPr>
        <w:t xml:space="preserve"> </w:t>
      </w:r>
      <w:r w:rsidR="00934F0C" w:rsidRPr="00F33E1E">
        <w:rPr>
          <w:lang w:val="en-SG" w:eastAsia="en-SG"/>
        </w:rPr>
        <w:t>prefer</w:t>
      </w:r>
      <w:r w:rsidR="002C374E" w:rsidRPr="00F33E1E">
        <w:rPr>
          <w:lang w:val="en-SG" w:eastAsia="en-SG"/>
        </w:rPr>
        <w:t>red</w:t>
      </w:r>
      <w:r w:rsidR="00934F0C" w:rsidRPr="00F33E1E">
        <w:rPr>
          <w:lang w:val="en-SG" w:eastAsia="en-SG"/>
        </w:rPr>
        <w:t xml:space="preserve"> to have their </w:t>
      </w:r>
      <w:r w:rsidR="00E565B2" w:rsidRPr="00F33E1E">
        <w:rPr>
          <w:lang w:val="en-SG" w:eastAsia="en-SG"/>
        </w:rPr>
        <w:t>own rooms.</w:t>
      </w:r>
      <w:r w:rsidR="001B158B" w:rsidRPr="00F33E1E">
        <w:rPr>
          <w:lang w:val="en-SG" w:eastAsia="en-SG"/>
        </w:rPr>
        <w:t xml:space="preserve"> The </w:t>
      </w:r>
      <w:r w:rsidR="005B3039" w:rsidRPr="00F33E1E">
        <w:rPr>
          <w:lang w:val="en-SG" w:eastAsia="en-SG"/>
        </w:rPr>
        <w:t xml:space="preserve">larger </w:t>
      </w:r>
      <w:r w:rsidR="001B158B" w:rsidRPr="00F33E1E">
        <w:rPr>
          <w:lang w:val="en-SG" w:eastAsia="en-SG"/>
        </w:rPr>
        <w:t>unit</w:t>
      </w:r>
      <w:r w:rsidR="00934F0C" w:rsidRPr="00F33E1E">
        <w:rPr>
          <w:lang w:val="en-SG" w:eastAsia="en-SG"/>
        </w:rPr>
        <w:t>, with</w:t>
      </w:r>
      <w:r w:rsidR="001B158B" w:rsidRPr="00F33E1E">
        <w:rPr>
          <w:lang w:val="en-SG" w:eastAsia="en-SG"/>
        </w:rPr>
        <w:t xml:space="preserve"> </w:t>
      </w:r>
      <w:r w:rsidR="005B3039" w:rsidRPr="00F33E1E">
        <w:rPr>
          <w:lang w:val="en-SG" w:eastAsia="en-SG"/>
        </w:rPr>
        <w:t>four</w:t>
      </w:r>
      <w:r w:rsidR="001B158B" w:rsidRPr="00F33E1E">
        <w:rPr>
          <w:lang w:val="en-SG" w:eastAsia="en-SG"/>
        </w:rPr>
        <w:t xml:space="preserve"> bedrooms</w:t>
      </w:r>
      <w:r w:rsidR="00934F0C" w:rsidRPr="00F33E1E">
        <w:rPr>
          <w:lang w:val="en-SG" w:eastAsia="en-SG"/>
        </w:rPr>
        <w:t>,</w:t>
      </w:r>
      <w:r w:rsidR="005B3039" w:rsidRPr="00F33E1E">
        <w:rPr>
          <w:lang w:val="en-SG" w:eastAsia="en-SG"/>
        </w:rPr>
        <w:t xml:space="preserve"> would be just right for them</w:t>
      </w:r>
      <w:r w:rsidR="001B158B" w:rsidRPr="00F33E1E">
        <w:rPr>
          <w:lang w:val="en-SG" w:eastAsia="en-SG"/>
        </w:rPr>
        <w:t>.</w:t>
      </w:r>
    </w:p>
    <w:p w14:paraId="53CC3C41" w14:textId="77777777" w:rsidR="00A87595" w:rsidRPr="00F33E1E" w:rsidRDefault="00A87595" w:rsidP="00D04358">
      <w:pPr>
        <w:pStyle w:val="BodyTextMain"/>
        <w:rPr>
          <w:lang w:val="en-SG" w:eastAsia="en-SG"/>
        </w:rPr>
      </w:pPr>
    </w:p>
    <w:p w14:paraId="5D306B78" w14:textId="3F84A03E" w:rsidR="00F23161" w:rsidRPr="00F33E1E" w:rsidRDefault="00F23161" w:rsidP="00D04358">
      <w:pPr>
        <w:pStyle w:val="BodyTextMain"/>
        <w:rPr>
          <w:lang w:val="en-SG" w:eastAsia="en-SG"/>
        </w:rPr>
      </w:pPr>
      <w:r w:rsidRPr="00F33E1E">
        <w:rPr>
          <w:lang w:val="en-SG" w:eastAsia="en-SG"/>
        </w:rPr>
        <w:t xml:space="preserve">If the </w:t>
      </w:r>
      <w:proofErr w:type="spellStart"/>
      <w:r w:rsidR="00DA7F62" w:rsidRPr="00F33E1E">
        <w:rPr>
          <w:lang w:val="en-SG" w:eastAsia="en-SG"/>
        </w:rPr>
        <w:t>Wong</w:t>
      </w:r>
      <w:r w:rsidR="00E565B2" w:rsidRPr="00F33E1E">
        <w:rPr>
          <w:lang w:val="en-SG" w:eastAsia="en-SG"/>
        </w:rPr>
        <w:t>s</w:t>
      </w:r>
      <w:proofErr w:type="spellEnd"/>
      <w:r w:rsidRPr="00F33E1E">
        <w:rPr>
          <w:lang w:val="en-SG" w:eastAsia="en-SG"/>
        </w:rPr>
        <w:t xml:space="preserve"> </w:t>
      </w:r>
      <w:r w:rsidR="00B62CC9" w:rsidRPr="00F33E1E">
        <w:rPr>
          <w:lang w:val="en-SG" w:eastAsia="en-SG"/>
        </w:rPr>
        <w:t xml:space="preserve">made the </w:t>
      </w:r>
      <w:r w:rsidRPr="00F33E1E">
        <w:rPr>
          <w:lang w:val="en-SG" w:eastAsia="en-SG"/>
        </w:rPr>
        <w:t xml:space="preserve">purchase, they would need to pay </w:t>
      </w:r>
      <w:r w:rsidR="00BE5944" w:rsidRPr="00F33E1E">
        <w:rPr>
          <w:lang w:val="en-SG" w:eastAsia="en-SG"/>
        </w:rPr>
        <w:t xml:space="preserve">a </w:t>
      </w:r>
      <w:r w:rsidRPr="00F33E1E">
        <w:rPr>
          <w:lang w:val="en-SG" w:eastAsia="en-SG"/>
        </w:rPr>
        <w:t>maintenance fee of $</w:t>
      </w:r>
      <w:r w:rsidR="004A589E" w:rsidRPr="00F33E1E">
        <w:rPr>
          <w:lang w:val="en-SG" w:eastAsia="en-SG"/>
        </w:rPr>
        <w:t>250</w:t>
      </w:r>
      <w:r w:rsidRPr="00F33E1E">
        <w:rPr>
          <w:lang w:val="en-SG" w:eastAsia="en-SG"/>
        </w:rPr>
        <w:t xml:space="preserve"> </w:t>
      </w:r>
      <w:r w:rsidR="00DA4445" w:rsidRPr="00F33E1E">
        <w:rPr>
          <w:lang w:val="en-SG" w:eastAsia="en-SG"/>
        </w:rPr>
        <w:t xml:space="preserve">monthly </w:t>
      </w:r>
      <w:r w:rsidR="00D47ABE" w:rsidRPr="00F33E1E">
        <w:rPr>
          <w:lang w:val="en-SG" w:eastAsia="en-SG"/>
        </w:rPr>
        <w:t>to the condominium management committee</w:t>
      </w:r>
      <w:r w:rsidR="00DA4445" w:rsidRPr="00F33E1E">
        <w:rPr>
          <w:lang w:val="en-SG" w:eastAsia="en-SG"/>
        </w:rPr>
        <w:t>,</w:t>
      </w:r>
      <w:r w:rsidRPr="00F33E1E">
        <w:rPr>
          <w:lang w:val="en-SG" w:eastAsia="en-SG"/>
        </w:rPr>
        <w:t xml:space="preserve"> property tax of $</w:t>
      </w:r>
      <w:r w:rsidR="004A589E" w:rsidRPr="00F33E1E">
        <w:rPr>
          <w:lang w:val="en-SG" w:eastAsia="en-SG"/>
        </w:rPr>
        <w:t>1</w:t>
      </w:r>
      <w:r w:rsidRPr="00F33E1E">
        <w:rPr>
          <w:lang w:val="en-SG" w:eastAsia="en-SG"/>
        </w:rPr>
        <w:t>00 per month</w:t>
      </w:r>
      <w:r w:rsidR="00D47ABE" w:rsidRPr="00F33E1E">
        <w:rPr>
          <w:lang w:val="en-SG" w:eastAsia="en-SG"/>
        </w:rPr>
        <w:t xml:space="preserve"> to</w:t>
      </w:r>
      <w:r w:rsidR="00BE5944" w:rsidRPr="00F33E1E">
        <w:rPr>
          <w:lang w:val="en-SG" w:eastAsia="en-SG"/>
        </w:rPr>
        <w:t xml:space="preserve"> </w:t>
      </w:r>
      <w:r w:rsidR="00D47ABE" w:rsidRPr="00F33E1E">
        <w:rPr>
          <w:lang w:val="en-SG" w:eastAsia="en-SG"/>
        </w:rPr>
        <w:t>government authorities</w:t>
      </w:r>
      <w:r w:rsidR="00DA4445" w:rsidRPr="00F33E1E">
        <w:rPr>
          <w:lang w:val="en-SG" w:eastAsia="en-SG"/>
        </w:rPr>
        <w:t xml:space="preserve">, and </w:t>
      </w:r>
      <w:r w:rsidR="006D70A2">
        <w:rPr>
          <w:lang w:val="en-SG" w:eastAsia="en-SG"/>
        </w:rPr>
        <w:t xml:space="preserve">the cost of </w:t>
      </w:r>
      <w:r w:rsidRPr="00F33E1E">
        <w:rPr>
          <w:lang w:val="en-SG" w:eastAsia="en-SG"/>
        </w:rPr>
        <w:t xml:space="preserve">repairs and general maintenance within the unit </w:t>
      </w:r>
      <w:r w:rsidR="00DA4445" w:rsidRPr="00F33E1E">
        <w:rPr>
          <w:lang w:val="en-SG" w:eastAsia="en-SG"/>
        </w:rPr>
        <w:t xml:space="preserve">of </w:t>
      </w:r>
      <w:r w:rsidRPr="00F33E1E">
        <w:rPr>
          <w:lang w:val="en-SG" w:eastAsia="en-SG"/>
        </w:rPr>
        <w:t>$</w:t>
      </w:r>
      <w:r w:rsidR="00DA7F62" w:rsidRPr="00F33E1E">
        <w:rPr>
          <w:lang w:val="en-SG" w:eastAsia="en-SG"/>
        </w:rPr>
        <w:t>1</w:t>
      </w:r>
      <w:r w:rsidR="004A589E" w:rsidRPr="00F33E1E">
        <w:rPr>
          <w:lang w:val="en-SG" w:eastAsia="en-SG"/>
        </w:rPr>
        <w:t>0</w:t>
      </w:r>
      <w:r w:rsidR="00DA7F62" w:rsidRPr="00F33E1E">
        <w:rPr>
          <w:lang w:val="en-SG" w:eastAsia="en-SG"/>
        </w:rPr>
        <w:t>0 per month</w:t>
      </w:r>
      <w:r w:rsidRPr="00F33E1E">
        <w:rPr>
          <w:lang w:val="en-SG" w:eastAsia="en-SG"/>
        </w:rPr>
        <w:t>.</w:t>
      </w:r>
    </w:p>
    <w:p w14:paraId="2597BCFA" w14:textId="77777777" w:rsidR="00A87595" w:rsidRPr="00F33E1E" w:rsidRDefault="00A87595" w:rsidP="00D04358">
      <w:pPr>
        <w:pStyle w:val="BodyTextMain"/>
        <w:rPr>
          <w:lang w:val="en-SG" w:eastAsia="en-SG"/>
        </w:rPr>
      </w:pPr>
    </w:p>
    <w:p w14:paraId="49398941" w14:textId="77777777" w:rsidR="00F23161" w:rsidRPr="00F33E1E" w:rsidRDefault="00F23161" w:rsidP="00D04358">
      <w:pPr>
        <w:pStyle w:val="BodyTextMain"/>
        <w:rPr>
          <w:lang w:val="en-SG" w:eastAsia="en-SG"/>
        </w:rPr>
      </w:pPr>
      <w:r w:rsidRPr="00F33E1E">
        <w:rPr>
          <w:lang w:val="en-SG" w:eastAsia="en-SG"/>
        </w:rPr>
        <w:t>The initial cash payments included a down</w:t>
      </w:r>
      <w:r w:rsidR="00BE5944" w:rsidRPr="00F33E1E">
        <w:rPr>
          <w:lang w:val="en-SG" w:eastAsia="en-SG"/>
        </w:rPr>
        <w:t xml:space="preserve"> </w:t>
      </w:r>
      <w:r w:rsidRPr="00F33E1E">
        <w:rPr>
          <w:lang w:val="en-SG" w:eastAsia="en-SG"/>
        </w:rPr>
        <w:t xml:space="preserve">payment of 20 per cent of the purchase price, 3 per cent stamp duty, 1 per cent </w:t>
      </w:r>
      <w:r w:rsidR="00DA7F62" w:rsidRPr="00F33E1E">
        <w:rPr>
          <w:lang w:val="en-SG" w:eastAsia="en-SG"/>
        </w:rPr>
        <w:t>agen</w:t>
      </w:r>
      <w:r w:rsidR="00801390" w:rsidRPr="00F33E1E">
        <w:rPr>
          <w:lang w:val="en-SG" w:eastAsia="en-SG"/>
        </w:rPr>
        <w:t>t</w:t>
      </w:r>
      <w:r w:rsidRPr="00F33E1E">
        <w:rPr>
          <w:lang w:val="en-SG" w:eastAsia="en-SG"/>
        </w:rPr>
        <w:t xml:space="preserve"> fee, $</w:t>
      </w:r>
      <w:r w:rsidR="00E565B2" w:rsidRPr="00F33E1E">
        <w:rPr>
          <w:lang w:val="en-SG" w:eastAsia="en-SG"/>
        </w:rPr>
        <w:t>4</w:t>
      </w:r>
      <w:r w:rsidRPr="00F33E1E">
        <w:rPr>
          <w:lang w:val="en-SG" w:eastAsia="en-SG"/>
        </w:rPr>
        <w:t>,000 in legal transfer fee</w:t>
      </w:r>
      <w:r w:rsidR="002C374E" w:rsidRPr="00F33E1E">
        <w:rPr>
          <w:lang w:val="en-SG" w:eastAsia="en-SG"/>
        </w:rPr>
        <w:t>s</w:t>
      </w:r>
      <w:r w:rsidRPr="00F33E1E">
        <w:rPr>
          <w:lang w:val="en-SG" w:eastAsia="en-SG"/>
        </w:rPr>
        <w:t>, and $</w:t>
      </w:r>
      <w:r w:rsidR="00FE5D48" w:rsidRPr="00F33E1E">
        <w:rPr>
          <w:lang w:val="en-SG" w:eastAsia="en-SG"/>
        </w:rPr>
        <w:t>4</w:t>
      </w:r>
      <w:r w:rsidRPr="00F33E1E">
        <w:rPr>
          <w:lang w:val="en-SG" w:eastAsia="en-SG"/>
        </w:rPr>
        <w:t xml:space="preserve">,000 in other closing fees. </w:t>
      </w:r>
    </w:p>
    <w:p w14:paraId="554E3589" w14:textId="77777777" w:rsidR="00A27041" w:rsidRPr="00F33E1E" w:rsidRDefault="00A27041" w:rsidP="00D04358">
      <w:pPr>
        <w:pStyle w:val="BodyTextMain"/>
        <w:rPr>
          <w:lang w:val="en-SG" w:eastAsia="en-SG"/>
        </w:rPr>
      </w:pPr>
    </w:p>
    <w:p w14:paraId="3F535290" w14:textId="2DF536DD" w:rsidR="00901A05" w:rsidRPr="00F33E1E" w:rsidRDefault="00FC7766" w:rsidP="00D04358">
      <w:pPr>
        <w:pStyle w:val="BodyTextMain"/>
        <w:rPr>
          <w:lang w:val="en-SG" w:eastAsia="en-SG"/>
        </w:rPr>
      </w:pPr>
      <w:r w:rsidRPr="00F33E1E">
        <w:rPr>
          <w:lang w:val="en-SG" w:eastAsia="en-SG"/>
        </w:rPr>
        <w:t xml:space="preserve">The </w:t>
      </w:r>
      <w:proofErr w:type="spellStart"/>
      <w:r w:rsidRPr="00F33E1E">
        <w:rPr>
          <w:lang w:val="en-SG" w:eastAsia="en-SG"/>
        </w:rPr>
        <w:t>Wongs</w:t>
      </w:r>
      <w:proofErr w:type="spellEnd"/>
      <w:r w:rsidRPr="00F33E1E">
        <w:rPr>
          <w:lang w:val="en-SG" w:eastAsia="en-SG"/>
        </w:rPr>
        <w:t xml:space="preserve"> planned to take a </w:t>
      </w:r>
      <w:r w:rsidR="00E736EA" w:rsidRPr="00F33E1E">
        <w:rPr>
          <w:lang w:val="en-SG" w:eastAsia="en-SG"/>
        </w:rPr>
        <w:t xml:space="preserve">30-year tenure </w:t>
      </w:r>
      <w:r w:rsidRPr="00F33E1E">
        <w:rPr>
          <w:lang w:val="en-SG" w:eastAsia="en-SG"/>
        </w:rPr>
        <w:t>loan with monthly instalment payments. The bank officer</w:t>
      </w:r>
      <w:r w:rsidR="00723B4D" w:rsidRPr="00F33E1E">
        <w:rPr>
          <w:lang w:val="en-SG" w:eastAsia="en-SG"/>
        </w:rPr>
        <w:t xml:space="preserve"> </w:t>
      </w:r>
      <w:r w:rsidRPr="00F33E1E">
        <w:rPr>
          <w:lang w:val="en-SG" w:eastAsia="en-SG"/>
        </w:rPr>
        <w:t xml:space="preserve">informed them that the current mortgage rate was </w:t>
      </w:r>
      <w:r w:rsidR="00723B4D" w:rsidRPr="00F33E1E">
        <w:rPr>
          <w:lang w:val="en-SG" w:eastAsia="en-SG"/>
        </w:rPr>
        <w:t xml:space="preserve">a </w:t>
      </w:r>
      <w:r w:rsidRPr="00F33E1E">
        <w:rPr>
          <w:lang w:val="en-SG" w:eastAsia="en-SG"/>
        </w:rPr>
        <w:t xml:space="preserve">3 per cent </w:t>
      </w:r>
      <w:r w:rsidR="00723B4D" w:rsidRPr="00F33E1E">
        <w:rPr>
          <w:lang w:val="en-SG" w:eastAsia="en-SG"/>
        </w:rPr>
        <w:t>a</w:t>
      </w:r>
      <w:r w:rsidRPr="00F33E1E">
        <w:rPr>
          <w:lang w:val="en-SG" w:eastAsia="en-SG"/>
        </w:rPr>
        <w:t xml:space="preserve">nnual </w:t>
      </w:r>
      <w:r w:rsidR="00723B4D" w:rsidRPr="00F33E1E">
        <w:rPr>
          <w:lang w:val="en-SG" w:eastAsia="en-SG"/>
        </w:rPr>
        <w:t>p</w:t>
      </w:r>
      <w:r w:rsidRPr="00F33E1E">
        <w:rPr>
          <w:lang w:val="en-SG" w:eastAsia="en-SG"/>
        </w:rPr>
        <w:t xml:space="preserve">ercentage </w:t>
      </w:r>
      <w:r w:rsidR="00723B4D" w:rsidRPr="00F33E1E">
        <w:rPr>
          <w:lang w:val="en-SG" w:eastAsia="en-SG"/>
        </w:rPr>
        <w:t>r</w:t>
      </w:r>
      <w:r w:rsidRPr="00F33E1E">
        <w:rPr>
          <w:lang w:val="en-SG" w:eastAsia="en-SG"/>
        </w:rPr>
        <w:t>ate. While the market conditions for borrowing ha</w:t>
      </w:r>
      <w:r w:rsidR="00E82434" w:rsidRPr="00F33E1E">
        <w:rPr>
          <w:lang w:val="en-SG" w:eastAsia="en-SG"/>
        </w:rPr>
        <w:t>d</w:t>
      </w:r>
      <w:r w:rsidRPr="00F33E1E">
        <w:rPr>
          <w:lang w:val="en-SG" w:eastAsia="en-SG"/>
        </w:rPr>
        <w:t xml:space="preserve"> been favourable in recent years with the low interest rate environment</w:t>
      </w:r>
      <w:r w:rsidR="00D97A74" w:rsidRPr="00F33E1E">
        <w:rPr>
          <w:lang w:val="en-SG" w:eastAsia="en-SG"/>
        </w:rPr>
        <w:t>,</w:t>
      </w:r>
      <w:r w:rsidRPr="00F33E1E">
        <w:rPr>
          <w:lang w:val="en-SG" w:eastAsia="en-SG"/>
        </w:rPr>
        <w:t xml:space="preserve"> the </w:t>
      </w:r>
      <w:proofErr w:type="spellStart"/>
      <w:r w:rsidRPr="00F33E1E">
        <w:rPr>
          <w:lang w:val="en-SG" w:eastAsia="en-SG"/>
        </w:rPr>
        <w:t>Wongs</w:t>
      </w:r>
      <w:proofErr w:type="spellEnd"/>
      <w:r w:rsidR="00D97A74" w:rsidRPr="00F33E1E">
        <w:rPr>
          <w:lang w:val="en-SG" w:eastAsia="en-SG"/>
        </w:rPr>
        <w:t xml:space="preserve"> </w:t>
      </w:r>
      <w:r w:rsidRPr="00F33E1E">
        <w:rPr>
          <w:lang w:val="en-SG" w:eastAsia="en-SG"/>
        </w:rPr>
        <w:t>worr</w:t>
      </w:r>
      <w:r w:rsidR="00E82434" w:rsidRPr="00F33E1E">
        <w:rPr>
          <w:lang w:val="en-SG" w:eastAsia="en-SG"/>
        </w:rPr>
        <w:t>ied</w:t>
      </w:r>
      <w:r w:rsidRPr="00F33E1E">
        <w:rPr>
          <w:lang w:val="en-SG" w:eastAsia="en-SG"/>
        </w:rPr>
        <w:t xml:space="preserve"> that the interest rate </w:t>
      </w:r>
      <w:r w:rsidR="00E82434" w:rsidRPr="00F33E1E">
        <w:rPr>
          <w:lang w:val="en-SG" w:eastAsia="en-SG"/>
        </w:rPr>
        <w:t>might</w:t>
      </w:r>
      <w:r w:rsidRPr="00F33E1E">
        <w:rPr>
          <w:lang w:val="en-SG" w:eastAsia="en-SG"/>
        </w:rPr>
        <w:t xml:space="preserve"> increase in the near term</w:t>
      </w:r>
      <w:r w:rsidR="00D97A74" w:rsidRPr="00F33E1E">
        <w:rPr>
          <w:lang w:val="en-SG" w:eastAsia="en-SG"/>
        </w:rPr>
        <w:t>,</w:t>
      </w:r>
      <w:r w:rsidRPr="00F33E1E">
        <w:rPr>
          <w:lang w:val="en-SG" w:eastAsia="en-SG"/>
        </w:rPr>
        <w:t xml:space="preserve"> making borrowing more expensive. </w:t>
      </w:r>
    </w:p>
    <w:p w14:paraId="7A9330E1" w14:textId="77777777" w:rsidR="00901A05" w:rsidRPr="00F33E1E" w:rsidRDefault="00901A05" w:rsidP="00D04358">
      <w:pPr>
        <w:pStyle w:val="BodyTextMain"/>
        <w:rPr>
          <w:lang w:val="en-SG" w:eastAsia="en-SG"/>
        </w:rPr>
      </w:pPr>
    </w:p>
    <w:p w14:paraId="234B4F2D" w14:textId="723F649B" w:rsidR="00FC7766" w:rsidRPr="009A03FC" w:rsidRDefault="00FC7766" w:rsidP="00D04358">
      <w:pPr>
        <w:pStyle w:val="BodyTextMain"/>
        <w:rPr>
          <w:spacing w:val="-4"/>
          <w:kern w:val="22"/>
          <w:lang w:val="en-SG" w:eastAsia="en-SG"/>
        </w:rPr>
      </w:pPr>
      <w:r w:rsidRPr="009A03FC">
        <w:rPr>
          <w:spacing w:val="-4"/>
          <w:kern w:val="22"/>
          <w:lang w:val="en-SG" w:eastAsia="en-SG"/>
        </w:rPr>
        <w:t>In Singapore</w:t>
      </w:r>
      <w:r w:rsidR="00E82434" w:rsidRPr="009A03FC">
        <w:rPr>
          <w:spacing w:val="-4"/>
          <w:kern w:val="22"/>
          <w:lang w:val="en-SG" w:eastAsia="en-SG"/>
        </w:rPr>
        <w:t>,</w:t>
      </w:r>
      <w:r w:rsidR="00D97A74" w:rsidRPr="009A03FC">
        <w:rPr>
          <w:spacing w:val="-4"/>
          <w:kern w:val="22"/>
          <w:lang w:val="en-SG" w:eastAsia="en-SG"/>
        </w:rPr>
        <w:t xml:space="preserve"> </w:t>
      </w:r>
      <w:r w:rsidRPr="009A03FC">
        <w:rPr>
          <w:spacing w:val="-4"/>
          <w:kern w:val="22"/>
          <w:lang w:val="en-SG" w:eastAsia="en-SG"/>
        </w:rPr>
        <w:t xml:space="preserve">loans from commercial mortgages </w:t>
      </w:r>
      <w:r w:rsidR="00E82434" w:rsidRPr="009A03FC">
        <w:rPr>
          <w:spacing w:val="-4"/>
          <w:kern w:val="22"/>
          <w:lang w:val="en-SG" w:eastAsia="en-SG"/>
        </w:rPr>
        <w:t>we</w:t>
      </w:r>
      <w:r w:rsidRPr="009A03FC">
        <w:rPr>
          <w:spacing w:val="-4"/>
          <w:kern w:val="22"/>
          <w:lang w:val="en-SG" w:eastAsia="en-SG"/>
        </w:rPr>
        <w:t>re generally in the form of hybrid</w:t>
      </w:r>
      <w:r w:rsidR="006D70A2" w:rsidRPr="009A03FC">
        <w:rPr>
          <w:spacing w:val="-4"/>
          <w:kern w:val="22"/>
          <w:lang w:val="en-SG" w:eastAsia="en-SG"/>
        </w:rPr>
        <w:t xml:space="preserve"> </w:t>
      </w:r>
      <w:r w:rsidRPr="009A03FC">
        <w:rPr>
          <w:spacing w:val="-4"/>
          <w:kern w:val="22"/>
          <w:lang w:val="en-SG" w:eastAsia="en-SG"/>
        </w:rPr>
        <w:t>adjustable</w:t>
      </w:r>
      <w:r w:rsidR="006D70A2" w:rsidRPr="009A03FC">
        <w:rPr>
          <w:spacing w:val="-4"/>
          <w:kern w:val="22"/>
          <w:lang w:val="en-SG" w:eastAsia="en-SG"/>
        </w:rPr>
        <w:t>-</w:t>
      </w:r>
      <w:r w:rsidRPr="009A03FC">
        <w:rPr>
          <w:spacing w:val="-4"/>
          <w:kern w:val="22"/>
          <w:lang w:val="en-SG" w:eastAsia="en-SG"/>
        </w:rPr>
        <w:t>rate mortgage</w:t>
      </w:r>
      <w:r w:rsidR="00723B4D" w:rsidRPr="009A03FC">
        <w:rPr>
          <w:spacing w:val="-4"/>
          <w:kern w:val="22"/>
          <w:lang w:val="en-SG" w:eastAsia="en-SG"/>
        </w:rPr>
        <w:t>s;</w:t>
      </w:r>
      <w:r w:rsidR="00D97A74" w:rsidRPr="009A03FC">
        <w:rPr>
          <w:spacing w:val="-4"/>
          <w:kern w:val="22"/>
          <w:lang w:val="en-SG" w:eastAsia="en-SG"/>
        </w:rPr>
        <w:t xml:space="preserve"> </w:t>
      </w:r>
      <w:r w:rsidRPr="009A03FC">
        <w:rPr>
          <w:spacing w:val="-4"/>
          <w:kern w:val="22"/>
          <w:lang w:val="en-SG" w:eastAsia="en-SG"/>
        </w:rPr>
        <w:t xml:space="preserve">the interest rate </w:t>
      </w:r>
      <w:r w:rsidR="00E82434" w:rsidRPr="009A03FC">
        <w:rPr>
          <w:spacing w:val="-4"/>
          <w:kern w:val="22"/>
          <w:lang w:val="en-SG" w:eastAsia="en-SG"/>
        </w:rPr>
        <w:t>would be</w:t>
      </w:r>
      <w:r w:rsidRPr="009A03FC">
        <w:rPr>
          <w:spacing w:val="-4"/>
          <w:kern w:val="22"/>
          <w:lang w:val="en-SG" w:eastAsia="en-SG"/>
        </w:rPr>
        <w:t xml:space="preserve"> fixed for the first </w:t>
      </w:r>
      <w:r w:rsidR="00E82434" w:rsidRPr="009A03FC">
        <w:rPr>
          <w:spacing w:val="-4"/>
          <w:kern w:val="22"/>
          <w:lang w:val="en-SG" w:eastAsia="en-SG"/>
        </w:rPr>
        <w:t xml:space="preserve">three </w:t>
      </w:r>
      <w:r w:rsidRPr="009A03FC">
        <w:rPr>
          <w:spacing w:val="-4"/>
          <w:kern w:val="22"/>
          <w:lang w:val="en-SG" w:eastAsia="en-SG"/>
        </w:rPr>
        <w:t xml:space="preserve">years and adjusted </w:t>
      </w:r>
      <w:r w:rsidR="00E82434" w:rsidRPr="009A03FC">
        <w:rPr>
          <w:spacing w:val="-4"/>
          <w:kern w:val="22"/>
          <w:lang w:val="en-SG" w:eastAsia="en-SG"/>
        </w:rPr>
        <w:t xml:space="preserve">thereafter </w:t>
      </w:r>
      <w:r w:rsidRPr="009A03FC">
        <w:rPr>
          <w:spacing w:val="-4"/>
          <w:kern w:val="22"/>
          <w:lang w:val="en-SG" w:eastAsia="en-SG"/>
        </w:rPr>
        <w:t xml:space="preserve">based on the local </w:t>
      </w:r>
      <w:r w:rsidR="00D97A74" w:rsidRPr="009A03FC">
        <w:rPr>
          <w:spacing w:val="-4"/>
          <w:kern w:val="22"/>
          <w:lang w:val="en-SG" w:eastAsia="en-SG"/>
        </w:rPr>
        <w:t>one-</w:t>
      </w:r>
      <w:r w:rsidR="00227089" w:rsidRPr="009A03FC">
        <w:rPr>
          <w:spacing w:val="-4"/>
          <w:kern w:val="22"/>
          <w:lang w:val="en-SG" w:eastAsia="en-SG"/>
        </w:rPr>
        <w:t xml:space="preserve">month or </w:t>
      </w:r>
      <w:r w:rsidR="00D97A74" w:rsidRPr="009A03FC">
        <w:rPr>
          <w:spacing w:val="-4"/>
          <w:kern w:val="22"/>
          <w:lang w:val="en-SG" w:eastAsia="en-SG"/>
        </w:rPr>
        <w:t>three-</w:t>
      </w:r>
      <w:r w:rsidR="00227089" w:rsidRPr="009A03FC">
        <w:rPr>
          <w:spacing w:val="-4"/>
          <w:kern w:val="22"/>
          <w:lang w:val="en-SG" w:eastAsia="en-SG"/>
        </w:rPr>
        <w:t xml:space="preserve">month </w:t>
      </w:r>
      <w:r w:rsidRPr="009A03FC">
        <w:rPr>
          <w:spacing w:val="-4"/>
          <w:kern w:val="22"/>
          <w:lang w:val="en-SG" w:eastAsia="en-SG"/>
        </w:rPr>
        <w:t>Singapore Interbank Offered Rate</w:t>
      </w:r>
      <w:r w:rsidR="00227089" w:rsidRPr="009A03FC">
        <w:rPr>
          <w:spacing w:val="-4"/>
          <w:kern w:val="22"/>
          <w:lang w:val="en-SG" w:eastAsia="en-SG"/>
        </w:rPr>
        <w:t>s</w:t>
      </w:r>
      <w:r w:rsidRPr="009A03FC">
        <w:rPr>
          <w:spacing w:val="-4"/>
          <w:kern w:val="22"/>
          <w:lang w:val="en-SG" w:eastAsia="en-SG"/>
        </w:rPr>
        <w:t xml:space="preserve">. </w:t>
      </w:r>
      <w:r w:rsidR="00901A05" w:rsidRPr="009A03FC">
        <w:rPr>
          <w:spacing w:val="-4"/>
          <w:kern w:val="22"/>
          <w:lang w:val="en-SG" w:eastAsia="en-SG"/>
        </w:rPr>
        <w:t>Since 2015, t</w:t>
      </w:r>
      <w:r w:rsidR="00227089" w:rsidRPr="009A03FC">
        <w:rPr>
          <w:spacing w:val="-4"/>
          <w:kern w:val="22"/>
          <w:lang w:val="en-SG" w:eastAsia="en-SG"/>
        </w:rPr>
        <w:t xml:space="preserve">he </w:t>
      </w:r>
      <w:r w:rsidR="00A56FD9" w:rsidRPr="009A03FC">
        <w:rPr>
          <w:spacing w:val="-4"/>
          <w:kern w:val="22"/>
          <w:lang w:val="en-SG" w:eastAsia="en-SG"/>
        </w:rPr>
        <w:t>one-</w:t>
      </w:r>
      <w:r w:rsidR="004342C6" w:rsidRPr="009A03FC">
        <w:rPr>
          <w:spacing w:val="-4"/>
          <w:kern w:val="22"/>
          <w:lang w:val="en-SG" w:eastAsia="en-SG"/>
        </w:rPr>
        <w:t xml:space="preserve">month and </w:t>
      </w:r>
      <w:r w:rsidR="00A56FD9" w:rsidRPr="009A03FC">
        <w:rPr>
          <w:spacing w:val="-4"/>
          <w:kern w:val="22"/>
          <w:lang w:val="en-SG" w:eastAsia="en-SG"/>
        </w:rPr>
        <w:t>three-</w:t>
      </w:r>
      <w:r w:rsidR="004342C6" w:rsidRPr="009A03FC">
        <w:rPr>
          <w:spacing w:val="-4"/>
          <w:kern w:val="22"/>
          <w:lang w:val="en-SG" w:eastAsia="en-SG"/>
        </w:rPr>
        <w:t xml:space="preserve">month </w:t>
      </w:r>
      <w:r w:rsidR="00227089" w:rsidRPr="009A03FC">
        <w:rPr>
          <w:spacing w:val="-4"/>
          <w:kern w:val="22"/>
          <w:lang w:val="en-SG" w:eastAsia="en-SG"/>
        </w:rPr>
        <w:t>S</w:t>
      </w:r>
      <w:r w:rsidR="00B138A9" w:rsidRPr="009A03FC">
        <w:rPr>
          <w:spacing w:val="-4"/>
          <w:kern w:val="22"/>
          <w:lang w:val="en-SG" w:eastAsia="en-SG"/>
        </w:rPr>
        <w:t xml:space="preserve">ingapore </w:t>
      </w:r>
      <w:r w:rsidR="00227089" w:rsidRPr="009A03FC">
        <w:rPr>
          <w:spacing w:val="-4"/>
          <w:kern w:val="22"/>
          <w:lang w:val="en-SG" w:eastAsia="en-SG"/>
        </w:rPr>
        <w:t>I</w:t>
      </w:r>
      <w:r w:rsidR="00B138A9" w:rsidRPr="009A03FC">
        <w:rPr>
          <w:spacing w:val="-4"/>
          <w:kern w:val="22"/>
          <w:lang w:val="en-SG" w:eastAsia="en-SG"/>
        </w:rPr>
        <w:t xml:space="preserve">nterbank </w:t>
      </w:r>
      <w:r w:rsidR="00227089" w:rsidRPr="009A03FC">
        <w:rPr>
          <w:spacing w:val="-4"/>
          <w:kern w:val="22"/>
          <w:lang w:val="en-SG" w:eastAsia="en-SG"/>
        </w:rPr>
        <w:t>O</w:t>
      </w:r>
      <w:r w:rsidR="00B138A9" w:rsidRPr="009A03FC">
        <w:rPr>
          <w:spacing w:val="-4"/>
          <w:kern w:val="22"/>
          <w:lang w:val="en-SG" w:eastAsia="en-SG"/>
        </w:rPr>
        <w:t xml:space="preserve">ffered </w:t>
      </w:r>
      <w:r w:rsidR="00227089" w:rsidRPr="009A03FC">
        <w:rPr>
          <w:spacing w:val="-4"/>
          <w:kern w:val="22"/>
          <w:lang w:val="en-SG" w:eastAsia="en-SG"/>
        </w:rPr>
        <w:t>R</w:t>
      </w:r>
      <w:r w:rsidR="00B138A9" w:rsidRPr="009A03FC">
        <w:rPr>
          <w:spacing w:val="-4"/>
          <w:kern w:val="22"/>
          <w:lang w:val="en-SG" w:eastAsia="en-SG"/>
        </w:rPr>
        <w:t>ates</w:t>
      </w:r>
      <w:r w:rsidR="00227089" w:rsidRPr="009A03FC">
        <w:rPr>
          <w:spacing w:val="-4"/>
          <w:kern w:val="22"/>
          <w:lang w:val="en-SG" w:eastAsia="en-SG"/>
        </w:rPr>
        <w:t xml:space="preserve"> </w:t>
      </w:r>
      <w:r w:rsidR="00723B4D" w:rsidRPr="009A03FC">
        <w:rPr>
          <w:spacing w:val="-4"/>
          <w:kern w:val="22"/>
          <w:lang w:val="en-SG" w:eastAsia="en-SG"/>
        </w:rPr>
        <w:t>had been</w:t>
      </w:r>
      <w:r w:rsidR="00227089" w:rsidRPr="009A03FC">
        <w:rPr>
          <w:spacing w:val="-4"/>
          <w:kern w:val="22"/>
          <w:lang w:val="en-SG" w:eastAsia="en-SG"/>
        </w:rPr>
        <w:t xml:space="preserve"> increasing</w:t>
      </w:r>
      <w:r w:rsidR="0003451D" w:rsidRPr="009A03FC">
        <w:rPr>
          <w:spacing w:val="-4"/>
          <w:kern w:val="22"/>
          <w:lang w:val="en-SG" w:eastAsia="en-SG"/>
        </w:rPr>
        <w:t xml:space="preserve">. In June 2016, </w:t>
      </w:r>
      <w:r w:rsidR="004342C6" w:rsidRPr="009A03FC">
        <w:rPr>
          <w:spacing w:val="-4"/>
          <w:kern w:val="22"/>
          <w:lang w:val="en-SG" w:eastAsia="en-SG"/>
        </w:rPr>
        <w:t>they stood at 0.76 and 1.00 per</w:t>
      </w:r>
      <w:r w:rsidR="00A56FD9" w:rsidRPr="009A03FC">
        <w:rPr>
          <w:spacing w:val="-4"/>
          <w:kern w:val="22"/>
          <w:lang w:val="en-SG" w:eastAsia="en-SG"/>
        </w:rPr>
        <w:t xml:space="preserve"> </w:t>
      </w:r>
      <w:r w:rsidR="004342C6" w:rsidRPr="009A03FC">
        <w:rPr>
          <w:spacing w:val="-4"/>
          <w:kern w:val="22"/>
          <w:lang w:val="en-SG" w:eastAsia="en-SG"/>
        </w:rPr>
        <w:t xml:space="preserve">cent respectively, more than double the </w:t>
      </w:r>
      <w:r w:rsidR="0003451D" w:rsidRPr="009A03FC">
        <w:rPr>
          <w:spacing w:val="-4"/>
          <w:kern w:val="22"/>
          <w:lang w:val="en-SG" w:eastAsia="en-SG"/>
        </w:rPr>
        <w:t xml:space="preserve">average levels </w:t>
      </w:r>
      <w:r w:rsidR="00C85513" w:rsidRPr="009A03FC">
        <w:rPr>
          <w:spacing w:val="-4"/>
          <w:kern w:val="22"/>
          <w:lang w:val="en-SG" w:eastAsia="en-SG"/>
        </w:rPr>
        <w:t>from 2009 to 2014</w:t>
      </w:r>
      <w:r w:rsidR="004342C6" w:rsidRPr="009A03FC">
        <w:rPr>
          <w:spacing w:val="-4"/>
          <w:kern w:val="22"/>
          <w:lang w:val="en-SG" w:eastAsia="en-SG"/>
        </w:rPr>
        <w:t xml:space="preserve"> at </w:t>
      </w:r>
      <w:r w:rsidR="0003451D" w:rsidRPr="009A03FC">
        <w:rPr>
          <w:spacing w:val="-4"/>
          <w:kern w:val="22"/>
          <w:lang w:val="en-SG" w:eastAsia="en-SG"/>
        </w:rPr>
        <w:t>0.35</w:t>
      </w:r>
      <w:r w:rsidR="004342C6" w:rsidRPr="009A03FC">
        <w:rPr>
          <w:spacing w:val="-4"/>
          <w:kern w:val="22"/>
          <w:lang w:val="en-SG" w:eastAsia="en-SG"/>
        </w:rPr>
        <w:t xml:space="preserve"> and 0.47 per</w:t>
      </w:r>
      <w:r w:rsidR="00DE4808" w:rsidRPr="009A03FC">
        <w:rPr>
          <w:spacing w:val="-4"/>
          <w:kern w:val="22"/>
          <w:lang w:val="en-SG" w:eastAsia="en-SG"/>
        </w:rPr>
        <w:t xml:space="preserve"> </w:t>
      </w:r>
      <w:r w:rsidR="004342C6" w:rsidRPr="009A03FC">
        <w:rPr>
          <w:spacing w:val="-4"/>
          <w:kern w:val="22"/>
          <w:lang w:val="en-SG" w:eastAsia="en-SG"/>
        </w:rPr>
        <w:t>cent</w:t>
      </w:r>
      <w:r w:rsidR="006D70A2" w:rsidRPr="009A03FC">
        <w:rPr>
          <w:spacing w:val="-4"/>
          <w:kern w:val="22"/>
          <w:lang w:val="en-SG" w:eastAsia="en-SG"/>
        </w:rPr>
        <w:t xml:space="preserve"> respectively</w:t>
      </w:r>
      <w:r w:rsidR="009A03FC" w:rsidRPr="009A03FC">
        <w:rPr>
          <w:spacing w:val="-4"/>
          <w:kern w:val="22"/>
          <w:lang w:val="en-SG" w:eastAsia="en-SG"/>
        </w:rPr>
        <w:t xml:space="preserve"> (see Exhibit </w:t>
      </w:r>
      <w:r w:rsidR="00901A05" w:rsidRPr="009A03FC">
        <w:rPr>
          <w:spacing w:val="-4"/>
          <w:kern w:val="22"/>
          <w:lang w:val="en-SG" w:eastAsia="en-SG"/>
        </w:rPr>
        <w:t>5)</w:t>
      </w:r>
      <w:r w:rsidR="00227089" w:rsidRPr="009A03FC">
        <w:rPr>
          <w:spacing w:val="-4"/>
          <w:kern w:val="22"/>
          <w:lang w:val="en-SG" w:eastAsia="en-SG"/>
        </w:rPr>
        <w:t>.</w:t>
      </w:r>
    </w:p>
    <w:p w14:paraId="1B2948A4" w14:textId="77777777" w:rsidR="0084377F" w:rsidRPr="00F33E1E" w:rsidRDefault="0084377F" w:rsidP="00D04358">
      <w:pPr>
        <w:pStyle w:val="BodyTextMain"/>
        <w:rPr>
          <w:lang w:val="en-SG" w:eastAsia="en-SG"/>
        </w:rPr>
      </w:pPr>
    </w:p>
    <w:p w14:paraId="19D48682" w14:textId="77777777" w:rsidR="0084377F" w:rsidRPr="00F33E1E" w:rsidRDefault="0084377F" w:rsidP="00D04358">
      <w:pPr>
        <w:pStyle w:val="BodyTextMain"/>
        <w:rPr>
          <w:lang w:val="en-SG" w:eastAsia="en-SG"/>
        </w:rPr>
      </w:pPr>
    </w:p>
    <w:p w14:paraId="0938F548" w14:textId="77777777" w:rsidR="004D5B6A" w:rsidRPr="00F33E1E" w:rsidRDefault="004D5B6A" w:rsidP="00096D5B">
      <w:pPr>
        <w:pStyle w:val="Casehead1"/>
        <w:rPr>
          <w:lang w:val="en-CA"/>
        </w:rPr>
      </w:pPr>
      <w:r w:rsidRPr="00F33E1E">
        <w:rPr>
          <w:lang w:val="en-CA"/>
        </w:rPr>
        <w:t>possible scenarios</w:t>
      </w:r>
    </w:p>
    <w:p w14:paraId="69268CA4" w14:textId="77777777" w:rsidR="00227089" w:rsidRPr="00F33E1E" w:rsidRDefault="00227089" w:rsidP="00D04358">
      <w:pPr>
        <w:pStyle w:val="BodyTextMain"/>
        <w:rPr>
          <w:lang w:val="en-SG"/>
        </w:rPr>
      </w:pPr>
    </w:p>
    <w:p w14:paraId="5720DAAE" w14:textId="33BC7F2B" w:rsidR="00374E48" w:rsidRPr="00F33E1E" w:rsidRDefault="003104AC" w:rsidP="00D04358">
      <w:pPr>
        <w:pStyle w:val="BodyTextMain"/>
        <w:rPr>
          <w:lang w:val="en-SG" w:eastAsia="en-SG"/>
        </w:rPr>
      </w:pPr>
      <w:r w:rsidRPr="00F33E1E">
        <w:rPr>
          <w:lang w:val="en-SG" w:eastAsia="en-SG"/>
        </w:rPr>
        <w:t xml:space="preserve">The </w:t>
      </w:r>
      <w:proofErr w:type="spellStart"/>
      <w:r w:rsidR="00DA7F62" w:rsidRPr="00F33E1E">
        <w:rPr>
          <w:lang w:val="en-SG" w:eastAsia="en-SG"/>
        </w:rPr>
        <w:t>Wong</w:t>
      </w:r>
      <w:r w:rsidRPr="00F33E1E">
        <w:rPr>
          <w:lang w:val="en-SG" w:eastAsia="en-SG"/>
        </w:rPr>
        <w:t>s</w:t>
      </w:r>
      <w:proofErr w:type="spellEnd"/>
      <w:r w:rsidRPr="00F33E1E">
        <w:rPr>
          <w:lang w:val="en-SG" w:eastAsia="en-SG"/>
        </w:rPr>
        <w:t xml:space="preserve"> </w:t>
      </w:r>
      <w:r w:rsidR="007D2CA7">
        <w:rPr>
          <w:lang w:val="en-SG" w:eastAsia="en-SG"/>
        </w:rPr>
        <w:t>had been advised</w:t>
      </w:r>
      <w:r w:rsidRPr="00F33E1E">
        <w:rPr>
          <w:lang w:val="en-SG" w:eastAsia="en-SG"/>
        </w:rPr>
        <w:t xml:space="preserve"> that if they were buying to stay, it did not matter when they enter</w:t>
      </w:r>
      <w:r w:rsidR="00A56FD9" w:rsidRPr="00F33E1E">
        <w:rPr>
          <w:lang w:val="en-SG" w:eastAsia="en-SG"/>
        </w:rPr>
        <w:t>ed</w:t>
      </w:r>
      <w:r w:rsidRPr="00F33E1E">
        <w:rPr>
          <w:lang w:val="en-SG" w:eastAsia="en-SG"/>
        </w:rPr>
        <w:t xml:space="preserve"> the market. This sounded </w:t>
      </w:r>
      <w:r w:rsidR="00D55A31" w:rsidRPr="00F33E1E">
        <w:rPr>
          <w:lang w:val="en-SG" w:eastAsia="en-SG"/>
        </w:rPr>
        <w:t xml:space="preserve">rather </w:t>
      </w:r>
      <w:r w:rsidRPr="00F33E1E">
        <w:rPr>
          <w:lang w:val="en-SG" w:eastAsia="en-SG"/>
        </w:rPr>
        <w:t xml:space="preserve">counterintuitive to them. How could it not matter if they had to </w:t>
      </w:r>
      <w:r w:rsidR="00A56FD9" w:rsidRPr="00F33E1E">
        <w:rPr>
          <w:lang w:val="en-SG" w:eastAsia="en-SG"/>
        </w:rPr>
        <w:t>put</w:t>
      </w:r>
      <w:r w:rsidRPr="00F33E1E">
        <w:rPr>
          <w:lang w:val="en-SG" w:eastAsia="en-SG"/>
        </w:rPr>
        <w:t xml:space="preserve"> out more money? </w:t>
      </w:r>
      <w:r w:rsidR="00D0736B" w:rsidRPr="00F33E1E">
        <w:rPr>
          <w:lang w:val="en-SG" w:eastAsia="en-SG"/>
        </w:rPr>
        <w:t xml:space="preserve">It would definitely affect the size of their gains/losses if they were to sell </w:t>
      </w:r>
      <w:r w:rsidR="00D55A31" w:rsidRPr="00F33E1E">
        <w:rPr>
          <w:lang w:val="en-SG" w:eastAsia="en-SG"/>
        </w:rPr>
        <w:t>the property in</w:t>
      </w:r>
      <w:r w:rsidR="00D0736B" w:rsidRPr="00F33E1E">
        <w:rPr>
          <w:lang w:val="en-SG" w:eastAsia="en-SG"/>
        </w:rPr>
        <w:t>, say</w:t>
      </w:r>
      <w:r w:rsidR="00A56FD9" w:rsidRPr="00F33E1E">
        <w:rPr>
          <w:lang w:val="en-SG" w:eastAsia="en-SG"/>
        </w:rPr>
        <w:t>,</w:t>
      </w:r>
      <w:r w:rsidR="00D55A31" w:rsidRPr="00F33E1E">
        <w:rPr>
          <w:lang w:val="en-SG" w:eastAsia="en-SG"/>
        </w:rPr>
        <w:t xml:space="preserve"> 10 years</w:t>
      </w:r>
      <w:r w:rsidR="00D0736B" w:rsidRPr="00F33E1E">
        <w:rPr>
          <w:lang w:val="en-SG" w:eastAsia="en-SG"/>
        </w:rPr>
        <w:t>’ time</w:t>
      </w:r>
      <w:r w:rsidR="003B606A" w:rsidRPr="00F33E1E">
        <w:rPr>
          <w:lang w:val="en-SG" w:eastAsia="en-SG"/>
        </w:rPr>
        <w:t>.</w:t>
      </w:r>
      <w:r w:rsidR="00F33E1E">
        <w:rPr>
          <w:lang w:val="en-SG" w:eastAsia="en-SG"/>
        </w:rPr>
        <w:t xml:space="preserve"> </w:t>
      </w:r>
      <w:r w:rsidRPr="00F33E1E">
        <w:rPr>
          <w:lang w:val="en-SG" w:eastAsia="en-SG"/>
        </w:rPr>
        <w:t>They decided to conduct a</w:t>
      </w:r>
      <w:r w:rsidR="00DA7F62" w:rsidRPr="00F33E1E">
        <w:rPr>
          <w:lang w:val="en-SG" w:eastAsia="en-SG"/>
        </w:rPr>
        <w:t>n</w:t>
      </w:r>
      <w:r w:rsidRPr="00F33E1E">
        <w:rPr>
          <w:lang w:val="en-SG" w:eastAsia="en-SG"/>
        </w:rPr>
        <w:t xml:space="preserve"> analysis </w:t>
      </w:r>
      <w:r w:rsidR="00F57737" w:rsidRPr="00F33E1E">
        <w:rPr>
          <w:lang w:val="en-SG" w:eastAsia="en-SG"/>
        </w:rPr>
        <w:t>o</w:t>
      </w:r>
      <w:r w:rsidR="00A56FD9" w:rsidRPr="00F33E1E">
        <w:rPr>
          <w:lang w:val="en-SG" w:eastAsia="en-SG"/>
        </w:rPr>
        <w:t>f</w:t>
      </w:r>
      <w:r w:rsidR="00F57737" w:rsidRPr="00F33E1E">
        <w:rPr>
          <w:lang w:val="en-SG" w:eastAsia="en-SG"/>
        </w:rPr>
        <w:t xml:space="preserve"> the net gain or loss </w:t>
      </w:r>
      <w:r w:rsidR="00DA7F62" w:rsidRPr="00F33E1E">
        <w:rPr>
          <w:lang w:val="en-SG" w:eastAsia="en-SG"/>
        </w:rPr>
        <w:t xml:space="preserve">on the purchase </w:t>
      </w:r>
      <w:r w:rsidRPr="00F33E1E">
        <w:rPr>
          <w:lang w:val="en-SG" w:eastAsia="en-SG"/>
        </w:rPr>
        <w:t xml:space="preserve">based on several </w:t>
      </w:r>
      <w:r w:rsidR="00DA7F62" w:rsidRPr="00F33E1E">
        <w:rPr>
          <w:lang w:val="en-SG" w:eastAsia="en-SG"/>
        </w:rPr>
        <w:t>scenarios</w:t>
      </w:r>
      <w:r w:rsidR="00000CF1" w:rsidRPr="00F33E1E">
        <w:rPr>
          <w:lang w:val="en-SG" w:eastAsia="en-SG"/>
        </w:rPr>
        <w:t>:</w:t>
      </w:r>
      <w:r w:rsidR="00F57737" w:rsidRPr="00F33E1E">
        <w:rPr>
          <w:lang w:val="en-SG" w:eastAsia="en-SG"/>
        </w:rPr>
        <w:t xml:space="preserve"> </w:t>
      </w:r>
    </w:p>
    <w:p w14:paraId="227230F6" w14:textId="77777777" w:rsidR="00374E48" w:rsidRPr="00F33E1E" w:rsidRDefault="00374E48" w:rsidP="00D04358">
      <w:pPr>
        <w:pStyle w:val="BodyTextMain"/>
        <w:rPr>
          <w:lang w:val="en-SG" w:eastAsia="en-SG"/>
        </w:rPr>
      </w:pPr>
    </w:p>
    <w:p w14:paraId="11CD1F7E" w14:textId="1943FE26" w:rsidR="00374E48" w:rsidRPr="00F33E1E" w:rsidRDefault="00F57737" w:rsidP="00D04358">
      <w:pPr>
        <w:pStyle w:val="BodyTextMain"/>
        <w:numPr>
          <w:ilvl w:val="0"/>
          <w:numId w:val="21"/>
        </w:numPr>
        <w:rPr>
          <w:lang w:val="en-SG" w:eastAsia="en-SG"/>
        </w:rPr>
      </w:pPr>
      <w:r w:rsidRPr="00F33E1E">
        <w:rPr>
          <w:lang w:val="en-SG"/>
        </w:rPr>
        <w:lastRenderedPageBreak/>
        <w:t xml:space="preserve">In </w:t>
      </w:r>
      <w:r w:rsidR="00796A89" w:rsidRPr="00F33E1E">
        <w:rPr>
          <w:lang w:val="en-SG"/>
        </w:rPr>
        <w:t>s</w:t>
      </w:r>
      <w:r w:rsidRPr="00F33E1E">
        <w:rPr>
          <w:lang w:val="en-SG"/>
        </w:rPr>
        <w:t>cenario</w:t>
      </w:r>
      <w:r w:rsidR="00723B4D" w:rsidRPr="00F33E1E">
        <w:rPr>
          <w:lang w:val="en-SG"/>
        </w:rPr>
        <w:t xml:space="preserve"> 1</w:t>
      </w:r>
      <w:r w:rsidRPr="00F33E1E">
        <w:rPr>
          <w:lang w:val="en-SG"/>
        </w:rPr>
        <w:t xml:space="preserve">, the </w:t>
      </w:r>
      <w:r w:rsidR="00DA7F62" w:rsidRPr="00F33E1E">
        <w:rPr>
          <w:lang w:val="en-SG"/>
        </w:rPr>
        <w:t xml:space="preserve">selling </w:t>
      </w:r>
      <w:r w:rsidRPr="00F33E1E">
        <w:rPr>
          <w:lang w:val="en-SG"/>
        </w:rPr>
        <w:t xml:space="preserve">price of the condominium unit </w:t>
      </w:r>
      <w:r w:rsidR="00386D84" w:rsidRPr="00F33E1E">
        <w:rPr>
          <w:lang w:val="en-SG" w:eastAsia="en-SG"/>
        </w:rPr>
        <w:t>remain</w:t>
      </w:r>
      <w:r w:rsidR="00D847FB" w:rsidRPr="00F33E1E">
        <w:rPr>
          <w:lang w:val="en-SG" w:eastAsia="en-SG"/>
        </w:rPr>
        <w:t>ed</w:t>
      </w:r>
      <w:r w:rsidR="00386D84" w:rsidRPr="00F33E1E">
        <w:rPr>
          <w:lang w:val="en-SG"/>
        </w:rPr>
        <w:t xml:space="preserve"> unchanged at $1</w:t>
      </w:r>
      <w:r w:rsidR="00D847FB" w:rsidRPr="00F33E1E">
        <w:rPr>
          <w:lang w:val="en-SG"/>
        </w:rPr>
        <w:t>.5</w:t>
      </w:r>
      <w:r w:rsidR="00386D84" w:rsidRPr="00F33E1E">
        <w:rPr>
          <w:lang w:val="en-SG"/>
        </w:rPr>
        <w:t xml:space="preserve"> million</w:t>
      </w:r>
      <w:r w:rsidR="009105AC" w:rsidRPr="00F33E1E">
        <w:rPr>
          <w:lang w:val="en-SG"/>
        </w:rPr>
        <w:t xml:space="preserve"> at the end of 10 years</w:t>
      </w:r>
      <w:r w:rsidR="00D0736B" w:rsidRPr="00F33E1E">
        <w:rPr>
          <w:lang w:val="en-SG"/>
        </w:rPr>
        <w:t>.</w:t>
      </w:r>
      <w:r w:rsidRPr="00F33E1E">
        <w:rPr>
          <w:lang w:val="en-SG"/>
        </w:rPr>
        <w:t xml:space="preserve"> </w:t>
      </w:r>
    </w:p>
    <w:p w14:paraId="053DDB40" w14:textId="6079A92E" w:rsidR="00000CF1" w:rsidRPr="00F33E1E" w:rsidRDefault="00F57737" w:rsidP="00D04358">
      <w:pPr>
        <w:pStyle w:val="BodyTextMain"/>
        <w:numPr>
          <w:ilvl w:val="0"/>
          <w:numId w:val="21"/>
        </w:numPr>
        <w:rPr>
          <w:lang w:val="en-SG" w:eastAsia="en-SG"/>
        </w:rPr>
      </w:pPr>
      <w:r w:rsidRPr="00F33E1E">
        <w:rPr>
          <w:lang w:val="en-SG"/>
        </w:rPr>
        <w:t xml:space="preserve">In </w:t>
      </w:r>
      <w:r w:rsidR="00796A89" w:rsidRPr="00F33E1E">
        <w:rPr>
          <w:lang w:val="en-SG"/>
        </w:rPr>
        <w:t>s</w:t>
      </w:r>
      <w:r w:rsidRPr="00F33E1E">
        <w:rPr>
          <w:lang w:val="en-SG"/>
        </w:rPr>
        <w:t>cenario</w:t>
      </w:r>
      <w:r w:rsidR="00723B4D" w:rsidRPr="00F33E1E">
        <w:rPr>
          <w:lang w:val="en-SG"/>
        </w:rPr>
        <w:t xml:space="preserve"> 2</w:t>
      </w:r>
      <w:r w:rsidRPr="00F33E1E">
        <w:rPr>
          <w:lang w:val="en-SG"/>
        </w:rPr>
        <w:t xml:space="preserve">, the </w:t>
      </w:r>
      <w:r w:rsidR="00DA7F62" w:rsidRPr="00F33E1E">
        <w:rPr>
          <w:lang w:val="en-SG"/>
        </w:rPr>
        <w:t xml:space="preserve">selling </w:t>
      </w:r>
      <w:r w:rsidRPr="00F33E1E">
        <w:rPr>
          <w:lang w:val="en-SG"/>
        </w:rPr>
        <w:t>price</w:t>
      </w:r>
      <w:r w:rsidR="00386D84" w:rsidRPr="00F33E1E">
        <w:rPr>
          <w:lang w:val="en-SG"/>
        </w:rPr>
        <w:t xml:space="preserve"> was up </w:t>
      </w:r>
      <w:r w:rsidR="00122D3D" w:rsidRPr="00F33E1E">
        <w:rPr>
          <w:lang w:val="en-SG"/>
        </w:rPr>
        <w:t>1</w:t>
      </w:r>
      <w:r w:rsidR="00386D84" w:rsidRPr="00F33E1E">
        <w:rPr>
          <w:lang w:val="en-SG"/>
        </w:rPr>
        <w:t>0 per cent</w:t>
      </w:r>
      <w:r w:rsidR="00000CF1" w:rsidRPr="00F33E1E">
        <w:rPr>
          <w:lang w:val="en-SG" w:eastAsia="en-SG"/>
        </w:rPr>
        <w:t>.</w:t>
      </w:r>
    </w:p>
    <w:p w14:paraId="3110DBC0" w14:textId="365C3E73" w:rsidR="00000CF1" w:rsidRPr="00F33E1E" w:rsidRDefault="00000CF1" w:rsidP="00D04358">
      <w:pPr>
        <w:pStyle w:val="BodyTextMain"/>
        <w:numPr>
          <w:ilvl w:val="0"/>
          <w:numId w:val="21"/>
        </w:numPr>
        <w:rPr>
          <w:lang w:val="en-SG" w:eastAsia="en-SG"/>
        </w:rPr>
      </w:pPr>
      <w:r w:rsidRPr="00F33E1E">
        <w:rPr>
          <w:lang w:val="en-SG" w:eastAsia="en-SG"/>
        </w:rPr>
        <w:t>I</w:t>
      </w:r>
      <w:r w:rsidR="00F57737" w:rsidRPr="00F33E1E">
        <w:rPr>
          <w:lang w:val="en-SG" w:eastAsia="en-SG"/>
        </w:rPr>
        <w:t>n</w:t>
      </w:r>
      <w:r w:rsidR="00F57737" w:rsidRPr="00F33E1E">
        <w:rPr>
          <w:lang w:val="en-SG"/>
        </w:rPr>
        <w:t xml:space="preserve"> </w:t>
      </w:r>
      <w:r w:rsidR="00796A89" w:rsidRPr="00F33E1E">
        <w:rPr>
          <w:lang w:val="en-SG"/>
        </w:rPr>
        <w:t>s</w:t>
      </w:r>
      <w:r w:rsidR="00F57737" w:rsidRPr="00F33E1E">
        <w:rPr>
          <w:lang w:val="en-SG"/>
        </w:rPr>
        <w:t>cenario</w:t>
      </w:r>
      <w:r w:rsidR="00723B4D" w:rsidRPr="00F33E1E">
        <w:rPr>
          <w:lang w:val="en-SG"/>
        </w:rPr>
        <w:t xml:space="preserve"> 3</w:t>
      </w:r>
      <w:r w:rsidR="00F57737" w:rsidRPr="00F33E1E">
        <w:rPr>
          <w:lang w:val="en-SG"/>
        </w:rPr>
        <w:t xml:space="preserve">, </w:t>
      </w:r>
      <w:r w:rsidR="00386D84" w:rsidRPr="00F33E1E">
        <w:rPr>
          <w:lang w:val="en-SG"/>
        </w:rPr>
        <w:t xml:space="preserve">both </w:t>
      </w:r>
      <w:r w:rsidR="00F57737" w:rsidRPr="00F33E1E">
        <w:rPr>
          <w:lang w:val="en-SG"/>
        </w:rPr>
        <w:t xml:space="preserve">the </w:t>
      </w:r>
      <w:r w:rsidR="00386D84" w:rsidRPr="00F33E1E">
        <w:rPr>
          <w:lang w:val="en-SG"/>
        </w:rPr>
        <w:t xml:space="preserve">rent and the selling price increased by </w:t>
      </w:r>
      <w:r w:rsidR="0090009E" w:rsidRPr="00F33E1E">
        <w:rPr>
          <w:lang w:val="en-SG"/>
        </w:rPr>
        <w:t>0.</w:t>
      </w:r>
      <w:r w:rsidR="00122D3D" w:rsidRPr="00F33E1E">
        <w:rPr>
          <w:lang w:val="en-SG"/>
        </w:rPr>
        <w:t>15</w:t>
      </w:r>
      <w:r w:rsidR="00386D84" w:rsidRPr="00F33E1E">
        <w:rPr>
          <w:lang w:val="en-SG"/>
        </w:rPr>
        <w:t xml:space="preserve"> per cent per </w:t>
      </w:r>
      <w:r w:rsidR="0090009E" w:rsidRPr="00F33E1E">
        <w:rPr>
          <w:lang w:val="en-SG"/>
        </w:rPr>
        <w:t xml:space="preserve">month </w:t>
      </w:r>
      <w:r w:rsidR="00386D84" w:rsidRPr="00F33E1E">
        <w:rPr>
          <w:lang w:val="en-SG"/>
        </w:rPr>
        <w:t>for the next 10 years</w:t>
      </w:r>
      <w:r w:rsidR="00F57737" w:rsidRPr="00F33E1E">
        <w:rPr>
          <w:lang w:val="en-SG"/>
        </w:rPr>
        <w:t>.</w:t>
      </w:r>
      <w:r w:rsidR="00801390" w:rsidRPr="00F33E1E">
        <w:rPr>
          <w:lang w:val="en-SG"/>
        </w:rPr>
        <w:t xml:space="preserve"> </w:t>
      </w:r>
    </w:p>
    <w:p w14:paraId="6ECB22BF" w14:textId="594CED1A" w:rsidR="00F746ED" w:rsidRPr="00F33E1E" w:rsidRDefault="00F746ED" w:rsidP="00D04358">
      <w:pPr>
        <w:pStyle w:val="BodyTextMain"/>
        <w:numPr>
          <w:ilvl w:val="0"/>
          <w:numId w:val="21"/>
        </w:numPr>
        <w:rPr>
          <w:lang w:val="en-SG" w:eastAsia="en-SG"/>
        </w:rPr>
      </w:pPr>
      <w:r w:rsidRPr="00F33E1E">
        <w:rPr>
          <w:lang w:val="en-SG" w:eastAsia="en-SG"/>
        </w:rPr>
        <w:t xml:space="preserve">In </w:t>
      </w:r>
      <w:r w:rsidR="00796A89" w:rsidRPr="00F33E1E">
        <w:rPr>
          <w:lang w:val="en-SG" w:eastAsia="en-SG"/>
        </w:rPr>
        <w:t>s</w:t>
      </w:r>
      <w:r w:rsidRPr="00F33E1E">
        <w:rPr>
          <w:lang w:val="en-SG" w:eastAsia="en-SG"/>
        </w:rPr>
        <w:t>cenario</w:t>
      </w:r>
      <w:r w:rsidR="00723B4D" w:rsidRPr="00F33E1E">
        <w:rPr>
          <w:lang w:val="en-SG" w:eastAsia="en-SG"/>
        </w:rPr>
        <w:t xml:space="preserve"> 4</w:t>
      </w:r>
      <w:r w:rsidRPr="00F33E1E">
        <w:rPr>
          <w:lang w:val="en-SG" w:eastAsia="en-SG"/>
        </w:rPr>
        <w:t xml:space="preserve">, the </w:t>
      </w:r>
      <w:r w:rsidR="00282AEC" w:rsidRPr="00F33E1E">
        <w:rPr>
          <w:lang w:val="en-SG" w:eastAsia="en-SG"/>
        </w:rPr>
        <w:t xml:space="preserve">annual </w:t>
      </w:r>
      <w:r w:rsidR="008A1F3F" w:rsidRPr="00F33E1E">
        <w:rPr>
          <w:lang w:val="en-SG" w:eastAsia="en-SG"/>
        </w:rPr>
        <w:t>mortgage rate w</w:t>
      </w:r>
      <w:r w:rsidR="00A56FD9" w:rsidRPr="00F33E1E">
        <w:rPr>
          <w:lang w:val="en-SG" w:eastAsia="en-SG"/>
        </w:rPr>
        <w:t>ould</w:t>
      </w:r>
      <w:r w:rsidR="008A1F3F" w:rsidRPr="00F33E1E">
        <w:rPr>
          <w:lang w:val="en-SG" w:eastAsia="en-SG"/>
        </w:rPr>
        <w:t xml:space="preserve"> be</w:t>
      </w:r>
      <w:r w:rsidRPr="00F33E1E">
        <w:rPr>
          <w:lang w:val="en-SG" w:eastAsia="en-SG"/>
        </w:rPr>
        <w:t xml:space="preserve"> </w:t>
      </w:r>
      <w:r w:rsidR="00C85513" w:rsidRPr="00F33E1E">
        <w:rPr>
          <w:lang w:val="en-SG" w:eastAsia="en-SG"/>
        </w:rPr>
        <w:t>increased</w:t>
      </w:r>
      <w:r w:rsidRPr="00F33E1E">
        <w:rPr>
          <w:lang w:val="en-SG" w:eastAsia="en-SG"/>
        </w:rPr>
        <w:t xml:space="preserve"> by </w:t>
      </w:r>
      <w:r w:rsidR="006B3B74" w:rsidRPr="00F33E1E">
        <w:rPr>
          <w:lang w:val="en-SG" w:eastAsia="en-SG"/>
        </w:rPr>
        <w:t xml:space="preserve">0.5 per cent </w:t>
      </w:r>
      <w:r w:rsidRPr="00F33E1E">
        <w:rPr>
          <w:lang w:val="en-SG" w:eastAsia="en-SG"/>
        </w:rPr>
        <w:t>f</w:t>
      </w:r>
      <w:r w:rsidR="008A1F3F" w:rsidRPr="00F33E1E">
        <w:rPr>
          <w:lang w:val="en-SG" w:eastAsia="en-SG"/>
        </w:rPr>
        <w:t>rom the first year onward and w</w:t>
      </w:r>
      <w:r w:rsidR="00A56FD9" w:rsidRPr="00F33E1E">
        <w:rPr>
          <w:lang w:val="en-SG" w:eastAsia="en-SG"/>
        </w:rPr>
        <w:t>ould</w:t>
      </w:r>
      <w:r w:rsidR="008A1F3F" w:rsidRPr="00F33E1E">
        <w:rPr>
          <w:lang w:val="en-SG" w:eastAsia="en-SG"/>
        </w:rPr>
        <w:t xml:space="preserve"> be constant for t</w:t>
      </w:r>
      <w:r w:rsidRPr="00F33E1E">
        <w:rPr>
          <w:lang w:val="en-SG" w:eastAsia="en-SG"/>
        </w:rPr>
        <w:t xml:space="preserve">he next 10 years. </w:t>
      </w:r>
    </w:p>
    <w:p w14:paraId="0200FCF7" w14:textId="77777777" w:rsidR="00000CF1" w:rsidRPr="00F33E1E" w:rsidRDefault="00000CF1" w:rsidP="00D04358">
      <w:pPr>
        <w:pStyle w:val="BodyTextMain"/>
        <w:rPr>
          <w:lang w:val="en-SG" w:eastAsia="en-SG"/>
        </w:rPr>
      </w:pPr>
    </w:p>
    <w:p w14:paraId="7AF541B4" w14:textId="3458D23A" w:rsidR="003104AC" w:rsidRPr="00F33E1E" w:rsidRDefault="00801390" w:rsidP="00D04358">
      <w:pPr>
        <w:pStyle w:val="BodyTextMain"/>
        <w:rPr>
          <w:lang w:val="en-SG" w:eastAsia="en-SG"/>
        </w:rPr>
      </w:pPr>
      <w:r w:rsidRPr="00F33E1E">
        <w:rPr>
          <w:lang w:val="en-SG" w:eastAsia="en-SG"/>
        </w:rPr>
        <w:t>For their analysis, they assumed that when they eventually s</w:t>
      </w:r>
      <w:r w:rsidR="00A56FD9" w:rsidRPr="00F33E1E">
        <w:rPr>
          <w:lang w:val="en-SG" w:eastAsia="en-SG"/>
        </w:rPr>
        <w:t>old</w:t>
      </w:r>
      <w:r w:rsidRPr="00F33E1E">
        <w:rPr>
          <w:lang w:val="en-SG" w:eastAsia="en-SG"/>
        </w:rPr>
        <w:t xml:space="preserve"> the condominium unit they would</w:t>
      </w:r>
      <w:r w:rsidR="00EF12EC" w:rsidRPr="00F33E1E">
        <w:rPr>
          <w:lang w:val="en-SG" w:eastAsia="en-SG"/>
        </w:rPr>
        <w:t xml:space="preserve"> need to pay the </w:t>
      </w:r>
      <w:r w:rsidR="00EF12EC" w:rsidRPr="00F33E1E">
        <w:t xml:space="preserve">principal </w:t>
      </w:r>
      <w:r w:rsidR="003B606A" w:rsidRPr="00F33E1E">
        <w:t xml:space="preserve">still </w:t>
      </w:r>
      <w:r w:rsidR="00EF12EC" w:rsidRPr="00F33E1E">
        <w:t xml:space="preserve">outstanding on the </w:t>
      </w:r>
      <w:r w:rsidR="007B3B3F" w:rsidRPr="00F33E1E">
        <w:t>loan</w:t>
      </w:r>
      <w:r w:rsidR="00EF12EC" w:rsidRPr="00F33E1E">
        <w:t xml:space="preserve"> and </w:t>
      </w:r>
      <w:r w:rsidR="00723B4D" w:rsidRPr="00F33E1E">
        <w:t xml:space="preserve">a </w:t>
      </w:r>
      <w:r w:rsidRPr="00F33E1E">
        <w:rPr>
          <w:lang w:val="en-SG" w:eastAsia="en-SG"/>
        </w:rPr>
        <w:t>1</w:t>
      </w:r>
      <w:r w:rsidR="00A56FD9" w:rsidRPr="00F33E1E">
        <w:rPr>
          <w:lang w:val="en-SG" w:eastAsia="en-SG"/>
        </w:rPr>
        <w:t>.00</w:t>
      </w:r>
      <w:r w:rsidRPr="00F33E1E">
        <w:rPr>
          <w:lang w:val="en-SG" w:eastAsia="en-SG"/>
        </w:rPr>
        <w:t xml:space="preserve"> per cent agent fee</w:t>
      </w:r>
      <w:r w:rsidR="00EF12EC" w:rsidRPr="00F33E1E">
        <w:rPr>
          <w:lang w:val="en-SG" w:eastAsia="en-SG"/>
        </w:rPr>
        <w:t xml:space="preserve"> on the selling price. </w:t>
      </w:r>
    </w:p>
    <w:p w14:paraId="2DE69C84" w14:textId="77777777" w:rsidR="0019515A" w:rsidRPr="00F33E1E" w:rsidRDefault="0019515A" w:rsidP="00D04358">
      <w:pPr>
        <w:pStyle w:val="BodyTextMain"/>
        <w:rPr>
          <w:lang w:val="en-SG" w:eastAsia="en-SG"/>
        </w:rPr>
      </w:pPr>
    </w:p>
    <w:p w14:paraId="030F43C1" w14:textId="77777777" w:rsidR="0010235E" w:rsidRPr="00F33E1E" w:rsidRDefault="0010235E" w:rsidP="00D04358">
      <w:pPr>
        <w:pStyle w:val="BodyTextMain"/>
        <w:rPr>
          <w:lang w:val="en-SG" w:eastAsia="en-SG"/>
        </w:rPr>
      </w:pPr>
    </w:p>
    <w:p w14:paraId="7BA707BF" w14:textId="77777777" w:rsidR="00DF675E" w:rsidRPr="00F33E1E" w:rsidRDefault="00F57737" w:rsidP="00DF675E">
      <w:pPr>
        <w:pStyle w:val="Casehead1"/>
        <w:rPr>
          <w:lang w:val="en-CA"/>
        </w:rPr>
      </w:pPr>
      <w:r w:rsidRPr="00F33E1E">
        <w:rPr>
          <w:lang w:val="en-CA"/>
        </w:rPr>
        <w:t>other considerations</w:t>
      </w:r>
    </w:p>
    <w:p w14:paraId="51E112EA" w14:textId="77777777" w:rsidR="0019515A" w:rsidRPr="00F33E1E" w:rsidRDefault="0019515A" w:rsidP="00D04358">
      <w:pPr>
        <w:pStyle w:val="BodyTextMain"/>
        <w:rPr>
          <w:lang w:val="en-CA"/>
        </w:rPr>
      </w:pPr>
    </w:p>
    <w:p w14:paraId="429F7466" w14:textId="77777777" w:rsidR="00AF00E9" w:rsidRPr="00F33E1E" w:rsidRDefault="006A2075" w:rsidP="00D04358">
      <w:pPr>
        <w:pStyle w:val="BodyTextMain"/>
        <w:rPr>
          <w:lang w:val="en-CA"/>
        </w:rPr>
      </w:pPr>
      <w:r w:rsidRPr="00F33E1E">
        <w:rPr>
          <w:lang w:val="en-CA"/>
        </w:rPr>
        <w:t>Th</w:t>
      </w:r>
      <w:r w:rsidR="00DA7F62" w:rsidRPr="00F33E1E">
        <w:rPr>
          <w:lang w:val="en-CA"/>
        </w:rPr>
        <w:t xml:space="preserve">e property purchase </w:t>
      </w:r>
      <w:r w:rsidRPr="00F33E1E">
        <w:rPr>
          <w:lang w:val="en-CA"/>
        </w:rPr>
        <w:t>w</w:t>
      </w:r>
      <w:r w:rsidR="009105AC" w:rsidRPr="00F33E1E">
        <w:rPr>
          <w:lang w:val="en-CA"/>
        </w:rPr>
        <w:t xml:space="preserve">ould be </w:t>
      </w:r>
      <w:r w:rsidRPr="00F33E1E">
        <w:rPr>
          <w:lang w:val="en-CA"/>
        </w:rPr>
        <w:t xml:space="preserve">a huge investment </w:t>
      </w:r>
      <w:r w:rsidR="009105AC" w:rsidRPr="00F33E1E">
        <w:rPr>
          <w:lang w:val="en-CA"/>
        </w:rPr>
        <w:t>f</w:t>
      </w:r>
      <w:r w:rsidRPr="00F33E1E">
        <w:rPr>
          <w:lang w:val="en-CA"/>
        </w:rPr>
        <w:t xml:space="preserve">or the </w:t>
      </w:r>
      <w:proofErr w:type="spellStart"/>
      <w:r w:rsidR="00DA7F62" w:rsidRPr="00F33E1E">
        <w:rPr>
          <w:lang w:val="en-CA"/>
        </w:rPr>
        <w:t>Wong</w:t>
      </w:r>
      <w:r w:rsidRPr="00F33E1E">
        <w:rPr>
          <w:lang w:val="en-CA"/>
        </w:rPr>
        <w:t>s</w:t>
      </w:r>
      <w:proofErr w:type="spellEnd"/>
      <w:r w:rsidRPr="00F33E1E">
        <w:rPr>
          <w:lang w:val="en-CA"/>
        </w:rPr>
        <w:t xml:space="preserve">. </w:t>
      </w:r>
      <w:r w:rsidR="009A7592" w:rsidRPr="00F33E1E">
        <w:rPr>
          <w:lang w:val="en-CA"/>
        </w:rPr>
        <w:t>Mrs</w:t>
      </w:r>
      <w:r w:rsidR="004620C4" w:rsidRPr="00F33E1E">
        <w:rPr>
          <w:lang w:val="en-CA"/>
        </w:rPr>
        <w:t>.</w:t>
      </w:r>
      <w:r w:rsidR="009A7592" w:rsidRPr="00F33E1E">
        <w:rPr>
          <w:lang w:val="en-CA"/>
        </w:rPr>
        <w:t xml:space="preserve"> Wong felt uneasy. </w:t>
      </w:r>
      <w:r w:rsidR="00C61421" w:rsidRPr="00F33E1E">
        <w:rPr>
          <w:lang w:val="en-CA"/>
        </w:rPr>
        <w:t>Mr Wong, however, was worried that the property market might rebound soon and they might miss this golden opportunity.</w:t>
      </w:r>
      <w:r w:rsidR="00D55A31" w:rsidRPr="00F33E1E">
        <w:rPr>
          <w:lang w:val="en-CA"/>
        </w:rPr>
        <w:t xml:space="preserve"> </w:t>
      </w:r>
    </w:p>
    <w:p w14:paraId="7A413B47" w14:textId="77777777" w:rsidR="00AF00E9" w:rsidRPr="00F33E1E" w:rsidRDefault="00AF00E9" w:rsidP="00D04358">
      <w:pPr>
        <w:pStyle w:val="BodyTextMain"/>
        <w:rPr>
          <w:lang w:val="en-CA"/>
        </w:rPr>
      </w:pPr>
    </w:p>
    <w:p w14:paraId="338C04E9" w14:textId="4E85D476" w:rsidR="006A2075" w:rsidRPr="00F33E1E" w:rsidRDefault="00AF00E9" w:rsidP="00D04358">
      <w:pPr>
        <w:pStyle w:val="BodyTextMain"/>
        <w:rPr>
          <w:lang w:val="en-CA"/>
        </w:rPr>
      </w:pPr>
      <w:r w:rsidRPr="00F33E1E">
        <w:rPr>
          <w:lang w:val="en-CA"/>
        </w:rPr>
        <w:t xml:space="preserve">Apart from their quantitative computations, they had to consider certain qualitative factors. </w:t>
      </w:r>
      <w:r w:rsidR="00D952D2" w:rsidRPr="00F33E1E">
        <w:rPr>
          <w:lang w:val="en-CA"/>
        </w:rPr>
        <w:t xml:space="preserve">For example, </w:t>
      </w:r>
      <w:r w:rsidR="009A7592" w:rsidRPr="00F33E1E">
        <w:rPr>
          <w:lang w:val="en-CA"/>
        </w:rPr>
        <w:t>p</w:t>
      </w:r>
      <w:r w:rsidR="00D55A31" w:rsidRPr="00F33E1E">
        <w:rPr>
          <w:lang w:val="en-CA"/>
        </w:rPr>
        <w:t>roperty transactions play</w:t>
      </w:r>
      <w:r w:rsidR="009A7592" w:rsidRPr="00F33E1E">
        <w:rPr>
          <w:lang w:val="en-CA"/>
        </w:rPr>
        <w:t>ed</w:t>
      </w:r>
      <w:r w:rsidR="00D55A31" w:rsidRPr="00F33E1E">
        <w:rPr>
          <w:lang w:val="en-CA"/>
        </w:rPr>
        <w:t xml:space="preserve"> a key role in the life of </w:t>
      </w:r>
      <w:r w:rsidR="009A7592" w:rsidRPr="00F33E1E">
        <w:rPr>
          <w:lang w:val="en-CA"/>
        </w:rPr>
        <w:t xml:space="preserve">many </w:t>
      </w:r>
      <w:r w:rsidR="00D55A31" w:rsidRPr="00F33E1E">
        <w:rPr>
          <w:lang w:val="en-CA"/>
        </w:rPr>
        <w:t>families</w:t>
      </w:r>
      <w:r w:rsidR="009A7592" w:rsidRPr="00F33E1E">
        <w:rPr>
          <w:lang w:val="en-CA"/>
        </w:rPr>
        <w:t xml:space="preserve"> </w:t>
      </w:r>
      <w:r w:rsidR="00D952D2" w:rsidRPr="00F33E1E">
        <w:rPr>
          <w:lang w:val="en-CA"/>
        </w:rPr>
        <w:t xml:space="preserve">in Singapore </w:t>
      </w:r>
      <w:r w:rsidR="009A7592" w:rsidRPr="00F33E1E">
        <w:rPr>
          <w:lang w:val="en-CA"/>
        </w:rPr>
        <w:t>as</w:t>
      </w:r>
      <w:r w:rsidR="00D55A31" w:rsidRPr="00F33E1E">
        <w:rPr>
          <w:lang w:val="en-CA"/>
        </w:rPr>
        <w:t xml:space="preserve"> </w:t>
      </w:r>
      <w:r w:rsidR="00677D8C" w:rsidRPr="00F33E1E">
        <w:rPr>
          <w:lang w:val="en-CA"/>
        </w:rPr>
        <w:t xml:space="preserve">primary </w:t>
      </w:r>
      <w:r w:rsidR="00D55A31" w:rsidRPr="00F33E1E">
        <w:rPr>
          <w:lang w:val="en-CA"/>
        </w:rPr>
        <w:t xml:space="preserve">school districts </w:t>
      </w:r>
      <w:r w:rsidR="009A7592" w:rsidRPr="00F33E1E">
        <w:rPr>
          <w:lang w:val="en-CA"/>
        </w:rPr>
        <w:t xml:space="preserve">were </w:t>
      </w:r>
      <w:r w:rsidR="00D952D2" w:rsidRPr="00F33E1E">
        <w:rPr>
          <w:lang w:val="en-CA"/>
        </w:rPr>
        <w:t>closely tied to</w:t>
      </w:r>
      <w:r w:rsidR="00D55A31" w:rsidRPr="00F33E1E">
        <w:rPr>
          <w:lang w:val="en-CA"/>
        </w:rPr>
        <w:t xml:space="preserve"> </w:t>
      </w:r>
      <w:r w:rsidR="009A7592" w:rsidRPr="00F33E1E">
        <w:rPr>
          <w:lang w:val="en-CA"/>
        </w:rPr>
        <w:t>residential address</w:t>
      </w:r>
      <w:r w:rsidR="00D952D2" w:rsidRPr="00F33E1E">
        <w:rPr>
          <w:lang w:val="en-CA"/>
        </w:rPr>
        <w:t>es</w:t>
      </w:r>
      <w:r w:rsidR="009A7592" w:rsidRPr="00F33E1E">
        <w:rPr>
          <w:lang w:val="en-CA"/>
        </w:rPr>
        <w:t>. Thus</w:t>
      </w:r>
      <w:r w:rsidR="004620C4" w:rsidRPr="00F33E1E">
        <w:rPr>
          <w:lang w:val="en-CA"/>
        </w:rPr>
        <w:t>,</w:t>
      </w:r>
      <w:r w:rsidR="009A7592" w:rsidRPr="00F33E1E">
        <w:rPr>
          <w:lang w:val="en-CA"/>
        </w:rPr>
        <w:t xml:space="preserve"> properties sited close to </w:t>
      </w:r>
      <w:r w:rsidRPr="00F33E1E">
        <w:rPr>
          <w:lang w:val="en-CA"/>
        </w:rPr>
        <w:t>popular schools</w:t>
      </w:r>
      <w:r w:rsidR="00D952D2" w:rsidRPr="00F33E1E">
        <w:rPr>
          <w:lang w:val="en-CA"/>
        </w:rPr>
        <w:t xml:space="preserve"> would</w:t>
      </w:r>
      <w:r w:rsidRPr="00F33E1E">
        <w:rPr>
          <w:lang w:val="en-CA"/>
        </w:rPr>
        <w:t xml:space="preserve"> </w:t>
      </w:r>
      <w:r w:rsidR="00CA0ABA" w:rsidRPr="00F33E1E">
        <w:rPr>
          <w:lang w:val="en-CA"/>
        </w:rPr>
        <w:t xml:space="preserve">invariably </w:t>
      </w:r>
      <w:r w:rsidRPr="00F33E1E">
        <w:rPr>
          <w:lang w:val="en-CA"/>
        </w:rPr>
        <w:t>command a premium</w:t>
      </w:r>
      <w:r w:rsidR="00677D8C" w:rsidRPr="00F33E1E">
        <w:rPr>
          <w:lang w:val="en-CA"/>
        </w:rPr>
        <w:t>.</w:t>
      </w:r>
    </w:p>
    <w:p w14:paraId="1DA52AB3" w14:textId="77777777" w:rsidR="00D55A31" w:rsidRPr="00F33E1E" w:rsidRDefault="00D55A31" w:rsidP="00D04358">
      <w:pPr>
        <w:pStyle w:val="BodyTextMain"/>
        <w:rPr>
          <w:lang w:val="en-CA"/>
        </w:rPr>
      </w:pPr>
    </w:p>
    <w:p w14:paraId="6463D683" w14:textId="370B323F" w:rsidR="00F33E1E" w:rsidRDefault="00F33E1E">
      <w:pPr>
        <w:spacing w:after="200" w:line="276" w:lineRule="auto"/>
        <w:rPr>
          <w:sz w:val="22"/>
          <w:szCs w:val="22"/>
          <w:lang w:val="en-CA"/>
        </w:rPr>
      </w:pPr>
      <w:r>
        <w:rPr>
          <w:sz w:val="22"/>
          <w:szCs w:val="22"/>
          <w:lang w:val="en-CA"/>
        </w:rPr>
        <w:br w:type="page"/>
      </w:r>
    </w:p>
    <w:p w14:paraId="77D68409" w14:textId="77777777" w:rsidR="00D65ED1" w:rsidRPr="00F33E1E" w:rsidRDefault="00D65ED1" w:rsidP="00D04358">
      <w:pPr>
        <w:pStyle w:val="Casehead1"/>
        <w:jc w:val="center"/>
        <w:rPr>
          <w:lang w:val="en-CA"/>
        </w:rPr>
      </w:pPr>
      <w:r w:rsidRPr="00F33E1E">
        <w:rPr>
          <w:lang w:val="en-CA"/>
        </w:rPr>
        <w:lastRenderedPageBreak/>
        <w:t>Exhibit 1: Types of CPF Accounts and Retirement Sum</w:t>
      </w:r>
    </w:p>
    <w:p w14:paraId="7B943917" w14:textId="77777777" w:rsidR="001F5ED5" w:rsidRPr="00D04358" w:rsidRDefault="001F5ED5" w:rsidP="00D04358">
      <w:pPr>
        <w:pStyle w:val="BodyTextMain"/>
      </w:pPr>
    </w:p>
    <w:tbl>
      <w:tblPr>
        <w:tblW w:w="8910" w:type="dxa"/>
        <w:jc w:val="center"/>
        <w:tblLook w:val="04A0" w:firstRow="1" w:lastRow="0" w:firstColumn="1" w:lastColumn="0" w:noHBand="0" w:noVBand="1"/>
      </w:tblPr>
      <w:tblGrid>
        <w:gridCol w:w="2700"/>
        <w:gridCol w:w="2313"/>
        <w:gridCol w:w="2364"/>
        <w:gridCol w:w="1533"/>
      </w:tblGrid>
      <w:tr w:rsidR="00C82572" w:rsidRPr="00F33E1E" w14:paraId="36132ABA" w14:textId="77777777" w:rsidTr="007D2CA7">
        <w:trPr>
          <w:trHeight w:val="255"/>
          <w:jc w:val="center"/>
        </w:trPr>
        <w:tc>
          <w:tcPr>
            <w:tcW w:w="2700" w:type="dxa"/>
            <w:tcBorders>
              <w:top w:val="single" w:sz="4" w:space="0" w:color="auto"/>
              <w:left w:val="single" w:sz="4" w:space="0" w:color="auto"/>
              <w:bottom w:val="single" w:sz="4" w:space="0" w:color="auto"/>
              <w:right w:val="nil"/>
            </w:tcBorders>
            <w:shd w:val="clear" w:color="auto" w:fill="FFFFFF" w:themeFill="background1"/>
            <w:noWrap/>
            <w:vAlign w:val="bottom"/>
            <w:hideMark/>
          </w:tcPr>
          <w:p w14:paraId="005F0FE2" w14:textId="77777777" w:rsidR="00C82572" w:rsidRPr="00F33E1E" w:rsidRDefault="00C82572" w:rsidP="00C82572">
            <w:pPr>
              <w:jc w:val="center"/>
              <w:rPr>
                <w:rFonts w:ascii="Arial" w:hAnsi="Arial" w:cs="Arial"/>
                <w:lang w:val="en-SG" w:eastAsia="en-SG"/>
              </w:rPr>
            </w:pPr>
            <w:r w:rsidRPr="00F33E1E">
              <w:rPr>
                <w:rFonts w:ascii="Arial" w:hAnsi="Arial" w:cs="Arial"/>
                <w:lang w:val="en-SG" w:eastAsia="en-SG"/>
              </w:rPr>
              <w:t> </w:t>
            </w:r>
          </w:p>
        </w:tc>
        <w:tc>
          <w:tcPr>
            <w:tcW w:w="23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F11390" w14:textId="77777777" w:rsidR="00C82572" w:rsidRPr="00F33E1E" w:rsidRDefault="00C82572" w:rsidP="00C82572">
            <w:pPr>
              <w:jc w:val="center"/>
              <w:rPr>
                <w:rFonts w:ascii="Arial" w:hAnsi="Arial" w:cs="Arial"/>
                <w:b/>
                <w:lang w:val="en-SG" w:eastAsia="en-SG"/>
              </w:rPr>
            </w:pPr>
            <w:r w:rsidRPr="00F33E1E">
              <w:rPr>
                <w:rFonts w:ascii="Arial" w:hAnsi="Arial" w:cs="Arial"/>
                <w:b/>
                <w:lang w:val="en-SG" w:eastAsia="en-SG"/>
              </w:rPr>
              <w:t>Ordinary Account</w:t>
            </w:r>
          </w:p>
          <w:p w14:paraId="10885994" w14:textId="7F348117" w:rsidR="005824CF" w:rsidRPr="00F33E1E" w:rsidRDefault="000722D4" w:rsidP="00C82572">
            <w:pPr>
              <w:jc w:val="center"/>
              <w:rPr>
                <w:rFonts w:ascii="Arial" w:hAnsi="Arial" w:cs="Arial"/>
                <w:b/>
                <w:lang w:val="en-SG" w:eastAsia="en-SG"/>
              </w:rPr>
            </w:pPr>
            <w:r w:rsidRPr="00F33E1E">
              <w:rPr>
                <w:rFonts w:ascii="Arial" w:hAnsi="Arial" w:cs="Arial"/>
                <w:b/>
                <w:lang w:val="en-SG" w:eastAsia="en-SG"/>
              </w:rPr>
              <w:t>(</w:t>
            </w:r>
            <w:r w:rsidR="004D2D15" w:rsidRPr="00F33E1E">
              <w:rPr>
                <w:rFonts w:ascii="Arial" w:hAnsi="Arial" w:cs="Arial"/>
                <w:b/>
                <w:lang w:val="en-SG" w:eastAsia="en-SG"/>
              </w:rPr>
              <w:t xml:space="preserve">to </w:t>
            </w:r>
            <w:r w:rsidRPr="00F33E1E">
              <w:rPr>
                <w:rFonts w:ascii="Arial" w:hAnsi="Arial" w:cs="Arial"/>
                <w:b/>
                <w:lang w:val="en-SG" w:eastAsia="en-SG"/>
              </w:rPr>
              <w:t>be us</w:t>
            </w:r>
            <w:bookmarkStart w:id="0" w:name="_GoBack"/>
            <w:bookmarkEnd w:id="0"/>
            <w:r w:rsidRPr="00F33E1E">
              <w:rPr>
                <w:rFonts w:ascii="Arial" w:hAnsi="Arial" w:cs="Arial"/>
                <w:b/>
                <w:lang w:val="en-SG" w:eastAsia="en-SG"/>
              </w:rPr>
              <w:t xml:space="preserve">ed for </w:t>
            </w:r>
          </w:p>
          <w:p w14:paraId="59E13198" w14:textId="77777777" w:rsidR="004D2D15" w:rsidRPr="00F33E1E" w:rsidRDefault="000722D4" w:rsidP="00C82572">
            <w:pPr>
              <w:jc w:val="center"/>
              <w:rPr>
                <w:rFonts w:ascii="Arial" w:hAnsi="Arial" w:cs="Arial"/>
                <w:b/>
                <w:lang w:val="en-SG" w:eastAsia="en-SG"/>
              </w:rPr>
            </w:pPr>
            <w:r w:rsidRPr="00F33E1E">
              <w:rPr>
                <w:rFonts w:ascii="Arial" w:hAnsi="Arial" w:cs="Arial"/>
                <w:b/>
                <w:lang w:val="en-SG" w:eastAsia="en-SG"/>
              </w:rPr>
              <w:t>home purchase</w:t>
            </w:r>
          </w:p>
          <w:p w14:paraId="2F388237" w14:textId="77777777" w:rsidR="000722D4" w:rsidRPr="00F33E1E" w:rsidRDefault="000722D4" w:rsidP="00C82572">
            <w:pPr>
              <w:jc w:val="center"/>
              <w:rPr>
                <w:rFonts w:ascii="Arial" w:hAnsi="Arial" w:cs="Arial"/>
                <w:b/>
                <w:lang w:val="en-SG" w:eastAsia="en-SG"/>
              </w:rPr>
            </w:pPr>
            <w:r w:rsidRPr="00F33E1E">
              <w:rPr>
                <w:rFonts w:ascii="Arial" w:hAnsi="Arial" w:cs="Arial"/>
                <w:b/>
                <w:lang w:val="en-SG" w:eastAsia="en-SG"/>
              </w:rPr>
              <w:t xml:space="preserve"> and insurance)</w:t>
            </w:r>
          </w:p>
        </w:tc>
        <w:tc>
          <w:tcPr>
            <w:tcW w:w="23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5E84456" w14:textId="77777777" w:rsidR="004D2D15" w:rsidRPr="00F33E1E" w:rsidRDefault="00C82572" w:rsidP="00C76D21">
            <w:pPr>
              <w:jc w:val="center"/>
              <w:rPr>
                <w:rFonts w:ascii="Arial" w:hAnsi="Arial" w:cs="Arial"/>
                <w:b/>
                <w:lang w:val="en-SG" w:eastAsia="en-SG"/>
              </w:rPr>
            </w:pPr>
            <w:r w:rsidRPr="00F33E1E">
              <w:rPr>
                <w:rFonts w:ascii="Arial" w:hAnsi="Arial" w:cs="Arial"/>
                <w:b/>
                <w:lang w:val="en-SG" w:eastAsia="en-SG"/>
              </w:rPr>
              <w:t xml:space="preserve">Special Account and Medisave Account </w:t>
            </w:r>
          </w:p>
          <w:p w14:paraId="5A924E3D" w14:textId="77777777" w:rsidR="00C82572" w:rsidRPr="00F33E1E" w:rsidRDefault="00C82572" w:rsidP="00C76D21">
            <w:pPr>
              <w:jc w:val="center"/>
              <w:rPr>
                <w:rFonts w:ascii="Arial" w:hAnsi="Arial" w:cs="Arial"/>
                <w:b/>
                <w:lang w:val="en-SG" w:eastAsia="en-SG"/>
              </w:rPr>
            </w:pPr>
            <w:r w:rsidRPr="00F33E1E">
              <w:rPr>
                <w:rFonts w:ascii="Arial" w:hAnsi="Arial" w:cs="Arial"/>
                <w:b/>
                <w:lang w:val="en-SG" w:eastAsia="en-SG"/>
              </w:rPr>
              <w:t>(for investment and health</w:t>
            </w:r>
            <w:r w:rsidR="00F9441B" w:rsidRPr="00F33E1E">
              <w:rPr>
                <w:rFonts w:ascii="Arial" w:hAnsi="Arial" w:cs="Arial"/>
                <w:b/>
                <w:lang w:val="en-SG" w:eastAsia="en-SG"/>
              </w:rPr>
              <w:t> </w:t>
            </w:r>
            <w:r w:rsidRPr="00F33E1E">
              <w:rPr>
                <w:rFonts w:ascii="Arial" w:hAnsi="Arial" w:cs="Arial"/>
                <w:b/>
                <w:lang w:val="en-SG" w:eastAsia="en-SG"/>
              </w:rPr>
              <w:t>care)</w:t>
            </w:r>
          </w:p>
        </w:tc>
        <w:tc>
          <w:tcPr>
            <w:tcW w:w="153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D06070" w14:textId="77777777" w:rsidR="00C82572" w:rsidRPr="00F33E1E" w:rsidRDefault="00C82572" w:rsidP="00C82572">
            <w:pPr>
              <w:jc w:val="center"/>
              <w:rPr>
                <w:rFonts w:ascii="Arial" w:hAnsi="Arial" w:cs="Arial"/>
                <w:b/>
                <w:lang w:val="en-SG" w:eastAsia="en-SG"/>
              </w:rPr>
            </w:pPr>
            <w:r w:rsidRPr="00F33E1E">
              <w:rPr>
                <w:rFonts w:ascii="Arial" w:hAnsi="Arial" w:cs="Arial"/>
                <w:b/>
                <w:lang w:val="en-SG" w:eastAsia="en-SG"/>
              </w:rPr>
              <w:t>Retirement Account</w:t>
            </w:r>
          </w:p>
          <w:p w14:paraId="0A108035" w14:textId="77777777" w:rsidR="00993141" w:rsidRPr="00F33E1E" w:rsidRDefault="00993141" w:rsidP="00C82572">
            <w:pPr>
              <w:jc w:val="center"/>
              <w:rPr>
                <w:rFonts w:ascii="Arial" w:hAnsi="Arial" w:cs="Arial"/>
                <w:b/>
                <w:lang w:val="en-SG" w:eastAsia="en-SG"/>
              </w:rPr>
            </w:pPr>
            <w:r w:rsidRPr="00F33E1E">
              <w:rPr>
                <w:rFonts w:ascii="Arial" w:hAnsi="Arial" w:cs="Arial"/>
                <w:b/>
                <w:lang w:val="en-SG" w:eastAsia="en-SG"/>
              </w:rPr>
              <w:t>(in SG$)</w:t>
            </w:r>
          </w:p>
        </w:tc>
      </w:tr>
      <w:tr w:rsidR="00C82572" w:rsidRPr="00F33E1E" w14:paraId="0E1D32B8"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85AE143" w14:textId="77777777" w:rsidR="00C82572" w:rsidRPr="00F33E1E" w:rsidRDefault="00C82572" w:rsidP="00C82572">
            <w:pPr>
              <w:rPr>
                <w:rFonts w:ascii="Arial" w:hAnsi="Arial" w:cs="Arial"/>
                <w:lang w:val="en-SG" w:eastAsia="en-SG"/>
              </w:rPr>
            </w:pPr>
            <w:r w:rsidRPr="00F33E1E">
              <w:rPr>
                <w:rFonts w:ascii="Arial" w:hAnsi="Arial" w:cs="Arial"/>
                <w:lang w:val="en-SG" w:eastAsia="en-SG"/>
              </w:rPr>
              <w:t>Interest rate at June 2016</w:t>
            </w:r>
          </w:p>
        </w:tc>
        <w:tc>
          <w:tcPr>
            <w:tcW w:w="2313" w:type="dxa"/>
            <w:tcBorders>
              <w:top w:val="nil"/>
              <w:left w:val="nil"/>
              <w:bottom w:val="single" w:sz="4" w:space="0" w:color="auto"/>
              <w:right w:val="single" w:sz="4" w:space="0" w:color="auto"/>
            </w:tcBorders>
            <w:shd w:val="clear" w:color="auto" w:fill="FFFFFF" w:themeFill="background1"/>
            <w:noWrap/>
            <w:vAlign w:val="bottom"/>
            <w:hideMark/>
          </w:tcPr>
          <w:p w14:paraId="718089F3" w14:textId="77777777" w:rsidR="00C82572" w:rsidRPr="00F33E1E" w:rsidRDefault="00C82572" w:rsidP="00C82572">
            <w:pPr>
              <w:jc w:val="center"/>
              <w:rPr>
                <w:rFonts w:ascii="Arial" w:hAnsi="Arial" w:cs="Arial"/>
                <w:lang w:val="en-SG" w:eastAsia="en-SG"/>
              </w:rPr>
            </w:pPr>
            <w:r w:rsidRPr="00F33E1E">
              <w:rPr>
                <w:rFonts w:ascii="Arial" w:hAnsi="Arial" w:cs="Arial"/>
                <w:lang w:val="en-SG" w:eastAsia="en-SG"/>
              </w:rPr>
              <w:t>2.50%</w:t>
            </w:r>
          </w:p>
        </w:tc>
        <w:tc>
          <w:tcPr>
            <w:tcW w:w="2364" w:type="dxa"/>
            <w:tcBorders>
              <w:top w:val="nil"/>
              <w:left w:val="nil"/>
              <w:bottom w:val="single" w:sz="4" w:space="0" w:color="auto"/>
              <w:right w:val="single" w:sz="4" w:space="0" w:color="auto"/>
            </w:tcBorders>
            <w:shd w:val="clear" w:color="auto" w:fill="FFFFFF" w:themeFill="background1"/>
            <w:noWrap/>
            <w:vAlign w:val="bottom"/>
            <w:hideMark/>
          </w:tcPr>
          <w:p w14:paraId="6B391B79" w14:textId="77777777" w:rsidR="00C82572" w:rsidRPr="00F33E1E" w:rsidRDefault="00C82572" w:rsidP="00C82572">
            <w:pPr>
              <w:jc w:val="center"/>
              <w:rPr>
                <w:rFonts w:ascii="Arial" w:hAnsi="Arial" w:cs="Arial"/>
                <w:lang w:val="en-SG" w:eastAsia="en-SG"/>
              </w:rPr>
            </w:pPr>
            <w:r w:rsidRPr="00F33E1E">
              <w:rPr>
                <w:rFonts w:ascii="Arial" w:hAnsi="Arial" w:cs="Arial"/>
                <w:lang w:val="en-SG" w:eastAsia="en-SG"/>
              </w:rPr>
              <w:t>4.00%</w:t>
            </w:r>
          </w:p>
        </w:tc>
        <w:tc>
          <w:tcPr>
            <w:tcW w:w="1533" w:type="dxa"/>
            <w:tcBorders>
              <w:top w:val="nil"/>
              <w:left w:val="nil"/>
              <w:bottom w:val="single" w:sz="4" w:space="0" w:color="auto"/>
              <w:right w:val="single" w:sz="4" w:space="0" w:color="auto"/>
            </w:tcBorders>
            <w:shd w:val="clear" w:color="auto" w:fill="FFFFFF" w:themeFill="background1"/>
            <w:noWrap/>
            <w:vAlign w:val="bottom"/>
            <w:hideMark/>
          </w:tcPr>
          <w:p w14:paraId="08DFD5E4" w14:textId="77777777" w:rsidR="00C82572" w:rsidRPr="00F33E1E" w:rsidRDefault="00C82572" w:rsidP="00C82572">
            <w:pPr>
              <w:jc w:val="center"/>
              <w:rPr>
                <w:rFonts w:ascii="Arial" w:hAnsi="Arial" w:cs="Arial"/>
                <w:lang w:val="en-SG" w:eastAsia="en-SG"/>
              </w:rPr>
            </w:pPr>
            <w:r w:rsidRPr="00F33E1E">
              <w:rPr>
                <w:rFonts w:ascii="Arial" w:hAnsi="Arial" w:cs="Arial"/>
                <w:lang w:val="en-SG" w:eastAsia="en-SG"/>
              </w:rPr>
              <w:t>4.00%</w:t>
            </w:r>
          </w:p>
        </w:tc>
      </w:tr>
      <w:tr w:rsidR="00C82572" w:rsidRPr="00F33E1E" w14:paraId="16057D11"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12F7ABD" w14:textId="1C494179" w:rsidR="00C82572" w:rsidRPr="00F33E1E" w:rsidRDefault="00C82572" w:rsidP="00C82572">
            <w:pPr>
              <w:rPr>
                <w:rFonts w:ascii="Arial" w:hAnsi="Arial" w:cs="Arial"/>
                <w:lang w:val="en-SG" w:eastAsia="en-SG"/>
              </w:rPr>
            </w:pPr>
            <w:r w:rsidRPr="00F33E1E">
              <w:rPr>
                <w:rFonts w:ascii="Arial" w:hAnsi="Arial" w:cs="Arial"/>
                <w:lang w:val="en-SG" w:eastAsia="en-SG"/>
              </w:rPr>
              <w:t>At age 55</w:t>
            </w:r>
          </w:p>
        </w:tc>
        <w:tc>
          <w:tcPr>
            <w:tcW w:w="2313" w:type="dxa"/>
            <w:tcBorders>
              <w:top w:val="nil"/>
              <w:left w:val="nil"/>
              <w:bottom w:val="single" w:sz="4" w:space="0" w:color="auto"/>
              <w:right w:val="single" w:sz="4" w:space="0" w:color="auto"/>
            </w:tcBorders>
            <w:shd w:val="clear" w:color="auto" w:fill="FFFFFF" w:themeFill="background1"/>
            <w:noWrap/>
            <w:vAlign w:val="bottom"/>
            <w:hideMark/>
          </w:tcPr>
          <w:p w14:paraId="6584597C" w14:textId="77777777" w:rsidR="002A23FA" w:rsidRPr="00F33E1E" w:rsidRDefault="00C82572" w:rsidP="00C82572">
            <w:pPr>
              <w:jc w:val="center"/>
              <w:rPr>
                <w:rFonts w:ascii="Arial" w:hAnsi="Arial" w:cs="Arial"/>
                <w:lang w:val="en-SG" w:eastAsia="en-SG"/>
              </w:rPr>
            </w:pPr>
            <w:r w:rsidRPr="00F33E1E">
              <w:rPr>
                <w:rFonts w:ascii="Arial" w:hAnsi="Arial" w:cs="Arial"/>
                <w:lang w:val="en-SG" w:eastAsia="en-SG"/>
              </w:rPr>
              <w:t xml:space="preserve">Transfer to </w:t>
            </w:r>
          </w:p>
          <w:p w14:paraId="2169C610" w14:textId="0D137205" w:rsidR="00C82572" w:rsidRPr="00F33E1E" w:rsidRDefault="00C82572" w:rsidP="00C82572">
            <w:pPr>
              <w:jc w:val="center"/>
              <w:rPr>
                <w:rFonts w:ascii="Arial" w:hAnsi="Arial" w:cs="Arial"/>
                <w:lang w:val="en-SG" w:eastAsia="en-SG"/>
              </w:rPr>
            </w:pPr>
            <w:r w:rsidRPr="00F33E1E">
              <w:rPr>
                <w:rFonts w:ascii="Arial" w:hAnsi="Arial" w:cs="Arial"/>
                <w:lang w:val="en-SG" w:eastAsia="en-SG"/>
              </w:rPr>
              <w:t>Retirement Account</w:t>
            </w:r>
          </w:p>
        </w:tc>
        <w:tc>
          <w:tcPr>
            <w:tcW w:w="2364" w:type="dxa"/>
            <w:tcBorders>
              <w:top w:val="nil"/>
              <w:left w:val="nil"/>
              <w:bottom w:val="single" w:sz="4" w:space="0" w:color="auto"/>
              <w:right w:val="single" w:sz="4" w:space="0" w:color="auto"/>
            </w:tcBorders>
            <w:shd w:val="clear" w:color="auto" w:fill="FFFFFF" w:themeFill="background1"/>
            <w:noWrap/>
            <w:vAlign w:val="bottom"/>
            <w:hideMark/>
          </w:tcPr>
          <w:p w14:paraId="71E00962" w14:textId="77777777" w:rsidR="00C82572" w:rsidRPr="00F33E1E" w:rsidRDefault="00C82572" w:rsidP="00C82572">
            <w:pPr>
              <w:jc w:val="center"/>
              <w:rPr>
                <w:rFonts w:ascii="Arial" w:hAnsi="Arial" w:cs="Arial"/>
                <w:lang w:val="en-SG" w:eastAsia="en-SG"/>
              </w:rPr>
            </w:pPr>
            <w:r w:rsidRPr="00F33E1E">
              <w:rPr>
                <w:rFonts w:ascii="Arial" w:hAnsi="Arial" w:cs="Arial"/>
                <w:lang w:val="en-SG" w:eastAsia="en-SG"/>
              </w:rPr>
              <w:t> </w:t>
            </w:r>
          </w:p>
        </w:tc>
        <w:tc>
          <w:tcPr>
            <w:tcW w:w="1533" w:type="dxa"/>
            <w:tcBorders>
              <w:top w:val="nil"/>
              <w:left w:val="nil"/>
              <w:bottom w:val="single" w:sz="4" w:space="0" w:color="auto"/>
              <w:right w:val="single" w:sz="4" w:space="0" w:color="auto"/>
            </w:tcBorders>
            <w:shd w:val="clear" w:color="auto" w:fill="FFFFFF" w:themeFill="background1"/>
            <w:noWrap/>
            <w:vAlign w:val="bottom"/>
            <w:hideMark/>
          </w:tcPr>
          <w:p w14:paraId="3AD4EFEF" w14:textId="1957E02C" w:rsidR="00C82572" w:rsidRPr="00F33E1E" w:rsidRDefault="00C82572" w:rsidP="00C82572">
            <w:pPr>
              <w:jc w:val="center"/>
              <w:rPr>
                <w:rFonts w:ascii="Arial" w:hAnsi="Arial" w:cs="Arial"/>
                <w:lang w:val="en-SG" w:eastAsia="en-SG"/>
              </w:rPr>
            </w:pPr>
            <w:r w:rsidRPr="00F33E1E">
              <w:rPr>
                <w:rFonts w:ascii="Arial" w:hAnsi="Arial" w:cs="Arial"/>
                <w:lang w:val="en-SG" w:eastAsia="en-SG"/>
              </w:rPr>
              <w:t>Automatically opened</w:t>
            </w:r>
          </w:p>
        </w:tc>
      </w:tr>
      <w:tr w:rsidR="00C82572" w:rsidRPr="00F33E1E" w14:paraId="075A7608"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9BB576" w14:textId="41618B02" w:rsidR="00C82572" w:rsidRPr="00F33E1E" w:rsidRDefault="00C82572" w:rsidP="00C82572">
            <w:pPr>
              <w:rPr>
                <w:rFonts w:ascii="Arial" w:hAnsi="Arial" w:cs="Arial"/>
                <w:b/>
                <w:color w:val="000000"/>
                <w:lang w:val="en-SG" w:eastAsia="en-SG"/>
              </w:rPr>
            </w:pPr>
            <w:r w:rsidRPr="00F33E1E">
              <w:rPr>
                <w:rFonts w:ascii="Arial" w:hAnsi="Arial" w:cs="Arial"/>
                <w:b/>
                <w:color w:val="000000"/>
                <w:lang w:val="en-SG" w:eastAsia="en-SG"/>
              </w:rPr>
              <w:t xml:space="preserve">Retirement </w:t>
            </w:r>
            <w:r w:rsidR="005824CF" w:rsidRPr="00F33E1E">
              <w:rPr>
                <w:rFonts w:ascii="Arial" w:hAnsi="Arial" w:cs="Arial"/>
                <w:b/>
                <w:color w:val="000000"/>
                <w:lang w:val="en-SG" w:eastAsia="en-SG"/>
              </w:rPr>
              <w:t>s</w:t>
            </w:r>
            <w:r w:rsidRPr="00F33E1E">
              <w:rPr>
                <w:rFonts w:ascii="Arial" w:hAnsi="Arial" w:cs="Arial"/>
                <w:b/>
                <w:color w:val="000000"/>
                <w:lang w:val="en-SG" w:eastAsia="en-SG"/>
              </w:rPr>
              <w:t>um</w:t>
            </w:r>
          </w:p>
        </w:tc>
        <w:tc>
          <w:tcPr>
            <w:tcW w:w="2313" w:type="dxa"/>
            <w:tcBorders>
              <w:top w:val="nil"/>
              <w:left w:val="nil"/>
              <w:bottom w:val="single" w:sz="4" w:space="0" w:color="auto"/>
              <w:right w:val="single" w:sz="4" w:space="0" w:color="auto"/>
            </w:tcBorders>
            <w:shd w:val="clear" w:color="auto" w:fill="auto"/>
            <w:noWrap/>
            <w:vAlign w:val="bottom"/>
            <w:hideMark/>
          </w:tcPr>
          <w:p w14:paraId="4F8D6A39"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7F30FE5F"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159B7169"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r>
      <w:tr w:rsidR="00C82572" w:rsidRPr="00F33E1E" w14:paraId="4F911870"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6EBCD1" w14:textId="621ACA2E" w:rsidR="00C82572" w:rsidRPr="00F33E1E" w:rsidRDefault="00C82572" w:rsidP="00E736EA">
            <w:pPr>
              <w:rPr>
                <w:rFonts w:ascii="Arial" w:hAnsi="Arial" w:cs="Arial"/>
                <w:color w:val="000000"/>
                <w:lang w:val="en-SG" w:eastAsia="en-SG"/>
              </w:rPr>
            </w:pPr>
            <w:r w:rsidRPr="00F33E1E">
              <w:rPr>
                <w:rFonts w:ascii="Arial" w:hAnsi="Arial" w:cs="Arial"/>
                <w:color w:val="000000"/>
                <w:lang w:val="en-SG" w:eastAsia="en-SG"/>
              </w:rPr>
              <w:t xml:space="preserve">Basic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 55 in 2016</w:t>
            </w:r>
          </w:p>
        </w:tc>
        <w:tc>
          <w:tcPr>
            <w:tcW w:w="2313" w:type="dxa"/>
            <w:tcBorders>
              <w:top w:val="nil"/>
              <w:left w:val="nil"/>
              <w:bottom w:val="single" w:sz="4" w:space="0" w:color="auto"/>
              <w:right w:val="single" w:sz="4" w:space="0" w:color="auto"/>
            </w:tcBorders>
            <w:shd w:val="clear" w:color="auto" w:fill="auto"/>
            <w:noWrap/>
            <w:vAlign w:val="bottom"/>
            <w:hideMark/>
          </w:tcPr>
          <w:p w14:paraId="174E6257"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351F50DD"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0D6DFD0A"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80,500 </w:t>
            </w:r>
          </w:p>
        </w:tc>
      </w:tr>
      <w:tr w:rsidR="00C82572" w:rsidRPr="00F33E1E" w14:paraId="72CCBC82"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C63562F" w14:textId="38BADBA3" w:rsidR="00C82572" w:rsidRPr="00F33E1E" w:rsidRDefault="00C82572" w:rsidP="002E5A07">
            <w:pPr>
              <w:rPr>
                <w:rFonts w:ascii="Arial" w:hAnsi="Arial" w:cs="Arial"/>
                <w:color w:val="000000"/>
                <w:lang w:val="en-SG" w:eastAsia="en-SG"/>
              </w:rPr>
            </w:pPr>
            <w:r w:rsidRPr="00F33E1E">
              <w:rPr>
                <w:rFonts w:ascii="Arial" w:hAnsi="Arial" w:cs="Arial"/>
                <w:color w:val="000000"/>
                <w:lang w:val="en-SG" w:eastAsia="en-SG"/>
              </w:rPr>
              <w:t xml:space="preserve">Full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w:t>
            </w:r>
            <w:r w:rsidR="005824CF" w:rsidRPr="00F33E1E">
              <w:rPr>
                <w:rFonts w:ascii="Arial" w:hAnsi="Arial" w:cs="Arial"/>
                <w:color w:val="000000"/>
                <w:lang w:val="en-SG" w:eastAsia="en-SG"/>
              </w:rPr>
              <w:t> </w:t>
            </w:r>
            <w:r w:rsidRPr="00F33E1E">
              <w:rPr>
                <w:rFonts w:ascii="Arial" w:hAnsi="Arial" w:cs="Arial"/>
                <w:color w:val="000000"/>
                <w:lang w:val="en-SG" w:eastAsia="en-SG"/>
              </w:rPr>
              <w:t>55 in 2016</w:t>
            </w:r>
          </w:p>
        </w:tc>
        <w:tc>
          <w:tcPr>
            <w:tcW w:w="2313" w:type="dxa"/>
            <w:tcBorders>
              <w:top w:val="nil"/>
              <w:left w:val="nil"/>
              <w:bottom w:val="single" w:sz="4" w:space="0" w:color="auto"/>
              <w:right w:val="single" w:sz="4" w:space="0" w:color="auto"/>
            </w:tcBorders>
            <w:shd w:val="clear" w:color="auto" w:fill="auto"/>
            <w:noWrap/>
            <w:vAlign w:val="bottom"/>
            <w:hideMark/>
          </w:tcPr>
          <w:p w14:paraId="59EE0637"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1B714E37"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64D24C79"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161,000 </w:t>
            </w:r>
          </w:p>
        </w:tc>
      </w:tr>
      <w:tr w:rsidR="00C82572" w:rsidRPr="00F33E1E" w14:paraId="70A25D04"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368BF6A" w14:textId="1DBE4616" w:rsidR="00C82572" w:rsidRPr="00F33E1E" w:rsidRDefault="00C82572" w:rsidP="00E736EA">
            <w:pPr>
              <w:rPr>
                <w:rFonts w:ascii="Arial" w:hAnsi="Arial" w:cs="Arial"/>
                <w:color w:val="000000"/>
                <w:lang w:val="en-SG" w:eastAsia="en-SG"/>
              </w:rPr>
            </w:pPr>
            <w:r w:rsidRPr="00F33E1E">
              <w:rPr>
                <w:rFonts w:ascii="Arial" w:hAnsi="Arial" w:cs="Arial"/>
                <w:color w:val="000000"/>
                <w:lang w:val="en-SG" w:eastAsia="en-SG"/>
              </w:rPr>
              <w:t xml:space="preserve">Enhanced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 55 in 2016</w:t>
            </w:r>
          </w:p>
        </w:tc>
        <w:tc>
          <w:tcPr>
            <w:tcW w:w="2313" w:type="dxa"/>
            <w:tcBorders>
              <w:top w:val="nil"/>
              <w:left w:val="nil"/>
              <w:bottom w:val="single" w:sz="4" w:space="0" w:color="auto"/>
              <w:right w:val="single" w:sz="4" w:space="0" w:color="auto"/>
            </w:tcBorders>
            <w:shd w:val="clear" w:color="auto" w:fill="auto"/>
            <w:noWrap/>
            <w:vAlign w:val="bottom"/>
            <w:hideMark/>
          </w:tcPr>
          <w:p w14:paraId="54840678"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67F915F0"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59CB8B0D"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241,500 </w:t>
            </w:r>
          </w:p>
        </w:tc>
      </w:tr>
      <w:tr w:rsidR="00C82572" w:rsidRPr="00F33E1E" w14:paraId="2758DEB9"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FD766DB" w14:textId="7427FFE9" w:rsidR="00C82572" w:rsidRPr="00F33E1E" w:rsidRDefault="00C82572" w:rsidP="00E736EA">
            <w:pPr>
              <w:rPr>
                <w:rFonts w:ascii="Arial" w:hAnsi="Arial" w:cs="Arial"/>
                <w:color w:val="000000"/>
                <w:lang w:val="en-SG" w:eastAsia="en-SG"/>
              </w:rPr>
            </w:pPr>
            <w:r w:rsidRPr="00F33E1E">
              <w:rPr>
                <w:rFonts w:ascii="Arial" w:hAnsi="Arial" w:cs="Arial"/>
                <w:color w:val="000000"/>
                <w:lang w:val="en-SG" w:eastAsia="en-SG"/>
              </w:rPr>
              <w:t xml:space="preserve">Basic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 55 in 2020</w:t>
            </w:r>
          </w:p>
        </w:tc>
        <w:tc>
          <w:tcPr>
            <w:tcW w:w="2313" w:type="dxa"/>
            <w:tcBorders>
              <w:top w:val="nil"/>
              <w:left w:val="nil"/>
              <w:bottom w:val="single" w:sz="4" w:space="0" w:color="auto"/>
              <w:right w:val="single" w:sz="4" w:space="0" w:color="auto"/>
            </w:tcBorders>
            <w:shd w:val="clear" w:color="auto" w:fill="auto"/>
            <w:noWrap/>
            <w:vAlign w:val="bottom"/>
            <w:hideMark/>
          </w:tcPr>
          <w:p w14:paraId="2591918A"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5C891487"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11E55E21"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 90,500 </w:t>
            </w:r>
          </w:p>
        </w:tc>
      </w:tr>
      <w:tr w:rsidR="00C82572" w:rsidRPr="00F33E1E" w14:paraId="3086E121"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6524AB" w14:textId="0EB92137" w:rsidR="00C82572" w:rsidRPr="00F33E1E" w:rsidRDefault="00C82572" w:rsidP="002E5A07">
            <w:pPr>
              <w:rPr>
                <w:rFonts w:ascii="Arial" w:hAnsi="Arial" w:cs="Arial"/>
                <w:color w:val="000000"/>
                <w:lang w:val="en-SG" w:eastAsia="en-SG"/>
              </w:rPr>
            </w:pPr>
            <w:r w:rsidRPr="00F33E1E">
              <w:rPr>
                <w:rFonts w:ascii="Arial" w:hAnsi="Arial" w:cs="Arial"/>
                <w:color w:val="000000"/>
                <w:lang w:val="en-SG" w:eastAsia="en-SG"/>
              </w:rPr>
              <w:t xml:space="preserve">Full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w:t>
            </w:r>
            <w:r w:rsidR="005824CF" w:rsidRPr="00F33E1E">
              <w:rPr>
                <w:rFonts w:ascii="Arial" w:hAnsi="Arial" w:cs="Arial"/>
                <w:color w:val="000000"/>
                <w:lang w:val="en-SG" w:eastAsia="en-SG"/>
              </w:rPr>
              <w:t> </w:t>
            </w:r>
            <w:r w:rsidRPr="00F33E1E">
              <w:rPr>
                <w:rFonts w:ascii="Arial" w:hAnsi="Arial" w:cs="Arial"/>
                <w:color w:val="000000"/>
                <w:lang w:val="en-SG" w:eastAsia="en-SG"/>
              </w:rPr>
              <w:t>55 in 2020</w:t>
            </w:r>
          </w:p>
        </w:tc>
        <w:tc>
          <w:tcPr>
            <w:tcW w:w="2313" w:type="dxa"/>
            <w:tcBorders>
              <w:top w:val="nil"/>
              <w:left w:val="nil"/>
              <w:bottom w:val="single" w:sz="4" w:space="0" w:color="auto"/>
              <w:right w:val="single" w:sz="4" w:space="0" w:color="auto"/>
            </w:tcBorders>
            <w:shd w:val="clear" w:color="auto" w:fill="auto"/>
            <w:noWrap/>
            <w:vAlign w:val="bottom"/>
            <w:hideMark/>
          </w:tcPr>
          <w:p w14:paraId="1E3C7636"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108FB10A"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738781AE"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181,000 </w:t>
            </w:r>
          </w:p>
        </w:tc>
      </w:tr>
      <w:tr w:rsidR="00C82572" w:rsidRPr="00F33E1E" w14:paraId="0A05E599" w14:textId="77777777" w:rsidTr="007D2CA7">
        <w:trPr>
          <w:trHeight w:val="255"/>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777EA3" w14:textId="3307665A" w:rsidR="00C82572" w:rsidRPr="00F33E1E" w:rsidRDefault="00C82572" w:rsidP="00E736EA">
            <w:pPr>
              <w:rPr>
                <w:rFonts w:ascii="Arial" w:hAnsi="Arial" w:cs="Arial"/>
                <w:color w:val="000000"/>
                <w:lang w:val="en-SG" w:eastAsia="en-SG"/>
              </w:rPr>
            </w:pPr>
            <w:r w:rsidRPr="00F33E1E">
              <w:rPr>
                <w:rFonts w:ascii="Arial" w:hAnsi="Arial" w:cs="Arial"/>
                <w:color w:val="000000"/>
                <w:lang w:val="en-SG" w:eastAsia="en-SG"/>
              </w:rPr>
              <w:t xml:space="preserve">Enhanced </w:t>
            </w:r>
            <w:r w:rsidR="005824CF" w:rsidRPr="00F33E1E">
              <w:rPr>
                <w:rFonts w:ascii="Arial" w:hAnsi="Arial" w:cs="Arial"/>
                <w:color w:val="000000"/>
                <w:lang w:val="en-SG" w:eastAsia="en-SG"/>
              </w:rPr>
              <w:t>r</w:t>
            </w:r>
            <w:r w:rsidRPr="00F33E1E">
              <w:rPr>
                <w:rFonts w:ascii="Arial" w:hAnsi="Arial" w:cs="Arial"/>
                <w:color w:val="000000"/>
                <w:lang w:val="en-SG" w:eastAsia="en-SG"/>
              </w:rPr>
              <w:t xml:space="preserve">etirement </w:t>
            </w:r>
            <w:r w:rsidR="005824CF" w:rsidRPr="00F33E1E">
              <w:rPr>
                <w:rFonts w:ascii="Arial" w:hAnsi="Arial" w:cs="Arial"/>
                <w:color w:val="000000"/>
                <w:lang w:val="en-SG" w:eastAsia="en-SG"/>
              </w:rPr>
              <w:t>s</w:t>
            </w:r>
            <w:r w:rsidRPr="00F33E1E">
              <w:rPr>
                <w:rFonts w:ascii="Arial" w:hAnsi="Arial" w:cs="Arial"/>
                <w:color w:val="000000"/>
                <w:lang w:val="en-SG" w:eastAsia="en-SG"/>
              </w:rPr>
              <w:t xml:space="preserve">um for </w:t>
            </w:r>
            <w:r w:rsidR="005824CF" w:rsidRPr="00F33E1E">
              <w:rPr>
                <w:rFonts w:ascii="Arial" w:hAnsi="Arial" w:cs="Arial"/>
                <w:color w:val="000000"/>
                <w:lang w:val="en-SG" w:eastAsia="en-SG"/>
              </w:rPr>
              <w:t>a</w:t>
            </w:r>
            <w:r w:rsidRPr="00F33E1E">
              <w:rPr>
                <w:rFonts w:ascii="Arial" w:hAnsi="Arial" w:cs="Arial"/>
                <w:color w:val="000000"/>
                <w:lang w:val="en-SG" w:eastAsia="en-SG"/>
              </w:rPr>
              <w:t>ge 55 in 2020</w:t>
            </w:r>
          </w:p>
        </w:tc>
        <w:tc>
          <w:tcPr>
            <w:tcW w:w="2313" w:type="dxa"/>
            <w:tcBorders>
              <w:top w:val="nil"/>
              <w:left w:val="nil"/>
              <w:bottom w:val="single" w:sz="4" w:space="0" w:color="auto"/>
              <w:right w:val="single" w:sz="4" w:space="0" w:color="auto"/>
            </w:tcBorders>
            <w:shd w:val="clear" w:color="auto" w:fill="auto"/>
            <w:noWrap/>
            <w:vAlign w:val="bottom"/>
            <w:hideMark/>
          </w:tcPr>
          <w:p w14:paraId="20421047"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2364" w:type="dxa"/>
            <w:tcBorders>
              <w:top w:val="nil"/>
              <w:left w:val="nil"/>
              <w:bottom w:val="single" w:sz="4" w:space="0" w:color="auto"/>
              <w:right w:val="single" w:sz="4" w:space="0" w:color="auto"/>
            </w:tcBorders>
            <w:shd w:val="clear" w:color="auto" w:fill="auto"/>
            <w:noWrap/>
            <w:vAlign w:val="bottom"/>
            <w:hideMark/>
          </w:tcPr>
          <w:p w14:paraId="21773E33" w14:textId="77777777" w:rsidR="00C82572" w:rsidRPr="00F33E1E" w:rsidRDefault="00C82572" w:rsidP="00C82572">
            <w:pPr>
              <w:jc w:val="center"/>
              <w:rPr>
                <w:rFonts w:ascii="Arial" w:hAnsi="Arial" w:cs="Arial"/>
                <w:color w:val="000000"/>
                <w:lang w:val="en-SG" w:eastAsia="en-SG"/>
              </w:rPr>
            </w:pPr>
            <w:r w:rsidRPr="00F33E1E">
              <w:rPr>
                <w:rFonts w:ascii="Arial" w:hAnsi="Arial" w:cs="Arial"/>
                <w:color w:val="000000"/>
                <w:lang w:val="en-SG" w:eastAsia="en-SG"/>
              </w:rPr>
              <w:t> </w:t>
            </w:r>
          </w:p>
        </w:tc>
        <w:tc>
          <w:tcPr>
            <w:tcW w:w="1533" w:type="dxa"/>
            <w:tcBorders>
              <w:top w:val="nil"/>
              <w:left w:val="nil"/>
              <w:bottom w:val="single" w:sz="4" w:space="0" w:color="auto"/>
              <w:right w:val="single" w:sz="4" w:space="0" w:color="auto"/>
            </w:tcBorders>
            <w:shd w:val="clear" w:color="auto" w:fill="auto"/>
            <w:noWrap/>
            <w:vAlign w:val="bottom"/>
            <w:hideMark/>
          </w:tcPr>
          <w:p w14:paraId="7699EC29" w14:textId="77777777" w:rsidR="00C82572" w:rsidRPr="00F33E1E" w:rsidRDefault="00C82572" w:rsidP="001D12B0">
            <w:pPr>
              <w:jc w:val="right"/>
              <w:rPr>
                <w:rFonts w:ascii="Arial" w:hAnsi="Arial" w:cs="Arial"/>
                <w:color w:val="000000"/>
                <w:lang w:val="en-SG" w:eastAsia="en-SG"/>
              </w:rPr>
            </w:pPr>
            <w:r w:rsidRPr="00F33E1E">
              <w:rPr>
                <w:rFonts w:ascii="Arial" w:hAnsi="Arial" w:cs="Arial"/>
                <w:color w:val="000000"/>
                <w:lang w:val="en-SG" w:eastAsia="en-SG"/>
              </w:rPr>
              <w:t xml:space="preserve">271,500 </w:t>
            </w:r>
          </w:p>
        </w:tc>
      </w:tr>
    </w:tbl>
    <w:p w14:paraId="2E8D7517" w14:textId="77777777" w:rsidR="009A03FC" w:rsidRDefault="009A03FC" w:rsidP="00D04358">
      <w:pPr>
        <w:pStyle w:val="FootnoteText1"/>
        <w:rPr>
          <w:lang w:val="en-SG" w:eastAsia="en-SG"/>
        </w:rPr>
      </w:pPr>
    </w:p>
    <w:p w14:paraId="1F45C612" w14:textId="64544BF4" w:rsidR="00D65ED1" w:rsidRPr="00F33E1E" w:rsidRDefault="00D65ED1" w:rsidP="00D04358">
      <w:pPr>
        <w:pStyle w:val="FootnoteText1"/>
        <w:rPr>
          <w:lang w:val="en-SG" w:eastAsia="en-SG"/>
        </w:rPr>
      </w:pPr>
      <w:r w:rsidRPr="007D2CA7">
        <w:rPr>
          <w:lang w:val="en-SG" w:eastAsia="en-SG"/>
        </w:rPr>
        <w:t xml:space="preserve">Source: </w:t>
      </w:r>
      <w:r w:rsidR="00DC6785" w:rsidRPr="007D2CA7">
        <w:rPr>
          <w:lang w:val="en-SG" w:eastAsia="en-SG"/>
        </w:rPr>
        <w:t xml:space="preserve">Central Provident Board Fund, </w:t>
      </w:r>
      <w:r w:rsidR="006B3B74" w:rsidRPr="007D2CA7">
        <w:rPr>
          <w:lang w:val="en-SG" w:eastAsia="en-SG"/>
        </w:rPr>
        <w:t xml:space="preserve">accessed April 11, </w:t>
      </w:r>
      <w:r w:rsidR="00DC6785" w:rsidRPr="007D2CA7">
        <w:rPr>
          <w:lang w:val="en-SG" w:eastAsia="en-SG"/>
        </w:rPr>
        <w:t>201</w:t>
      </w:r>
      <w:r w:rsidR="006B3B74" w:rsidRPr="007D2CA7">
        <w:rPr>
          <w:lang w:val="en-SG" w:eastAsia="en-SG"/>
        </w:rPr>
        <w:t>7</w:t>
      </w:r>
      <w:r w:rsidR="00DC6785" w:rsidRPr="007D2CA7">
        <w:rPr>
          <w:lang w:val="en-SG" w:eastAsia="en-SG"/>
        </w:rPr>
        <w:t xml:space="preserve">, </w:t>
      </w:r>
      <w:r w:rsidR="006B3B74" w:rsidRPr="007D2CA7">
        <w:rPr>
          <w:lang w:val="en-SG" w:eastAsia="en-SG"/>
        </w:rPr>
        <w:t>www.cpf.gov.sg/Members/Schemes/schemes/retirement/retirement-sum-scheme</w:t>
      </w:r>
      <w:r w:rsidR="00DC6785" w:rsidRPr="00F33E1E">
        <w:rPr>
          <w:lang w:val="en-SG" w:eastAsia="en-SG"/>
        </w:rPr>
        <w:t>.</w:t>
      </w:r>
    </w:p>
    <w:p w14:paraId="4AED45B1" w14:textId="5501EBC9" w:rsidR="00474E3D" w:rsidRPr="00F33E1E" w:rsidRDefault="00474E3D" w:rsidP="00D04358">
      <w:pPr>
        <w:pStyle w:val="BodyTextMain"/>
        <w:rPr>
          <w:lang w:val="en-CA" w:eastAsia="en-IN"/>
        </w:rPr>
      </w:pPr>
      <w:r w:rsidRPr="00F33E1E">
        <w:rPr>
          <w:lang w:val="en-CA"/>
        </w:rPr>
        <w:br w:type="page"/>
      </w:r>
    </w:p>
    <w:p w14:paraId="49E81A41" w14:textId="2F65F161" w:rsidR="0053345C" w:rsidRPr="00F33E1E" w:rsidRDefault="000877EF" w:rsidP="001F5ED5">
      <w:pPr>
        <w:pStyle w:val="BodyTextMain"/>
        <w:jc w:val="center"/>
        <w:rPr>
          <w:rFonts w:ascii="Arial" w:hAnsi="Arial" w:cs="Arial"/>
          <w:b/>
          <w:caps/>
          <w:sz w:val="20"/>
          <w:szCs w:val="20"/>
          <w:lang w:val="en-CA"/>
        </w:rPr>
      </w:pPr>
      <w:r w:rsidRPr="00F33E1E">
        <w:rPr>
          <w:rFonts w:ascii="Arial" w:hAnsi="Arial" w:cs="Arial"/>
          <w:b/>
          <w:caps/>
          <w:sz w:val="20"/>
          <w:szCs w:val="20"/>
          <w:lang w:val="en-CA"/>
        </w:rPr>
        <w:lastRenderedPageBreak/>
        <w:t>Exhibit 2</w:t>
      </w:r>
      <w:r w:rsidR="001F5ED5" w:rsidRPr="00F33E1E">
        <w:rPr>
          <w:rFonts w:ascii="Arial" w:hAnsi="Arial" w:cs="Arial"/>
          <w:b/>
          <w:caps/>
          <w:sz w:val="20"/>
          <w:szCs w:val="20"/>
          <w:lang w:val="en-CA"/>
        </w:rPr>
        <w:t>: Housing Price I</w:t>
      </w:r>
      <w:r w:rsidR="00FC7766" w:rsidRPr="00F33E1E">
        <w:rPr>
          <w:rFonts w:ascii="Arial" w:hAnsi="Arial" w:cs="Arial"/>
          <w:b/>
          <w:caps/>
          <w:sz w:val="20"/>
          <w:szCs w:val="20"/>
          <w:lang w:val="en-CA"/>
        </w:rPr>
        <w:t>ndex in Singapore</w:t>
      </w:r>
    </w:p>
    <w:p w14:paraId="6843FD29" w14:textId="77777777" w:rsidR="001F5ED5" w:rsidRPr="00D04358" w:rsidRDefault="001F5ED5" w:rsidP="00D04358">
      <w:pPr>
        <w:pStyle w:val="BodyTextMain"/>
      </w:pPr>
    </w:p>
    <w:p w14:paraId="13540E06" w14:textId="77777777" w:rsidR="00350D53" w:rsidRPr="00F33E1E" w:rsidRDefault="006D00C8" w:rsidP="00E67094">
      <w:pPr>
        <w:jc w:val="center"/>
        <w:rPr>
          <w:sz w:val="22"/>
          <w:szCs w:val="22"/>
          <w:lang w:val="en-SG" w:eastAsia="en-SG"/>
        </w:rPr>
      </w:pPr>
      <w:r w:rsidRPr="00F33E1E">
        <w:rPr>
          <w:noProof/>
          <w:lang w:val="en-GB" w:eastAsia="en-GB"/>
        </w:rPr>
        <w:drawing>
          <wp:inline distT="0" distB="0" distL="0" distR="0" wp14:anchorId="7E19D29A" wp14:editId="655D4FE7">
            <wp:extent cx="5623891" cy="2527853"/>
            <wp:effectExtent l="0" t="0" r="1524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AAC6E3" w14:textId="77777777" w:rsidR="007C33F1" w:rsidRPr="00F33E1E" w:rsidRDefault="007C33F1" w:rsidP="00E67094">
      <w:pPr>
        <w:jc w:val="center"/>
        <w:rPr>
          <w:sz w:val="22"/>
          <w:szCs w:val="22"/>
          <w:lang w:val="en-SG" w:eastAsia="en-SG"/>
        </w:rPr>
      </w:pPr>
    </w:p>
    <w:p w14:paraId="249CA99D" w14:textId="77777777" w:rsidR="006D00C8" w:rsidRPr="00F33E1E" w:rsidRDefault="006D00C8" w:rsidP="00E67094">
      <w:pPr>
        <w:jc w:val="center"/>
        <w:rPr>
          <w:sz w:val="22"/>
          <w:szCs w:val="22"/>
          <w:lang w:val="en-SG" w:eastAsia="en-SG"/>
        </w:rPr>
      </w:pPr>
      <w:r w:rsidRPr="00F33E1E">
        <w:rPr>
          <w:noProof/>
          <w:lang w:val="en-GB" w:eastAsia="en-GB"/>
        </w:rPr>
        <w:drawing>
          <wp:inline distT="0" distB="0" distL="0" distR="0" wp14:anchorId="130B22D4" wp14:editId="47CF3C24">
            <wp:extent cx="5587377" cy="2520000"/>
            <wp:effectExtent l="0" t="0" r="13335"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A069D7" w14:textId="77777777" w:rsidR="00303F2B" w:rsidRDefault="00303F2B" w:rsidP="007D2CA7">
      <w:pPr>
        <w:pStyle w:val="Footnote"/>
        <w:rPr>
          <w:lang w:val="en-SG" w:eastAsia="en-SG"/>
        </w:rPr>
      </w:pPr>
    </w:p>
    <w:p w14:paraId="3A092D94" w14:textId="0D2663C1" w:rsidR="00303F2B" w:rsidRDefault="00303F2B" w:rsidP="007D2CA7">
      <w:pPr>
        <w:pStyle w:val="Footnote"/>
        <w:rPr>
          <w:lang w:val="en-SG" w:eastAsia="en-SG"/>
        </w:rPr>
      </w:pPr>
      <w:r>
        <w:rPr>
          <w:i w:val="0"/>
          <w:lang w:val="en-SG" w:eastAsia="en-SG"/>
        </w:rPr>
        <w:t>Note: Q = quarter</w:t>
      </w:r>
    </w:p>
    <w:p w14:paraId="5A9F08BD" w14:textId="4EB11A8D" w:rsidR="00510C54" w:rsidRPr="00BE4A3F" w:rsidRDefault="00510C54" w:rsidP="007D2CA7">
      <w:pPr>
        <w:pStyle w:val="Footnote"/>
        <w:rPr>
          <w:lang w:val="en-SG" w:eastAsia="en-SG"/>
        </w:rPr>
      </w:pPr>
      <w:r w:rsidRPr="007D2CA7">
        <w:rPr>
          <w:i w:val="0"/>
          <w:lang w:val="en-SG" w:eastAsia="en-SG"/>
        </w:rPr>
        <w:t>Source</w:t>
      </w:r>
      <w:r w:rsidR="00C65F52" w:rsidRPr="007D2CA7">
        <w:rPr>
          <w:i w:val="0"/>
          <w:lang w:val="en-SG" w:eastAsia="en-SG"/>
        </w:rPr>
        <w:t xml:space="preserve">: </w:t>
      </w:r>
      <w:r w:rsidRPr="007D2CA7">
        <w:rPr>
          <w:i w:val="0"/>
          <w:lang w:val="en-SG" w:eastAsia="en-SG"/>
        </w:rPr>
        <w:t xml:space="preserve">Price Index: </w:t>
      </w:r>
      <w:r w:rsidR="00C65F52" w:rsidRPr="007D2CA7">
        <w:rPr>
          <w:i w:val="0"/>
          <w:lang w:val="en-SG" w:eastAsia="en-SG"/>
        </w:rPr>
        <w:t xml:space="preserve">Urban Redevelopment Authority, accessed December 15, 2016, www.ura.gov.sg/uol/-/media/User%20Defined/URA%20Online/media-room/2016/jul/pr16-49a2.pdf?la=en; </w:t>
      </w:r>
      <w:r w:rsidRPr="007D2CA7">
        <w:rPr>
          <w:i w:val="0"/>
          <w:lang w:val="en-SG" w:eastAsia="en-SG"/>
        </w:rPr>
        <w:t xml:space="preserve">Rent </w:t>
      </w:r>
      <w:r w:rsidR="007F1B33" w:rsidRPr="007D2CA7">
        <w:rPr>
          <w:i w:val="0"/>
          <w:lang w:val="en-SG" w:eastAsia="en-SG"/>
        </w:rPr>
        <w:t>I</w:t>
      </w:r>
      <w:r w:rsidRPr="007D2CA7">
        <w:rPr>
          <w:i w:val="0"/>
          <w:lang w:val="en-SG" w:eastAsia="en-SG"/>
        </w:rPr>
        <w:t>ndex:</w:t>
      </w:r>
      <w:r w:rsidR="00C65F52" w:rsidRPr="007D2CA7">
        <w:rPr>
          <w:i w:val="0"/>
          <w:lang w:val="en-SG" w:eastAsia="en-SG"/>
        </w:rPr>
        <w:t xml:space="preserve"> Urban Redevelopment Authority, accessed December 15, 2016,</w:t>
      </w:r>
      <w:r w:rsidRPr="007D2CA7">
        <w:rPr>
          <w:i w:val="0"/>
          <w:lang w:val="en-SG" w:eastAsia="en-SG"/>
        </w:rPr>
        <w:t xml:space="preserve"> www.ura.gov.sg/uol/-/media/User%20Defined/URA%20Online/media-room/2016/jul/pr16-49a4.pdf?la=en</w:t>
      </w:r>
      <w:r w:rsidR="001F2CB6" w:rsidRPr="007D2CA7">
        <w:rPr>
          <w:i w:val="0"/>
          <w:lang w:val="en-SG" w:eastAsia="en-SG"/>
        </w:rPr>
        <w:t>.</w:t>
      </w:r>
    </w:p>
    <w:p w14:paraId="221F1B3F" w14:textId="77777777" w:rsidR="00510C54" w:rsidRPr="00F33E1E" w:rsidRDefault="00510C54" w:rsidP="007D2CA7">
      <w:pPr>
        <w:pStyle w:val="Footnote"/>
        <w:rPr>
          <w:lang w:val="en-SG" w:eastAsia="en-SG"/>
        </w:rPr>
      </w:pPr>
    </w:p>
    <w:p w14:paraId="1E64F889" w14:textId="77777777" w:rsidR="00390D38" w:rsidRPr="00F33E1E" w:rsidRDefault="006D00C8">
      <w:pPr>
        <w:spacing w:after="200" w:line="276" w:lineRule="auto"/>
        <w:rPr>
          <w:b/>
          <w:smallCaps/>
          <w:sz w:val="22"/>
          <w:szCs w:val="22"/>
          <w:lang w:val="en-CA" w:eastAsia="en-IN"/>
        </w:rPr>
      </w:pPr>
      <w:r w:rsidRPr="00F33E1E">
        <w:rPr>
          <w:b/>
          <w:smallCaps/>
          <w:sz w:val="22"/>
          <w:szCs w:val="22"/>
          <w:lang w:val="en-CA"/>
        </w:rPr>
        <w:br w:type="page"/>
      </w:r>
    </w:p>
    <w:p w14:paraId="05641695" w14:textId="72A4CD3F" w:rsidR="001D12B0" w:rsidRPr="00F33E1E" w:rsidRDefault="001D12B0" w:rsidP="001D12B0">
      <w:pPr>
        <w:pStyle w:val="BodyTextMain"/>
        <w:jc w:val="center"/>
        <w:rPr>
          <w:rFonts w:ascii="Arial" w:hAnsi="Arial" w:cs="Arial"/>
          <w:b/>
          <w:caps/>
          <w:sz w:val="20"/>
          <w:szCs w:val="20"/>
          <w:lang w:val="en-CA"/>
        </w:rPr>
      </w:pPr>
      <w:r w:rsidRPr="00F33E1E">
        <w:rPr>
          <w:rFonts w:ascii="Arial" w:hAnsi="Arial" w:cs="Arial"/>
          <w:b/>
          <w:caps/>
          <w:sz w:val="20"/>
          <w:szCs w:val="20"/>
          <w:lang w:val="en-CA"/>
        </w:rPr>
        <w:lastRenderedPageBreak/>
        <w:t xml:space="preserve">Exhibit </w:t>
      </w:r>
      <w:r w:rsidR="00E05E1B" w:rsidRPr="00F33E1E">
        <w:rPr>
          <w:rFonts w:ascii="Arial" w:hAnsi="Arial" w:cs="Arial"/>
          <w:b/>
          <w:caps/>
          <w:sz w:val="20"/>
          <w:szCs w:val="20"/>
          <w:lang w:val="en-CA"/>
        </w:rPr>
        <w:t>3</w:t>
      </w:r>
      <w:r w:rsidRPr="00F33E1E">
        <w:rPr>
          <w:rFonts w:ascii="Arial" w:hAnsi="Arial" w:cs="Arial"/>
          <w:b/>
          <w:caps/>
          <w:sz w:val="20"/>
          <w:szCs w:val="20"/>
          <w:lang w:val="en-CA"/>
        </w:rPr>
        <w:t>: Property Cooling Measures</w:t>
      </w:r>
    </w:p>
    <w:p w14:paraId="351C6D13" w14:textId="77777777" w:rsidR="001D12B0" w:rsidRPr="00F33E1E" w:rsidRDefault="001D12B0" w:rsidP="00D04358">
      <w:pPr>
        <w:pStyle w:val="BodyTextMain"/>
        <w:rPr>
          <w:noProof/>
          <w:lang w:val="en-SG" w:eastAsia="en-SG"/>
        </w:rPr>
      </w:pPr>
    </w:p>
    <w:p w14:paraId="1E914334" w14:textId="77777777" w:rsidR="001D12B0" w:rsidRPr="00F33E1E" w:rsidRDefault="001D12B0" w:rsidP="00D04358">
      <w:pPr>
        <w:pStyle w:val="Casehead2"/>
        <w:rPr>
          <w:noProof/>
          <w:lang w:val="en-SG" w:eastAsia="en-SG"/>
        </w:rPr>
      </w:pPr>
      <w:r w:rsidRPr="00F33E1E">
        <w:rPr>
          <w:noProof/>
          <w:lang w:val="en-SG" w:eastAsia="en-SG"/>
        </w:rPr>
        <w:t>Additional Buyer Stamp Duty (ABSD)</w:t>
      </w:r>
    </w:p>
    <w:p w14:paraId="45CBD870" w14:textId="77777777" w:rsidR="001D12B0" w:rsidRPr="00F33E1E" w:rsidRDefault="001D12B0" w:rsidP="00D04358">
      <w:pPr>
        <w:pStyle w:val="BodyTextMain"/>
        <w:rPr>
          <w:lang w:val="en-CA"/>
        </w:rPr>
      </w:pPr>
    </w:p>
    <w:tbl>
      <w:tblPr>
        <w:tblW w:w="9000" w:type="dxa"/>
        <w:jc w:val="center"/>
        <w:shd w:val="clear" w:color="auto" w:fill="FFFFFF" w:themeFill="background1"/>
        <w:tblLook w:val="04A0" w:firstRow="1" w:lastRow="0" w:firstColumn="1" w:lastColumn="0" w:noHBand="0" w:noVBand="1"/>
      </w:tblPr>
      <w:tblGrid>
        <w:gridCol w:w="2192"/>
        <w:gridCol w:w="2268"/>
        <w:gridCol w:w="2410"/>
        <w:gridCol w:w="2130"/>
      </w:tblGrid>
      <w:tr w:rsidR="001D12B0" w:rsidRPr="00F33E1E" w14:paraId="28063C32" w14:textId="77777777" w:rsidTr="007D2CA7">
        <w:trPr>
          <w:trHeight w:val="464"/>
          <w:jc w:val="center"/>
        </w:trPr>
        <w:tc>
          <w:tcPr>
            <w:tcW w:w="2192"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bottom"/>
            <w:hideMark/>
          </w:tcPr>
          <w:p w14:paraId="383B2385" w14:textId="77777777" w:rsidR="001D12B0" w:rsidRPr="00F33E1E" w:rsidRDefault="001D12B0" w:rsidP="00F341A5">
            <w:pPr>
              <w:rPr>
                <w:rFonts w:ascii="Arial" w:hAnsi="Arial" w:cs="Arial"/>
                <w:b/>
                <w:lang w:val="en-SG" w:eastAsia="en-SG"/>
              </w:rPr>
            </w:pPr>
            <w:r w:rsidRPr="00F33E1E">
              <w:rPr>
                <w:rFonts w:ascii="Arial" w:hAnsi="Arial" w:cs="Arial"/>
                <w:b/>
                <w:lang w:val="en-SG" w:eastAsia="en-SG"/>
              </w:rPr>
              <w:t>Citizenship</w:t>
            </w:r>
          </w:p>
        </w:tc>
        <w:tc>
          <w:tcPr>
            <w:tcW w:w="2268"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bottom"/>
            <w:hideMark/>
          </w:tcPr>
          <w:p w14:paraId="4FCE6F32"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 xml:space="preserve">ABSD Rate on Primary Home </w:t>
            </w:r>
          </w:p>
        </w:tc>
        <w:tc>
          <w:tcPr>
            <w:tcW w:w="241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bottom"/>
            <w:hideMark/>
          </w:tcPr>
          <w:p w14:paraId="3D8CAEC0"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 xml:space="preserve">ABSD Rate on Secondary Home </w:t>
            </w:r>
          </w:p>
        </w:tc>
        <w:tc>
          <w:tcPr>
            <w:tcW w:w="213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bottom"/>
            <w:hideMark/>
          </w:tcPr>
          <w:p w14:paraId="5918D091" w14:textId="4AB36D88" w:rsidR="001D12B0" w:rsidRPr="00F33E1E" w:rsidRDefault="001D12B0" w:rsidP="00B138A9">
            <w:pPr>
              <w:jc w:val="center"/>
              <w:rPr>
                <w:rFonts w:ascii="Arial" w:hAnsi="Arial" w:cs="Arial"/>
                <w:b/>
                <w:lang w:val="en-SG" w:eastAsia="en-SG"/>
              </w:rPr>
            </w:pPr>
            <w:r w:rsidRPr="00F33E1E">
              <w:rPr>
                <w:rFonts w:ascii="Arial" w:hAnsi="Arial" w:cs="Arial"/>
                <w:b/>
                <w:lang w:val="en-SG" w:eastAsia="en-SG"/>
              </w:rPr>
              <w:t xml:space="preserve">ABSD Rate on Tertiary </w:t>
            </w:r>
            <w:r w:rsidR="00303F2B">
              <w:rPr>
                <w:rFonts w:ascii="Arial" w:hAnsi="Arial" w:cs="Arial"/>
                <w:b/>
                <w:lang w:val="en-SG" w:eastAsia="en-SG"/>
              </w:rPr>
              <w:t>and</w:t>
            </w:r>
            <w:r w:rsidRPr="00F33E1E">
              <w:rPr>
                <w:rFonts w:ascii="Arial" w:hAnsi="Arial" w:cs="Arial"/>
                <w:b/>
                <w:lang w:val="en-SG" w:eastAsia="en-SG"/>
              </w:rPr>
              <w:t xml:space="preserve"> Subsequent Homes </w:t>
            </w:r>
          </w:p>
        </w:tc>
      </w:tr>
      <w:tr w:rsidR="001D12B0" w:rsidRPr="00F33E1E" w14:paraId="21CF49A5" w14:textId="77777777" w:rsidTr="007D2CA7">
        <w:trPr>
          <w:trHeight w:val="464"/>
          <w:jc w:val="center"/>
        </w:trPr>
        <w:tc>
          <w:tcPr>
            <w:tcW w:w="2192"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124004C3" w14:textId="77777777" w:rsidR="001D12B0" w:rsidRPr="00F33E1E" w:rsidRDefault="001D12B0" w:rsidP="00F341A5">
            <w:pPr>
              <w:rPr>
                <w:rFonts w:ascii="Arial" w:hAnsi="Arial" w:cs="Arial"/>
                <w:color w:val="006100"/>
                <w:lang w:val="en-SG" w:eastAsia="en-SG"/>
              </w:rPr>
            </w:pPr>
          </w:p>
        </w:tc>
        <w:tc>
          <w:tcPr>
            <w:tcW w:w="2268"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3D0361F7" w14:textId="77777777" w:rsidR="001D12B0" w:rsidRPr="00F33E1E" w:rsidRDefault="001D12B0" w:rsidP="00F341A5">
            <w:pPr>
              <w:rPr>
                <w:rFonts w:ascii="Arial" w:hAnsi="Arial" w:cs="Arial"/>
                <w:color w:val="006100"/>
                <w:lang w:val="en-SG" w:eastAsia="en-SG"/>
              </w:rPr>
            </w:pPr>
          </w:p>
        </w:tc>
        <w:tc>
          <w:tcPr>
            <w:tcW w:w="241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45D21241" w14:textId="77777777" w:rsidR="001D12B0" w:rsidRPr="00F33E1E" w:rsidRDefault="001D12B0" w:rsidP="00F341A5">
            <w:pPr>
              <w:rPr>
                <w:rFonts w:ascii="Arial" w:hAnsi="Arial" w:cs="Arial"/>
                <w:color w:val="006100"/>
                <w:lang w:val="en-SG" w:eastAsia="en-SG"/>
              </w:rPr>
            </w:pPr>
          </w:p>
        </w:tc>
        <w:tc>
          <w:tcPr>
            <w:tcW w:w="213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27131311" w14:textId="77777777" w:rsidR="001D12B0" w:rsidRPr="00F33E1E" w:rsidRDefault="001D12B0" w:rsidP="00F341A5">
            <w:pPr>
              <w:rPr>
                <w:rFonts w:ascii="Arial" w:hAnsi="Arial" w:cs="Arial"/>
                <w:color w:val="006100"/>
                <w:lang w:val="en-SG" w:eastAsia="en-SG"/>
              </w:rPr>
            </w:pPr>
          </w:p>
        </w:tc>
      </w:tr>
      <w:tr w:rsidR="001D12B0" w:rsidRPr="00F33E1E" w14:paraId="09936EEC"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4909F2"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Singapore citizens</w:t>
            </w:r>
          </w:p>
        </w:tc>
        <w:tc>
          <w:tcPr>
            <w:tcW w:w="2268" w:type="dxa"/>
            <w:tcBorders>
              <w:top w:val="nil"/>
              <w:left w:val="nil"/>
              <w:bottom w:val="single" w:sz="4" w:space="0" w:color="auto"/>
              <w:right w:val="single" w:sz="4" w:space="0" w:color="auto"/>
            </w:tcBorders>
            <w:shd w:val="clear" w:color="auto" w:fill="FFFFFF" w:themeFill="background1"/>
            <w:noWrap/>
            <w:vAlign w:val="bottom"/>
            <w:hideMark/>
          </w:tcPr>
          <w:p w14:paraId="150F5BF0"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N/A</w:t>
            </w:r>
          </w:p>
        </w:tc>
        <w:tc>
          <w:tcPr>
            <w:tcW w:w="2410" w:type="dxa"/>
            <w:tcBorders>
              <w:top w:val="nil"/>
              <w:left w:val="nil"/>
              <w:bottom w:val="single" w:sz="4" w:space="0" w:color="auto"/>
              <w:right w:val="single" w:sz="4" w:space="0" w:color="auto"/>
            </w:tcBorders>
            <w:shd w:val="clear" w:color="auto" w:fill="FFFFFF" w:themeFill="background1"/>
            <w:noWrap/>
            <w:vAlign w:val="bottom"/>
            <w:hideMark/>
          </w:tcPr>
          <w:p w14:paraId="0946C38F"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0% revised to 7%</w:t>
            </w:r>
          </w:p>
        </w:tc>
        <w:tc>
          <w:tcPr>
            <w:tcW w:w="2130" w:type="dxa"/>
            <w:tcBorders>
              <w:top w:val="nil"/>
              <w:left w:val="nil"/>
              <w:bottom w:val="single" w:sz="4" w:space="0" w:color="auto"/>
              <w:right w:val="single" w:sz="4" w:space="0" w:color="auto"/>
            </w:tcBorders>
            <w:shd w:val="clear" w:color="auto" w:fill="FFFFFF" w:themeFill="background1"/>
            <w:noWrap/>
            <w:vAlign w:val="bottom"/>
            <w:hideMark/>
          </w:tcPr>
          <w:p w14:paraId="7AC8EF5B"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3% revised to 10%</w:t>
            </w:r>
          </w:p>
        </w:tc>
      </w:tr>
      <w:tr w:rsidR="001D12B0" w:rsidRPr="00F33E1E" w14:paraId="39BEDF93"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81306C2"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Permanent residents</w:t>
            </w:r>
          </w:p>
        </w:tc>
        <w:tc>
          <w:tcPr>
            <w:tcW w:w="2268" w:type="dxa"/>
            <w:tcBorders>
              <w:top w:val="nil"/>
              <w:left w:val="nil"/>
              <w:bottom w:val="single" w:sz="4" w:space="0" w:color="auto"/>
              <w:right w:val="single" w:sz="4" w:space="0" w:color="auto"/>
            </w:tcBorders>
            <w:shd w:val="clear" w:color="auto" w:fill="FFFFFF" w:themeFill="background1"/>
            <w:noWrap/>
            <w:vAlign w:val="bottom"/>
            <w:hideMark/>
          </w:tcPr>
          <w:p w14:paraId="0CF73512"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0% revised to 5%</w:t>
            </w:r>
          </w:p>
        </w:tc>
        <w:tc>
          <w:tcPr>
            <w:tcW w:w="2410" w:type="dxa"/>
            <w:tcBorders>
              <w:top w:val="nil"/>
              <w:left w:val="nil"/>
              <w:bottom w:val="single" w:sz="4" w:space="0" w:color="auto"/>
              <w:right w:val="single" w:sz="4" w:space="0" w:color="auto"/>
            </w:tcBorders>
            <w:shd w:val="clear" w:color="auto" w:fill="FFFFFF" w:themeFill="background1"/>
            <w:noWrap/>
            <w:vAlign w:val="bottom"/>
            <w:hideMark/>
          </w:tcPr>
          <w:p w14:paraId="02BB98EF"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3% revised to 10%</w:t>
            </w:r>
          </w:p>
        </w:tc>
        <w:tc>
          <w:tcPr>
            <w:tcW w:w="2130" w:type="dxa"/>
            <w:tcBorders>
              <w:top w:val="nil"/>
              <w:left w:val="nil"/>
              <w:bottom w:val="single" w:sz="4" w:space="0" w:color="auto"/>
              <w:right w:val="single" w:sz="4" w:space="0" w:color="auto"/>
            </w:tcBorders>
            <w:shd w:val="clear" w:color="auto" w:fill="FFFFFF" w:themeFill="background1"/>
            <w:noWrap/>
            <w:vAlign w:val="bottom"/>
            <w:hideMark/>
          </w:tcPr>
          <w:p w14:paraId="71E6AE6F"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3% revised to 10%</w:t>
            </w:r>
          </w:p>
        </w:tc>
      </w:tr>
      <w:tr w:rsidR="001D12B0" w:rsidRPr="00F33E1E" w14:paraId="753E6578"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A93CF8F" w14:textId="607DE301" w:rsidR="001D12B0" w:rsidRPr="00F33E1E" w:rsidRDefault="001D12B0" w:rsidP="00B138A9">
            <w:pPr>
              <w:rPr>
                <w:rFonts w:ascii="Arial" w:hAnsi="Arial" w:cs="Arial"/>
                <w:color w:val="000000"/>
                <w:lang w:val="en-SG" w:eastAsia="en-SG"/>
              </w:rPr>
            </w:pPr>
            <w:r w:rsidRPr="00F33E1E">
              <w:rPr>
                <w:rFonts w:ascii="Arial" w:hAnsi="Arial" w:cs="Arial"/>
                <w:color w:val="000000"/>
                <w:lang w:val="en-SG" w:eastAsia="en-SG"/>
              </w:rPr>
              <w:t xml:space="preserve">Foreigners </w:t>
            </w:r>
            <w:r w:rsidR="00303F2B">
              <w:rPr>
                <w:rFonts w:ascii="Arial" w:hAnsi="Arial" w:cs="Arial"/>
                <w:color w:val="000000"/>
                <w:lang w:val="en-SG" w:eastAsia="en-SG"/>
              </w:rPr>
              <w:t>and</w:t>
            </w:r>
            <w:r w:rsidRPr="00F33E1E">
              <w:rPr>
                <w:rFonts w:ascii="Arial" w:hAnsi="Arial" w:cs="Arial"/>
                <w:color w:val="000000"/>
                <w:lang w:val="en-SG" w:eastAsia="en-SG"/>
              </w:rPr>
              <w:t xml:space="preserve"> non</w:t>
            </w:r>
            <w:r w:rsidRPr="00F33E1E">
              <w:rPr>
                <w:rFonts w:ascii="Arial" w:hAnsi="Arial" w:cs="Arial"/>
                <w:color w:val="000000"/>
                <w:lang w:val="en-SG" w:eastAsia="en-SG"/>
              </w:rPr>
              <w:noBreakHyphen/>
              <w:t>individuals</w:t>
            </w:r>
          </w:p>
        </w:tc>
        <w:tc>
          <w:tcPr>
            <w:tcW w:w="2268" w:type="dxa"/>
            <w:tcBorders>
              <w:top w:val="nil"/>
              <w:left w:val="nil"/>
              <w:bottom w:val="single" w:sz="4" w:space="0" w:color="auto"/>
              <w:right w:val="single" w:sz="4" w:space="0" w:color="auto"/>
            </w:tcBorders>
            <w:shd w:val="clear" w:color="auto" w:fill="FFFFFF" w:themeFill="background1"/>
            <w:noWrap/>
            <w:vAlign w:val="bottom"/>
            <w:hideMark/>
          </w:tcPr>
          <w:p w14:paraId="438E93E4"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10% revised to 15%</w:t>
            </w:r>
          </w:p>
        </w:tc>
        <w:tc>
          <w:tcPr>
            <w:tcW w:w="2410" w:type="dxa"/>
            <w:tcBorders>
              <w:top w:val="nil"/>
              <w:left w:val="nil"/>
              <w:bottom w:val="single" w:sz="4" w:space="0" w:color="auto"/>
              <w:right w:val="single" w:sz="4" w:space="0" w:color="auto"/>
            </w:tcBorders>
            <w:shd w:val="clear" w:color="auto" w:fill="FFFFFF" w:themeFill="background1"/>
            <w:noWrap/>
            <w:vAlign w:val="bottom"/>
            <w:hideMark/>
          </w:tcPr>
          <w:p w14:paraId="4FCC5DBB"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10% revised to 15%</w:t>
            </w:r>
          </w:p>
        </w:tc>
        <w:tc>
          <w:tcPr>
            <w:tcW w:w="2130" w:type="dxa"/>
            <w:tcBorders>
              <w:top w:val="nil"/>
              <w:left w:val="nil"/>
              <w:bottom w:val="single" w:sz="4" w:space="0" w:color="auto"/>
              <w:right w:val="single" w:sz="4" w:space="0" w:color="auto"/>
            </w:tcBorders>
            <w:shd w:val="clear" w:color="auto" w:fill="FFFFFF" w:themeFill="background1"/>
            <w:noWrap/>
            <w:vAlign w:val="bottom"/>
            <w:hideMark/>
          </w:tcPr>
          <w:p w14:paraId="6E34A8D8"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10% revised to 15%</w:t>
            </w:r>
          </w:p>
        </w:tc>
      </w:tr>
    </w:tbl>
    <w:p w14:paraId="75C7A84C" w14:textId="20A517AC" w:rsidR="001D12B0" w:rsidRDefault="001D12B0" w:rsidP="00D04358">
      <w:pPr>
        <w:pStyle w:val="BodyTextMain"/>
        <w:rPr>
          <w:noProof/>
          <w:lang w:val="en-SG" w:eastAsia="en-SG"/>
        </w:rPr>
      </w:pPr>
    </w:p>
    <w:p w14:paraId="7889E9C9" w14:textId="77777777" w:rsidR="00D04358" w:rsidRPr="00F33E1E" w:rsidRDefault="00D04358" w:rsidP="00D04358">
      <w:pPr>
        <w:pStyle w:val="BodyTextMain"/>
        <w:rPr>
          <w:noProof/>
          <w:lang w:val="en-SG" w:eastAsia="en-SG"/>
        </w:rPr>
      </w:pPr>
    </w:p>
    <w:p w14:paraId="0790679F" w14:textId="77777777" w:rsidR="001D12B0" w:rsidRPr="00F33E1E" w:rsidRDefault="001D12B0" w:rsidP="00D04358">
      <w:pPr>
        <w:pStyle w:val="Casehead2"/>
        <w:rPr>
          <w:noProof/>
          <w:lang w:val="en-SG" w:eastAsia="en-SG"/>
        </w:rPr>
      </w:pPr>
      <w:r w:rsidRPr="00F33E1E">
        <w:rPr>
          <w:noProof/>
          <w:lang w:val="en-SG" w:eastAsia="en-SG"/>
        </w:rPr>
        <w:t>Additional Seller Stamp Duty (SSD)</w:t>
      </w:r>
    </w:p>
    <w:p w14:paraId="49E3E38D" w14:textId="77777777" w:rsidR="001D12B0" w:rsidRPr="00F33E1E" w:rsidRDefault="001D12B0" w:rsidP="00D04358">
      <w:pPr>
        <w:pStyle w:val="BodyTextMain"/>
        <w:rPr>
          <w:noProof/>
          <w:lang w:val="en-SG" w:eastAsia="en-SG"/>
        </w:rPr>
      </w:pPr>
    </w:p>
    <w:tbl>
      <w:tblPr>
        <w:tblW w:w="8910" w:type="dxa"/>
        <w:jc w:val="center"/>
        <w:tblLook w:val="04A0" w:firstRow="1" w:lastRow="0" w:firstColumn="1" w:lastColumn="0" w:noHBand="0" w:noVBand="1"/>
      </w:tblPr>
      <w:tblGrid>
        <w:gridCol w:w="2192"/>
        <w:gridCol w:w="1858"/>
        <w:gridCol w:w="1620"/>
        <w:gridCol w:w="1620"/>
        <w:gridCol w:w="1620"/>
      </w:tblGrid>
      <w:tr w:rsidR="001D12B0" w:rsidRPr="00F33E1E" w14:paraId="51B521EE" w14:textId="77777777" w:rsidTr="007D2CA7">
        <w:trPr>
          <w:trHeight w:val="300"/>
          <w:jc w:val="center"/>
        </w:trPr>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69D792E" w14:textId="77777777" w:rsidR="001D12B0" w:rsidRPr="00F33E1E" w:rsidRDefault="001D12B0" w:rsidP="00F341A5">
            <w:pPr>
              <w:rPr>
                <w:rFonts w:ascii="Arial" w:hAnsi="Arial" w:cs="Arial"/>
                <w:b/>
                <w:lang w:val="en-SG" w:eastAsia="en-SG"/>
              </w:rPr>
            </w:pPr>
            <w:r w:rsidRPr="00F33E1E">
              <w:rPr>
                <w:rFonts w:ascii="Arial" w:hAnsi="Arial" w:cs="Arial"/>
                <w:b/>
                <w:lang w:val="en-SG" w:eastAsia="en-SG"/>
              </w:rPr>
              <w:t xml:space="preserve">Residential Property </w:t>
            </w:r>
          </w:p>
        </w:tc>
        <w:tc>
          <w:tcPr>
            <w:tcW w:w="1858"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23EB533"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Sold in Year 1</w:t>
            </w:r>
          </w:p>
        </w:tc>
        <w:tc>
          <w:tcPr>
            <w:tcW w:w="16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ABA370C"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Sold in Year 2</w:t>
            </w:r>
          </w:p>
        </w:tc>
        <w:tc>
          <w:tcPr>
            <w:tcW w:w="16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4DEB92D"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Sold in Year 3</w:t>
            </w:r>
          </w:p>
        </w:tc>
        <w:tc>
          <w:tcPr>
            <w:tcW w:w="16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F72C9D0" w14:textId="77777777" w:rsidR="001D12B0" w:rsidRPr="00F33E1E" w:rsidRDefault="001D12B0" w:rsidP="00F341A5">
            <w:pPr>
              <w:jc w:val="center"/>
              <w:rPr>
                <w:rFonts w:ascii="Arial" w:hAnsi="Arial" w:cs="Arial"/>
                <w:b/>
                <w:lang w:val="en-SG" w:eastAsia="en-SG"/>
              </w:rPr>
            </w:pPr>
            <w:r w:rsidRPr="00F33E1E">
              <w:rPr>
                <w:rFonts w:ascii="Arial" w:hAnsi="Arial" w:cs="Arial"/>
                <w:b/>
                <w:lang w:val="en-SG" w:eastAsia="en-SG"/>
              </w:rPr>
              <w:t>Sold in Year 4</w:t>
            </w:r>
          </w:p>
        </w:tc>
      </w:tr>
      <w:tr w:rsidR="001D12B0" w:rsidRPr="00F33E1E" w14:paraId="31EB6CCE"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CE37A7C" w14:textId="77777777" w:rsidR="001D12B0" w:rsidRPr="00F33E1E" w:rsidRDefault="001D12B0" w:rsidP="00F341A5">
            <w:pPr>
              <w:rPr>
                <w:rFonts w:ascii="Arial" w:hAnsi="Arial" w:cs="Arial"/>
                <w:lang w:val="en-SG" w:eastAsia="en-SG"/>
              </w:rPr>
            </w:pPr>
            <w:r w:rsidRPr="00F33E1E">
              <w:rPr>
                <w:rFonts w:ascii="Arial" w:hAnsi="Arial" w:cs="Arial"/>
                <w:lang w:val="en-SG" w:eastAsia="en-SG"/>
              </w:rPr>
              <w:t>SSD rate since February 2010</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14:paraId="2DDEA46A" w14:textId="77777777" w:rsidR="001D12B0" w:rsidRPr="00F33E1E" w:rsidRDefault="001D12B0" w:rsidP="00F341A5">
            <w:pPr>
              <w:jc w:val="center"/>
              <w:rPr>
                <w:rFonts w:ascii="Arial" w:hAnsi="Arial" w:cs="Arial"/>
                <w:lang w:val="en-SG" w:eastAsia="en-SG"/>
              </w:rPr>
            </w:pPr>
            <w:r w:rsidRPr="00F33E1E">
              <w:rPr>
                <w:rFonts w:ascii="Arial" w:hAnsi="Arial" w:cs="Arial"/>
                <w:lang w:val="en-SG" w:eastAsia="en-SG"/>
              </w:rPr>
              <w:t>Same as basic buyer stamp duty</w:t>
            </w:r>
          </w:p>
        </w:tc>
        <w:tc>
          <w:tcPr>
            <w:tcW w:w="1620" w:type="dxa"/>
            <w:tcBorders>
              <w:top w:val="nil"/>
              <w:left w:val="nil"/>
              <w:bottom w:val="single" w:sz="4" w:space="0" w:color="auto"/>
              <w:right w:val="single" w:sz="4" w:space="0" w:color="auto"/>
            </w:tcBorders>
            <w:shd w:val="clear" w:color="auto" w:fill="FFFFFF" w:themeFill="background1"/>
            <w:noWrap/>
            <w:vAlign w:val="bottom"/>
            <w:hideMark/>
          </w:tcPr>
          <w:p w14:paraId="51564748" w14:textId="77777777" w:rsidR="001D12B0" w:rsidRPr="00F33E1E" w:rsidRDefault="001D12B0" w:rsidP="00F341A5">
            <w:pPr>
              <w:jc w:val="center"/>
              <w:rPr>
                <w:rFonts w:ascii="Arial" w:hAnsi="Arial" w:cs="Arial"/>
                <w:lang w:val="en-SG" w:eastAsia="en-SG"/>
              </w:rPr>
            </w:pPr>
            <w:r w:rsidRPr="00F33E1E">
              <w:rPr>
                <w:rFonts w:ascii="Arial" w:hAnsi="Arial" w:cs="Arial"/>
                <w:lang w:val="en-SG" w:eastAsia="en-SG"/>
              </w:rPr>
              <w:t>N/A</w:t>
            </w:r>
          </w:p>
        </w:tc>
        <w:tc>
          <w:tcPr>
            <w:tcW w:w="1620" w:type="dxa"/>
            <w:tcBorders>
              <w:top w:val="nil"/>
              <w:left w:val="nil"/>
              <w:bottom w:val="single" w:sz="4" w:space="0" w:color="auto"/>
              <w:right w:val="single" w:sz="4" w:space="0" w:color="auto"/>
            </w:tcBorders>
            <w:shd w:val="clear" w:color="auto" w:fill="FFFFFF" w:themeFill="background1"/>
            <w:noWrap/>
            <w:vAlign w:val="bottom"/>
            <w:hideMark/>
          </w:tcPr>
          <w:p w14:paraId="75F967A6" w14:textId="77777777" w:rsidR="001D12B0" w:rsidRPr="00F33E1E" w:rsidRDefault="001D12B0" w:rsidP="00F341A5">
            <w:pPr>
              <w:jc w:val="center"/>
              <w:rPr>
                <w:rFonts w:ascii="Arial" w:hAnsi="Arial" w:cs="Arial"/>
                <w:lang w:val="en-SG" w:eastAsia="en-SG"/>
              </w:rPr>
            </w:pPr>
            <w:r w:rsidRPr="00F33E1E">
              <w:rPr>
                <w:rFonts w:ascii="Arial" w:hAnsi="Arial" w:cs="Arial"/>
                <w:lang w:val="en-SG" w:eastAsia="en-SG"/>
              </w:rPr>
              <w:t>N/A</w:t>
            </w:r>
          </w:p>
        </w:tc>
        <w:tc>
          <w:tcPr>
            <w:tcW w:w="1620" w:type="dxa"/>
            <w:tcBorders>
              <w:top w:val="nil"/>
              <w:left w:val="nil"/>
              <w:bottom w:val="single" w:sz="4" w:space="0" w:color="auto"/>
              <w:right w:val="single" w:sz="4" w:space="0" w:color="auto"/>
            </w:tcBorders>
            <w:shd w:val="clear" w:color="auto" w:fill="FFFFFF" w:themeFill="background1"/>
            <w:noWrap/>
            <w:vAlign w:val="bottom"/>
            <w:hideMark/>
          </w:tcPr>
          <w:p w14:paraId="7C0A4AFB" w14:textId="77777777" w:rsidR="001D12B0" w:rsidRPr="00F33E1E" w:rsidRDefault="001D12B0" w:rsidP="00F341A5">
            <w:pPr>
              <w:jc w:val="center"/>
              <w:rPr>
                <w:rFonts w:ascii="Arial" w:hAnsi="Arial" w:cs="Arial"/>
                <w:lang w:val="en-SG" w:eastAsia="en-SG"/>
              </w:rPr>
            </w:pPr>
            <w:r w:rsidRPr="00F33E1E">
              <w:rPr>
                <w:rFonts w:ascii="Arial" w:hAnsi="Arial" w:cs="Arial"/>
                <w:lang w:val="en-SG" w:eastAsia="en-SG"/>
              </w:rPr>
              <w:t>N/A</w:t>
            </w:r>
          </w:p>
        </w:tc>
      </w:tr>
      <w:tr w:rsidR="001D12B0" w:rsidRPr="00F33E1E" w14:paraId="020E0585"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2FB9EAC9"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SSD rate since August 2010</w:t>
            </w:r>
          </w:p>
        </w:tc>
        <w:tc>
          <w:tcPr>
            <w:tcW w:w="1858" w:type="dxa"/>
            <w:tcBorders>
              <w:top w:val="nil"/>
              <w:left w:val="nil"/>
              <w:bottom w:val="single" w:sz="4" w:space="0" w:color="auto"/>
              <w:right w:val="single" w:sz="4" w:space="0" w:color="auto"/>
            </w:tcBorders>
            <w:shd w:val="clear" w:color="auto" w:fill="auto"/>
            <w:noWrap/>
            <w:vAlign w:val="bottom"/>
            <w:hideMark/>
          </w:tcPr>
          <w:p w14:paraId="0A70F398"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Same as basic buyer stamp duty</w:t>
            </w:r>
          </w:p>
        </w:tc>
        <w:tc>
          <w:tcPr>
            <w:tcW w:w="1620" w:type="dxa"/>
            <w:tcBorders>
              <w:top w:val="nil"/>
              <w:left w:val="nil"/>
              <w:bottom w:val="single" w:sz="4" w:space="0" w:color="auto"/>
              <w:right w:val="single" w:sz="4" w:space="0" w:color="auto"/>
            </w:tcBorders>
            <w:shd w:val="clear" w:color="auto" w:fill="auto"/>
            <w:noWrap/>
            <w:vAlign w:val="bottom"/>
            <w:hideMark/>
          </w:tcPr>
          <w:p w14:paraId="2A3DC824"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2/3 of basic buyer stamp duty</w:t>
            </w:r>
          </w:p>
        </w:tc>
        <w:tc>
          <w:tcPr>
            <w:tcW w:w="1620" w:type="dxa"/>
            <w:tcBorders>
              <w:top w:val="nil"/>
              <w:left w:val="nil"/>
              <w:bottom w:val="single" w:sz="4" w:space="0" w:color="auto"/>
              <w:right w:val="single" w:sz="4" w:space="0" w:color="auto"/>
            </w:tcBorders>
            <w:shd w:val="clear" w:color="auto" w:fill="auto"/>
            <w:noWrap/>
            <w:vAlign w:val="bottom"/>
            <w:hideMark/>
          </w:tcPr>
          <w:p w14:paraId="1F33D037"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1/3 of basic buyer stamp duty</w:t>
            </w:r>
          </w:p>
        </w:tc>
        <w:tc>
          <w:tcPr>
            <w:tcW w:w="1620" w:type="dxa"/>
            <w:tcBorders>
              <w:top w:val="nil"/>
              <w:left w:val="nil"/>
              <w:bottom w:val="single" w:sz="4" w:space="0" w:color="auto"/>
              <w:right w:val="single" w:sz="4" w:space="0" w:color="auto"/>
            </w:tcBorders>
            <w:shd w:val="clear" w:color="auto" w:fill="auto"/>
            <w:noWrap/>
            <w:vAlign w:val="bottom"/>
            <w:hideMark/>
          </w:tcPr>
          <w:p w14:paraId="21C79E3B"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N/A</w:t>
            </w:r>
          </w:p>
        </w:tc>
      </w:tr>
      <w:tr w:rsidR="001D12B0" w:rsidRPr="00F33E1E" w14:paraId="255B31F8" w14:textId="77777777" w:rsidTr="007D2CA7">
        <w:trPr>
          <w:trHeight w:val="300"/>
          <w:jc w:val="center"/>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14:paraId="6EF668C0"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SSD rate since January 2011</w:t>
            </w:r>
          </w:p>
        </w:tc>
        <w:tc>
          <w:tcPr>
            <w:tcW w:w="1858" w:type="dxa"/>
            <w:tcBorders>
              <w:top w:val="nil"/>
              <w:left w:val="nil"/>
              <w:bottom w:val="single" w:sz="4" w:space="0" w:color="auto"/>
              <w:right w:val="single" w:sz="4" w:space="0" w:color="auto"/>
            </w:tcBorders>
            <w:shd w:val="clear" w:color="auto" w:fill="auto"/>
            <w:noWrap/>
            <w:vAlign w:val="bottom"/>
            <w:hideMark/>
          </w:tcPr>
          <w:p w14:paraId="7E1D78BF"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16%</w:t>
            </w:r>
          </w:p>
        </w:tc>
        <w:tc>
          <w:tcPr>
            <w:tcW w:w="1620" w:type="dxa"/>
            <w:tcBorders>
              <w:top w:val="nil"/>
              <w:left w:val="nil"/>
              <w:bottom w:val="single" w:sz="4" w:space="0" w:color="auto"/>
              <w:right w:val="single" w:sz="4" w:space="0" w:color="auto"/>
            </w:tcBorders>
            <w:shd w:val="clear" w:color="auto" w:fill="auto"/>
            <w:noWrap/>
            <w:vAlign w:val="bottom"/>
            <w:hideMark/>
          </w:tcPr>
          <w:p w14:paraId="4BAE36FD"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12%</w:t>
            </w:r>
          </w:p>
        </w:tc>
        <w:tc>
          <w:tcPr>
            <w:tcW w:w="1620" w:type="dxa"/>
            <w:tcBorders>
              <w:top w:val="nil"/>
              <w:left w:val="nil"/>
              <w:bottom w:val="single" w:sz="4" w:space="0" w:color="auto"/>
              <w:right w:val="single" w:sz="4" w:space="0" w:color="auto"/>
            </w:tcBorders>
            <w:shd w:val="clear" w:color="auto" w:fill="auto"/>
            <w:noWrap/>
            <w:vAlign w:val="bottom"/>
            <w:hideMark/>
          </w:tcPr>
          <w:p w14:paraId="75806EA2"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8%</w:t>
            </w:r>
          </w:p>
        </w:tc>
        <w:tc>
          <w:tcPr>
            <w:tcW w:w="1620" w:type="dxa"/>
            <w:tcBorders>
              <w:top w:val="nil"/>
              <w:left w:val="nil"/>
              <w:bottom w:val="single" w:sz="4" w:space="0" w:color="auto"/>
              <w:right w:val="single" w:sz="4" w:space="0" w:color="auto"/>
            </w:tcBorders>
            <w:shd w:val="clear" w:color="auto" w:fill="auto"/>
            <w:noWrap/>
            <w:vAlign w:val="bottom"/>
            <w:hideMark/>
          </w:tcPr>
          <w:p w14:paraId="5B213E2D" w14:textId="77777777" w:rsidR="001D12B0" w:rsidRPr="00F33E1E" w:rsidRDefault="001D12B0" w:rsidP="00F341A5">
            <w:pPr>
              <w:jc w:val="center"/>
              <w:rPr>
                <w:rFonts w:ascii="Arial" w:hAnsi="Arial" w:cs="Arial"/>
                <w:color w:val="000000"/>
                <w:lang w:val="en-SG" w:eastAsia="en-SG"/>
              </w:rPr>
            </w:pPr>
            <w:r w:rsidRPr="00F33E1E">
              <w:rPr>
                <w:rFonts w:ascii="Arial" w:hAnsi="Arial" w:cs="Arial"/>
                <w:color w:val="000000"/>
                <w:lang w:val="en-SG" w:eastAsia="en-SG"/>
              </w:rPr>
              <w:t>4%</w:t>
            </w:r>
          </w:p>
        </w:tc>
      </w:tr>
    </w:tbl>
    <w:p w14:paraId="3698C6F8" w14:textId="428502EF" w:rsidR="001D12B0" w:rsidRDefault="001D12B0" w:rsidP="00D04358">
      <w:pPr>
        <w:pStyle w:val="BodyTextMain"/>
        <w:rPr>
          <w:noProof/>
          <w:lang w:val="en-SG" w:eastAsia="en-SG"/>
        </w:rPr>
      </w:pPr>
    </w:p>
    <w:p w14:paraId="03CE692A" w14:textId="77777777" w:rsidR="00D04358" w:rsidRPr="00F33E1E" w:rsidRDefault="00D04358" w:rsidP="00D04358">
      <w:pPr>
        <w:pStyle w:val="BodyTextMain"/>
        <w:rPr>
          <w:noProof/>
          <w:lang w:val="en-SG" w:eastAsia="en-SG"/>
        </w:rPr>
      </w:pPr>
    </w:p>
    <w:p w14:paraId="1E15E3B3" w14:textId="262F9658" w:rsidR="001D12B0" w:rsidRPr="00F33E1E" w:rsidRDefault="001D12B0" w:rsidP="00D04358">
      <w:pPr>
        <w:pStyle w:val="Casehead2"/>
        <w:rPr>
          <w:noProof/>
          <w:lang w:val="en-SG" w:eastAsia="en-SG"/>
        </w:rPr>
      </w:pPr>
      <w:r w:rsidRPr="00F33E1E">
        <w:rPr>
          <w:noProof/>
          <w:lang w:val="en-SG" w:eastAsia="en-SG"/>
        </w:rPr>
        <w:t xml:space="preserve">Restrictions on Loan-to-Value </w:t>
      </w:r>
      <w:r w:rsidR="00303F2B">
        <w:rPr>
          <w:noProof/>
          <w:lang w:val="en-SG" w:eastAsia="en-SG"/>
        </w:rPr>
        <w:t xml:space="preserve">(LTV) </w:t>
      </w:r>
      <w:r w:rsidRPr="00F33E1E">
        <w:rPr>
          <w:noProof/>
          <w:lang w:val="en-SG" w:eastAsia="en-SG"/>
        </w:rPr>
        <w:t>Ratios</w:t>
      </w:r>
    </w:p>
    <w:p w14:paraId="48CD0811" w14:textId="77777777" w:rsidR="001D12B0" w:rsidRPr="00F33E1E" w:rsidRDefault="001D12B0" w:rsidP="00D04358">
      <w:pPr>
        <w:pStyle w:val="BodyTextMain"/>
        <w:rPr>
          <w:noProof/>
          <w:lang w:val="en-SG" w:eastAsia="en-SG"/>
        </w:rPr>
      </w:pPr>
    </w:p>
    <w:tbl>
      <w:tblPr>
        <w:tblW w:w="8100" w:type="dxa"/>
        <w:jc w:val="center"/>
        <w:tblLook w:val="04A0" w:firstRow="1" w:lastRow="0" w:firstColumn="1" w:lastColumn="0" w:noHBand="0" w:noVBand="1"/>
      </w:tblPr>
      <w:tblGrid>
        <w:gridCol w:w="1823"/>
        <w:gridCol w:w="6277"/>
      </w:tblGrid>
      <w:tr w:rsidR="001D12B0" w:rsidRPr="00F33E1E" w14:paraId="369623DC" w14:textId="77777777" w:rsidTr="007D2CA7">
        <w:trPr>
          <w:trHeight w:val="530"/>
          <w:jc w:val="center"/>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B5D4C"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February 2010</w:t>
            </w:r>
          </w:p>
        </w:tc>
        <w:tc>
          <w:tcPr>
            <w:tcW w:w="6277" w:type="dxa"/>
            <w:tcBorders>
              <w:top w:val="single" w:sz="4" w:space="0" w:color="auto"/>
              <w:left w:val="nil"/>
              <w:bottom w:val="single" w:sz="4" w:space="0" w:color="auto"/>
              <w:right w:val="single" w:sz="4" w:space="0" w:color="auto"/>
            </w:tcBorders>
            <w:shd w:val="clear" w:color="auto" w:fill="auto"/>
            <w:vAlign w:val="center"/>
            <w:hideMark/>
          </w:tcPr>
          <w:p w14:paraId="3AF726BE"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 xml:space="preserve">For all loans, the LTV values are revised down from 90% to 80%, to reduce speculative buys in the market. </w:t>
            </w:r>
          </w:p>
        </w:tc>
      </w:tr>
      <w:tr w:rsidR="001D12B0" w:rsidRPr="00F33E1E" w14:paraId="26DC1007" w14:textId="77777777" w:rsidTr="007D2CA7">
        <w:trPr>
          <w:trHeight w:val="530"/>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38EA8AC9"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August 2010</w:t>
            </w:r>
          </w:p>
        </w:tc>
        <w:tc>
          <w:tcPr>
            <w:tcW w:w="6277" w:type="dxa"/>
            <w:tcBorders>
              <w:top w:val="nil"/>
              <w:left w:val="nil"/>
              <w:bottom w:val="single" w:sz="4" w:space="0" w:color="auto"/>
              <w:right w:val="single" w:sz="4" w:space="0" w:color="auto"/>
            </w:tcBorders>
            <w:shd w:val="clear" w:color="auto" w:fill="auto"/>
            <w:vAlign w:val="center"/>
            <w:hideMark/>
          </w:tcPr>
          <w:p w14:paraId="18DB0F06" w14:textId="587A8D15" w:rsidR="001D12B0" w:rsidRPr="00F33E1E" w:rsidRDefault="001D12B0" w:rsidP="00B138A9">
            <w:pPr>
              <w:rPr>
                <w:rFonts w:ascii="Arial" w:hAnsi="Arial" w:cs="Arial"/>
                <w:color w:val="000000"/>
                <w:lang w:val="en-SG" w:eastAsia="en-SG"/>
              </w:rPr>
            </w:pPr>
            <w:r w:rsidRPr="00F33E1E">
              <w:rPr>
                <w:rFonts w:ascii="Arial" w:hAnsi="Arial" w:cs="Arial"/>
                <w:color w:val="000000"/>
                <w:lang w:val="en-SG" w:eastAsia="en-SG"/>
              </w:rPr>
              <w:t xml:space="preserve">For the first loan, the LTV remains at 80% and for the second loan is revised down to 70%. </w:t>
            </w:r>
          </w:p>
        </w:tc>
      </w:tr>
      <w:tr w:rsidR="001D12B0" w:rsidRPr="00F33E1E" w14:paraId="653ED401" w14:textId="77777777" w:rsidTr="007D2CA7">
        <w:trPr>
          <w:trHeight w:val="620"/>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635FB4E2"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January 2011</w:t>
            </w:r>
          </w:p>
        </w:tc>
        <w:tc>
          <w:tcPr>
            <w:tcW w:w="6277" w:type="dxa"/>
            <w:tcBorders>
              <w:top w:val="nil"/>
              <w:left w:val="nil"/>
              <w:bottom w:val="single" w:sz="4" w:space="0" w:color="auto"/>
              <w:right w:val="single" w:sz="4" w:space="0" w:color="auto"/>
            </w:tcBorders>
            <w:shd w:val="clear" w:color="auto" w:fill="auto"/>
            <w:vAlign w:val="center"/>
            <w:hideMark/>
          </w:tcPr>
          <w:p w14:paraId="69AB21DC" w14:textId="708331CC" w:rsidR="001D12B0" w:rsidRPr="00F33E1E" w:rsidRDefault="001D12B0" w:rsidP="00B138A9">
            <w:pPr>
              <w:rPr>
                <w:rFonts w:ascii="Arial" w:hAnsi="Arial" w:cs="Arial"/>
                <w:color w:val="000000"/>
                <w:lang w:val="en-SG" w:eastAsia="en-SG"/>
              </w:rPr>
            </w:pPr>
            <w:r w:rsidRPr="00F33E1E">
              <w:rPr>
                <w:rFonts w:ascii="Arial" w:hAnsi="Arial" w:cs="Arial"/>
                <w:color w:val="000000"/>
                <w:lang w:val="en-SG" w:eastAsia="en-SG"/>
              </w:rPr>
              <w:t xml:space="preserve">For the second loan, the LTV is further reduced to 60%. </w:t>
            </w:r>
            <w:r w:rsidR="00303F2B">
              <w:rPr>
                <w:rFonts w:ascii="Arial" w:hAnsi="Arial" w:cs="Arial"/>
                <w:color w:val="000000"/>
                <w:lang w:val="en-SG" w:eastAsia="en-SG"/>
              </w:rPr>
              <w:t>An a</w:t>
            </w:r>
            <w:r w:rsidRPr="00F33E1E">
              <w:rPr>
                <w:rFonts w:ascii="Arial" w:hAnsi="Arial" w:cs="Arial"/>
                <w:color w:val="000000"/>
                <w:lang w:val="en-SG" w:eastAsia="en-SG"/>
              </w:rPr>
              <w:t>dditional new restriction is introduced for non-individuals, requiring maximum 50% LTV.</w:t>
            </w:r>
          </w:p>
        </w:tc>
      </w:tr>
      <w:tr w:rsidR="001D12B0" w:rsidRPr="00F33E1E" w14:paraId="57868B9A" w14:textId="77777777" w:rsidTr="007D2CA7">
        <w:trPr>
          <w:trHeight w:val="620"/>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36581776"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October 2012</w:t>
            </w:r>
          </w:p>
        </w:tc>
        <w:tc>
          <w:tcPr>
            <w:tcW w:w="6277" w:type="dxa"/>
            <w:tcBorders>
              <w:top w:val="nil"/>
              <w:left w:val="nil"/>
              <w:bottom w:val="single" w:sz="4" w:space="0" w:color="auto"/>
              <w:right w:val="single" w:sz="4" w:space="0" w:color="auto"/>
            </w:tcBorders>
            <w:shd w:val="clear" w:color="auto" w:fill="auto"/>
            <w:vAlign w:val="center"/>
            <w:hideMark/>
          </w:tcPr>
          <w:p w14:paraId="6C88CF53" w14:textId="741A50C6" w:rsidR="001D12B0" w:rsidRPr="00F33E1E" w:rsidRDefault="001D12B0" w:rsidP="00B138A9">
            <w:pPr>
              <w:rPr>
                <w:rFonts w:ascii="Arial" w:hAnsi="Arial" w:cs="Arial"/>
                <w:color w:val="000000"/>
                <w:lang w:val="en-SG" w:eastAsia="en-SG"/>
              </w:rPr>
            </w:pPr>
            <w:r w:rsidRPr="00F33E1E">
              <w:rPr>
                <w:rFonts w:ascii="Arial" w:hAnsi="Arial" w:cs="Arial"/>
                <w:color w:val="000000"/>
                <w:lang w:val="en-SG" w:eastAsia="en-SG"/>
              </w:rPr>
              <w:t>For the first loan, the LTV is revised down to 80% and for second loan is revised down to 60%. For non-individuals, it is revised down to 40%.</w:t>
            </w:r>
          </w:p>
        </w:tc>
      </w:tr>
      <w:tr w:rsidR="001D12B0" w:rsidRPr="00F33E1E" w14:paraId="6A7C07E1" w14:textId="77777777" w:rsidTr="007D2CA7">
        <w:trPr>
          <w:trHeight w:val="620"/>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5FA674E0"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January 2013</w:t>
            </w:r>
          </w:p>
        </w:tc>
        <w:tc>
          <w:tcPr>
            <w:tcW w:w="6277" w:type="dxa"/>
            <w:tcBorders>
              <w:top w:val="nil"/>
              <w:left w:val="nil"/>
              <w:bottom w:val="single" w:sz="4" w:space="0" w:color="auto"/>
              <w:right w:val="single" w:sz="4" w:space="0" w:color="auto"/>
            </w:tcBorders>
            <w:shd w:val="clear" w:color="auto" w:fill="auto"/>
            <w:vAlign w:val="center"/>
            <w:hideMark/>
          </w:tcPr>
          <w:p w14:paraId="0FDE9EBA" w14:textId="77777777" w:rsidR="001D12B0" w:rsidRPr="00F33E1E" w:rsidRDefault="001D12B0" w:rsidP="00F341A5">
            <w:pPr>
              <w:rPr>
                <w:rFonts w:ascii="Arial" w:hAnsi="Arial" w:cs="Arial"/>
                <w:color w:val="000000"/>
                <w:lang w:val="en-SG" w:eastAsia="en-SG"/>
              </w:rPr>
            </w:pPr>
            <w:r w:rsidRPr="00F33E1E">
              <w:rPr>
                <w:rFonts w:ascii="Arial" w:hAnsi="Arial" w:cs="Arial"/>
                <w:color w:val="000000"/>
                <w:lang w:val="en-SG" w:eastAsia="en-SG"/>
              </w:rPr>
              <w:t>For the first loan, the LTV is revised down to 80%, for the second loan down to 50%, and for third loan down to 40%. For non-individuals, it is revised down to 20%.</w:t>
            </w:r>
          </w:p>
        </w:tc>
      </w:tr>
    </w:tbl>
    <w:p w14:paraId="4537E235" w14:textId="77777777" w:rsidR="00303F2B" w:rsidRDefault="00303F2B" w:rsidP="007D2CA7">
      <w:pPr>
        <w:pStyle w:val="Footnote"/>
        <w:rPr>
          <w:lang w:val="en-SG" w:eastAsia="en-SG"/>
        </w:rPr>
      </w:pPr>
    </w:p>
    <w:p w14:paraId="0BEDF282" w14:textId="427D243E" w:rsidR="00303F2B" w:rsidRDefault="00303F2B" w:rsidP="007D2CA7">
      <w:pPr>
        <w:pStyle w:val="Footnote"/>
        <w:rPr>
          <w:lang w:val="en-SG" w:eastAsia="en-SG"/>
        </w:rPr>
      </w:pPr>
      <w:r>
        <w:rPr>
          <w:i w:val="0"/>
          <w:lang w:val="en-SG" w:eastAsia="en-SG"/>
        </w:rPr>
        <w:t>Note: N/A = not available</w:t>
      </w:r>
    </w:p>
    <w:p w14:paraId="3347396D" w14:textId="73654B53" w:rsidR="001D12B0" w:rsidRPr="00BE4A3F" w:rsidRDefault="001D12B0" w:rsidP="007D2CA7">
      <w:pPr>
        <w:pStyle w:val="Footnote"/>
        <w:rPr>
          <w:lang w:val="en-SG" w:eastAsia="en-SG"/>
        </w:rPr>
      </w:pPr>
      <w:r w:rsidRPr="007D2CA7">
        <w:rPr>
          <w:i w:val="0"/>
          <w:lang w:val="en-SG" w:eastAsia="en-SG"/>
        </w:rPr>
        <w:t xml:space="preserve">Source: </w:t>
      </w:r>
      <w:r w:rsidRPr="007D2CA7">
        <w:rPr>
          <w:i w:val="0"/>
        </w:rPr>
        <w:t xml:space="preserve">“Singapore Property Market Cooling Measures,” Singapore Real Estate Exchange, </w:t>
      </w:r>
      <w:r w:rsidRPr="007D2CA7">
        <w:rPr>
          <w:i w:val="0"/>
          <w:lang w:val="en-SG" w:eastAsia="en-SG"/>
        </w:rPr>
        <w:t>accessed December 15, 2016, www.srx.com.sg/cooling-measures.</w:t>
      </w:r>
    </w:p>
    <w:p w14:paraId="4E556153" w14:textId="77777777" w:rsidR="001D12B0" w:rsidRPr="00BE4A3F" w:rsidRDefault="001D12B0" w:rsidP="00D04358">
      <w:pPr>
        <w:pStyle w:val="BodyTextMain"/>
        <w:rPr>
          <w:lang w:val="en-SG" w:eastAsia="en-SG"/>
        </w:rPr>
      </w:pPr>
    </w:p>
    <w:p w14:paraId="223ED7C3" w14:textId="77777777" w:rsidR="006B3B74" w:rsidRPr="00F33E1E" w:rsidRDefault="006B3B74" w:rsidP="00D04358">
      <w:pPr>
        <w:pStyle w:val="BodyTextMain"/>
        <w:rPr>
          <w:rFonts w:ascii="Arial" w:hAnsi="Arial" w:cs="Arial"/>
          <w:b/>
          <w:caps/>
        </w:rPr>
      </w:pPr>
      <w:r w:rsidRPr="00F33E1E">
        <w:rPr>
          <w:rFonts w:ascii="Arial" w:hAnsi="Arial" w:cs="Arial"/>
          <w:b/>
          <w:caps/>
        </w:rPr>
        <w:br w:type="page"/>
      </w:r>
    </w:p>
    <w:p w14:paraId="0B9DB310" w14:textId="29D69708" w:rsidR="00E05E1B" w:rsidRPr="00F33E1E" w:rsidRDefault="00E05E1B" w:rsidP="00E05E1B">
      <w:pPr>
        <w:pStyle w:val="BodyTextMain"/>
        <w:jc w:val="center"/>
        <w:rPr>
          <w:rFonts w:ascii="Arial" w:hAnsi="Arial" w:cs="Arial"/>
          <w:b/>
          <w:caps/>
          <w:sz w:val="20"/>
          <w:szCs w:val="20"/>
        </w:rPr>
      </w:pPr>
      <w:r w:rsidRPr="00F33E1E">
        <w:rPr>
          <w:rFonts w:ascii="Arial" w:hAnsi="Arial" w:cs="Arial"/>
          <w:b/>
          <w:caps/>
          <w:sz w:val="20"/>
          <w:szCs w:val="20"/>
        </w:rPr>
        <w:lastRenderedPageBreak/>
        <w:t xml:space="preserve">Exhibit 4: Available Units, Vacant Units, and Future Supply </w:t>
      </w:r>
    </w:p>
    <w:p w14:paraId="3BEB32CC" w14:textId="77777777" w:rsidR="00E05E1B" w:rsidRPr="00F33E1E" w:rsidRDefault="00E05E1B" w:rsidP="00E05E1B">
      <w:pPr>
        <w:pStyle w:val="BodyTextMain"/>
        <w:jc w:val="center"/>
        <w:rPr>
          <w:rFonts w:ascii="Arial" w:hAnsi="Arial" w:cs="Arial"/>
          <w:b/>
          <w:caps/>
          <w:sz w:val="20"/>
          <w:szCs w:val="20"/>
        </w:rPr>
      </w:pPr>
      <w:r w:rsidRPr="00F33E1E">
        <w:rPr>
          <w:rFonts w:ascii="Arial" w:hAnsi="Arial" w:cs="Arial"/>
          <w:b/>
          <w:caps/>
          <w:sz w:val="20"/>
          <w:szCs w:val="20"/>
        </w:rPr>
        <w:t>of Private Residential Units</w:t>
      </w:r>
    </w:p>
    <w:p w14:paraId="676DB3F8" w14:textId="77777777" w:rsidR="00E05E1B" w:rsidRPr="00D04358" w:rsidRDefault="00E05E1B" w:rsidP="00D04358">
      <w:pPr>
        <w:pStyle w:val="BodyTextMain"/>
      </w:pPr>
    </w:p>
    <w:tbl>
      <w:tblPr>
        <w:tblW w:w="7655" w:type="dxa"/>
        <w:jc w:val="center"/>
        <w:tblLook w:val="04A0" w:firstRow="1" w:lastRow="0" w:firstColumn="1" w:lastColumn="0" w:noHBand="0" w:noVBand="1"/>
      </w:tblPr>
      <w:tblGrid>
        <w:gridCol w:w="960"/>
        <w:gridCol w:w="2100"/>
        <w:gridCol w:w="1360"/>
        <w:gridCol w:w="986"/>
        <w:gridCol w:w="986"/>
        <w:gridCol w:w="1263"/>
      </w:tblGrid>
      <w:tr w:rsidR="00E05E1B" w:rsidRPr="00D04358" w14:paraId="461B00F9" w14:textId="77777777" w:rsidTr="008A352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769E0F20"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w:t>
            </w:r>
          </w:p>
        </w:tc>
        <w:tc>
          <w:tcPr>
            <w:tcW w:w="2100" w:type="dxa"/>
            <w:tcBorders>
              <w:top w:val="single" w:sz="4" w:space="0" w:color="auto"/>
              <w:left w:val="nil"/>
              <w:bottom w:val="single" w:sz="4" w:space="0" w:color="auto"/>
              <w:right w:val="nil"/>
            </w:tcBorders>
            <w:shd w:val="clear" w:color="auto" w:fill="auto"/>
            <w:noWrap/>
            <w:vAlign w:val="bottom"/>
            <w:hideMark/>
          </w:tcPr>
          <w:p w14:paraId="28B73D41"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w:t>
            </w:r>
          </w:p>
        </w:tc>
        <w:tc>
          <w:tcPr>
            <w:tcW w:w="1360" w:type="dxa"/>
            <w:tcBorders>
              <w:top w:val="single" w:sz="4" w:space="0" w:color="auto"/>
              <w:left w:val="nil"/>
              <w:bottom w:val="single" w:sz="4" w:space="0" w:color="auto"/>
              <w:right w:val="nil"/>
            </w:tcBorders>
            <w:shd w:val="clear" w:color="auto" w:fill="auto"/>
            <w:noWrap/>
            <w:vAlign w:val="bottom"/>
            <w:hideMark/>
          </w:tcPr>
          <w:p w14:paraId="18B5BF8E"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w:t>
            </w:r>
          </w:p>
        </w:tc>
        <w:tc>
          <w:tcPr>
            <w:tcW w:w="986" w:type="dxa"/>
            <w:tcBorders>
              <w:top w:val="single" w:sz="4" w:space="0" w:color="auto"/>
              <w:left w:val="nil"/>
              <w:bottom w:val="single" w:sz="4" w:space="0" w:color="auto"/>
              <w:right w:val="nil"/>
            </w:tcBorders>
            <w:shd w:val="clear" w:color="auto" w:fill="auto"/>
            <w:noWrap/>
            <w:vAlign w:val="bottom"/>
            <w:hideMark/>
          </w:tcPr>
          <w:p w14:paraId="0F82755E"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Q1/2016</w:t>
            </w:r>
          </w:p>
        </w:tc>
        <w:tc>
          <w:tcPr>
            <w:tcW w:w="986" w:type="dxa"/>
            <w:tcBorders>
              <w:top w:val="single" w:sz="4" w:space="0" w:color="auto"/>
              <w:left w:val="nil"/>
              <w:bottom w:val="single" w:sz="4" w:space="0" w:color="auto"/>
              <w:right w:val="nil"/>
            </w:tcBorders>
            <w:shd w:val="clear" w:color="auto" w:fill="auto"/>
            <w:noWrap/>
            <w:vAlign w:val="bottom"/>
            <w:hideMark/>
          </w:tcPr>
          <w:p w14:paraId="1ADD5544"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Q2/2016</w:t>
            </w:r>
          </w:p>
        </w:tc>
        <w:tc>
          <w:tcPr>
            <w:tcW w:w="1263" w:type="dxa"/>
            <w:tcBorders>
              <w:top w:val="single" w:sz="4" w:space="0" w:color="auto"/>
              <w:left w:val="nil"/>
              <w:bottom w:val="single" w:sz="4" w:space="0" w:color="auto"/>
              <w:right w:val="nil"/>
            </w:tcBorders>
            <w:shd w:val="clear" w:color="auto" w:fill="auto"/>
            <w:noWrap/>
            <w:vAlign w:val="center"/>
            <w:hideMark/>
          </w:tcPr>
          <w:p w14:paraId="381CDB6F" w14:textId="3099AAE6" w:rsidR="00E05E1B" w:rsidRPr="00D04358" w:rsidRDefault="00303F2B" w:rsidP="00B138A9">
            <w:pPr>
              <w:jc w:val="right"/>
              <w:rPr>
                <w:rFonts w:ascii="Arial" w:hAnsi="Arial" w:cs="Arial"/>
                <w:color w:val="000000"/>
                <w:lang w:val="en-SG" w:eastAsia="zh-CN"/>
              </w:rPr>
            </w:pPr>
            <w:r w:rsidRPr="00D04358">
              <w:rPr>
                <w:rFonts w:ascii="Arial" w:hAnsi="Arial" w:cs="Arial"/>
                <w:color w:val="000000"/>
                <w:lang w:val="en-SG" w:eastAsia="zh-CN"/>
              </w:rPr>
              <w:t>C</w:t>
            </w:r>
            <w:r w:rsidR="00E05E1B" w:rsidRPr="00D04358">
              <w:rPr>
                <w:rFonts w:ascii="Arial" w:hAnsi="Arial" w:cs="Arial"/>
                <w:color w:val="000000"/>
                <w:lang w:val="en-SG" w:eastAsia="zh-CN"/>
              </w:rPr>
              <w:t>hange</w:t>
            </w:r>
          </w:p>
        </w:tc>
      </w:tr>
      <w:tr w:rsidR="00E05E1B" w:rsidRPr="00D04358" w14:paraId="5F552A57" w14:textId="77777777" w:rsidTr="008A3527">
        <w:trPr>
          <w:trHeight w:val="300"/>
          <w:jc w:val="center"/>
        </w:trPr>
        <w:tc>
          <w:tcPr>
            <w:tcW w:w="3060" w:type="dxa"/>
            <w:gridSpan w:val="2"/>
            <w:tcBorders>
              <w:top w:val="nil"/>
              <w:left w:val="nil"/>
              <w:bottom w:val="nil"/>
              <w:right w:val="nil"/>
            </w:tcBorders>
            <w:shd w:val="clear" w:color="auto" w:fill="auto"/>
            <w:noWrap/>
            <w:vAlign w:val="bottom"/>
            <w:hideMark/>
          </w:tcPr>
          <w:p w14:paraId="15012D85"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Completed units</w:t>
            </w:r>
          </w:p>
        </w:tc>
        <w:tc>
          <w:tcPr>
            <w:tcW w:w="1360" w:type="dxa"/>
            <w:tcBorders>
              <w:top w:val="nil"/>
              <w:left w:val="nil"/>
              <w:bottom w:val="nil"/>
              <w:right w:val="nil"/>
            </w:tcBorders>
            <w:shd w:val="clear" w:color="auto" w:fill="auto"/>
            <w:noWrap/>
            <w:vAlign w:val="bottom"/>
            <w:hideMark/>
          </w:tcPr>
          <w:p w14:paraId="693C11B8" w14:textId="77777777" w:rsidR="00E05E1B" w:rsidRPr="00D04358" w:rsidRDefault="00E05E1B" w:rsidP="008A3527">
            <w:pPr>
              <w:rPr>
                <w:rFonts w:ascii="Arial" w:hAnsi="Arial" w:cs="Arial"/>
                <w:color w:val="000000"/>
                <w:lang w:val="en-SG" w:eastAsia="zh-CN"/>
              </w:rPr>
            </w:pPr>
          </w:p>
        </w:tc>
        <w:tc>
          <w:tcPr>
            <w:tcW w:w="986" w:type="dxa"/>
            <w:tcBorders>
              <w:top w:val="nil"/>
              <w:left w:val="nil"/>
              <w:bottom w:val="nil"/>
              <w:right w:val="nil"/>
            </w:tcBorders>
            <w:shd w:val="clear" w:color="auto" w:fill="auto"/>
            <w:noWrap/>
            <w:vAlign w:val="bottom"/>
            <w:hideMark/>
          </w:tcPr>
          <w:p w14:paraId="4080A7D8" w14:textId="77777777" w:rsidR="00E05E1B" w:rsidRPr="00D04358" w:rsidRDefault="00E05E1B" w:rsidP="008A3527">
            <w:pPr>
              <w:rPr>
                <w:rFonts w:ascii="Arial" w:hAnsi="Arial" w:cs="Arial"/>
                <w:lang w:val="en-SG" w:eastAsia="zh-CN"/>
              </w:rPr>
            </w:pPr>
          </w:p>
        </w:tc>
        <w:tc>
          <w:tcPr>
            <w:tcW w:w="986" w:type="dxa"/>
            <w:tcBorders>
              <w:top w:val="nil"/>
              <w:left w:val="nil"/>
              <w:bottom w:val="nil"/>
              <w:right w:val="nil"/>
            </w:tcBorders>
            <w:shd w:val="clear" w:color="auto" w:fill="auto"/>
            <w:noWrap/>
            <w:vAlign w:val="bottom"/>
            <w:hideMark/>
          </w:tcPr>
          <w:p w14:paraId="22B3E7CE" w14:textId="77777777" w:rsidR="00E05E1B" w:rsidRPr="00D04358" w:rsidRDefault="00E05E1B" w:rsidP="008A3527">
            <w:pPr>
              <w:rPr>
                <w:rFonts w:ascii="Arial" w:hAnsi="Arial" w:cs="Arial"/>
                <w:lang w:val="en-SG" w:eastAsia="zh-CN"/>
              </w:rPr>
            </w:pPr>
          </w:p>
        </w:tc>
        <w:tc>
          <w:tcPr>
            <w:tcW w:w="1263" w:type="dxa"/>
            <w:tcBorders>
              <w:top w:val="nil"/>
              <w:left w:val="nil"/>
              <w:bottom w:val="nil"/>
              <w:right w:val="nil"/>
            </w:tcBorders>
            <w:shd w:val="clear" w:color="auto" w:fill="auto"/>
            <w:noWrap/>
            <w:vAlign w:val="bottom"/>
            <w:hideMark/>
          </w:tcPr>
          <w:p w14:paraId="6AD0979C" w14:textId="77777777" w:rsidR="00E05E1B" w:rsidRPr="00D04358" w:rsidRDefault="00E05E1B" w:rsidP="008A3527">
            <w:pPr>
              <w:rPr>
                <w:rFonts w:ascii="Arial" w:hAnsi="Arial" w:cs="Arial"/>
                <w:lang w:val="en-SG" w:eastAsia="zh-CN"/>
              </w:rPr>
            </w:pPr>
          </w:p>
        </w:tc>
      </w:tr>
      <w:tr w:rsidR="00E05E1B" w:rsidRPr="00D04358" w14:paraId="2828E6EE"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61463062" w14:textId="77777777" w:rsidR="00E05E1B" w:rsidRPr="00D04358" w:rsidRDefault="00E05E1B" w:rsidP="008A3527">
            <w:pPr>
              <w:rPr>
                <w:rFonts w:ascii="Arial" w:hAnsi="Arial" w:cs="Arial"/>
                <w:lang w:val="en-SG" w:eastAsia="zh-CN"/>
              </w:rPr>
            </w:pPr>
          </w:p>
        </w:tc>
        <w:tc>
          <w:tcPr>
            <w:tcW w:w="2100" w:type="dxa"/>
            <w:tcBorders>
              <w:top w:val="nil"/>
              <w:left w:val="nil"/>
              <w:bottom w:val="nil"/>
              <w:right w:val="nil"/>
            </w:tcBorders>
            <w:shd w:val="clear" w:color="auto" w:fill="auto"/>
            <w:noWrap/>
            <w:vAlign w:val="bottom"/>
            <w:hideMark/>
          </w:tcPr>
          <w:p w14:paraId="5CBB0534"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Available</w:t>
            </w:r>
          </w:p>
        </w:tc>
        <w:tc>
          <w:tcPr>
            <w:tcW w:w="1360" w:type="dxa"/>
            <w:tcBorders>
              <w:top w:val="nil"/>
              <w:left w:val="nil"/>
              <w:bottom w:val="nil"/>
              <w:right w:val="nil"/>
            </w:tcBorders>
            <w:shd w:val="clear" w:color="auto" w:fill="auto"/>
            <w:noWrap/>
            <w:vAlign w:val="bottom"/>
            <w:hideMark/>
          </w:tcPr>
          <w:p w14:paraId="0DC3816C"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of units)</w:t>
            </w:r>
          </w:p>
        </w:tc>
        <w:tc>
          <w:tcPr>
            <w:tcW w:w="986" w:type="dxa"/>
            <w:tcBorders>
              <w:top w:val="nil"/>
              <w:left w:val="nil"/>
              <w:bottom w:val="nil"/>
              <w:right w:val="nil"/>
            </w:tcBorders>
            <w:shd w:val="clear" w:color="auto" w:fill="auto"/>
            <w:noWrap/>
            <w:vAlign w:val="bottom"/>
            <w:hideMark/>
          </w:tcPr>
          <w:p w14:paraId="2048C46F"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330,303</w:t>
            </w:r>
          </w:p>
        </w:tc>
        <w:tc>
          <w:tcPr>
            <w:tcW w:w="986" w:type="dxa"/>
            <w:tcBorders>
              <w:top w:val="nil"/>
              <w:left w:val="nil"/>
              <w:bottom w:val="nil"/>
              <w:right w:val="nil"/>
            </w:tcBorders>
            <w:shd w:val="clear" w:color="auto" w:fill="auto"/>
            <w:noWrap/>
            <w:vAlign w:val="bottom"/>
            <w:hideMark/>
          </w:tcPr>
          <w:p w14:paraId="22A492A5"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338,728</w:t>
            </w:r>
          </w:p>
        </w:tc>
        <w:tc>
          <w:tcPr>
            <w:tcW w:w="1263" w:type="dxa"/>
            <w:tcBorders>
              <w:top w:val="nil"/>
              <w:left w:val="nil"/>
              <w:bottom w:val="nil"/>
              <w:right w:val="nil"/>
            </w:tcBorders>
            <w:shd w:val="clear" w:color="auto" w:fill="auto"/>
            <w:noWrap/>
            <w:vAlign w:val="bottom"/>
            <w:hideMark/>
          </w:tcPr>
          <w:p w14:paraId="1E9A7FE3" w14:textId="77777777" w:rsidR="00E05E1B" w:rsidRPr="00D04358" w:rsidRDefault="00E05E1B" w:rsidP="008A3527">
            <w:pPr>
              <w:jc w:val="right"/>
              <w:rPr>
                <w:rFonts w:ascii="Arial" w:hAnsi="Arial" w:cs="Arial"/>
                <w:color w:val="000000"/>
                <w:lang w:val="en-SG" w:eastAsia="zh-CN"/>
              </w:rPr>
            </w:pPr>
            <w:r w:rsidRPr="00D04358">
              <w:rPr>
                <w:rFonts w:ascii="Arial" w:hAnsi="Arial" w:cs="Arial"/>
                <w:color w:val="000000"/>
                <w:lang w:val="en-SG" w:eastAsia="zh-CN"/>
              </w:rPr>
              <w:t>2.60%</w:t>
            </w:r>
          </w:p>
        </w:tc>
      </w:tr>
      <w:tr w:rsidR="00E05E1B" w:rsidRPr="00D04358" w14:paraId="7A9A722C"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44300C88" w14:textId="77777777" w:rsidR="00E05E1B" w:rsidRPr="00D04358" w:rsidRDefault="00E05E1B" w:rsidP="008A3527">
            <w:pPr>
              <w:jc w:val="right"/>
              <w:rPr>
                <w:rFonts w:ascii="Arial" w:hAnsi="Arial" w:cs="Arial"/>
                <w:color w:val="000000"/>
                <w:lang w:val="en-SG" w:eastAsia="zh-CN"/>
              </w:rPr>
            </w:pPr>
          </w:p>
        </w:tc>
        <w:tc>
          <w:tcPr>
            <w:tcW w:w="2100" w:type="dxa"/>
            <w:tcBorders>
              <w:top w:val="nil"/>
              <w:left w:val="nil"/>
              <w:bottom w:val="nil"/>
              <w:right w:val="nil"/>
            </w:tcBorders>
            <w:shd w:val="clear" w:color="auto" w:fill="auto"/>
            <w:noWrap/>
            <w:vAlign w:val="bottom"/>
            <w:hideMark/>
          </w:tcPr>
          <w:p w14:paraId="025D8F9B"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Occupied</w:t>
            </w:r>
          </w:p>
        </w:tc>
        <w:tc>
          <w:tcPr>
            <w:tcW w:w="1360" w:type="dxa"/>
            <w:tcBorders>
              <w:top w:val="nil"/>
              <w:left w:val="nil"/>
              <w:bottom w:val="nil"/>
              <w:right w:val="nil"/>
            </w:tcBorders>
            <w:shd w:val="clear" w:color="auto" w:fill="auto"/>
            <w:noWrap/>
            <w:vAlign w:val="bottom"/>
            <w:hideMark/>
          </w:tcPr>
          <w:p w14:paraId="5A5AEAC0"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of units)</w:t>
            </w:r>
          </w:p>
        </w:tc>
        <w:tc>
          <w:tcPr>
            <w:tcW w:w="986" w:type="dxa"/>
            <w:tcBorders>
              <w:top w:val="nil"/>
              <w:left w:val="nil"/>
              <w:bottom w:val="nil"/>
              <w:right w:val="nil"/>
            </w:tcBorders>
            <w:shd w:val="clear" w:color="auto" w:fill="auto"/>
            <w:noWrap/>
            <w:vAlign w:val="bottom"/>
            <w:hideMark/>
          </w:tcPr>
          <w:p w14:paraId="6CEC9F7E"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305,384</w:t>
            </w:r>
          </w:p>
        </w:tc>
        <w:tc>
          <w:tcPr>
            <w:tcW w:w="986" w:type="dxa"/>
            <w:tcBorders>
              <w:top w:val="nil"/>
              <w:left w:val="nil"/>
              <w:bottom w:val="nil"/>
              <w:right w:val="nil"/>
            </w:tcBorders>
            <w:shd w:val="clear" w:color="auto" w:fill="auto"/>
            <w:noWrap/>
            <w:vAlign w:val="bottom"/>
            <w:hideMark/>
          </w:tcPr>
          <w:p w14:paraId="4CAF8A27"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308,418</w:t>
            </w:r>
          </w:p>
        </w:tc>
        <w:tc>
          <w:tcPr>
            <w:tcW w:w="1263" w:type="dxa"/>
            <w:tcBorders>
              <w:top w:val="nil"/>
              <w:left w:val="nil"/>
              <w:bottom w:val="nil"/>
              <w:right w:val="nil"/>
            </w:tcBorders>
            <w:shd w:val="clear" w:color="auto" w:fill="auto"/>
            <w:noWrap/>
            <w:vAlign w:val="bottom"/>
            <w:hideMark/>
          </w:tcPr>
          <w:p w14:paraId="0553CADF" w14:textId="77777777" w:rsidR="00E05E1B" w:rsidRPr="00D04358" w:rsidRDefault="00E05E1B" w:rsidP="008A3527">
            <w:pPr>
              <w:jc w:val="right"/>
              <w:rPr>
                <w:rFonts w:ascii="Arial" w:hAnsi="Arial" w:cs="Arial"/>
                <w:color w:val="000000"/>
                <w:lang w:val="en-SG" w:eastAsia="zh-CN"/>
              </w:rPr>
            </w:pPr>
            <w:r w:rsidRPr="00D04358">
              <w:rPr>
                <w:rFonts w:ascii="Arial" w:hAnsi="Arial" w:cs="Arial"/>
                <w:color w:val="000000"/>
                <w:lang w:val="en-SG" w:eastAsia="zh-CN"/>
              </w:rPr>
              <w:t>1.00%</w:t>
            </w:r>
          </w:p>
        </w:tc>
      </w:tr>
      <w:tr w:rsidR="00E05E1B" w:rsidRPr="00D04358" w14:paraId="21778941"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121B05C9" w14:textId="77777777" w:rsidR="00E05E1B" w:rsidRPr="00D04358" w:rsidRDefault="00E05E1B" w:rsidP="008A3527">
            <w:pPr>
              <w:jc w:val="right"/>
              <w:rPr>
                <w:rFonts w:ascii="Arial" w:hAnsi="Arial" w:cs="Arial"/>
                <w:color w:val="000000"/>
                <w:lang w:val="en-SG" w:eastAsia="zh-CN"/>
              </w:rPr>
            </w:pPr>
          </w:p>
        </w:tc>
        <w:tc>
          <w:tcPr>
            <w:tcW w:w="2100" w:type="dxa"/>
            <w:tcBorders>
              <w:top w:val="nil"/>
              <w:left w:val="nil"/>
              <w:bottom w:val="nil"/>
              <w:right w:val="nil"/>
            </w:tcBorders>
            <w:shd w:val="clear" w:color="auto" w:fill="auto"/>
            <w:noWrap/>
            <w:vAlign w:val="bottom"/>
            <w:hideMark/>
          </w:tcPr>
          <w:p w14:paraId="31B9B6FA"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xml:space="preserve">Vacant </w:t>
            </w:r>
          </w:p>
        </w:tc>
        <w:tc>
          <w:tcPr>
            <w:tcW w:w="1360" w:type="dxa"/>
            <w:tcBorders>
              <w:top w:val="nil"/>
              <w:left w:val="nil"/>
              <w:bottom w:val="nil"/>
              <w:right w:val="nil"/>
            </w:tcBorders>
            <w:shd w:val="clear" w:color="auto" w:fill="auto"/>
            <w:noWrap/>
            <w:vAlign w:val="bottom"/>
            <w:hideMark/>
          </w:tcPr>
          <w:p w14:paraId="3CAD6F2F"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of units)</w:t>
            </w:r>
          </w:p>
        </w:tc>
        <w:tc>
          <w:tcPr>
            <w:tcW w:w="986" w:type="dxa"/>
            <w:tcBorders>
              <w:top w:val="nil"/>
              <w:left w:val="nil"/>
              <w:bottom w:val="nil"/>
              <w:right w:val="nil"/>
            </w:tcBorders>
            <w:shd w:val="clear" w:color="auto" w:fill="auto"/>
            <w:noWrap/>
            <w:vAlign w:val="bottom"/>
            <w:hideMark/>
          </w:tcPr>
          <w:p w14:paraId="648F3A29"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24,919</w:t>
            </w:r>
          </w:p>
        </w:tc>
        <w:tc>
          <w:tcPr>
            <w:tcW w:w="986" w:type="dxa"/>
            <w:tcBorders>
              <w:top w:val="nil"/>
              <w:left w:val="nil"/>
              <w:bottom w:val="nil"/>
              <w:right w:val="nil"/>
            </w:tcBorders>
            <w:shd w:val="clear" w:color="auto" w:fill="auto"/>
            <w:noWrap/>
            <w:vAlign w:val="bottom"/>
            <w:hideMark/>
          </w:tcPr>
          <w:p w14:paraId="65B719CC"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30,310</w:t>
            </w:r>
          </w:p>
        </w:tc>
        <w:tc>
          <w:tcPr>
            <w:tcW w:w="1263" w:type="dxa"/>
            <w:tcBorders>
              <w:top w:val="nil"/>
              <w:left w:val="nil"/>
              <w:bottom w:val="nil"/>
              <w:right w:val="nil"/>
            </w:tcBorders>
            <w:shd w:val="clear" w:color="auto" w:fill="auto"/>
            <w:noWrap/>
            <w:vAlign w:val="bottom"/>
            <w:hideMark/>
          </w:tcPr>
          <w:p w14:paraId="3C659E52" w14:textId="77777777" w:rsidR="00E05E1B" w:rsidRPr="00D04358" w:rsidRDefault="00E05E1B" w:rsidP="008A3527">
            <w:pPr>
              <w:jc w:val="right"/>
              <w:rPr>
                <w:rFonts w:ascii="Arial" w:hAnsi="Arial" w:cs="Arial"/>
                <w:color w:val="000000"/>
                <w:lang w:val="en-SG" w:eastAsia="zh-CN"/>
              </w:rPr>
            </w:pPr>
            <w:r w:rsidRPr="00D04358">
              <w:rPr>
                <w:rFonts w:ascii="Arial" w:hAnsi="Arial" w:cs="Arial"/>
                <w:color w:val="000000"/>
                <w:lang w:val="en-SG" w:eastAsia="zh-CN"/>
              </w:rPr>
              <w:t>21.60%</w:t>
            </w:r>
          </w:p>
        </w:tc>
      </w:tr>
      <w:tr w:rsidR="00E05E1B" w:rsidRPr="00D04358" w14:paraId="19290284"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01D957D0" w14:textId="77777777" w:rsidR="00E05E1B" w:rsidRPr="00D04358" w:rsidRDefault="00E05E1B" w:rsidP="008A3527">
            <w:pPr>
              <w:jc w:val="right"/>
              <w:rPr>
                <w:rFonts w:ascii="Arial" w:hAnsi="Arial" w:cs="Arial"/>
                <w:color w:val="000000"/>
                <w:lang w:val="en-SG" w:eastAsia="zh-CN"/>
              </w:rPr>
            </w:pPr>
          </w:p>
        </w:tc>
        <w:tc>
          <w:tcPr>
            <w:tcW w:w="2100" w:type="dxa"/>
            <w:tcBorders>
              <w:top w:val="nil"/>
              <w:left w:val="nil"/>
              <w:bottom w:val="nil"/>
              <w:right w:val="nil"/>
            </w:tcBorders>
            <w:shd w:val="clear" w:color="auto" w:fill="auto"/>
            <w:noWrap/>
            <w:vAlign w:val="bottom"/>
            <w:hideMark/>
          </w:tcPr>
          <w:p w14:paraId="0A0A67D6"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Vacancy rate</w:t>
            </w:r>
          </w:p>
        </w:tc>
        <w:tc>
          <w:tcPr>
            <w:tcW w:w="1360" w:type="dxa"/>
            <w:tcBorders>
              <w:top w:val="nil"/>
              <w:left w:val="nil"/>
              <w:bottom w:val="nil"/>
              <w:right w:val="nil"/>
            </w:tcBorders>
            <w:shd w:val="clear" w:color="auto" w:fill="auto"/>
            <w:noWrap/>
            <w:vAlign w:val="bottom"/>
            <w:hideMark/>
          </w:tcPr>
          <w:p w14:paraId="4C3E22BC"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(per cent)</w:t>
            </w:r>
          </w:p>
        </w:tc>
        <w:tc>
          <w:tcPr>
            <w:tcW w:w="986" w:type="dxa"/>
            <w:tcBorders>
              <w:top w:val="nil"/>
              <w:left w:val="nil"/>
              <w:bottom w:val="nil"/>
              <w:right w:val="nil"/>
            </w:tcBorders>
            <w:shd w:val="clear" w:color="auto" w:fill="auto"/>
            <w:noWrap/>
            <w:vAlign w:val="bottom"/>
            <w:hideMark/>
          </w:tcPr>
          <w:p w14:paraId="06C7544B"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7.50</w:t>
            </w:r>
          </w:p>
        </w:tc>
        <w:tc>
          <w:tcPr>
            <w:tcW w:w="986" w:type="dxa"/>
            <w:tcBorders>
              <w:top w:val="nil"/>
              <w:left w:val="nil"/>
              <w:bottom w:val="nil"/>
              <w:right w:val="nil"/>
            </w:tcBorders>
            <w:shd w:val="clear" w:color="auto" w:fill="auto"/>
            <w:noWrap/>
            <w:vAlign w:val="bottom"/>
            <w:hideMark/>
          </w:tcPr>
          <w:p w14:paraId="27F968CF"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8.90</w:t>
            </w:r>
          </w:p>
        </w:tc>
        <w:tc>
          <w:tcPr>
            <w:tcW w:w="1263" w:type="dxa"/>
            <w:tcBorders>
              <w:top w:val="nil"/>
              <w:left w:val="nil"/>
              <w:bottom w:val="nil"/>
              <w:right w:val="nil"/>
            </w:tcBorders>
            <w:shd w:val="clear" w:color="auto" w:fill="auto"/>
            <w:noWrap/>
            <w:vAlign w:val="bottom"/>
            <w:hideMark/>
          </w:tcPr>
          <w:p w14:paraId="2636A372" w14:textId="77777777" w:rsidR="00E05E1B" w:rsidRPr="00D04358" w:rsidRDefault="00E05E1B" w:rsidP="008A3527">
            <w:pPr>
              <w:jc w:val="right"/>
              <w:rPr>
                <w:rFonts w:ascii="Arial" w:hAnsi="Arial" w:cs="Arial"/>
                <w:color w:val="000000"/>
                <w:lang w:val="en-SG" w:eastAsia="zh-CN"/>
              </w:rPr>
            </w:pPr>
          </w:p>
        </w:tc>
      </w:tr>
      <w:tr w:rsidR="00E05E1B" w:rsidRPr="00D04358" w14:paraId="4A692B6B"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55523AF9" w14:textId="77777777" w:rsidR="00E05E1B" w:rsidRPr="00D04358" w:rsidRDefault="00E05E1B" w:rsidP="008A3527">
            <w:pPr>
              <w:rPr>
                <w:rFonts w:ascii="Arial" w:hAnsi="Arial" w:cs="Arial"/>
                <w:lang w:val="en-SG" w:eastAsia="zh-CN"/>
              </w:rPr>
            </w:pPr>
          </w:p>
        </w:tc>
        <w:tc>
          <w:tcPr>
            <w:tcW w:w="2100" w:type="dxa"/>
            <w:tcBorders>
              <w:top w:val="nil"/>
              <w:left w:val="nil"/>
              <w:bottom w:val="nil"/>
              <w:right w:val="nil"/>
            </w:tcBorders>
            <w:shd w:val="clear" w:color="auto" w:fill="auto"/>
            <w:noWrap/>
            <w:vAlign w:val="bottom"/>
            <w:hideMark/>
          </w:tcPr>
          <w:p w14:paraId="4EAD4510" w14:textId="77777777" w:rsidR="00E05E1B" w:rsidRPr="00D04358" w:rsidRDefault="00E05E1B" w:rsidP="008A3527">
            <w:pPr>
              <w:rPr>
                <w:rFonts w:ascii="Arial" w:hAnsi="Arial" w:cs="Arial"/>
                <w:lang w:val="en-SG" w:eastAsia="zh-CN"/>
              </w:rPr>
            </w:pPr>
          </w:p>
        </w:tc>
        <w:tc>
          <w:tcPr>
            <w:tcW w:w="1360" w:type="dxa"/>
            <w:tcBorders>
              <w:top w:val="nil"/>
              <w:left w:val="nil"/>
              <w:bottom w:val="nil"/>
              <w:right w:val="nil"/>
            </w:tcBorders>
            <w:shd w:val="clear" w:color="auto" w:fill="auto"/>
            <w:noWrap/>
            <w:vAlign w:val="bottom"/>
            <w:hideMark/>
          </w:tcPr>
          <w:p w14:paraId="683F5226" w14:textId="77777777" w:rsidR="00E05E1B" w:rsidRPr="00D04358" w:rsidRDefault="00E05E1B" w:rsidP="008A3527">
            <w:pPr>
              <w:rPr>
                <w:rFonts w:ascii="Arial" w:hAnsi="Arial" w:cs="Arial"/>
                <w:lang w:val="en-SG" w:eastAsia="zh-CN"/>
              </w:rPr>
            </w:pPr>
          </w:p>
        </w:tc>
        <w:tc>
          <w:tcPr>
            <w:tcW w:w="986" w:type="dxa"/>
            <w:tcBorders>
              <w:top w:val="nil"/>
              <w:left w:val="nil"/>
              <w:bottom w:val="nil"/>
              <w:right w:val="nil"/>
            </w:tcBorders>
            <w:shd w:val="clear" w:color="auto" w:fill="auto"/>
            <w:noWrap/>
            <w:vAlign w:val="bottom"/>
            <w:hideMark/>
          </w:tcPr>
          <w:p w14:paraId="603F65C0" w14:textId="77777777" w:rsidR="00E05E1B" w:rsidRPr="00D04358" w:rsidRDefault="00E05E1B" w:rsidP="007D2CA7">
            <w:pPr>
              <w:jc w:val="right"/>
              <w:rPr>
                <w:rFonts w:ascii="Arial" w:hAnsi="Arial" w:cs="Arial"/>
                <w:lang w:val="en-SG" w:eastAsia="zh-CN"/>
              </w:rPr>
            </w:pPr>
          </w:p>
        </w:tc>
        <w:tc>
          <w:tcPr>
            <w:tcW w:w="986" w:type="dxa"/>
            <w:tcBorders>
              <w:top w:val="nil"/>
              <w:left w:val="nil"/>
              <w:bottom w:val="nil"/>
              <w:right w:val="nil"/>
            </w:tcBorders>
            <w:shd w:val="clear" w:color="auto" w:fill="auto"/>
            <w:noWrap/>
            <w:vAlign w:val="bottom"/>
            <w:hideMark/>
          </w:tcPr>
          <w:p w14:paraId="7B2F70CE" w14:textId="77777777" w:rsidR="00E05E1B" w:rsidRPr="00D04358" w:rsidRDefault="00E05E1B" w:rsidP="007D2CA7">
            <w:pPr>
              <w:jc w:val="right"/>
              <w:rPr>
                <w:rFonts w:ascii="Arial" w:hAnsi="Arial" w:cs="Arial"/>
                <w:lang w:val="en-SG" w:eastAsia="zh-CN"/>
              </w:rPr>
            </w:pPr>
          </w:p>
        </w:tc>
        <w:tc>
          <w:tcPr>
            <w:tcW w:w="1263" w:type="dxa"/>
            <w:tcBorders>
              <w:top w:val="nil"/>
              <w:left w:val="nil"/>
              <w:bottom w:val="nil"/>
              <w:right w:val="nil"/>
            </w:tcBorders>
            <w:shd w:val="clear" w:color="auto" w:fill="auto"/>
            <w:noWrap/>
            <w:vAlign w:val="bottom"/>
            <w:hideMark/>
          </w:tcPr>
          <w:p w14:paraId="66078AEA" w14:textId="77777777" w:rsidR="00E05E1B" w:rsidRPr="00D04358" w:rsidRDefault="00E05E1B" w:rsidP="008A3527">
            <w:pPr>
              <w:rPr>
                <w:rFonts w:ascii="Arial" w:hAnsi="Arial" w:cs="Arial"/>
                <w:lang w:val="en-SG" w:eastAsia="zh-CN"/>
              </w:rPr>
            </w:pPr>
          </w:p>
        </w:tc>
      </w:tr>
      <w:tr w:rsidR="00E05E1B" w:rsidRPr="00D04358" w14:paraId="0C54D875" w14:textId="77777777" w:rsidTr="008A3527">
        <w:trPr>
          <w:trHeight w:val="300"/>
          <w:jc w:val="center"/>
        </w:trPr>
        <w:tc>
          <w:tcPr>
            <w:tcW w:w="3060" w:type="dxa"/>
            <w:gridSpan w:val="2"/>
            <w:tcBorders>
              <w:top w:val="nil"/>
              <w:left w:val="nil"/>
              <w:bottom w:val="nil"/>
              <w:right w:val="nil"/>
            </w:tcBorders>
            <w:shd w:val="clear" w:color="auto" w:fill="auto"/>
            <w:noWrap/>
            <w:vAlign w:val="bottom"/>
            <w:hideMark/>
          </w:tcPr>
          <w:p w14:paraId="3FB37DBD"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Supply in the pipeline</w:t>
            </w:r>
          </w:p>
        </w:tc>
        <w:tc>
          <w:tcPr>
            <w:tcW w:w="1360" w:type="dxa"/>
            <w:tcBorders>
              <w:top w:val="nil"/>
              <w:left w:val="nil"/>
              <w:bottom w:val="nil"/>
              <w:right w:val="nil"/>
            </w:tcBorders>
            <w:shd w:val="clear" w:color="auto" w:fill="auto"/>
            <w:noWrap/>
            <w:vAlign w:val="bottom"/>
            <w:hideMark/>
          </w:tcPr>
          <w:p w14:paraId="63EB9BA4" w14:textId="77777777" w:rsidR="00E05E1B" w:rsidRPr="00D04358" w:rsidRDefault="00E05E1B" w:rsidP="008A3527">
            <w:pPr>
              <w:rPr>
                <w:rFonts w:ascii="Arial" w:hAnsi="Arial" w:cs="Arial"/>
                <w:color w:val="000000"/>
                <w:lang w:val="en-SG" w:eastAsia="zh-CN"/>
              </w:rPr>
            </w:pPr>
          </w:p>
        </w:tc>
        <w:tc>
          <w:tcPr>
            <w:tcW w:w="986" w:type="dxa"/>
            <w:tcBorders>
              <w:top w:val="nil"/>
              <w:left w:val="nil"/>
              <w:bottom w:val="nil"/>
              <w:right w:val="nil"/>
            </w:tcBorders>
            <w:shd w:val="clear" w:color="auto" w:fill="auto"/>
            <w:noWrap/>
            <w:vAlign w:val="bottom"/>
            <w:hideMark/>
          </w:tcPr>
          <w:p w14:paraId="60BED691" w14:textId="77777777" w:rsidR="00E05E1B" w:rsidRPr="00D04358" w:rsidRDefault="00E05E1B" w:rsidP="007D2CA7">
            <w:pPr>
              <w:jc w:val="right"/>
              <w:rPr>
                <w:rFonts w:ascii="Arial" w:hAnsi="Arial" w:cs="Arial"/>
                <w:lang w:val="en-SG" w:eastAsia="zh-CN"/>
              </w:rPr>
            </w:pPr>
          </w:p>
        </w:tc>
        <w:tc>
          <w:tcPr>
            <w:tcW w:w="986" w:type="dxa"/>
            <w:tcBorders>
              <w:top w:val="nil"/>
              <w:left w:val="nil"/>
              <w:bottom w:val="nil"/>
              <w:right w:val="nil"/>
            </w:tcBorders>
            <w:shd w:val="clear" w:color="auto" w:fill="auto"/>
            <w:noWrap/>
            <w:vAlign w:val="bottom"/>
            <w:hideMark/>
          </w:tcPr>
          <w:p w14:paraId="143A5969" w14:textId="77777777" w:rsidR="00E05E1B" w:rsidRPr="00D04358" w:rsidRDefault="00E05E1B" w:rsidP="007D2CA7">
            <w:pPr>
              <w:jc w:val="right"/>
              <w:rPr>
                <w:rFonts w:ascii="Arial" w:hAnsi="Arial" w:cs="Arial"/>
                <w:lang w:val="en-SG" w:eastAsia="zh-CN"/>
              </w:rPr>
            </w:pPr>
          </w:p>
        </w:tc>
        <w:tc>
          <w:tcPr>
            <w:tcW w:w="1263" w:type="dxa"/>
            <w:tcBorders>
              <w:top w:val="nil"/>
              <w:left w:val="nil"/>
              <w:bottom w:val="nil"/>
              <w:right w:val="nil"/>
            </w:tcBorders>
            <w:shd w:val="clear" w:color="auto" w:fill="auto"/>
            <w:noWrap/>
            <w:vAlign w:val="bottom"/>
            <w:hideMark/>
          </w:tcPr>
          <w:p w14:paraId="1D84D7BB" w14:textId="77777777" w:rsidR="00E05E1B" w:rsidRPr="00D04358" w:rsidRDefault="00E05E1B" w:rsidP="008A3527">
            <w:pPr>
              <w:rPr>
                <w:rFonts w:ascii="Arial" w:hAnsi="Arial" w:cs="Arial"/>
                <w:lang w:val="en-SG" w:eastAsia="zh-CN"/>
              </w:rPr>
            </w:pPr>
          </w:p>
        </w:tc>
      </w:tr>
      <w:tr w:rsidR="00E05E1B" w:rsidRPr="00D04358" w14:paraId="6BD91B45" w14:textId="77777777" w:rsidTr="008A3527">
        <w:trPr>
          <w:trHeight w:val="300"/>
          <w:jc w:val="center"/>
        </w:trPr>
        <w:tc>
          <w:tcPr>
            <w:tcW w:w="960" w:type="dxa"/>
            <w:tcBorders>
              <w:top w:val="nil"/>
              <w:left w:val="nil"/>
              <w:bottom w:val="nil"/>
              <w:right w:val="nil"/>
            </w:tcBorders>
            <w:shd w:val="clear" w:color="auto" w:fill="auto"/>
            <w:noWrap/>
            <w:vAlign w:val="bottom"/>
            <w:hideMark/>
          </w:tcPr>
          <w:p w14:paraId="2E00CAD6" w14:textId="77777777" w:rsidR="00E05E1B" w:rsidRPr="00D04358" w:rsidRDefault="00E05E1B" w:rsidP="008A3527">
            <w:pPr>
              <w:rPr>
                <w:rFonts w:ascii="Arial" w:hAnsi="Arial" w:cs="Arial"/>
                <w:lang w:val="en-SG" w:eastAsia="zh-CN"/>
              </w:rPr>
            </w:pPr>
          </w:p>
        </w:tc>
        <w:tc>
          <w:tcPr>
            <w:tcW w:w="2100" w:type="dxa"/>
            <w:tcBorders>
              <w:top w:val="nil"/>
              <w:left w:val="nil"/>
              <w:bottom w:val="nil"/>
              <w:right w:val="nil"/>
            </w:tcBorders>
            <w:shd w:val="clear" w:color="auto" w:fill="auto"/>
            <w:noWrap/>
            <w:vAlign w:val="bottom"/>
            <w:hideMark/>
          </w:tcPr>
          <w:p w14:paraId="6F722E69"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Under construction</w:t>
            </w:r>
          </w:p>
        </w:tc>
        <w:tc>
          <w:tcPr>
            <w:tcW w:w="1360" w:type="dxa"/>
            <w:tcBorders>
              <w:top w:val="nil"/>
              <w:left w:val="nil"/>
              <w:bottom w:val="nil"/>
              <w:right w:val="nil"/>
            </w:tcBorders>
            <w:shd w:val="clear" w:color="auto" w:fill="auto"/>
            <w:noWrap/>
            <w:vAlign w:val="bottom"/>
            <w:hideMark/>
          </w:tcPr>
          <w:p w14:paraId="0A6B549B"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of units)</w:t>
            </w:r>
          </w:p>
        </w:tc>
        <w:tc>
          <w:tcPr>
            <w:tcW w:w="986" w:type="dxa"/>
            <w:tcBorders>
              <w:top w:val="nil"/>
              <w:left w:val="nil"/>
              <w:bottom w:val="nil"/>
              <w:right w:val="nil"/>
            </w:tcBorders>
            <w:shd w:val="clear" w:color="auto" w:fill="auto"/>
            <w:noWrap/>
            <w:vAlign w:val="bottom"/>
            <w:hideMark/>
          </w:tcPr>
          <w:p w14:paraId="5299657F"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46,815</w:t>
            </w:r>
          </w:p>
        </w:tc>
        <w:tc>
          <w:tcPr>
            <w:tcW w:w="986" w:type="dxa"/>
            <w:tcBorders>
              <w:top w:val="nil"/>
              <w:left w:val="nil"/>
              <w:bottom w:val="nil"/>
              <w:right w:val="nil"/>
            </w:tcBorders>
            <w:shd w:val="clear" w:color="auto" w:fill="auto"/>
            <w:noWrap/>
            <w:vAlign w:val="bottom"/>
            <w:hideMark/>
          </w:tcPr>
          <w:p w14:paraId="61D792E6"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41,102</w:t>
            </w:r>
          </w:p>
        </w:tc>
        <w:tc>
          <w:tcPr>
            <w:tcW w:w="1263" w:type="dxa"/>
            <w:tcBorders>
              <w:top w:val="nil"/>
              <w:left w:val="nil"/>
              <w:bottom w:val="nil"/>
              <w:right w:val="nil"/>
            </w:tcBorders>
            <w:shd w:val="clear" w:color="auto" w:fill="auto"/>
            <w:noWrap/>
            <w:vAlign w:val="bottom"/>
            <w:hideMark/>
          </w:tcPr>
          <w:p w14:paraId="262B72A0" w14:textId="123E13D9" w:rsidR="00E05E1B" w:rsidRPr="00D04358" w:rsidRDefault="00303F2B">
            <w:pPr>
              <w:jc w:val="right"/>
              <w:rPr>
                <w:rFonts w:ascii="Arial" w:hAnsi="Arial" w:cs="Arial"/>
                <w:color w:val="000000"/>
                <w:lang w:val="en-SG" w:eastAsia="zh-CN"/>
              </w:rPr>
            </w:pPr>
            <w:r w:rsidRPr="00D04358">
              <w:rPr>
                <w:rFonts w:ascii="Arial" w:hAnsi="Arial" w:cs="Arial"/>
                <w:color w:val="000000"/>
                <w:lang w:val="en-SG" w:eastAsia="zh-CN"/>
              </w:rPr>
              <w:t>−</w:t>
            </w:r>
            <w:r w:rsidR="00E05E1B" w:rsidRPr="00D04358">
              <w:rPr>
                <w:rFonts w:ascii="Arial" w:hAnsi="Arial" w:cs="Arial"/>
                <w:color w:val="000000"/>
                <w:lang w:val="en-SG" w:eastAsia="zh-CN"/>
              </w:rPr>
              <w:t>12.2%</w:t>
            </w:r>
          </w:p>
        </w:tc>
      </w:tr>
      <w:tr w:rsidR="00E05E1B" w:rsidRPr="00D04358" w14:paraId="4610348F" w14:textId="77777777" w:rsidTr="008A3527">
        <w:trPr>
          <w:trHeight w:val="300"/>
          <w:jc w:val="center"/>
        </w:trPr>
        <w:tc>
          <w:tcPr>
            <w:tcW w:w="960" w:type="dxa"/>
            <w:tcBorders>
              <w:top w:val="nil"/>
              <w:left w:val="nil"/>
              <w:bottom w:val="single" w:sz="4" w:space="0" w:color="auto"/>
              <w:right w:val="nil"/>
            </w:tcBorders>
            <w:shd w:val="clear" w:color="auto" w:fill="auto"/>
            <w:noWrap/>
            <w:vAlign w:val="bottom"/>
            <w:hideMark/>
          </w:tcPr>
          <w:p w14:paraId="02F81A49"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w:t>
            </w:r>
          </w:p>
        </w:tc>
        <w:tc>
          <w:tcPr>
            <w:tcW w:w="2100" w:type="dxa"/>
            <w:tcBorders>
              <w:top w:val="nil"/>
              <w:left w:val="nil"/>
              <w:bottom w:val="single" w:sz="4" w:space="0" w:color="auto"/>
              <w:right w:val="nil"/>
            </w:tcBorders>
            <w:shd w:val="clear" w:color="auto" w:fill="auto"/>
            <w:noWrap/>
            <w:vAlign w:val="bottom"/>
            <w:hideMark/>
          </w:tcPr>
          <w:p w14:paraId="03150B82"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Planned development</w:t>
            </w:r>
          </w:p>
        </w:tc>
        <w:tc>
          <w:tcPr>
            <w:tcW w:w="1360" w:type="dxa"/>
            <w:tcBorders>
              <w:top w:val="nil"/>
              <w:left w:val="nil"/>
              <w:bottom w:val="single" w:sz="4" w:space="0" w:color="auto"/>
              <w:right w:val="nil"/>
            </w:tcBorders>
            <w:shd w:val="clear" w:color="auto" w:fill="auto"/>
            <w:noWrap/>
            <w:vAlign w:val="bottom"/>
            <w:hideMark/>
          </w:tcPr>
          <w:p w14:paraId="59673B6A" w14:textId="77777777" w:rsidR="00E05E1B" w:rsidRPr="00D04358" w:rsidRDefault="00E05E1B" w:rsidP="008A3527">
            <w:pPr>
              <w:rPr>
                <w:rFonts w:ascii="Arial" w:hAnsi="Arial" w:cs="Arial"/>
                <w:color w:val="000000"/>
                <w:lang w:val="en-SG" w:eastAsia="zh-CN"/>
              </w:rPr>
            </w:pPr>
            <w:r w:rsidRPr="00D04358">
              <w:rPr>
                <w:rFonts w:ascii="Arial" w:hAnsi="Arial" w:cs="Arial"/>
                <w:color w:val="000000"/>
                <w:lang w:val="en-SG" w:eastAsia="zh-CN"/>
              </w:rPr>
              <w:t>(# of units)</w:t>
            </w:r>
          </w:p>
        </w:tc>
        <w:tc>
          <w:tcPr>
            <w:tcW w:w="986" w:type="dxa"/>
            <w:tcBorders>
              <w:top w:val="nil"/>
              <w:left w:val="nil"/>
              <w:bottom w:val="single" w:sz="4" w:space="0" w:color="auto"/>
              <w:right w:val="nil"/>
            </w:tcBorders>
            <w:shd w:val="clear" w:color="auto" w:fill="auto"/>
            <w:noWrap/>
            <w:vAlign w:val="bottom"/>
            <w:hideMark/>
          </w:tcPr>
          <w:p w14:paraId="685F4364"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6,697</w:t>
            </w:r>
          </w:p>
        </w:tc>
        <w:tc>
          <w:tcPr>
            <w:tcW w:w="986" w:type="dxa"/>
            <w:tcBorders>
              <w:top w:val="nil"/>
              <w:left w:val="nil"/>
              <w:bottom w:val="single" w:sz="4" w:space="0" w:color="auto"/>
              <w:right w:val="nil"/>
            </w:tcBorders>
            <w:shd w:val="clear" w:color="auto" w:fill="auto"/>
            <w:noWrap/>
            <w:vAlign w:val="bottom"/>
            <w:hideMark/>
          </w:tcPr>
          <w:p w14:paraId="29A94F7C" w14:textId="77777777" w:rsidR="00E05E1B" w:rsidRPr="00D04358" w:rsidRDefault="00E05E1B" w:rsidP="00B138A9">
            <w:pPr>
              <w:jc w:val="right"/>
              <w:rPr>
                <w:rFonts w:ascii="Arial" w:hAnsi="Arial" w:cs="Arial"/>
                <w:color w:val="000000"/>
                <w:lang w:val="en-SG" w:eastAsia="zh-CN"/>
              </w:rPr>
            </w:pPr>
            <w:r w:rsidRPr="00D04358">
              <w:rPr>
                <w:rFonts w:ascii="Arial" w:hAnsi="Arial" w:cs="Arial"/>
                <w:color w:val="000000"/>
                <w:lang w:val="en-SG" w:eastAsia="zh-CN"/>
              </w:rPr>
              <w:t>6,148</w:t>
            </w:r>
          </w:p>
        </w:tc>
        <w:tc>
          <w:tcPr>
            <w:tcW w:w="1263" w:type="dxa"/>
            <w:tcBorders>
              <w:top w:val="nil"/>
              <w:left w:val="nil"/>
              <w:bottom w:val="single" w:sz="4" w:space="0" w:color="auto"/>
              <w:right w:val="nil"/>
            </w:tcBorders>
            <w:shd w:val="clear" w:color="auto" w:fill="auto"/>
            <w:noWrap/>
            <w:vAlign w:val="bottom"/>
            <w:hideMark/>
          </w:tcPr>
          <w:p w14:paraId="5F5B210F" w14:textId="728C1A96" w:rsidR="00E05E1B" w:rsidRPr="00D04358" w:rsidRDefault="00303F2B" w:rsidP="008A3527">
            <w:pPr>
              <w:jc w:val="right"/>
              <w:rPr>
                <w:rFonts w:ascii="Arial" w:hAnsi="Arial" w:cs="Arial"/>
                <w:color w:val="000000"/>
                <w:lang w:val="en-SG" w:eastAsia="zh-CN"/>
              </w:rPr>
            </w:pPr>
            <w:r w:rsidRPr="00D04358">
              <w:rPr>
                <w:rFonts w:ascii="Arial" w:hAnsi="Arial" w:cs="Arial"/>
                <w:color w:val="000000"/>
                <w:lang w:val="en-SG" w:eastAsia="zh-CN"/>
              </w:rPr>
              <w:t>−</w:t>
            </w:r>
            <w:r w:rsidR="00E05E1B" w:rsidRPr="00D04358">
              <w:rPr>
                <w:rFonts w:ascii="Arial" w:hAnsi="Arial" w:cs="Arial"/>
                <w:color w:val="000000"/>
                <w:lang w:val="en-SG" w:eastAsia="zh-CN"/>
              </w:rPr>
              <w:t>8.2%</w:t>
            </w:r>
          </w:p>
        </w:tc>
      </w:tr>
    </w:tbl>
    <w:p w14:paraId="76BD324E" w14:textId="77777777" w:rsidR="00E05E1B" w:rsidRDefault="00E05E1B" w:rsidP="007D2CA7">
      <w:pPr>
        <w:pStyle w:val="Footnote"/>
        <w:rPr>
          <w:lang w:val="en-SG" w:eastAsia="en-SG"/>
        </w:rPr>
      </w:pPr>
    </w:p>
    <w:p w14:paraId="546A731E" w14:textId="12CF2343" w:rsidR="00303F2B" w:rsidRPr="00BE4A3F" w:rsidRDefault="00303F2B" w:rsidP="007D2CA7">
      <w:pPr>
        <w:pStyle w:val="Footnote"/>
        <w:rPr>
          <w:lang w:val="en-SG" w:eastAsia="en-SG"/>
        </w:rPr>
      </w:pPr>
      <w:r>
        <w:rPr>
          <w:i w:val="0"/>
          <w:lang w:val="en-SG" w:eastAsia="en-SG"/>
        </w:rPr>
        <w:t>Note: Q = quarter</w:t>
      </w:r>
    </w:p>
    <w:p w14:paraId="533FCACD" w14:textId="0F41D6D5" w:rsidR="00E05E1B" w:rsidRPr="00BE4A3F" w:rsidRDefault="00E05E1B" w:rsidP="007D2CA7">
      <w:pPr>
        <w:pStyle w:val="Footnote"/>
        <w:rPr>
          <w:lang w:val="en-SG" w:eastAsia="en-SG"/>
        </w:rPr>
      </w:pPr>
      <w:r w:rsidRPr="007D2CA7">
        <w:rPr>
          <w:i w:val="0"/>
          <w:lang w:val="en-SG" w:eastAsia="en-SG"/>
        </w:rPr>
        <w:t>Source: Urban Redevelopment Authority, accessed December 15, 2016, www.ura.gov.sg/uol/-/media/User%20Defined/URA%20Online/media-room/2016/jul/pr16-49e1.pdf?la=en.</w:t>
      </w:r>
    </w:p>
    <w:p w14:paraId="06B927F5" w14:textId="77777777" w:rsidR="00F33E1E" w:rsidRDefault="00F33E1E" w:rsidP="00D04358">
      <w:pPr>
        <w:pStyle w:val="BodyTextMain"/>
      </w:pPr>
    </w:p>
    <w:p w14:paraId="3CA76B95" w14:textId="77777777" w:rsidR="00303F2B" w:rsidRPr="00BE4A3F" w:rsidRDefault="00303F2B" w:rsidP="00D04358">
      <w:pPr>
        <w:pStyle w:val="BodyTextMain"/>
      </w:pPr>
    </w:p>
    <w:p w14:paraId="321B6068" w14:textId="38866F2F" w:rsidR="007C33F1" w:rsidRDefault="000877EF" w:rsidP="00D04358">
      <w:pPr>
        <w:pStyle w:val="Casehead1"/>
        <w:jc w:val="center"/>
      </w:pPr>
      <w:r w:rsidRPr="00F33E1E">
        <w:t>exhibit 5</w:t>
      </w:r>
      <w:r w:rsidR="007C33F1" w:rsidRPr="00F33E1E">
        <w:t>:</w:t>
      </w:r>
      <w:r w:rsidR="00901A05" w:rsidRPr="00F33E1E">
        <w:t xml:space="preserve"> historial trend of Short-term </w:t>
      </w:r>
      <w:r w:rsidR="00996836" w:rsidRPr="00F33E1E">
        <w:t>Interest Rates</w:t>
      </w:r>
      <w:r w:rsidR="007C33F1" w:rsidRPr="00F33E1E">
        <w:t xml:space="preserve"> </w:t>
      </w:r>
      <w:r w:rsidR="00901A05" w:rsidRPr="00F33E1E">
        <w:t>and one-year government bond yield</w:t>
      </w:r>
    </w:p>
    <w:p w14:paraId="5F4E41AF" w14:textId="77777777" w:rsidR="007C33F1" w:rsidRPr="00D04358" w:rsidRDefault="00F27118" w:rsidP="00D04358">
      <w:pPr>
        <w:spacing w:before="100" w:beforeAutospacing="1" w:after="100" w:afterAutospacing="1"/>
        <w:jc w:val="center"/>
        <w:rPr>
          <w:rStyle w:val="BodyTextMainChar"/>
        </w:rPr>
      </w:pPr>
      <w:r w:rsidRPr="00F33E1E">
        <w:rPr>
          <w:noProof/>
          <w:lang w:val="en-GB" w:eastAsia="en-GB"/>
        </w:rPr>
        <w:drawing>
          <wp:inline distT="0" distB="0" distL="0" distR="0" wp14:anchorId="74EE74AF" wp14:editId="227C113A">
            <wp:extent cx="5765800" cy="3128645"/>
            <wp:effectExtent l="0" t="0" r="635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BCCBFE" w14:textId="7FE800D4" w:rsidR="00B138A9" w:rsidRDefault="00B138A9" w:rsidP="00D04358">
      <w:pPr>
        <w:pStyle w:val="FootnoteText1"/>
        <w:rPr>
          <w:lang w:val="en-SG" w:eastAsia="en-SG"/>
        </w:rPr>
      </w:pPr>
      <w:r>
        <w:rPr>
          <w:lang w:val="en-SG" w:eastAsia="en-SG"/>
        </w:rPr>
        <w:t xml:space="preserve">Note: SIBOR = Singapore Interbank Offered Rates; T-bill = </w:t>
      </w:r>
      <w:r w:rsidR="00CA4C1F">
        <w:rPr>
          <w:lang w:val="en-SG" w:eastAsia="en-SG"/>
        </w:rPr>
        <w:t>T</w:t>
      </w:r>
      <w:r>
        <w:rPr>
          <w:lang w:val="en-SG" w:eastAsia="en-SG"/>
        </w:rPr>
        <w:t>reasury bill</w:t>
      </w:r>
    </w:p>
    <w:p w14:paraId="4BCFCDDF" w14:textId="7C9365DC" w:rsidR="00F923D1" w:rsidRPr="00BE4A3F" w:rsidRDefault="007C33F1" w:rsidP="00D04358">
      <w:pPr>
        <w:pStyle w:val="FootnoteText1"/>
        <w:rPr>
          <w:lang w:val="en-CA"/>
        </w:rPr>
      </w:pPr>
      <w:r w:rsidRPr="007D2CA7">
        <w:rPr>
          <w:lang w:val="en-SG" w:eastAsia="en-SG"/>
        </w:rPr>
        <w:t xml:space="preserve">Source: </w:t>
      </w:r>
      <w:r w:rsidR="000B150C" w:rsidRPr="007D2CA7">
        <w:rPr>
          <w:lang w:val="en-SG" w:eastAsia="en-SG"/>
        </w:rPr>
        <w:t>One</w:t>
      </w:r>
      <w:r w:rsidR="00F27118" w:rsidRPr="007D2CA7">
        <w:rPr>
          <w:lang w:val="en-SG" w:eastAsia="en-SG"/>
        </w:rPr>
        <w:t>-year T-bill rate</w:t>
      </w:r>
      <w:r w:rsidR="000B150C" w:rsidRPr="007D2CA7">
        <w:rPr>
          <w:lang w:val="en-SG" w:eastAsia="en-SG"/>
        </w:rPr>
        <w:t xml:space="preserve">: </w:t>
      </w:r>
      <w:r w:rsidRPr="007D2CA7">
        <w:rPr>
          <w:lang w:val="en-SG" w:eastAsia="en-SG"/>
        </w:rPr>
        <w:t>Singapore government statistics</w:t>
      </w:r>
      <w:r w:rsidR="000B150C" w:rsidRPr="007D2CA7">
        <w:rPr>
          <w:lang w:val="en-SG" w:eastAsia="en-SG"/>
        </w:rPr>
        <w:t xml:space="preserve">, accessed December 15, 2016, </w:t>
      </w:r>
      <w:r w:rsidR="00DC2A60" w:rsidRPr="007D2CA7">
        <w:t>www.sgs.gov.sg/Statistics.aspx</w:t>
      </w:r>
      <w:r w:rsidR="000B150C" w:rsidRPr="007D2CA7">
        <w:rPr>
          <w:lang w:val="en-SG" w:eastAsia="en-SG"/>
        </w:rPr>
        <w:t>; one</w:t>
      </w:r>
      <w:r w:rsidR="00FB03C2" w:rsidRPr="007D2CA7">
        <w:rPr>
          <w:lang w:val="en-SG" w:eastAsia="en-SG"/>
        </w:rPr>
        <w:t>-</w:t>
      </w:r>
      <w:r w:rsidR="001F67C0" w:rsidRPr="007D2CA7">
        <w:rPr>
          <w:lang w:val="en-SG" w:eastAsia="en-SG"/>
        </w:rPr>
        <w:t>month</w:t>
      </w:r>
      <w:r w:rsidR="00FB03C2" w:rsidRPr="007D2CA7">
        <w:rPr>
          <w:lang w:val="en-SG" w:eastAsia="en-SG"/>
        </w:rPr>
        <w:t xml:space="preserve"> and </w:t>
      </w:r>
      <w:r w:rsidR="000B150C" w:rsidRPr="007D2CA7">
        <w:rPr>
          <w:lang w:val="en-SG" w:eastAsia="en-SG"/>
        </w:rPr>
        <w:t>three</w:t>
      </w:r>
      <w:r w:rsidR="00FB03C2" w:rsidRPr="007D2CA7">
        <w:rPr>
          <w:lang w:val="en-SG" w:eastAsia="en-SG"/>
        </w:rPr>
        <w:t>-month SIBOR rate</w:t>
      </w:r>
      <w:r w:rsidR="00F27118" w:rsidRPr="007D2CA7">
        <w:rPr>
          <w:lang w:val="en-SG" w:eastAsia="en-SG"/>
        </w:rPr>
        <w:t>s</w:t>
      </w:r>
      <w:r w:rsidR="00FB03C2" w:rsidRPr="007D2CA7">
        <w:rPr>
          <w:lang w:val="en-SG" w:eastAsia="en-SG"/>
        </w:rPr>
        <w:t xml:space="preserve"> </w:t>
      </w:r>
      <w:r w:rsidR="00F27118" w:rsidRPr="007D2CA7">
        <w:rPr>
          <w:lang w:val="en-SG" w:eastAsia="en-SG"/>
        </w:rPr>
        <w:t>(until December 2013)</w:t>
      </w:r>
      <w:r w:rsidR="000B150C" w:rsidRPr="007D2CA7">
        <w:rPr>
          <w:lang w:val="en-SG" w:eastAsia="en-SG"/>
        </w:rPr>
        <w:t xml:space="preserve">: </w:t>
      </w:r>
      <w:r w:rsidR="00584938" w:rsidRPr="007D2CA7">
        <w:rPr>
          <w:lang w:val="en-SG" w:eastAsia="en-SG"/>
        </w:rPr>
        <w:t>“Do</w:t>
      </w:r>
      <w:r w:rsidR="000B150C" w:rsidRPr="007D2CA7">
        <w:rPr>
          <w:lang w:val="en-SG" w:eastAsia="en-SG"/>
        </w:rPr>
        <w:t xml:space="preserve">mestic Interest Rates,” Monetary Authority of Singapore, accessed December 15, 2016, </w:t>
      </w:r>
      <w:r w:rsidR="00DC2A60" w:rsidRPr="007D2CA7">
        <w:t>www.mas.gov.sg/Statistics/Other-Statistics.aspx</w:t>
      </w:r>
      <w:r w:rsidR="000B150C" w:rsidRPr="007D2CA7">
        <w:rPr>
          <w:lang w:val="en-SG" w:eastAsia="en-SG"/>
        </w:rPr>
        <w:t xml:space="preserve">; </w:t>
      </w:r>
      <w:r w:rsidR="00DC2A60" w:rsidRPr="007D2CA7">
        <w:rPr>
          <w:lang w:val="en-SG" w:eastAsia="en-SG"/>
        </w:rPr>
        <w:t xml:space="preserve">the </w:t>
      </w:r>
      <w:r w:rsidR="000B150C" w:rsidRPr="007D2CA7">
        <w:rPr>
          <w:lang w:val="en-SG" w:eastAsia="en-SG"/>
        </w:rPr>
        <w:t>r</w:t>
      </w:r>
      <w:r w:rsidR="00F27118" w:rsidRPr="007D2CA7">
        <w:rPr>
          <w:lang w:val="en-SG" w:eastAsia="en-SG"/>
        </w:rPr>
        <w:t>ecent SIBOR rates from January 2014 onward</w:t>
      </w:r>
      <w:r w:rsidR="00DC2A60" w:rsidRPr="007D2CA7">
        <w:rPr>
          <w:lang w:val="en-SG" w:eastAsia="en-SG"/>
        </w:rPr>
        <w:t xml:space="preserve"> is from</w:t>
      </w:r>
      <w:r w:rsidR="000B150C" w:rsidRPr="007D2CA7">
        <w:rPr>
          <w:lang w:val="en-SG" w:eastAsia="en-SG"/>
        </w:rPr>
        <w:t xml:space="preserve"> </w:t>
      </w:r>
      <w:proofErr w:type="spellStart"/>
      <w:r w:rsidR="000B150C" w:rsidRPr="007D2CA7">
        <w:rPr>
          <w:lang w:val="en-SG" w:eastAsia="en-SG"/>
        </w:rPr>
        <w:t>MoneySmart</w:t>
      </w:r>
      <w:proofErr w:type="spellEnd"/>
      <w:r w:rsidR="000B150C" w:rsidRPr="007D2CA7">
        <w:rPr>
          <w:lang w:val="en-SG" w:eastAsia="en-SG"/>
        </w:rPr>
        <w:t xml:space="preserve">, accessed February 9, 2017, </w:t>
      </w:r>
      <w:r w:rsidR="00FB03C2" w:rsidRPr="007D2CA7">
        <w:t>www.moneysmart.sg/home-loan/sibor-trend</w:t>
      </w:r>
      <w:r w:rsidR="00F33E1E" w:rsidRPr="007D2CA7">
        <w:t>.</w:t>
      </w:r>
    </w:p>
    <w:sectPr w:rsidR="00F923D1" w:rsidRPr="00BE4A3F" w:rsidSect="0084377F">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F68B9" w14:textId="77777777" w:rsidR="00201746" w:rsidRDefault="00201746" w:rsidP="00D75295">
      <w:r>
        <w:separator/>
      </w:r>
    </w:p>
  </w:endnote>
  <w:endnote w:type="continuationSeparator" w:id="0">
    <w:p w14:paraId="050171F3" w14:textId="77777777" w:rsidR="00201746" w:rsidRDefault="00201746" w:rsidP="00D75295">
      <w:r>
        <w:continuationSeparator/>
      </w:r>
    </w:p>
  </w:endnote>
  <w:endnote w:type="continuationNotice" w:id="1">
    <w:p w14:paraId="14457B22" w14:textId="77777777" w:rsidR="00201746" w:rsidRDefault="00201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2835C" w14:textId="77777777" w:rsidR="00201746" w:rsidRDefault="00201746" w:rsidP="00D75295">
      <w:r>
        <w:separator/>
      </w:r>
    </w:p>
  </w:footnote>
  <w:footnote w:type="continuationSeparator" w:id="0">
    <w:p w14:paraId="73D7D34C" w14:textId="77777777" w:rsidR="00201746" w:rsidRDefault="00201746" w:rsidP="00D75295">
      <w:r>
        <w:continuationSeparator/>
      </w:r>
    </w:p>
  </w:footnote>
  <w:footnote w:type="continuationNotice" w:id="1">
    <w:p w14:paraId="48940F24" w14:textId="77777777" w:rsidR="00201746" w:rsidRDefault="00201746"/>
  </w:footnote>
  <w:footnote w:id="2">
    <w:p w14:paraId="7A89F6FA" w14:textId="51F5D17B"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sidRPr="001D12B0">
        <w:rPr>
          <w:rFonts w:ascii="Arial" w:hAnsi="Arial" w:cs="Arial"/>
          <w:sz w:val="17"/>
          <w:szCs w:val="17"/>
        </w:rPr>
        <w:t xml:space="preserve"> </w:t>
      </w:r>
      <w:r w:rsidR="009A03FC">
        <w:rPr>
          <w:rFonts w:ascii="Arial" w:hAnsi="Arial" w:cs="Arial"/>
          <w:sz w:val="17"/>
          <w:szCs w:val="17"/>
        </w:rPr>
        <w:t xml:space="preserve">All currency amounts are in SG$ unless otherwise specified; SG$1 = US$0.75 on March 31, 2016. </w:t>
      </w:r>
    </w:p>
  </w:footnote>
  <w:footnote w:id="3">
    <w:p w14:paraId="19D4DA92" w14:textId="39803766" w:rsidR="00F33E1E" w:rsidRPr="000445E2" w:rsidRDefault="00F33E1E" w:rsidP="001D12B0">
      <w:pPr>
        <w:pStyle w:val="FootnoteText"/>
        <w:jc w:val="both"/>
        <w:rPr>
          <w:rFonts w:ascii="Arial" w:hAnsi="Arial" w:cs="Arial"/>
          <w:sz w:val="17"/>
          <w:szCs w:val="17"/>
        </w:rPr>
      </w:pPr>
      <w:r w:rsidRPr="000445E2">
        <w:rPr>
          <w:rStyle w:val="FootnoteReference"/>
          <w:rFonts w:ascii="Arial" w:hAnsi="Arial" w:cs="Arial"/>
          <w:sz w:val="17"/>
          <w:szCs w:val="17"/>
        </w:rPr>
        <w:footnoteRef/>
      </w:r>
      <w:r w:rsidRPr="000445E2">
        <w:rPr>
          <w:rFonts w:ascii="Arial" w:hAnsi="Arial" w:cs="Arial"/>
          <w:sz w:val="17"/>
          <w:szCs w:val="17"/>
        </w:rPr>
        <w:t xml:space="preserve"> </w:t>
      </w:r>
      <w:r w:rsidRPr="001D12B0">
        <w:rPr>
          <w:rFonts w:ascii="Arial" w:hAnsi="Arial" w:cs="Arial"/>
          <w:sz w:val="17"/>
          <w:szCs w:val="17"/>
        </w:rPr>
        <w:t xml:space="preserve">The Central Provident Fund (CPF) </w:t>
      </w:r>
      <w:r w:rsidR="00F67528">
        <w:rPr>
          <w:rFonts w:ascii="Arial" w:hAnsi="Arial" w:cs="Arial"/>
          <w:sz w:val="17"/>
          <w:szCs w:val="17"/>
        </w:rPr>
        <w:t>was</w:t>
      </w:r>
      <w:r w:rsidRPr="001D12B0">
        <w:rPr>
          <w:rFonts w:ascii="Arial" w:hAnsi="Arial" w:cs="Arial"/>
          <w:sz w:val="17"/>
          <w:szCs w:val="17"/>
        </w:rPr>
        <w:t xml:space="preserve"> a comprehensive social security system</w:t>
      </w:r>
      <w:r w:rsidRPr="000445E2">
        <w:rPr>
          <w:rFonts w:ascii="Arial" w:hAnsi="Arial" w:cs="Arial"/>
          <w:sz w:val="17"/>
          <w:szCs w:val="17"/>
        </w:rPr>
        <w:t xml:space="preserve"> that</w:t>
      </w:r>
      <w:r w:rsidRPr="001D12B0">
        <w:rPr>
          <w:rFonts w:ascii="Arial" w:hAnsi="Arial" w:cs="Arial"/>
          <w:sz w:val="17"/>
          <w:szCs w:val="17"/>
        </w:rPr>
        <w:t xml:space="preserve"> enables working Singapore </w:t>
      </w:r>
      <w:r w:rsidRPr="000445E2">
        <w:rPr>
          <w:rFonts w:ascii="Arial" w:hAnsi="Arial" w:cs="Arial"/>
          <w:sz w:val="17"/>
          <w:szCs w:val="17"/>
        </w:rPr>
        <w:t>c</w:t>
      </w:r>
      <w:r w:rsidRPr="001D12B0">
        <w:rPr>
          <w:rFonts w:ascii="Arial" w:hAnsi="Arial" w:cs="Arial"/>
          <w:sz w:val="17"/>
          <w:szCs w:val="17"/>
        </w:rPr>
        <w:t xml:space="preserve">itizens and </w:t>
      </w:r>
      <w:r w:rsidRPr="000445E2">
        <w:rPr>
          <w:rFonts w:ascii="Arial" w:hAnsi="Arial" w:cs="Arial"/>
          <w:sz w:val="17"/>
          <w:szCs w:val="17"/>
        </w:rPr>
        <w:t>p</w:t>
      </w:r>
      <w:r w:rsidRPr="001D12B0">
        <w:rPr>
          <w:rFonts w:ascii="Arial" w:hAnsi="Arial" w:cs="Arial"/>
          <w:sz w:val="17"/>
          <w:szCs w:val="17"/>
        </w:rPr>
        <w:t xml:space="preserve">ermanent </w:t>
      </w:r>
      <w:r w:rsidRPr="000445E2">
        <w:rPr>
          <w:rFonts w:ascii="Arial" w:hAnsi="Arial" w:cs="Arial"/>
          <w:sz w:val="17"/>
          <w:szCs w:val="17"/>
        </w:rPr>
        <w:t>r</w:t>
      </w:r>
      <w:r w:rsidRPr="001D12B0">
        <w:rPr>
          <w:rFonts w:ascii="Arial" w:hAnsi="Arial" w:cs="Arial"/>
          <w:sz w:val="17"/>
          <w:szCs w:val="17"/>
        </w:rPr>
        <w:t>esidents to set aside funds for retirement. It also addresse</w:t>
      </w:r>
      <w:r w:rsidR="00F67528">
        <w:rPr>
          <w:rFonts w:ascii="Arial" w:hAnsi="Arial" w:cs="Arial"/>
          <w:sz w:val="17"/>
          <w:szCs w:val="17"/>
        </w:rPr>
        <w:t>d</w:t>
      </w:r>
      <w:r w:rsidRPr="001D12B0">
        <w:rPr>
          <w:rFonts w:ascii="Arial" w:hAnsi="Arial" w:cs="Arial"/>
          <w:sz w:val="17"/>
          <w:szCs w:val="17"/>
        </w:rPr>
        <w:t xml:space="preserve"> health</w:t>
      </w:r>
      <w:r w:rsidRPr="000445E2">
        <w:rPr>
          <w:rFonts w:ascii="Arial" w:hAnsi="Arial" w:cs="Arial"/>
          <w:sz w:val="17"/>
          <w:szCs w:val="17"/>
        </w:rPr>
        <w:t xml:space="preserve"> </w:t>
      </w:r>
      <w:r w:rsidRPr="001D12B0">
        <w:rPr>
          <w:rFonts w:ascii="Arial" w:hAnsi="Arial" w:cs="Arial"/>
          <w:sz w:val="17"/>
          <w:szCs w:val="17"/>
        </w:rPr>
        <w:t>care, home ownership, family protection</w:t>
      </w:r>
      <w:r w:rsidRPr="000445E2">
        <w:rPr>
          <w:rFonts w:ascii="Arial" w:hAnsi="Arial" w:cs="Arial"/>
          <w:sz w:val="17"/>
          <w:szCs w:val="17"/>
        </w:rPr>
        <w:t>,</w:t>
      </w:r>
      <w:r w:rsidRPr="001D12B0">
        <w:rPr>
          <w:rFonts w:ascii="Arial" w:hAnsi="Arial" w:cs="Arial"/>
          <w:sz w:val="17"/>
          <w:szCs w:val="17"/>
        </w:rPr>
        <w:t xml:space="preserve"> and asset enhancement. Both employees and employers ma</w:t>
      </w:r>
      <w:r w:rsidR="00F67528">
        <w:rPr>
          <w:rFonts w:ascii="Arial" w:hAnsi="Arial" w:cs="Arial"/>
          <w:sz w:val="17"/>
          <w:szCs w:val="17"/>
        </w:rPr>
        <w:t>d</w:t>
      </w:r>
      <w:r w:rsidRPr="001D12B0">
        <w:rPr>
          <w:rFonts w:ascii="Arial" w:hAnsi="Arial" w:cs="Arial"/>
          <w:sz w:val="17"/>
          <w:szCs w:val="17"/>
        </w:rPr>
        <w:t>e monthly CPF contributions.</w:t>
      </w:r>
      <w:r w:rsidRPr="000445E2">
        <w:rPr>
          <w:rFonts w:ascii="Arial" w:hAnsi="Arial" w:cs="Arial"/>
          <w:sz w:val="17"/>
          <w:szCs w:val="17"/>
        </w:rPr>
        <w:t xml:space="preserve"> </w:t>
      </w:r>
      <w:r w:rsidRPr="001D12B0">
        <w:rPr>
          <w:rFonts w:ascii="Arial" w:hAnsi="Arial" w:cs="Arial"/>
          <w:sz w:val="17"/>
          <w:szCs w:val="17"/>
        </w:rPr>
        <w:t xml:space="preserve">These contributions </w:t>
      </w:r>
      <w:r w:rsidR="00F67528">
        <w:rPr>
          <w:rFonts w:ascii="Arial" w:hAnsi="Arial" w:cs="Arial"/>
          <w:sz w:val="17"/>
          <w:szCs w:val="17"/>
        </w:rPr>
        <w:t>went</w:t>
      </w:r>
      <w:r w:rsidRPr="001D12B0">
        <w:rPr>
          <w:rFonts w:ascii="Arial" w:hAnsi="Arial" w:cs="Arial"/>
          <w:sz w:val="17"/>
          <w:szCs w:val="17"/>
        </w:rPr>
        <w:t xml:space="preserve"> into three accounts: Ordinary Account , Special Account, and Medisave Account, where the contributions from the O</w:t>
      </w:r>
      <w:r w:rsidR="00F67528">
        <w:rPr>
          <w:rFonts w:ascii="Arial" w:hAnsi="Arial" w:cs="Arial"/>
          <w:sz w:val="17"/>
          <w:szCs w:val="17"/>
        </w:rPr>
        <w:t xml:space="preserve">rdinary </w:t>
      </w:r>
      <w:r w:rsidRPr="001D12B0">
        <w:rPr>
          <w:rFonts w:ascii="Arial" w:hAnsi="Arial" w:cs="Arial"/>
          <w:sz w:val="17"/>
          <w:szCs w:val="17"/>
        </w:rPr>
        <w:t>A</w:t>
      </w:r>
      <w:r w:rsidR="00F67528">
        <w:rPr>
          <w:rFonts w:ascii="Arial" w:hAnsi="Arial" w:cs="Arial"/>
          <w:sz w:val="17"/>
          <w:szCs w:val="17"/>
        </w:rPr>
        <w:t>ccount</w:t>
      </w:r>
      <w:r w:rsidRPr="001D12B0">
        <w:rPr>
          <w:rFonts w:ascii="Arial" w:hAnsi="Arial" w:cs="Arial"/>
          <w:sz w:val="17"/>
          <w:szCs w:val="17"/>
        </w:rPr>
        <w:t xml:space="preserve"> c</w:t>
      </w:r>
      <w:r w:rsidR="00F67528">
        <w:rPr>
          <w:rFonts w:ascii="Arial" w:hAnsi="Arial" w:cs="Arial"/>
          <w:sz w:val="17"/>
          <w:szCs w:val="17"/>
        </w:rPr>
        <w:t>ould</w:t>
      </w:r>
      <w:r w:rsidRPr="001D12B0">
        <w:rPr>
          <w:rFonts w:ascii="Arial" w:hAnsi="Arial" w:cs="Arial"/>
          <w:sz w:val="17"/>
          <w:szCs w:val="17"/>
        </w:rPr>
        <w:t xml:space="preserve"> be withdrawn before retirement for housing, insurance, investment</w:t>
      </w:r>
      <w:r w:rsidRPr="000445E2">
        <w:rPr>
          <w:rFonts w:ascii="Arial" w:hAnsi="Arial" w:cs="Arial"/>
          <w:sz w:val="17"/>
          <w:szCs w:val="17"/>
        </w:rPr>
        <w:t>,</w:t>
      </w:r>
      <w:r w:rsidRPr="001D12B0">
        <w:rPr>
          <w:rFonts w:ascii="Arial" w:hAnsi="Arial" w:cs="Arial"/>
          <w:sz w:val="17"/>
          <w:szCs w:val="17"/>
        </w:rPr>
        <w:t xml:space="preserve"> and education purposes for the contributor or for his</w:t>
      </w:r>
      <w:r>
        <w:rPr>
          <w:rFonts w:ascii="Arial" w:hAnsi="Arial" w:cs="Arial"/>
          <w:sz w:val="17"/>
          <w:szCs w:val="17"/>
        </w:rPr>
        <w:t xml:space="preserve"> or </w:t>
      </w:r>
      <w:r w:rsidRPr="001D12B0">
        <w:rPr>
          <w:rFonts w:ascii="Arial" w:hAnsi="Arial" w:cs="Arial"/>
          <w:sz w:val="17"/>
          <w:szCs w:val="17"/>
        </w:rPr>
        <w:t>her children</w:t>
      </w:r>
      <w:r w:rsidR="00F67528">
        <w:rPr>
          <w:rFonts w:ascii="Arial" w:hAnsi="Arial" w:cs="Arial"/>
          <w:sz w:val="17"/>
          <w:szCs w:val="17"/>
        </w:rPr>
        <w:t>;</w:t>
      </w:r>
      <w:r w:rsidRPr="000445E2">
        <w:rPr>
          <w:rFonts w:ascii="Arial" w:hAnsi="Arial" w:cs="Arial"/>
          <w:sz w:val="17"/>
          <w:szCs w:val="17"/>
        </w:rPr>
        <w:t xml:space="preserve"> </w:t>
      </w:r>
      <w:r w:rsidRPr="001D12B0">
        <w:rPr>
          <w:rFonts w:ascii="Arial" w:hAnsi="Arial" w:cs="Arial"/>
          <w:sz w:val="17"/>
          <w:szCs w:val="17"/>
        </w:rPr>
        <w:t>“CPF Overview</w:t>
      </w:r>
      <w:r w:rsidRPr="000445E2">
        <w:rPr>
          <w:rFonts w:ascii="Arial" w:hAnsi="Arial" w:cs="Arial"/>
          <w:sz w:val="17"/>
          <w:szCs w:val="17"/>
        </w:rPr>
        <w:t>,</w:t>
      </w:r>
      <w:r w:rsidRPr="001D12B0">
        <w:rPr>
          <w:rFonts w:ascii="Arial" w:hAnsi="Arial" w:cs="Arial"/>
          <w:sz w:val="17"/>
          <w:szCs w:val="17"/>
        </w:rPr>
        <w:t xml:space="preserve">” </w:t>
      </w:r>
      <w:r w:rsidRPr="000445E2">
        <w:rPr>
          <w:rFonts w:ascii="Arial" w:hAnsi="Arial" w:cs="Arial"/>
          <w:sz w:val="17"/>
          <w:szCs w:val="17"/>
        </w:rPr>
        <w:t>Central Provident Fund Board, accessed August 29, 2016</w:t>
      </w:r>
      <w:r>
        <w:rPr>
          <w:rFonts w:ascii="Arial" w:hAnsi="Arial" w:cs="Arial"/>
          <w:sz w:val="17"/>
          <w:szCs w:val="17"/>
        </w:rPr>
        <w:t xml:space="preserve">, </w:t>
      </w:r>
      <w:r w:rsidRPr="001D12B0">
        <w:rPr>
          <w:rFonts w:ascii="Arial" w:hAnsi="Arial" w:cs="Arial"/>
          <w:sz w:val="17"/>
          <w:szCs w:val="17"/>
        </w:rPr>
        <w:t>www.cpf.gov.sg/Members/AboutUs/about-us-info/cpf-overview</w:t>
      </w:r>
      <w:r>
        <w:rPr>
          <w:rFonts w:ascii="Arial" w:hAnsi="Arial" w:cs="Arial"/>
          <w:sz w:val="17"/>
          <w:szCs w:val="17"/>
        </w:rPr>
        <w:t>.</w:t>
      </w:r>
    </w:p>
  </w:footnote>
  <w:footnote w:id="4">
    <w:p w14:paraId="15D1CF5C" w14:textId="3CD70897"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sidRPr="001D12B0">
        <w:rPr>
          <w:rFonts w:ascii="Arial" w:hAnsi="Arial" w:cs="Arial"/>
          <w:sz w:val="17"/>
          <w:szCs w:val="17"/>
        </w:rPr>
        <w:t xml:space="preserve"> </w:t>
      </w:r>
      <w:r w:rsidRPr="00F33E1E">
        <w:rPr>
          <w:rFonts w:ascii="Arial" w:hAnsi="Arial" w:cs="Arial"/>
          <w:sz w:val="17"/>
          <w:szCs w:val="17"/>
        </w:rPr>
        <w:t xml:space="preserve">The Business Times, “Property </w:t>
      </w:r>
      <w:r w:rsidR="00B31719">
        <w:rPr>
          <w:rFonts w:ascii="Arial" w:hAnsi="Arial" w:cs="Arial"/>
          <w:sz w:val="17"/>
          <w:szCs w:val="17"/>
        </w:rPr>
        <w:t>C</w:t>
      </w:r>
      <w:r w:rsidRPr="00F33E1E">
        <w:rPr>
          <w:rFonts w:ascii="Arial" w:hAnsi="Arial" w:cs="Arial"/>
          <w:sz w:val="17"/>
          <w:szCs w:val="17"/>
        </w:rPr>
        <w:t xml:space="preserve">ooling </w:t>
      </w:r>
      <w:r w:rsidR="00B31719">
        <w:rPr>
          <w:rFonts w:ascii="Arial" w:hAnsi="Arial" w:cs="Arial"/>
          <w:sz w:val="17"/>
          <w:szCs w:val="17"/>
        </w:rPr>
        <w:t>M</w:t>
      </w:r>
      <w:r w:rsidRPr="00F33E1E">
        <w:rPr>
          <w:rFonts w:ascii="Arial" w:hAnsi="Arial" w:cs="Arial"/>
          <w:sz w:val="17"/>
          <w:szCs w:val="17"/>
        </w:rPr>
        <w:t xml:space="preserve">easures: Why </w:t>
      </w:r>
      <w:r w:rsidR="00B31719">
        <w:rPr>
          <w:rFonts w:ascii="Arial" w:hAnsi="Arial" w:cs="Arial"/>
          <w:sz w:val="17"/>
          <w:szCs w:val="17"/>
        </w:rPr>
        <w:t>C</w:t>
      </w:r>
      <w:r w:rsidRPr="00F33E1E">
        <w:rPr>
          <w:rFonts w:ascii="Arial" w:hAnsi="Arial" w:cs="Arial"/>
          <w:sz w:val="17"/>
          <w:szCs w:val="17"/>
        </w:rPr>
        <w:t xml:space="preserve">autionary </w:t>
      </w:r>
      <w:r w:rsidR="00B31719">
        <w:rPr>
          <w:rFonts w:ascii="Arial" w:hAnsi="Arial" w:cs="Arial"/>
          <w:sz w:val="17"/>
          <w:szCs w:val="17"/>
        </w:rPr>
        <w:t>S</w:t>
      </w:r>
      <w:r w:rsidRPr="00F33E1E">
        <w:rPr>
          <w:rFonts w:ascii="Arial" w:hAnsi="Arial" w:cs="Arial"/>
          <w:sz w:val="17"/>
          <w:szCs w:val="17"/>
        </w:rPr>
        <w:t xml:space="preserve">tance </w:t>
      </w:r>
      <w:r w:rsidR="00B31719">
        <w:rPr>
          <w:rFonts w:ascii="Arial" w:hAnsi="Arial" w:cs="Arial"/>
          <w:sz w:val="17"/>
          <w:szCs w:val="17"/>
        </w:rPr>
        <w:t>S</w:t>
      </w:r>
      <w:r w:rsidRPr="00F33E1E">
        <w:rPr>
          <w:rFonts w:ascii="Arial" w:hAnsi="Arial" w:cs="Arial"/>
          <w:sz w:val="17"/>
          <w:szCs w:val="17"/>
        </w:rPr>
        <w:t xml:space="preserve">till </w:t>
      </w:r>
      <w:r w:rsidR="00B31719">
        <w:rPr>
          <w:rFonts w:ascii="Arial" w:hAnsi="Arial" w:cs="Arial"/>
          <w:sz w:val="17"/>
          <w:szCs w:val="17"/>
        </w:rPr>
        <w:t>N</w:t>
      </w:r>
      <w:r w:rsidRPr="00F33E1E">
        <w:rPr>
          <w:rFonts w:ascii="Arial" w:hAnsi="Arial" w:cs="Arial"/>
          <w:sz w:val="17"/>
          <w:szCs w:val="17"/>
        </w:rPr>
        <w:t xml:space="preserve">eeded,” July 26, 2016, </w:t>
      </w:r>
      <w:r>
        <w:rPr>
          <w:rFonts w:ascii="Arial" w:hAnsi="Arial" w:cs="Arial"/>
          <w:sz w:val="17"/>
          <w:szCs w:val="17"/>
        </w:rPr>
        <w:t xml:space="preserve">accessed August 4, 2016, </w:t>
      </w:r>
      <w:r w:rsidRPr="00F33E1E">
        <w:rPr>
          <w:rFonts w:ascii="Arial" w:hAnsi="Arial" w:cs="Arial"/>
          <w:sz w:val="17"/>
          <w:szCs w:val="17"/>
        </w:rPr>
        <w:t>https://global-factiva-com.libproxy1.nus.edu.sg/ha/default.aspx</w:t>
      </w:r>
      <w:r>
        <w:rPr>
          <w:rFonts w:ascii="Arial" w:hAnsi="Arial" w:cs="Arial"/>
          <w:sz w:val="17"/>
          <w:szCs w:val="17"/>
        </w:rPr>
        <w:t>.</w:t>
      </w:r>
    </w:p>
  </w:footnote>
  <w:footnote w:id="5">
    <w:p w14:paraId="2D0CB85E" w14:textId="79261532"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sidRPr="001D12B0">
        <w:rPr>
          <w:rFonts w:ascii="Arial" w:hAnsi="Arial" w:cs="Arial"/>
          <w:sz w:val="17"/>
          <w:szCs w:val="17"/>
        </w:rPr>
        <w:t xml:space="preserve"> “Singapore Property Market Cooling Measures,” </w:t>
      </w:r>
      <w:r w:rsidRPr="00DD6289">
        <w:rPr>
          <w:rFonts w:ascii="Arial" w:hAnsi="Arial" w:cs="Arial"/>
          <w:sz w:val="17"/>
          <w:szCs w:val="17"/>
        </w:rPr>
        <w:t>Singapore Real Estate Exchange, a</w:t>
      </w:r>
      <w:r>
        <w:rPr>
          <w:rFonts w:ascii="Arial" w:hAnsi="Arial" w:cs="Arial"/>
          <w:sz w:val="17"/>
          <w:szCs w:val="17"/>
        </w:rPr>
        <w:t xml:space="preserve">ccessed </w:t>
      </w:r>
      <w:r w:rsidRPr="00DD6289">
        <w:rPr>
          <w:rFonts w:ascii="Arial" w:hAnsi="Arial" w:cs="Arial"/>
          <w:sz w:val="17"/>
          <w:szCs w:val="17"/>
        </w:rPr>
        <w:t>August 4, 2016</w:t>
      </w:r>
      <w:r>
        <w:rPr>
          <w:rFonts w:ascii="Arial" w:hAnsi="Arial" w:cs="Arial"/>
          <w:sz w:val="17"/>
          <w:szCs w:val="17"/>
        </w:rPr>
        <w:t xml:space="preserve">, </w:t>
      </w:r>
      <w:r w:rsidRPr="001D12B0">
        <w:rPr>
          <w:rFonts w:ascii="Arial" w:hAnsi="Arial" w:cs="Arial"/>
          <w:sz w:val="17"/>
          <w:szCs w:val="17"/>
        </w:rPr>
        <w:t>www.srx.com.sg/cooling-measures.</w:t>
      </w:r>
    </w:p>
  </w:footnote>
  <w:footnote w:id="6">
    <w:p w14:paraId="5C09AD9C" w14:textId="79C586A6"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Pr>
          <w:rFonts w:ascii="Arial" w:hAnsi="Arial" w:cs="Arial"/>
          <w:sz w:val="17"/>
          <w:szCs w:val="17"/>
        </w:rPr>
        <w:t xml:space="preserve"> Geraldine Goh, “</w:t>
      </w:r>
      <w:r w:rsidRPr="001D12B0">
        <w:rPr>
          <w:rStyle w:val="enheadline"/>
          <w:rFonts w:ascii="Arial" w:hAnsi="Arial" w:cs="Arial"/>
          <w:sz w:val="17"/>
          <w:szCs w:val="17"/>
        </w:rPr>
        <w:t xml:space="preserve">Weak </w:t>
      </w:r>
      <w:r>
        <w:rPr>
          <w:rStyle w:val="enheadline"/>
          <w:rFonts w:ascii="Arial" w:hAnsi="Arial" w:cs="Arial"/>
          <w:sz w:val="17"/>
          <w:szCs w:val="17"/>
        </w:rPr>
        <w:t>S</w:t>
      </w:r>
      <w:r w:rsidRPr="001D12B0">
        <w:rPr>
          <w:rStyle w:val="enheadline"/>
          <w:rFonts w:ascii="Arial" w:hAnsi="Arial" w:cs="Arial"/>
          <w:sz w:val="17"/>
          <w:szCs w:val="17"/>
        </w:rPr>
        <w:t xml:space="preserve">entiment </w:t>
      </w:r>
      <w:r>
        <w:rPr>
          <w:rStyle w:val="enheadline"/>
          <w:rFonts w:ascii="Arial" w:hAnsi="Arial" w:cs="Arial"/>
          <w:sz w:val="17"/>
          <w:szCs w:val="17"/>
        </w:rPr>
        <w:t>S</w:t>
      </w:r>
      <w:r w:rsidRPr="001D12B0">
        <w:rPr>
          <w:rStyle w:val="enheadline"/>
          <w:rFonts w:ascii="Arial" w:hAnsi="Arial" w:cs="Arial"/>
          <w:sz w:val="17"/>
          <w:szCs w:val="17"/>
        </w:rPr>
        <w:t xml:space="preserve">till </w:t>
      </w:r>
      <w:r>
        <w:rPr>
          <w:rStyle w:val="enheadline"/>
          <w:rFonts w:ascii="Arial" w:hAnsi="Arial" w:cs="Arial"/>
          <w:sz w:val="17"/>
          <w:szCs w:val="17"/>
        </w:rPr>
        <w:t>W</w:t>
      </w:r>
      <w:r w:rsidRPr="001D12B0">
        <w:rPr>
          <w:rStyle w:val="enheadline"/>
          <w:rFonts w:ascii="Arial" w:hAnsi="Arial" w:cs="Arial"/>
          <w:sz w:val="17"/>
          <w:szCs w:val="17"/>
        </w:rPr>
        <w:t xml:space="preserve">eighing </w:t>
      </w:r>
      <w:r>
        <w:rPr>
          <w:rStyle w:val="enheadline"/>
          <w:rFonts w:ascii="Arial" w:hAnsi="Arial" w:cs="Arial"/>
          <w:sz w:val="17"/>
          <w:szCs w:val="17"/>
        </w:rPr>
        <w:t>D</w:t>
      </w:r>
      <w:r w:rsidRPr="001D12B0">
        <w:rPr>
          <w:rStyle w:val="enheadline"/>
          <w:rFonts w:ascii="Arial" w:hAnsi="Arial" w:cs="Arial"/>
          <w:sz w:val="17"/>
          <w:szCs w:val="17"/>
        </w:rPr>
        <w:t xml:space="preserve">own </w:t>
      </w:r>
      <w:r w:rsidRPr="001D12B0">
        <w:rPr>
          <w:rStyle w:val="enheadline"/>
          <w:rFonts w:ascii="Arial" w:hAnsi="Arial" w:cs="Arial"/>
          <w:bCs/>
          <w:sz w:val="17"/>
          <w:szCs w:val="17"/>
        </w:rPr>
        <w:t xml:space="preserve">Singapore </w:t>
      </w:r>
      <w:r>
        <w:rPr>
          <w:rStyle w:val="enheadline"/>
          <w:rFonts w:ascii="Arial" w:hAnsi="Arial" w:cs="Arial"/>
          <w:bCs/>
          <w:sz w:val="17"/>
          <w:szCs w:val="17"/>
        </w:rPr>
        <w:t>P</w:t>
      </w:r>
      <w:r w:rsidRPr="001D12B0">
        <w:rPr>
          <w:rStyle w:val="enheadline"/>
          <w:rFonts w:ascii="Arial" w:hAnsi="Arial" w:cs="Arial"/>
          <w:bCs/>
          <w:sz w:val="17"/>
          <w:szCs w:val="17"/>
        </w:rPr>
        <w:t xml:space="preserve">roperty </w:t>
      </w:r>
      <w:r>
        <w:rPr>
          <w:rStyle w:val="enheadline"/>
          <w:rFonts w:ascii="Arial" w:hAnsi="Arial" w:cs="Arial"/>
          <w:bCs/>
          <w:sz w:val="17"/>
          <w:szCs w:val="17"/>
        </w:rPr>
        <w:t>M</w:t>
      </w:r>
      <w:r w:rsidRPr="001D12B0">
        <w:rPr>
          <w:rStyle w:val="enheadline"/>
          <w:rFonts w:ascii="Arial" w:hAnsi="Arial" w:cs="Arial"/>
          <w:bCs/>
          <w:sz w:val="17"/>
          <w:szCs w:val="17"/>
        </w:rPr>
        <w:t>arket</w:t>
      </w:r>
      <w:r w:rsidRPr="001D12B0">
        <w:rPr>
          <w:rStyle w:val="enheadline"/>
          <w:rFonts w:ascii="Arial" w:hAnsi="Arial" w:cs="Arial"/>
          <w:sz w:val="17"/>
          <w:szCs w:val="17"/>
        </w:rPr>
        <w:t xml:space="preserve">, </w:t>
      </w:r>
      <w:r>
        <w:rPr>
          <w:rStyle w:val="enheadline"/>
          <w:rFonts w:ascii="Arial" w:hAnsi="Arial" w:cs="Arial"/>
          <w:sz w:val="17"/>
          <w:szCs w:val="17"/>
        </w:rPr>
        <w:t>S</w:t>
      </w:r>
      <w:r w:rsidRPr="001D12B0">
        <w:rPr>
          <w:rStyle w:val="enheadline"/>
          <w:rFonts w:ascii="Arial" w:hAnsi="Arial" w:cs="Arial"/>
          <w:sz w:val="17"/>
          <w:szCs w:val="17"/>
        </w:rPr>
        <w:t xml:space="preserve">ays </w:t>
      </w:r>
      <w:proofErr w:type="spellStart"/>
      <w:r w:rsidRPr="001D12B0">
        <w:rPr>
          <w:rStyle w:val="enheadline"/>
          <w:rFonts w:ascii="Arial" w:hAnsi="Arial" w:cs="Arial"/>
          <w:sz w:val="17"/>
          <w:szCs w:val="17"/>
        </w:rPr>
        <w:t>Redas</w:t>
      </w:r>
      <w:proofErr w:type="spellEnd"/>
      <w:r w:rsidRPr="001D12B0">
        <w:rPr>
          <w:rStyle w:val="enheadline"/>
          <w:rFonts w:ascii="Arial" w:hAnsi="Arial" w:cs="Arial"/>
          <w:sz w:val="17"/>
          <w:szCs w:val="17"/>
        </w:rPr>
        <w:t xml:space="preserve"> </w:t>
      </w:r>
      <w:r>
        <w:rPr>
          <w:rStyle w:val="enheadline"/>
          <w:rFonts w:ascii="Arial" w:hAnsi="Arial" w:cs="Arial"/>
          <w:sz w:val="17"/>
          <w:szCs w:val="17"/>
        </w:rPr>
        <w:t>C</w:t>
      </w:r>
      <w:r w:rsidRPr="001D12B0">
        <w:rPr>
          <w:rStyle w:val="enheadline"/>
          <w:rFonts w:ascii="Arial" w:hAnsi="Arial" w:cs="Arial"/>
          <w:sz w:val="17"/>
          <w:szCs w:val="17"/>
        </w:rPr>
        <w:t>hief Augustine Tan</w:t>
      </w:r>
      <w:r w:rsidRPr="001D12B0">
        <w:rPr>
          <w:rStyle w:val="enheadline"/>
          <w:rFonts w:ascii="Arial" w:hAnsi="Arial" w:cs="Arial"/>
          <w:bCs/>
          <w:sz w:val="17"/>
          <w:szCs w:val="17"/>
        </w:rPr>
        <w:t xml:space="preserve">,” </w:t>
      </w:r>
      <w:r w:rsidRPr="001D12B0">
        <w:rPr>
          <w:rFonts w:ascii="Arial" w:hAnsi="Arial" w:cs="Arial"/>
          <w:i/>
          <w:sz w:val="17"/>
          <w:szCs w:val="17"/>
        </w:rPr>
        <w:t>Straits Times,</w:t>
      </w:r>
      <w:r w:rsidRPr="00DD6289">
        <w:rPr>
          <w:rFonts w:ascii="Arial" w:hAnsi="Arial" w:cs="Arial"/>
          <w:sz w:val="17"/>
          <w:szCs w:val="17"/>
        </w:rPr>
        <w:t xml:space="preserve"> </w:t>
      </w:r>
      <w:r w:rsidRPr="001D12B0">
        <w:rPr>
          <w:rStyle w:val="enheadline"/>
          <w:rFonts w:ascii="Arial" w:hAnsi="Arial" w:cs="Arial"/>
          <w:bCs/>
          <w:sz w:val="17"/>
          <w:szCs w:val="17"/>
        </w:rPr>
        <w:t>July</w:t>
      </w:r>
      <w:r>
        <w:rPr>
          <w:rStyle w:val="enheadline"/>
          <w:rFonts w:ascii="Arial" w:hAnsi="Arial" w:cs="Arial"/>
          <w:bCs/>
          <w:sz w:val="17"/>
          <w:szCs w:val="17"/>
        </w:rPr>
        <w:t> </w:t>
      </w:r>
      <w:r w:rsidRPr="001D12B0">
        <w:rPr>
          <w:rStyle w:val="enheadline"/>
          <w:rFonts w:ascii="Arial" w:hAnsi="Arial" w:cs="Arial"/>
          <w:bCs/>
          <w:sz w:val="17"/>
          <w:szCs w:val="17"/>
        </w:rPr>
        <w:t>12, 2016,</w:t>
      </w:r>
      <w:r w:rsidRPr="001D12B0">
        <w:rPr>
          <w:rStyle w:val="enheadline"/>
          <w:rFonts w:ascii="Arial" w:hAnsi="Arial" w:cs="Arial"/>
          <w:bCs/>
          <w:color w:val="666666"/>
          <w:sz w:val="17"/>
          <w:szCs w:val="17"/>
        </w:rPr>
        <w:t xml:space="preserve"> </w:t>
      </w:r>
      <w:r w:rsidRPr="00DD6289">
        <w:rPr>
          <w:rStyle w:val="enheadline"/>
          <w:rFonts w:ascii="Arial" w:hAnsi="Arial" w:cs="Arial"/>
          <w:bCs/>
          <w:sz w:val="17"/>
          <w:szCs w:val="17"/>
        </w:rPr>
        <w:t>accessed August 4, 2016</w:t>
      </w:r>
      <w:r>
        <w:rPr>
          <w:rStyle w:val="enheadline"/>
          <w:rFonts w:ascii="Arial" w:hAnsi="Arial" w:cs="Arial"/>
          <w:bCs/>
          <w:sz w:val="17"/>
          <w:szCs w:val="17"/>
        </w:rPr>
        <w:t xml:space="preserve">, </w:t>
      </w:r>
      <w:r w:rsidRPr="001D12B0">
        <w:rPr>
          <w:rFonts w:ascii="Arial" w:hAnsi="Arial" w:cs="Arial"/>
          <w:bCs/>
          <w:sz w:val="17"/>
          <w:szCs w:val="17"/>
        </w:rPr>
        <w:t>https://global-factiva-com.libproxy1.nus.edu.sg/hp/printsavews.aspx</w:t>
      </w:r>
      <w:r>
        <w:rPr>
          <w:rFonts w:ascii="Arial" w:hAnsi="Arial" w:cs="Arial"/>
          <w:bCs/>
          <w:sz w:val="17"/>
          <w:szCs w:val="17"/>
        </w:rPr>
        <w:t>.</w:t>
      </w:r>
    </w:p>
  </w:footnote>
  <w:footnote w:id="7">
    <w:p w14:paraId="7A56341A" w14:textId="2A0601A7" w:rsidR="00F33E1E" w:rsidRPr="009A03FC" w:rsidRDefault="00F33E1E" w:rsidP="001D12B0">
      <w:pPr>
        <w:pStyle w:val="FootnoteText"/>
        <w:jc w:val="both"/>
        <w:rPr>
          <w:rFonts w:ascii="Arial" w:hAnsi="Arial" w:cs="Arial"/>
          <w:spacing w:val="-4"/>
          <w:kern w:val="17"/>
          <w:sz w:val="17"/>
          <w:szCs w:val="17"/>
        </w:rPr>
      </w:pPr>
      <w:r w:rsidRPr="009A03FC">
        <w:rPr>
          <w:rStyle w:val="FootnoteReference"/>
          <w:rFonts w:ascii="Arial" w:hAnsi="Arial" w:cs="Arial"/>
          <w:spacing w:val="-4"/>
          <w:kern w:val="17"/>
          <w:sz w:val="17"/>
          <w:szCs w:val="17"/>
        </w:rPr>
        <w:footnoteRef/>
      </w:r>
      <w:r w:rsidRPr="009A03FC">
        <w:rPr>
          <w:rFonts w:ascii="Arial" w:hAnsi="Arial" w:cs="Arial"/>
          <w:spacing w:val="-4"/>
          <w:kern w:val="17"/>
          <w:sz w:val="17"/>
          <w:szCs w:val="17"/>
        </w:rPr>
        <w:t xml:space="preserve"> Lynette Khoo, “Property Cooling Measures: Why Cautionary Stance Still Needed,” </w:t>
      </w:r>
      <w:r w:rsidRPr="009A03FC">
        <w:rPr>
          <w:rFonts w:ascii="Arial" w:hAnsi="Arial" w:cs="Arial"/>
          <w:i/>
          <w:spacing w:val="-4"/>
          <w:kern w:val="17"/>
          <w:sz w:val="17"/>
          <w:szCs w:val="17"/>
        </w:rPr>
        <w:t>Business Times,</w:t>
      </w:r>
      <w:r w:rsidRPr="009A03FC">
        <w:rPr>
          <w:rFonts w:ascii="Arial" w:hAnsi="Arial" w:cs="Arial"/>
          <w:spacing w:val="-4"/>
          <w:kern w:val="17"/>
          <w:sz w:val="17"/>
          <w:szCs w:val="17"/>
        </w:rPr>
        <w:t xml:space="preserve"> July 26, 2016, accessed August 4, 2016</w:t>
      </w:r>
      <w:r w:rsidR="00B31719" w:rsidRPr="009A03FC">
        <w:rPr>
          <w:rFonts w:ascii="Arial" w:hAnsi="Arial" w:cs="Arial"/>
          <w:spacing w:val="-4"/>
          <w:kern w:val="17"/>
          <w:sz w:val="17"/>
          <w:szCs w:val="17"/>
        </w:rPr>
        <w:t>,</w:t>
      </w:r>
      <w:r w:rsidR="00B31719" w:rsidRPr="009A03FC">
        <w:rPr>
          <w:rStyle w:val="FootnoteChar"/>
          <w:i w:val="0"/>
          <w:spacing w:val="-4"/>
          <w:kern w:val="17"/>
        </w:rPr>
        <w:t xml:space="preserve"> www.businesstimes.com.sg/companies-markets/property-cooling-measures-why-cautionary-stance-still-needed</w:t>
      </w:r>
      <w:r w:rsidRPr="009A03FC">
        <w:rPr>
          <w:rStyle w:val="FootnoteChar"/>
          <w:i w:val="0"/>
          <w:spacing w:val="-4"/>
          <w:kern w:val="17"/>
        </w:rPr>
        <w:t>.</w:t>
      </w:r>
    </w:p>
  </w:footnote>
  <w:footnote w:id="8">
    <w:p w14:paraId="5819C201" w14:textId="7C4D282D"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sidRPr="001D12B0">
        <w:rPr>
          <w:rFonts w:ascii="Arial" w:hAnsi="Arial" w:cs="Arial"/>
          <w:sz w:val="17"/>
          <w:szCs w:val="17"/>
        </w:rPr>
        <w:t xml:space="preserve"> </w:t>
      </w:r>
      <w:r>
        <w:rPr>
          <w:rFonts w:ascii="Arial" w:hAnsi="Arial" w:cs="Arial"/>
          <w:sz w:val="17"/>
          <w:szCs w:val="17"/>
        </w:rPr>
        <w:t xml:space="preserve">Rennie Whang, </w:t>
      </w:r>
      <w:r w:rsidRPr="001D12B0">
        <w:rPr>
          <w:rFonts w:ascii="Arial" w:hAnsi="Arial" w:cs="Arial"/>
          <w:sz w:val="17"/>
          <w:szCs w:val="17"/>
        </w:rPr>
        <w:t>“</w:t>
      </w:r>
      <w:r w:rsidRPr="00D03AE4">
        <w:rPr>
          <w:rFonts w:ascii="Arial" w:hAnsi="Arial" w:cs="Arial"/>
          <w:sz w:val="17"/>
          <w:szCs w:val="17"/>
        </w:rPr>
        <w:t>‘</w:t>
      </w:r>
      <w:r w:rsidRPr="001D12B0">
        <w:rPr>
          <w:rFonts w:ascii="Arial" w:hAnsi="Arial" w:cs="Arial"/>
          <w:sz w:val="17"/>
          <w:szCs w:val="17"/>
        </w:rPr>
        <w:t xml:space="preserve">Too </w:t>
      </w:r>
      <w:r>
        <w:rPr>
          <w:rFonts w:ascii="Arial" w:hAnsi="Arial" w:cs="Arial"/>
          <w:sz w:val="17"/>
          <w:szCs w:val="17"/>
        </w:rPr>
        <w:t>E</w:t>
      </w:r>
      <w:r w:rsidRPr="001D12B0">
        <w:rPr>
          <w:rFonts w:ascii="Arial" w:hAnsi="Arial" w:cs="Arial"/>
          <w:sz w:val="17"/>
          <w:szCs w:val="17"/>
        </w:rPr>
        <w:t>arly</w:t>
      </w:r>
      <w:r>
        <w:rPr>
          <w:rFonts w:ascii="Arial" w:hAnsi="Arial" w:cs="Arial"/>
          <w:sz w:val="17"/>
          <w:szCs w:val="17"/>
        </w:rPr>
        <w:t xml:space="preserve">’ </w:t>
      </w:r>
      <w:r w:rsidRPr="001D12B0">
        <w:rPr>
          <w:rFonts w:ascii="Arial" w:hAnsi="Arial" w:cs="Arial"/>
          <w:sz w:val="17"/>
          <w:szCs w:val="17"/>
        </w:rPr>
        <w:t xml:space="preserve">to </w:t>
      </w:r>
      <w:r>
        <w:rPr>
          <w:rFonts w:ascii="Arial" w:hAnsi="Arial" w:cs="Arial"/>
          <w:sz w:val="17"/>
          <w:szCs w:val="17"/>
        </w:rPr>
        <w:t>L</w:t>
      </w:r>
      <w:r w:rsidRPr="001D12B0">
        <w:rPr>
          <w:rFonts w:ascii="Arial" w:hAnsi="Arial" w:cs="Arial"/>
          <w:sz w:val="17"/>
          <w:szCs w:val="17"/>
        </w:rPr>
        <w:t xml:space="preserve">ift </w:t>
      </w:r>
      <w:r>
        <w:rPr>
          <w:rFonts w:ascii="Arial" w:hAnsi="Arial" w:cs="Arial"/>
          <w:sz w:val="17"/>
          <w:szCs w:val="17"/>
        </w:rPr>
        <w:t>P</w:t>
      </w:r>
      <w:r w:rsidRPr="001D12B0">
        <w:rPr>
          <w:rFonts w:ascii="Arial" w:hAnsi="Arial" w:cs="Arial"/>
          <w:sz w:val="17"/>
          <w:szCs w:val="17"/>
        </w:rPr>
        <w:t xml:space="preserve">roperty </w:t>
      </w:r>
      <w:r>
        <w:rPr>
          <w:rFonts w:ascii="Arial" w:hAnsi="Arial" w:cs="Arial"/>
          <w:sz w:val="17"/>
          <w:szCs w:val="17"/>
        </w:rPr>
        <w:t>C</w:t>
      </w:r>
      <w:r w:rsidRPr="001D12B0">
        <w:rPr>
          <w:rFonts w:ascii="Arial" w:hAnsi="Arial" w:cs="Arial"/>
          <w:sz w:val="17"/>
          <w:szCs w:val="17"/>
        </w:rPr>
        <w:t xml:space="preserve">ooling </w:t>
      </w:r>
      <w:r>
        <w:rPr>
          <w:rFonts w:ascii="Arial" w:hAnsi="Arial" w:cs="Arial"/>
          <w:sz w:val="17"/>
          <w:szCs w:val="17"/>
        </w:rPr>
        <w:t>M</w:t>
      </w:r>
      <w:r w:rsidRPr="001D12B0">
        <w:rPr>
          <w:rFonts w:ascii="Arial" w:hAnsi="Arial" w:cs="Arial"/>
          <w:sz w:val="17"/>
          <w:szCs w:val="17"/>
        </w:rPr>
        <w:t>easures: MAS</w:t>
      </w:r>
      <w:r>
        <w:rPr>
          <w:rFonts w:ascii="Arial" w:hAnsi="Arial" w:cs="Arial"/>
          <w:sz w:val="17"/>
          <w:szCs w:val="17"/>
        </w:rPr>
        <w:t>,</w:t>
      </w:r>
      <w:r w:rsidRPr="001D12B0">
        <w:rPr>
          <w:rFonts w:ascii="Arial" w:hAnsi="Arial" w:cs="Arial"/>
          <w:sz w:val="17"/>
          <w:szCs w:val="17"/>
        </w:rPr>
        <w:t xml:space="preserve">” </w:t>
      </w:r>
      <w:r>
        <w:rPr>
          <w:rFonts w:ascii="Arial" w:hAnsi="Arial" w:cs="Arial"/>
          <w:i/>
          <w:sz w:val="17"/>
          <w:szCs w:val="17"/>
        </w:rPr>
        <w:t>Straights Times,</w:t>
      </w:r>
      <w:r>
        <w:rPr>
          <w:rFonts w:ascii="Arial" w:hAnsi="Arial" w:cs="Arial"/>
          <w:sz w:val="17"/>
          <w:szCs w:val="17"/>
        </w:rPr>
        <w:t xml:space="preserve"> </w:t>
      </w:r>
      <w:r w:rsidRPr="001D12B0">
        <w:rPr>
          <w:rFonts w:ascii="Arial" w:hAnsi="Arial" w:cs="Arial"/>
          <w:sz w:val="17"/>
          <w:szCs w:val="17"/>
        </w:rPr>
        <w:t>July 26, 2016, accessed</w:t>
      </w:r>
      <w:r>
        <w:rPr>
          <w:rFonts w:ascii="Arial" w:hAnsi="Arial" w:cs="Arial"/>
          <w:sz w:val="17"/>
          <w:szCs w:val="17"/>
        </w:rPr>
        <w:t xml:space="preserve"> August 4, 2016, </w:t>
      </w:r>
      <w:r w:rsidRPr="001D12B0">
        <w:rPr>
          <w:rFonts w:ascii="Arial" w:hAnsi="Arial" w:cs="Arial"/>
          <w:sz w:val="17"/>
          <w:szCs w:val="17"/>
        </w:rPr>
        <w:t>https://global-factiva-com.libpro</w:t>
      </w:r>
      <w:r>
        <w:rPr>
          <w:rFonts w:ascii="Arial" w:hAnsi="Arial" w:cs="Arial"/>
          <w:sz w:val="17"/>
          <w:szCs w:val="17"/>
        </w:rPr>
        <w:t>xy1.nus.edu.sg/ha/default.aspx.</w:t>
      </w:r>
    </w:p>
  </w:footnote>
  <w:footnote w:id="9">
    <w:p w14:paraId="6F34843D" w14:textId="3D57B107" w:rsidR="00F33E1E" w:rsidRPr="001D12B0" w:rsidRDefault="00F33E1E" w:rsidP="001D12B0">
      <w:pPr>
        <w:pStyle w:val="FootnoteText"/>
        <w:jc w:val="both"/>
        <w:rPr>
          <w:rFonts w:ascii="Arial" w:hAnsi="Arial" w:cs="Arial"/>
          <w:sz w:val="17"/>
          <w:szCs w:val="17"/>
        </w:rPr>
      </w:pPr>
      <w:r w:rsidRPr="001D12B0">
        <w:rPr>
          <w:rStyle w:val="FootnoteReference"/>
          <w:rFonts w:ascii="Arial" w:hAnsi="Arial" w:cs="Arial"/>
          <w:sz w:val="17"/>
          <w:szCs w:val="17"/>
        </w:rPr>
        <w:footnoteRef/>
      </w:r>
      <w:r w:rsidRPr="001D12B0">
        <w:rPr>
          <w:rFonts w:ascii="Arial" w:hAnsi="Arial" w:cs="Arial"/>
          <w:sz w:val="17"/>
          <w:szCs w:val="17"/>
        </w:rPr>
        <w:t xml:space="preserve"> </w:t>
      </w:r>
      <w:r>
        <w:rPr>
          <w:rFonts w:ascii="Arial" w:hAnsi="Arial" w:cs="Arial"/>
          <w:sz w:val="17"/>
          <w:szCs w:val="17"/>
        </w:rPr>
        <w:t>I</w:t>
      </w:r>
      <w:r w:rsidRPr="001D12B0">
        <w:rPr>
          <w:rFonts w:ascii="Arial" w:hAnsi="Arial" w:cs="Arial"/>
          <w:sz w:val="17"/>
          <w:szCs w:val="17"/>
        </w:rPr>
        <w:t>bid</w:t>
      </w:r>
      <w:r>
        <w:rPr>
          <w:rFonts w:ascii="Arial" w:hAnsi="Arial" w:cs="Arial"/>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05CD" w14:textId="3C16A12A" w:rsidR="002E5A07" w:rsidRDefault="002E5A07"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4126">
      <w:rPr>
        <w:rFonts w:ascii="Arial" w:hAnsi="Arial"/>
        <w:b/>
        <w:noProof/>
      </w:rPr>
      <w:t>4</w:t>
    </w:r>
    <w:r>
      <w:rPr>
        <w:rFonts w:ascii="Arial" w:hAnsi="Arial"/>
        <w:b/>
      </w:rPr>
      <w:fldChar w:fldCharType="end"/>
    </w:r>
    <w:r>
      <w:rPr>
        <w:rFonts w:ascii="Arial" w:hAnsi="Arial"/>
        <w:b/>
      </w:rPr>
      <w:ptab w:relativeTo="margin" w:alignment="right" w:leader="none"/>
    </w:r>
    <w:r w:rsidR="00F33E1E">
      <w:rPr>
        <w:rFonts w:ascii="Arial" w:hAnsi="Arial"/>
        <w:b/>
      </w:rPr>
      <w:t>9B17N</w:t>
    </w:r>
    <w:r w:rsidR="009A03FC">
      <w:rPr>
        <w:rFonts w:ascii="Arial" w:hAnsi="Arial"/>
        <w:b/>
      </w:rPr>
      <w:t>013</w:t>
    </w:r>
  </w:p>
  <w:p w14:paraId="5F5E7298" w14:textId="77777777" w:rsidR="002E5A07" w:rsidRPr="00C92CC4" w:rsidRDefault="002E5A07" w:rsidP="00C17DAF">
    <w:pPr>
      <w:pStyle w:val="Header"/>
      <w:tabs>
        <w:tab w:val="clear" w:pos="4680"/>
        <w:tab w:val="clear" w:pos="9360"/>
        <w:tab w:val="right" w:pos="12960"/>
      </w:tabs>
      <w:rPr>
        <w:sz w:val="18"/>
        <w:szCs w:val="18"/>
      </w:rPr>
    </w:pPr>
  </w:p>
  <w:p w14:paraId="455F2B5A" w14:textId="77777777" w:rsidR="002E5A07" w:rsidRPr="00C92CC4" w:rsidRDefault="002E5A07" w:rsidP="00C17DA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403A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EC"/>
    <w:multiLevelType w:val="hybridMultilevel"/>
    <w:tmpl w:val="055840D2"/>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88731A1"/>
    <w:multiLevelType w:val="hybridMultilevel"/>
    <w:tmpl w:val="BBF408C8"/>
    <w:lvl w:ilvl="0" w:tplc="1AE89E0C">
      <w:start w:val="1"/>
      <w:numFmt w:val="decimal"/>
      <w:lvlText w:val="%1."/>
      <w:lvlJc w:val="left"/>
      <w:pPr>
        <w:ind w:left="720" w:hanging="360"/>
      </w:pPr>
      <w:rPr>
        <w:rFonts w:hint="default"/>
        <w:b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325E0C"/>
    <w:multiLevelType w:val="hybridMultilevel"/>
    <w:tmpl w:val="10BAEFE0"/>
    <w:lvl w:ilvl="0" w:tplc="1E38AD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601BF"/>
    <w:multiLevelType w:val="hybridMultilevel"/>
    <w:tmpl w:val="3B802A9E"/>
    <w:lvl w:ilvl="0" w:tplc="00760196">
      <w:numFmt w:val="bullet"/>
      <w:lvlText w:val="-"/>
      <w:lvlJc w:val="left"/>
      <w:pPr>
        <w:ind w:left="360" w:hanging="360"/>
      </w:pPr>
      <w:rPr>
        <w:rFonts w:ascii="Times" w:eastAsiaTheme="minorEastAsia"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172265"/>
    <w:multiLevelType w:val="hybridMultilevel"/>
    <w:tmpl w:val="473E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AA7803"/>
    <w:multiLevelType w:val="hybridMultilevel"/>
    <w:tmpl w:val="B2F03454"/>
    <w:lvl w:ilvl="0" w:tplc="CC58CB46">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34B5328B"/>
    <w:multiLevelType w:val="hybridMultilevel"/>
    <w:tmpl w:val="74EE687A"/>
    <w:lvl w:ilvl="0" w:tplc="04090001">
      <w:start w:val="1"/>
      <w:numFmt w:val="bullet"/>
      <w:lvlText w:val=""/>
      <w:lvlJc w:val="left"/>
      <w:pPr>
        <w:ind w:left="360" w:hanging="360"/>
      </w:pPr>
      <w:rPr>
        <w:rFonts w:ascii="Symbol" w:hAnsi="Symbol" w:hint="default"/>
        <w:sz w:val="16"/>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F4E4B05"/>
    <w:multiLevelType w:val="hybridMultilevel"/>
    <w:tmpl w:val="BEE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3" w15:restartNumberingAfterBreak="0">
    <w:nsid w:val="4D1E42BE"/>
    <w:multiLevelType w:val="hybridMultilevel"/>
    <w:tmpl w:val="544C3E16"/>
    <w:lvl w:ilvl="0" w:tplc="60E80258">
      <w:start w:val="1"/>
      <w:numFmt w:val="bullet"/>
      <w:lvlText w:val=""/>
      <w:lvlJc w:val="left"/>
      <w:pPr>
        <w:ind w:left="360" w:hanging="360"/>
      </w:pPr>
      <w:rPr>
        <w:rFonts w:ascii="Symbol" w:hAnsi="Symbol" w:hint="default"/>
        <w:sz w:val="16"/>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890B5A"/>
    <w:multiLevelType w:val="hybridMultilevel"/>
    <w:tmpl w:val="5F5A9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2717B9"/>
    <w:multiLevelType w:val="hybridMultilevel"/>
    <w:tmpl w:val="B4E8D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4F6B3F"/>
    <w:multiLevelType w:val="hybridMultilevel"/>
    <w:tmpl w:val="1292E2EE"/>
    <w:lvl w:ilvl="0" w:tplc="5846DD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752E7"/>
    <w:multiLevelType w:val="hybridMultilevel"/>
    <w:tmpl w:val="745EA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DC56BE"/>
    <w:multiLevelType w:val="hybridMultilevel"/>
    <w:tmpl w:val="6C9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5"/>
  </w:num>
  <w:num w:numId="5">
    <w:abstractNumId w:val="12"/>
  </w:num>
  <w:num w:numId="6">
    <w:abstractNumId w:val="1"/>
  </w:num>
  <w:num w:numId="7">
    <w:abstractNumId w:val="4"/>
  </w:num>
  <w:num w:numId="8">
    <w:abstractNumId w:val="7"/>
  </w:num>
  <w:num w:numId="9">
    <w:abstractNumId w:val="19"/>
  </w:num>
  <w:num w:numId="10">
    <w:abstractNumId w:val="6"/>
  </w:num>
  <w:num w:numId="11">
    <w:abstractNumId w:val="20"/>
  </w:num>
  <w:num w:numId="12">
    <w:abstractNumId w:val="10"/>
  </w:num>
  <w:num w:numId="13">
    <w:abstractNumId w:val="18"/>
  </w:num>
  <w:num w:numId="14">
    <w:abstractNumId w:val="0"/>
  </w:num>
  <w:num w:numId="15">
    <w:abstractNumId w:val="8"/>
  </w:num>
  <w:num w:numId="16">
    <w:abstractNumId w:val="17"/>
  </w:num>
  <w:num w:numId="17">
    <w:abstractNumId w:val="13"/>
  </w:num>
  <w:num w:numId="18">
    <w:abstractNumId w:val="3"/>
  </w:num>
  <w:num w:numId="19">
    <w:abstractNumId w:val="9"/>
  </w:num>
  <w:num w:numId="20">
    <w:abstractNumId w:val="2"/>
  </w:num>
  <w:num w:numId="2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Version" w:val="5.0"/>
  </w:docVars>
  <w:rsids>
    <w:rsidRoot w:val="008A4DC4"/>
    <w:rsid w:val="0000085A"/>
    <w:rsid w:val="00000CF1"/>
    <w:rsid w:val="00003862"/>
    <w:rsid w:val="00007FB3"/>
    <w:rsid w:val="00013360"/>
    <w:rsid w:val="00016759"/>
    <w:rsid w:val="00016BCA"/>
    <w:rsid w:val="00020647"/>
    <w:rsid w:val="000216CE"/>
    <w:rsid w:val="00025DC7"/>
    <w:rsid w:val="0003451D"/>
    <w:rsid w:val="00041973"/>
    <w:rsid w:val="000445E2"/>
    <w:rsid w:val="00044ECC"/>
    <w:rsid w:val="0004619F"/>
    <w:rsid w:val="000464C4"/>
    <w:rsid w:val="000531D3"/>
    <w:rsid w:val="000545E8"/>
    <w:rsid w:val="0005646B"/>
    <w:rsid w:val="000571D9"/>
    <w:rsid w:val="000654D1"/>
    <w:rsid w:val="0006585C"/>
    <w:rsid w:val="000722D4"/>
    <w:rsid w:val="000778CA"/>
    <w:rsid w:val="0008102D"/>
    <w:rsid w:val="0008501B"/>
    <w:rsid w:val="000877EF"/>
    <w:rsid w:val="00094C0E"/>
    <w:rsid w:val="00096D5B"/>
    <w:rsid w:val="000A2BE4"/>
    <w:rsid w:val="000A476B"/>
    <w:rsid w:val="000A6335"/>
    <w:rsid w:val="000A6568"/>
    <w:rsid w:val="000A747F"/>
    <w:rsid w:val="000B0DB6"/>
    <w:rsid w:val="000B150C"/>
    <w:rsid w:val="000B3810"/>
    <w:rsid w:val="000B46E6"/>
    <w:rsid w:val="000B7221"/>
    <w:rsid w:val="000C158C"/>
    <w:rsid w:val="000E2475"/>
    <w:rsid w:val="000E674D"/>
    <w:rsid w:val="000F0C22"/>
    <w:rsid w:val="000F2B97"/>
    <w:rsid w:val="000F6B09"/>
    <w:rsid w:val="000F6FDC"/>
    <w:rsid w:val="0010235E"/>
    <w:rsid w:val="001037CB"/>
    <w:rsid w:val="00104567"/>
    <w:rsid w:val="00104916"/>
    <w:rsid w:val="00104AA7"/>
    <w:rsid w:val="001068AA"/>
    <w:rsid w:val="0011150D"/>
    <w:rsid w:val="00122D3D"/>
    <w:rsid w:val="0012732D"/>
    <w:rsid w:val="00131496"/>
    <w:rsid w:val="001342E6"/>
    <w:rsid w:val="00134796"/>
    <w:rsid w:val="001421A4"/>
    <w:rsid w:val="00143F25"/>
    <w:rsid w:val="00144469"/>
    <w:rsid w:val="00152682"/>
    <w:rsid w:val="00154FC9"/>
    <w:rsid w:val="00163F49"/>
    <w:rsid w:val="001754AB"/>
    <w:rsid w:val="00183E97"/>
    <w:rsid w:val="00187394"/>
    <w:rsid w:val="0018791E"/>
    <w:rsid w:val="0019241A"/>
    <w:rsid w:val="00193649"/>
    <w:rsid w:val="0019515A"/>
    <w:rsid w:val="00195458"/>
    <w:rsid w:val="00197F18"/>
    <w:rsid w:val="001A752D"/>
    <w:rsid w:val="001A757E"/>
    <w:rsid w:val="001B158B"/>
    <w:rsid w:val="001B5032"/>
    <w:rsid w:val="001B70A6"/>
    <w:rsid w:val="001C3F08"/>
    <w:rsid w:val="001C68E3"/>
    <w:rsid w:val="001D12B0"/>
    <w:rsid w:val="001D5F5F"/>
    <w:rsid w:val="001E0341"/>
    <w:rsid w:val="001E364F"/>
    <w:rsid w:val="001E4DE5"/>
    <w:rsid w:val="001E64DE"/>
    <w:rsid w:val="001E74A3"/>
    <w:rsid w:val="001F2CB6"/>
    <w:rsid w:val="001F5C62"/>
    <w:rsid w:val="001F5ED5"/>
    <w:rsid w:val="001F67C0"/>
    <w:rsid w:val="001F7B14"/>
    <w:rsid w:val="00200EEA"/>
    <w:rsid w:val="00201746"/>
    <w:rsid w:val="00202113"/>
    <w:rsid w:val="0020325B"/>
    <w:rsid w:val="00203AA1"/>
    <w:rsid w:val="00213E98"/>
    <w:rsid w:val="0022002B"/>
    <w:rsid w:val="0022230E"/>
    <w:rsid w:val="00223E55"/>
    <w:rsid w:val="00227089"/>
    <w:rsid w:val="0023338D"/>
    <w:rsid w:val="002450A8"/>
    <w:rsid w:val="00245A8A"/>
    <w:rsid w:val="00245FDC"/>
    <w:rsid w:val="00252C6E"/>
    <w:rsid w:val="00262B27"/>
    <w:rsid w:val="002670B8"/>
    <w:rsid w:val="00282723"/>
    <w:rsid w:val="00282AEC"/>
    <w:rsid w:val="00282F5D"/>
    <w:rsid w:val="002A23FA"/>
    <w:rsid w:val="002A5988"/>
    <w:rsid w:val="002C28E7"/>
    <w:rsid w:val="002C374E"/>
    <w:rsid w:val="002C5456"/>
    <w:rsid w:val="002C738F"/>
    <w:rsid w:val="002D1655"/>
    <w:rsid w:val="002D3453"/>
    <w:rsid w:val="002E2E72"/>
    <w:rsid w:val="002E5A07"/>
    <w:rsid w:val="002E5FD1"/>
    <w:rsid w:val="002F3A4A"/>
    <w:rsid w:val="002F460C"/>
    <w:rsid w:val="002F48D6"/>
    <w:rsid w:val="002F4C6C"/>
    <w:rsid w:val="002F696E"/>
    <w:rsid w:val="003012A0"/>
    <w:rsid w:val="00302E57"/>
    <w:rsid w:val="00303338"/>
    <w:rsid w:val="00303F2B"/>
    <w:rsid w:val="00303FE6"/>
    <w:rsid w:val="00305839"/>
    <w:rsid w:val="00307B58"/>
    <w:rsid w:val="003103E7"/>
    <w:rsid w:val="003104AC"/>
    <w:rsid w:val="00317391"/>
    <w:rsid w:val="00326216"/>
    <w:rsid w:val="00333DE6"/>
    <w:rsid w:val="00336580"/>
    <w:rsid w:val="0034184B"/>
    <w:rsid w:val="00342E80"/>
    <w:rsid w:val="00343448"/>
    <w:rsid w:val="0034490C"/>
    <w:rsid w:val="003508B7"/>
    <w:rsid w:val="00350D53"/>
    <w:rsid w:val="00354899"/>
    <w:rsid w:val="00355E42"/>
    <w:rsid w:val="00355FD6"/>
    <w:rsid w:val="003572EF"/>
    <w:rsid w:val="003600AA"/>
    <w:rsid w:val="00361FB0"/>
    <w:rsid w:val="0036451B"/>
    <w:rsid w:val="00364A5C"/>
    <w:rsid w:val="00373FB1"/>
    <w:rsid w:val="00374E48"/>
    <w:rsid w:val="003764E3"/>
    <w:rsid w:val="00385E2B"/>
    <w:rsid w:val="00386D84"/>
    <w:rsid w:val="003902ED"/>
    <w:rsid w:val="00390D38"/>
    <w:rsid w:val="00395BCD"/>
    <w:rsid w:val="00395BF0"/>
    <w:rsid w:val="00396C76"/>
    <w:rsid w:val="003B30D8"/>
    <w:rsid w:val="003B606A"/>
    <w:rsid w:val="003B7EF2"/>
    <w:rsid w:val="003C1979"/>
    <w:rsid w:val="003C32C6"/>
    <w:rsid w:val="003C3D73"/>
    <w:rsid w:val="003C3FA4"/>
    <w:rsid w:val="003C4631"/>
    <w:rsid w:val="003C54C1"/>
    <w:rsid w:val="003C6842"/>
    <w:rsid w:val="003C6D26"/>
    <w:rsid w:val="003C6D9A"/>
    <w:rsid w:val="003D3352"/>
    <w:rsid w:val="003E2446"/>
    <w:rsid w:val="003E3FE2"/>
    <w:rsid w:val="003F2B0C"/>
    <w:rsid w:val="003F7A68"/>
    <w:rsid w:val="0040098B"/>
    <w:rsid w:val="0040381D"/>
    <w:rsid w:val="004076B1"/>
    <w:rsid w:val="004221E4"/>
    <w:rsid w:val="004273F8"/>
    <w:rsid w:val="00432B9A"/>
    <w:rsid w:val="004342C6"/>
    <w:rsid w:val="00434494"/>
    <w:rsid w:val="004355A3"/>
    <w:rsid w:val="00446546"/>
    <w:rsid w:val="00447270"/>
    <w:rsid w:val="00450895"/>
    <w:rsid w:val="004517A4"/>
    <w:rsid w:val="00452769"/>
    <w:rsid w:val="00455232"/>
    <w:rsid w:val="00456649"/>
    <w:rsid w:val="004620C4"/>
    <w:rsid w:val="00474E3D"/>
    <w:rsid w:val="00486FA9"/>
    <w:rsid w:val="004873EB"/>
    <w:rsid w:val="004879EA"/>
    <w:rsid w:val="004926F8"/>
    <w:rsid w:val="00495CF1"/>
    <w:rsid w:val="00496C5F"/>
    <w:rsid w:val="00497B5A"/>
    <w:rsid w:val="004A589E"/>
    <w:rsid w:val="004B1CCB"/>
    <w:rsid w:val="004B632F"/>
    <w:rsid w:val="004C4252"/>
    <w:rsid w:val="004D21A8"/>
    <w:rsid w:val="004D2D15"/>
    <w:rsid w:val="004D3FB1"/>
    <w:rsid w:val="004D5B5D"/>
    <w:rsid w:val="004D5B6A"/>
    <w:rsid w:val="004D6F21"/>
    <w:rsid w:val="004D73A5"/>
    <w:rsid w:val="0050080F"/>
    <w:rsid w:val="00510C54"/>
    <w:rsid w:val="0051309F"/>
    <w:rsid w:val="005160F1"/>
    <w:rsid w:val="0052192C"/>
    <w:rsid w:val="00523BF6"/>
    <w:rsid w:val="00524F2F"/>
    <w:rsid w:val="00527E5C"/>
    <w:rsid w:val="00532CF5"/>
    <w:rsid w:val="0053345C"/>
    <w:rsid w:val="005344AA"/>
    <w:rsid w:val="00534545"/>
    <w:rsid w:val="005353FE"/>
    <w:rsid w:val="00550021"/>
    <w:rsid w:val="00550BDF"/>
    <w:rsid w:val="005528CB"/>
    <w:rsid w:val="00553F9A"/>
    <w:rsid w:val="00554AAC"/>
    <w:rsid w:val="00557E62"/>
    <w:rsid w:val="00566771"/>
    <w:rsid w:val="0057079C"/>
    <w:rsid w:val="0057438B"/>
    <w:rsid w:val="00581E2E"/>
    <w:rsid w:val="005824CF"/>
    <w:rsid w:val="00584938"/>
    <w:rsid w:val="00584F15"/>
    <w:rsid w:val="00591DBA"/>
    <w:rsid w:val="0059514B"/>
    <w:rsid w:val="005B3039"/>
    <w:rsid w:val="005B557F"/>
    <w:rsid w:val="005B5746"/>
    <w:rsid w:val="005B6179"/>
    <w:rsid w:val="005B6BD8"/>
    <w:rsid w:val="005C13BB"/>
    <w:rsid w:val="005C2416"/>
    <w:rsid w:val="005C286C"/>
    <w:rsid w:val="005C33C5"/>
    <w:rsid w:val="005C777F"/>
    <w:rsid w:val="005E7FB5"/>
    <w:rsid w:val="005F0626"/>
    <w:rsid w:val="005F375E"/>
    <w:rsid w:val="005F745E"/>
    <w:rsid w:val="00600843"/>
    <w:rsid w:val="00600FE8"/>
    <w:rsid w:val="006028DF"/>
    <w:rsid w:val="00604312"/>
    <w:rsid w:val="0061269E"/>
    <w:rsid w:val="00613EAC"/>
    <w:rsid w:val="006163F7"/>
    <w:rsid w:val="00625C5C"/>
    <w:rsid w:val="00627C63"/>
    <w:rsid w:val="00631C98"/>
    <w:rsid w:val="00631D4D"/>
    <w:rsid w:val="00636211"/>
    <w:rsid w:val="0064583F"/>
    <w:rsid w:val="006508F1"/>
    <w:rsid w:val="0065103E"/>
    <w:rsid w:val="00652606"/>
    <w:rsid w:val="006565BA"/>
    <w:rsid w:val="00661673"/>
    <w:rsid w:val="00665D97"/>
    <w:rsid w:val="006747F1"/>
    <w:rsid w:val="00677D8C"/>
    <w:rsid w:val="006818A0"/>
    <w:rsid w:val="0068567B"/>
    <w:rsid w:val="006946EE"/>
    <w:rsid w:val="006A0A3C"/>
    <w:rsid w:val="006A2075"/>
    <w:rsid w:val="006A58A9"/>
    <w:rsid w:val="006A606D"/>
    <w:rsid w:val="006A7DC1"/>
    <w:rsid w:val="006B3B74"/>
    <w:rsid w:val="006B41F5"/>
    <w:rsid w:val="006B4499"/>
    <w:rsid w:val="006C0371"/>
    <w:rsid w:val="006C08B6"/>
    <w:rsid w:val="006C0A97"/>
    <w:rsid w:val="006C0B1A"/>
    <w:rsid w:val="006C6065"/>
    <w:rsid w:val="006C7AC6"/>
    <w:rsid w:val="006C7F9F"/>
    <w:rsid w:val="006D00C8"/>
    <w:rsid w:val="006D70A2"/>
    <w:rsid w:val="006E00CC"/>
    <w:rsid w:val="006E0554"/>
    <w:rsid w:val="006E2F6D"/>
    <w:rsid w:val="006E3DB8"/>
    <w:rsid w:val="006E50D4"/>
    <w:rsid w:val="006E58F6"/>
    <w:rsid w:val="006E77E1"/>
    <w:rsid w:val="006F131D"/>
    <w:rsid w:val="006F59D0"/>
    <w:rsid w:val="0070624B"/>
    <w:rsid w:val="007062AE"/>
    <w:rsid w:val="00711642"/>
    <w:rsid w:val="00711A40"/>
    <w:rsid w:val="007202E1"/>
    <w:rsid w:val="00723B4D"/>
    <w:rsid w:val="00727180"/>
    <w:rsid w:val="00732052"/>
    <w:rsid w:val="00737273"/>
    <w:rsid w:val="007428C0"/>
    <w:rsid w:val="00742D2B"/>
    <w:rsid w:val="00747957"/>
    <w:rsid w:val="00747AFE"/>
    <w:rsid w:val="00747DFB"/>
    <w:rsid w:val="007507C6"/>
    <w:rsid w:val="00751E0B"/>
    <w:rsid w:val="00752BCD"/>
    <w:rsid w:val="00757B32"/>
    <w:rsid w:val="00766DA1"/>
    <w:rsid w:val="00777E7F"/>
    <w:rsid w:val="00782CEA"/>
    <w:rsid w:val="0078419D"/>
    <w:rsid w:val="007866A6"/>
    <w:rsid w:val="00787BC9"/>
    <w:rsid w:val="00791F9E"/>
    <w:rsid w:val="0079331D"/>
    <w:rsid w:val="00793458"/>
    <w:rsid w:val="00796A89"/>
    <w:rsid w:val="00797F97"/>
    <w:rsid w:val="007A130D"/>
    <w:rsid w:val="007A49F7"/>
    <w:rsid w:val="007A5D99"/>
    <w:rsid w:val="007B3B3F"/>
    <w:rsid w:val="007B4CA0"/>
    <w:rsid w:val="007B668B"/>
    <w:rsid w:val="007C33F1"/>
    <w:rsid w:val="007C6236"/>
    <w:rsid w:val="007D0244"/>
    <w:rsid w:val="007D1A2D"/>
    <w:rsid w:val="007D2CA7"/>
    <w:rsid w:val="007D4102"/>
    <w:rsid w:val="007D642D"/>
    <w:rsid w:val="007E1928"/>
    <w:rsid w:val="007F1280"/>
    <w:rsid w:val="007F1B33"/>
    <w:rsid w:val="007F43B7"/>
    <w:rsid w:val="00801390"/>
    <w:rsid w:val="00807E4B"/>
    <w:rsid w:val="008107E0"/>
    <w:rsid w:val="00821FFC"/>
    <w:rsid w:val="0082218A"/>
    <w:rsid w:val="00826FD6"/>
    <w:rsid w:val="00827021"/>
    <w:rsid w:val="008271CA"/>
    <w:rsid w:val="008277B9"/>
    <w:rsid w:val="00837145"/>
    <w:rsid w:val="0084377F"/>
    <w:rsid w:val="00844816"/>
    <w:rsid w:val="008467D5"/>
    <w:rsid w:val="00850557"/>
    <w:rsid w:val="00855EB8"/>
    <w:rsid w:val="00864391"/>
    <w:rsid w:val="00864DA8"/>
    <w:rsid w:val="0086550F"/>
    <w:rsid w:val="00874FAE"/>
    <w:rsid w:val="0087655F"/>
    <w:rsid w:val="00887961"/>
    <w:rsid w:val="008911EE"/>
    <w:rsid w:val="008A096D"/>
    <w:rsid w:val="008A1F3F"/>
    <w:rsid w:val="008A4DC4"/>
    <w:rsid w:val="008B1AC0"/>
    <w:rsid w:val="008B438C"/>
    <w:rsid w:val="008B56ED"/>
    <w:rsid w:val="008C0DAB"/>
    <w:rsid w:val="008C5384"/>
    <w:rsid w:val="008C5F5A"/>
    <w:rsid w:val="008D3A46"/>
    <w:rsid w:val="008D4C0A"/>
    <w:rsid w:val="008E725B"/>
    <w:rsid w:val="008F1C84"/>
    <w:rsid w:val="008F41A1"/>
    <w:rsid w:val="008F4678"/>
    <w:rsid w:val="008F4C60"/>
    <w:rsid w:val="0090009E"/>
    <w:rsid w:val="00901A05"/>
    <w:rsid w:val="009067A4"/>
    <w:rsid w:val="009105AC"/>
    <w:rsid w:val="00910E8E"/>
    <w:rsid w:val="009125E6"/>
    <w:rsid w:val="0092553F"/>
    <w:rsid w:val="009262A2"/>
    <w:rsid w:val="009301CD"/>
    <w:rsid w:val="00930808"/>
    <w:rsid w:val="00933D68"/>
    <w:rsid w:val="009340DB"/>
    <w:rsid w:val="00934B9B"/>
    <w:rsid w:val="00934F0C"/>
    <w:rsid w:val="009375E5"/>
    <w:rsid w:val="00941642"/>
    <w:rsid w:val="00945D16"/>
    <w:rsid w:val="0094618C"/>
    <w:rsid w:val="00946F40"/>
    <w:rsid w:val="00952EE8"/>
    <w:rsid w:val="0095684B"/>
    <w:rsid w:val="00965CF0"/>
    <w:rsid w:val="00966420"/>
    <w:rsid w:val="0097121C"/>
    <w:rsid w:val="00972498"/>
    <w:rsid w:val="00974126"/>
    <w:rsid w:val="0097481F"/>
    <w:rsid w:val="00974CC6"/>
    <w:rsid w:val="00976AD4"/>
    <w:rsid w:val="00982530"/>
    <w:rsid w:val="00993141"/>
    <w:rsid w:val="00995547"/>
    <w:rsid w:val="00996836"/>
    <w:rsid w:val="009973DE"/>
    <w:rsid w:val="00997DBD"/>
    <w:rsid w:val="009A03FC"/>
    <w:rsid w:val="009A1998"/>
    <w:rsid w:val="009A312F"/>
    <w:rsid w:val="009A4820"/>
    <w:rsid w:val="009A4EE2"/>
    <w:rsid w:val="009A5348"/>
    <w:rsid w:val="009A7592"/>
    <w:rsid w:val="009B0AB7"/>
    <w:rsid w:val="009C2FBC"/>
    <w:rsid w:val="009C76D5"/>
    <w:rsid w:val="009D33A5"/>
    <w:rsid w:val="009D4AB0"/>
    <w:rsid w:val="009D5404"/>
    <w:rsid w:val="009E0576"/>
    <w:rsid w:val="009E1A0B"/>
    <w:rsid w:val="009E6C2D"/>
    <w:rsid w:val="009F12F8"/>
    <w:rsid w:val="009F1893"/>
    <w:rsid w:val="009F3D09"/>
    <w:rsid w:val="009F3EE1"/>
    <w:rsid w:val="009F58DD"/>
    <w:rsid w:val="009F7AA4"/>
    <w:rsid w:val="00A002AC"/>
    <w:rsid w:val="00A10AD7"/>
    <w:rsid w:val="00A179B0"/>
    <w:rsid w:val="00A23BF8"/>
    <w:rsid w:val="00A27041"/>
    <w:rsid w:val="00A37F76"/>
    <w:rsid w:val="00A46294"/>
    <w:rsid w:val="00A5481D"/>
    <w:rsid w:val="00A552FE"/>
    <w:rsid w:val="00A559DB"/>
    <w:rsid w:val="00A56FD9"/>
    <w:rsid w:val="00A647C7"/>
    <w:rsid w:val="00A74CD6"/>
    <w:rsid w:val="00A76483"/>
    <w:rsid w:val="00A87595"/>
    <w:rsid w:val="00A92EE9"/>
    <w:rsid w:val="00A96552"/>
    <w:rsid w:val="00AA0894"/>
    <w:rsid w:val="00AA4C4F"/>
    <w:rsid w:val="00AA6B77"/>
    <w:rsid w:val="00AB42B2"/>
    <w:rsid w:val="00AB7774"/>
    <w:rsid w:val="00AC577A"/>
    <w:rsid w:val="00AD2EF1"/>
    <w:rsid w:val="00AD636E"/>
    <w:rsid w:val="00AD7129"/>
    <w:rsid w:val="00AE06E8"/>
    <w:rsid w:val="00AF00E9"/>
    <w:rsid w:val="00AF10A8"/>
    <w:rsid w:val="00AF35FC"/>
    <w:rsid w:val="00AF4D07"/>
    <w:rsid w:val="00AF5556"/>
    <w:rsid w:val="00B03639"/>
    <w:rsid w:val="00B0652A"/>
    <w:rsid w:val="00B138A9"/>
    <w:rsid w:val="00B13C3F"/>
    <w:rsid w:val="00B15C63"/>
    <w:rsid w:val="00B20721"/>
    <w:rsid w:val="00B220AA"/>
    <w:rsid w:val="00B25973"/>
    <w:rsid w:val="00B31719"/>
    <w:rsid w:val="00B351D6"/>
    <w:rsid w:val="00B40937"/>
    <w:rsid w:val="00B423EF"/>
    <w:rsid w:val="00B438B3"/>
    <w:rsid w:val="00B453DE"/>
    <w:rsid w:val="00B476B3"/>
    <w:rsid w:val="00B62CC9"/>
    <w:rsid w:val="00B63B55"/>
    <w:rsid w:val="00B63FF5"/>
    <w:rsid w:val="00B70E2E"/>
    <w:rsid w:val="00B71010"/>
    <w:rsid w:val="00B712D3"/>
    <w:rsid w:val="00B71440"/>
    <w:rsid w:val="00B754A1"/>
    <w:rsid w:val="00B8314C"/>
    <w:rsid w:val="00B86613"/>
    <w:rsid w:val="00B86B28"/>
    <w:rsid w:val="00B901F9"/>
    <w:rsid w:val="00B93E4C"/>
    <w:rsid w:val="00B959A2"/>
    <w:rsid w:val="00B964C8"/>
    <w:rsid w:val="00BB20E2"/>
    <w:rsid w:val="00BB2BFB"/>
    <w:rsid w:val="00BC0A28"/>
    <w:rsid w:val="00BC24F7"/>
    <w:rsid w:val="00BC4145"/>
    <w:rsid w:val="00BD54C9"/>
    <w:rsid w:val="00BD6EFB"/>
    <w:rsid w:val="00BE2327"/>
    <w:rsid w:val="00BE3AAA"/>
    <w:rsid w:val="00BE4A3F"/>
    <w:rsid w:val="00BE5944"/>
    <w:rsid w:val="00BF1FB4"/>
    <w:rsid w:val="00BF3CE7"/>
    <w:rsid w:val="00C00CA0"/>
    <w:rsid w:val="00C10870"/>
    <w:rsid w:val="00C1584D"/>
    <w:rsid w:val="00C15BE2"/>
    <w:rsid w:val="00C17DAF"/>
    <w:rsid w:val="00C225BF"/>
    <w:rsid w:val="00C25CE8"/>
    <w:rsid w:val="00C30C65"/>
    <w:rsid w:val="00C3447F"/>
    <w:rsid w:val="00C35A58"/>
    <w:rsid w:val="00C3756E"/>
    <w:rsid w:val="00C413D4"/>
    <w:rsid w:val="00C41D73"/>
    <w:rsid w:val="00C47358"/>
    <w:rsid w:val="00C61421"/>
    <w:rsid w:val="00C63D42"/>
    <w:rsid w:val="00C65F52"/>
    <w:rsid w:val="00C707FD"/>
    <w:rsid w:val="00C731B1"/>
    <w:rsid w:val="00C744A2"/>
    <w:rsid w:val="00C74609"/>
    <w:rsid w:val="00C74C86"/>
    <w:rsid w:val="00C76D21"/>
    <w:rsid w:val="00C81491"/>
    <w:rsid w:val="00C81676"/>
    <w:rsid w:val="00C82572"/>
    <w:rsid w:val="00C83673"/>
    <w:rsid w:val="00C85513"/>
    <w:rsid w:val="00C85C5D"/>
    <w:rsid w:val="00C92CC4"/>
    <w:rsid w:val="00C954C1"/>
    <w:rsid w:val="00CA0ABA"/>
    <w:rsid w:val="00CA0AFB"/>
    <w:rsid w:val="00CA2CE1"/>
    <w:rsid w:val="00CA3976"/>
    <w:rsid w:val="00CA4C1F"/>
    <w:rsid w:val="00CA50E3"/>
    <w:rsid w:val="00CA53BF"/>
    <w:rsid w:val="00CA5E7E"/>
    <w:rsid w:val="00CA757B"/>
    <w:rsid w:val="00CB6F66"/>
    <w:rsid w:val="00CC09A4"/>
    <w:rsid w:val="00CC1787"/>
    <w:rsid w:val="00CC182C"/>
    <w:rsid w:val="00CC3191"/>
    <w:rsid w:val="00CC42DE"/>
    <w:rsid w:val="00CC4677"/>
    <w:rsid w:val="00CC6F8F"/>
    <w:rsid w:val="00CD0824"/>
    <w:rsid w:val="00CD1522"/>
    <w:rsid w:val="00CD2908"/>
    <w:rsid w:val="00CD4D18"/>
    <w:rsid w:val="00CD5197"/>
    <w:rsid w:val="00CD7DC7"/>
    <w:rsid w:val="00CE190D"/>
    <w:rsid w:val="00D03A82"/>
    <w:rsid w:val="00D04358"/>
    <w:rsid w:val="00D070D5"/>
    <w:rsid w:val="00D0736B"/>
    <w:rsid w:val="00D13667"/>
    <w:rsid w:val="00D15344"/>
    <w:rsid w:val="00D31BEC"/>
    <w:rsid w:val="00D42C37"/>
    <w:rsid w:val="00D46635"/>
    <w:rsid w:val="00D47ABE"/>
    <w:rsid w:val="00D506A2"/>
    <w:rsid w:val="00D529A2"/>
    <w:rsid w:val="00D55A31"/>
    <w:rsid w:val="00D63150"/>
    <w:rsid w:val="00D636BA"/>
    <w:rsid w:val="00D642AF"/>
    <w:rsid w:val="00D64A32"/>
    <w:rsid w:val="00D64EFC"/>
    <w:rsid w:val="00D65ED1"/>
    <w:rsid w:val="00D7431B"/>
    <w:rsid w:val="00D74377"/>
    <w:rsid w:val="00D75295"/>
    <w:rsid w:val="00D76CE9"/>
    <w:rsid w:val="00D847FB"/>
    <w:rsid w:val="00D85A05"/>
    <w:rsid w:val="00D915C9"/>
    <w:rsid w:val="00D94BD8"/>
    <w:rsid w:val="00D952D2"/>
    <w:rsid w:val="00D97A74"/>
    <w:rsid w:val="00D97F12"/>
    <w:rsid w:val="00DA4445"/>
    <w:rsid w:val="00DA453A"/>
    <w:rsid w:val="00DA6095"/>
    <w:rsid w:val="00DA6486"/>
    <w:rsid w:val="00DA7F62"/>
    <w:rsid w:val="00DB42E7"/>
    <w:rsid w:val="00DC0169"/>
    <w:rsid w:val="00DC2325"/>
    <w:rsid w:val="00DC2A60"/>
    <w:rsid w:val="00DC6785"/>
    <w:rsid w:val="00DD03AB"/>
    <w:rsid w:val="00DD50A0"/>
    <w:rsid w:val="00DD644B"/>
    <w:rsid w:val="00DE01A6"/>
    <w:rsid w:val="00DE07E2"/>
    <w:rsid w:val="00DE4808"/>
    <w:rsid w:val="00DE7A98"/>
    <w:rsid w:val="00DF32C2"/>
    <w:rsid w:val="00DF675E"/>
    <w:rsid w:val="00DF6980"/>
    <w:rsid w:val="00E0148A"/>
    <w:rsid w:val="00E05E1B"/>
    <w:rsid w:val="00E10845"/>
    <w:rsid w:val="00E165D3"/>
    <w:rsid w:val="00E2620A"/>
    <w:rsid w:val="00E27F2B"/>
    <w:rsid w:val="00E372A7"/>
    <w:rsid w:val="00E44B11"/>
    <w:rsid w:val="00E471A7"/>
    <w:rsid w:val="00E565B2"/>
    <w:rsid w:val="00E63504"/>
    <w:rsid w:val="00E635CF"/>
    <w:rsid w:val="00E67094"/>
    <w:rsid w:val="00E67E37"/>
    <w:rsid w:val="00E70151"/>
    <w:rsid w:val="00E732C1"/>
    <w:rsid w:val="00E736EA"/>
    <w:rsid w:val="00E73802"/>
    <w:rsid w:val="00E76655"/>
    <w:rsid w:val="00E80A9E"/>
    <w:rsid w:val="00E82434"/>
    <w:rsid w:val="00E9017E"/>
    <w:rsid w:val="00E96749"/>
    <w:rsid w:val="00EA168D"/>
    <w:rsid w:val="00EA18A2"/>
    <w:rsid w:val="00EA71AE"/>
    <w:rsid w:val="00EB675A"/>
    <w:rsid w:val="00EC6E0A"/>
    <w:rsid w:val="00ED4E18"/>
    <w:rsid w:val="00EE1F37"/>
    <w:rsid w:val="00EE2233"/>
    <w:rsid w:val="00EE2552"/>
    <w:rsid w:val="00EE6DE9"/>
    <w:rsid w:val="00EF12EC"/>
    <w:rsid w:val="00EF2973"/>
    <w:rsid w:val="00F00B3E"/>
    <w:rsid w:val="00F0159C"/>
    <w:rsid w:val="00F105B7"/>
    <w:rsid w:val="00F13220"/>
    <w:rsid w:val="00F15264"/>
    <w:rsid w:val="00F17A21"/>
    <w:rsid w:val="00F211DF"/>
    <w:rsid w:val="00F23161"/>
    <w:rsid w:val="00F25EA5"/>
    <w:rsid w:val="00F27118"/>
    <w:rsid w:val="00F307B3"/>
    <w:rsid w:val="00F32285"/>
    <w:rsid w:val="00F33E1E"/>
    <w:rsid w:val="00F34EDD"/>
    <w:rsid w:val="00F37B27"/>
    <w:rsid w:val="00F4030D"/>
    <w:rsid w:val="00F46556"/>
    <w:rsid w:val="00F50156"/>
    <w:rsid w:val="00F50E91"/>
    <w:rsid w:val="00F571A1"/>
    <w:rsid w:val="00F57737"/>
    <w:rsid w:val="00F57D29"/>
    <w:rsid w:val="00F63030"/>
    <w:rsid w:val="00F67066"/>
    <w:rsid w:val="00F67528"/>
    <w:rsid w:val="00F70402"/>
    <w:rsid w:val="00F71DD1"/>
    <w:rsid w:val="00F72C31"/>
    <w:rsid w:val="00F746ED"/>
    <w:rsid w:val="00F81E04"/>
    <w:rsid w:val="00F84A34"/>
    <w:rsid w:val="00F923D1"/>
    <w:rsid w:val="00F92BB2"/>
    <w:rsid w:val="00F9441B"/>
    <w:rsid w:val="00F96201"/>
    <w:rsid w:val="00FA126C"/>
    <w:rsid w:val="00FA518A"/>
    <w:rsid w:val="00FA6635"/>
    <w:rsid w:val="00FB03C2"/>
    <w:rsid w:val="00FC4AF0"/>
    <w:rsid w:val="00FC7766"/>
    <w:rsid w:val="00FD078C"/>
    <w:rsid w:val="00FD0B18"/>
    <w:rsid w:val="00FD2FAD"/>
    <w:rsid w:val="00FE4EA6"/>
    <w:rsid w:val="00FE57AD"/>
    <w:rsid w:val="00FE5D48"/>
    <w:rsid w:val="00FE714F"/>
    <w:rsid w:val="00FF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0C96A59"/>
  <w15:docId w15:val="{891DCB79-2ED9-4AE2-9AFA-2874B47A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787BC9"/>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787BC9"/>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787BC9"/>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D0435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Heading4Char">
    <w:name w:val="Heading 4 Char"/>
    <w:basedOn w:val="DefaultParagraphFont"/>
    <w:link w:val="Heading4"/>
    <w:rsid w:val="00787BC9"/>
    <w:rPr>
      <w:rFonts w:ascii="Georgia" w:eastAsia="Times New Roman" w:hAnsi="Georgia" w:cs="Times New Roman"/>
      <w:b/>
      <w:sz w:val="20"/>
      <w:szCs w:val="20"/>
    </w:rPr>
  </w:style>
  <w:style w:type="character" w:customStyle="1" w:styleId="Heading5Char">
    <w:name w:val="Heading 5 Char"/>
    <w:basedOn w:val="DefaultParagraphFont"/>
    <w:link w:val="Heading5"/>
    <w:rsid w:val="00787BC9"/>
    <w:rPr>
      <w:rFonts w:ascii="Georgia" w:eastAsia="Times New Roman" w:hAnsi="Georgia" w:cs="Times New Roman"/>
      <w:b/>
      <w:i/>
      <w:sz w:val="20"/>
      <w:szCs w:val="20"/>
    </w:rPr>
  </w:style>
  <w:style w:type="character" w:customStyle="1" w:styleId="Heading6Char">
    <w:name w:val="Heading 6 Char"/>
    <w:basedOn w:val="DefaultParagraphFont"/>
    <w:link w:val="Heading6"/>
    <w:rsid w:val="00787BC9"/>
    <w:rPr>
      <w:rFonts w:ascii="Georgia" w:eastAsia="Times New Roman" w:hAnsi="Georgia" w:cs="Times New Roman"/>
      <w:b/>
      <w:szCs w:val="20"/>
    </w:rPr>
  </w:style>
  <w:style w:type="numbering" w:customStyle="1" w:styleId="NoList1">
    <w:name w:val="No List1"/>
    <w:next w:val="NoList"/>
    <w:uiPriority w:val="99"/>
    <w:semiHidden/>
    <w:unhideWhenUsed/>
    <w:rsid w:val="00787BC9"/>
  </w:style>
  <w:style w:type="table" w:customStyle="1" w:styleId="TableGrid1">
    <w:name w:val="Table Grid1"/>
    <w:basedOn w:val="TableNormal"/>
    <w:next w:val="TableGrid"/>
    <w:uiPriority w:val="59"/>
    <w:rsid w:val="00787BC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87B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787BC9"/>
    <w:rPr>
      <w:rFonts w:ascii="Consolas" w:eastAsiaTheme="minorEastAsia" w:hAnsi="Consolas" w:cs="Consolas"/>
      <w:sz w:val="21"/>
      <w:szCs w:val="21"/>
      <w:lang w:eastAsia="zh-CN"/>
    </w:rPr>
  </w:style>
  <w:style w:type="character" w:customStyle="1" w:styleId="Title1">
    <w:name w:val="Title1"/>
    <w:basedOn w:val="DefaultParagraphFont"/>
    <w:uiPriority w:val="99"/>
    <w:rsid w:val="00787BC9"/>
  </w:style>
  <w:style w:type="paragraph" w:styleId="Revision">
    <w:name w:val="Revision"/>
    <w:hidden/>
    <w:uiPriority w:val="99"/>
    <w:semiHidden/>
    <w:rsid w:val="00787BC9"/>
    <w:pPr>
      <w:spacing w:after="0" w:line="240" w:lineRule="auto"/>
    </w:pPr>
    <w:rPr>
      <w:rFonts w:ascii="Calibri" w:eastAsiaTheme="minorEastAsia" w:hAnsi="Calibri" w:cs="Calibri"/>
      <w:lang w:eastAsia="zh-CN"/>
    </w:rPr>
  </w:style>
  <w:style w:type="paragraph" w:customStyle="1" w:styleId="Body1">
    <w:name w:val="Body 1"/>
    <w:rsid w:val="00787BC9"/>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787BC9"/>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787BC9"/>
    <w:rPr>
      <w:color w:val="0000FE"/>
      <w:sz w:val="20"/>
      <w:u w:val="single"/>
    </w:rPr>
  </w:style>
  <w:style w:type="character" w:customStyle="1" w:styleId="HTMLCite1">
    <w:name w:val="HTML Cite1"/>
    <w:rsid w:val="00787BC9"/>
    <w:rPr>
      <w:rFonts w:ascii="Lucida Grande" w:eastAsia="ヒラギノ角ゴ Pro W3" w:hAnsi="Lucida Grande"/>
      <w:b w:val="0"/>
      <w:i w:val="0"/>
      <w:color w:val="000000"/>
      <w:sz w:val="20"/>
    </w:rPr>
  </w:style>
  <w:style w:type="character" w:customStyle="1" w:styleId="submitted">
    <w:name w:val="submitted"/>
    <w:basedOn w:val="DefaultParagraphFont"/>
    <w:rsid w:val="00787BC9"/>
  </w:style>
  <w:style w:type="paragraph" w:styleId="BodyText2">
    <w:name w:val="Body Text 2"/>
    <w:basedOn w:val="Normal"/>
    <w:link w:val="BodyText2Char"/>
    <w:uiPriority w:val="99"/>
    <w:unhideWhenUsed/>
    <w:rsid w:val="00787BC9"/>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787BC9"/>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B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7B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B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7BC9"/>
    <w:rPr>
      <w:rFonts w:ascii="Arial" w:eastAsia="Times New Roman" w:hAnsi="Arial" w:cs="Arial"/>
      <w:vanish/>
      <w:sz w:val="16"/>
      <w:szCs w:val="16"/>
    </w:rPr>
  </w:style>
  <w:style w:type="character" w:styleId="SubtleReference">
    <w:name w:val="Subtle Reference"/>
    <w:uiPriority w:val="31"/>
    <w:qFormat/>
    <w:rsid w:val="00787BC9"/>
    <w:rPr>
      <w:smallCaps/>
      <w:color w:val="5A5A5A"/>
    </w:rPr>
  </w:style>
  <w:style w:type="paragraph" w:customStyle="1" w:styleId="Default">
    <w:name w:val="Default"/>
    <w:rsid w:val="00787BC9"/>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787BC9"/>
    <w:pPr>
      <w:spacing w:after="200" w:line="276" w:lineRule="auto"/>
    </w:pPr>
    <w:rPr>
      <w:rFonts w:ascii="Calibri" w:eastAsia="Calibri" w:hAnsi="Calibri"/>
      <w:sz w:val="22"/>
      <w:szCs w:val="22"/>
    </w:rPr>
  </w:style>
  <w:style w:type="paragraph" w:customStyle="1" w:styleId="Author">
    <w:name w:val="Author"/>
    <w:basedOn w:val="Normal"/>
    <w:next w:val="Affiliation"/>
    <w:rsid w:val="00787BC9"/>
    <w:pPr>
      <w:jc w:val="center"/>
    </w:pPr>
    <w:rPr>
      <w:rFonts w:ascii="Georgia" w:hAnsi="Georgia"/>
      <w:b/>
      <w:color w:val="000000"/>
      <w:sz w:val="26"/>
    </w:rPr>
  </w:style>
  <w:style w:type="paragraph" w:customStyle="1" w:styleId="Affiliation">
    <w:name w:val="Affiliation"/>
    <w:basedOn w:val="Normal"/>
    <w:next w:val="Email"/>
    <w:rsid w:val="00787BC9"/>
    <w:pPr>
      <w:jc w:val="center"/>
    </w:pPr>
    <w:rPr>
      <w:rFonts w:ascii="Georgia" w:hAnsi="Georgia"/>
      <w:sz w:val="26"/>
    </w:rPr>
  </w:style>
  <w:style w:type="paragraph" w:customStyle="1" w:styleId="Email">
    <w:name w:val="Email"/>
    <w:basedOn w:val="Affiliation"/>
    <w:rsid w:val="00787BC9"/>
  </w:style>
  <w:style w:type="paragraph" w:styleId="Caption">
    <w:name w:val="caption"/>
    <w:basedOn w:val="Normal"/>
    <w:next w:val="Normal"/>
    <w:qFormat/>
    <w:rsid w:val="00787BC9"/>
    <w:pPr>
      <w:keepNext/>
      <w:spacing w:before="120" w:after="120"/>
      <w:jc w:val="center"/>
    </w:pPr>
    <w:rPr>
      <w:rFonts w:ascii="Georgia" w:hAnsi="Georgia"/>
      <w:b/>
    </w:rPr>
  </w:style>
  <w:style w:type="paragraph" w:styleId="Date">
    <w:name w:val="Date"/>
    <w:basedOn w:val="Normal"/>
    <w:next w:val="Normal"/>
    <w:link w:val="DateChar"/>
    <w:rsid w:val="00787BC9"/>
    <w:pPr>
      <w:spacing w:after="120"/>
      <w:jc w:val="both"/>
    </w:pPr>
    <w:rPr>
      <w:rFonts w:ascii="Georgia" w:hAnsi="Georgia"/>
    </w:rPr>
  </w:style>
  <w:style w:type="character" w:customStyle="1" w:styleId="DateChar">
    <w:name w:val="Date Char"/>
    <w:basedOn w:val="DefaultParagraphFont"/>
    <w:link w:val="Date"/>
    <w:rsid w:val="00787BC9"/>
    <w:rPr>
      <w:rFonts w:ascii="Georgia" w:eastAsia="Times New Roman" w:hAnsi="Georgia" w:cs="Times New Roman"/>
      <w:sz w:val="20"/>
      <w:szCs w:val="20"/>
    </w:rPr>
  </w:style>
  <w:style w:type="paragraph" w:styleId="DocumentMap">
    <w:name w:val="Document Map"/>
    <w:basedOn w:val="Normal"/>
    <w:link w:val="DocumentMapChar"/>
    <w:semiHidden/>
    <w:rsid w:val="00787BC9"/>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787BC9"/>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787BC9"/>
    <w:pPr>
      <w:spacing w:after="120"/>
      <w:ind w:left="240" w:hanging="240"/>
      <w:jc w:val="both"/>
    </w:pPr>
    <w:rPr>
      <w:rFonts w:ascii="Georgia" w:hAnsi="Georgia"/>
    </w:rPr>
  </w:style>
  <w:style w:type="paragraph" w:styleId="Index2">
    <w:name w:val="index 2"/>
    <w:basedOn w:val="Normal"/>
    <w:next w:val="Normal"/>
    <w:autoRedefine/>
    <w:semiHidden/>
    <w:rsid w:val="00787BC9"/>
    <w:pPr>
      <w:spacing w:after="120"/>
      <w:ind w:left="480" w:hanging="240"/>
      <w:jc w:val="both"/>
    </w:pPr>
    <w:rPr>
      <w:rFonts w:ascii="Georgia" w:hAnsi="Georgia"/>
    </w:rPr>
  </w:style>
  <w:style w:type="paragraph" w:styleId="Index3">
    <w:name w:val="index 3"/>
    <w:basedOn w:val="Normal"/>
    <w:next w:val="Normal"/>
    <w:autoRedefine/>
    <w:semiHidden/>
    <w:rsid w:val="00787BC9"/>
    <w:pPr>
      <w:spacing w:after="120"/>
      <w:ind w:left="720" w:hanging="240"/>
      <w:jc w:val="both"/>
    </w:pPr>
    <w:rPr>
      <w:rFonts w:ascii="Georgia" w:hAnsi="Georgia"/>
    </w:rPr>
  </w:style>
  <w:style w:type="paragraph" w:styleId="Index4">
    <w:name w:val="index 4"/>
    <w:basedOn w:val="Normal"/>
    <w:next w:val="Normal"/>
    <w:autoRedefine/>
    <w:semiHidden/>
    <w:rsid w:val="00787BC9"/>
    <w:pPr>
      <w:spacing w:after="120"/>
      <w:ind w:left="960" w:hanging="240"/>
      <w:jc w:val="both"/>
    </w:pPr>
    <w:rPr>
      <w:rFonts w:ascii="Georgia" w:hAnsi="Georgia"/>
    </w:rPr>
  </w:style>
  <w:style w:type="paragraph" w:styleId="Index5">
    <w:name w:val="index 5"/>
    <w:basedOn w:val="Normal"/>
    <w:next w:val="Normal"/>
    <w:autoRedefine/>
    <w:semiHidden/>
    <w:rsid w:val="00787BC9"/>
    <w:pPr>
      <w:spacing w:after="120"/>
      <w:ind w:left="1200" w:hanging="240"/>
      <w:jc w:val="both"/>
    </w:pPr>
    <w:rPr>
      <w:rFonts w:ascii="Georgia" w:hAnsi="Georgia"/>
    </w:rPr>
  </w:style>
  <w:style w:type="paragraph" w:styleId="Index6">
    <w:name w:val="index 6"/>
    <w:basedOn w:val="Normal"/>
    <w:next w:val="Normal"/>
    <w:autoRedefine/>
    <w:semiHidden/>
    <w:rsid w:val="00787BC9"/>
    <w:pPr>
      <w:spacing w:after="120"/>
      <w:ind w:left="1440" w:hanging="240"/>
      <w:jc w:val="both"/>
    </w:pPr>
    <w:rPr>
      <w:rFonts w:ascii="Georgia" w:hAnsi="Georgia"/>
    </w:rPr>
  </w:style>
  <w:style w:type="paragraph" w:styleId="Index7">
    <w:name w:val="index 7"/>
    <w:basedOn w:val="Normal"/>
    <w:next w:val="Normal"/>
    <w:autoRedefine/>
    <w:semiHidden/>
    <w:rsid w:val="00787BC9"/>
    <w:pPr>
      <w:spacing w:after="120"/>
      <w:ind w:left="1680" w:hanging="240"/>
      <w:jc w:val="both"/>
    </w:pPr>
    <w:rPr>
      <w:rFonts w:ascii="Georgia" w:hAnsi="Georgia"/>
    </w:rPr>
  </w:style>
  <w:style w:type="paragraph" w:styleId="Index8">
    <w:name w:val="index 8"/>
    <w:basedOn w:val="Normal"/>
    <w:next w:val="Normal"/>
    <w:autoRedefine/>
    <w:semiHidden/>
    <w:rsid w:val="00787BC9"/>
    <w:pPr>
      <w:spacing w:after="120"/>
      <w:ind w:left="1920" w:hanging="240"/>
      <w:jc w:val="both"/>
    </w:pPr>
    <w:rPr>
      <w:rFonts w:ascii="Georgia" w:hAnsi="Georgia"/>
    </w:rPr>
  </w:style>
  <w:style w:type="paragraph" w:styleId="Index9">
    <w:name w:val="index 9"/>
    <w:basedOn w:val="Normal"/>
    <w:next w:val="Normal"/>
    <w:autoRedefine/>
    <w:semiHidden/>
    <w:rsid w:val="00787BC9"/>
    <w:pPr>
      <w:spacing w:after="120"/>
      <w:ind w:left="2160" w:hanging="240"/>
      <w:jc w:val="both"/>
    </w:pPr>
    <w:rPr>
      <w:rFonts w:ascii="Georgia" w:hAnsi="Georgia"/>
    </w:rPr>
  </w:style>
  <w:style w:type="paragraph" w:styleId="IndexHeading">
    <w:name w:val="index heading"/>
    <w:basedOn w:val="Normal"/>
    <w:next w:val="Index1"/>
    <w:semiHidden/>
    <w:rsid w:val="00787BC9"/>
    <w:pPr>
      <w:spacing w:after="120"/>
      <w:jc w:val="both"/>
    </w:pPr>
    <w:rPr>
      <w:rFonts w:ascii="Arial" w:hAnsi="Arial"/>
      <w:b/>
    </w:rPr>
  </w:style>
  <w:style w:type="paragraph" w:styleId="ListBullet">
    <w:name w:val="List Bullet"/>
    <w:basedOn w:val="Normal"/>
    <w:autoRedefine/>
    <w:rsid w:val="00787BC9"/>
    <w:pPr>
      <w:tabs>
        <w:tab w:val="num" w:pos="360"/>
      </w:tabs>
      <w:spacing w:after="120"/>
      <w:ind w:left="360" w:hanging="360"/>
      <w:jc w:val="both"/>
    </w:pPr>
    <w:rPr>
      <w:rFonts w:ascii="Georgia" w:hAnsi="Georgia"/>
    </w:rPr>
  </w:style>
  <w:style w:type="paragraph" w:styleId="ListBullet2">
    <w:name w:val="List Bullet 2"/>
    <w:basedOn w:val="Normal"/>
    <w:autoRedefine/>
    <w:rsid w:val="00787BC9"/>
    <w:pPr>
      <w:tabs>
        <w:tab w:val="num" w:pos="720"/>
      </w:tabs>
      <w:spacing w:after="120"/>
      <w:ind w:left="720" w:hanging="360"/>
      <w:jc w:val="both"/>
    </w:pPr>
    <w:rPr>
      <w:rFonts w:ascii="Georgia" w:hAnsi="Georgia"/>
    </w:rPr>
  </w:style>
  <w:style w:type="paragraph" w:styleId="ListBullet3">
    <w:name w:val="List Bullet 3"/>
    <w:basedOn w:val="Normal"/>
    <w:autoRedefine/>
    <w:rsid w:val="00787BC9"/>
    <w:pPr>
      <w:tabs>
        <w:tab w:val="num" w:pos="1080"/>
      </w:tabs>
      <w:spacing w:after="120"/>
      <w:ind w:left="1080" w:hanging="360"/>
      <w:jc w:val="both"/>
    </w:pPr>
    <w:rPr>
      <w:rFonts w:ascii="Georgia" w:hAnsi="Georgia"/>
    </w:rPr>
  </w:style>
  <w:style w:type="paragraph" w:styleId="ListBullet4">
    <w:name w:val="List Bullet 4"/>
    <w:basedOn w:val="Normal"/>
    <w:autoRedefine/>
    <w:rsid w:val="00787BC9"/>
    <w:pPr>
      <w:tabs>
        <w:tab w:val="num" w:pos="1440"/>
      </w:tabs>
      <w:spacing w:after="120"/>
      <w:ind w:left="1440" w:hanging="360"/>
      <w:jc w:val="both"/>
    </w:pPr>
    <w:rPr>
      <w:rFonts w:ascii="Georgia" w:hAnsi="Georgia"/>
    </w:rPr>
  </w:style>
  <w:style w:type="paragraph" w:styleId="ListBullet5">
    <w:name w:val="List Bullet 5"/>
    <w:basedOn w:val="Normal"/>
    <w:autoRedefine/>
    <w:rsid w:val="00787BC9"/>
    <w:pPr>
      <w:tabs>
        <w:tab w:val="num" w:pos="1800"/>
      </w:tabs>
      <w:spacing w:after="120"/>
      <w:ind w:left="1800" w:hanging="360"/>
      <w:jc w:val="both"/>
    </w:pPr>
    <w:rPr>
      <w:rFonts w:ascii="Georgia" w:hAnsi="Georgia"/>
    </w:rPr>
  </w:style>
  <w:style w:type="paragraph" w:styleId="ListNumber">
    <w:name w:val="List Number"/>
    <w:basedOn w:val="Normal"/>
    <w:rsid w:val="00787BC9"/>
    <w:pPr>
      <w:tabs>
        <w:tab w:val="num" w:pos="360"/>
      </w:tabs>
      <w:spacing w:after="120"/>
      <w:ind w:left="360" w:hanging="360"/>
      <w:jc w:val="both"/>
    </w:pPr>
    <w:rPr>
      <w:rFonts w:ascii="Georgia" w:hAnsi="Georgia"/>
    </w:rPr>
  </w:style>
  <w:style w:type="paragraph" w:styleId="ListNumber2">
    <w:name w:val="List Number 2"/>
    <w:basedOn w:val="Normal"/>
    <w:rsid w:val="00787BC9"/>
    <w:pPr>
      <w:tabs>
        <w:tab w:val="num" w:pos="720"/>
      </w:tabs>
      <w:spacing w:after="120"/>
      <w:ind w:left="720" w:hanging="360"/>
      <w:jc w:val="both"/>
    </w:pPr>
    <w:rPr>
      <w:rFonts w:ascii="Georgia" w:hAnsi="Georgia"/>
    </w:rPr>
  </w:style>
  <w:style w:type="paragraph" w:styleId="ListNumber3">
    <w:name w:val="List Number 3"/>
    <w:basedOn w:val="Normal"/>
    <w:rsid w:val="00787BC9"/>
    <w:pPr>
      <w:tabs>
        <w:tab w:val="num" w:pos="1080"/>
      </w:tabs>
      <w:spacing w:after="120"/>
      <w:ind w:left="1080" w:hanging="360"/>
      <w:jc w:val="both"/>
    </w:pPr>
    <w:rPr>
      <w:rFonts w:ascii="Georgia" w:hAnsi="Georgia"/>
    </w:rPr>
  </w:style>
  <w:style w:type="paragraph" w:styleId="ListNumber4">
    <w:name w:val="List Number 4"/>
    <w:basedOn w:val="Normal"/>
    <w:rsid w:val="00787BC9"/>
    <w:pPr>
      <w:tabs>
        <w:tab w:val="num" w:pos="1440"/>
      </w:tabs>
      <w:spacing w:after="120"/>
      <w:ind w:left="1440" w:hanging="360"/>
      <w:jc w:val="both"/>
    </w:pPr>
    <w:rPr>
      <w:rFonts w:ascii="Georgia" w:hAnsi="Georgia"/>
    </w:rPr>
  </w:style>
  <w:style w:type="paragraph" w:styleId="ListNumber5">
    <w:name w:val="List Number 5"/>
    <w:basedOn w:val="Normal"/>
    <w:rsid w:val="00787BC9"/>
    <w:pPr>
      <w:tabs>
        <w:tab w:val="num" w:pos="1800"/>
      </w:tabs>
      <w:spacing w:after="120"/>
      <w:ind w:left="1800" w:hanging="360"/>
      <w:jc w:val="both"/>
    </w:pPr>
    <w:rPr>
      <w:rFonts w:ascii="Georgia" w:hAnsi="Georgia"/>
    </w:rPr>
  </w:style>
  <w:style w:type="paragraph" w:styleId="MacroText">
    <w:name w:val="macro"/>
    <w:link w:val="MacroTextChar"/>
    <w:semiHidden/>
    <w:rsid w:val="00787B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87BC9"/>
    <w:rPr>
      <w:rFonts w:ascii="Courier New" w:eastAsia="Times New Roman" w:hAnsi="Courier New" w:cs="Times New Roman"/>
      <w:sz w:val="20"/>
      <w:szCs w:val="20"/>
    </w:rPr>
  </w:style>
  <w:style w:type="paragraph" w:styleId="NoteHeading">
    <w:name w:val="Note Heading"/>
    <w:basedOn w:val="Normal"/>
    <w:next w:val="Normal"/>
    <w:link w:val="NoteHeadingChar"/>
    <w:rsid w:val="00787BC9"/>
    <w:pPr>
      <w:spacing w:after="120"/>
      <w:jc w:val="both"/>
    </w:pPr>
    <w:rPr>
      <w:rFonts w:ascii="Georgia" w:hAnsi="Georgia"/>
    </w:rPr>
  </w:style>
  <w:style w:type="character" w:customStyle="1" w:styleId="NoteHeadingChar">
    <w:name w:val="Note Heading Char"/>
    <w:basedOn w:val="DefaultParagraphFont"/>
    <w:link w:val="NoteHeading"/>
    <w:rsid w:val="00787BC9"/>
    <w:rPr>
      <w:rFonts w:ascii="Georgia" w:eastAsia="Times New Roman" w:hAnsi="Georgia" w:cs="Times New Roman"/>
      <w:sz w:val="20"/>
      <w:szCs w:val="20"/>
    </w:rPr>
  </w:style>
  <w:style w:type="paragraph" w:styleId="TableofAuthorities">
    <w:name w:val="table of authorities"/>
    <w:basedOn w:val="Normal"/>
    <w:next w:val="Normal"/>
    <w:semiHidden/>
    <w:rsid w:val="00787BC9"/>
    <w:pPr>
      <w:spacing w:after="120"/>
      <w:ind w:left="240" w:hanging="240"/>
      <w:jc w:val="both"/>
    </w:pPr>
    <w:rPr>
      <w:rFonts w:ascii="Georgia" w:hAnsi="Georgia"/>
    </w:rPr>
  </w:style>
  <w:style w:type="paragraph" w:styleId="TableofFigures">
    <w:name w:val="table of figures"/>
    <w:basedOn w:val="Normal"/>
    <w:next w:val="Normal"/>
    <w:semiHidden/>
    <w:rsid w:val="00787BC9"/>
    <w:pPr>
      <w:spacing w:after="120"/>
      <w:ind w:left="480" w:hanging="480"/>
      <w:jc w:val="both"/>
    </w:pPr>
    <w:rPr>
      <w:rFonts w:ascii="Georgia" w:hAnsi="Georgia"/>
    </w:rPr>
  </w:style>
  <w:style w:type="paragraph" w:styleId="TOAHeading">
    <w:name w:val="toa heading"/>
    <w:basedOn w:val="Normal"/>
    <w:next w:val="Normal"/>
    <w:semiHidden/>
    <w:rsid w:val="00787BC9"/>
    <w:pPr>
      <w:spacing w:before="120" w:after="120"/>
      <w:jc w:val="both"/>
    </w:pPr>
    <w:rPr>
      <w:rFonts w:ascii="Arial" w:hAnsi="Arial"/>
      <w:b/>
    </w:rPr>
  </w:style>
  <w:style w:type="paragraph" w:styleId="TOC1">
    <w:name w:val="toc 1"/>
    <w:basedOn w:val="Normal"/>
    <w:next w:val="Normal"/>
    <w:autoRedefine/>
    <w:semiHidden/>
    <w:rsid w:val="00787BC9"/>
    <w:pPr>
      <w:spacing w:after="120"/>
      <w:jc w:val="both"/>
    </w:pPr>
    <w:rPr>
      <w:rFonts w:ascii="Georgia" w:hAnsi="Georgia"/>
    </w:rPr>
  </w:style>
  <w:style w:type="paragraph" w:styleId="TOC2">
    <w:name w:val="toc 2"/>
    <w:basedOn w:val="Normal"/>
    <w:next w:val="Normal"/>
    <w:autoRedefine/>
    <w:semiHidden/>
    <w:rsid w:val="00787BC9"/>
    <w:pPr>
      <w:spacing w:after="120"/>
      <w:ind w:left="240"/>
      <w:jc w:val="both"/>
    </w:pPr>
    <w:rPr>
      <w:rFonts w:ascii="Georgia" w:hAnsi="Georgia"/>
    </w:rPr>
  </w:style>
  <w:style w:type="paragraph" w:styleId="TOC3">
    <w:name w:val="toc 3"/>
    <w:basedOn w:val="Normal"/>
    <w:next w:val="Normal"/>
    <w:autoRedefine/>
    <w:semiHidden/>
    <w:rsid w:val="00787BC9"/>
    <w:pPr>
      <w:spacing w:after="120"/>
      <w:ind w:left="480"/>
      <w:jc w:val="both"/>
    </w:pPr>
    <w:rPr>
      <w:rFonts w:ascii="Georgia" w:hAnsi="Georgia"/>
    </w:rPr>
  </w:style>
  <w:style w:type="paragraph" w:styleId="TOC4">
    <w:name w:val="toc 4"/>
    <w:basedOn w:val="Normal"/>
    <w:next w:val="Normal"/>
    <w:autoRedefine/>
    <w:semiHidden/>
    <w:rsid w:val="00787BC9"/>
    <w:pPr>
      <w:spacing w:after="120"/>
      <w:ind w:left="720"/>
      <w:jc w:val="both"/>
    </w:pPr>
    <w:rPr>
      <w:rFonts w:ascii="Georgia" w:hAnsi="Georgia"/>
    </w:rPr>
  </w:style>
  <w:style w:type="paragraph" w:styleId="TOC5">
    <w:name w:val="toc 5"/>
    <w:basedOn w:val="Normal"/>
    <w:next w:val="Normal"/>
    <w:autoRedefine/>
    <w:semiHidden/>
    <w:rsid w:val="00787BC9"/>
    <w:pPr>
      <w:spacing w:after="120"/>
      <w:ind w:left="960"/>
      <w:jc w:val="both"/>
    </w:pPr>
    <w:rPr>
      <w:rFonts w:ascii="Georgia" w:hAnsi="Georgia"/>
    </w:rPr>
  </w:style>
  <w:style w:type="paragraph" w:styleId="TOC6">
    <w:name w:val="toc 6"/>
    <w:basedOn w:val="Normal"/>
    <w:next w:val="Normal"/>
    <w:autoRedefine/>
    <w:semiHidden/>
    <w:rsid w:val="00787BC9"/>
    <w:pPr>
      <w:spacing w:after="120"/>
      <w:ind w:left="1200"/>
      <w:jc w:val="both"/>
    </w:pPr>
    <w:rPr>
      <w:rFonts w:ascii="Georgia" w:hAnsi="Georgia"/>
    </w:rPr>
  </w:style>
  <w:style w:type="paragraph" w:styleId="TOC7">
    <w:name w:val="toc 7"/>
    <w:basedOn w:val="Normal"/>
    <w:next w:val="Normal"/>
    <w:autoRedefine/>
    <w:semiHidden/>
    <w:rsid w:val="00787BC9"/>
    <w:pPr>
      <w:spacing w:after="120"/>
      <w:ind w:left="1440"/>
      <w:jc w:val="both"/>
    </w:pPr>
    <w:rPr>
      <w:rFonts w:ascii="Georgia" w:hAnsi="Georgia"/>
    </w:rPr>
  </w:style>
  <w:style w:type="paragraph" w:styleId="TOC8">
    <w:name w:val="toc 8"/>
    <w:basedOn w:val="Normal"/>
    <w:next w:val="Normal"/>
    <w:autoRedefine/>
    <w:semiHidden/>
    <w:rsid w:val="00787BC9"/>
    <w:pPr>
      <w:spacing w:after="120"/>
      <w:ind w:left="1680"/>
      <w:jc w:val="both"/>
    </w:pPr>
    <w:rPr>
      <w:rFonts w:ascii="Georgia" w:hAnsi="Georgia"/>
    </w:rPr>
  </w:style>
  <w:style w:type="paragraph" w:styleId="TOC9">
    <w:name w:val="toc 9"/>
    <w:basedOn w:val="Normal"/>
    <w:next w:val="Normal"/>
    <w:autoRedefine/>
    <w:semiHidden/>
    <w:rsid w:val="00787BC9"/>
    <w:pPr>
      <w:spacing w:after="120"/>
      <w:ind w:left="1920"/>
      <w:jc w:val="both"/>
    </w:pPr>
    <w:rPr>
      <w:rFonts w:ascii="Georgia" w:hAnsi="Georgia"/>
    </w:rPr>
  </w:style>
  <w:style w:type="paragraph" w:customStyle="1" w:styleId="Bullet">
    <w:name w:val="Bullet"/>
    <w:basedOn w:val="Normal"/>
    <w:rsid w:val="00787BC9"/>
    <w:pPr>
      <w:numPr>
        <w:numId w:val="6"/>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787BC9"/>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787BC9"/>
    <w:pPr>
      <w:spacing w:before="200" w:after="200"/>
      <w:jc w:val="center"/>
    </w:pPr>
    <w:rPr>
      <w:rFonts w:ascii="Georgia" w:hAnsi="Georgia"/>
      <w:b/>
      <w:kern w:val="28"/>
      <w:sz w:val="26"/>
      <w:szCs w:val="26"/>
    </w:rPr>
  </w:style>
  <w:style w:type="paragraph" w:customStyle="1" w:styleId="AbstractText">
    <w:name w:val="AbstractText"/>
    <w:basedOn w:val="Normal"/>
    <w:next w:val="Keyword"/>
    <w:rsid w:val="00787BC9"/>
    <w:pPr>
      <w:spacing w:after="200"/>
      <w:ind w:left="720" w:right="720"/>
      <w:jc w:val="both"/>
    </w:pPr>
    <w:rPr>
      <w:rFonts w:ascii="Georgia" w:hAnsi="Georgia"/>
      <w:i/>
    </w:rPr>
  </w:style>
  <w:style w:type="paragraph" w:customStyle="1" w:styleId="Keyword">
    <w:name w:val="Keyword"/>
    <w:basedOn w:val="Normal"/>
    <w:next w:val="Heading1"/>
    <w:link w:val="KeywordChar"/>
    <w:rsid w:val="00787BC9"/>
    <w:pPr>
      <w:ind w:firstLine="720"/>
      <w:jc w:val="both"/>
    </w:pPr>
    <w:rPr>
      <w:rFonts w:ascii="Arial" w:eastAsia="SimSun" w:hAnsi="Arial"/>
    </w:rPr>
  </w:style>
  <w:style w:type="character" w:customStyle="1" w:styleId="KeywordChar">
    <w:name w:val="Keyword Char"/>
    <w:link w:val="Keyword"/>
    <w:rsid w:val="00787BC9"/>
    <w:rPr>
      <w:rFonts w:ascii="Arial" w:eastAsia="SimSun" w:hAnsi="Arial" w:cs="Times New Roman"/>
      <w:sz w:val="20"/>
      <w:szCs w:val="20"/>
    </w:rPr>
  </w:style>
  <w:style w:type="paragraph" w:customStyle="1" w:styleId="Figure">
    <w:name w:val="Figure"/>
    <w:basedOn w:val="Normal"/>
    <w:rsid w:val="00787BC9"/>
    <w:pPr>
      <w:jc w:val="both"/>
    </w:pPr>
    <w:rPr>
      <w:rFonts w:ascii="Georgia" w:hAnsi="Georgia"/>
    </w:rPr>
  </w:style>
  <w:style w:type="paragraph" w:customStyle="1" w:styleId="Copyright">
    <w:name w:val="Copyright"/>
    <w:basedOn w:val="Normal"/>
    <w:rsid w:val="00787BC9"/>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787BC9"/>
    <w:pPr>
      <w:keepLines/>
      <w:spacing w:before="40" w:after="40"/>
    </w:pPr>
    <w:rPr>
      <w:rFonts w:ascii="Georgia" w:hAnsi="Georgia"/>
    </w:rPr>
  </w:style>
  <w:style w:type="paragraph" w:customStyle="1" w:styleId="SpecialStyle">
    <w:name w:val="SpecialStyle"/>
    <w:basedOn w:val="Normal"/>
    <w:link w:val="SpecialStyleChar"/>
    <w:rsid w:val="00787BC9"/>
    <w:pPr>
      <w:spacing w:after="120"/>
      <w:jc w:val="both"/>
    </w:pPr>
    <w:rPr>
      <w:rFonts w:ascii="Courier New" w:eastAsia="SimSun" w:hAnsi="Courier New"/>
    </w:rPr>
  </w:style>
  <w:style w:type="character" w:customStyle="1" w:styleId="SpecialStyleChar">
    <w:name w:val="SpecialStyle Char"/>
    <w:link w:val="SpecialStyle"/>
    <w:rsid w:val="00787BC9"/>
    <w:rPr>
      <w:rFonts w:ascii="Courier New" w:eastAsia="SimSun" w:hAnsi="Courier New" w:cs="Times New Roman"/>
      <w:sz w:val="20"/>
      <w:szCs w:val="20"/>
    </w:rPr>
  </w:style>
  <w:style w:type="paragraph" w:customStyle="1" w:styleId="FigureCaption">
    <w:name w:val="FigureCaption"/>
    <w:autoRedefine/>
    <w:rsid w:val="00787BC9"/>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787BC9"/>
  </w:style>
  <w:style w:type="paragraph" w:customStyle="1" w:styleId="TrackName">
    <w:name w:val="TrackName"/>
    <w:basedOn w:val="Email"/>
    <w:rsid w:val="00787BC9"/>
    <w:pPr>
      <w:spacing w:after="120"/>
    </w:pPr>
    <w:rPr>
      <w:i/>
      <w:sz w:val="24"/>
    </w:rPr>
  </w:style>
  <w:style w:type="paragraph" w:customStyle="1" w:styleId="Basictext">
    <w:name w:val="Basic text"/>
    <w:uiPriority w:val="99"/>
    <w:rsid w:val="00787BC9"/>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787BC9"/>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787BC9"/>
    <w:pPr>
      <w:spacing w:before="0"/>
      <w:ind w:left="284" w:hanging="284"/>
      <w:jc w:val="left"/>
    </w:pPr>
  </w:style>
  <w:style w:type="table" w:customStyle="1" w:styleId="TableGrid2">
    <w:name w:val="Table Grid2"/>
    <w:basedOn w:val="TableNormal"/>
    <w:next w:val="TableGrid"/>
    <w:uiPriority w:val="59"/>
    <w:rsid w:val="000A656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30C65"/>
  </w:style>
  <w:style w:type="table" w:customStyle="1" w:styleId="TableGrid11">
    <w:name w:val="Table Grid11"/>
    <w:basedOn w:val="TableNormal"/>
    <w:next w:val="TableGrid"/>
    <w:uiPriority w:val="59"/>
    <w:rsid w:val="00CC09A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E2446"/>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C225BF"/>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enheadline">
    <w:name w:val="enheadline"/>
    <w:basedOn w:val="DefaultParagraphFont"/>
    <w:rsid w:val="0068567B"/>
  </w:style>
  <w:style w:type="table" w:styleId="ColorfulList">
    <w:name w:val="Colorful List"/>
    <w:basedOn w:val="TableNormal"/>
    <w:uiPriority w:val="72"/>
    <w:rsid w:val="00FE57AD"/>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42062">
      <w:bodyDiv w:val="1"/>
      <w:marLeft w:val="0"/>
      <w:marRight w:val="0"/>
      <w:marTop w:val="0"/>
      <w:marBottom w:val="0"/>
      <w:divBdr>
        <w:top w:val="none" w:sz="0" w:space="0" w:color="auto"/>
        <w:left w:val="none" w:sz="0" w:space="0" w:color="auto"/>
        <w:bottom w:val="none" w:sz="0" w:space="0" w:color="auto"/>
        <w:right w:val="none" w:sz="0" w:space="0" w:color="auto"/>
      </w:divBdr>
    </w:div>
    <w:div w:id="647250778">
      <w:bodyDiv w:val="1"/>
      <w:marLeft w:val="0"/>
      <w:marRight w:val="0"/>
      <w:marTop w:val="0"/>
      <w:marBottom w:val="0"/>
      <w:divBdr>
        <w:top w:val="none" w:sz="0" w:space="0" w:color="auto"/>
        <w:left w:val="none" w:sz="0" w:space="0" w:color="auto"/>
        <w:bottom w:val="none" w:sz="0" w:space="0" w:color="auto"/>
        <w:right w:val="none" w:sz="0" w:space="0" w:color="auto"/>
      </w:divBdr>
      <w:divsChild>
        <w:div w:id="103767177">
          <w:marLeft w:val="0"/>
          <w:marRight w:val="0"/>
          <w:marTop w:val="0"/>
          <w:marBottom w:val="0"/>
          <w:divBdr>
            <w:top w:val="none" w:sz="0" w:space="0" w:color="auto"/>
            <w:left w:val="none" w:sz="0" w:space="0" w:color="auto"/>
            <w:bottom w:val="none" w:sz="0" w:space="0" w:color="auto"/>
            <w:right w:val="none" w:sz="0" w:space="0" w:color="auto"/>
          </w:divBdr>
        </w:div>
        <w:div w:id="110589194">
          <w:marLeft w:val="0"/>
          <w:marRight w:val="0"/>
          <w:marTop w:val="0"/>
          <w:marBottom w:val="0"/>
          <w:divBdr>
            <w:top w:val="none" w:sz="0" w:space="0" w:color="auto"/>
            <w:left w:val="none" w:sz="0" w:space="0" w:color="auto"/>
            <w:bottom w:val="none" w:sz="0" w:space="0" w:color="auto"/>
            <w:right w:val="none" w:sz="0" w:space="0" w:color="auto"/>
          </w:divBdr>
        </w:div>
      </w:divsChild>
    </w:div>
    <w:div w:id="1306202293">
      <w:bodyDiv w:val="1"/>
      <w:marLeft w:val="0"/>
      <w:marRight w:val="0"/>
      <w:marTop w:val="0"/>
      <w:marBottom w:val="0"/>
      <w:divBdr>
        <w:top w:val="none" w:sz="0" w:space="0" w:color="auto"/>
        <w:left w:val="none" w:sz="0" w:space="0" w:color="auto"/>
        <w:bottom w:val="none" w:sz="0" w:space="0" w:color="auto"/>
        <w:right w:val="none" w:sz="0" w:space="0" w:color="auto"/>
      </w:divBdr>
    </w:div>
    <w:div w:id="1425879457">
      <w:bodyDiv w:val="1"/>
      <w:marLeft w:val="0"/>
      <w:marRight w:val="0"/>
      <w:marTop w:val="0"/>
      <w:marBottom w:val="0"/>
      <w:divBdr>
        <w:top w:val="none" w:sz="0" w:space="0" w:color="auto"/>
        <w:left w:val="none" w:sz="0" w:space="0" w:color="auto"/>
        <w:bottom w:val="none" w:sz="0" w:space="0" w:color="auto"/>
        <w:right w:val="none" w:sz="0" w:space="0" w:color="auto"/>
      </w:divBdr>
    </w:div>
    <w:div w:id="149028868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1397997">
      <w:bodyDiv w:val="1"/>
      <w:marLeft w:val="0"/>
      <w:marRight w:val="0"/>
      <w:marTop w:val="0"/>
      <w:marBottom w:val="0"/>
      <w:divBdr>
        <w:top w:val="none" w:sz="0" w:space="0" w:color="auto"/>
        <w:left w:val="none" w:sz="0" w:space="0" w:color="auto"/>
        <w:bottom w:val="none" w:sz="0" w:space="0" w:color="auto"/>
        <w:right w:val="none" w:sz="0" w:space="0" w:color="auto"/>
      </w:divBdr>
    </w:div>
    <w:div w:id="1749156483">
      <w:bodyDiv w:val="1"/>
      <w:marLeft w:val="0"/>
      <w:marRight w:val="0"/>
      <w:marTop w:val="0"/>
      <w:marBottom w:val="0"/>
      <w:divBdr>
        <w:top w:val="none" w:sz="0" w:space="0" w:color="auto"/>
        <w:left w:val="none" w:sz="0" w:space="0" w:color="auto"/>
        <w:bottom w:val="none" w:sz="0" w:space="0" w:color="auto"/>
        <w:right w:val="none" w:sz="0" w:space="0" w:color="auto"/>
      </w:divBdr>
    </w:div>
    <w:div w:id="1802117488">
      <w:bodyDiv w:val="1"/>
      <w:marLeft w:val="0"/>
      <w:marRight w:val="0"/>
      <w:marTop w:val="0"/>
      <w:marBottom w:val="0"/>
      <w:divBdr>
        <w:top w:val="none" w:sz="0" w:space="0" w:color="auto"/>
        <w:left w:val="none" w:sz="0" w:space="0" w:color="auto"/>
        <w:bottom w:val="none" w:sz="0" w:space="0" w:color="auto"/>
        <w:right w:val="none" w:sz="0" w:space="0" w:color="auto"/>
      </w:divBdr>
    </w:div>
    <w:div w:id="1805806790">
      <w:bodyDiv w:val="1"/>
      <w:marLeft w:val="0"/>
      <w:marRight w:val="0"/>
      <w:marTop w:val="0"/>
      <w:marBottom w:val="0"/>
      <w:divBdr>
        <w:top w:val="none" w:sz="0" w:space="0" w:color="auto"/>
        <w:left w:val="none" w:sz="0" w:space="0" w:color="auto"/>
        <w:bottom w:val="none" w:sz="0" w:space="0" w:color="auto"/>
        <w:right w:val="none" w:sz="0" w:space="0" w:color="auto"/>
      </w:divBdr>
    </w:div>
    <w:div w:id="207057147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056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zzwn\AppData\Local\Microsoft\Windows\Temporary%20Internet%20Files\Content.Outlook\B3YDPU19\Buy_or_Rent_Excel_Calculation_Projections_2016_de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zzwn\AppData\Local\Microsoft\Windows\Temporary%20Internet%20Files\Content.Outlook\B3YDPU19\Buy_or_Rent_Excel_Calculation_Projections_2016_de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ase%20Writing\Rent%20or%20buy\170209%20Buy_or_Ren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Arial" panose="020B0604020202020204" pitchFamily="34" charset="0"/>
                <a:cs typeface="Arial" panose="020B0604020202020204" pitchFamily="34" charset="0"/>
              </a:rPr>
              <a:t>Panel A: Singapore Residential Price Index (1Q/2009 = 100)</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2"/>
          <c:tx>
            <c:v>Core Central Region (CCR)</c:v>
          </c:tx>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cat>
            <c:strRef>
              <c:f>Propertyprice_projections!$B$8:$B$21</c:f>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f>Propertyprice_projections!$D$8:$D$21</c:f>
              <c:numCache>
                <c:formatCode>General</c:formatCode>
                <c:ptCount val="14"/>
                <c:pt idx="0">
                  <c:v>141.19999999999999</c:v>
                </c:pt>
                <c:pt idx="1">
                  <c:v>140.9</c:v>
                </c:pt>
                <c:pt idx="2">
                  <c:v>140.5</c:v>
                </c:pt>
                <c:pt idx="3">
                  <c:v>137.6</c:v>
                </c:pt>
                <c:pt idx="4">
                  <c:v>136.19999999999999</c:v>
                </c:pt>
                <c:pt idx="5">
                  <c:v>134.19999999999999</c:v>
                </c:pt>
                <c:pt idx="6">
                  <c:v>133.1</c:v>
                </c:pt>
                <c:pt idx="7">
                  <c:v>131.9</c:v>
                </c:pt>
                <c:pt idx="8">
                  <c:v>131.4</c:v>
                </c:pt>
                <c:pt idx="9">
                  <c:v>130.6</c:v>
                </c:pt>
                <c:pt idx="10">
                  <c:v>129</c:v>
                </c:pt>
                <c:pt idx="11">
                  <c:v>128.6</c:v>
                </c:pt>
                <c:pt idx="12">
                  <c:v>129</c:v>
                </c:pt>
                <c:pt idx="13">
                  <c:v>129.4</c:v>
                </c:pt>
              </c:numCache>
            </c:numRef>
          </c:val>
          <c:smooth val="0"/>
          <c:extLst>
            <c:ext xmlns:c16="http://schemas.microsoft.com/office/drawing/2014/chart" uri="{C3380CC4-5D6E-409C-BE32-E72D297353CC}">
              <c16:uniqueId val="{00000000-05BA-41B4-AA86-E4732816FEA5}"/>
            </c:ext>
          </c:extLst>
        </c:ser>
        <c:ser>
          <c:idx val="1"/>
          <c:order val="3"/>
          <c:tx>
            <c:v>Outside of Central Region (OCR)</c:v>
          </c:tx>
          <c:spPr>
            <a:ln w="28575" cap="rnd" cmpd="sng" algn="ctr">
              <a:solidFill>
                <a:schemeClr val="dk1">
                  <a:tint val="55000"/>
                  <a:shade val="95000"/>
                  <a:satMod val="105000"/>
                </a:schemeClr>
              </a:solidFill>
              <a:prstDash val="solid"/>
              <a:round/>
            </a:ln>
            <a:effectLst/>
          </c:spPr>
          <c:marker>
            <c:symbol val="diamond"/>
            <c:size val="5"/>
            <c:spPr>
              <a:solidFill>
                <a:schemeClr val="dk1">
                  <a:tint val="55000"/>
                </a:schemeClr>
              </a:solidFill>
              <a:ln w="9525" cap="flat" cmpd="sng" algn="ctr">
                <a:solidFill>
                  <a:schemeClr val="dk1">
                    <a:tint val="55000"/>
                    <a:shade val="95000"/>
                    <a:satMod val="105000"/>
                  </a:schemeClr>
                </a:solidFill>
                <a:prstDash val="solid"/>
                <a:round/>
              </a:ln>
              <a:effectLst/>
            </c:spPr>
          </c:marker>
          <c:cat>
            <c:strRef>
              <c:f>Propertyprice_projections!$B$8:$B$21</c:f>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f>Propertyprice_projections!$F$8:$F$21</c:f>
              <c:numCache>
                <c:formatCode>General</c:formatCode>
                <c:ptCount val="14"/>
                <c:pt idx="0">
                  <c:v>161.1</c:v>
                </c:pt>
                <c:pt idx="1">
                  <c:v>167.3</c:v>
                </c:pt>
                <c:pt idx="2">
                  <c:v>170.9</c:v>
                </c:pt>
                <c:pt idx="3">
                  <c:v>169.3</c:v>
                </c:pt>
                <c:pt idx="4">
                  <c:v>169.1</c:v>
                </c:pt>
                <c:pt idx="5">
                  <c:v>167.6</c:v>
                </c:pt>
                <c:pt idx="6">
                  <c:v>167</c:v>
                </c:pt>
                <c:pt idx="7">
                  <c:v>165.6</c:v>
                </c:pt>
                <c:pt idx="8">
                  <c:v>163.80000000000001</c:v>
                </c:pt>
                <c:pt idx="9">
                  <c:v>162</c:v>
                </c:pt>
                <c:pt idx="10">
                  <c:v>159.4</c:v>
                </c:pt>
                <c:pt idx="11">
                  <c:v>159.4</c:v>
                </c:pt>
                <c:pt idx="12">
                  <c:v>157.30000000000001</c:v>
                </c:pt>
                <c:pt idx="13">
                  <c:v>156.5</c:v>
                </c:pt>
              </c:numCache>
            </c:numRef>
          </c:val>
          <c:smooth val="0"/>
          <c:extLst>
            <c:ext xmlns:c16="http://schemas.microsoft.com/office/drawing/2014/chart" uri="{C3380CC4-5D6E-409C-BE32-E72D297353CC}">
              <c16:uniqueId val="{00000001-05BA-41B4-AA86-E4732816FEA5}"/>
            </c:ext>
          </c:extLst>
        </c:ser>
        <c:dLbls>
          <c:showLegendKey val="0"/>
          <c:showVal val="0"/>
          <c:showCatName val="0"/>
          <c:showSerName val="0"/>
          <c:showPercent val="0"/>
          <c:showBubbleSize val="0"/>
        </c:dLbls>
        <c:marker val="1"/>
        <c:smooth val="0"/>
        <c:axId val="61080704"/>
        <c:axId val="61082624"/>
        <c:extLst>
          <c:ext xmlns:c15="http://schemas.microsoft.com/office/drawing/2012/chart" uri="{02D57815-91ED-43cb-92C2-25804820EDAC}">
            <c15:filteredLineSeries>
              <c15:ser>
                <c:idx val="2"/>
                <c:order val="0"/>
                <c:tx>
                  <c:v>Core Central Region (CCR)</c:v>
                </c:tx>
                <c:spPr>
                  <a:ln w="28575" cap="rnd" cmpd="sng" algn="ctr">
                    <a:solidFill>
                      <a:schemeClr val="dk1">
                        <a:tint val="75000"/>
                        <a:shade val="95000"/>
                        <a:satMod val="105000"/>
                      </a:schemeClr>
                    </a:solidFill>
                    <a:prstDash val="solid"/>
                    <a:round/>
                  </a:ln>
                  <a:effectLst/>
                </c:spPr>
                <c:marker>
                  <c:symbol val="circle"/>
                  <c:size val="5"/>
                  <c:spPr>
                    <a:solidFill>
                      <a:schemeClr val="dk1">
                        <a:tint val="75000"/>
                      </a:schemeClr>
                    </a:solidFill>
                    <a:ln w="9525" cap="flat" cmpd="sng" algn="ctr">
                      <a:solidFill>
                        <a:schemeClr val="dk1">
                          <a:tint val="75000"/>
                          <a:shade val="95000"/>
                          <a:satMod val="105000"/>
                        </a:schemeClr>
                      </a:solidFill>
                      <a:prstDash val="solid"/>
                      <a:round/>
                    </a:ln>
                    <a:effectLst/>
                  </c:spPr>
                </c:marker>
                <c:cat>
                  <c:strRef>
                    <c:extLst>
                      <c:ext uri="{02D57815-91ED-43cb-92C2-25804820EDAC}">
                        <c15:formulaRef>
                          <c15:sqref>Propertyprice_projections!$B$8:$B$21</c15:sqref>
                        </c15:formulaRef>
                      </c:ext>
                    </c:extLst>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extLst>
                      <c:ext uri="{02D57815-91ED-43cb-92C2-25804820EDAC}">
                        <c15:formulaRef>
                          <c15:sqref>Propertyprice_projections!$D$8:$D$21</c15:sqref>
                        </c15:formulaRef>
                      </c:ext>
                    </c:extLst>
                    <c:numCache>
                      <c:formatCode>General</c:formatCode>
                      <c:ptCount val="14"/>
                      <c:pt idx="0">
                        <c:v>141.19999999999999</c:v>
                      </c:pt>
                      <c:pt idx="1">
                        <c:v>140.9</c:v>
                      </c:pt>
                      <c:pt idx="2">
                        <c:v>140.5</c:v>
                      </c:pt>
                      <c:pt idx="3">
                        <c:v>137.6</c:v>
                      </c:pt>
                      <c:pt idx="4">
                        <c:v>136.19999999999999</c:v>
                      </c:pt>
                      <c:pt idx="5">
                        <c:v>134.19999999999999</c:v>
                      </c:pt>
                      <c:pt idx="6">
                        <c:v>133.1</c:v>
                      </c:pt>
                      <c:pt idx="7">
                        <c:v>131.9</c:v>
                      </c:pt>
                      <c:pt idx="8">
                        <c:v>131.4</c:v>
                      </c:pt>
                      <c:pt idx="9">
                        <c:v>130.6</c:v>
                      </c:pt>
                      <c:pt idx="10">
                        <c:v>129</c:v>
                      </c:pt>
                      <c:pt idx="11">
                        <c:v>128.6</c:v>
                      </c:pt>
                      <c:pt idx="12">
                        <c:v>129</c:v>
                      </c:pt>
                      <c:pt idx="13">
                        <c:v>129.4</c:v>
                      </c:pt>
                    </c:numCache>
                  </c:numRef>
                </c:val>
                <c:smooth val="0"/>
                <c:extLst>
                  <c:ext xmlns:c16="http://schemas.microsoft.com/office/drawing/2014/chart" uri="{C3380CC4-5D6E-409C-BE32-E72D297353CC}">
                    <c16:uniqueId val="{00000002-05BA-41B4-AA86-E4732816FEA5}"/>
                  </c:ext>
                </c:extLst>
              </c15:ser>
            </c15:filteredLineSeries>
            <c15:filteredLineSeries>
              <c15:ser>
                <c:idx val="3"/>
                <c:order val="1"/>
                <c:tx>
                  <c:v>Outside of Central Region (OCR)</c:v>
                </c:tx>
                <c:spPr>
                  <a:ln w="28575" cap="rnd" cmpd="sng" algn="ctr">
                    <a:solidFill>
                      <a:schemeClr val="dk1">
                        <a:tint val="98500"/>
                        <a:shade val="95000"/>
                        <a:satMod val="105000"/>
                      </a:schemeClr>
                    </a:solidFill>
                    <a:prstDash val="solid"/>
                    <a:round/>
                  </a:ln>
                  <a:effectLst/>
                </c:spPr>
                <c:marker>
                  <c:symbol val="circle"/>
                  <c:size val="5"/>
                  <c:spPr>
                    <a:solidFill>
                      <a:schemeClr val="dk1">
                        <a:tint val="98500"/>
                      </a:schemeClr>
                    </a:solidFill>
                    <a:ln w="9525" cap="flat" cmpd="sng" algn="ctr">
                      <a:solidFill>
                        <a:schemeClr val="dk1">
                          <a:tint val="98500"/>
                          <a:shade val="95000"/>
                          <a:satMod val="105000"/>
                        </a:schemeClr>
                      </a:solidFill>
                      <a:prstDash val="solid"/>
                      <a:round/>
                    </a:ln>
                    <a:effectLst/>
                  </c:spPr>
                </c:marker>
                <c:cat>
                  <c:strRef>
                    <c:extLst xmlns:c15="http://schemas.microsoft.com/office/drawing/2012/chart">
                      <c:ext xmlns:c15="http://schemas.microsoft.com/office/drawing/2012/chart" uri="{02D57815-91ED-43cb-92C2-25804820EDAC}">
                        <c15:formulaRef>
                          <c15:sqref>Propertyprice_projections!$B$8:$B$21</c15:sqref>
                        </c15:formulaRef>
                      </c:ext>
                    </c:extLst>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extLst xmlns:c15="http://schemas.microsoft.com/office/drawing/2012/chart">
                      <c:ext xmlns:c15="http://schemas.microsoft.com/office/drawing/2012/chart" uri="{02D57815-91ED-43cb-92C2-25804820EDAC}">
                        <c15:formulaRef>
                          <c15:sqref>Propertyprice_projections!$F$8:$F$21</c15:sqref>
                        </c15:formulaRef>
                      </c:ext>
                    </c:extLst>
                    <c:numCache>
                      <c:formatCode>General</c:formatCode>
                      <c:ptCount val="14"/>
                      <c:pt idx="0">
                        <c:v>161.1</c:v>
                      </c:pt>
                      <c:pt idx="1">
                        <c:v>167.3</c:v>
                      </c:pt>
                      <c:pt idx="2">
                        <c:v>170.9</c:v>
                      </c:pt>
                      <c:pt idx="3">
                        <c:v>169.3</c:v>
                      </c:pt>
                      <c:pt idx="4">
                        <c:v>169.1</c:v>
                      </c:pt>
                      <c:pt idx="5">
                        <c:v>167.6</c:v>
                      </c:pt>
                      <c:pt idx="6">
                        <c:v>167</c:v>
                      </c:pt>
                      <c:pt idx="7">
                        <c:v>165.6</c:v>
                      </c:pt>
                      <c:pt idx="8">
                        <c:v>163.80000000000001</c:v>
                      </c:pt>
                      <c:pt idx="9">
                        <c:v>162</c:v>
                      </c:pt>
                      <c:pt idx="10">
                        <c:v>159.4</c:v>
                      </c:pt>
                      <c:pt idx="11">
                        <c:v>159.4</c:v>
                      </c:pt>
                      <c:pt idx="12">
                        <c:v>157.30000000000001</c:v>
                      </c:pt>
                      <c:pt idx="13">
                        <c:v>156.5</c:v>
                      </c:pt>
                    </c:numCache>
                  </c:numRef>
                </c:val>
                <c:smooth val="0"/>
                <c:extLst xmlns:c15="http://schemas.microsoft.com/office/drawing/2012/chart">
                  <c:ext xmlns:c16="http://schemas.microsoft.com/office/drawing/2014/chart" uri="{C3380CC4-5D6E-409C-BE32-E72D297353CC}">
                    <c16:uniqueId val="{00000003-05BA-41B4-AA86-E4732816FEA5}"/>
                  </c:ext>
                </c:extLst>
              </c15:ser>
            </c15:filteredLineSeries>
          </c:ext>
        </c:extLst>
      </c:lineChart>
      <c:catAx>
        <c:axId val="6108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1082624"/>
        <c:crosses val="autoZero"/>
        <c:auto val="1"/>
        <c:lblAlgn val="ctr"/>
        <c:lblOffset val="100"/>
        <c:noMultiLvlLbl val="0"/>
      </c:catAx>
      <c:valAx>
        <c:axId val="61082624"/>
        <c:scaling>
          <c:orientation val="minMax"/>
          <c:min val="12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108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Arial" panose="020B0604020202020204" pitchFamily="34" charset="0"/>
                <a:cs typeface="Arial" panose="020B0604020202020204" pitchFamily="34" charset="0"/>
              </a:rPr>
              <a:t>Panel B: Singapore Residential Rental Index (1Q/2009 = 100)</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v>Core Central Region (CCR)</c:v>
          </c:tx>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cat>
            <c:strRef>
              <c:f>Propertyprice_projections!$J$8:$J$21</c:f>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f>Propertyprice_projections!$L$8:$L$21</c:f>
              <c:numCache>
                <c:formatCode>General</c:formatCode>
                <c:ptCount val="14"/>
                <c:pt idx="0">
                  <c:v>116.8</c:v>
                </c:pt>
                <c:pt idx="1">
                  <c:v>117.4</c:v>
                </c:pt>
                <c:pt idx="2">
                  <c:v>117.8</c:v>
                </c:pt>
                <c:pt idx="3">
                  <c:v>117.1</c:v>
                </c:pt>
                <c:pt idx="4">
                  <c:v>116.4</c:v>
                </c:pt>
                <c:pt idx="5">
                  <c:v>116.3</c:v>
                </c:pt>
                <c:pt idx="6">
                  <c:v>114.1</c:v>
                </c:pt>
                <c:pt idx="7">
                  <c:v>112.8</c:v>
                </c:pt>
                <c:pt idx="8">
                  <c:v>110.7</c:v>
                </c:pt>
                <c:pt idx="9">
                  <c:v>109.3</c:v>
                </c:pt>
                <c:pt idx="10">
                  <c:v>108.9</c:v>
                </c:pt>
                <c:pt idx="11">
                  <c:v>108.5</c:v>
                </c:pt>
                <c:pt idx="12">
                  <c:v>106.7</c:v>
                </c:pt>
                <c:pt idx="13">
                  <c:v>106.8</c:v>
                </c:pt>
              </c:numCache>
            </c:numRef>
          </c:val>
          <c:smooth val="0"/>
          <c:extLst>
            <c:ext xmlns:c16="http://schemas.microsoft.com/office/drawing/2014/chart" uri="{C3380CC4-5D6E-409C-BE32-E72D297353CC}">
              <c16:uniqueId val="{00000000-F33E-4E91-AE33-7249446961BD}"/>
            </c:ext>
          </c:extLst>
        </c:ser>
        <c:ser>
          <c:idx val="1"/>
          <c:order val="1"/>
          <c:tx>
            <c:v>Outside of Central Region (OCR)</c:v>
          </c:tx>
          <c:spPr>
            <a:ln w="28575" cap="rnd" cmpd="sng" algn="ctr">
              <a:solidFill>
                <a:schemeClr val="dk1">
                  <a:tint val="55000"/>
                  <a:shade val="95000"/>
                  <a:satMod val="105000"/>
                </a:schemeClr>
              </a:solidFill>
              <a:prstDash val="solid"/>
              <a:round/>
            </a:ln>
            <a:effectLst/>
          </c:spPr>
          <c:marker>
            <c:symbol val="diamond"/>
            <c:size val="5"/>
            <c:spPr>
              <a:solidFill>
                <a:schemeClr val="dk1">
                  <a:tint val="55000"/>
                </a:schemeClr>
              </a:solidFill>
              <a:ln w="9525" cap="flat" cmpd="sng" algn="ctr">
                <a:solidFill>
                  <a:schemeClr val="dk1">
                    <a:tint val="55000"/>
                    <a:shade val="95000"/>
                    <a:satMod val="105000"/>
                  </a:schemeClr>
                </a:solidFill>
                <a:prstDash val="solid"/>
                <a:round/>
              </a:ln>
              <a:effectLst/>
            </c:spPr>
          </c:marker>
          <c:cat>
            <c:strRef>
              <c:f>Propertyprice_projections!$J$8:$J$21</c:f>
              <c:strCache>
                <c:ptCount val="14"/>
                <c:pt idx="0">
                  <c:v>1Q/2013</c:v>
                </c:pt>
                <c:pt idx="1">
                  <c:v>2Q/2013</c:v>
                </c:pt>
                <c:pt idx="2">
                  <c:v>3Q/2013</c:v>
                </c:pt>
                <c:pt idx="3">
                  <c:v>4Q/2013</c:v>
                </c:pt>
                <c:pt idx="4">
                  <c:v>1Q/2014</c:v>
                </c:pt>
                <c:pt idx="5">
                  <c:v>2Q/2014</c:v>
                </c:pt>
                <c:pt idx="6">
                  <c:v>3Q/2014</c:v>
                </c:pt>
                <c:pt idx="7">
                  <c:v>4Q/2014</c:v>
                </c:pt>
                <c:pt idx="8">
                  <c:v>1Q/2015</c:v>
                </c:pt>
                <c:pt idx="9">
                  <c:v>2Q/2015</c:v>
                </c:pt>
                <c:pt idx="10">
                  <c:v>3Q/2015</c:v>
                </c:pt>
                <c:pt idx="11">
                  <c:v>4Q/2015</c:v>
                </c:pt>
                <c:pt idx="12">
                  <c:v>1Q/2016</c:v>
                </c:pt>
                <c:pt idx="13">
                  <c:v>2Q/2016</c:v>
                </c:pt>
              </c:strCache>
            </c:strRef>
          </c:cat>
          <c:val>
            <c:numRef>
              <c:f>Propertyprice_projections!$N$8:$N$21</c:f>
              <c:numCache>
                <c:formatCode>General</c:formatCode>
                <c:ptCount val="14"/>
                <c:pt idx="0">
                  <c:v>120.1</c:v>
                </c:pt>
                <c:pt idx="1">
                  <c:v>120.1</c:v>
                </c:pt>
                <c:pt idx="2">
                  <c:v>119.2</c:v>
                </c:pt>
                <c:pt idx="3">
                  <c:v>118.3</c:v>
                </c:pt>
                <c:pt idx="4">
                  <c:v>117.3</c:v>
                </c:pt>
                <c:pt idx="5">
                  <c:v>116.2</c:v>
                </c:pt>
                <c:pt idx="6">
                  <c:v>116.2</c:v>
                </c:pt>
                <c:pt idx="7">
                  <c:v>115.3</c:v>
                </c:pt>
                <c:pt idx="8">
                  <c:v>113.2</c:v>
                </c:pt>
                <c:pt idx="9">
                  <c:v>112.1</c:v>
                </c:pt>
                <c:pt idx="10">
                  <c:v>110.9</c:v>
                </c:pt>
                <c:pt idx="11">
                  <c:v>108.9</c:v>
                </c:pt>
                <c:pt idx="12">
                  <c:v>107.6</c:v>
                </c:pt>
                <c:pt idx="13">
                  <c:v>106</c:v>
                </c:pt>
              </c:numCache>
            </c:numRef>
          </c:val>
          <c:smooth val="0"/>
          <c:extLst>
            <c:ext xmlns:c16="http://schemas.microsoft.com/office/drawing/2014/chart" uri="{C3380CC4-5D6E-409C-BE32-E72D297353CC}">
              <c16:uniqueId val="{00000001-F33E-4E91-AE33-7249446961BD}"/>
            </c:ext>
          </c:extLst>
        </c:ser>
        <c:dLbls>
          <c:showLegendKey val="0"/>
          <c:showVal val="0"/>
          <c:showCatName val="0"/>
          <c:showSerName val="0"/>
          <c:showPercent val="0"/>
          <c:showBubbleSize val="0"/>
        </c:dLbls>
        <c:marker val="1"/>
        <c:smooth val="0"/>
        <c:axId val="97201152"/>
        <c:axId val="102977920"/>
      </c:lineChart>
      <c:catAx>
        <c:axId val="9720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2977920"/>
        <c:crosses val="autoZero"/>
        <c:auto val="1"/>
        <c:lblAlgn val="ctr"/>
        <c:lblOffset val="100"/>
        <c:noMultiLvlLbl val="0"/>
      </c:catAx>
      <c:valAx>
        <c:axId val="102977920"/>
        <c:scaling>
          <c:orientation val="minMax"/>
          <c:min val="10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720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sz="1000">
                <a:latin typeface="Arial" panose="020B0604020202020204" pitchFamily="34" charset="0"/>
                <a:cs typeface="Arial" panose="020B0604020202020204" pitchFamily="34" charset="0"/>
              </a:rPr>
              <a:t>Singapore</a:t>
            </a:r>
            <a:r>
              <a:rPr lang="en-SG" sz="1000" baseline="0">
                <a:latin typeface="Arial" panose="020B0604020202020204" pitchFamily="34" charset="0"/>
                <a:cs typeface="Arial" panose="020B0604020202020204" pitchFamily="34" charset="0"/>
              </a:rPr>
              <a:t> Interest Rates from January 2006 to June 2016</a:t>
            </a:r>
            <a:endParaRPr lang="en-SG"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FIGURE2!$B$1</c:f>
              <c:strCache>
                <c:ptCount val="1"/>
                <c:pt idx="0">
                  <c:v>1-month SIBOR</c:v>
                </c:pt>
              </c:strCache>
            </c:strRef>
          </c:tx>
          <c:spPr>
            <a:ln w="28575" cap="rnd">
              <a:solidFill>
                <a:schemeClr val="dk1">
                  <a:tint val="88500"/>
                </a:schemeClr>
              </a:solidFill>
              <a:round/>
            </a:ln>
            <a:effectLst/>
          </c:spPr>
          <c:marker>
            <c:symbol val="none"/>
          </c:marker>
          <c:cat>
            <c:numRef>
              <c:f>FIGURE2!$A$2:$A$127</c:f>
              <c:numCache>
                <c:formatCode>mmm\-yy</c:formatCode>
                <c:ptCount val="126"/>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numCache>
            </c:numRef>
          </c:cat>
          <c:val>
            <c:numRef>
              <c:f>FIGURE2!$B$2:$B$127</c:f>
              <c:numCache>
                <c:formatCode>General</c:formatCode>
                <c:ptCount val="126"/>
                <c:pt idx="0">
                  <c:v>3.31</c:v>
                </c:pt>
                <c:pt idx="1">
                  <c:v>3.38</c:v>
                </c:pt>
                <c:pt idx="2">
                  <c:v>3.38</c:v>
                </c:pt>
                <c:pt idx="3">
                  <c:v>3.31</c:v>
                </c:pt>
                <c:pt idx="4">
                  <c:v>3.31</c:v>
                </c:pt>
                <c:pt idx="5">
                  <c:v>3.5</c:v>
                </c:pt>
                <c:pt idx="6">
                  <c:v>3.5</c:v>
                </c:pt>
                <c:pt idx="7">
                  <c:v>3.5</c:v>
                </c:pt>
                <c:pt idx="8">
                  <c:v>3.44</c:v>
                </c:pt>
                <c:pt idx="9">
                  <c:v>3.56</c:v>
                </c:pt>
                <c:pt idx="10">
                  <c:v>3.44</c:v>
                </c:pt>
                <c:pt idx="11">
                  <c:v>3.44</c:v>
                </c:pt>
                <c:pt idx="12">
                  <c:v>3.44</c:v>
                </c:pt>
                <c:pt idx="13">
                  <c:v>3.31</c:v>
                </c:pt>
                <c:pt idx="14">
                  <c:v>2.94</c:v>
                </c:pt>
                <c:pt idx="15">
                  <c:v>2.63</c:v>
                </c:pt>
                <c:pt idx="16">
                  <c:v>2.38</c:v>
                </c:pt>
                <c:pt idx="17">
                  <c:v>2.38</c:v>
                </c:pt>
                <c:pt idx="18">
                  <c:v>2.44</c:v>
                </c:pt>
                <c:pt idx="19">
                  <c:v>2.63</c:v>
                </c:pt>
                <c:pt idx="20">
                  <c:v>2.5</c:v>
                </c:pt>
                <c:pt idx="21">
                  <c:v>2.38</c:v>
                </c:pt>
                <c:pt idx="22">
                  <c:v>2.31</c:v>
                </c:pt>
                <c:pt idx="23">
                  <c:v>2</c:v>
                </c:pt>
                <c:pt idx="24">
                  <c:v>1.69</c:v>
                </c:pt>
                <c:pt idx="25">
                  <c:v>1.38</c:v>
                </c:pt>
                <c:pt idx="26">
                  <c:v>1.1299999999999999</c:v>
                </c:pt>
                <c:pt idx="27">
                  <c:v>1.25</c:v>
                </c:pt>
                <c:pt idx="28">
                  <c:v>1.06</c:v>
                </c:pt>
                <c:pt idx="29">
                  <c:v>0.94</c:v>
                </c:pt>
                <c:pt idx="30">
                  <c:v>0.88</c:v>
                </c:pt>
                <c:pt idx="31">
                  <c:v>1</c:v>
                </c:pt>
                <c:pt idx="32">
                  <c:v>1.88</c:v>
                </c:pt>
                <c:pt idx="33">
                  <c:v>1.1299999999999999</c:v>
                </c:pt>
                <c:pt idx="34">
                  <c:v>0.69</c:v>
                </c:pt>
                <c:pt idx="35">
                  <c:v>0.75</c:v>
                </c:pt>
                <c:pt idx="36">
                  <c:v>0.44</c:v>
                </c:pt>
                <c:pt idx="37">
                  <c:v>0.44</c:v>
                </c:pt>
                <c:pt idx="38">
                  <c:v>0.5</c:v>
                </c:pt>
                <c:pt idx="39">
                  <c:v>0.44</c:v>
                </c:pt>
                <c:pt idx="40">
                  <c:v>0.44</c:v>
                </c:pt>
                <c:pt idx="41">
                  <c:v>0.44</c:v>
                </c:pt>
                <c:pt idx="42">
                  <c:v>0.44</c:v>
                </c:pt>
                <c:pt idx="43">
                  <c:v>0.44</c:v>
                </c:pt>
                <c:pt idx="44">
                  <c:v>0.44</c:v>
                </c:pt>
                <c:pt idx="45">
                  <c:v>0.44</c:v>
                </c:pt>
                <c:pt idx="46">
                  <c:v>0.44</c:v>
                </c:pt>
                <c:pt idx="47">
                  <c:v>0.44</c:v>
                </c:pt>
                <c:pt idx="48">
                  <c:v>0.44</c:v>
                </c:pt>
                <c:pt idx="49">
                  <c:v>0.44</c:v>
                </c:pt>
                <c:pt idx="50">
                  <c:v>0.44</c:v>
                </c:pt>
                <c:pt idx="51">
                  <c:v>0.38</c:v>
                </c:pt>
                <c:pt idx="52">
                  <c:v>0.38</c:v>
                </c:pt>
                <c:pt idx="53">
                  <c:v>0.38</c:v>
                </c:pt>
                <c:pt idx="54">
                  <c:v>0.38</c:v>
                </c:pt>
                <c:pt idx="55">
                  <c:v>0.38</c:v>
                </c:pt>
                <c:pt idx="56">
                  <c:v>0.38</c:v>
                </c:pt>
                <c:pt idx="57">
                  <c:v>0.31</c:v>
                </c:pt>
                <c:pt idx="58">
                  <c:v>0.31</c:v>
                </c:pt>
                <c:pt idx="59">
                  <c:v>0.31</c:v>
                </c:pt>
                <c:pt idx="60">
                  <c:v>0.31</c:v>
                </c:pt>
                <c:pt idx="61">
                  <c:v>0.31</c:v>
                </c:pt>
                <c:pt idx="62">
                  <c:v>0.31</c:v>
                </c:pt>
                <c:pt idx="63">
                  <c:v>0.31</c:v>
                </c:pt>
                <c:pt idx="64">
                  <c:v>0.31</c:v>
                </c:pt>
                <c:pt idx="65">
                  <c:v>0.31</c:v>
                </c:pt>
                <c:pt idx="66">
                  <c:v>0.31</c:v>
                </c:pt>
                <c:pt idx="67">
                  <c:v>0.19</c:v>
                </c:pt>
                <c:pt idx="68">
                  <c:v>0.19</c:v>
                </c:pt>
                <c:pt idx="69">
                  <c:v>0.31</c:v>
                </c:pt>
                <c:pt idx="70">
                  <c:v>0.31</c:v>
                </c:pt>
                <c:pt idx="71">
                  <c:v>0.31</c:v>
                </c:pt>
                <c:pt idx="72">
                  <c:v>0.31</c:v>
                </c:pt>
                <c:pt idx="73">
                  <c:v>0.31</c:v>
                </c:pt>
                <c:pt idx="74">
                  <c:v>0.31</c:v>
                </c:pt>
                <c:pt idx="75">
                  <c:v>0.31</c:v>
                </c:pt>
                <c:pt idx="76">
                  <c:v>0.31</c:v>
                </c:pt>
                <c:pt idx="77">
                  <c:v>0.31</c:v>
                </c:pt>
                <c:pt idx="78">
                  <c:v>0.31</c:v>
                </c:pt>
                <c:pt idx="79">
                  <c:v>0.31</c:v>
                </c:pt>
                <c:pt idx="80">
                  <c:v>0.31</c:v>
                </c:pt>
                <c:pt idx="81">
                  <c:v>0.31</c:v>
                </c:pt>
                <c:pt idx="82">
                  <c:v>0.38</c:v>
                </c:pt>
                <c:pt idx="83">
                  <c:v>0.31</c:v>
                </c:pt>
                <c:pt idx="84">
                  <c:v>0.31</c:v>
                </c:pt>
                <c:pt idx="85">
                  <c:v>0.31</c:v>
                </c:pt>
                <c:pt idx="86">
                  <c:v>0.31</c:v>
                </c:pt>
                <c:pt idx="87">
                  <c:v>0.31</c:v>
                </c:pt>
                <c:pt idx="88">
                  <c:v>0.31</c:v>
                </c:pt>
                <c:pt idx="89">
                  <c:v>0.31</c:v>
                </c:pt>
                <c:pt idx="90">
                  <c:v>0.35</c:v>
                </c:pt>
                <c:pt idx="91">
                  <c:v>0.33</c:v>
                </c:pt>
                <c:pt idx="92">
                  <c:v>0.37</c:v>
                </c:pt>
                <c:pt idx="93">
                  <c:v>0.35</c:v>
                </c:pt>
                <c:pt idx="94">
                  <c:v>0.37</c:v>
                </c:pt>
                <c:pt idx="95">
                  <c:v>0.37</c:v>
                </c:pt>
                <c:pt idx="96">
                  <c:v>0.35299999999999998</c:v>
                </c:pt>
                <c:pt idx="97">
                  <c:v>0.35499999999999998</c:v>
                </c:pt>
                <c:pt idx="98">
                  <c:v>0.35399999999999998</c:v>
                </c:pt>
                <c:pt idx="99">
                  <c:v>0.35899999999999999</c:v>
                </c:pt>
                <c:pt idx="100">
                  <c:v>0.35599999999999998</c:v>
                </c:pt>
                <c:pt idx="101">
                  <c:v>0.35699999999999998</c:v>
                </c:pt>
                <c:pt idx="102">
                  <c:v>0.34100000000000003</c:v>
                </c:pt>
                <c:pt idx="103">
                  <c:v>0.34100000000000003</c:v>
                </c:pt>
                <c:pt idx="104">
                  <c:v>0.33900000000000002</c:v>
                </c:pt>
                <c:pt idx="105">
                  <c:v>0.34399999999999997</c:v>
                </c:pt>
                <c:pt idx="106">
                  <c:v>0.36899999999999999</c:v>
                </c:pt>
                <c:pt idx="107">
                  <c:v>0.378</c:v>
                </c:pt>
                <c:pt idx="108">
                  <c:v>0.41899999999999998</c:v>
                </c:pt>
                <c:pt idx="109">
                  <c:v>0.60399999999999998</c:v>
                </c:pt>
                <c:pt idx="110">
                  <c:v>0.69</c:v>
                </c:pt>
                <c:pt idx="111">
                  <c:v>0.88100000000000001</c:v>
                </c:pt>
                <c:pt idx="112">
                  <c:v>0.76600000000000001</c:v>
                </c:pt>
                <c:pt idx="113">
                  <c:v>0.71</c:v>
                </c:pt>
                <c:pt idx="114">
                  <c:v>0.7</c:v>
                </c:pt>
                <c:pt idx="115">
                  <c:v>0.76</c:v>
                </c:pt>
                <c:pt idx="116">
                  <c:v>0.95</c:v>
                </c:pt>
                <c:pt idx="117">
                  <c:v>1.02</c:v>
                </c:pt>
                <c:pt idx="118">
                  <c:v>0.95016</c:v>
                </c:pt>
                <c:pt idx="119">
                  <c:v>0.96157999999999999</c:v>
                </c:pt>
                <c:pt idx="120">
                  <c:v>1.0501</c:v>
                </c:pt>
                <c:pt idx="121">
                  <c:v>1.1214999999999999</c:v>
                </c:pt>
                <c:pt idx="122">
                  <c:v>1.1214999999999999</c:v>
                </c:pt>
                <c:pt idx="123">
                  <c:v>0.79700000000000004</c:v>
                </c:pt>
                <c:pt idx="124">
                  <c:v>0.76200000000000001</c:v>
                </c:pt>
                <c:pt idx="125">
                  <c:v>0.75634000000000001</c:v>
                </c:pt>
              </c:numCache>
            </c:numRef>
          </c:val>
          <c:smooth val="0"/>
          <c:extLst>
            <c:ext xmlns:c16="http://schemas.microsoft.com/office/drawing/2014/chart" uri="{C3380CC4-5D6E-409C-BE32-E72D297353CC}">
              <c16:uniqueId val="{00000000-A1BD-40E3-9664-4EF15BB7BCCF}"/>
            </c:ext>
          </c:extLst>
        </c:ser>
        <c:ser>
          <c:idx val="1"/>
          <c:order val="1"/>
          <c:tx>
            <c:strRef>
              <c:f>FIGURE2!$C$1</c:f>
              <c:strCache>
                <c:ptCount val="1"/>
                <c:pt idx="0">
                  <c:v>3-month SIBOR</c:v>
                </c:pt>
              </c:strCache>
            </c:strRef>
          </c:tx>
          <c:spPr>
            <a:ln w="28575" cap="rnd">
              <a:solidFill>
                <a:schemeClr val="dk1">
                  <a:tint val="55000"/>
                </a:schemeClr>
              </a:solidFill>
              <a:round/>
            </a:ln>
            <a:effectLst/>
          </c:spPr>
          <c:marker>
            <c:symbol val="none"/>
          </c:marker>
          <c:cat>
            <c:numRef>
              <c:f>FIGURE2!$A$2:$A$127</c:f>
              <c:numCache>
                <c:formatCode>mmm\-yy</c:formatCode>
                <c:ptCount val="126"/>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numCache>
            </c:numRef>
          </c:cat>
          <c:val>
            <c:numRef>
              <c:f>FIGURE2!$C$2:$C$127</c:f>
              <c:numCache>
                <c:formatCode>General</c:formatCode>
                <c:ptCount val="126"/>
                <c:pt idx="0">
                  <c:v>3.38</c:v>
                </c:pt>
                <c:pt idx="1">
                  <c:v>3.38</c:v>
                </c:pt>
                <c:pt idx="2">
                  <c:v>3.44</c:v>
                </c:pt>
                <c:pt idx="3">
                  <c:v>3.44</c:v>
                </c:pt>
                <c:pt idx="4">
                  <c:v>3.44</c:v>
                </c:pt>
                <c:pt idx="5">
                  <c:v>3.56</c:v>
                </c:pt>
                <c:pt idx="6">
                  <c:v>3.56</c:v>
                </c:pt>
                <c:pt idx="7">
                  <c:v>3.5</c:v>
                </c:pt>
                <c:pt idx="8">
                  <c:v>3.44</c:v>
                </c:pt>
                <c:pt idx="9">
                  <c:v>3.5</c:v>
                </c:pt>
                <c:pt idx="10">
                  <c:v>3.44</c:v>
                </c:pt>
                <c:pt idx="11">
                  <c:v>3.44</c:v>
                </c:pt>
                <c:pt idx="12">
                  <c:v>3.44</c:v>
                </c:pt>
                <c:pt idx="13">
                  <c:v>3.38</c:v>
                </c:pt>
                <c:pt idx="14">
                  <c:v>2.94</c:v>
                </c:pt>
                <c:pt idx="15">
                  <c:v>2.63</c:v>
                </c:pt>
                <c:pt idx="16">
                  <c:v>2.38</c:v>
                </c:pt>
                <c:pt idx="17">
                  <c:v>2.5</c:v>
                </c:pt>
                <c:pt idx="18">
                  <c:v>2.56</c:v>
                </c:pt>
                <c:pt idx="19">
                  <c:v>2.75</c:v>
                </c:pt>
                <c:pt idx="20">
                  <c:v>2.63</c:v>
                </c:pt>
                <c:pt idx="21">
                  <c:v>2.5</c:v>
                </c:pt>
                <c:pt idx="22">
                  <c:v>2.56</c:v>
                </c:pt>
                <c:pt idx="23">
                  <c:v>2.38</c:v>
                </c:pt>
                <c:pt idx="24">
                  <c:v>1.69</c:v>
                </c:pt>
                <c:pt idx="25">
                  <c:v>1.56</c:v>
                </c:pt>
                <c:pt idx="26">
                  <c:v>1.31</c:v>
                </c:pt>
                <c:pt idx="27">
                  <c:v>1.44</c:v>
                </c:pt>
                <c:pt idx="28">
                  <c:v>1.25</c:v>
                </c:pt>
                <c:pt idx="29">
                  <c:v>1.19</c:v>
                </c:pt>
                <c:pt idx="30">
                  <c:v>1</c:v>
                </c:pt>
                <c:pt idx="31">
                  <c:v>1.19</c:v>
                </c:pt>
                <c:pt idx="32">
                  <c:v>1.88</c:v>
                </c:pt>
                <c:pt idx="33">
                  <c:v>1.25</c:v>
                </c:pt>
                <c:pt idx="34">
                  <c:v>0.81</c:v>
                </c:pt>
                <c:pt idx="35">
                  <c:v>1</c:v>
                </c:pt>
                <c:pt idx="36">
                  <c:v>0.69</c:v>
                </c:pt>
                <c:pt idx="37">
                  <c:v>0.69</c:v>
                </c:pt>
                <c:pt idx="38">
                  <c:v>0.69</c:v>
                </c:pt>
                <c:pt idx="39">
                  <c:v>0.69</c:v>
                </c:pt>
                <c:pt idx="40">
                  <c:v>0.69</c:v>
                </c:pt>
                <c:pt idx="41">
                  <c:v>0.69</c:v>
                </c:pt>
                <c:pt idx="42">
                  <c:v>0.69</c:v>
                </c:pt>
                <c:pt idx="43">
                  <c:v>0.69</c:v>
                </c:pt>
                <c:pt idx="44">
                  <c:v>0.69</c:v>
                </c:pt>
                <c:pt idx="45">
                  <c:v>0.69</c:v>
                </c:pt>
                <c:pt idx="46">
                  <c:v>0.69</c:v>
                </c:pt>
                <c:pt idx="47">
                  <c:v>0.69</c:v>
                </c:pt>
                <c:pt idx="48">
                  <c:v>0.69</c:v>
                </c:pt>
                <c:pt idx="49">
                  <c:v>0.69</c:v>
                </c:pt>
                <c:pt idx="50">
                  <c:v>0.69</c:v>
                </c:pt>
                <c:pt idx="51">
                  <c:v>0.63</c:v>
                </c:pt>
                <c:pt idx="52">
                  <c:v>0.56000000000000005</c:v>
                </c:pt>
                <c:pt idx="53">
                  <c:v>0.56000000000000005</c:v>
                </c:pt>
                <c:pt idx="54">
                  <c:v>0.56000000000000005</c:v>
                </c:pt>
                <c:pt idx="55">
                  <c:v>0.56000000000000005</c:v>
                </c:pt>
                <c:pt idx="56">
                  <c:v>0.5</c:v>
                </c:pt>
                <c:pt idx="57">
                  <c:v>0.44</c:v>
                </c:pt>
                <c:pt idx="58">
                  <c:v>0.44</c:v>
                </c:pt>
                <c:pt idx="59">
                  <c:v>0.44</c:v>
                </c:pt>
                <c:pt idx="60">
                  <c:v>0.44</c:v>
                </c:pt>
                <c:pt idx="61">
                  <c:v>0.44</c:v>
                </c:pt>
                <c:pt idx="62">
                  <c:v>0.44</c:v>
                </c:pt>
                <c:pt idx="63">
                  <c:v>0.44</c:v>
                </c:pt>
                <c:pt idx="64">
                  <c:v>0.44</c:v>
                </c:pt>
                <c:pt idx="65">
                  <c:v>0.44</c:v>
                </c:pt>
                <c:pt idx="66">
                  <c:v>0.44</c:v>
                </c:pt>
                <c:pt idx="67">
                  <c:v>0.31</c:v>
                </c:pt>
                <c:pt idx="68">
                  <c:v>0.25</c:v>
                </c:pt>
                <c:pt idx="69">
                  <c:v>0.44</c:v>
                </c:pt>
                <c:pt idx="70">
                  <c:v>0.5</c:v>
                </c:pt>
                <c:pt idx="71">
                  <c:v>0.38</c:v>
                </c:pt>
                <c:pt idx="72">
                  <c:v>0.38</c:v>
                </c:pt>
                <c:pt idx="73">
                  <c:v>0.38</c:v>
                </c:pt>
                <c:pt idx="74">
                  <c:v>0.38</c:v>
                </c:pt>
                <c:pt idx="75">
                  <c:v>0.38</c:v>
                </c:pt>
                <c:pt idx="76">
                  <c:v>0.38</c:v>
                </c:pt>
                <c:pt idx="77">
                  <c:v>0.38</c:v>
                </c:pt>
                <c:pt idx="78">
                  <c:v>0.38</c:v>
                </c:pt>
                <c:pt idx="79">
                  <c:v>0.38</c:v>
                </c:pt>
                <c:pt idx="80">
                  <c:v>0.38</c:v>
                </c:pt>
                <c:pt idx="81">
                  <c:v>0.38</c:v>
                </c:pt>
                <c:pt idx="82">
                  <c:v>0.38</c:v>
                </c:pt>
                <c:pt idx="83">
                  <c:v>0.38</c:v>
                </c:pt>
                <c:pt idx="84">
                  <c:v>0.38</c:v>
                </c:pt>
                <c:pt idx="85">
                  <c:v>0.38</c:v>
                </c:pt>
                <c:pt idx="86">
                  <c:v>0.38</c:v>
                </c:pt>
                <c:pt idx="87">
                  <c:v>0.38</c:v>
                </c:pt>
                <c:pt idx="88">
                  <c:v>0.38</c:v>
                </c:pt>
                <c:pt idx="89">
                  <c:v>0.38</c:v>
                </c:pt>
                <c:pt idx="90">
                  <c:v>0.45</c:v>
                </c:pt>
                <c:pt idx="91">
                  <c:v>0.39</c:v>
                </c:pt>
                <c:pt idx="92">
                  <c:v>0.42</c:v>
                </c:pt>
                <c:pt idx="93">
                  <c:v>0.4</c:v>
                </c:pt>
                <c:pt idx="94">
                  <c:v>0.4</c:v>
                </c:pt>
                <c:pt idx="95">
                  <c:v>0.4</c:v>
                </c:pt>
                <c:pt idx="96">
                  <c:v>0.40200000000000002</c:v>
                </c:pt>
                <c:pt idx="97">
                  <c:v>0.40500000000000003</c:v>
                </c:pt>
                <c:pt idx="98">
                  <c:v>0.40200000000000002</c:v>
                </c:pt>
                <c:pt idx="99">
                  <c:v>0.40500000000000003</c:v>
                </c:pt>
                <c:pt idx="100">
                  <c:v>0.40300000000000002</c:v>
                </c:pt>
                <c:pt idx="101">
                  <c:v>0.40300000000000002</c:v>
                </c:pt>
                <c:pt idx="102">
                  <c:v>0.40300000000000002</c:v>
                </c:pt>
                <c:pt idx="103">
                  <c:v>0.40300000000000002</c:v>
                </c:pt>
                <c:pt idx="104">
                  <c:v>0.40699999999999997</c:v>
                </c:pt>
                <c:pt idx="105">
                  <c:v>0.40899999999999997</c:v>
                </c:pt>
                <c:pt idx="106">
                  <c:v>0.41399999999999998</c:v>
                </c:pt>
                <c:pt idx="107">
                  <c:v>0.43</c:v>
                </c:pt>
                <c:pt idx="108">
                  <c:v>0.45700000000000002</c:v>
                </c:pt>
                <c:pt idx="109">
                  <c:v>0.67800000000000005</c:v>
                </c:pt>
                <c:pt idx="110">
                  <c:v>0.78500000000000003</c:v>
                </c:pt>
                <c:pt idx="111">
                  <c:v>1.0189999999999999</c:v>
                </c:pt>
                <c:pt idx="112">
                  <c:v>0.89400000000000002</c:v>
                </c:pt>
                <c:pt idx="113">
                  <c:v>0.83</c:v>
                </c:pt>
                <c:pt idx="114">
                  <c:v>0.82</c:v>
                </c:pt>
                <c:pt idx="115">
                  <c:v>0.88</c:v>
                </c:pt>
                <c:pt idx="116">
                  <c:v>1.07</c:v>
                </c:pt>
                <c:pt idx="117">
                  <c:v>1.1399999999999999</c:v>
                </c:pt>
                <c:pt idx="118">
                  <c:v>1.0708299999999999</c:v>
                </c:pt>
                <c:pt idx="119">
                  <c:v>1.07772</c:v>
                </c:pt>
                <c:pt idx="120">
                  <c:v>1.1912</c:v>
                </c:pt>
                <c:pt idx="121">
                  <c:v>1.25275</c:v>
                </c:pt>
                <c:pt idx="122">
                  <c:v>1.2524999999999999</c:v>
                </c:pt>
                <c:pt idx="123">
                  <c:v>1.0620000000000001</c:v>
                </c:pt>
                <c:pt idx="124">
                  <c:v>1.0049999999999999</c:v>
                </c:pt>
                <c:pt idx="125">
                  <c:v>1.00217</c:v>
                </c:pt>
              </c:numCache>
            </c:numRef>
          </c:val>
          <c:smooth val="0"/>
          <c:extLst>
            <c:ext xmlns:c16="http://schemas.microsoft.com/office/drawing/2014/chart" uri="{C3380CC4-5D6E-409C-BE32-E72D297353CC}">
              <c16:uniqueId val="{00000001-A1BD-40E3-9664-4EF15BB7BCCF}"/>
            </c:ext>
          </c:extLst>
        </c:ser>
        <c:ser>
          <c:idx val="2"/>
          <c:order val="2"/>
          <c:tx>
            <c:strRef>
              <c:f>FIGURE2!$D$1</c:f>
              <c:strCache>
                <c:ptCount val="1"/>
                <c:pt idx="0">
                  <c:v>1-year T-bill</c:v>
                </c:pt>
              </c:strCache>
            </c:strRef>
          </c:tx>
          <c:spPr>
            <a:ln w="28575" cap="rnd">
              <a:solidFill>
                <a:schemeClr val="dk1">
                  <a:tint val="75000"/>
                </a:schemeClr>
              </a:solidFill>
              <a:round/>
            </a:ln>
            <a:effectLst/>
          </c:spPr>
          <c:marker>
            <c:symbol val="none"/>
          </c:marker>
          <c:cat>
            <c:numRef>
              <c:f>FIGURE2!$A$2:$A$127</c:f>
              <c:numCache>
                <c:formatCode>mmm\-yy</c:formatCode>
                <c:ptCount val="126"/>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numCache>
            </c:numRef>
          </c:cat>
          <c:val>
            <c:numRef>
              <c:f>FIGURE2!$D$2:$D$127</c:f>
              <c:numCache>
                <c:formatCode>General</c:formatCode>
                <c:ptCount val="126"/>
                <c:pt idx="0">
                  <c:v>2.8</c:v>
                </c:pt>
                <c:pt idx="1">
                  <c:v>2.79</c:v>
                </c:pt>
                <c:pt idx="2">
                  <c:v>2.92</c:v>
                </c:pt>
                <c:pt idx="3">
                  <c:v>3.04</c:v>
                </c:pt>
                <c:pt idx="4">
                  <c:v>2.86</c:v>
                </c:pt>
                <c:pt idx="5">
                  <c:v>2.88</c:v>
                </c:pt>
                <c:pt idx="6">
                  <c:v>2.93</c:v>
                </c:pt>
                <c:pt idx="7">
                  <c:v>3.21</c:v>
                </c:pt>
                <c:pt idx="8">
                  <c:v>3.18</c:v>
                </c:pt>
                <c:pt idx="9">
                  <c:v>3.15</c:v>
                </c:pt>
                <c:pt idx="10">
                  <c:v>2.93</c:v>
                </c:pt>
                <c:pt idx="11">
                  <c:v>3.04</c:v>
                </c:pt>
                <c:pt idx="12">
                  <c:v>2.98</c:v>
                </c:pt>
                <c:pt idx="13">
                  <c:v>2.89</c:v>
                </c:pt>
                <c:pt idx="14">
                  <c:v>2.5299999999999998</c:v>
                </c:pt>
                <c:pt idx="15">
                  <c:v>2.31</c:v>
                </c:pt>
                <c:pt idx="16">
                  <c:v>2.08</c:v>
                </c:pt>
                <c:pt idx="17">
                  <c:v>2.25</c:v>
                </c:pt>
                <c:pt idx="18">
                  <c:v>2.39</c:v>
                </c:pt>
                <c:pt idx="19">
                  <c:v>2.3199999999999998</c:v>
                </c:pt>
                <c:pt idx="20">
                  <c:v>2.15</c:v>
                </c:pt>
                <c:pt idx="21">
                  <c:v>2.17</c:v>
                </c:pt>
                <c:pt idx="22">
                  <c:v>2.16</c:v>
                </c:pt>
                <c:pt idx="23">
                  <c:v>2</c:v>
                </c:pt>
                <c:pt idx="24">
                  <c:v>1.49</c:v>
                </c:pt>
                <c:pt idx="25">
                  <c:v>1.34</c:v>
                </c:pt>
                <c:pt idx="26">
                  <c:v>0.96</c:v>
                </c:pt>
                <c:pt idx="27">
                  <c:v>1.07</c:v>
                </c:pt>
                <c:pt idx="28">
                  <c:v>1.03</c:v>
                </c:pt>
                <c:pt idx="29">
                  <c:v>0.93</c:v>
                </c:pt>
                <c:pt idx="30">
                  <c:v>0.68</c:v>
                </c:pt>
                <c:pt idx="31">
                  <c:v>1.0900000000000001</c:v>
                </c:pt>
                <c:pt idx="32">
                  <c:v>1.7</c:v>
                </c:pt>
                <c:pt idx="33">
                  <c:v>1.19</c:v>
                </c:pt>
                <c:pt idx="34">
                  <c:v>0.73</c:v>
                </c:pt>
                <c:pt idx="35">
                  <c:v>0.74</c:v>
                </c:pt>
                <c:pt idx="36">
                  <c:v>0.48</c:v>
                </c:pt>
                <c:pt idx="37">
                  <c:v>0.43</c:v>
                </c:pt>
                <c:pt idx="38">
                  <c:v>0.44</c:v>
                </c:pt>
                <c:pt idx="39">
                  <c:v>0.31</c:v>
                </c:pt>
                <c:pt idx="40">
                  <c:v>0.33</c:v>
                </c:pt>
                <c:pt idx="41">
                  <c:v>0.35</c:v>
                </c:pt>
                <c:pt idx="42">
                  <c:v>0.35</c:v>
                </c:pt>
                <c:pt idx="43">
                  <c:v>0.37</c:v>
                </c:pt>
                <c:pt idx="44">
                  <c:v>0.39</c:v>
                </c:pt>
                <c:pt idx="45">
                  <c:v>0.56000000000000005</c:v>
                </c:pt>
                <c:pt idx="46">
                  <c:v>0.51</c:v>
                </c:pt>
                <c:pt idx="47">
                  <c:v>0.55000000000000004</c:v>
                </c:pt>
                <c:pt idx="48">
                  <c:v>0.47</c:v>
                </c:pt>
                <c:pt idx="49">
                  <c:v>0.39</c:v>
                </c:pt>
                <c:pt idx="50">
                  <c:v>0.37</c:v>
                </c:pt>
                <c:pt idx="51">
                  <c:v>0.42</c:v>
                </c:pt>
                <c:pt idx="52">
                  <c:v>0.34</c:v>
                </c:pt>
                <c:pt idx="53">
                  <c:v>0.37</c:v>
                </c:pt>
                <c:pt idx="54">
                  <c:v>0.35</c:v>
                </c:pt>
                <c:pt idx="55">
                  <c:v>0.33</c:v>
                </c:pt>
                <c:pt idx="56">
                  <c:v>0.34</c:v>
                </c:pt>
                <c:pt idx="57">
                  <c:v>0.41</c:v>
                </c:pt>
                <c:pt idx="58">
                  <c:v>0.4</c:v>
                </c:pt>
                <c:pt idx="59">
                  <c:v>0.42</c:v>
                </c:pt>
                <c:pt idx="60">
                  <c:v>0.4</c:v>
                </c:pt>
                <c:pt idx="61">
                  <c:v>0.4</c:v>
                </c:pt>
                <c:pt idx="62">
                  <c:v>0.35</c:v>
                </c:pt>
                <c:pt idx="63">
                  <c:v>0.44</c:v>
                </c:pt>
                <c:pt idx="64">
                  <c:v>0.42</c:v>
                </c:pt>
                <c:pt idx="65">
                  <c:v>0.41</c:v>
                </c:pt>
                <c:pt idx="66">
                  <c:v>0.28000000000000003</c:v>
                </c:pt>
                <c:pt idx="67">
                  <c:v>0.18</c:v>
                </c:pt>
                <c:pt idx="68">
                  <c:v>0.21</c:v>
                </c:pt>
                <c:pt idx="69">
                  <c:v>0.28999999999999998</c:v>
                </c:pt>
                <c:pt idx="70">
                  <c:v>0.31</c:v>
                </c:pt>
                <c:pt idx="71">
                  <c:v>0.37</c:v>
                </c:pt>
                <c:pt idx="72">
                  <c:v>0.34</c:v>
                </c:pt>
                <c:pt idx="73">
                  <c:v>0.34</c:v>
                </c:pt>
                <c:pt idx="74">
                  <c:v>0.32</c:v>
                </c:pt>
                <c:pt idx="75">
                  <c:v>0.26</c:v>
                </c:pt>
                <c:pt idx="76">
                  <c:v>0.28000000000000003</c:v>
                </c:pt>
                <c:pt idx="77">
                  <c:v>0.27</c:v>
                </c:pt>
                <c:pt idx="78">
                  <c:v>0.23</c:v>
                </c:pt>
                <c:pt idx="79">
                  <c:v>0.25</c:v>
                </c:pt>
                <c:pt idx="80">
                  <c:v>0.3</c:v>
                </c:pt>
                <c:pt idx="81">
                  <c:v>0.28000000000000003</c:v>
                </c:pt>
                <c:pt idx="82">
                  <c:v>0.27</c:v>
                </c:pt>
                <c:pt idx="83">
                  <c:v>0.27</c:v>
                </c:pt>
                <c:pt idx="84">
                  <c:v>0.27</c:v>
                </c:pt>
                <c:pt idx="85">
                  <c:v>0.26</c:v>
                </c:pt>
                <c:pt idx="86">
                  <c:v>0.27</c:v>
                </c:pt>
                <c:pt idx="87">
                  <c:v>0.26</c:v>
                </c:pt>
                <c:pt idx="88">
                  <c:v>0.27</c:v>
                </c:pt>
                <c:pt idx="89">
                  <c:v>0.28999999999999998</c:v>
                </c:pt>
                <c:pt idx="90">
                  <c:v>0.28000000000000003</c:v>
                </c:pt>
                <c:pt idx="91">
                  <c:v>0.28000000000000003</c:v>
                </c:pt>
                <c:pt idx="92">
                  <c:v>0.28999999999999998</c:v>
                </c:pt>
                <c:pt idx="93">
                  <c:v>0.28000000000000003</c:v>
                </c:pt>
                <c:pt idx="94">
                  <c:v>0.28000000000000003</c:v>
                </c:pt>
                <c:pt idx="95">
                  <c:v>0.3</c:v>
                </c:pt>
                <c:pt idx="96">
                  <c:v>0.34</c:v>
                </c:pt>
                <c:pt idx="97">
                  <c:v>0.31</c:v>
                </c:pt>
                <c:pt idx="98">
                  <c:v>0.34</c:v>
                </c:pt>
                <c:pt idx="99">
                  <c:v>0.35</c:v>
                </c:pt>
                <c:pt idx="100">
                  <c:v>0.34</c:v>
                </c:pt>
                <c:pt idx="101">
                  <c:v>0.34</c:v>
                </c:pt>
                <c:pt idx="102">
                  <c:v>0.34</c:v>
                </c:pt>
                <c:pt idx="103">
                  <c:v>0.34</c:v>
                </c:pt>
                <c:pt idx="104">
                  <c:v>0.35</c:v>
                </c:pt>
                <c:pt idx="105">
                  <c:v>0.38</c:v>
                </c:pt>
                <c:pt idx="106">
                  <c:v>0.41</c:v>
                </c:pt>
                <c:pt idx="107">
                  <c:v>0.72</c:v>
                </c:pt>
                <c:pt idx="108">
                  <c:v>0.73</c:v>
                </c:pt>
                <c:pt idx="109">
                  <c:v>0.82</c:v>
                </c:pt>
                <c:pt idx="110">
                  <c:v>1.06</c:v>
                </c:pt>
                <c:pt idx="111">
                  <c:v>1</c:v>
                </c:pt>
                <c:pt idx="112">
                  <c:v>0.97</c:v>
                </c:pt>
                <c:pt idx="113">
                  <c:v>0.96</c:v>
                </c:pt>
                <c:pt idx="114">
                  <c:v>0.94</c:v>
                </c:pt>
                <c:pt idx="115">
                  <c:v>0.99</c:v>
                </c:pt>
                <c:pt idx="116">
                  <c:v>1.34</c:v>
                </c:pt>
                <c:pt idx="117">
                  <c:v>1.29</c:v>
                </c:pt>
                <c:pt idx="118">
                  <c:v>1.1299999999999999</c:v>
                </c:pt>
                <c:pt idx="119">
                  <c:v>1.01</c:v>
                </c:pt>
                <c:pt idx="120">
                  <c:v>1.0900000000000001</c:v>
                </c:pt>
                <c:pt idx="121">
                  <c:v>1.05</c:v>
                </c:pt>
                <c:pt idx="122">
                  <c:v>0.95</c:v>
                </c:pt>
                <c:pt idx="123">
                  <c:v>0.99</c:v>
                </c:pt>
                <c:pt idx="124">
                  <c:v>0.91</c:v>
                </c:pt>
                <c:pt idx="125">
                  <c:v>0.88</c:v>
                </c:pt>
              </c:numCache>
            </c:numRef>
          </c:val>
          <c:smooth val="0"/>
          <c:extLst>
            <c:ext xmlns:c16="http://schemas.microsoft.com/office/drawing/2014/chart" uri="{C3380CC4-5D6E-409C-BE32-E72D297353CC}">
              <c16:uniqueId val="{00000002-A1BD-40E3-9664-4EF15BB7BCCF}"/>
            </c:ext>
          </c:extLst>
        </c:ser>
        <c:dLbls>
          <c:showLegendKey val="0"/>
          <c:showVal val="0"/>
          <c:showCatName val="0"/>
          <c:showSerName val="0"/>
          <c:showPercent val="0"/>
          <c:showBubbleSize val="0"/>
        </c:dLbls>
        <c:smooth val="0"/>
        <c:axId val="166096256"/>
        <c:axId val="181511680"/>
      </c:lineChart>
      <c:dateAx>
        <c:axId val="166096256"/>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11680"/>
        <c:crosses val="autoZero"/>
        <c:auto val="1"/>
        <c:lblOffset val="100"/>
        <c:baseTimeUnit val="months"/>
      </c:dateAx>
      <c:valAx>
        <c:axId val="181511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FE8A6-3DA1-4241-BCA2-3342DF6C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Pepers, Karen</cp:lastModifiedBy>
  <cp:revision>9</cp:revision>
  <cp:lastPrinted>2017-07-17T14:47:00Z</cp:lastPrinted>
  <dcterms:created xsi:type="dcterms:W3CDTF">2017-07-17T14:47:00Z</dcterms:created>
  <dcterms:modified xsi:type="dcterms:W3CDTF">2020-02-24T19:51:00Z</dcterms:modified>
</cp:coreProperties>
</file>