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3"/>
        <w:gridCol w:w="4599"/>
      </w:tblGrid>
      <w:tr w:rsidR="00B37BC5" w:rsidRPr="00A40BA4" w14:paraId="0F97CDD6" w14:textId="77777777" w:rsidTr="00B37BC5">
        <w:tc>
          <w:tcPr>
            <w:tcW w:w="4680" w:type="dxa"/>
          </w:tcPr>
          <w:p w14:paraId="19C50A30" w14:textId="77777777" w:rsidR="00B37BC5" w:rsidRPr="00A40BA4" w:rsidRDefault="00B37BC5" w:rsidP="003C0A88">
            <w:pPr>
              <w:tabs>
                <w:tab w:val="left" w:pos="-1440"/>
                <w:tab w:val="left" w:pos="-720"/>
                <w:tab w:val="left" w:pos="1"/>
              </w:tabs>
              <w:jc w:val="both"/>
              <w:rPr>
                <w:rFonts w:ascii="Arial" w:hAnsi="Arial"/>
                <w:b/>
                <w:sz w:val="24"/>
              </w:rPr>
            </w:pPr>
            <w:r w:rsidRPr="00A40BA4">
              <w:rPr>
                <w:rFonts w:ascii="Arial" w:hAnsi="Arial"/>
                <w:b/>
                <w:noProof/>
                <w:sz w:val="24"/>
                <w:lang w:val="en-GB" w:eastAsia="en-GB"/>
              </w:rPr>
              <w:drawing>
                <wp:inline distT="0" distB="0" distL="0" distR="0" wp14:anchorId="4DC05632" wp14:editId="66B792A1">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37248890" w14:textId="77777777" w:rsidR="00B37BC5" w:rsidRPr="00A40BA4" w:rsidRDefault="00B37BC5" w:rsidP="003C0A88">
            <w:pPr>
              <w:tabs>
                <w:tab w:val="left" w:pos="-1440"/>
                <w:tab w:val="left" w:pos="-720"/>
                <w:tab w:val="left" w:pos="1"/>
              </w:tabs>
              <w:jc w:val="right"/>
              <w:rPr>
                <w:rFonts w:ascii="Arial" w:hAnsi="Arial"/>
                <w:b/>
                <w:sz w:val="24"/>
              </w:rPr>
            </w:pPr>
            <w:r w:rsidRPr="00A40BA4">
              <w:rPr>
                <w:rFonts w:ascii="IveyVHWLogos" w:eastAsia="SimSun" w:hAnsi="IveyVHWLogos"/>
                <w:noProof/>
                <w:sz w:val="44"/>
                <w:szCs w:val="44"/>
                <w:lang w:val="en-GB" w:eastAsia="en-GB"/>
              </w:rPr>
              <w:drawing>
                <wp:inline distT="0" distB="0" distL="0" distR="0" wp14:anchorId="2B811BDB" wp14:editId="13167395">
                  <wp:extent cx="1328580" cy="548640"/>
                  <wp:effectExtent l="0" t="0" r="5080" b="3810"/>
                  <wp:docPr id="4" name="Picture 4" descr="ISB_Logo_B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SB_Logo_BW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8580" cy="548640"/>
                          </a:xfrm>
                          <a:prstGeom prst="rect">
                            <a:avLst/>
                          </a:prstGeom>
                          <a:noFill/>
                          <a:ln>
                            <a:noFill/>
                          </a:ln>
                        </pic:spPr>
                      </pic:pic>
                    </a:graphicData>
                  </a:graphic>
                </wp:inline>
              </w:drawing>
            </w:r>
          </w:p>
        </w:tc>
      </w:tr>
    </w:tbl>
    <w:p w14:paraId="4C80228F" w14:textId="77777777" w:rsidR="00856D9F" w:rsidRPr="001F64CE" w:rsidRDefault="00856D9F" w:rsidP="003C0A88">
      <w:pPr>
        <w:pBdr>
          <w:bottom w:val="single" w:sz="18" w:space="1" w:color="auto"/>
        </w:pBdr>
        <w:tabs>
          <w:tab w:val="left" w:pos="-1440"/>
          <w:tab w:val="left" w:pos="-720"/>
          <w:tab w:val="left" w:pos="1"/>
        </w:tabs>
        <w:jc w:val="both"/>
        <w:rPr>
          <w:rFonts w:ascii="Arial" w:hAnsi="Arial"/>
          <w:b/>
          <w:sz w:val="24"/>
          <w:lang w:val="en-GB"/>
        </w:rPr>
      </w:pPr>
    </w:p>
    <w:p w14:paraId="6ABA992B" w14:textId="3BECC1F0" w:rsidR="00D75295" w:rsidRPr="001F64CE" w:rsidRDefault="00D704A9" w:rsidP="003C0A88">
      <w:pPr>
        <w:pStyle w:val="ProductNumber"/>
        <w:rPr>
          <w:lang w:val="en-GB"/>
        </w:rPr>
      </w:pPr>
      <w:r>
        <w:rPr>
          <w:lang w:val="en-GB"/>
        </w:rPr>
        <w:t>9B17N014</w:t>
      </w:r>
    </w:p>
    <w:p w14:paraId="139302EE" w14:textId="6813E9E5" w:rsidR="00D75295" w:rsidRPr="001F64CE" w:rsidRDefault="00D75295" w:rsidP="003C0A88">
      <w:pPr>
        <w:tabs>
          <w:tab w:val="left" w:pos="5678"/>
        </w:tabs>
        <w:rPr>
          <w:rFonts w:ascii="Arial" w:hAnsi="Arial"/>
          <w:b/>
          <w:sz w:val="28"/>
          <w:szCs w:val="28"/>
          <w:lang w:val="en-GB"/>
        </w:rPr>
      </w:pPr>
    </w:p>
    <w:p w14:paraId="09E4250E" w14:textId="77777777" w:rsidR="00866F6D" w:rsidRPr="001F64CE" w:rsidRDefault="00866F6D" w:rsidP="003C0A88">
      <w:pPr>
        <w:jc w:val="right"/>
        <w:rPr>
          <w:rFonts w:ascii="Arial" w:hAnsi="Arial"/>
          <w:b/>
          <w:sz w:val="28"/>
          <w:szCs w:val="28"/>
          <w:lang w:val="en-GB"/>
        </w:rPr>
      </w:pPr>
    </w:p>
    <w:p w14:paraId="106E2D3B" w14:textId="2705838C" w:rsidR="00A47140" w:rsidRPr="001F64CE" w:rsidRDefault="008B0D5A" w:rsidP="003C0A88">
      <w:pPr>
        <w:pStyle w:val="CaseTitle"/>
        <w:spacing w:after="0" w:line="240" w:lineRule="auto"/>
        <w:rPr>
          <w:lang w:val="en-GB"/>
        </w:rPr>
      </w:pPr>
      <w:r>
        <w:rPr>
          <w:lang w:val="en-GB"/>
        </w:rPr>
        <w:t xml:space="preserve">Maruti Suzuki: </w:t>
      </w:r>
      <w:r w:rsidR="00DE7981" w:rsidRPr="001F64CE">
        <w:rPr>
          <w:lang w:val="en-GB"/>
        </w:rPr>
        <w:t>good company or good stock dilemma (a)</w:t>
      </w:r>
      <w:r w:rsidR="00A47140">
        <w:rPr>
          <w:rStyle w:val="EndnoteReference"/>
          <w:lang w:val="en-GB"/>
        </w:rPr>
        <w:endnoteReference w:id="1"/>
      </w:r>
    </w:p>
    <w:p w14:paraId="6DC9EB2D" w14:textId="77777777" w:rsidR="00013360" w:rsidRPr="001F64CE" w:rsidRDefault="00013360" w:rsidP="003C0A88">
      <w:pPr>
        <w:pStyle w:val="CaseTitle"/>
        <w:spacing w:after="0" w:line="240" w:lineRule="auto"/>
        <w:rPr>
          <w:sz w:val="20"/>
          <w:szCs w:val="20"/>
          <w:lang w:val="en-GB"/>
        </w:rPr>
      </w:pPr>
    </w:p>
    <w:p w14:paraId="765006C5" w14:textId="77777777" w:rsidR="00CA3976" w:rsidRPr="001F64CE" w:rsidRDefault="00CA3976" w:rsidP="003C0A88">
      <w:pPr>
        <w:pStyle w:val="CaseTitle"/>
        <w:spacing w:after="0" w:line="240" w:lineRule="auto"/>
        <w:rPr>
          <w:sz w:val="20"/>
          <w:szCs w:val="20"/>
          <w:lang w:val="en-GB"/>
        </w:rPr>
      </w:pPr>
    </w:p>
    <w:p w14:paraId="7720A348" w14:textId="77777777" w:rsidR="00013360" w:rsidRPr="001F64CE" w:rsidRDefault="00013360" w:rsidP="003C0A88">
      <w:pPr>
        <w:pStyle w:val="CaseTitle"/>
        <w:spacing w:after="0" w:line="240" w:lineRule="auto"/>
        <w:rPr>
          <w:sz w:val="20"/>
          <w:szCs w:val="20"/>
          <w:lang w:val="en-GB"/>
        </w:rPr>
      </w:pPr>
    </w:p>
    <w:p w14:paraId="3A24FAC4" w14:textId="77777777" w:rsidR="00013360" w:rsidRPr="001F64CE" w:rsidRDefault="00DE7981" w:rsidP="003C0A88">
      <w:pPr>
        <w:pStyle w:val="StyleCopyrightStatementAfter0ptBottomSinglesolidline1"/>
        <w:rPr>
          <w:lang w:val="en-GB"/>
        </w:rPr>
      </w:pPr>
      <w:r w:rsidRPr="001F64CE">
        <w:rPr>
          <w:lang w:val="en-GB"/>
        </w:rPr>
        <w:t>Pitabas Mohanty and Supriti Mishra</w:t>
      </w:r>
      <w:r w:rsidR="007E5921" w:rsidRPr="001F64CE">
        <w:rPr>
          <w:lang w:val="en-GB"/>
        </w:rPr>
        <w:t xml:space="preserve"> wrote this case sol</w:t>
      </w:r>
      <w:r w:rsidR="00D75295" w:rsidRPr="001F64CE">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37B5038D" w14:textId="77777777" w:rsidR="00013360" w:rsidRPr="001F64CE" w:rsidRDefault="00013360" w:rsidP="003C0A88">
      <w:pPr>
        <w:pStyle w:val="StyleCopyrightStatementAfter0ptBottomSinglesolidline1"/>
        <w:rPr>
          <w:lang w:val="en-GB"/>
        </w:rPr>
      </w:pPr>
    </w:p>
    <w:p w14:paraId="18F6994B" w14:textId="77777777" w:rsidR="00E04A7C" w:rsidRPr="00E23AB7" w:rsidRDefault="00E04A7C" w:rsidP="003C0A88">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14:paraId="47639023" w14:textId="77777777" w:rsidR="00E04A7C" w:rsidRPr="00E23AB7" w:rsidRDefault="00E04A7C" w:rsidP="003C0A88">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2215FCE0" w14:textId="57629D5F" w:rsidR="003B7EF2" w:rsidRPr="001F64CE" w:rsidRDefault="00403051" w:rsidP="006C6C2A">
      <w:pPr>
        <w:pStyle w:val="StyleStyleCopyrightStatementAfter0ptBottomSinglesolid"/>
        <w:pBdr>
          <w:bottom w:val="single" w:sz="8" w:space="1" w:color="auto"/>
        </w:pBdr>
        <w:rPr>
          <w:lang w:val="en-GB"/>
        </w:rPr>
      </w:pPr>
      <w:r>
        <w:rPr>
          <w:lang w:val="en-GB"/>
        </w:rPr>
        <w:t xml:space="preserve">Copyright </w:t>
      </w:r>
      <w:r w:rsidRPr="00E23AB7">
        <w:rPr>
          <w:rFonts w:cs="Arial"/>
          <w:szCs w:val="16"/>
        </w:rPr>
        <w:t xml:space="preserve">© </w:t>
      </w:r>
      <w:r>
        <w:rPr>
          <w:lang w:val="en-GB"/>
        </w:rPr>
        <w:t>2017, Richard Ivey School of Business Foundation</w:t>
      </w:r>
      <w:r>
        <w:rPr>
          <w:lang w:val="en-GB"/>
        </w:rPr>
        <w:tab/>
        <w:t>Vers</w:t>
      </w:r>
      <w:r w:rsidR="00B848C2">
        <w:rPr>
          <w:lang w:val="en-GB"/>
        </w:rPr>
        <w:t>ion: 2017-07</w:t>
      </w:r>
      <w:r w:rsidR="00014C38">
        <w:rPr>
          <w:lang w:val="en-GB"/>
        </w:rPr>
        <w:t>-31</w:t>
      </w:r>
    </w:p>
    <w:p w14:paraId="4092EE00" w14:textId="77777777" w:rsidR="003B7EF2" w:rsidRPr="001F64CE" w:rsidRDefault="003B7EF2" w:rsidP="003C0A88">
      <w:pPr>
        <w:pStyle w:val="BodyTextMain"/>
        <w:rPr>
          <w:sz w:val="20"/>
          <w:szCs w:val="20"/>
          <w:lang w:val="en-GB"/>
        </w:rPr>
      </w:pPr>
    </w:p>
    <w:p w14:paraId="5FC13A8F" w14:textId="77777777" w:rsidR="006F08DD" w:rsidRPr="001F64CE" w:rsidRDefault="006F08DD" w:rsidP="003C0A88">
      <w:pPr>
        <w:pStyle w:val="BodyTextMain"/>
        <w:rPr>
          <w:lang w:val="en-GB"/>
        </w:rPr>
      </w:pPr>
    </w:p>
    <w:p w14:paraId="12F06182" w14:textId="56816B14" w:rsidR="00DE7981" w:rsidRPr="001F64CE" w:rsidRDefault="00DE7981" w:rsidP="003C0A88">
      <w:pPr>
        <w:pStyle w:val="BodyTextMain"/>
        <w:rPr>
          <w:rFonts w:eastAsia="Batang"/>
          <w:lang w:val="en-GB"/>
        </w:rPr>
      </w:pPr>
      <w:r w:rsidRPr="001F64CE">
        <w:rPr>
          <w:rFonts w:eastAsia="Batang"/>
          <w:lang w:val="en-GB"/>
        </w:rPr>
        <w:t xml:space="preserve">On January 28, 2014, when Maruti Suzuki India Limited (MSIL) announced its intention to start its proposed new plant in Gujarat as a 100 per cent subsidiary of Suzuki Motor Corporation (SMC), MSIL’s stock price fell by 8 per cent to </w:t>
      </w:r>
      <w:r w:rsidRPr="00F23375">
        <w:rPr>
          <w:rFonts w:ascii="Arial" w:hAnsi="Arial" w:cs="Arial"/>
          <w:sz w:val="20"/>
          <w:szCs w:val="20"/>
          <w:shd w:val="clear" w:color="auto" w:fill="FFFFFF"/>
          <w:lang w:val="en-GB"/>
        </w:rPr>
        <w:t>₹</w:t>
      </w:r>
      <w:r w:rsidRPr="001F64CE">
        <w:rPr>
          <w:rFonts w:eastAsia="Batang"/>
          <w:lang w:val="en-GB"/>
        </w:rPr>
        <w:t>1,563.2</w:t>
      </w:r>
      <w:r w:rsidR="008058B7" w:rsidRPr="001F64CE">
        <w:rPr>
          <w:rFonts w:eastAsia="Batang"/>
          <w:lang w:val="en-GB"/>
        </w:rPr>
        <w:t>.</w:t>
      </w:r>
      <w:r w:rsidRPr="001F64CE">
        <w:rPr>
          <w:rStyle w:val="EndnoteReference"/>
          <w:rFonts w:eastAsia="Batang"/>
          <w:lang w:val="en-GB"/>
        </w:rPr>
        <w:endnoteReference w:id="2"/>
      </w:r>
      <w:r w:rsidRPr="001F64CE">
        <w:rPr>
          <w:rFonts w:eastAsia="Batang"/>
          <w:lang w:val="en-GB"/>
        </w:rPr>
        <w:t xml:space="preserve"> Since MSIL had </w:t>
      </w:r>
      <w:r w:rsidRPr="00F23375">
        <w:rPr>
          <w:rFonts w:ascii="Arial" w:hAnsi="Arial" w:cs="Arial"/>
          <w:sz w:val="20"/>
          <w:szCs w:val="20"/>
          <w:shd w:val="clear" w:color="auto" w:fill="FFFFFF"/>
          <w:lang w:val="en-GB"/>
        </w:rPr>
        <w:t>₹</w:t>
      </w:r>
      <w:r w:rsidRPr="001F64CE">
        <w:rPr>
          <w:rFonts w:eastAsia="Batang"/>
          <w:lang w:val="en-GB"/>
        </w:rPr>
        <w:t xml:space="preserve">75 billion </w:t>
      </w:r>
      <w:r w:rsidR="008058B7" w:rsidRPr="001F64CE">
        <w:rPr>
          <w:rFonts w:eastAsia="Batang"/>
          <w:lang w:val="en-GB"/>
        </w:rPr>
        <w:t xml:space="preserve">in </w:t>
      </w:r>
      <w:r w:rsidRPr="001F64CE">
        <w:rPr>
          <w:rFonts w:eastAsia="Batang"/>
          <w:lang w:val="en-GB"/>
        </w:rPr>
        <w:t>surplus cash, many expected it to invest this cash in the new project, which required an initial cap</w:t>
      </w:r>
      <w:r w:rsidR="008058B7" w:rsidRPr="001F64CE">
        <w:rPr>
          <w:rFonts w:eastAsia="Batang"/>
          <w:lang w:val="en-GB"/>
        </w:rPr>
        <w:t xml:space="preserve">ital </w:t>
      </w:r>
      <w:r w:rsidRPr="001F64CE">
        <w:rPr>
          <w:rFonts w:eastAsia="Batang"/>
          <w:lang w:val="en-GB"/>
        </w:rPr>
        <w:t>ex</w:t>
      </w:r>
      <w:r w:rsidR="008058B7" w:rsidRPr="001F64CE">
        <w:rPr>
          <w:rFonts w:eastAsia="Batang"/>
          <w:lang w:val="en-GB"/>
        </w:rPr>
        <w:t>penditure</w:t>
      </w:r>
      <w:r w:rsidRPr="001F64CE">
        <w:rPr>
          <w:rFonts w:eastAsia="Batang"/>
          <w:lang w:val="en-GB"/>
        </w:rPr>
        <w:t xml:space="preserve"> </w:t>
      </w:r>
      <w:r w:rsidR="00607683" w:rsidRPr="001F64CE">
        <w:rPr>
          <w:rFonts w:eastAsia="Batang"/>
          <w:lang w:val="en-GB"/>
        </w:rPr>
        <w:t xml:space="preserve">(CAPEX) </w:t>
      </w:r>
      <w:r w:rsidRPr="001F64CE">
        <w:rPr>
          <w:rFonts w:eastAsia="Batang"/>
          <w:lang w:val="en-GB"/>
        </w:rPr>
        <w:t xml:space="preserve">of only </w:t>
      </w:r>
      <w:r w:rsidRPr="00F23375">
        <w:rPr>
          <w:rFonts w:ascii="Arial" w:hAnsi="Arial" w:cs="Arial"/>
          <w:sz w:val="20"/>
          <w:szCs w:val="20"/>
          <w:shd w:val="clear" w:color="auto" w:fill="FFFFFF"/>
          <w:lang w:val="en-GB"/>
        </w:rPr>
        <w:t>₹</w:t>
      </w:r>
      <w:r w:rsidR="00811678" w:rsidRPr="001F64CE">
        <w:rPr>
          <w:rFonts w:eastAsia="Batang"/>
          <w:lang w:val="en-GB"/>
        </w:rPr>
        <w:t>30</w:t>
      </w:r>
      <w:r w:rsidR="00811678">
        <w:rPr>
          <w:rFonts w:eastAsia="Batang"/>
          <w:lang w:val="en-GB"/>
        </w:rPr>
        <w:t> </w:t>
      </w:r>
      <w:r w:rsidRPr="001F64CE">
        <w:rPr>
          <w:rFonts w:eastAsia="Batang"/>
          <w:lang w:val="en-GB"/>
        </w:rPr>
        <w:t xml:space="preserve">billion. Many investors did not like MSIL allowing its parent company to set up this project and accused </w:t>
      </w:r>
      <w:r w:rsidR="00BC2756" w:rsidRPr="001F64CE">
        <w:rPr>
          <w:rFonts w:eastAsia="Batang"/>
          <w:lang w:val="en-GB"/>
        </w:rPr>
        <w:t xml:space="preserve">the company’s </w:t>
      </w:r>
      <w:r w:rsidRPr="001F64CE">
        <w:rPr>
          <w:rFonts w:eastAsia="Batang"/>
          <w:lang w:val="en-GB"/>
        </w:rPr>
        <w:t>management of corporate misgovernance</w:t>
      </w:r>
      <w:r w:rsidR="008058B7" w:rsidRPr="001F64CE">
        <w:rPr>
          <w:rFonts w:eastAsia="Batang"/>
          <w:lang w:val="en-GB"/>
        </w:rPr>
        <w:t>.</w:t>
      </w:r>
      <w:r w:rsidRPr="001F64CE">
        <w:rPr>
          <w:rStyle w:val="EndnoteReference"/>
          <w:rFonts w:eastAsia="Batang"/>
          <w:lang w:val="en-GB"/>
        </w:rPr>
        <w:endnoteReference w:id="3"/>
      </w:r>
      <w:r w:rsidRPr="001F64CE">
        <w:rPr>
          <w:rFonts w:eastAsia="Batang"/>
          <w:lang w:val="en-GB"/>
        </w:rPr>
        <w:t xml:space="preserve"> </w:t>
      </w:r>
    </w:p>
    <w:p w14:paraId="2AD97EBC" w14:textId="77777777" w:rsidR="00DE7981" w:rsidRPr="001F64CE" w:rsidRDefault="00DE7981" w:rsidP="003C0A88">
      <w:pPr>
        <w:pStyle w:val="BodyTextMain"/>
        <w:rPr>
          <w:lang w:val="en-GB"/>
        </w:rPr>
      </w:pPr>
    </w:p>
    <w:p w14:paraId="74DFC936" w14:textId="7D716C20" w:rsidR="00DE7981" w:rsidRPr="001F64CE" w:rsidRDefault="00BC2756" w:rsidP="003C0A88">
      <w:pPr>
        <w:pStyle w:val="BodyTextMain"/>
        <w:rPr>
          <w:lang w:val="en-GB"/>
        </w:rPr>
      </w:pPr>
      <w:r w:rsidRPr="001F64CE">
        <w:rPr>
          <w:lang w:val="en-GB"/>
        </w:rPr>
        <w:t>At the same time,</w:t>
      </w:r>
      <w:r w:rsidR="00DE7981" w:rsidRPr="001F64CE">
        <w:rPr>
          <w:lang w:val="en-GB"/>
        </w:rPr>
        <w:t xml:space="preserve"> MSIL </w:t>
      </w:r>
      <w:r w:rsidRPr="001F64CE">
        <w:rPr>
          <w:lang w:val="en-GB"/>
        </w:rPr>
        <w:t xml:space="preserve">announced </w:t>
      </w:r>
      <w:r w:rsidR="00DE7981" w:rsidRPr="001F64CE">
        <w:rPr>
          <w:lang w:val="en-GB"/>
        </w:rPr>
        <w:t xml:space="preserve">its </w:t>
      </w:r>
      <w:r w:rsidRPr="001F64CE">
        <w:rPr>
          <w:lang w:val="en-GB"/>
        </w:rPr>
        <w:t>third-</w:t>
      </w:r>
      <w:r w:rsidR="00DE7981" w:rsidRPr="001F64CE">
        <w:rPr>
          <w:lang w:val="en-GB"/>
        </w:rPr>
        <w:t>quarter results for fiscal year (FY) 2014</w:t>
      </w:r>
      <w:r w:rsidRPr="001F64CE">
        <w:rPr>
          <w:lang w:val="en-GB"/>
        </w:rPr>
        <w:t>. T</w:t>
      </w:r>
      <w:r w:rsidR="00DE7981" w:rsidRPr="001F64CE">
        <w:rPr>
          <w:lang w:val="en-GB"/>
        </w:rPr>
        <w:t xml:space="preserve">he company </w:t>
      </w:r>
      <w:r w:rsidRPr="001F64CE">
        <w:rPr>
          <w:lang w:val="en-GB"/>
        </w:rPr>
        <w:t xml:space="preserve">had </w:t>
      </w:r>
      <w:r w:rsidR="00DE7981" w:rsidRPr="001F64CE">
        <w:rPr>
          <w:lang w:val="en-GB"/>
        </w:rPr>
        <w:t xml:space="preserve">managed to beat </w:t>
      </w:r>
      <w:r w:rsidR="00014C38">
        <w:rPr>
          <w:lang w:val="en-GB"/>
        </w:rPr>
        <w:t xml:space="preserve">the </w:t>
      </w:r>
      <w:r w:rsidR="00DE7981" w:rsidRPr="001F64CE">
        <w:rPr>
          <w:lang w:val="en-GB"/>
        </w:rPr>
        <w:t>estimates</w:t>
      </w:r>
      <w:r w:rsidRPr="001F64CE">
        <w:rPr>
          <w:lang w:val="en-GB"/>
        </w:rPr>
        <w:t xml:space="preserve">; it </w:t>
      </w:r>
      <w:r w:rsidR="00DE7981" w:rsidRPr="001F64CE">
        <w:rPr>
          <w:lang w:val="en-GB"/>
        </w:rPr>
        <w:t>report</w:t>
      </w:r>
      <w:r w:rsidRPr="001F64CE">
        <w:rPr>
          <w:lang w:val="en-GB"/>
        </w:rPr>
        <w:t>ed</w:t>
      </w:r>
      <w:r w:rsidR="00DE7981" w:rsidRPr="001F64CE">
        <w:rPr>
          <w:lang w:val="en-GB"/>
        </w:rPr>
        <w:t xml:space="preserve"> </w:t>
      </w:r>
      <w:r w:rsidR="001F2A89" w:rsidRPr="001F64CE">
        <w:rPr>
          <w:lang w:val="en-GB"/>
        </w:rPr>
        <w:t>better-than-</w:t>
      </w:r>
      <w:r w:rsidR="00DE7981" w:rsidRPr="001F64CE">
        <w:rPr>
          <w:lang w:val="en-GB"/>
        </w:rPr>
        <w:t>expected results mainly due to cost reduction</w:t>
      </w:r>
      <w:r w:rsidRPr="001F64CE">
        <w:rPr>
          <w:lang w:val="en-GB"/>
        </w:rPr>
        <w:t>s</w:t>
      </w:r>
      <w:r w:rsidR="00DE7981" w:rsidRPr="001F64CE">
        <w:rPr>
          <w:lang w:val="en-GB"/>
        </w:rPr>
        <w:t xml:space="preserve"> and </w:t>
      </w:r>
      <w:r w:rsidRPr="001F64CE">
        <w:rPr>
          <w:lang w:val="en-GB"/>
        </w:rPr>
        <w:t xml:space="preserve">a </w:t>
      </w:r>
      <w:r w:rsidR="00DE7981" w:rsidRPr="001F64CE">
        <w:rPr>
          <w:lang w:val="en-GB"/>
        </w:rPr>
        <w:t>favo</w:t>
      </w:r>
      <w:r w:rsidRPr="001F64CE">
        <w:rPr>
          <w:lang w:val="en-GB"/>
        </w:rPr>
        <w:t>u</w:t>
      </w:r>
      <w:r w:rsidR="00DE7981" w:rsidRPr="001F64CE">
        <w:rPr>
          <w:lang w:val="en-GB"/>
        </w:rPr>
        <w:t xml:space="preserve">rable </w:t>
      </w:r>
      <w:r w:rsidRPr="001F64CE">
        <w:rPr>
          <w:lang w:val="en-GB"/>
        </w:rPr>
        <w:t>exchange rate between the</w:t>
      </w:r>
      <w:r w:rsidR="00DE7981" w:rsidRPr="001F64CE">
        <w:rPr>
          <w:lang w:val="en-GB"/>
        </w:rPr>
        <w:t xml:space="preserve"> Indian rupee </w:t>
      </w:r>
      <w:r w:rsidRPr="001F64CE">
        <w:rPr>
          <w:lang w:val="en-GB"/>
        </w:rPr>
        <w:t xml:space="preserve">and the </w:t>
      </w:r>
      <w:r w:rsidR="00DE7981" w:rsidRPr="001F64CE">
        <w:rPr>
          <w:lang w:val="en-GB"/>
        </w:rPr>
        <w:t>Japanese yen.</w:t>
      </w:r>
      <w:r w:rsidR="00014C38">
        <w:rPr>
          <w:rStyle w:val="EndnoteReference"/>
          <w:lang w:val="en-GB"/>
        </w:rPr>
        <w:endnoteReference w:id="4"/>
      </w:r>
      <w:r w:rsidR="00DE7981" w:rsidRPr="001F64CE">
        <w:rPr>
          <w:lang w:val="en-GB"/>
        </w:rPr>
        <w:t xml:space="preserve"> MSIL also showcased </w:t>
      </w:r>
      <w:r w:rsidRPr="001F64CE">
        <w:rPr>
          <w:lang w:val="en-GB"/>
        </w:rPr>
        <w:t xml:space="preserve">two cars </w:t>
      </w:r>
      <w:r w:rsidR="000927A0">
        <w:rPr>
          <w:lang w:val="en-GB"/>
        </w:rPr>
        <w:t>at</w:t>
      </w:r>
      <w:r w:rsidRPr="001F64CE">
        <w:rPr>
          <w:lang w:val="en-GB"/>
        </w:rPr>
        <w:t xml:space="preserve"> the India Auto Expo in February 2014: the compact</w:t>
      </w:r>
      <w:r w:rsidR="00DE7981" w:rsidRPr="001F64CE">
        <w:rPr>
          <w:lang w:val="en-GB"/>
        </w:rPr>
        <w:t xml:space="preserve"> Celerio, </w:t>
      </w:r>
      <w:r w:rsidRPr="001F64CE">
        <w:rPr>
          <w:lang w:val="en-GB"/>
        </w:rPr>
        <w:t xml:space="preserve">which was </w:t>
      </w:r>
      <w:r w:rsidR="00DE7981" w:rsidRPr="001F64CE">
        <w:rPr>
          <w:lang w:val="en-GB"/>
        </w:rPr>
        <w:t xml:space="preserve">based on </w:t>
      </w:r>
      <w:r w:rsidRPr="001F64CE">
        <w:rPr>
          <w:lang w:val="en-GB"/>
        </w:rPr>
        <w:t xml:space="preserve">automated manual transmission </w:t>
      </w:r>
      <w:r w:rsidR="00DE7981" w:rsidRPr="001F64CE">
        <w:rPr>
          <w:lang w:val="en-GB"/>
        </w:rPr>
        <w:t xml:space="preserve">(AMT) technology, and </w:t>
      </w:r>
      <w:r w:rsidRPr="001F64CE">
        <w:rPr>
          <w:lang w:val="en-GB"/>
        </w:rPr>
        <w:t xml:space="preserve">the mid-sized </w:t>
      </w:r>
      <w:r w:rsidR="00DE7981" w:rsidRPr="001F64CE">
        <w:rPr>
          <w:lang w:val="en-GB"/>
        </w:rPr>
        <w:t xml:space="preserve">Ciaz. Since </w:t>
      </w:r>
      <w:r w:rsidRPr="001F64CE">
        <w:rPr>
          <w:lang w:val="en-GB"/>
        </w:rPr>
        <w:t xml:space="preserve">none of </w:t>
      </w:r>
      <w:r w:rsidR="00DE7981" w:rsidRPr="001F64CE">
        <w:rPr>
          <w:lang w:val="en-GB"/>
        </w:rPr>
        <w:t xml:space="preserve">the competitors </w:t>
      </w:r>
      <w:r w:rsidRPr="001F64CE">
        <w:rPr>
          <w:lang w:val="en-GB"/>
        </w:rPr>
        <w:t>had</w:t>
      </w:r>
      <w:r w:rsidR="00DE7981" w:rsidRPr="001F64CE">
        <w:rPr>
          <w:lang w:val="en-GB"/>
        </w:rPr>
        <w:t xml:space="preserve"> a car to match Celerio, analysts expected MSIL to increase its market share in the coming year</w:t>
      </w:r>
      <w:r w:rsidRPr="001F64CE">
        <w:rPr>
          <w:lang w:val="en-GB"/>
        </w:rPr>
        <w:t>.</w:t>
      </w:r>
      <w:r w:rsidR="00DE7981" w:rsidRPr="001F64CE">
        <w:rPr>
          <w:rStyle w:val="EndnoteReference"/>
          <w:lang w:val="en-GB"/>
        </w:rPr>
        <w:endnoteReference w:id="5"/>
      </w:r>
    </w:p>
    <w:p w14:paraId="4837116E" w14:textId="77777777" w:rsidR="00DE7981" w:rsidRPr="001F64CE" w:rsidRDefault="00DE7981" w:rsidP="003C0A88">
      <w:pPr>
        <w:pStyle w:val="BodyTextMain"/>
        <w:rPr>
          <w:rFonts w:eastAsia="Batang"/>
          <w:lang w:val="en-GB"/>
        </w:rPr>
      </w:pPr>
    </w:p>
    <w:p w14:paraId="03A489B3" w14:textId="6204151F" w:rsidR="00DE7981" w:rsidRPr="001F64CE" w:rsidRDefault="00DE7981" w:rsidP="003C0A88">
      <w:pPr>
        <w:pStyle w:val="BodyTextMain"/>
        <w:rPr>
          <w:rFonts w:eastAsia="Batang"/>
          <w:lang w:val="en-GB"/>
        </w:rPr>
      </w:pPr>
      <w:r w:rsidRPr="001F64CE">
        <w:rPr>
          <w:rFonts w:eastAsia="Batang"/>
          <w:lang w:val="en-GB"/>
        </w:rPr>
        <w:t xml:space="preserve">Though the price of </w:t>
      </w:r>
      <w:r w:rsidR="00BC2756" w:rsidRPr="001F64CE">
        <w:rPr>
          <w:rFonts w:eastAsia="Batang"/>
          <w:lang w:val="en-GB"/>
        </w:rPr>
        <w:t xml:space="preserve">MSIL’s </w:t>
      </w:r>
      <w:r w:rsidRPr="001F64CE">
        <w:rPr>
          <w:rFonts w:eastAsia="Batang"/>
          <w:lang w:val="en-GB"/>
        </w:rPr>
        <w:t xml:space="preserve">stock </w:t>
      </w:r>
      <w:r w:rsidR="00BC2756" w:rsidRPr="001F64CE">
        <w:rPr>
          <w:rFonts w:eastAsia="Batang"/>
          <w:lang w:val="en-GB"/>
        </w:rPr>
        <w:t xml:space="preserve">had </w:t>
      </w:r>
      <w:r w:rsidRPr="001F64CE">
        <w:rPr>
          <w:rFonts w:eastAsia="Batang"/>
          <w:lang w:val="en-GB"/>
        </w:rPr>
        <w:t xml:space="preserve">declined, institutional investors were clearly divided on whether to remain invested because of </w:t>
      </w:r>
      <w:r w:rsidR="00BC2756" w:rsidRPr="001F64CE">
        <w:rPr>
          <w:rFonts w:eastAsia="Batang"/>
          <w:lang w:val="en-GB"/>
        </w:rPr>
        <w:t xml:space="preserve">MSIL’s </w:t>
      </w:r>
      <w:r w:rsidRPr="001F64CE">
        <w:rPr>
          <w:rFonts w:eastAsia="Batang"/>
          <w:lang w:val="en-GB"/>
        </w:rPr>
        <w:t xml:space="preserve">good financial performance or to sell </w:t>
      </w:r>
      <w:r w:rsidR="00BC2756" w:rsidRPr="001F64CE">
        <w:rPr>
          <w:rFonts w:eastAsia="Batang"/>
          <w:lang w:val="en-GB"/>
        </w:rPr>
        <w:t xml:space="preserve">their </w:t>
      </w:r>
      <w:r w:rsidRPr="001F64CE">
        <w:rPr>
          <w:rFonts w:eastAsia="Batang"/>
          <w:lang w:val="en-GB"/>
        </w:rPr>
        <w:t xml:space="preserve">shares because of </w:t>
      </w:r>
      <w:r w:rsidR="00BC2756" w:rsidRPr="001F64CE">
        <w:rPr>
          <w:rFonts w:eastAsia="Batang"/>
          <w:lang w:val="en-GB"/>
        </w:rPr>
        <w:t xml:space="preserve">the company’s </w:t>
      </w:r>
      <w:r w:rsidRPr="001F64CE">
        <w:rPr>
          <w:rFonts w:eastAsia="Batang"/>
          <w:lang w:val="en-GB"/>
        </w:rPr>
        <w:t>poor governance practice</w:t>
      </w:r>
      <w:r w:rsidR="00BC2756" w:rsidRPr="001F64CE">
        <w:rPr>
          <w:rFonts w:eastAsia="Batang"/>
          <w:lang w:val="en-GB"/>
        </w:rPr>
        <w:t>s</w:t>
      </w:r>
      <w:r w:rsidRPr="001F64CE">
        <w:rPr>
          <w:rFonts w:eastAsia="Batang"/>
          <w:lang w:val="en-GB"/>
        </w:rPr>
        <w:t xml:space="preserve">. Seven fund managers met the top management of MSIL to express their unhappiness over </w:t>
      </w:r>
      <w:r w:rsidR="00BC2756" w:rsidRPr="001F64CE">
        <w:rPr>
          <w:rFonts w:eastAsia="Batang"/>
          <w:lang w:val="en-GB"/>
        </w:rPr>
        <w:t xml:space="preserve">the company’s </w:t>
      </w:r>
      <w:r w:rsidRPr="001F64CE">
        <w:rPr>
          <w:rFonts w:eastAsia="Batang"/>
          <w:lang w:val="en-GB"/>
        </w:rPr>
        <w:t>decision to allow SMC to start the new plant</w:t>
      </w:r>
      <w:r w:rsidR="00BC2756" w:rsidRPr="001F64CE">
        <w:rPr>
          <w:rFonts w:eastAsia="Batang"/>
          <w:lang w:val="en-GB"/>
        </w:rPr>
        <w:t>.</w:t>
      </w:r>
      <w:r w:rsidRPr="001F64CE">
        <w:rPr>
          <w:vertAlign w:val="superscript"/>
          <w:lang w:val="en-GB"/>
        </w:rPr>
        <w:endnoteReference w:id="6"/>
      </w:r>
      <w:r w:rsidRPr="001F64CE">
        <w:rPr>
          <w:rFonts w:eastAsia="Batang"/>
          <w:lang w:val="en-GB"/>
        </w:rPr>
        <w:t xml:space="preserve"> Subsequently, 16 fund managers asked </w:t>
      </w:r>
      <w:r w:rsidR="00BC2756" w:rsidRPr="001F64CE">
        <w:rPr>
          <w:rFonts w:eastAsia="Batang"/>
          <w:lang w:val="en-GB"/>
        </w:rPr>
        <w:t xml:space="preserve">MSIL’s </w:t>
      </w:r>
      <w:r w:rsidRPr="001F64CE">
        <w:rPr>
          <w:rFonts w:eastAsia="Batang"/>
          <w:lang w:val="en-GB"/>
        </w:rPr>
        <w:t xml:space="preserve">management to scrap </w:t>
      </w:r>
      <w:r w:rsidR="008B4217" w:rsidRPr="001F64CE">
        <w:rPr>
          <w:rFonts w:eastAsia="Batang"/>
          <w:lang w:val="en-GB"/>
        </w:rPr>
        <w:t>what they called an</w:t>
      </w:r>
      <w:r w:rsidRPr="001F64CE">
        <w:rPr>
          <w:rFonts w:eastAsia="Batang"/>
          <w:lang w:val="en-GB"/>
        </w:rPr>
        <w:t xml:space="preserve"> </w:t>
      </w:r>
      <w:r w:rsidR="008B4217" w:rsidRPr="001F64CE">
        <w:rPr>
          <w:rFonts w:eastAsia="Batang"/>
          <w:lang w:val="en-GB"/>
        </w:rPr>
        <w:t>“</w:t>
      </w:r>
      <w:r w:rsidRPr="001F64CE">
        <w:rPr>
          <w:rFonts w:eastAsia="Batang"/>
          <w:lang w:val="en-GB"/>
        </w:rPr>
        <w:t>oppressive transaction</w:t>
      </w:r>
      <w:r w:rsidR="008B4217" w:rsidRPr="001F64CE">
        <w:rPr>
          <w:rFonts w:eastAsia="Batang"/>
          <w:lang w:val="en-GB"/>
        </w:rPr>
        <w:t>.”</w:t>
      </w:r>
      <w:r w:rsidRPr="001F64CE">
        <w:rPr>
          <w:vertAlign w:val="superscript"/>
          <w:lang w:val="en-GB"/>
        </w:rPr>
        <w:endnoteReference w:id="7"/>
      </w:r>
      <w:r w:rsidRPr="001F64CE">
        <w:rPr>
          <w:rFonts w:eastAsia="Batang"/>
          <w:lang w:val="en-GB"/>
        </w:rPr>
        <w:t xml:space="preserve"> At the same time, </w:t>
      </w:r>
      <w:r w:rsidR="008B4217" w:rsidRPr="001F64CE">
        <w:rPr>
          <w:rFonts w:eastAsia="Batang"/>
          <w:lang w:val="en-GB"/>
        </w:rPr>
        <w:t xml:space="preserve">many other analysts were </w:t>
      </w:r>
      <w:r w:rsidRPr="001F64CE">
        <w:rPr>
          <w:rFonts w:eastAsia="Batang"/>
          <w:lang w:val="en-GB"/>
        </w:rPr>
        <w:t xml:space="preserve">clearly impressed with </w:t>
      </w:r>
      <w:r w:rsidR="008B4217" w:rsidRPr="001F64CE">
        <w:rPr>
          <w:rFonts w:eastAsia="Batang"/>
          <w:lang w:val="en-GB"/>
        </w:rPr>
        <w:t xml:space="preserve">the company’s </w:t>
      </w:r>
      <w:r w:rsidRPr="001F64CE">
        <w:rPr>
          <w:rFonts w:eastAsia="Batang"/>
          <w:lang w:val="en-GB"/>
        </w:rPr>
        <w:t>recent financial performance</w:t>
      </w:r>
      <w:r w:rsidR="008B4217" w:rsidRPr="001F64CE">
        <w:rPr>
          <w:rFonts w:eastAsia="Batang"/>
          <w:lang w:val="en-GB"/>
        </w:rPr>
        <w:t xml:space="preserve"> and were recommending that investors buy its </w:t>
      </w:r>
      <w:r w:rsidRPr="001F64CE">
        <w:rPr>
          <w:rFonts w:eastAsia="Batang"/>
          <w:lang w:val="en-GB"/>
        </w:rPr>
        <w:t xml:space="preserve">stock. </w:t>
      </w:r>
      <w:r w:rsidR="008B4217" w:rsidRPr="001F64CE">
        <w:rPr>
          <w:rFonts w:eastAsia="Batang"/>
          <w:lang w:val="en-GB"/>
        </w:rPr>
        <w:t xml:space="preserve">For example, equity </w:t>
      </w:r>
      <w:r w:rsidRPr="001F64CE">
        <w:rPr>
          <w:rFonts w:eastAsia="Batang"/>
          <w:lang w:val="en-GB"/>
        </w:rPr>
        <w:t xml:space="preserve">research reports </w:t>
      </w:r>
      <w:r w:rsidR="008B4217" w:rsidRPr="001F64CE">
        <w:rPr>
          <w:rFonts w:eastAsia="Batang"/>
          <w:lang w:val="en-GB"/>
        </w:rPr>
        <w:t xml:space="preserve">from </w:t>
      </w:r>
      <w:r w:rsidRPr="001F64CE">
        <w:rPr>
          <w:rFonts w:eastAsia="Batang"/>
          <w:lang w:val="en-GB"/>
        </w:rPr>
        <w:t>Morgan Stanley, IDFC</w:t>
      </w:r>
      <w:r w:rsidR="008B4217" w:rsidRPr="001F64CE">
        <w:rPr>
          <w:rFonts w:eastAsia="Batang"/>
          <w:lang w:val="en-GB"/>
        </w:rPr>
        <w:t xml:space="preserve"> Bank Ltd.</w:t>
      </w:r>
      <w:r w:rsidRPr="001F64CE">
        <w:rPr>
          <w:rFonts w:eastAsia="Batang"/>
          <w:lang w:val="en-GB"/>
        </w:rPr>
        <w:t xml:space="preserve">, Dion Global Solutions, Deutsche Bank </w:t>
      </w:r>
      <w:r w:rsidR="008B4217" w:rsidRPr="001F64CE">
        <w:rPr>
          <w:rFonts w:eastAsia="Batang"/>
          <w:lang w:val="en-GB"/>
        </w:rPr>
        <w:t xml:space="preserve">AG, </w:t>
      </w:r>
      <w:r w:rsidRPr="001F64CE">
        <w:rPr>
          <w:rFonts w:eastAsia="Batang"/>
          <w:lang w:val="en-GB"/>
        </w:rPr>
        <w:t>and Credit Suisse</w:t>
      </w:r>
      <w:r w:rsidR="008B4217" w:rsidRPr="001F64CE">
        <w:rPr>
          <w:rFonts w:eastAsia="Batang"/>
          <w:lang w:val="en-GB"/>
        </w:rPr>
        <w:t xml:space="preserve"> Group all gave MSIL’s stock overweight </w:t>
      </w:r>
      <w:r w:rsidRPr="001F64CE">
        <w:rPr>
          <w:rFonts w:eastAsia="Batang"/>
          <w:lang w:val="en-GB"/>
        </w:rPr>
        <w:t>recommendations</w:t>
      </w:r>
      <w:r w:rsidR="008B4217" w:rsidRPr="001F64CE">
        <w:rPr>
          <w:rFonts w:eastAsia="Batang"/>
          <w:lang w:val="en-GB"/>
        </w:rPr>
        <w:t xml:space="preserve"> </w:t>
      </w:r>
      <w:r w:rsidRPr="001F64CE">
        <w:rPr>
          <w:rFonts w:eastAsia="Batang"/>
          <w:lang w:val="en-GB"/>
        </w:rPr>
        <w:t>at this time</w:t>
      </w:r>
      <w:r w:rsidR="001F2A89" w:rsidRPr="001F64CE">
        <w:rPr>
          <w:rFonts w:eastAsia="Batang"/>
          <w:lang w:val="en-GB"/>
        </w:rPr>
        <w:t>.</w:t>
      </w:r>
      <w:r w:rsidRPr="001F64CE">
        <w:rPr>
          <w:rStyle w:val="EndnoteReference"/>
          <w:rFonts w:eastAsia="Batang"/>
          <w:lang w:val="en-GB"/>
        </w:rPr>
        <w:endnoteReference w:id="8"/>
      </w:r>
      <w:r w:rsidRPr="001F64CE">
        <w:rPr>
          <w:rFonts w:eastAsia="Batang"/>
          <w:lang w:val="en-GB"/>
        </w:rPr>
        <w:t xml:space="preserve"> One of the fund manager</w:t>
      </w:r>
      <w:r w:rsidR="008B4217" w:rsidRPr="001F64CE">
        <w:rPr>
          <w:rFonts w:eastAsia="Batang"/>
          <w:lang w:val="en-GB"/>
        </w:rPr>
        <w:t>s</w:t>
      </w:r>
      <w:r w:rsidRPr="001F64CE">
        <w:rPr>
          <w:rFonts w:eastAsia="Batang"/>
          <w:lang w:val="en-GB"/>
        </w:rPr>
        <w:t xml:space="preserve"> summarized the view of these investors by saying</w:t>
      </w:r>
      <w:r w:rsidR="008B4217" w:rsidRPr="001F64CE">
        <w:rPr>
          <w:rFonts w:eastAsia="Batang"/>
          <w:lang w:val="en-GB"/>
        </w:rPr>
        <w:t>,</w:t>
      </w:r>
      <w:r w:rsidRPr="001F64CE">
        <w:rPr>
          <w:rFonts w:eastAsia="Batang"/>
          <w:lang w:val="en-GB"/>
        </w:rPr>
        <w:t xml:space="preserve"> “If you get too fussy about corporate governance, there will hardly be any companies to invest in, unless you are willing to overlook returns.”</w:t>
      </w:r>
      <w:r w:rsidRPr="001F64CE">
        <w:rPr>
          <w:rFonts w:eastAsia="Batang"/>
          <w:vertAlign w:val="superscript"/>
          <w:lang w:val="en-GB"/>
        </w:rPr>
        <w:endnoteReference w:id="9"/>
      </w:r>
    </w:p>
    <w:p w14:paraId="5A43383F" w14:textId="77777777" w:rsidR="00DE7981" w:rsidRPr="001F64CE" w:rsidRDefault="00DE7981" w:rsidP="003C0A88">
      <w:pPr>
        <w:pStyle w:val="BodyTextMain"/>
        <w:rPr>
          <w:rFonts w:eastAsia="Batang"/>
          <w:lang w:val="en-GB"/>
        </w:rPr>
      </w:pPr>
    </w:p>
    <w:p w14:paraId="5FD1A6C5" w14:textId="77777777" w:rsidR="00DE7981" w:rsidRPr="001F64CE" w:rsidRDefault="00DE7981" w:rsidP="003C0A88">
      <w:pPr>
        <w:pStyle w:val="BodyTextMain"/>
        <w:rPr>
          <w:rFonts w:eastAsia="Batang"/>
          <w:lang w:val="en-GB"/>
        </w:rPr>
      </w:pPr>
    </w:p>
    <w:p w14:paraId="1FEE5026" w14:textId="00B415E7" w:rsidR="00DE7981" w:rsidRPr="001F64CE" w:rsidRDefault="00DE7981" w:rsidP="003C0A88">
      <w:pPr>
        <w:pStyle w:val="Casehead1"/>
        <w:keepNext/>
        <w:keepLines/>
        <w:rPr>
          <w:rFonts w:eastAsia="Batang"/>
          <w:lang w:val="en-GB"/>
        </w:rPr>
      </w:pPr>
      <w:r w:rsidRPr="001F64CE">
        <w:rPr>
          <w:rFonts w:eastAsia="Batang"/>
          <w:lang w:val="en-GB"/>
        </w:rPr>
        <w:lastRenderedPageBreak/>
        <w:t>BACKGROUND</w:t>
      </w:r>
      <w:r w:rsidR="006F4CD0" w:rsidRPr="001F64CE">
        <w:rPr>
          <w:rFonts w:eastAsia="Batang"/>
          <w:lang w:val="en-GB"/>
        </w:rPr>
        <w:t>:</w:t>
      </w:r>
      <w:r w:rsidRPr="001F64CE">
        <w:rPr>
          <w:rFonts w:eastAsia="Batang"/>
          <w:lang w:val="en-GB"/>
        </w:rPr>
        <w:t xml:space="preserve"> MSIL</w:t>
      </w:r>
    </w:p>
    <w:p w14:paraId="148594C1" w14:textId="77777777" w:rsidR="00DE7981" w:rsidRPr="001F64CE" w:rsidRDefault="00DE7981" w:rsidP="003C0A88">
      <w:pPr>
        <w:pStyle w:val="BodyTextMain"/>
        <w:keepNext/>
        <w:keepLines/>
        <w:rPr>
          <w:lang w:val="en-GB"/>
        </w:rPr>
      </w:pPr>
    </w:p>
    <w:p w14:paraId="63A86682" w14:textId="07B39C9C" w:rsidR="00DE7981" w:rsidRPr="001F64CE" w:rsidRDefault="00DE7981" w:rsidP="003C0A88">
      <w:pPr>
        <w:pStyle w:val="BodyTextMain"/>
        <w:keepNext/>
        <w:keepLines/>
        <w:rPr>
          <w:lang w:val="en-GB"/>
        </w:rPr>
      </w:pPr>
      <w:r w:rsidRPr="001F64CE">
        <w:rPr>
          <w:lang w:val="en-GB"/>
        </w:rPr>
        <w:t xml:space="preserve">MSIL, originally known as Maruti Udyog Limited and popularly known as Maruti in India, was incorporated in February 1981 by the </w:t>
      </w:r>
      <w:r w:rsidR="008B4217" w:rsidRPr="001F64CE">
        <w:rPr>
          <w:lang w:val="en-GB"/>
        </w:rPr>
        <w:t>g</w:t>
      </w:r>
      <w:r w:rsidRPr="001F64CE">
        <w:rPr>
          <w:lang w:val="en-GB"/>
        </w:rPr>
        <w:t xml:space="preserve">overnment of India. A year later, the company signed a joint venture agreement with </w:t>
      </w:r>
      <w:r w:rsidR="00640516" w:rsidRPr="001F64CE">
        <w:rPr>
          <w:lang w:val="en-GB"/>
        </w:rPr>
        <w:t>SMC</w:t>
      </w:r>
      <w:r w:rsidRPr="001F64CE">
        <w:rPr>
          <w:lang w:val="en-GB"/>
        </w:rPr>
        <w:t xml:space="preserve"> of Japan. Initially, </w:t>
      </w:r>
      <w:r w:rsidR="00640516" w:rsidRPr="001F64CE">
        <w:rPr>
          <w:lang w:val="en-GB"/>
        </w:rPr>
        <w:t>SMC</w:t>
      </w:r>
      <w:r w:rsidRPr="001F64CE">
        <w:rPr>
          <w:lang w:val="en-GB"/>
        </w:rPr>
        <w:t xml:space="preserve"> had a 26 per cent stake in MSIL. The company started manufacturing cars from its Gurgaon plant in 1983</w:t>
      </w:r>
      <w:r w:rsidR="008B4217" w:rsidRPr="001F64CE">
        <w:rPr>
          <w:lang w:val="en-GB"/>
        </w:rPr>
        <w:t>,</w:t>
      </w:r>
      <w:r w:rsidRPr="001F64CE">
        <w:rPr>
          <w:rStyle w:val="EndnoteReference"/>
          <w:lang w:val="en-GB"/>
        </w:rPr>
        <w:endnoteReference w:id="10"/>
      </w:r>
      <w:r w:rsidRPr="001F64CE">
        <w:rPr>
          <w:lang w:val="en-GB"/>
        </w:rPr>
        <w:t xml:space="preserve"> when Hindustan Motors and Premier </w:t>
      </w:r>
      <w:r w:rsidR="00640516" w:rsidRPr="001F64CE">
        <w:rPr>
          <w:lang w:val="en-GB"/>
        </w:rPr>
        <w:t xml:space="preserve">Ltd. </w:t>
      </w:r>
      <w:r w:rsidRPr="001F64CE">
        <w:rPr>
          <w:lang w:val="en-GB"/>
        </w:rPr>
        <w:t xml:space="preserve">were the only players in the passenger car market in India. MSIL </w:t>
      </w:r>
      <w:r w:rsidR="00640516" w:rsidRPr="001F64CE">
        <w:rPr>
          <w:lang w:val="en-GB"/>
        </w:rPr>
        <w:t xml:space="preserve">soon </w:t>
      </w:r>
      <w:r w:rsidRPr="001F64CE">
        <w:rPr>
          <w:lang w:val="en-GB"/>
        </w:rPr>
        <w:t>became known for its innovative products</w:t>
      </w:r>
      <w:r w:rsidR="00640516" w:rsidRPr="001F64CE">
        <w:rPr>
          <w:lang w:val="en-GB"/>
        </w:rPr>
        <w:t>,</w:t>
      </w:r>
      <w:r w:rsidRPr="001F64CE">
        <w:rPr>
          <w:lang w:val="en-GB"/>
        </w:rPr>
        <w:t xml:space="preserve"> and its sales grew from 40,000 cars per year in 1983 to 1.15 million cars per year in late 2013</w:t>
      </w:r>
      <w:r w:rsidR="00640516" w:rsidRPr="001F64CE">
        <w:rPr>
          <w:lang w:val="en-GB"/>
        </w:rPr>
        <w:t>.</w:t>
      </w:r>
      <w:r w:rsidRPr="001F64CE">
        <w:rPr>
          <w:rStyle w:val="EndnoteReference"/>
          <w:lang w:val="en-GB"/>
        </w:rPr>
        <w:endnoteReference w:id="11"/>
      </w:r>
      <w:r w:rsidRPr="001F64CE">
        <w:rPr>
          <w:lang w:val="en-GB"/>
        </w:rPr>
        <w:t xml:space="preserve"> </w:t>
      </w:r>
    </w:p>
    <w:p w14:paraId="4E71847C" w14:textId="77777777" w:rsidR="00DE7981" w:rsidRPr="001F64CE" w:rsidRDefault="00DE7981" w:rsidP="003C0A88">
      <w:pPr>
        <w:pStyle w:val="BodyTextMain"/>
        <w:rPr>
          <w:lang w:val="en-GB"/>
        </w:rPr>
      </w:pPr>
    </w:p>
    <w:p w14:paraId="73F45B2A" w14:textId="070A030C" w:rsidR="00DE7981" w:rsidRPr="00370907" w:rsidRDefault="00DE7981" w:rsidP="003C0A88">
      <w:pPr>
        <w:pStyle w:val="BodyTextMain"/>
        <w:rPr>
          <w:spacing w:val="-2"/>
          <w:kern w:val="2"/>
          <w:lang w:val="en-GB"/>
        </w:rPr>
      </w:pPr>
      <w:r w:rsidRPr="00370907">
        <w:rPr>
          <w:spacing w:val="-2"/>
          <w:kern w:val="2"/>
          <w:lang w:val="en-GB"/>
        </w:rPr>
        <w:t xml:space="preserve">SMC increased its stake in MSIL to 50 per cent </w:t>
      </w:r>
      <w:r w:rsidR="00640516" w:rsidRPr="00370907">
        <w:rPr>
          <w:spacing w:val="-2"/>
          <w:kern w:val="2"/>
          <w:lang w:val="en-GB"/>
        </w:rPr>
        <w:t xml:space="preserve">in 1982 and again in 1992 </w:t>
      </w:r>
      <w:r w:rsidRPr="00370907">
        <w:rPr>
          <w:spacing w:val="-2"/>
          <w:kern w:val="2"/>
          <w:lang w:val="en-GB"/>
        </w:rPr>
        <w:t xml:space="preserve">by </w:t>
      </w:r>
      <w:r w:rsidR="00640516" w:rsidRPr="00370907">
        <w:rPr>
          <w:spacing w:val="-2"/>
          <w:kern w:val="2"/>
          <w:lang w:val="en-GB"/>
        </w:rPr>
        <w:t>issuing</w:t>
      </w:r>
      <w:r w:rsidRPr="00370907">
        <w:rPr>
          <w:spacing w:val="-2"/>
          <w:kern w:val="2"/>
          <w:lang w:val="en-GB"/>
        </w:rPr>
        <w:t xml:space="preserve"> new shares. In May 2002, the </w:t>
      </w:r>
      <w:r w:rsidR="00640516" w:rsidRPr="00370907">
        <w:rPr>
          <w:spacing w:val="-2"/>
          <w:kern w:val="2"/>
          <w:lang w:val="en-GB"/>
        </w:rPr>
        <w:t>g</w:t>
      </w:r>
      <w:r w:rsidRPr="00370907">
        <w:rPr>
          <w:spacing w:val="-2"/>
          <w:kern w:val="2"/>
          <w:lang w:val="en-GB"/>
        </w:rPr>
        <w:t>overnment of India announced a two-stage divestment program, which allowed SMC to increase its stake to 54.2 per cent</w:t>
      </w:r>
      <w:r w:rsidR="000927A0" w:rsidRPr="00370907">
        <w:rPr>
          <w:spacing w:val="-2"/>
          <w:kern w:val="2"/>
          <w:lang w:val="en-GB"/>
        </w:rPr>
        <w:t>.</w:t>
      </w:r>
      <w:r w:rsidRPr="00370907">
        <w:rPr>
          <w:rStyle w:val="EndnoteReference"/>
          <w:spacing w:val="-2"/>
          <w:kern w:val="2"/>
          <w:lang w:val="en-GB"/>
        </w:rPr>
        <w:endnoteReference w:id="12"/>
      </w:r>
      <w:r w:rsidRPr="00370907">
        <w:rPr>
          <w:spacing w:val="-2"/>
          <w:kern w:val="2"/>
          <w:lang w:val="en-GB"/>
        </w:rPr>
        <w:t xml:space="preserve"> MSIL made a rights issue of shares, </w:t>
      </w:r>
      <w:r w:rsidR="00640516" w:rsidRPr="00370907">
        <w:rPr>
          <w:spacing w:val="-2"/>
          <w:kern w:val="2"/>
          <w:lang w:val="en-GB"/>
        </w:rPr>
        <w:t xml:space="preserve">and </w:t>
      </w:r>
      <w:r w:rsidRPr="00370907">
        <w:rPr>
          <w:spacing w:val="-2"/>
          <w:kern w:val="2"/>
          <w:lang w:val="en-GB"/>
        </w:rPr>
        <w:t xml:space="preserve">the </w:t>
      </w:r>
      <w:r w:rsidR="00640516" w:rsidRPr="00370907">
        <w:rPr>
          <w:spacing w:val="-2"/>
          <w:kern w:val="2"/>
          <w:lang w:val="en-GB"/>
        </w:rPr>
        <w:t>g</w:t>
      </w:r>
      <w:r w:rsidRPr="00370907">
        <w:rPr>
          <w:spacing w:val="-2"/>
          <w:kern w:val="2"/>
          <w:lang w:val="en-GB"/>
        </w:rPr>
        <w:t>overnment of India renounce</w:t>
      </w:r>
      <w:r w:rsidR="00640516" w:rsidRPr="00370907">
        <w:rPr>
          <w:spacing w:val="-2"/>
          <w:kern w:val="2"/>
          <w:lang w:val="en-GB"/>
        </w:rPr>
        <w:t>d</w:t>
      </w:r>
      <w:r w:rsidRPr="00370907">
        <w:rPr>
          <w:spacing w:val="-2"/>
          <w:kern w:val="2"/>
          <w:lang w:val="en-GB"/>
        </w:rPr>
        <w:t xml:space="preserve"> its rights. In return, SMC paid a control premium of </w:t>
      </w:r>
      <w:r w:rsidRPr="00370907">
        <w:rPr>
          <w:rFonts w:ascii="Arial" w:hAnsi="Arial" w:cs="Arial"/>
          <w:spacing w:val="-2"/>
          <w:kern w:val="2"/>
          <w:sz w:val="20"/>
          <w:szCs w:val="20"/>
          <w:shd w:val="clear" w:color="auto" w:fill="FFFFFF"/>
          <w:lang w:val="en-GB"/>
        </w:rPr>
        <w:t>₹</w:t>
      </w:r>
      <w:r w:rsidRPr="00370907">
        <w:rPr>
          <w:spacing w:val="-2"/>
          <w:kern w:val="2"/>
          <w:lang w:val="en-GB"/>
        </w:rPr>
        <w:t xml:space="preserve">10 billion to the </w:t>
      </w:r>
      <w:r w:rsidR="00640516" w:rsidRPr="00370907">
        <w:rPr>
          <w:spacing w:val="-2"/>
          <w:kern w:val="2"/>
          <w:lang w:val="en-GB"/>
        </w:rPr>
        <w:t>g</w:t>
      </w:r>
      <w:r w:rsidRPr="00370907">
        <w:rPr>
          <w:spacing w:val="-2"/>
          <w:kern w:val="2"/>
          <w:lang w:val="en-GB"/>
        </w:rPr>
        <w:t xml:space="preserve">overnment of India. </w:t>
      </w:r>
      <w:r w:rsidR="008C7D08" w:rsidRPr="00370907">
        <w:rPr>
          <w:spacing w:val="-2"/>
          <w:kern w:val="2"/>
          <w:lang w:val="en-GB"/>
        </w:rPr>
        <w:t>The g</w:t>
      </w:r>
      <w:r w:rsidRPr="00370907">
        <w:rPr>
          <w:spacing w:val="-2"/>
          <w:kern w:val="2"/>
          <w:lang w:val="en-GB"/>
        </w:rPr>
        <w:t xml:space="preserve">overnment of India divested another 25 per cent </w:t>
      </w:r>
      <w:r w:rsidR="008C7D08" w:rsidRPr="00370907">
        <w:rPr>
          <w:spacing w:val="-2"/>
          <w:kern w:val="2"/>
          <w:lang w:val="en-GB"/>
        </w:rPr>
        <w:t xml:space="preserve">of its </w:t>
      </w:r>
      <w:r w:rsidRPr="00370907">
        <w:rPr>
          <w:spacing w:val="-2"/>
          <w:kern w:val="2"/>
          <w:lang w:val="en-GB"/>
        </w:rPr>
        <w:t xml:space="preserve">shares </w:t>
      </w:r>
      <w:r w:rsidR="008C7D08" w:rsidRPr="00370907">
        <w:rPr>
          <w:spacing w:val="-2"/>
          <w:kern w:val="2"/>
          <w:lang w:val="en-GB"/>
        </w:rPr>
        <w:t>in 2003 through</w:t>
      </w:r>
      <w:r w:rsidRPr="00370907">
        <w:rPr>
          <w:spacing w:val="-2"/>
          <w:kern w:val="2"/>
          <w:lang w:val="en-GB"/>
        </w:rPr>
        <w:t xml:space="preserve"> an initial public offering of the shares, where each share was priced at </w:t>
      </w:r>
      <w:r w:rsidRPr="00370907">
        <w:rPr>
          <w:rFonts w:ascii="Arial" w:hAnsi="Arial" w:cs="Arial"/>
          <w:spacing w:val="-2"/>
          <w:kern w:val="2"/>
          <w:sz w:val="20"/>
          <w:szCs w:val="20"/>
          <w:shd w:val="clear" w:color="auto" w:fill="FFFFFF"/>
          <w:lang w:val="en-GB"/>
        </w:rPr>
        <w:t>₹</w:t>
      </w:r>
      <w:r w:rsidRPr="00370907">
        <w:rPr>
          <w:spacing w:val="-2"/>
          <w:kern w:val="2"/>
          <w:lang w:val="en-GB"/>
        </w:rPr>
        <w:t xml:space="preserve">125. </w:t>
      </w:r>
      <w:r w:rsidR="008C7D08" w:rsidRPr="00370907">
        <w:rPr>
          <w:spacing w:val="-2"/>
          <w:kern w:val="2"/>
          <w:lang w:val="en-GB"/>
        </w:rPr>
        <w:t xml:space="preserve">The government </w:t>
      </w:r>
      <w:r w:rsidRPr="00370907">
        <w:rPr>
          <w:spacing w:val="-2"/>
          <w:kern w:val="2"/>
          <w:lang w:val="en-GB"/>
        </w:rPr>
        <w:t>of India completely divested its stake in the company in May 2007</w:t>
      </w:r>
      <w:r w:rsidR="008C7D08" w:rsidRPr="00370907">
        <w:rPr>
          <w:spacing w:val="-2"/>
          <w:kern w:val="2"/>
          <w:lang w:val="en-GB"/>
        </w:rPr>
        <w:t xml:space="preserve">, and </w:t>
      </w:r>
      <w:r w:rsidRPr="00370907">
        <w:rPr>
          <w:spacing w:val="-2"/>
          <w:kern w:val="2"/>
          <w:lang w:val="en-GB"/>
        </w:rPr>
        <w:t xml:space="preserve">SMC held 56.2 per cent of the shares in MSIL </w:t>
      </w:r>
      <w:r w:rsidR="008C7D08" w:rsidRPr="00370907">
        <w:rPr>
          <w:spacing w:val="-2"/>
          <w:kern w:val="2"/>
          <w:lang w:val="en-GB"/>
        </w:rPr>
        <w:t xml:space="preserve">by </w:t>
      </w:r>
      <w:r w:rsidRPr="00370907">
        <w:rPr>
          <w:spacing w:val="-2"/>
          <w:kern w:val="2"/>
          <w:lang w:val="en-GB"/>
        </w:rPr>
        <w:t>the end of December 2013 (see Exhibit</w:t>
      </w:r>
      <w:r w:rsidR="00370907" w:rsidRPr="00370907">
        <w:rPr>
          <w:spacing w:val="-2"/>
          <w:kern w:val="2"/>
          <w:lang w:val="en-GB"/>
        </w:rPr>
        <w:t xml:space="preserve"> </w:t>
      </w:r>
      <w:r w:rsidRPr="00370907">
        <w:rPr>
          <w:spacing w:val="-2"/>
          <w:kern w:val="2"/>
          <w:lang w:val="en-GB"/>
        </w:rPr>
        <w:t xml:space="preserve">1). </w:t>
      </w:r>
    </w:p>
    <w:p w14:paraId="005A5D76" w14:textId="77777777" w:rsidR="00DE7981" w:rsidRPr="001F64CE" w:rsidRDefault="00DE7981" w:rsidP="003C0A88">
      <w:pPr>
        <w:pStyle w:val="BodyTextMain"/>
        <w:rPr>
          <w:lang w:val="en-GB"/>
        </w:rPr>
      </w:pPr>
    </w:p>
    <w:p w14:paraId="25C02D71" w14:textId="67E77F2A" w:rsidR="00DE7981" w:rsidRPr="001F64CE" w:rsidRDefault="00DE7981" w:rsidP="003C0A88">
      <w:pPr>
        <w:pStyle w:val="BodyTextMain"/>
        <w:rPr>
          <w:lang w:val="en-GB"/>
        </w:rPr>
      </w:pPr>
      <w:r w:rsidRPr="001F64CE">
        <w:rPr>
          <w:lang w:val="en-GB"/>
        </w:rPr>
        <w:t>With a product portfolio of 14 cars (with more than 150 variants)</w:t>
      </w:r>
      <w:r w:rsidR="008C7D08" w:rsidRPr="001F64CE">
        <w:rPr>
          <w:lang w:val="en-GB"/>
        </w:rPr>
        <w:t>,</w:t>
      </w:r>
      <w:r w:rsidRPr="001F64CE">
        <w:rPr>
          <w:rStyle w:val="EndnoteReference"/>
          <w:lang w:val="en-GB"/>
        </w:rPr>
        <w:endnoteReference w:id="13"/>
      </w:r>
      <w:r w:rsidRPr="001F64CE">
        <w:rPr>
          <w:lang w:val="en-GB"/>
        </w:rPr>
        <w:t xml:space="preserve"> MSIL </w:t>
      </w:r>
      <w:r w:rsidR="008C7D08" w:rsidRPr="001F64CE">
        <w:rPr>
          <w:lang w:val="en-GB"/>
        </w:rPr>
        <w:t xml:space="preserve">held more than 50 per cent of the </w:t>
      </w:r>
      <w:r w:rsidRPr="001F64CE">
        <w:rPr>
          <w:lang w:val="en-GB"/>
        </w:rPr>
        <w:t xml:space="preserve">market share in terms of </w:t>
      </w:r>
      <w:r w:rsidR="00990032" w:rsidRPr="001F64CE">
        <w:rPr>
          <w:lang w:val="en-GB"/>
        </w:rPr>
        <w:t xml:space="preserve">the </w:t>
      </w:r>
      <w:r w:rsidRPr="001F64CE">
        <w:rPr>
          <w:lang w:val="en-GB"/>
        </w:rPr>
        <w:t>number of cars sold in India</w:t>
      </w:r>
      <w:r w:rsidR="008C7D08" w:rsidRPr="001F64CE">
        <w:rPr>
          <w:lang w:val="en-GB"/>
        </w:rPr>
        <w:t>.</w:t>
      </w:r>
      <w:r w:rsidRPr="001F64CE">
        <w:rPr>
          <w:rStyle w:val="EndnoteReference"/>
          <w:lang w:val="en-GB"/>
        </w:rPr>
        <w:endnoteReference w:id="14"/>
      </w:r>
      <w:r w:rsidRPr="001F64CE">
        <w:rPr>
          <w:lang w:val="en-GB"/>
        </w:rPr>
        <w:t xml:space="preserve"> Its products varied from entry-level cars like </w:t>
      </w:r>
      <w:r w:rsidR="00990032" w:rsidRPr="001F64CE">
        <w:rPr>
          <w:lang w:val="en-GB"/>
        </w:rPr>
        <w:t xml:space="preserve">the </w:t>
      </w:r>
      <w:r w:rsidRPr="001F64CE">
        <w:rPr>
          <w:lang w:val="en-GB"/>
        </w:rPr>
        <w:t xml:space="preserve">Alto to stylish cars like </w:t>
      </w:r>
      <w:r w:rsidR="00990032" w:rsidRPr="001F64CE">
        <w:rPr>
          <w:lang w:val="en-GB"/>
        </w:rPr>
        <w:t xml:space="preserve">the </w:t>
      </w:r>
      <w:r w:rsidRPr="001F64CE">
        <w:rPr>
          <w:lang w:val="en-GB"/>
        </w:rPr>
        <w:t>S4. Its service network spanned over 1,446 cities and towns</w:t>
      </w:r>
      <w:r w:rsidR="000927A0">
        <w:rPr>
          <w:lang w:val="en-GB"/>
        </w:rPr>
        <w:t>,</w:t>
      </w:r>
      <w:r w:rsidR="00990032" w:rsidRPr="001F64CE">
        <w:rPr>
          <w:lang w:val="en-GB"/>
        </w:rPr>
        <w:t xml:space="preserve"> and serviced </w:t>
      </w:r>
      <w:r w:rsidRPr="001F64CE">
        <w:rPr>
          <w:lang w:val="en-GB"/>
        </w:rPr>
        <w:t>over 1.2 million cars every month. Its sales network similarly spanned over 1,020 cities in India</w:t>
      </w:r>
      <w:r w:rsidR="00990032" w:rsidRPr="001F64CE">
        <w:rPr>
          <w:lang w:val="en-GB"/>
        </w:rPr>
        <w:t>.</w:t>
      </w:r>
      <w:r w:rsidRPr="001F64CE">
        <w:rPr>
          <w:rStyle w:val="EndnoteReference"/>
          <w:lang w:val="en-GB"/>
        </w:rPr>
        <w:endnoteReference w:id="15"/>
      </w:r>
      <w:r w:rsidRPr="001F64CE">
        <w:rPr>
          <w:lang w:val="en-GB"/>
        </w:rPr>
        <w:t xml:space="preserve"> </w:t>
      </w:r>
      <w:r w:rsidR="00990032" w:rsidRPr="001F64CE">
        <w:rPr>
          <w:lang w:val="en-GB"/>
        </w:rPr>
        <w:t xml:space="preserve">MSIL’s </w:t>
      </w:r>
      <w:r w:rsidRPr="001F64CE">
        <w:rPr>
          <w:lang w:val="en-GB"/>
        </w:rPr>
        <w:t>plants were located in Gurgaon (</w:t>
      </w:r>
      <w:r w:rsidR="00990032" w:rsidRPr="001F64CE">
        <w:rPr>
          <w:lang w:val="en-GB"/>
        </w:rPr>
        <w:t xml:space="preserve">with a </w:t>
      </w:r>
      <w:r w:rsidRPr="001F64CE">
        <w:rPr>
          <w:lang w:val="en-GB"/>
        </w:rPr>
        <w:t xml:space="preserve">total capacity of 900,000 vehicles per year) and Manesar (with </w:t>
      </w:r>
      <w:r w:rsidR="00990032" w:rsidRPr="001F64CE">
        <w:rPr>
          <w:lang w:val="en-GB"/>
        </w:rPr>
        <w:t xml:space="preserve">a </w:t>
      </w:r>
      <w:r w:rsidRPr="001F64CE">
        <w:rPr>
          <w:lang w:val="en-GB"/>
        </w:rPr>
        <w:t xml:space="preserve">total capacity of 550,000 vehicles per year).  </w:t>
      </w:r>
    </w:p>
    <w:p w14:paraId="589C1D05" w14:textId="77777777" w:rsidR="00DE7981" w:rsidRPr="001F64CE" w:rsidRDefault="00DE7981" w:rsidP="003C0A88">
      <w:pPr>
        <w:pStyle w:val="BodyTextMain"/>
        <w:rPr>
          <w:lang w:val="en-GB"/>
        </w:rPr>
      </w:pPr>
    </w:p>
    <w:p w14:paraId="7812304A" w14:textId="39E32B66" w:rsidR="00DE7981" w:rsidRPr="001F64CE" w:rsidRDefault="00DE7981" w:rsidP="003C0A88">
      <w:pPr>
        <w:pStyle w:val="BodyTextMain"/>
        <w:rPr>
          <w:lang w:val="en-GB"/>
        </w:rPr>
      </w:pPr>
      <w:r w:rsidRPr="001F64CE">
        <w:rPr>
          <w:lang w:val="en-GB"/>
        </w:rPr>
        <w:t xml:space="preserve">In addition to manufacturing and selling cars, MSIL </w:t>
      </w:r>
      <w:r w:rsidR="00990032" w:rsidRPr="001F64CE">
        <w:rPr>
          <w:lang w:val="en-GB"/>
        </w:rPr>
        <w:t>was involved in</w:t>
      </w:r>
      <w:r w:rsidRPr="001F64CE">
        <w:rPr>
          <w:lang w:val="en-GB"/>
        </w:rPr>
        <w:t xml:space="preserve"> second-hand car</w:t>
      </w:r>
      <w:r w:rsidR="00990032" w:rsidRPr="001F64CE">
        <w:rPr>
          <w:lang w:val="en-GB"/>
        </w:rPr>
        <w:t xml:space="preserve"> sales</w:t>
      </w:r>
      <w:r w:rsidRPr="001F64CE">
        <w:rPr>
          <w:lang w:val="en-GB"/>
        </w:rPr>
        <w:t>, fleet management</w:t>
      </w:r>
      <w:r w:rsidR="00990032" w:rsidRPr="001F64CE">
        <w:rPr>
          <w:lang w:val="en-GB"/>
        </w:rPr>
        <w:t>,</w:t>
      </w:r>
      <w:r w:rsidRPr="001F64CE">
        <w:rPr>
          <w:lang w:val="en-GB"/>
        </w:rPr>
        <w:t xml:space="preserve"> and car financing</w:t>
      </w:r>
      <w:r w:rsidR="00990032" w:rsidRPr="001F64CE">
        <w:rPr>
          <w:lang w:val="en-GB"/>
        </w:rPr>
        <w:t>.</w:t>
      </w:r>
      <w:r w:rsidRPr="001F64CE">
        <w:rPr>
          <w:rStyle w:val="EndnoteReference"/>
          <w:lang w:val="en-GB"/>
        </w:rPr>
        <w:endnoteReference w:id="16"/>
      </w:r>
      <w:r w:rsidRPr="001F64CE">
        <w:rPr>
          <w:lang w:val="en-GB"/>
        </w:rPr>
        <w:t xml:space="preserve"> The company reported net income of </w:t>
      </w:r>
      <w:r w:rsidRPr="001F64CE">
        <w:rPr>
          <w:rFonts w:ascii="Arial" w:hAnsi="Arial" w:cs="Arial"/>
          <w:sz w:val="20"/>
          <w:szCs w:val="20"/>
          <w:shd w:val="clear" w:color="auto" w:fill="FFFFFF"/>
          <w:lang w:val="en-GB"/>
        </w:rPr>
        <w:t>₹</w:t>
      </w:r>
      <w:r w:rsidRPr="001F64CE">
        <w:rPr>
          <w:lang w:val="en-GB"/>
        </w:rPr>
        <w:t xml:space="preserve">23,921 million on gross sales of </w:t>
      </w:r>
      <w:r w:rsidR="00BB4847" w:rsidRPr="00F23375">
        <w:rPr>
          <w:rFonts w:ascii="Arial" w:hAnsi="Arial" w:cs="Arial"/>
          <w:sz w:val="20"/>
          <w:szCs w:val="20"/>
          <w:lang w:val="en-GB"/>
        </w:rPr>
        <w:t>₹</w:t>
      </w:r>
      <w:r w:rsidRPr="001F64CE">
        <w:rPr>
          <w:lang w:val="en-GB"/>
        </w:rPr>
        <w:t xml:space="preserve">481,147 million for FY 2013 (see Exhibit 2). </w:t>
      </w:r>
    </w:p>
    <w:p w14:paraId="6CD3812A" w14:textId="77777777" w:rsidR="00DE7981" w:rsidRPr="001F64CE" w:rsidRDefault="00DE7981" w:rsidP="003C0A88">
      <w:pPr>
        <w:pStyle w:val="BodyTextMain"/>
        <w:rPr>
          <w:lang w:val="en-GB"/>
        </w:rPr>
      </w:pPr>
    </w:p>
    <w:p w14:paraId="090F12E2" w14:textId="77777777" w:rsidR="006F08DD" w:rsidRPr="001F64CE" w:rsidRDefault="006F08DD" w:rsidP="003C0A88">
      <w:pPr>
        <w:pStyle w:val="BodyTextMain"/>
        <w:rPr>
          <w:lang w:val="en-GB"/>
        </w:rPr>
      </w:pPr>
    </w:p>
    <w:p w14:paraId="22542DDD" w14:textId="475440F5" w:rsidR="00DE7981" w:rsidRPr="001F64CE" w:rsidRDefault="00DE7981" w:rsidP="003C0A88">
      <w:pPr>
        <w:pStyle w:val="Casehead1"/>
        <w:rPr>
          <w:lang w:val="en-GB"/>
        </w:rPr>
      </w:pPr>
      <w:r w:rsidRPr="001F64CE">
        <w:rPr>
          <w:lang w:val="en-GB"/>
        </w:rPr>
        <w:t>INDIAN AUTO</w:t>
      </w:r>
      <w:r w:rsidR="00811678">
        <w:rPr>
          <w:lang w:val="en-GB"/>
        </w:rPr>
        <w:t>mobile</w:t>
      </w:r>
      <w:r w:rsidRPr="001F64CE">
        <w:rPr>
          <w:lang w:val="en-GB"/>
        </w:rPr>
        <w:t xml:space="preserve"> INDUSTRY</w:t>
      </w:r>
    </w:p>
    <w:p w14:paraId="12702EE3" w14:textId="77777777" w:rsidR="00DE7981" w:rsidRPr="001F64CE" w:rsidRDefault="00DE7981" w:rsidP="003C0A88">
      <w:pPr>
        <w:pStyle w:val="BodyTextMain"/>
        <w:rPr>
          <w:lang w:val="en-GB"/>
        </w:rPr>
      </w:pPr>
    </w:p>
    <w:p w14:paraId="74C36565" w14:textId="37065E94" w:rsidR="00DE7981" w:rsidRPr="00370907" w:rsidRDefault="00DE7981" w:rsidP="003C0A88">
      <w:pPr>
        <w:pStyle w:val="BodyTextMain"/>
        <w:rPr>
          <w:spacing w:val="-2"/>
          <w:kern w:val="22"/>
          <w:lang w:val="en-GB"/>
        </w:rPr>
      </w:pPr>
      <w:r w:rsidRPr="00370907">
        <w:rPr>
          <w:spacing w:val="-2"/>
          <w:kern w:val="22"/>
          <w:lang w:val="en-GB"/>
        </w:rPr>
        <w:t>The Indian automobile industry was normally divided into four broad categories</w:t>
      </w:r>
      <w:r w:rsidR="006C7B0A" w:rsidRPr="00370907">
        <w:rPr>
          <w:spacing w:val="-2"/>
          <w:kern w:val="22"/>
          <w:lang w:val="en-GB"/>
        </w:rPr>
        <w:t xml:space="preserve">: </w:t>
      </w:r>
      <w:r w:rsidRPr="00370907">
        <w:rPr>
          <w:spacing w:val="-2"/>
          <w:kern w:val="22"/>
          <w:lang w:val="en-GB"/>
        </w:rPr>
        <w:t>passenger vehicles, commercial vehicles, three</w:t>
      </w:r>
      <w:r w:rsidR="00827BA9" w:rsidRPr="00370907">
        <w:rPr>
          <w:spacing w:val="-2"/>
          <w:kern w:val="22"/>
          <w:lang w:val="en-GB"/>
        </w:rPr>
        <w:t xml:space="preserve"> </w:t>
      </w:r>
      <w:r w:rsidRPr="00370907">
        <w:rPr>
          <w:spacing w:val="-2"/>
          <w:kern w:val="22"/>
          <w:lang w:val="en-GB"/>
        </w:rPr>
        <w:t>wheelers, and two</w:t>
      </w:r>
      <w:r w:rsidR="00827BA9" w:rsidRPr="00370907">
        <w:rPr>
          <w:spacing w:val="-2"/>
          <w:kern w:val="22"/>
          <w:lang w:val="en-GB"/>
        </w:rPr>
        <w:t xml:space="preserve"> </w:t>
      </w:r>
      <w:r w:rsidRPr="00370907">
        <w:rPr>
          <w:spacing w:val="-2"/>
          <w:kern w:val="22"/>
          <w:lang w:val="en-GB"/>
        </w:rPr>
        <w:t>wheelers. Two-wheelers dominated the industry</w:t>
      </w:r>
      <w:r w:rsidR="006C7B0A" w:rsidRPr="00370907">
        <w:rPr>
          <w:spacing w:val="-2"/>
          <w:kern w:val="22"/>
          <w:lang w:val="en-GB"/>
        </w:rPr>
        <w:t>,</w:t>
      </w:r>
      <w:r w:rsidRPr="00370907">
        <w:rPr>
          <w:spacing w:val="-2"/>
          <w:kern w:val="22"/>
          <w:lang w:val="en-GB"/>
        </w:rPr>
        <w:t xml:space="preserve"> with a 77 per cent market share during 2007</w:t>
      </w:r>
      <w:r w:rsidR="006C7B0A" w:rsidRPr="00370907">
        <w:rPr>
          <w:spacing w:val="-2"/>
          <w:kern w:val="22"/>
          <w:lang w:val="en-GB"/>
        </w:rPr>
        <w:t>–</w:t>
      </w:r>
      <w:r w:rsidRPr="00370907">
        <w:rPr>
          <w:spacing w:val="-2"/>
          <w:kern w:val="22"/>
          <w:lang w:val="en-GB"/>
        </w:rPr>
        <w:t xml:space="preserve">2013 (see Exhibit 3). With a total production of around 3.5 million vehicles per year, the passenger and commercial vehicle industry in India was the </w:t>
      </w:r>
      <w:r w:rsidR="006C7B0A" w:rsidRPr="00370907">
        <w:rPr>
          <w:spacing w:val="-2"/>
          <w:kern w:val="22"/>
          <w:lang w:val="en-GB"/>
        </w:rPr>
        <w:t>sixth-</w:t>
      </w:r>
      <w:r w:rsidRPr="00370907">
        <w:rPr>
          <w:spacing w:val="-2"/>
          <w:kern w:val="22"/>
          <w:lang w:val="en-GB"/>
        </w:rPr>
        <w:t>largest in the world</w:t>
      </w:r>
      <w:r w:rsidR="006C7B0A" w:rsidRPr="00370907">
        <w:rPr>
          <w:spacing w:val="-2"/>
          <w:kern w:val="22"/>
          <w:lang w:val="en-GB"/>
        </w:rPr>
        <w:t>.</w:t>
      </w:r>
      <w:r w:rsidRPr="00370907">
        <w:rPr>
          <w:rStyle w:val="EndnoteReference"/>
          <w:spacing w:val="-2"/>
          <w:kern w:val="22"/>
          <w:lang w:val="en-GB"/>
        </w:rPr>
        <w:endnoteReference w:id="17"/>
      </w:r>
      <w:r w:rsidRPr="00370907">
        <w:rPr>
          <w:spacing w:val="-2"/>
          <w:kern w:val="22"/>
          <w:lang w:val="en-GB"/>
        </w:rPr>
        <w:t xml:space="preserve"> </w:t>
      </w:r>
    </w:p>
    <w:p w14:paraId="0715D6F8" w14:textId="77777777" w:rsidR="00DE7981" w:rsidRPr="001F64CE" w:rsidRDefault="00DE7981" w:rsidP="003C0A88">
      <w:pPr>
        <w:pStyle w:val="BodyTextMain"/>
        <w:rPr>
          <w:lang w:val="en-GB"/>
        </w:rPr>
      </w:pPr>
    </w:p>
    <w:p w14:paraId="6BE4A48F" w14:textId="66767628" w:rsidR="00DE7981" w:rsidRPr="00370907" w:rsidRDefault="00DE7981" w:rsidP="003C0A88">
      <w:pPr>
        <w:pStyle w:val="BodyTextMain"/>
        <w:rPr>
          <w:spacing w:val="-2"/>
          <w:kern w:val="22"/>
          <w:lang w:val="en-GB"/>
        </w:rPr>
      </w:pPr>
      <w:r w:rsidRPr="00370907">
        <w:rPr>
          <w:spacing w:val="-2"/>
          <w:kern w:val="22"/>
          <w:lang w:val="en-GB"/>
        </w:rPr>
        <w:t xml:space="preserve">Hyundai Motor Company, with a market share of around 22 per cent, was the </w:t>
      </w:r>
      <w:r w:rsidR="006C7B0A" w:rsidRPr="00370907">
        <w:rPr>
          <w:spacing w:val="-2"/>
          <w:kern w:val="22"/>
          <w:lang w:val="en-GB"/>
        </w:rPr>
        <w:t>second-</w:t>
      </w:r>
      <w:r w:rsidRPr="00370907">
        <w:rPr>
          <w:spacing w:val="-2"/>
          <w:kern w:val="22"/>
          <w:lang w:val="en-GB"/>
        </w:rPr>
        <w:t xml:space="preserve">largest player in the passenger car market in India. </w:t>
      </w:r>
      <w:r w:rsidR="006C7B0A" w:rsidRPr="00370907">
        <w:rPr>
          <w:spacing w:val="-2"/>
          <w:kern w:val="22"/>
          <w:lang w:val="en-GB"/>
        </w:rPr>
        <w:t xml:space="preserve">Some of the other major players in this market were </w:t>
      </w:r>
      <w:r w:rsidRPr="00370907">
        <w:rPr>
          <w:spacing w:val="-2"/>
          <w:kern w:val="22"/>
          <w:lang w:val="en-GB"/>
        </w:rPr>
        <w:t>Honda Cars India</w:t>
      </w:r>
      <w:r w:rsidR="006C7B0A" w:rsidRPr="00370907">
        <w:rPr>
          <w:spacing w:val="-2"/>
          <w:kern w:val="22"/>
          <w:lang w:val="en-GB"/>
        </w:rPr>
        <w:t xml:space="preserve"> Ltd.</w:t>
      </w:r>
      <w:r w:rsidRPr="00370907">
        <w:rPr>
          <w:spacing w:val="-2"/>
          <w:kern w:val="22"/>
          <w:lang w:val="en-GB"/>
        </w:rPr>
        <w:t>, Tata Motors</w:t>
      </w:r>
      <w:r w:rsidR="006C7B0A" w:rsidRPr="00370907">
        <w:rPr>
          <w:spacing w:val="-2"/>
          <w:kern w:val="22"/>
          <w:lang w:val="en-GB"/>
        </w:rPr>
        <w:t xml:space="preserve"> Limited</w:t>
      </w:r>
      <w:r w:rsidRPr="00370907">
        <w:rPr>
          <w:spacing w:val="-2"/>
          <w:kern w:val="22"/>
          <w:lang w:val="en-GB"/>
        </w:rPr>
        <w:t xml:space="preserve">, and </w:t>
      </w:r>
      <w:r w:rsidR="006C7B0A" w:rsidRPr="00370907">
        <w:rPr>
          <w:spacing w:val="-2"/>
          <w:kern w:val="22"/>
          <w:lang w:val="en-GB"/>
        </w:rPr>
        <w:t>Toyota Kirloskar Motor,</w:t>
      </w:r>
      <w:r w:rsidR="006C7B0A" w:rsidRPr="00370907" w:rsidDel="006C7B0A">
        <w:rPr>
          <w:spacing w:val="-2"/>
          <w:kern w:val="22"/>
          <w:lang w:val="en-GB"/>
        </w:rPr>
        <w:t xml:space="preserve"> </w:t>
      </w:r>
      <w:r w:rsidRPr="00370907">
        <w:rPr>
          <w:spacing w:val="-2"/>
          <w:kern w:val="22"/>
          <w:lang w:val="en-GB"/>
        </w:rPr>
        <w:t>with market shares of 6.6</w:t>
      </w:r>
      <w:r w:rsidR="006C7B0A" w:rsidRPr="00370907">
        <w:rPr>
          <w:spacing w:val="-2"/>
          <w:kern w:val="22"/>
          <w:lang w:val="en-GB"/>
        </w:rPr>
        <w:t>0</w:t>
      </w:r>
      <w:r w:rsidRPr="00370907">
        <w:rPr>
          <w:spacing w:val="-2"/>
          <w:kern w:val="22"/>
          <w:lang w:val="en-GB"/>
        </w:rPr>
        <w:t xml:space="preserve"> per cent, 6.18 per cent, and 3.5</w:t>
      </w:r>
      <w:r w:rsidR="006C7B0A" w:rsidRPr="00370907">
        <w:rPr>
          <w:spacing w:val="-2"/>
          <w:kern w:val="22"/>
          <w:lang w:val="en-GB"/>
        </w:rPr>
        <w:t>0</w:t>
      </w:r>
      <w:r w:rsidRPr="00370907">
        <w:rPr>
          <w:spacing w:val="-2"/>
          <w:kern w:val="22"/>
          <w:lang w:val="en-GB"/>
        </w:rPr>
        <w:t xml:space="preserve"> per cent respectively</w:t>
      </w:r>
      <w:r w:rsidR="006C7B0A" w:rsidRPr="00370907">
        <w:rPr>
          <w:spacing w:val="-2"/>
          <w:kern w:val="22"/>
          <w:lang w:val="en-GB"/>
        </w:rPr>
        <w:t>.</w:t>
      </w:r>
      <w:r w:rsidRPr="00370907">
        <w:rPr>
          <w:rStyle w:val="EndnoteReference"/>
          <w:spacing w:val="-2"/>
          <w:kern w:val="22"/>
          <w:lang w:val="en-GB"/>
        </w:rPr>
        <w:endnoteReference w:id="18"/>
      </w:r>
      <w:r w:rsidRPr="00370907">
        <w:rPr>
          <w:spacing w:val="-2"/>
          <w:kern w:val="22"/>
          <w:lang w:val="en-GB"/>
        </w:rPr>
        <w:t xml:space="preserve"> Utility vehicles (UV) and multipurpose vehicles (MPV) accounted for a 29 per cent market share in the passenger car market in India. Mahindra and Mahindra </w:t>
      </w:r>
      <w:r w:rsidR="006C7B0A" w:rsidRPr="00370907">
        <w:rPr>
          <w:spacing w:val="-2"/>
          <w:kern w:val="22"/>
          <w:lang w:val="en-GB"/>
        </w:rPr>
        <w:t xml:space="preserve">Ltd. </w:t>
      </w:r>
      <w:r w:rsidRPr="00370907">
        <w:rPr>
          <w:spacing w:val="-2"/>
          <w:kern w:val="22"/>
          <w:lang w:val="en-GB"/>
        </w:rPr>
        <w:t>was the lead manufacturer in the UV segment</w:t>
      </w:r>
      <w:r w:rsidR="006C7B0A" w:rsidRPr="00370907">
        <w:rPr>
          <w:spacing w:val="-2"/>
          <w:kern w:val="22"/>
          <w:lang w:val="en-GB"/>
        </w:rPr>
        <w:t>,</w:t>
      </w:r>
      <w:r w:rsidRPr="00370907">
        <w:rPr>
          <w:spacing w:val="-2"/>
          <w:kern w:val="22"/>
          <w:lang w:val="en-GB"/>
        </w:rPr>
        <w:t xml:space="preserve"> with a market share of close to 50 per cent at the end of 2013 (see Exhibit</w:t>
      </w:r>
      <w:r w:rsidR="00370907" w:rsidRPr="00370907">
        <w:rPr>
          <w:spacing w:val="-2"/>
          <w:kern w:val="22"/>
          <w:lang w:val="en-GB"/>
        </w:rPr>
        <w:t xml:space="preserve"> </w:t>
      </w:r>
      <w:r w:rsidRPr="00370907">
        <w:rPr>
          <w:spacing w:val="-2"/>
          <w:kern w:val="22"/>
          <w:lang w:val="en-GB"/>
        </w:rPr>
        <w:t>4).</w:t>
      </w:r>
      <w:r w:rsidRPr="00370907">
        <w:rPr>
          <w:rStyle w:val="EndnoteReference"/>
          <w:spacing w:val="-2"/>
          <w:kern w:val="22"/>
          <w:lang w:val="en-GB"/>
        </w:rPr>
        <w:endnoteReference w:id="19"/>
      </w:r>
    </w:p>
    <w:p w14:paraId="3D89F231" w14:textId="77777777" w:rsidR="00DE7981" w:rsidRPr="001F64CE" w:rsidRDefault="00DE7981" w:rsidP="003C0A88">
      <w:pPr>
        <w:pStyle w:val="BodyTextMain"/>
        <w:rPr>
          <w:lang w:val="en-GB"/>
        </w:rPr>
      </w:pPr>
    </w:p>
    <w:p w14:paraId="701D1F89" w14:textId="138BAD83" w:rsidR="00DE7981" w:rsidRPr="001F64CE" w:rsidRDefault="00DE7981" w:rsidP="003C0A88">
      <w:pPr>
        <w:pStyle w:val="BodyTextMain"/>
        <w:rPr>
          <w:lang w:val="en-GB"/>
        </w:rPr>
      </w:pPr>
      <w:r w:rsidRPr="001F64CE">
        <w:rPr>
          <w:lang w:val="en-GB"/>
        </w:rPr>
        <w:t>One could find cars using both petrol and diesel engines in India. Diesel engines worked on compression ignition, whereas petrol engines used spark ignition and had smaller compression ratios. Since diesel was denser than petro</w:t>
      </w:r>
      <w:r w:rsidR="00AD783D" w:rsidRPr="001F64CE">
        <w:rPr>
          <w:lang w:val="en-GB"/>
        </w:rPr>
        <w:t>l</w:t>
      </w:r>
      <w:r w:rsidRPr="001F64CE">
        <w:rPr>
          <w:lang w:val="en-GB"/>
        </w:rPr>
        <w:t xml:space="preserve">, it gave 15 per cent more energy </w:t>
      </w:r>
      <w:r w:rsidR="00AD783D" w:rsidRPr="001F64CE">
        <w:rPr>
          <w:lang w:val="en-GB"/>
        </w:rPr>
        <w:t xml:space="preserve">per litre, so </w:t>
      </w:r>
      <w:r w:rsidRPr="001F64CE">
        <w:rPr>
          <w:lang w:val="en-GB"/>
        </w:rPr>
        <w:t xml:space="preserve">diesel engines gave higher mileage </w:t>
      </w:r>
      <w:r w:rsidR="006C7B0A" w:rsidRPr="001F64CE">
        <w:rPr>
          <w:lang w:val="en-GB"/>
        </w:rPr>
        <w:t>than</w:t>
      </w:r>
      <w:r w:rsidRPr="001F64CE">
        <w:rPr>
          <w:lang w:val="en-GB"/>
        </w:rPr>
        <w:t xml:space="preserve"> petrol engines. The maintenance costs of diesel engines were </w:t>
      </w:r>
      <w:r w:rsidR="006C7B0A" w:rsidRPr="001F64CE">
        <w:rPr>
          <w:lang w:val="en-GB"/>
        </w:rPr>
        <w:t xml:space="preserve">also </w:t>
      </w:r>
      <w:r w:rsidRPr="001F64CE">
        <w:rPr>
          <w:lang w:val="en-GB"/>
        </w:rPr>
        <w:t xml:space="preserve">comparatively lower than </w:t>
      </w:r>
      <w:r w:rsidR="00811678">
        <w:rPr>
          <w:lang w:val="en-GB"/>
        </w:rPr>
        <w:t>those of</w:t>
      </w:r>
      <w:r w:rsidRPr="001F64CE">
        <w:rPr>
          <w:lang w:val="en-GB"/>
        </w:rPr>
        <w:t xml:space="preserve"> petrol engines. However, manufacturing diesel engines was more complicated</w:t>
      </w:r>
      <w:r w:rsidR="006C7B0A" w:rsidRPr="001F64CE">
        <w:rPr>
          <w:lang w:val="en-GB"/>
        </w:rPr>
        <w:t>,</w:t>
      </w:r>
      <w:r w:rsidRPr="001F64CE">
        <w:rPr>
          <w:lang w:val="en-GB"/>
        </w:rPr>
        <w:t xml:space="preserve"> </w:t>
      </w:r>
      <w:r w:rsidR="006C7B0A" w:rsidRPr="001F64CE">
        <w:rPr>
          <w:lang w:val="en-GB"/>
        </w:rPr>
        <w:t>so</w:t>
      </w:r>
      <w:r w:rsidRPr="001F64CE">
        <w:rPr>
          <w:lang w:val="en-GB"/>
        </w:rPr>
        <w:t xml:space="preserve"> diesel engines cost more. </w:t>
      </w:r>
      <w:r w:rsidR="006C7B0A" w:rsidRPr="001F64CE">
        <w:rPr>
          <w:lang w:val="en-GB"/>
        </w:rPr>
        <w:t>P</w:t>
      </w:r>
      <w:r w:rsidRPr="001F64CE">
        <w:rPr>
          <w:lang w:val="en-GB"/>
        </w:rPr>
        <w:t>etrol engines ran at a higher speed and were much quieter</w:t>
      </w:r>
      <w:r w:rsidR="006C7B0A" w:rsidRPr="001F64CE">
        <w:rPr>
          <w:lang w:val="en-GB"/>
        </w:rPr>
        <w:t>.</w:t>
      </w:r>
      <w:r w:rsidRPr="001F64CE">
        <w:rPr>
          <w:rStyle w:val="EndnoteReference"/>
          <w:lang w:val="en-GB"/>
        </w:rPr>
        <w:endnoteReference w:id="20"/>
      </w:r>
      <w:r w:rsidRPr="001F64CE">
        <w:rPr>
          <w:lang w:val="en-GB"/>
        </w:rPr>
        <w:t xml:space="preserve"> </w:t>
      </w:r>
    </w:p>
    <w:p w14:paraId="284FAD87" w14:textId="77777777" w:rsidR="00DE7981" w:rsidRPr="001F64CE" w:rsidRDefault="00DE7981" w:rsidP="003C0A88">
      <w:pPr>
        <w:pStyle w:val="BodyTextMain"/>
        <w:rPr>
          <w:lang w:val="en-GB"/>
        </w:rPr>
      </w:pPr>
    </w:p>
    <w:p w14:paraId="13C0D71B" w14:textId="0981B6E2" w:rsidR="00DE7981" w:rsidRPr="001F64CE" w:rsidRDefault="00DE7981" w:rsidP="003C0A88">
      <w:pPr>
        <w:pStyle w:val="BodyTextMain"/>
        <w:rPr>
          <w:lang w:val="en-GB"/>
        </w:rPr>
      </w:pPr>
      <w:r w:rsidRPr="001F64CE">
        <w:rPr>
          <w:lang w:val="en-GB"/>
        </w:rPr>
        <w:lastRenderedPageBreak/>
        <w:t>Though diesel prices were controlled in India, oil marketing companies had been allowed to hike diesel prices by around half a rupee every month</w:t>
      </w:r>
      <w:r w:rsidR="006C7B0A" w:rsidRPr="001F64CE">
        <w:rPr>
          <w:lang w:val="en-GB"/>
        </w:rPr>
        <w:t xml:space="preserve"> since January 2013.</w:t>
      </w:r>
      <w:r w:rsidRPr="001F64CE">
        <w:rPr>
          <w:rStyle w:val="EndnoteReference"/>
          <w:lang w:val="en-GB"/>
        </w:rPr>
        <w:endnoteReference w:id="21"/>
      </w:r>
      <w:r w:rsidR="006C7B0A" w:rsidRPr="001F64CE">
        <w:rPr>
          <w:lang w:val="en-GB"/>
        </w:rPr>
        <w:t xml:space="preserve"> </w:t>
      </w:r>
      <w:r w:rsidRPr="001F64CE">
        <w:rPr>
          <w:lang w:val="en-GB"/>
        </w:rPr>
        <w:t xml:space="preserve">Consumers in India were highly price sensitive and considered overall costs </w:t>
      </w:r>
      <w:r w:rsidR="006C7B0A" w:rsidRPr="001F64CE">
        <w:rPr>
          <w:lang w:val="en-GB"/>
        </w:rPr>
        <w:t xml:space="preserve">when </w:t>
      </w:r>
      <w:r w:rsidRPr="001F64CE">
        <w:rPr>
          <w:lang w:val="en-GB"/>
        </w:rPr>
        <w:t>purchasing car</w:t>
      </w:r>
      <w:r w:rsidR="006C7B0A" w:rsidRPr="001F64CE">
        <w:rPr>
          <w:lang w:val="en-GB"/>
        </w:rPr>
        <w:t>s</w:t>
      </w:r>
      <w:r w:rsidRPr="001F64CE">
        <w:rPr>
          <w:lang w:val="en-GB"/>
        </w:rPr>
        <w:t xml:space="preserve">. </w:t>
      </w:r>
      <w:r w:rsidR="006C7B0A" w:rsidRPr="001F64CE">
        <w:rPr>
          <w:lang w:val="en-GB"/>
        </w:rPr>
        <w:t xml:space="preserve">This </w:t>
      </w:r>
      <w:r w:rsidRPr="001F64CE">
        <w:rPr>
          <w:lang w:val="en-GB"/>
        </w:rPr>
        <w:t>increase in diesel prices</w:t>
      </w:r>
      <w:r w:rsidR="006C7B0A" w:rsidRPr="001F64CE">
        <w:rPr>
          <w:lang w:val="en-GB"/>
        </w:rPr>
        <w:t xml:space="preserve"> and the higher cost of diesel cars (which had</w:t>
      </w:r>
      <w:r w:rsidRPr="001F64CE">
        <w:rPr>
          <w:lang w:val="en-GB"/>
        </w:rPr>
        <w:t xml:space="preserve"> cost around 20 per cent more than petrol cars</w:t>
      </w:r>
      <w:r w:rsidR="00955D44" w:rsidRPr="001F64CE">
        <w:rPr>
          <w:lang w:val="en-GB"/>
        </w:rPr>
        <w:t>)</w:t>
      </w:r>
      <w:r w:rsidRPr="001F64CE">
        <w:rPr>
          <w:lang w:val="en-GB"/>
        </w:rPr>
        <w:t xml:space="preserve"> resulted in </w:t>
      </w:r>
      <w:r w:rsidR="00955D44" w:rsidRPr="001F64CE">
        <w:rPr>
          <w:lang w:val="en-GB"/>
        </w:rPr>
        <w:t xml:space="preserve">a </w:t>
      </w:r>
      <w:r w:rsidRPr="001F64CE">
        <w:rPr>
          <w:lang w:val="en-GB"/>
        </w:rPr>
        <w:t xml:space="preserve">14 per cent reduction in </w:t>
      </w:r>
      <w:r w:rsidR="00955D44" w:rsidRPr="001F64CE">
        <w:rPr>
          <w:lang w:val="en-GB"/>
        </w:rPr>
        <w:t xml:space="preserve">the </w:t>
      </w:r>
      <w:r w:rsidRPr="001F64CE">
        <w:rPr>
          <w:lang w:val="en-GB"/>
        </w:rPr>
        <w:t xml:space="preserve">demand for diesel cars. According to research reports by ICRA, the market share of diesel cars was expected to fall </w:t>
      </w:r>
      <w:r w:rsidR="00955D44" w:rsidRPr="001F64CE">
        <w:rPr>
          <w:lang w:val="en-GB"/>
        </w:rPr>
        <w:t xml:space="preserve">from 55 per cent </w:t>
      </w:r>
      <w:r w:rsidRPr="001F64CE">
        <w:rPr>
          <w:lang w:val="en-GB"/>
        </w:rPr>
        <w:t>to 35 per cent by 2015</w:t>
      </w:r>
      <w:r w:rsidR="00955D44" w:rsidRPr="001F64CE">
        <w:rPr>
          <w:lang w:val="en-GB"/>
        </w:rPr>
        <w:t>–</w:t>
      </w:r>
      <w:r w:rsidRPr="001F64CE">
        <w:rPr>
          <w:lang w:val="en-GB"/>
        </w:rPr>
        <w:t>2016.</w:t>
      </w:r>
      <w:r w:rsidRPr="001F64CE">
        <w:rPr>
          <w:rStyle w:val="EndnoteReference"/>
          <w:lang w:val="en-GB"/>
        </w:rPr>
        <w:endnoteReference w:id="22"/>
      </w:r>
    </w:p>
    <w:p w14:paraId="6808F016" w14:textId="77777777" w:rsidR="00DE7981" w:rsidRPr="001F64CE" w:rsidRDefault="00DE7981" w:rsidP="003C0A88">
      <w:pPr>
        <w:pStyle w:val="BodyTextMain"/>
        <w:rPr>
          <w:lang w:val="en-GB"/>
        </w:rPr>
      </w:pPr>
    </w:p>
    <w:p w14:paraId="39EF6E8F" w14:textId="25EF7A0F" w:rsidR="00DE7981" w:rsidRPr="001F64CE" w:rsidRDefault="00DE7981" w:rsidP="003C0A88">
      <w:pPr>
        <w:pStyle w:val="BodyTextMain"/>
        <w:rPr>
          <w:lang w:val="en-GB"/>
        </w:rPr>
      </w:pPr>
      <w:r w:rsidRPr="001F64CE">
        <w:rPr>
          <w:lang w:val="en-GB"/>
        </w:rPr>
        <w:t xml:space="preserve">The falling demand for diesel cars forced MSIL to shelve </w:t>
      </w:r>
      <w:r w:rsidR="00955D44" w:rsidRPr="001F64CE">
        <w:rPr>
          <w:lang w:val="en-GB"/>
        </w:rPr>
        <w:t xml:space="preserve">plans to expand </w:t>
      </w:r>
      <w:r w:rsidRPr="001F64CE">
        <w:rPr>
          <w:lang w:val="en-GB"/>
        </w:rPr>
        <w:t xml:space="preserve">diesel engine </w:t>
      </w:r>
      <w:r w:rsidR="00955D44" w:rsidRPr="001F64CE">
        <w:rPr>
          <w:lang w:val="en-GB"/>
        </w:rPr>
        <w:t xml:space="preserve">production </w:t>
      </w:r>
      <w:r w:rsidRPr="001F64CE">
        <w:rPr>
          <w:lang w:val="en-GB"/>
        </w:rPr>
        <w:t>at its Gurgaon plant in October 2013</w:t>
      </w:r>
      <w:r w:rsidR="00955D44" w:rsidRPr="001F64CE">
        <w:rPr>
          <w:lang w:val="en-GB"/>
        </w:rPr>
        <w:t>.</w:t>
      </w:r>
      <w:r w:rsidRPr="001F64CE">
        <w:rPr>
          <w:rStyle w:val="EndnoteReference"/>
          <w:lang w:val="en-GB"/>
        </w:rPr>
        <w:endnoteReference w:id="23"/>
      </w:r>
      <w:r w:rsidRPr="001F64CE">
        <w:rPr>
          <w:lang w:val="en-GB"/>
        </w:rPr>
        <w:t xml:space="preserve"> MSIL sold only 88,000 diesel cars in the third quarter of FY 2014</w:t>
      </w:r>
      <w:r w:rsidR="00955D44" w:rsidRPr="001F64CE">
        <w:rPr>
          <w:lang w:val="en-GB"/>
        </w:rPr>
        <w:t>,</w:t>
      </w:r>
      <w:r w:rsidRPr="001F64CE">
        <w:rPr>
          <w:lang w:val="en-GB"/>
        </w:rPr>
        <w:t xml:space="preserve"> compared to 107,000 the previous year</w:t>
      </w:r>
      <w:r w:rsidR="00955D44" w:rsidRPr="001F64CE">
        <w:rPr>
          <w:lang w:val="en-GB"/>
        </w:rPr>
        <w:t>.</w:t>
      </w:r>
      <w:r w:rsidRPr="001F64CE">
        <w:rPr>
          <w:rStyle w:val="EndnoteReference"/>
          <w:lang w:val="en-GB"/>
        </w:rPr>
        <w:endnoteReference w:id="24"/>
      </w:r>
      <w:r w:rsidRPr="001F64CE">
        <w:rPr>
          <w:lang w:val="en-GB"/>
        </w:rPr>
        <w:t xml:space="preserve"> Since the profit margin of diesel cars was higher, this shift in demand toward petrol cars was expected to affect the profit margin of the company. </w:t>
      </w:r>
    </w:p>
    <w:p w14:paraId="31713360" w14:textId="77777777" w:rsidR="00DE7981" w:rsidRPr="001F64CE" w:rsidRDefault="00DE7981" w:rsidP="003C0A88">
      <w:pPr>
        <w:pStyle w:val="BodyTextMain"/>
        <w:rPr>
          <w:lang w:val="en-GB"/>
        </w:rPr>
      </w:pPr>
    </w:p>
    <w:p w14:paraId="5ECCB208" w14:textId="18E6C518" w:rsidR="00DE7981" w:rsidRPr="001F64CE" w:rsidRDefault="00955D44" w:rsidP="003C0A88">
      <w:pPr>
        <w:pStyle w:val="BodyTextMain"/>
        <w:rPr>
          <w:lang w:val="en-GB"/>
        </w:rPr>
      </w:pPr>
      <w:r w:rsidRPr="001F64CE">
        <w:rPr>
          <w:lang w:val="en-GB"/>
        </w:rPr>
        <w:t>While many foreign auto manufacturers were a</w:t>
      </w:r>
      <w:r w:rsidR="00DE7981" w:rsidRPr="001F64CE">
        <w:rPr>
          <w:lang w:val="en-GB"/>
        </w:rPr>
        <w:t>ttracted by the high growth rate in India’s passenger vehicle market</w:t>
      </w:r>
      <w:r w:rsidRPr="001F64CE">
        <w:rPr>
          <w:lang w:val="en-GB"/>
        </w:rPr>
        <w:t xml:space="preserve"> to </w:t>
      </w:r>
      <w:r w:rsidR="00DE7981" w:rsidRPr="001F64CE">
        <w:rPr>
          <w:lang w:val="en-GB"/>
        </w:rPr>
        <w:t>increase their investment</w:t>
      </w:r>
      <w:r w:rsidRPr="001F64CE">
        <w:rPr>
          <w:lang w:val="en-GB"/>
        </w:rPr>
        <w:t>s</w:t>
      </w:r>
      <w:r w:rsidR="00DE7981" w:rsidRPr="001F64CE">
        <w:rPr>
          <w:lang w:val="en-GB"/>
        </w:rPr>
        <w:t xml:space="preserve"> in India</w:t>
      </w:r>
      <w:r w:rsidRPr="001F64CE">
        <w:rPr>
          <w:lang w:val="en-GB"/>
        </w:rPr>
        <w:t>,</w:t>
      </w:r>
      <w:r w:rsidR="00DE7981" w:rsidRPr="001F64CE">
        <w:rPr>
          <w:rStyle w:val="EndnoteReference"/>
          <w:lang w:val="en-GB"/>
        </w:rPr>
        <w:endnoteReference w:id="25"/>
      </w:r>
      <w:r w:rsidR="00DE7981" w:rsidRPr="001F64CE">
        <w:rPr>
          <w:lang w:val="en-GB"/>
        </w:rPr>
        <w:t xml:space="preserve"> the lower sales growth rate </w:t>
      </w:r>
      <w:r w:rsidRPr="001F64CE">
        <w:rPr>
          <w:lang w:val="en-GB"/>
        </w:rPr>
        <w:t>from</w:t>
      </w:r>
      <w:r w:rsidR="00DE7981" w:rsidRPr="001F64CE">
        <w:rPr>
          <w:lang w:val="en-GB"/>
        </w:rPr>
        <w:t xml:space="preserve"> April </w:t>
      </w:r>
      <w:r w:rsidRPr="001F64CE">
        <w:rPr>
          <w:lang w:val="en-GB"/>
        </w:rPr>
        <w:t xml:space="preserve">to </w:t>
      </w:r>
      <w:r w:rsidR="00DE7981" w:rsidRPr="001F64CE">
        <w:rPr>
          <w:lang w:val="en-GB"/>
        </w:rPr>
        <w:t>December 2013 forced many analysts to revise the projected growth rate for the sector to around 5 per cent for 2014</w:t>
      </w:r>
      <w:r w:rsidRPr="001F64CE">
        <w:rPr>
          <w:lang w:val="en-GB"/>
        </w:rPr>
        <w:t>–20</w:t>
      </w:r>
      <w:r w:rsidR="00DE7981" w:rsidRPr="001F64CE">
        <w:rPr>
          <w:lang w:val="en-GB"/>
        </w:rPr>
        <w:t>15</w:t>
      </w:r>
      <w:r w:rsidRPr="001F64CE">
        <w:rPr>
          <w:lang w:val="en-GB"/>
        </w:rPr>
        <w:t>.</w:t>
      </w:r>
      <w:r w:rsidR="00DE7981" w:rsidRPr="001F64CE">
        <w:rPr>
          <w:rStyle w:val="EndnoteReference"/>
          <w:lang w:val="en-GB"/>
        </w:rPr>
        <w:endnoteReference w:id="26"/>
      </w:r>
      <w:r w:rsidR="00DE7981" w:rsidRPr="001F64CE">
        <w:rPr>
          <w:lang w:val="en-GB"/>
        </w:rPr>
        <w:t xml:space="preserve"> Demand for cars in India depended on various factors</w:t>
      </w:r>
      <w:r w:rsidRPr="001F64CE">
        <w:rPr>
          <w:lang w:val="en-GB"/>
        </w:rPr>
        <w:t>, including</w:t>
      </w:r>
      <w:r w:rsidR="00DE7981" w:rsidRPr="001F64CE">
        <w:rPr>
          <w:lang w:val="en-GB"/>
        </w:rPr>
        <w:t xml:space="preserve"> personal disposable income, </w:t>
      </w:r>
      <w:r w:rsidRPr="001F64CE">
        <w:rPr>
          <w:lang w:val="en-GB"/>
        </w:rPr>
        <w:t xml:space="preserve">bank financing </w:t>
      </w:r>
      <w:r w:rsidR="00DE7981" w:rsidRPr="001F64CE">
        <w:rPr>
          <w:lang w:val="en-GB"/>
        </w:rPr>
        <w:t>rate</w:t>
      </w:r>
      <w:r w:rsidRPr="001F64CE">
        <w:rPr>
          <w:lang w:val="en-GB"/>
        </w:rPr>
        <w:t>s</w:t>
      </w:r>
      <w:r w:rsidR="00DE7981" w:rsidRPr="001F64CE">
        <w:rPr>
          <w:lang w:val="en-GB"/>
        </w:rPr>
        <w:t xml:space="preserve">, the growth rate of the urban population, and the cost of fuel (see Exhibit 5). </w:t>
      </w:r>
    </w:p>
    <w:p w14:paraId="6DD6B3AC" w14:textId="77777777" w:rsidR="00DE7981" w:rsidRPr="001F64CE" w:rsidRDefault="00DE7981" w:rsidP="003C0A88">
      <w:pPr>
        <w:pStyle w:val="BodyTextMain"/>
        <w:rPr>
          <w:lang w:val="en-GB"/>
        </w:rPr>
      </w:pPr>
    </w:p>
    <w:p w14:paraId="60B7B45C" w14:textId="53D1D644" w:rsidR="00DE7981" w:rsidRPr="001F64CE" w:rsidRDefault="00DE7981" w:rsidP="003C0A88">
      <w:pPr>
        <w:pStyle w:val="BodyTextMain"/>
        <w:rPr>
          <w:lang w:val="en-GB"/>
        </w:rPr>
      </w:pPr>
      <w:r w:rsidRPr="001F64CE">
        <w:rPr>
          <w:lang w:val="en-GB"/>
        </w:rPr>
        <w:t xml:space="preserve">The growth rate of India’s </w:t>
      </w:r>
      <w:r w:rsidR="000927A0">
        <w:rPr>
          <w:lang w:val="en-GB"/>
        </w:rPr>
        <w:t>gross domestic product (</w:t>
      </w:r>
      <w:r w:rsidRPr="001F64CE">
        <w:rPr>
          <w:lang w:val="en-GB"/>
        </w:rPr>
        <w:t>GDP</w:t>
      </w:r>
      <w:r w:rsidR="000927A0">
        <w:rPr>
          <w:lang w:val="en-GB"/>
        </w:rPr>
        <w:t>)</w:t>
      </w:r>
      <w:r w:rsidRPr="001F64CE">
        <w:rPr>
          <w:lang w:val="en-GB"/>
        </w:rPr>
        <w:t xml:space="preserve"> had decreased from 7.5 per cent in 2011 to 4.4 per cent in 2013</w:t>
      </w:r>
      <w:r w:rsidR="00955D44" w:rsidRPr="001F64CE">
        <w:rPr>
          <w:lang w:val="en-GB"/>
        </w:rPr>
        <w:t>, and t</w:t>
      </w:r>
      <w:r w:rsidRPr="001F64CE">
        <w:rPr>
          <w:lang w:val="en-GB"/>
        </w:rPr>
        <w:t>he demand for passenger cars had also come down after 2011 (see Exhibit 3). The benchmark repo rate</w:t>
      </w:r>
      <w:r w:rsidR="000E3D82" w:rsidRPr="001F64CE">
        <w:rPr>
          <w:lang w:val="en-GB"/>
        </w:rPr>
        <w:t xml:space="preserve">, or the rate </w:t>
      </w:r>
      <w:r w:rsidRPr="001F64CE">
        <w:rPr>
          <w:lang w:val="en-GB"/>
        </w:rPr>
        <w:t xml:space="preserve">that </w:t>
      </w:r>
      <w:r w:rsidR="00014C38">
        <w:rPr>
          <w:lang w:val="en-GB"/>
        </w:rPr>
        <w:t xml:space="preserve">the Reserve Bank of India </w:t>
      </w:r>
      <w:r w:rsidRPr="001F64CE">
        <w:rPr>
          <w:lang w:val="en-GB"/>
        </w:rPr>
        <w:t>used to moderate the interest rate in India</w:t>
      </w:r>
      <w:r w:rsidR="000E3D82" w:rsidRPr="001F64CE">
        <w:rPr>
          <w:lang w:val="en-GB"/>
        </w:rPr>
        <w:t>,</w:t>
      </w:r>
      <w:r w:rsidRPr="001F64CE">
        <w:rPr>
          <w:lang w:val="en-GB"/>
        </w:rPr>
        <w:t xml:space="preserve"> increased from 5 per cent in 2010 to 7.5 per cent in 2013. </w:t>
      </w:r>
      <w:r w:rsidR="000E3D82" w:rsidRPr="001F64CE">
        <w:rPr>
          <w:lang w:val="en-GB"/>
        </w:rPr>
        <w:t xml:space="preserve">Since about </w:t>
      </w:r>
      <w:r w:rsidRPr="001F64CE">
        <w:rPr>
          <w:lang w:val="en-GB"/>
        </w:rPr>
        <w:t>75</w:t>
      </w:r>
      <w:r w:rsidR="000E3D82" w:rsidRPr="001F64CE">
        <w:rPr>
          <w:lang w:val="en-GB"/>
        </w:rPr>
        <w:t>–</w:t>
      </w:r>
      <w:r w:rsidRPr="001F64CE">
        <w:rPr>
          <w:lang w:val="en-GB"/>
        </w:rPr>
        <w:t xml:space="preserve">90 per cent of </w:t>
      </w:r>
      <w:r w:rsidR="000E3D82" w:rsidRPr="001F64CE">
        <w:rPr>
          <w:lang w:val="en-GB"/>
        </w:rPr>
        <w:t xml:space="preserve">passenger car </w:t>
      </w:r>
      <w:r w:rsidRPr="001F64CE">
        <w:rPr>
          <w:lang w:val="en-GB"/>
        </w:rPr>
        <w:t>sales were financed through loans, a higher rate of interest adversely affected such car purchases</w:t>
      </w:r>
      <w:r w:rsidR="000E3D82" w:rsidRPr="001F64CE">
        <w:rPr>
          <w:lang w:val="en-GB"/>
        </w:rPr>
        <w:t>.</w:t>
      </w:r>
      <w:r w:rsidRPr="001F64CE">
        <w:rPr>
          <w:rStyle w:val="EndnoteReference"/>
          <w:lang w:val="en-GB"/>
        </w:rPr>
        <w:endnoteReference w:id="27"/>
      </w:r>
      <w:r w:rsidRPr="001F64CE">
        <w:rPr>
          <w:lang w:val="en-GB"/>
        </w:rPr>
        <w:t xml:space="preserve"> </w:t>
      </w:r>
      <w:r w:rsidR="000E3D82" w:rsidRPr="001F64CE">
        <w:rPr>
          <w:lang w:val="en-GB"/>
        </w:rPr>
        <w:t xml:space="preserve">However, </w:t>
      </w:r>
      <w:r w:rsidRPr="001F64CE">
        <w:rPr>
          <w:lang w:val="en-GB"/>
        </w:rPr>
        <w:t>India’s urban population</w:t>
      </w:r>
      <w:r w:rsidR="000E3D82" w:rsidRPr="001F64CE">
        <w:rPr>
          <w:lang w:val="en-GB"/>
        </w:rPr>
        <w:t xml:space="preserve"> </w:t>
      </w:r>
      <w:r w:rsidRPr="001F64CE">
        <w:rPr>
          <w:lang w:val="en-GB"/>
        </w:rPr>
        <w:t xml:space="preserve">was increasing rapidly and expected to reach 500 million </w:t>
      </w:r>
      <w:r w:rsidR="000E3D82" w:rsidRPr="001F64CE">
        <w:rPr>
          <w:lang w:val="en-GB"/>
        </w:rPr>
        <w:t xml:space="preserve">by the end of 2020 </w:t>
      </w:r>
      <w:r w:rsidRPr="001F64CE">
        <w:rPr>
          <w:lang w:val="en-GB"/>
        </w:rPr>
        <w:t>(</w:t>
      </w:r>
      <w:r w:rsidR="000E3D82" w:rsidRPr="001F64CE">
        <w:rPr>
          <w:lang w:val="en-GB"/>
        </w:rPr>
        <w:t xml:space="preserve">up </w:t>
      </w:r>
      <w:r w:rsidRPr="001F64CE">
        <w:rPr>
          <w:lang w:val="en-GB"/>
        </w:rPr>
        <w:t>from 300 million in 2011)</w:t>
      </w:r>
      <w:r w:rsidR="000E3D82" w:rsidRPr="001F64CE">
        <w:rPr>
          <w:lang w:val="en-GB"/>
        </w:rPr>
        <w:t>.</w:t>
      </w:r>
      <w:r w:rsidRPr="001F64CE">
        <w:rPr>
          <w:rStyle w:val="EndnoteReference"/>
          <w:lang w:val="en-GB"/>
        </w:rPr>
        <w:endnoteReference w:id="28"/>
      </w:r>
      <w:r w:rsidRPr="001F64CE">
        <w:rPr>
          <w:lang w:val="en-GB"/>
        </w:rPr>
        <w:t xml:space="preserve"> </w:t>
      </w:r>
      <w:r w:rsidR="000E3D82" w:rsidRPr="001F64CE">
        <w:rPr>
          <w:lang w:val="en-GB"/>
        </w:rPr>
        <w:t>T</w:t>
      </w:r>
      <w:r w:rsidRPr="001F64CE">
        <w:rPr>
          <w:lang w:val="en-GB"/>
        </w:rPr>
        <w:t xml:space="preserve">he revival of the economy and </w:t>
      </w:r>
      <w:r w:rsidR="00E17EF5" w:rsidRPr="001F64CE">
        <w:rPr>
          <w:lang w:val="en-GB"/>
        </w:rPr>
        <w:t>the</w:t>
      </w:r>
      <w:r w:rsidR="000E3D82" w:rsidRPr="001F64CE">
        <w:rPr>
          <w:lang w:val="en-GB"/>
        </w:rPr>
        <w:t xml:space="preserve"> </w:t>
      </w:r>
      <w:r w:rsidRPr="001F64CE">
        <w:rPr>
          <w:lang w:val="en-GB"/>
        </w:rPr>
        <w:t xml:space="preserve">decrease in the rate of interest was expected to help the Indian auto industry grow </w:t>
      </w:r>
      <w:r w:rsidR="000E3D82" w:rsidRPr="001F64CE">
        <w:rPr>
          <w:lang w:val="en-GB"/>
        </w:rPr>
        <w:t>quickly</w:t>
      </w:r>
      <w:r w:rsidRPr="001F64CE">
        <w:rPr>
          <w:lang w:val="en-GB"/>
        </w:rPr>
        <w:t xml:space="preserve">. </w:t>
      </w:r>
    </w:p>
    <w:p w14:paraId="028F1667" w14:textId="77777777" w:rsidR="00DE7981" w:rsidRPr="001F64CE" w:rsidRDefault="00DE7981" w:rsidP="003C0A88">
      <w:pPr>
        <w:pStyle w:val="BodyTextMain"/>
        <w:rPr>
          <w:lang w:val="en-GB"/>
        </w:rPr>
      </w:pPr>
    </w:p>
    <w:p w14:paraId="465B0CE3" w14:textId="77777777" w:rsidR="00DE7981" w:rsidRPr="001F64CE" w:rsidRDefault="00DE7981" w:rsidP="003C0A88">
      <w:pPr>
        <w:pStyle w:val="BodyTextMain"/>
        <w:rPr>
          <w:lang w:val="en-GB"/>
        </w:rPr>
      </w:pPr>
    </w:p>
    <w:p w14:paraId="2E0A4566" w14:textId="47A928EB" w:rsidR="00DE7981" w:rsidRPr="001F64CE" w:rsidRDefault="000927A0" w:rsidP="003C0A88">
      <w:pPr>
        <w:pStyle w:val="Casehead1"/>
        <w:rPr>
          <w:lang w:val="en-GB"/>
        </w:rPr>
      </w:pPr>
      <w:r>
        <w:rPr>
          <w:lang w:val="en-GB"/>
        </w:rPr>
        <w:t>Gujarat plant expansion</w:t>
      </w:r>
    </w:p>
    <w:p w14:paraId="5B1517DF" w14:textId="77777777" w:rsidR="00DE7981" w:rsidRPr="001F64CE" w:rsidRDefault="00DE7981" w:rsidP="003C0A88">
      <w:pPr>
        <w:pStyle w:val="BodyTextMain"/>
        <w:rPr>
          <w:lang w:val="en-GB"/>
        </w:rPr>
      </w:pPr>
    </w:p>
    <w:p w14:paraId="5E63FB3D" w14:textId="6823E97B" w:rsidR="00DE7981" w:rsidRPr="001F64CE" w:rsidRDefault="00DE7981" w:rsidP="003C0A88">
      <w:pPr>
        <w:pStyle w:val="BodyTextMain"/>
        <w:rPr>
          <w:rFonts w:eastAsia="Batang"/>
          <w:lang w:val="en-GB"/>
        </w:rPr>
      </w:pPr>
      <w:r w:rsidRPr="001F64CE">
        <w:rPr>
          <w:rFonts w:eastAsia="Batang"/>
          <w:lang w:val="en-GB"/>
        </w:rPr>
        <w:t xml:space="preserve">On October 29, 2011, MSIL’s </w:t>
      </w:r>
      <w:r w:rsidR="00E17EF5" w:rsidRPr="001F64CE">
        <w:rPr>
          <w:rFonts w:eastAsia="Batang"/>
          <w:lang w:val="en-GB"/>
        </w:rPr>
        <w:t>b</w:t>
      </w:r>
      <w:r w:rsidRPr="001F64CE">
        <w:rPr>
          <w:rFonts w:eastAsia="Batang"/>
          <w:lang w:val="en-GB"/>
        </w:rPr>
        <w:t xml:space="preserve">oard approved </w:t>
      </w:r>
      <w:r w:rsidR="00E17EF5" w:rsidRPr="001F64CE">
        <w:rPr>
          <w:rFonts w:eastAsia="Batang"/>
          <w:lang w:val="en-GB"/>
        </w:rPr>
        <w:t xml:space="preserve">a </w:t>
      </w:r>
      <w:r w:rsidRPr="001F64CE">
        <w:rPr>
          <w:rFonts w:eastAsia="Batang"/>
          <w:lang w:val="en-GB"/>
        </w:rPr>
        <w:t>decision to acquire land in Gujarat to expand the company’s manufacturing facilities</w:t>
      </w:r>
      <w:r w:rsidR="00E17EF5" w:rsidRPr="001F64CE">
        <w:rPr>
          <w:rFonts w:eastAsia="Batang"/>
          <w:lang w:val="en-GB"/>
        </w:rPr>
        <w:t>, and the company s</w:t>
      </w:r>
      <w:r w:rsidRPr="001F64CE">
        <w:rPr>
          <w:rFonts w:eastAsia="Batang"/>
          <w:lang w:val="en-GB"/>
        </w:rPr>
        <w:t xml:space="preserve">ubsequently acquired about </w:t>
      </w:r>
      <w:r w:rsidR="00E17EF5" w:rsidRPr="001F64CE">
        <w:rPr>
          <w:rFonts w:eastAsia="Batang"/>
          <w:lang w:val="en-GB"/>
        </w:rPr>
        <w:t>485 hectares</w:t>
      </w:r>
      <w:r w:rsidRPr="001F64CE">
        <w:rPr>
          <w:rFonts w:eastAsia="Batang"/>
          <w:lang w:val="en-GB"/>
        </w:rPr>
        <w:t xml:space="preserve"> of land in Becharaji and Vithalapur</w:t>
      </w:r>
      <w:r w:rsidR="00E17EF5" w:rsidRPr="001F64CE">
        <w:rPr>
          <w:rFonts w:eastAsia="Batang"/>
          <w:lang w:val="en-GB"/>
        </w:rPr>
        <w:t xml:space="preserve">, </w:t>
      </w:r>
      <w:r w:rsidRPr="001F64CE">
        <w:rPr>
          <w:rFonts w:eastAsia="Batang"/>
          <w:lang w:val="en-GB"/>
        </w:rPr>
        <w:t>Gujarat</w:t>
      </w:r>
      <w:r w:rsidR="006F4CD0" w:rsidRPr="001F64CE">
        <w:rPr>
          <w:rFonts w:eastAsia="Batang"/>
          <w:lang w:val="en-GB"/>
        </w:rPr>
        <w:t>,</w:t>
      </w:r>
      <w:r w:rsidRPr="001F64CE">
        <w:rPr>
          <w:rFonts w:eastAsia="Batang"/>
          <w:lang w:val="en-GB"/>
        </w:rPr>
        <w:t xml:space="preserve"> at a cost of around </w:t>
      </w:r>
      <w:r w:rsidRPr="001F64CE">
        <w:rPr>
          <w:rFonts w:ascii="Arial" w:hAnsi="Arial" w:cs="Arial"/>
          <w:sz w:val="20"/>
          <w:szCs w:val="20"/>
          <w:shd w:val="clear" w:color="auto" w:fill="FFFFFF"/>
          <w:lang w:val="en-GB"/>
        </w:rPr>
        <w:t>₹</w:t>
      </w:r>
      <w:r w:rsidRPr="001F64CE">
        <w:rPr>
          <w:rFonts w:eastAsia="Batang"/>
          <w:lang w:val="en-GB"/>
        </w:rPr>
        <w:t>2,500 million</w:t>
      </w:r>
      <w:r w:rsidR="00E17EF5" w:rsidRPr="001F64CE">
        <w:rPr>
          <w:rFonts w:eastAsia="Batang"/>
          <w:lang w:val="en-GB"/>
        </w:rPr>
        <w:t>.</w:t>
      </w:r>
      <w:r w:rsidRPr="001F64CE">
        <w:rPr>
          <w:rStyle w:val="EndnoteReference"/>
          <w:rFonts w:eastAsia="Batang"/>
          <w:lang w:val="en-GB"/>
        </w:rPr>
        <w:endnoteReference w:id="29"/>
      </w:r>
      <w:r w:rsidRPr="001F64CE">
        <w:rPr>
          <w:rFonts w:eastAsia="Batang"/>
          <w:lang w:val="en-GB"/>
        </w:rPr>
        <w:t xml:space="preserve"> The expansion was supposedly put on hold due to market conditions</w:t>
      </w:r>
      <w:r w:rsidR="00E17EF5" w:rsidRPr="001F64CE">
        <w:rPr>
          <w:rFonts w:eastAsia="Batang"/>
          <w:lang w:val="en-GB"/>
        </w:rPr>
        <w:t>.</w:t>
      </w:r>
      <w:r w:rsidRPr="001F64CE">
        <w:rPr>
          <w:rStyle w:val="EndnoteReference"/>
          <w:rFonts w:eastAsia="Batang"/>
          <w:lang w:val="en-GB"/>
        </w:rPr>
        <w:endnoteReference w:id="30"/>
      </w:r>
      <w:r w:rsidRPr="001F64CE">
        <w:rPr>
          <w:rFonts w:eastAsia="Batang"/>
          <w:lang w:val="en-GB"/>
        </w:rPr>
        <w:t xml:space="preserve"> However, on January 28, 2014, MSIL announced that the proposed </w:t>
      </w:r>
      <w:r w:rsidR="00E17EF5" w:rsidRPr="001F64CE">
        <w:rPr>
          <w:rFonts w:eastAsia="Batang"/>
          <w:lang w:val="en-GB"/>
        </w:rPr>
        <w:t xml:space="preserve">Gujarat </w:t>
      </w:r>
      <w:r w:rsidRPr="001F64CE">
        <w:rPr>
          <w:rFonts w:eastAsia="Batang"/>
          <w:lang w:val="en-GB"/>
        </w:rPr>
        <w:t xml:space="preserve">plant would be operated by </w:t>
      </w:r>
      <w:r w:rsidR="00E17EF5" w:rsidRPr="001F64CE">
        <w:rPr>
          <w:rFonts w:eastAsia="Batang"/>
          <w:lang w:val="en-GB"/>
        </w:rPr>
        <w:t xml:space="preserve">its parent company, </w:t>
      </w:r>
      <w:r w:rsidRPr="001F64CE">
        <w:rPr>
          <w:rFonts w:eastAsia="Batang"/>
          <w:lang w:val="en-GB"/>
        </w:rPr>
        <w:t>SMC. The plant would be set up as Suzuki Motor Gujarat (SMG)</w:t>
      </w:r>
      <w:r w:rsidR="00E17EF5" w:rsidRPr="001F64CE">
        <w:rPr>
          <w:rFonts w:eastAsia="Batang"/>
          <w:lang w:val="en-GB"/>
        </w:rPr>
        <w:t>,</w:t>
      </w:r>
      <w:r w:rsidRPr="001F64CE">
        <w:rPr>
          <w:rFonts w:eastAsia="Batang"/>
          <w:lang w:val="en-GB"/>
        </w:rPr>
        <w:t xml:space="preserve"> would be owned completely by SMC</w:t>
      </w:r>
      <w:r w:rsidR="00E17EF5" w:rsidRPr="001F64CE">
        <w:rPr>
          <w:rFonts w:eastAsia="Batang"/>
          <w:lang w:val="en-GB"/>
        </w:rPr>
        <w:t>,</w:t>
      </w:r>
      <w:r w:rsidRPr="001F64CE">
        <w:rPr>
          <w:rFonts w:eastAsia="Batang"/>
          <w:lang w:val="en-GB"/>
        </w:rPr>
        <w:t xml:space="preserve"> and would manufacture vehicles only for MSIL. The total cost of the plant was estimated to be </w:t>
      </w:r>
      <w:r w:rsidRPr="001F64CE">
        <w:rPr>
          <w:rFonts w:ascii="Arial" w:hAnsi="Arial" w:cs="Arial"/>
          <w:sz w:val="20"/>
          <w:szCs w:val="20"/>
          <w:shd w:val="clear" w:color="auto" w:fill="FFFFFF"/>
          <w:lang w:val="en-GB"/>
        </w:rPr>
        <w:t>₹</w:t>
      </w:r>
      <w:r w:rsidRPr="001F64CE">
        <w:rPr>
          <w:rFonts w:eastAsia="Batang"/>
          <w:lang w:val="en-GB"/>
        </w:rPr>
        <w:t>30 billion</w:t>
      </w:r>
      <w:r w:rsidR="000E3D82" w:rsidRPr="001F64CE">
        <w:rPr>
          <w:rFonts w:eastAsia="Batang"/>
          <w:lang w:val="en-GB"/>
        </w:rPr>
        <w:t>.</w:t>
      </w:r>
      <w:r w:rsidRPr="001F64CE">
        <w:rPr>
          <w:rStyle w:val="EndnoteReference"/>
          <w:rFonts w:eastAsia="Batang"/>
          <w:lang w:val="en-GB"/>
        </w:rPr>
        <w:endnoteReference w:id="31"/>
      </w:r>
    </w:p>
    <w:p w14:paraId="3CAA2BA7" w14:textId="77777777" w:rsidR="00DE7981" w:rsidRPr="001F64CE" w:rsidRDefault="00DE7981" w:rsidP="003C0A88">
      <w:pPr>
        <w:pStyle w:val="BodyTextMain"/>
        <w:rPr>
          <w:rFonts w:eastAsia="Batang"/>
          <w:lang w:val="en-GB"/>
        </w:rPr>
      </w:pPr>
    </w:p>
    <w:p w14:paraId="67596CFF" w14:textId="3F939CCF" w:rsidR="00DE7981" w:rsidRPr="001F64CE" w:rsidRDefault="00E17EF5" w:rsidP="003C0A88">
      <w:pPr>
        <w:pStyle w:val="BodyTextMain"/>
        <w:rPr>
          <w:rFonts w:eastAsia="Batang"/>
          <w:lang w:val="en-GB"/>
        </w:rPr>
      </w:pPr>
      <w:r w:rsidRPr="001F64CE">
        <w:rPr>
          <w:rFonts w:eastAsia="Batang"/>
          <w:lang w:val="en-GB"/>
        </w:rPr>
        <w:t xml:space="preserve">MSIL’s </w:t>
      </w:r>
      <w:r w:rsidR="00DE7981" w:rsidRPr="001F64CE">
        <w:rPr>
          <w:rFonts w:eastAsia="Batang"/>
          <w:lang w:val="en-GB"/>
        </w:rPr>
        <w:t xml:space="preserve">press release </w:t>
      </w:r>
      <w:r w:rsidRPr="001F64CE">
        <w:rPr>
          <w:rFonts w:eastAsia="Batang"/>
          <w:lang w:val="en-GB"/>
        </w:rPr>
        <w:t xml:space="preserve">announced that the vehicles manufactured by SMG would be sold to MSIL at cost plus adequate cash to cover the incremental </w:t>
      </w:r>
      <w:r w:rsidR="00607683" w:rsidRPr="001F64CE">
        <w:rPr>
          <w:rFonts w:eastAsia="Batang"/>
          <w:lang w:val="en-GB"/>
        </w:rPr>
        <w:t>CAPEX</w:t>
      </w:r>
      <w:r w:rsidRPr="001F64CE">
        <w:rPr>
          <w:rFonts w:eastAsia="Batang"/>
          <w:lang w:val="en-GB"/>
        </w:rPr>
        <w:t>.</w:t>
      </w:r>
      <w:r w:rsidR="00DE7981" w:rsidRPr="001F64CE">
        <w:rPr>
          <w:rStyle w:val="EndnoteReference"/>
          <w:rFonts w:eastAsia="Batang"/>
          <w:lang w:val="en-GB"/>
        </w:rPr>
        <w:endnoteReference w:id="32"/>
      </w:r>
      <w:r w:rsidR="00DE7981" w:rsidRPr="001F64CE">
        <w:rPr>
          <w:rFonts w:eastAsia="Batang"/>
          <w:lang w:val="en-GB"/>
        </w:rPr>
        <w:t xml:space="preserve"> The initial investment would be for 250,000 units</w:t>
      </w:r>
      <w:r w:rsidRPr="001F64CE">
        <w:rPr>
          <w:rFonts w:eastAsia="Batang"/>
          <w:lang w:val="en-GB"/>
        </w:rPr>
        <w:t xml:space="preserve">, and </w:t>
      </w:r>
      <w:r w:rsidR="00DE7981" w:rsidRPr="001F64CE">
        <w:rPr>
          <w:rFonts w:eastAsia="Batang"/>
          <w:lang w:val="en-GB"/>
        </w:rPr>
        <w:t xml:space="preserve">production would </w:t>
      </w:r>
      <w:r w:rsidRPr="001F64CE">
        <w:rPr>
          <w:rFonts w:eastAsia="Batang"/>
          <w:lang w:val="en-GB"/>
        </w:rPr>
        <w:t>begin in</w:t>
      </w:r>
      <w:r w:rsidR="00DE7981" w:rsidRPr="001F64CE">
        <w:rPr>
          <w:rFonts w:eastAsia="Batang"/>
          <w:lang w:val="en-GB"/>
        </w:rPr>
        <w:t xml:space="preserve"> 2018. Subsequent expansions </w:t>
      </w:r>
      <w:r w:rsidRPr="001F64CE">
        <w:rPr>
          <w:rFonts w:eastAsia="Batang"/>
          <w:lang w:val="en-GB"/>
        </w:rPr>
        <w:t xml:space="preserve">of </w:t>
      </w:r>
      <w:r w:rsidR="00DE7981" w:rsidRPr="001F64CE">
        <w:rPr>
          <w:rFonts w:eastAsia="Batang"/>
          <w:lang w:val="en-GB"/>
        </w:rPr>
        <w:t xml:space="preserve">the plant would be financed </w:t>
      </w:r>
      <w:r w:rsidRPr="001F64CE">
        <w:rPr>
          <w:rFonts w:eastAsia="Batang"/>
          <w:lang w:val="en-GB"/>
        </w:rPr>
        <w:t xml:space="preserve">by </w:t>
      </w:r>
      <w:r w:rsidR="00DE7981" w:rsidRPr="001F64CE">
        <w:rPr>
          <w:rFonts w:eastAsia="Batang"/>
          <w:lang w:val="en-GB"/>
        </w:rPr>
        <w:t xml:space="preserve">internal accruals </w:t>
      </w:r>
      <w:r w:rsidR="008B78A6" w:rsidRPr="001F64CE">
        <w:rPr>
          <w:rFonts w:eastAsia="Batang"/>
          <w:lang w:val="en-GB"/>
        </w:rPr>
        <w:t xml:space="preserve">from </w:t>
      </w:r>
      <w:r w:rsidR="00DE7981" w:rsidRPr="001F64CE">
        <w:rPr>
          <w:rFonts w:eastAsia="Batang"/>
          <w:lang w:val="en-GB"/>
        </w:rPr>
        <w:t xml:space="preserve">the Gujarat plant. Given that the total land size of the Gujarat plant was </w:t>
      </w:r>
      <w:r w:rsidR="008B78A6" w:rsidRPr="001F64CE">
        <w:rPr>
          <w:rFonts w:eastAsia="Batang"/>
          <w:lang w:val="en-GB"/>
        </w:rPr>
        <w:t>485 hectares</w:t>
      </w:r>
      <w:r w:rsidR="00DE7981" w:rsidRPr="001F64CE">
        <w:rPr>
          <w:rFonts w:eastAsia="Batang"/>
          <w:lang w:val="en-GB"/>
        </w:rPr>
        <w:t>, the maximum capacity of the new plant would be 1.5 million units</w:t>
      </w:r>
      <w:r w:rsidR="002C56A5" w:rsidRPr="001F64CE">
        <w:rPr>
          <w:rFonts w:eastAsia="Batang"/>
          <w:lang w:val="en-GB"/>
        </w:rPr>
        <w:t>.</w:t>
      </w:r>
      <w:r w:rsidR="00DE7981" w:rsidRPr="001F64CE">
        <w:rPr>
          <w:rStyle w:val="EndnoteReference"/>
          <w:rFonts w:eastAsia="Batang"/>
          <w:lang w:val="en-GB"/>
        </w:rPr>
        <w:endnoteReference w:id="33"/>
      </w:r>
      <w:r w:rsidR="00DE7981" w:rsidRPr="001F64CE">
        <w:rPr>
          <w:rFonts w:eastAsia="Batang"/>
          <w:lang w:val="en-GB"/>
        </w:rPr>
        <w:t xml:space="preserve"> The </w:t>
      </w:r>
      <w:r w:rsidR="000F6470" w:rsidRPr="001F64CE">
        <w:rPr>
          <w:rFonts w:eastAsia="Batang"/>
          <w:lang w:val="en-GB"/>
        </w:rPr>
        <w:t xml:space="preserve">plant would have a capacity of 1.5 million cars per year and was expected to have a </w:t>
      </w:r>
      <w:r w:rsidR="00DE7981" w:rsidRPr="001F64CE">
        <w:rPr>
          <w:rFonts w:eastAsia="Batang"/>
          <w:lang w:val="en-GB"/>
        </w:rPr>
        <w:t xml:space="preserve">total </w:t>
      </w:r>
      <w:r w:rsidR="00607683" w:rsidRPr="001F64CE">
        <w:rPr>
          <w:rFonts w:eastAsia="Batang"/>
          <w:lang w:val="en-GB"/>
        </w:rPr>
        <w:t>CAPEX</w:t>
      </w:r>
      <w:r w:rsidR="00DE7981" w:rsidRPr="001F64CE">
        <w:rPr>
          <w:rFonts w:eastAsia="Batang"/>
          <w:lang w:val="en-GB"/>
        </w:rPr>
        <w:t xml:space="preserve"> between </w:t>
      </w:r>
      <w:r w:rsidR="00DE7981" w:rsidRPr="001F64CE">
        <w:rPr>
          <w:rFonts w:ascii="Arial" w:hAnsi="Arial" w:cs="Arial"/>
          <w:sz w:val="20"/>
          <w:szCs w:val="20"/>
          <w:shd w:val="clear" w:color="auto" w:fill="FFFFFF"/>
          <w:lang w:val="en-GB"/>
        </w:rPr>
        <w:t>₹</w:t>
      </w:r>
      <w:r w:rsidR="00DE7981" w:rsidRPr="001F64CE">
        <w:rPr>
          <w:rFonts w:eastAsia="Batang"/>
          <w:lang w:val="en-GB"/>
        </w:rPr>
        <w:t xml:space="preserve">170 billion </w:t>
      </w:r>
      <w:r w:rsidR="000F6470" w:rsidRPr="001F64CE">
        <w:rPr>
          <w:rFonts w:eastAsia="Batang"/>
          <w:lang w:val="en-GB"/>
        </w:rPr>
        <w:t xml:space="preserve">and </w:t>
      </w:r>
      <w:r w:rsidR="00DE7981" w:rsidRPr="001F64CE">
        <w:rPr>
          <w:rFonts w:ascii="Arial" w:hAnsi="Arial" w:cs="Arial"/>
          <w:sz w:val="20"/>
          <w:szCs w:val="20"/>
          <w:shd w:val="clear" w:color="auto" w:fill="FFFFFF"/>
          <w:lang w:val="en-GB"/>
        </w:rPr>
        <w:t>₹</w:t>
      </w:r>
      <w:r w:rsidR="00DE7981" w:rsidRPr="001F64CE">
        <w:rPr>
          <w:rFonts w:eastAsia="Batang"/>
          <w:lang w:val="en-GB"/>
        </w:rPr>
        <w:t>300 billion</w:t>
      </w:r>
      <w:r w:rsidR="000F6470" w:rsidRPr="001F64CE">
        <w:rPr>
          <w:rFonts w:eastAsia="Batang"/>
          <w:lang w:val="en-GB"/>
        </w:rPr>
        <w:t>.</w:t>
      </w:r>
      <w:r w:rsidR="00DE7981" w:rsidRPr="001F64CE">
        <w:rPr>
          <w:rStyle w:val="EndnoteReference"/>
          <w:rFonts w:eastAsia="Batang"/>
          <w:lang w:val="en-GB"/>
        </w:rPr>
        <w:endnoteReference w:id="34"/>
      </w:r>
      <w:r w:rsidR="00DE7981" w:rsidRPr="001F64CE">
        <w:rPr>
          <w:rFonts w:eastAsia="Batang"/>
          <w:lang w:val="en-GB"/>
        </w:rPr>
        <w:t xml:space="preserve"> The potential </w:t>
      </w:r>
      <w:r w:rsidR="00062125" w:rsidRPr="001F64CE">
        <w:rPr>
          <w:rFonts w:eastAsia="Batang"/>
          <w:lang w:val="en-GB"/>
        </w:rPr>
        <w:t xml:space="preserve">combined </w:t>
      </w:r>
      <w:r w:rsidR="00DE7981" w:rsidRPr="001F64CE">
        <w:rPr>
          <w:rFonts w:eastAsia="Batang"/>
          <w:lang w:val="en-GB"/>
        </w:rPr>
        <w:t xml:space="preserve">capacity at MSIL and the Gujarat plant was expected to </w:t>
      </w:r>
      <w:r w:rsidR="00062125" w:rsidRPr="001F64CE">
        <w:rPr>
          <w:rFonts w:eastAsia="Batang"/>
          <w:lang w:val="en-GB"/>
        </w:rPr>
        <w:t>supply</w:t>
      </w:r>
      <w:r w:rsidR="00DE7981" w:rsidRPr="001F64CE">
        <w:rPr>
          <w:rFonts w:eastAsia="Batang"/>
          <w:lang w:val="en-GB"/>
        </w:rPr>
        <w:t xml:space="preserve"> all of MSIL</w:t>
      </w:r>
      <w:r w:rsidR="00062125" w:rsidRPr="001F64CE">
        <w:rPr>
          <w:rFonts w:eastAsia="Batang"/>
          <w:lang w:val="en-GB"/>
        </w:rPr>
        <w:t>’s</w:t>
      </w:r>
      <w:r w:rsidR="00DE7981" w:rsidRPr="001F64CE">
        <w:rPr>
          <w:rFonts w:eastAsia="Batang"/>
          <w:lang w:val="en-GB"/>
        </w:rPr>
        <w:t xml:space="preserve"> </w:t>
      </w:r>
      <w:r w:rsidR="00062125" w:rsidRPr="001F64CE">
        <w:rPr>
          <w:rFonts w:eastAsia="Batang"/>
          <w:lang w:val="en-GB"/>
        </w:rPr>
        <w:t xml:space="preserve">sales </w:t>
      </w:r>
      <w:r w:rsidR="00DE7981" w:rsidRPr="001F64CE">
        <w:rPr>
          <w:rFonts w:eastAsia="Batang"/>
          <w:lang w:val="en-GB"/>
        </w:rPr>
        <w:t xml:space="preserve">until 2023. The press release also </w:t>
      </w:r>
      <w:r w:rsidR="00062125" w:rsidRPr="001F64CE">
        <w:rPr>
          <w:rFonts w:eastAsia="Batang"/>
          <w:lang w:val="en-GB"/>
        </w:rPr>
        <w:t xml:space="preserve">indicated </w:t>
      </w:r>
      <w:r w:rsidR="00DE7981" w:rsidRPr="001F64CE">
        <w:rPr>
          <w:rFonts w:eastAsia="Batang"/>
          <w:lang w:val="en-GB"/>
        </w:rPr>
        <w:t xml:space="preserve">that the land would be leased by MSIL to SMG on an </w:t>
      </w:r>
      <w:r w:rsidR="00062125" w:rsidRPr="001F64CE">
        <w:rPr>
          <w:rFonts w:eastAsia="Batang"/>
          <w:lang w:val="en-GB"/>
        </w:rPr>
        <w:t>arm</w:t>
      </w:r>
      <w:r w:rsidR="000927A0">
        <w:rPr>
          <w:rFonts w:eastAsia="Batang"/>
          <w:lang w:val="en-GB"/>
        </w:rPr>
        <w:t>’</w:t>
      </w:r>
      <w:r w:rsidR="00062125" w:rsidRPr="001F64CE">
        <w:rPr>
          <w:rFonts w:eastAsia="Batang"/>
          <w:lang w:val="en-GB"/>
        </w:rPr>
        <w:t>s-</w:t>
      </w:r>
      <w:r w:rsidR="00DE7981" w:rsidRPr="001F64CE">
        <w:rPr>
          <w:rFonts w:eastAsia="Batang"/>
          <w:lang w:val="en-GB"/>
        </w:rPr>
        <w:t xml:space="preserve">length basis. Though </w:t>
      </w:r>
      <w:r w:rsidR="00062125" w:rsidRPr="001F64CE">
        <w:rPr>
          <w:rFonts w:eastAsia="Batang"/>
          <w:lang w:val="en-GB"/>
        </w:rPr>
        <w:t xml:space="preserve">the amount of the rent </w:t>
      </w:r>
      <w:r w:rsidR="00DE7981" w:rsidRPr="001F64CE">
        <w:rPr>
          <w:rFonts w:eastAsia="Batang"/>
          <w:lang w:val="en-GB"/>
        </w:rPr>
        <w:t xml:space="preserve">was </w:t>
      </w:r>
      <w:r w:rsidR="00062125" w:rsidRPr="001F64CE">
        <w:rPr>
          <w:rFonts w:eastAsia="Batang"/>
          <w:lang w:val="en-GB"/>
        </w:rPr>
        <w:t xml:space="preserve">not disclosed, </w:t>
      </w:r>
      <w:r w:rsidR="00DE7981" w:rsidRPr="001F64CE">
        <w:rPr>
          <w:rFonts w:eastAsia="Batang"/>
          <w:lang w:val="en-GB"/>
        </w:rPr>
        <w:t>people normally used 5</w:t>
      </w:r>
      <w:r w:rsidR="00062125" w:rsidRPr="001F64CE">
        <w:rPr>
          <w:rFonts w:eastAsia="Batang"/>
          <w:lang w:val="en-GB"/>
        </w:rPr>
        <w:t>–</w:t>
      </w:r>
      <w:r w:rsidR="00DE7981" w:rsidRPr="001F64CE">
        <w:rPr>
          <w:rFonts w:eastAsia="Batang"/>
          <w:lang w:val="en-GB"/>
        </w:rPr>
        <w:t>7 per cent as the capitalization rate wh</w:t>
      </w:r>
      <w:r w:rsidR="00062125" w:rsidRPr="001F64CE">
        <w:rPr>
          <w:rFonts w:eastAsia="Batang"/>
          <w:lang w:val="en-GB"/>
        </w:rPr>
        <w:t>en</w:t>
      </w:r>
      <w:r w:rsidR="00DE7981" w:rsidRPr="001F64CE">
        <w:rPr>
          <w:rFonts w:eastAsia="Batang"/>
          <w:lang w:val="en-GB"/>
        </w:rPr>
        <w:t xml:space="preserve"> valuing real estate</w:t>
      </w:r>
      <w:r w:rsidR="00062125" w:rsidRPr="001F64CE">
        <w:rPr>
          <w:rFonts w:eastAsia="Batang"/>
          <w:lang w:val="en-GB"/>
        </w:rPr>
        <w:t xml:space="preserve"> in India.</w:t>
      </w:r>
      <w:r w:rsidR="00DE7981" w:rsidRPr="001F64CE">
        <w:rPr>
          <w:rStyle w:val="EndnoteReference"/>
          <w:rFonts w:eastAsia="Batang"/>
          <w:lang w:val="en-GB"/>
        </w:rPr>
        <w:endnoteReference w:id="35"/>
      </w:r>
      <w:r w:rsidR="00DE7981" w:rsidRPr="001F64CE">
        <w:rPr>
          <w:rFonts w:eastAsia="Batang"/>
          <w:lang w:val="en-GB"/>
        </w:rPr>
        <w:t xml:space="preserve"> </w:t>
      </w:r>
      <w:r w:rsidR="00062125" w:rsidRPr="001F64CE">
        <w:rPr>
          <w:rFonts w:eastAsia="Batang"/>
          <w:lang w:val="en-GB"/>
        </w:rPr>
        <w:t xml:space="preserve">SMG </w:t>
      </w:r>
      <w:r w:rsidR="00DE7981" w:rsidRPr="001F64CE">
        <w:rPr>
          <w:rFonts w:eastAsia="Batang"/>
          <w:lang w:val="en-GB"/>
        </w:rPr>
        <w:t xml:space="preserve">would </w:t>
      </w:r>
      <w:r w:rsidR="00062125" w:rsidRPr="001F64CE">
        <w:rPr>
          <w:rFonts w:eastAsia="Batang"/>
          <w:lang w:val="en-GB"/>
        </w:rPr>
        <w:t xml:space="preserve">initially </w:t>
      </w:r>
      <w:r w:rsidR="00DE7981" w:rsidRPr="001F64CE">
        <w:rPr>
          <w:rFonts w:eastAsia="Batang"/>
          <w:lang w:val="en-GB"/>
        </w:rPr>
        <w:t xml:space="preserve">sign a </w:t>
      </w:r>
      <w:r w:rsidR="00062125" w:rsidRPr="001F64CE">
        <w:rPr>
          <w:rFonts w:eastAsia="Batang"/>
          <w:lang w:val="en-GB"/>
        </w:rPr>
        <w:t xml:space="preserve">15-year </w:t>
      </w:r>
      <w:r w:rsidR="00DE7981" w:rsidRPr="001F64CE">
        <w:rPr>
          <w:rFonts w:eastAsia="Batang"/>
          <w:lang w:val="en-GB"/>
        </w:rPr>
        <w:t>agreement with MSIL</w:t>
      </w:r>
      <w:r w:rsidR="00062125" w:rsidRPr="001F64CE">
        <w:rPr>
          <w:rFonts w:eastAsia="Batang"/>
          <w:lang w:val="en-GB"/>
        </w:rPr>
        <w:t>, and this</w:t>
      </w:r>
      <w:r w:rsidR="00DE7981" w:rsidRPr="001F64CE">
        <w:rPr>
          <w:rFonts w:eastAsia="Batang"/>
          <w:lang w:val="en-GB"/>
        </w:rPr>
        <w:t xml:space="preserve"> agreement might be extended after 15 years (see Exhibit 6).</w:t>
      </w:r>
    </w:p>
    <w:p w14:paraId="544A78F3" w14:textId="2741F096" w:rsidR="00DE7981" w:rsidRPr="001F64CE" w:rsidRDefault="00DE7981" w:rsidP="003C0A88">
      <w:pPr>
        <w:pStyle w:val="BodyTextMain"/>
        <w:rPr>
          <w:rFonts w:eastAsia="Batang"/>
          <w:lang w:val="en-GB"/>
        </w:rPr>
      </w:pPr>
      <w:r w:rsidRPr="001F64CE">
        <w:rPr>
          <w:rFonts w:eastAsia="Batang"/>
          <w:lang w:val="en-GB"/>
        </w:rPr>
        <w:lastRenderedPageBreak/>
        <w:t>R</w:t>
      </w:r>
      <w:r w:rsidR="00062125" w:rsidRPr="001F64CE">
        <w:rPr>
          <w:rFonts w:eastAsia="Batang"/>
          <w:lang w:val="en-GB"/>
        </w:rPr>
        <w:t>.</w:t>
      </w:r>
      <w:r w:rsidRPr="001F64CE">
        <w:rPr>
          <w:rFonts w:eastAsia="Batang"/>
          <w:lang w:val="en-GB"/>
        </w:rPr>
        <w:t xml:space="preserve"> C</w:t>
      </w:r>
      <w:r w:rsidR="00062125" w:rsidRPr="001F64CE">
        <w:rPr>
          <w:rFonts w:eastAsia="Batang"/>
          <w:lang w:val="en-GB"/>
        </w:rPr>
        <w:t>.</w:t>
      </w:r>
      <w:r w:rsidRPr="001F64CE">
        <w:rPr>
          <w:rFonts w:eastAsia="Batang"/>
          <w:lang w:val="en-GB"/>
        </w:rPr>
        <w:t xml:space="preserve"> Bhargava, the </w:t>
      </w:r>
      <w:r w:rsidR="00062125" w:rsidRPr="001F64CE">
        <w:rPr>
          <w:rFonts w:eastAsia="Batang"/>
          <w:lang w:val="en-GB"/>
        </w:rPr>
        <w:t xml:space="preserve">chairman </w:t>
      </w:r>
      <w:r w:rsidRPr="001F64CE">
        <w:rPr>
          <w:rFonts w:eastAsia="Batang"/>
          <w:lang w:val="en-GB"/>
        </w:rPr>
        <w:t xml:space="preserve">of MSIL, justified the move </w:t>
      </w:r>
      <w:r w:rsidR="00062125" w:rsidRPr="001F64CE">
        <w:rPr>
          <w:rFonts w:eastAsia="Batang"/>
          <w:lang w:val="en-GB"/>
        </w:rPr>
        <w:t xml:space="preserve">by </w:t>
      </w:r>
      <w:r w:rsidRPr="001F64CE">
        <w:rPr>
          <w:rFonts w:eastAsia="Batang"/>
          <w:lang w:val="en-GB"/>
        </w:rPr>
        <w:t>saying it would be in the interests of the minority shareholders. “In layman terms, if someone else is putting up a plant for me and the money for that comes without cost, it is surely better rather than putting my own money and losing the earnings I could have made on it.”</w:t>
      </w:r>
      <w:r w:rsidRPr="001F64CE">
        <w:rPr>
          <w:rStyle w:val="EndnoteReference"/>
          <w:rFonts w:eastAsia="Batang"/>
          <w:lang w:val="en-GB"/>
        </w:rPr>
        <w:t xml:space="preserve"> </w:t>
      </w:r>
      <w:r w:rsidRPr="001F64CE">
        <w:rPr>
          <w:rStyle w:val="EndnoteReference"/>
          <w:rFonts w:eastAsia="Batang"/>
          <w:lang w:val="en-GB"/>
        </w:rPr>
        <w:endnoteReference w:id="36"/>
      </w:r>
      <w:r w:rsidRPr="001F64CE">
        <w:rPr>
          <w:rFonts w:eastAsia="Batang"/>
          <w:lang w:val="en-GB"/>
        </w:rPr>
        <w:t xml:space="preserve"> </w:t>
      </w:r>
    </w:p>
    <w:p w14:paraId="480EE735" w14:textId="77777777" w:rsidR="00DE7981" w:rsidRPr="001F64CE" w:rsidRDefault="00DE7981" w:rsidP="003C0A88">
      <w:pPr>
        <w:pStyle w:val="BodyTextMain"/>
        <w:rPr>
          <w:rFonts w:eastAsia="Batang"/>
          <w:lang w:val="en-GB"/>
        </w:rPr>
      </w:pPr>
    </w:p>
    <w:p w14:paraId="7EC8A96D" w14:textId="3F3E7809" w:rsidR="001B42F2" w:rsidRPr="001F64CE" w:rsidRDefault="00DE7981" w:rsidP="003C0A88">
      <w:pPr>
        <w:pStyle w:val="BodyTextMain"/>
        <w:rPr>
          <w:rFonts w:eastAsia="Batang"/>
          <w:lang w:val="en-GB"/>
        </w:rPr>
      </w:pPr>
      <w:r w:rsidRPr="001F64CE">
        <w:rPr>
          <w:rFonts w:eastAsia="Batang"/>
          <w:lang w:val="en-GB"/>
        </w:rPr>
        <w:t xml:space="preserve">Bhargava further justified the decision by arguing that </w:t>
      </w:r>
      <w:r w:rsidR="00AB732C" w:rsidRPr="001F64CE">
        <w:rPr>
          <w:rFonts w:eastAsia="Batang"/>
          <w:lang w:val="en-GB"/>
        </w:rPr>
        <w:t>SMC</w:t>
      </w:r>
      <w:r w:rsidRPr="001F64CE">
        <w:rPr>
          <w:rFonts w:eastAsia="Batang"/>
          <w:lang w:val="en-GB"/>
        </w:rPr>
        <w:t xml:space="preserve"> had a lower cost of capital than MSIL</w:t>
      </w:r>
      <w:r w:rsidR="00062125" w:rsidRPr="001F64CE">
        <w:rPr>
          <w:rFonts w:eastAsia="Batang"/>
          <w:lang w:val="en-GB"/>
        </w:rPr>
        <w:t>,</w:t>
      </w:r>
      <w:r w:rsidRPr="001F64CE">
        <w:rPr>
          <w:rFonts w:eastAsia="Batang"/>
          <w:lang w:val="en-GB"/>
        </w:rPr>
        <w:t xml:space="preserve"> and this led to what he called </w:t>
      </w:r>
      <w:r w:rsidR="00062125" w:rsidRPr="001F64CE">
        <w:rPr>
          <w:rFonts w:eastAsia="Batang"/>
          <w:lang w:val="en-GB"/>
        </w:rPr>
        <w:t>“</w:t>
      </w:r>
      <w:r w:rsidRPr="001F64CE">
        <w:rPr>
          <w:rFonts w:eastAsia="Batang"/>
          <w:lang w:val="en-GB"/>
        </w:rPr>
        <w:t>arbitrage of interest earnings</w:t>
      </w:r>
      <w:r w:rsidR="00062125" w:rsidRPr="001F64CE">
        <w:rPr>
          <w:rFonts w:eastAsia="Batang"/>
          <w:lang w:val="en-GB"/>
        </w:rPr>
        <w:t>.”</w:t>
      </w:r>
      <w:r w:rsidRPr="001F64CE">
        <w:rPr>
          <w:rFonts w:eastAsia="Batang"/>
          <w:lang w:val="en-GB"/>
        </w:rPr>
        <w:t xml:space="preserve"> SMC had a cash reserve of </w:t>
      </w:r>
      <w:r w:rsidR="003A6D73" w:rsidRPr="001F64CE">
        <w:rPr>
          <w:rFonts w:eastAsia="Batang"/>
          <w:lang w:val="en-GB"/>
        </w:rPr>
        <w:t>¥</w:t>
      </w:r>
      <w:r w:rsidR="008D09FD" w:rsidRPr="001F64CE">
        <w:rPr>
          <w:rFonts w:eastAsia="Batang"/>
          <w:lang w:val="en-GB"/>
        </w:rPr>
        <w:t>420</w:t>
      </w:r>
      <w:r w:rsidR="003A6D73" w:rsidRPr="001F64CE">
        <w:rPr>
          <w:rFonts w:eastAsia="Batang"/>
          <w:lang w:val="en-GB"/>
        </w:rPr>
        <w:t xml:space="preserve"> billion</w:t>
      </w:r>
      <w:r w:rsidR="00AB732C" w:rsidRPr="001F64CE">
        <w:rPr>
          <w:rFonts w:eastAsia="Batang"/>
          <w:lang w:val="en-GB"/>
        </w:rPr>
        <w:t>,</w:t>
      </w:r>
      <w:r w:rsidR="00062125" w:rsidRPr="001F64CE">
        <w:rPr>
          <w:rStyle w:val="EndnoteReference"/>
          <w:rFonts w:eastAsia="Batang"/>
          <w:lang w:val="en-GB"/>
        </w:rPr>
        <w:endnoteReference w:id="37"/>
      </w:r>
      <w:r w:rsidRPr="001F64CE">
        <w:rPr>
          <w:rFonts w:eastAsia="Batang"/>
          <w:lang w:val="en-GB"/>
        </w:rPr>
        <w:t xml:space="preserve"> on which it </w:t>
      </w:r>
      <w:r w:rsidR="00AB732C" w:rsidRPr="001F64CE">
        <w:rPr>
          <w:rFonts w:eastAsia="Batang"/>
          <w:lang w:val="en-GB"/>
        </w:rPr>
        <w:t xml:space="preserve">earned only 0.3 per cent </w:t>
      </w:r>
      <w:r w:rsidRPr="001F64CE">
        <w:rPr>
          <w:rFonts w:eastAsia="Batang"/>
          <w:lang w:val="en-GB"/>
        </w:rPr>
        <w:t>interest</w:t>
      </w:r>
      <w:r w:rsidR="00AB732C" w:rsidRPr="001F64CE">
        <w:rPr>
          <w:rFonts w:eastAsia="Batang"/>
          <w:lang w:val="en-GB"/>
        </w:rPr>
        <w:t xml:space="preserve">, whereas </w:t>
      </w:r>
      <w:r w:rsidRPr="001F64CE">
        <w:rPr>
          <w:rFonts w:eastAsia="Batang"/>
          <w:lang w:val="en-GB"/>
        </w:rPr>
        <w:t>MSIL could earn 8</w:t>
      </w:r>
      <w:r w:rsidR="00AB732C" w:rsidRPr="001F64CE">
        <w:rPr>
          <w:rFonts w:eastAsia="Batang"/>
          <w:lang w:val="en-GB"/>
        </w:rPr>
        <w:t>–</w:t>
      </w:r>
      <w:r w:rsidRPr="001F64CE">
        <w:rPr>
          <w:rFonts w:eastAsia="Batang"/>
          <w:lang w:val="en-GB"/>
        </w:rPr>
        <w:t xml:space="preserve">9 per cent interest on its cash reserve of </w:t>
      </w:r>
      <w:r w:rsidRPr="001F64CE">
        <w:rPr>
          <w:rFonts w:ascii="Arial" w:hAnsi="Arial" w:cs="Arial"/>
          <w:sz w:val="20"/>
          <w:szCs w:val="20"/>
          <w:shd w:val="clear" w:color="auto" w:fill="FFFFFF"/>
          <w:lang w:val="en-GB"/>
        </w:rPr>
        <w:t>₹</w:t>
      </w:r>
      <w:r w:rsidRPr="001F64CE">
        <w:rPr>
          <w:rFonts w:eastAsia="Batang"/>
          <w:lang w:val="en-GB"/>
        </w:rPr>
        <w:t xml:space="preserve">75 billion. SMC could invest its cash in the Gujarat plant and </w:t>
      </w:r>
      <w:r w:rsidR="00AB732C" w:rsidRPr="001F64CE">
        <w:rPr>
          <w:rFonts w:eastAsia="Batang"/>
          <w:lang w:val="en-GB"/>
        </w:rPr>
        <w:t>receive</w:t>
      </w:r>
      <w:r w:rsidRPr="001F64CE">
        <w:rPr>
          <w:rFonts w:eastAsia="Batang"/>
          <w:lang w:val="en-GB"/>
        </w:rPr>
        <w:t xml:space="preserve"> 56 per cent of the interest that MSIL earned on its cash. Bhargava summarized his arguments</w:t>
      </w:r>
      <w:r w:rsidR="00AB732C" w:rsidRPr="001F64CE">
        <w:rPr>
          <w:rFonts w:eastAsia="Batang"/>
          <w:lang w:val="en-GB"/>
        </w:rPr>
        <w:t>:</w:t>
      </w:r>
      <w:r w:rsidRPr="001F64CE">
        <w:rPr>
          <w:rFonts w:eastAsia="Batang"/>
          <w:lang w:val="en-GB"/>
        </w:rPr>
        <w:t xml:space="preserve"> “What we are doing is arbitrage of interest earnings, which in India are higher than in Japan” (see Exhibit 5).</w:t>
      </w:r>
      <w:r w:rsidRPr="001F64CE">
        <w:rPr>
          <w:rStyle w:val="EndnoteReference"/>
          <w:rFonts w:eastAsia="Batang"/>
          <w:lang w:val="en-GB"/>
        </w:rPr>
        <w:endnoteReference w:id="38"/>
      </w:r>
      <w:r w:rsidRPr="001F64CE">
        <w:rPr>
          <w:rFonts w:eastAsia="Batang"/>
          <w:lang w:val="en-GB"/>
        </w:rPr>
        <w:t xml:space="preserve"> Two analysts echoed this view when they stated in their equity research report </w:t>
      </w:r>
      <w:r w:rsidR="00AB732C" w:rsidRPr="001F64CE">
        <w:rPr>
          <w:rFonts w:eastAsia="Batang"/>
          <w:lang w:val="en-GB"/>
        </w:rPr>
        <w:t>that MSIL’s c</w:t>
      </w:r>
      <w:r w:rsidRPr="001F64CE">
        <w:rPr>
          <w:rFonts w:eastAsia="Batang"/>
          <w:lang w:val="en-GB"/>
        </w:rPr>
        <w:t xml:space="preserve">ost of capital </w:t>
      </w:r>
      <w:r w:rsidR="00AB732C" w:rsidRPr="001F64CE">
        <w:rPr>
          <w:rFonts w:eastAsia="Batang"/>
          <w:lang w:val="en-GB"/>
        </w:rPr>
        <w:t>wa</w:t>
      </w:r>
      <w:r w:rsidRPr="001F64CE">
        <w:rPr>
          <w:rFonts w:eastAsia="Batang"/>
          <w:lang w:val="en-GB"/>
        </w:rPr>
        <w:t xml:space="preserve">s </w:t>
      </w:r>
      <w:r w:rsidR="00AB732C" w:rsidRPr="001F64CE">
        <w:rPr>
          <w:rFonts w:eastAsia="Batang"/>
          <w:lang w:val="en-GB"/>
        </w:rPr>
        <w:t>“</w:t>
      </w:r>
      <w:r w:rsidRPr="001F64CE">
        <w:rPr>
          <w:rFonts w:eastAsia="Batang"/>
          <w:lang w:val="en-GB"/>
        </w:rPr>
        <w:t xml:space="preserve">13 per cent vs. 5 per cent for Suzuki. So it indirectly makes more money and higher </w:t>
      </w:r>
      <w:r w:rsidR="00014C38">
        <w:rPr>
          <w:rFonts w:eastAsia="Batang"/>
          <w:lang w:val="en-GB"/>
        </w:rPr>
        <w:t>[return on capital employed]</w:t>
      </w:r>
      <w:r w:rsidRPr="001F64CE">
        <w:rPr>
          <w:rFonts w:eastAsia="Batang"/>
          <w:lang w:val="en-GB"/>
        </w:rPr>
        <w:t xml:space="preserve"> if Suzuki does the investment</w:t>
      </w:r>
      <w:r w:rsidR="00AB732C" w:rsidRPr="001F64CE">
        <w:rPr>
          <w:rFonts w:eastAsia="Batang"/>
          <w:lang w:val="en-GB"/>
        </w:rPr>
        <w:t>.</w:t>
      </w:r>
      <w:r w:rsidRPr="001F64CE">
        <w:rPr>
          <w:rFonts w:eastAsia="Batang"/>
          <w:lang w:val="en-GB"/>
        </w:rPr>
        <w:t>”</w:t>
      </w:r>
    </w:p>
    <w:p w14:paraId="7318BE3E" w14:textId="77777777" w:rsidR="00DE7981" w:rsidRPr="001F64CE" w:rsidRDefault="00DE7981" w:rsidP="003C0A88">
      <w:pPr>
        <w:pStyle w:val="BodyTextMain"/>
        <w:rPr>
          <w:rFonts w:eastAsia="Batang"/>
          <w:lang w:val="en-GB"/>
        </w:rPr>
      </w:pPr>
    </w:p>
    <w:p w14:paraId="17475646" w14:textId="77777777" w:rsidR="00DE7981" w:rsidRPr="001F64CE" w:rsidRDefault="00DE7981" w:rsidP="003C0A88">
      <w:pPr>
        <w:pStyle w:val="BodyTextMain"/>
        <w:rPr>
          <w:rFonts w:eastAsia="Batang"/>
          <w:lang w:val="en-GB"/>
        </w:rPr>
      </w:pPr>
    </w:p>
    <w:p w14:paraId="26C577C0" w14:textId="77777777" w:rsidR="00DE7981" w:rsidRPr="001F64CE" w:rsidRDefault="00DE7981" w:rsidP="003C0A88">
      <w:pPr>
        <w:pStyle w:val="Casehead1"/>
        <w:rPr>
          <w:rFonts w:eastAsia="Batang"/>
          <w:lang w:val="en-GB"/>
        </w:rPr>
      </w:pPr>
      <w:r w:rsidRPr="001F64CE">
        <w:rPr>
          <w:rFonts w:eastAsia="Batang"/>
          <w:lang w:val="en-GB"/>
        </w:rPr>
        <w:t>REACTION FROM THE STREET</w:t>
      </w:r>
    </w:p>
    <w:p w14:paraId="008FBCB2" w14:textId="77777777" w:rsidR="006F08DD" w:rsidRPr="001F64CE" w:rsidRDefault="006F08DD" w:rsidP="003C0A88">
      <w:pPr>
        <w:pStyle w:val="BodyTextMain"/>
        <w:rPr>
          <w:rFonts w:eastAsia="Batang"/>
          <w:lang w:val="en-GB"/>
        </w:rPr>
      </w:pPr>
    </w:p>
    <w:p w14:paraId="2546B821" w14:textId="1CF37815" w:rsidR="00DE7981" w:rsidRPr="001F64CE" w:rsidRDefault="00DE7981" w:rsidP="003C0A88">
      <w:pPr>
        <w:pStyle w:val="BodyTextMain"/>
        <w:rPr>
          <w:rFonts w:eastAsia="Batang"/>
          <w:lang w:val="en-GB"/>
        </w:rPr>
      </w:pPr>
      <w:r w:rsidRPr="001F64CE">
        <w:rPr>
          <w:rFonts w:eastAsia="Batang"/>
          <w:lang w:val="en-GB"/>
        </w:rPr>
        <w:t xml:space="preserve">This decision surprised the market for a number of reasons. </w:t>
      </w:r>
      <w:r w:rsidR="00AB732C" w:rsidRPr="001F64CE">
        <w:rPr>
          <w:rFonts w:eastAsia="Batang"/>
          <w:lang w:val="en-GB"/>
        </w:rPr>
        <w:t>First, t</w:t>
      </w:r>
      <w:r w:rsidRPr="001F64CE">
        <w:rPr>
          <w:rFonts w:eastAsia="Batang"/>
          <w:lang w:val="en-GB"/>
        </w:rPr>
        <w:t xml:space="preserve">he Gujarat plant was originally supposed to be operated by MSIL. Second, MSIL had </w:t>
      </w:r>
      <w:r w:rsidR="00AB732C" w:rsidRPr="001F64CE">
        <w:rPr>
          <w:rFonts w:eastAsia="Batang"/>
          <w:lang w:val="en-GB"/>
        </w:rPr>
        <w:t xml:space="preserve">a </w:t>
      </w:r>
      <w:r w:rsidRPr="001F64CE">
        <w:rPr>
          <w:rFonts w:eastAsia="Batang"/>
          <w:lang w:val="en-GB"/>
        </w:rPr>
        <w:t xml:space="preserve">cash balance of </w:t>
      </w:r>
      <w:r w:rsidRPr="003C0A88">
        <w:rPr>
          <w:rFonts w:ascii="Arial" w:hAnsi="Arial" w:cs="Arial"/>
          <w:sz w:val="20"/>
          <w:szCs w:val="20"/>
          <w:lang w:val="en-GB"/>
        </w:rPr>
        <w:t>₹</w:t>
      </w:r>
      <w:r w:rsidRPr="003C0A88">
        <w:rPr>
          <w:rFonts w:eastAsia="Batang"/>
          <w:lang w:val="en-GB"/>
        </w:rPr>
        <w:t>75</w:t>
      </w:r>
      <w:r w:rsidRPr="001F64CE">
        <w:rPr>
          <w:rFonts w:eastAsia="Batang"/>
          <w:lang w:val="en-GB"/>
        </w:rPr>
        <w:t xml:space="preserve"> billion</w:t>
      </w:r>
      <w:r w:rsidR="00AB732C" w:rsidRPr="001F64CE">
        <w:rPr>
          <w:rFonts w:eastAsia="Batang"/>
          <w:lang w:val="en-GB"/>
        </w:rPr>
        <w:t>,</w:t>
      </w:r>
      <w:r w:rsidRPr="001F64CE">
        <w:rPr>
          <w:rFonts w:eastAsia="Batang"/>
          <w:lang w:val="en-GB"/>
        </w:rPr>
        <w:t xml:space="preserve"> </w:t>
      </w:r>
      <w:r w:rsidR="00AB732C" w:rsidRPr="001F64CE">
        <w:rPr>
          <w:rFonts w:eastAsia="Batang"/>
          <w:lang w:val="en-GB"/>
        </w:rPr>
        <w:t xml:space="preserve">so </w:t>
      </w:r>
      <w:r w:rsidRPr="001F64CE">
        <w:rPr>
          <w:rFonts w:eastAsia="Batang"/>
          <w:lang w:val="en-GB"/>
        </w:rPr>
        <w:t xml:space="preserve">there was no reason </w:t>
      </w:r>
      <w:r w:rsidR="00492F2F" w:rsidRPr="001F64CE">
        <w:rPr>
          <w:rFonts w:eastAsia="Batang"/>
          <w:lang w:val="en-GB"/>
        </w:rPr>
        <w:t xml:space="preserve">for </w:t>
      </w:r>
      <w:r w:rsidRPr="001F64CE">
        <w:rPr>
          <w:rFonts w:eastAsia="Batang"/>
          <w:lang w:val="en-GB"/>
        </w:rPr>
        <w:t xml:space="preserve">the Gujarat plant </w:t>
      </w:r>
      <w:r w:rsidR="00492F2F" w:rsidRPr="001F64CE">
        <w:rPr>
          <w:rFonts w:eastAsia="Batang"/>
          <w:lang w:val="en-GB"/>
        </w:rPr>
        <w:t xml:space="preserve">to </w:t>
      </w:r>
      <w:r w:rsidRPr="001F64CE">
        <w:rPr>
          <w:rFonts w:eastAsia="Batang"/>
          <w:lang w:val="en-GB"/>
        </w:rPr>
        <w:t xml:space="preserve">be financed and operated by SMC. The market found the decision to be </w:t>
      </w:r>
      <w:r w:rsidR="00AB732C" w:rsidRPr="001F64CE">
        <w:rPr>
          <w:rFonts w:eastAsia="Batang"/>
          <w:lang w:val="en-GB"/>
        </w:rPr>
        <w:t>against</w:t>
      </w:r>
      <w:r w:rsidR="008E08DF">
        <w:rPr>
          <w:rFonts w:eastAsia="Batang"/>
          <w:lang w:val="en-GB"/>
        </w:rPr>
        <w:t xml:space="preserve"> the interests of</w:t>
      </w:r>
      <w:r w:rsidR="00AB732C" w:rsidRPr="001F64CE">
        <w:rPr>
          <w:rFonts w:eastAsia="Batang"/>
          <w:lang w:val="en-GB"/>
        </w:rPr>
        <w:t xml:space="preserve"> the </w:t>
      </w:r>
      <w:r w:rsidRPr="001F64CE">
        <w:rPr>
          <w:rFonts w:eastAsia="Batang"/>
          <w:lang w:val="en-GB"/>
        </w:rPr>
        <w:t>minority shareholders</w:t>
      </w:r>
      <w:r w:rsidR="00AB732C" w:rsidRPr="001F64CE">
        <w:rPr>
          <w:rFonts w:eastAsia="Batang"/>
          <w:lang w:val="en-GB"/>
        </w:rPr>
        <w:t>,</w:t>
      </w:r>
      <w:r w:rsidRPr="001F64CE">
        <w:rPr>
          <w:rFonts w:eastAsia="Batang"/>
          <w:lang w:val="en-GB"/>
        </w:rPr>
        <w:t xml:space="preserve"> and the stock price fell from </w:t>
      </w:r>
      <w:r w:rsidRPr="003C0A88">
        <w:rPr>
          <w:rFonts w:ascii="Arial" w:hAnsi="Arial" w:cs="Arial"/>
          <w:sz w:val="20"/>
          <w:szCs w:val="20"/>
          <w:lang w:val="en-GB"/>
        </w:rPr>
        <w:t>₹</w:t>
      </w:r>
      <w:r w:rsidRPr="003C0A88">
        <w:rPr>
          <w:rFonts w:eastAsia="Batang"/>
          <w:lang w:val="en-GB"/>
        </w:rPr>
        <w:t>1</w:t>
      </w:r>
      <w:r w:rsidRPr="001F64CE">
        <w:rPr>
          <w:rFonts w:eastAsia="Batang"/>
          <w:lang w:val="en-GB"/>
        </w:rPr>
        <w:t xml:space="preserve">,701.35 </w:t>
      </w:r>
      <w:r w:rsidRPr="003C0A88">
        <w:rPr>
          <w:rFonts w:eastAsia="Batang"/>
          <w:lang w:val="en-GB"/>
        </w:rPr>
        <w:t xml:space="preserve">to </w:t>
      </w:r>
      <w:r w:rsidRPr="003C0A88">
        <w:rPr>
          <w:rFonts w:ascii="Arial" w:hAnsi="Arial" w:cs="Arial"/>
          <w:sz w:val="20"/>
          <w:szCs w:val="20"/>
          <w:lang w:val="en-GB"/>
        </w:rPr>
        <w:t>₹</w:t>
      </w:r>
      <w:r w:rsidRPr="003C0A88">
        <w:rPr>
          <w:rFonts w:eastAsia="Batang"/>
          <w:lang w:val="en-GB"/>
        </w:rPr>
        <w:t>1</w:t>
      </w:r>
      <w:r w:rsidRPr="001F64CE">
        <w:rPr>
          <w:rFonts w:eastAsia="Batang"/>
          <w:lang w:val="en-GB"/>
        </w:rPr>
        <w:t xml:space="preserve">,563.2 on the day of the announcement, when the broad-based indices largely remained flat. </w:t>
      </w:r>
    </w:p>
    <w:p w14:paraId="25129E10" w14:textId="77777777" w:rsidR="00DE7981" w:rsidRPr="001F64CE" w:rsidRDefault="00DE7981" w:rsidP="003C0A88">
      <w:pPr>
        <w:pStyle w:val="BodyTextMain"/>
        <w:rPr>
          <w:rFonts w:eastAsia="Batang"/>
          <w:lang w:val="en-GB"/>
        </w:rPr>
      </w:pPr>
    </w:p>
    <w:p w14:paraId="56468325" w14:textId="4DBA0DE4" w:rsidR="00DE7981" w:rsidRPr="001F64CE" w:rsidRDefault="002A561B" w:rsidP="003C0A88">
      <w:pPr>
        <w:pStyle w:val="BodyTextMain"/>
        <w:rPr>
          <w:rFonts w:eastAsia="Batang"/>
          <w:lang w:val="en-GB"/>
        </w:rPr>
      </w:pPr>
      <w:r w:rsidRPr="001F64CE">
        <w:rPr>
          <w:rFonts w:eastAsia="Batang"/>
          <w:lang w:val="en-GB"/>
        </w:rPr>
        <w:t>Analysts raised concerns about three points of ambiguity</w:t>
      </w:r>
      <w:r w:rsidR="008E08DF">
        <w:rPr>
          <w:rFonts w:eastAsia="Batang"/>
          <w:lang w:val="en-GB"/>
        </w:rPr>
        <w:t>:</w:t>
      </w:r>
      <w:r w:rsidR="00DE7981" w:rsidRPr="001F64CE">
        <w:rPr>
          <w:rStyle w:val="EndnoteReference"/>
          <w:rFonts w:eastAsia="Batang"/>
          <w:lang w:val="en-GB"/>
        </w:rPr>
        <w:endnoteReference w:id="39"/>
      </w:r>
      <w:r w:rsidR="00DE7981" w:rsidRPr="001F64CE">
        <w:rPr>
          <w:rFonts w:eastAsia="Batang"/>
          <w:lang w:val="en-GB"/>
        </w:rPr>
        <w:t xml:space="preserve"> </w:t>
      </w:r>
      <w:r w:rsidRPr="001F64CE">
        <w:rPr>
          <w:rFonts w:eastAsia="Batang"/>
          <w:lang w:val="en-GB"/>
        </w:rPr>
        <w:t xml:space="preserve">(1) </w:t>
      </w:r>
      <w:r w:rsidR="008E08DF">
        <w:rPr>
          <w:rFonts w:eastAsia="Batang"/>
          <w:lang w:val="en-GB"/>
        </w:rPr>
        <w:t>s</w:t>
      </w:r>
      <w:r w:rsidR="00DE7981" w:rsidRPr="001F64CE">
        <w:rPr>
          <w:rFonts w:eastAsia="Batang"/>
          <w:lang w:val="en-GB"/>
        </w:rPr>
        <w:t>ince SMG would be a 100 per cent subsidiary, its financials would not be publicly available</w:t>
      </w:r>
      <w:r w:rsidRPr="001F64CE">
        <w:rPr>
          <w:rFonts w:eastAsia="Batang"/>
          <w:lang w:val="en-GB"/>
        </w:rPr>
        <w:t>,</w:t>
      </w:r>
      <w:r w:rsidR="00DE7981" w:rsidRPr="001F64CE">
        <w:rPr>
          <w:rFonts w:eastAsia="Batang"/>
          <w:lang w:val="en-GB"/>
        </w:rPr>
        <w:t xml:space="preserve"> making it difficult to monitor the terms of the </w:t>
      </w:r>
      <w:r w:rsidRPr="001F64CE">
        <w:rPr>
          <w:rFonts w:eastAsia="Batang"/>
          <w:lang w:val="en-GB"/>
        </w:rPr>
        <w:t xml:space="preserve">transfer-pricing </w:t>
      </w:r>
      <w:r w:rsidR="00DE7981" w:rsidRPr="001F64CE">
        <w:rPr>
          <w:rFonts w:eastAsia="Batang"/>
          <w:lang w:val="en-GB"/>
        </w:rPr>
        <w:t>agreement</w:t>
      </w:r>
      <w:r w:rsidR="008E08DF">
        <w:rPr>
          <w:rFonts w:eastAsia="Batang"/>
          <w:lang w:val="en-GB"/>
        </w:rPr>
        <w:t>;</w:t>
      </w:r>
      <w:r w:rsidR="008E08DF" w:rsidRPr="001F64CE">
        <w:rPr>
          <w:rFonts w:eastAsia="Batang"/>
          <w:lang w:val="en-GB"/>
        </w:rPr>
        <w:t xml:space="preserve"> </w:t>
      </w:r>
      <w:r w:rsidRPr="001F64CE">
        <w:rPr>
          <w:rFonts w:eastAsia="Batang"/>
          <w:lang w:val="en-GB"/>
        </w:rPr>
        <w:t>(2</w:t>
      </w:r>
      <w:r w:rsidR="00DE7981" w:rsidRPr="001F64CE">
        <w:rPr>
          <w:rFonts w:eastAsia="Batang"/>
          <w:lang w:val="en-GB"/>
        </w:rPr>
        <w:t xml:space="preserve">) </w:t>
      </w:r>
      <w:r w:rsidR="008E08DF">
        <w:rPr>
          <w:rFonts w:eastAsia="Batang"/>
          <w:lang w:val="en-GB"/>
        </w:rPr>
        <w:t>i</w:t>
      </w:r>
      <w:r w:rsidR="00DE7981" w:rsidRPr="001F64CE">
        <w:rPr>
          <w:rFonts w:eastAsia="Batang"/>
          <w:lang w:val="en-GB"/>
        </w:rPr>
        <w:t xml:space="preserve">t was </w:t>
      </w:r>
      <w:r w:rsidRPr="001F64CE">
        <w:rPr>
          <w:rFonts w:eastAsia="Batang"/>
          <w:lang w:val="en-GB"/>
        </w:rPr>
        <w:t>un</w:t>
      </w:r>
      <w:r w:rsidR="00DE7981" w:rsidRPr="001F64CE">
        <w:rPr>
          <w:rFonts w:eastAsia="Batang"/>
          <w:lang w:val="en-GB"/>
        </w:rPr>
        <w:t xml:space="preserve">clear how production would be split between MSIL and SMG </w:t>
      </w:r>
      <w:r w:rsidRPr="001F64CE">
        <w:rPr>
          <w:rFonts w:eastAsia="Batang"/>
          <w:lang w:val="en-GB"/>
        </w:rPr>
        <w:t>if</w:t>
      </w:r>
      <w:r w:rsidR="00DE7981" w:rsidRPr="001F64CE">
        <w:rPr>
          <w:rFonts w:eastAsia="Batang"/>
          <w:lang w:val="en-GB"/>
        </w:rPr>
        <w:t xml:space="preserve"> the demand for cars fell</w:t>
      </w:r>
      <w:r w:rsidR="008E08DF">
        <w:rPr>
          <w:rFonts w:eastAsia="Batang"/>
          <w:lang w:val="en-GB"/>
        </w:rPr>
        <w:t>; and</w:t>
      </w:r>
      <w:r w:rsidR="008E08DF" w:rsidRPr="001F64CE">
        <w:rPr>
          <w:rFonts w:eastAsia="Batang"/>
          <w:lang w:val="en-GB"/>
        </w:rPr>
        <w:t xml:space="preserve"> </w:t>
      </w:r>
      <w:r w:rsidRPr="001F64CE">
        <w:rPr>
          <w:rFonts w:eastAsia="Batang"/>
          <w:lang w:val="en-GB"/>
        </w:rPr>
        <w:t>(3</w:t>
      </w:r>
      <w:r w:rsidR="00DE7981" w:rsidRPr="001F64CE">
        <w:rPr>
          <w:rFonts w:eastAsia="Batang"/>
          <w:lang w:val="en-GB"/>
        </w:rPr>
        <w:t xml:space="preserve">) </w:t>
      </w:r>
      <w:r w:rsidR="008E08DF">
        <w:rPr>
          <w:rFonts w:eastAsia="Batang"/>
          <w:lang w:val="en-GB"/>
        </w:rPr>
        <w:t>i</w:t>
      </w:r>
      <w:r w:rsidRPr="001F64CE">
        <w:rPr>
          <w:rFonts w:eastAsia="Batang"/>
          <w:lang w:val="en-GB"/>
        </w:rPr>
        <w:t>t was also unclear</w:t>
      </w:r>
      <w:r w:rsidR="00DE7981" w:rsidRPr="001F64CE">
        <w:rPr>
          <w:rFonts w:eastAsia="Batang"/>
          <w:lang w:val="en-GB"/>
        </w:rPr>
        <w:t xml:space="preserve"> how the future </w:t>
      </w:r>
      <w:r w:rsidR="00607683" w:rsidRPr="001F64CE">
        <w:rPr>
          <w:rFonts w:eastAsia="Batang"/>
          <w:lang w:val="en-GB"/>
        </w:rPr>
        <w:t>CAPEX</w:t>
      </w:r>
      <w:r w:rsidR="00DE7981" w:rsidRPr="001F64CE">
        <w:rPr>
          <w:rFonts w:eastAsia="Batang"/>
          <w:lang w:val="en-GB"/>
        </w:rPr>
        <w:t xml:space="preserve"> of SMG would be funded. </w:t>
      </w:r>
      <w:r w:rsidR="008E08DF">
        <w:rPr>
          <w:rFonts w:eastAsia="Batang"/>
          <w:lang w:val="en-GB"/>
        </w:rPr>
        <w:t>According to</w:t>
      </w:r>
      <w:r w:rsidR="00DE7981" w:rsidRPr="001F64CE">
        <w:rPr>
          <w:rFonts w:eastAsia="Batang"/>
          <w:lang w:val="en-GB"/>
        </w:rPr>
        <w:t xml:space="preserve"> the press release, SMG would sell cars to MSIL at cost plus adequate cash to cover incremental </w:t>
      </w:r>
      <w:r w:rsidR="00607683" w:rsidRPr="001F64CE">
        <w:rPr>
          <w:rFonts w:eastAsia="Batang"/>
          <w:lang w:val="en-GB"/>
        </w:rPr>
        <w:t>CAPEX</w:t>
      </w:r>
      <w:r w:rsidR="00DE7981" w:rsidRPr="001F64CE">
        <w:rPr>
          <w:rFonts w:eastAsia="Batang"/>
          <w:lang w:val="en-GB"/>
        </w:rPr>
        <w:t xml:space="preserve">. However, it was possible that the surplus in SMG </w:t>
      </w:r>
      <w:r w:rsidRPr="001F64CE">
        <w:rPr>
          <w:rFonts w:eastAsia="Batang"/>
          <w:lang w:val="en-GB"/>
        </w:rPr>
        <w:t>in a particular year would not be</w:t>
      </w:r>
      <w:r w:rsidR="00DE7981" w:rsidRPr="001F64CE">
        <w:rPr>
          <w:rFonts w:eastAsia="Batang"/>
          <w:lang w:val="en-GB"/>
        </w:rPr>
        <w:t xml:space="preserve"> adequate to fund the </w:t>
      </w:r>
      <w:r w:rsidR="00607683" w:rsidRPr="001F64CE">
        <w:rPr>
          <w:rFonts w:eastAsia="Batang"/>
          <w:lang w:val="en-GB"/>
        </w:rPr>
        <w:t>CAPEX</w:t>
      </w:r>
      <w:r w:rsidR="00DE7981" w:rsidRPr="001F64CE">
        <w:rPr>
          <w:rFonts w:eastAsia="Batang"/>
          <w:lang w:val="en-GB"/>
        </w:rPr>
        <w:t>. In a year of high</w:t>
      </w:r>
      <w:r w:rsidR="00607683" w:rsidRPr="001F64CE">
        <w:rPr>
          <w:rFonts w:eastAsia="Batang"/>
          <w:lang w:val="en-GB"/>
        </w:rPr>
        <w:t xml:space="preserve"> CAPEX</w:t>
      </w:r>
      <w:r w:rsidR="00DE7981" w:rsidRPr="001F64CE">
        <w:rPr>
          <w:rFonts w:eastAsia="Batang"/>
          <w:lang w:val="en-GB"/>
        </w:rPr>
        <w:t>, SMG might charge more to MSIL</w:t>
      </w:r>
      <w:r w:rsidRPr="001F64CE">
        <w:rPr>
          <w:rFonts w:eastAsia="Batang"/>
          <w:lang w:val="en-GB"/>
        </w:rPr>
        <w:t>,</w:t>
      </w:r>
      <w:r w:rsidR="00DE7981" w:rsidRPr="001F64CE">
        <w:rPr>
          <w:rFonts w:eastAsia="Batang"/>
          <w:lang w:val="en-GB"/>
        </w:rPr>
        <w:t xml:space="preserve"> mak</w:t>
      </w:r>
      <w:r w:rsidRPr="001F64CE">
        <w:rPr>
          <w:rFonts w:eastAsia="Batang"/>
          <w:lang w:val="en-GB"/>
        </w:rPr>
        <w:t>ing</w:t>
      </w:r>
      <w:r w:rsidR="00DE7981" w:rsidRPr="001F64CE">
        <w:rPr>
          <w:rFonts w:eastAsia="Batang"/>
          <w:lang w:val="en-GB"/>
        </w:rPr>
        <w:t xml:space="preserve"> MSIL’s earnings more volatile. </w:t>
      </w:r>
    </w:p>
    <w:p w14:paraId="6A2214E4" w14:textId="77777777" w:rsidR="00DE7981" w:rsidRPr="001F64CE" w:rsidRDefault="00DE7981" w:rsidP="003C0A88">
      <w:pPr>
        <w:pStyle w:val="BodyTextMain"/>
        <w:rPr>
          <w:rFonts w:eastAsia="Batang"/>
          <w:lang w:val="en-GB"/>
        </w:rPr>
      </w:pPr>
    </w:p>
    <w:p w14:paraId="38886D4F" w14:textId="7DC5ADD4" w:rsidR="00DE7981" w:rsidRPr="001F64CE" w:rsidRDefault="00DE7981" w:rsidP="003C0A88">
      <w:pPr>
        <w:pStyle w:val="BodyTextMain"/>
        <w:rPr>
          <w:rFonts w:eastAsia="Batang"/>
          <w:lang w:val="en-GB"/>
        </w:rPr>
      </w:pPr>
      <w:r w:rsidRPr="001F64CE">
        <w:rPr>
          <w:rFonts w:eastAsia="Batang"/>
          <w:lang w:val="en-GB"/>
        </w:rPr>
        <w:t xml:space="preserve">Many analysts also found the agreement to be </w:t>
      </w:r>
      <w:r w:rsidR="002A561B" w:rsidRPr="001F64CE">
        <w:rPr>
          <w:rFonts w:eastAsia="Batang"/>
          <w:lang w:val="en-GB"/>
        </w:rPr>
        <w:t>“</w:t>
      </w:r>
      <w:r w:rsidRPr="001F64CE">
        <w:rPr>
          <w:rFonts w:eastAsia="Batang"/>
          <w:lang w:val="en-GB"/>
        </w:rPr>
        <w:t>too good to be true</w:t>
      </w:r>
      <w:r w:rsidR="002A561B" w:rsidRPr="001F64CE">
        <w:rPr>
          <w:rFonts w:eastAsia="Batang"/>
          <w:lang w:val="en-GB"/>
        </w:rPr>
        <w:t>.”</w:t>
      </w:r>
      <w:r w:rsidRPr="001F64CE">
        <w:rPr>
          <w:rStyle w:val="EndnoteReference"/>
          <w:rFonts w:eastAsia="Batang"/>
          <w:lang w:val="en-GB"/>
        </w:rPr>
        <w:endnoteReference w:id="40"/>
      </w:r>
      <w:r w:rsidRPr="001F64CE">
        <w:rPr>
          <w:rFonts w:eastAsia="Batang"/>
          <w:lang w:val="en-GB"/>
        </w:rPr>
        <w:t xml:space="preserve"> Since SMG would charge MSIL </w:t>
      </w:r>
      <w:r w:rsidR="002A561B" w:rsidRPr="001F64CE">
        <w:rPr>
          <w:rFonts w:eastAsia="Batang"/>
          <w:lang w:val="en-GB"/>
        </w:rPr>
        <w:t xml:space="preserve">for the </w:t>
      </w:r>
      <w:r w:rsidRPr="001F64CE">
        <w:rPr>
          <w:rFonts w:eastAsia="Batang"/>
          <w:lang w:val="en-GB"/>
        </w:rPr>
        <w:t xml:space="preserve">cost of production and depreciation, SMG’s expected </w:t>
      </w:r>
      <w:r w:rsidR="00FE3D2E" w:rsidRPr="001F64CE">
        <w:rPr>
          <w:rFonts w:eastAsia="Batang"/>
          <w:lang w:val="en-GB"/>
        </w:rPr>
        <w:t>earnings before interest, tax, depreciation, and amortization</w:t>
      </w:r>
      <w:r w:rsidRPr="001F64CE">
        <w:rPr>
          <w:rFonts w:eastAsia="Batang"/>
          <w:lang w:val="en-GB"/>
        </w:rPr>
        <w:t xml:space="preserve"> would equal its depreciation. This depreciation</w:t>
      </w:r>
      <w:r w:rsidR="00403C6F" w:rsidRPr="001F64CE">
        <w:rPr>
          <w:rFonts w:eastAsia="Batang"/>
          <w:lang w:val="en-GB"/>
        </w:rPr>
        <w:t xml:space="preserve"> (i</w:t>
      </w:r>
      <w:r w:rsidR="00FE3D2E" w:rsidRPr="001F64CE">
        <w:rPr>
          <w:rFonts w:eastAsia="Batang"/>
          <w:lang w:val="en-GB"/>
        </w:rPr>
        <w:t>.</w:t>
      </w:r>
      <w:r w:rsidR="00403C6F" w:rsidRPr="001F64CE">
        <w:rPr>
          <w:rFonts w:eastAsia="Batang"/>
          <w:lang w:val="en-GB"/>
        </w:rPr>
        <w:t>e</w:t>
      </w:r>
      <w:r w:rsidR="00FE3D2E" w:rsidRPr="001F64CE">
        <w:rPr>
          <w:rFonts w:eastAsia="Batang"/>
          <w:lang w:val="en-GB"/>
        </w:rPr>
        <w:t>.,</w:t>
      </w:r>
      <w:r w:rsidR="00403C6F" w:rsidRPr="001F64CE">
        <w:rPr>
          <w:rFonts w:eastAsia="Batang"/>
          <w:lang w:val="en-GB"/>
        </w:rPr>
        <w:t xml:space="preserve"> cash flow)</w:t>
      </w:r>
      <w:r w:rsidRPr="001F64CE">
        <w:rPr>
          <w:rFonts w:eastAsia="Batang"/>
          <w:lang w:val="en-GB"/>
        </w:rPr>
        <w:t xml:space="preserve"> would be used </w:t>
      </w:r>
      <w:r w:rsidR="002A561B" w:rsidRPr="001F64CE">
        <w:rPr>
          <w:rFonts w:eastAsia="Batang"/>
          <w:lang w:val="en-GB"/>
        </w:rPr>
        <w:t xml:space="preserve">to </w:t>
      </w:r>
      <w:r w:rsidRPr="001F64CE">
        <w:rPr>
          <w:rFonts w:eastAsia="Batang"/>
          <w:lang w:val="en-GB"/>
        </w:rPr>
        <w:t xml:space="preserve">fund its future </w:t>
      </w:r>
      <w:r w:rsidR="00607683" w:rsidRPr="001F64CE">
        <w:rPr>
          <w:rFonts w:eastAsia="Batang"/>
          <w:lang w:val="en-GB"/>
        </w:rPr>
        <w:t>CAPEX</w:t>
      </w:r>
      <w:r w:rsidR="002A561B" w:rsidRPr="001F64CE">
        <w:rPr>
          <w:rFonts w:eastAsia="Batang"/>
          <w:lang w:val="en-GB"/>
        </w:rPr>
        <w:t>, and this</w:t>
      </w:r>
      <w:r w:rsidRPr="001F64CE">
        <w:rPr>
          <w:rFonts w:eastAsia="Batang"/>
          <w:lang w:val="en-GB"/>
        </w:rPr>
        <w:t xml:space="preserve"> implied zero return for SMC on its investment in SMG. </w:t>
      </w:r>
    </w:p>
    <w:p w14:paraId="64D63A8D" w14:textId="77777777" w:rsidR="00DE7981" w:rsidRPr="001F64CE" w:rsidRDefault="00DE7981" w:rsidP="003C0A88">
      <w:pPr>
        <w:pStyle w:val="BodyTextMain"/>
        <w:rPr>
          <w:rFonts w:eastAsia="Batang"/>
          <w:lang w:val="en-GB"/>
        </w:rPr>
      </w:pPr>
    </w:p>
    <w:p w14:paraId="09911EAC" w14:textId="58E8856E" w:rsidR="00DE7981" w:rsidRPr="001F64CE" w:rsidRDefault="00DE7981" w:rsidP="003C0A88">
      <w:pPr>
        <w:pStyle w:val="BodyTextMain"/>
        <w:rPr>
          <w:rFonts w:eastAsia="Batang"/>
          <w:lang w:val="en-GB"/>
        </w:rPr>
      </w:pPr>
      <w:r w:rsidRPr="001F64CE">
        <w:rPr>
          <w:rFonts w:eastAsia="Batang"/>
          <w:lang w:val="en-GB"/>
        </w:rPr>
        <w:t xml:space="preserve">The large amount of cash in MSIL’s balance sheet needed to be properly utilized if Suzuki was going to incur the </w:t>
      </w:r>
      <w:r w:rsidR="00492F2F" w:rsidRPr="001F64CE">
        <w:rPr>
          <w:rFonts w:eastAsia="Batang"/>
          <w:lang w:val="en-GB"/>
        </w:rPr>
        <w:t xml:space="preserve">CAPEX </w:t>
      </w:r>
      <w:r w:rsidRPr="001F64CE">
        <w:rPr>
          <w:rFonts w:eastAsia="Batang"/>
          <w:lang w:val="en-GB"/>
        </w:rPr>
        <w:t>in the near future. Large Indian companies typically maintained huge cash and marketable securities (CMS) balance</w:t>
      </w:r>
      <w:r w:rsidR="00492F2F" w:rsidRPr="001F64CE">
        <w:rPr>
          <w:rFonts w:eastAsia="Batang"/>
          <w:lang w:val="en-GB"/>
        </w:rPr>
        <w:t>s</w:t>
      </w:r>
      <w:r w:rsidRPr="001F64CE">
        <w:rPr>
          <w:rFonts w:eastAsia="Batang"/>
          <w:lang w:val="en-GB"/>
        </w:rPr>
        <w:t xml:space="preserve">. </w:t>
      </w:r>
      <w:r w:rsidR="00607683" w:rsidRPr="001F64CE">
        <w:rPr>
          <w:rFonts w:eastAsia="Batang"/>
          <w:lang w:val="en-GB"/>
        </w:rPr>
        <w:t xml:space="preserve">For the 50 largest non-finance companies, the median CMS was </w:t>
      </w:r>
      <w:r w:rsidR="00607683" w:rsidRPr="003C0A88">
        <w:rPr>
          <w:rFonts w:ascii="Arial" w:hAnsi="Arial" w:cs="Arial"/>
          <w:sz w:val="20"/>
          <w:szCs w:val="20"/>
          <w:lang w:val="en-GB"/>
        </w:rPr>
        <w:t>₹</w:t>
      </w:r>
      <w:r w:rsidR="00607683" w:rsidRPr="003C0A88">
        <w:rPr>
          <w:rFonts w:eastAsia="Batang"/>
          <w:lang w:val="en-GB"/>
        </w:rPr>
        <w:t>42</w:t>
      </w:r>
      <w:r w:rsidR="00607683" w:rsidRPr="001F64CE">
        <w:rPr>
          <w:rFonts w:eastAsia="Batang"/>
          <w:lang w:val="en-GB"/>
        </w:rPr>
        <w:t xml:space="preserve"> billion at the end of FY 2013: t</w:t>
      </w:r>
      <w:r w:rsidRPr="001F64CE">
        <w:rPr>
          <w:rFonts w:eastAsia="Batang"/>
          <w:lang w:val="en-GB"/>
        </w:rPr>
        <w:t xml:space="preserve">he median </w:t>
      </w:r>
      <w:r w:rsidR="00607683" w:rsidRPr="001F64CE">
        <w:rPr>
          <w:rFonts w:eastAsia="Batang"/>
          <w:lang w:val="en-GB"/>
        </w:rPr>
        <w:t>CMS-to-</w:t>
      </w:r>
      <w:r w:rsidRPr="001F64CE">
        <w:rPr>
          <w:rFonts w:eastAsia="Batang"/>
          <w:lang w:val="en-GB"/>
        </w:rPr>
        <w:t>sales ratio was 19 per cent</w:t>
      </w:r>
      <w:r w:rsidR="00607683" w:rsidRPr="001F64CE">
        <w:rPr>
          <w:rFonts w:eastAsia="Batang"/>
          <w:lang w:val="en-GB"/>
        </w:rPr>
        <w:t xml:space="preserve"> and t</w:t>
      </w:r>
      <w:r w:rsidRPr="001F64CE">
        <w:rPr>
          <w:rFonts w:eastAsia="Batang"/>
          <w:lang w:val="en-GB"/>
        </w:rPr>
        <w:t xml:space="preserve">he median </w:t>
      </w:r>
      <w:r w:rsidR="00607683" w:rsidRPr="001F64CE">
        <w:rPr>
          <w:rFonts w:eastAsia="Batang"/>
          <w:lang w:val="en-GB"/>
        </w:rPr>
        <w:t>CMS-to-</w:t>
      </w:r>
      <w:r w:rsidRPr="001F64CE">
        <w:rPr>
          <w:rFonts w:eastAsia="Batang"/>
          <w:lang w:val="en-GB"/>
        </w:rPr>
        <w:t>assets ratio was 15 per cent</w:t>
      </w:r>
      <w:r w:rsidR="00607683" w:rsidRPr="001F64CE">
        <w:rPr>
          <w:rFonts w:eastAsia="Batang"/>
          <w:lang w:val="en-GB"/>
        </w:rPr>
        <w:t>.</w:t>
      </w:r>
      <w:r w:rsidRPr="001F64CE">
        <w:rPr>
          <w:rStyle w:val="EndnoteReference"/>
          <w:rFonts w:eastAsia="Batang"/>
          <w:lang w:val="en-GB"/>
        </w:rPr>
        <w:endnoteReference w:id="41"/>
      </w:r>
      <w:r w:rsidRPr="001F64CE">
        <w:rPr>
          <w:rFonts w:eastAsia="Batang"/>
          <w:lang w:val="en-GB"/>
        </w:rPr>
        <w:t xml:space="preserve"> </w:t>
      </w:r>
    </w:p>
    <w:p w14:paraId="1F527218" w14:textId="77777777" w:rsidR="00DE7981" w:rsidRPr="001F64CE" w:rsidRDefault="00DE7981" w:rsidP="003C0A88">
      <w:pPr>
        <w:pStyle w:val="BodyTextMain"/>
        <w:rPr>
          <w:rFonts w:eastAsia="Batang"/>
          <w:lang w:val="en-GB"/>
        </w:rPr>
      </w:pPr>
    </w:p>
    <w:p w14:paraId="38EFD2BE" w14:textId="5A8FD6F2" w:rsidR="00DE7981" w:rsidRPr="00014C38" w:rsidRDefault="00492F2F" w:rsidP="003C0A88">
      <w:pPr>
        <w:pStyle w:val="BodyTextMain"/>
        <w:rPr>
          <w:rFonts w:eastAsia="Batang"/>
          <w:spacing w:val="-2"/>
          <w:kern w:val="22"/>
          <w:lang w:val="en-GB"/>
        </w:rPr>
      </w:pPr>
      <w:r w:rsidRPr="00014C38">
        <w:rPr>
          <w:rFonts w:eastAsia="Batang"/>
          <w:spacing w:val="-2"/>
          <w:kern w:val="22"/>
          <w:lang w:val="en-GB"/>
        </w:rPr>
        <w:t>Those who questioned MSIL’s</w:t>
      </w:r>
      <w:r w:rsidR="00DE7981" w:rsidRPr="00014C38">
        <w:rPr>
          <w:rFonts w:eastAsia="Batang"/>
          <w:spacing w:val="-2"/>
          <w:kern w:val="22"/>
          <w:lang w:val="en-GB"/>
        </w:rPr>
        <w:t xml:space="preserve"> corporate governance accused </w:t>
      </w:r>
      <w:r w:rsidRPr="00014C38">
        <w:rPr>
          <w:rFonts w:eastAsia="Batang"/>
          <w:spacing w:val="-2"/>
          <w:kern w:val="22"/>
          <w:lang w:val="en-GB"/>
        </w:rPr>
        <w:t xml:space="preserve">the </w:t>
      </w:r>
      <w:r w:rsidR="00BB38C4" w:rsidRPr="00014C38">
        <w:rPr>
          <w:rFonts w:eastAsia="Batang"/>
          <w:spacing w:val="-2"/>
          <w:kern w:val="22"/>
          <w:lang w:val="en-GB"/>
        </w:rPr>
        <w:t xml:space="preserve">multinational </w:t>
      </w:r>
      <w:r w:rsidRPr="00014C38">
        <w:rPr>
          <w:rFonts w:eastAsia="Batang"/>
          <w:spacing w:val="-2"/>
          <w:kern w:val="22"/>
          <w:lang w:val="en-GB"/>
        </w:rPr>
        <w:t xml:space="preserve">company </w:t>
      </w:r>
      <w:r w:rsidR="00BB38C4" w:rsidRPr="00014C38">
        <w:rPr>
          <w:rFonts w:eastAsia="Batang"/>
          <w:spacing w:val="-2"/>
          <w:kern w:val="22"/>
          <w:lang w:val="en-GB"/>
        </w:rPr>
        <w:t xml:space="preserve">(MNC) </w:t>
      </w:r>
      <w:r w:rsidRPr="00014C38">
        <w:rPr>
          <w:rFonts w:eastAsia="Batang"/>
          <w:spacing w:val="-2"/>
          <w:kern w:val="22"/>
          <w:lang w:val="en-GB"/>
        </w:rPr>
        <w:t xml:space="preserve">of </w:t>
      </w:r>
      <w:r w:rsidR="00DE7981" w:rsidRPr="00014C38">
        <w:rPr>
          <w:rFonts w:eastAsia="Batang"/>
          <w:spacing w:val="-2"/>
          <w:kern w:val="22"/>
          <w:lang w:val="en-GB"/>
        </w:rPr>
        <w:t xml:space="preserve">taking </w:t>
      </w:r>
      <w:r w:rsidRPr="00014C38">
        <w:rPr>
          <w:rFonts w:eastAsia="Batang"/>
          <w:spacing w:val="-2"/>
          <w:kern w:val="22"/>
          <w:lang w:val="en-GB"/>
        </w:rPr>
        <w:t xml:space="preserve">advantage of </w:t>
      </w:r>
      <w:r w:rsidR="00DE7981" w:rsidRPr="00014C38">
        <w:rPr>
          <w:rFonts w:eastAsia="Batang"/>
          <w:spacing w:val="-2"/>
          <w:kern w:val="22"/>
          <w:lang w:val="en-GB"/>
        </w:rPr>
        <w:t>the minority shareholders. Amit Tandon, head of Institutional Investors Advisory Services argued that “the move increases the level of complexity and reduces the level of transparency</w:t>
      </w:r>
      <w:r w:rsidRPr="00014C38">
        <w:rPr>
          <w:rFonts w:eastAsia="Batang"/>
          <w:spacing w:val="-2"/>
          <w:kern w:val="22"/>
          <w:lang w:val="en-GB"/>
        </w:rPr>
        <w:t xml:space="preserve">. . . . </w:t>
      </w:r>
      <w:r w:rsidR="00DE7981" w:rsidRPr="00014C38">
        <w:rPr>
          <w:rFonts w:eastAsia="Batang"/>
          <w:spacing w:val="-2"/>
          <w:kern w:val="22"/>
          <w:lang w:val="en-GB"/>
        </w:rPr>
        <w:t>This is an egregious behavior by an MNC looking to repatriate money from India in a dubious manner</w:t>
      </w:r>
      <w:r w:rsidRPr="00014C38">
        <w:rPr>
          <w:rFonts w:eastAsia="Batang"/>
          <w:spacing w:val="-2"/>
          <w:kern w:val="22"/>
          <w:lang w:val="en-GB"/>
        </w:rPr>
        <w:t>.”</w:t>
      </w:r>
      <w:r w:rsidR="00DE7981" w:rsidRPr="00014C38">
        <w:rPr>
          <w:rStyle w:val="EndnoteReference"/>
          <w:rFonts w:eastAsia="Batang"/>
          <w:spacing w:val="-2"/>
          <w:kern w:val="22"/>
          <w:lang w:val="en-GB"/>
        </w:rPr>
        <w:endnoteReference w:id="42"/>
      </w:r>
      <w:r w:rsidR="00DE7981" w:rsidRPr="00014C38">
        <w:rPr>
          <w:rFonts w:eastAsia="Batang"/>
          <w:spacing w:val="-2"/>
          <w:kern w:val="22"/>
          <w:lang w:val="en-GB"/>
        </w:rPr>
        <w:t xml:space="preserve"> J</w:t>
      </w:r>
      <w:r w:rsidRPr="00014C38">
        <w:rPr>
          <w:rFonts w:eastAsia="Batang"/>
          <w:spacing w:val="-2"/>
          <w:kern w:val="22"/>
          <w:lang w:val="en-GB"/>
        </w:rPr>
        <w:t>.</w:t>
      </w:r>
      <w:r w:rsidR="00DE7981" w:rsidRPr="00014C38">
        <w:rPr>
          <w:rFonts w:eastAsia="Batang"/>
          <w:spacing w:val="-2"/>
          <w:kern w:val="22"/>
          <w:lang w:val="en-GB"/>
        </w:rPr>
        <w:t xml:space="preserve"> N</w:t>
      </w:r>
      <w:r w:rsidRPr="00014C38">
        <w:rPr>
          <w:rFonts w:eastAsia="Batang"/>
          <w:spacing w:val="-2"/>
          <w:kern w:val="22"/>
          <w:lang w:val="en-GB"/>
        </w:rPr>
        <w:t>.</w:t>
      </w:r>
      <w:r w:rsidR="00DE7981" w:rsidRPr="00014C38">
        <w:rPr>
          <w:rFonts w:eastAsia="Batang"/>
          <w:spacing w:val="-2"/>
          <w:kern w:val="22"/>
          <w:lang w:val="en-GB"/>
        </w:rPr>
        <w:t xml:space="preserve"> Gupta, founder of Stakeholders Empowerment Services (another proxy advisory firm from India)</w:t>
      </w:r>
      <w:r w:rsidR="009220D9" w:rsidRPr="00014C38">
        <w:rPr>
          <w:rFonts w:eastAsia="Batang"/>
          <w:spacing w:val="-2"/>
          <w:kern w:val="22"/>
          <w:lang w:val="en-GB"/>
        </w:rPr>
        <w:t>,</w:t>
      </w:r>
      <w:r w:rsidR="00DE7981" w:rsidRPr="00014C38">
        <w:rPr>
          <w:rFonts w:eastAsia="Batang"/>
          <w:spacing w:val="-2"/>
          <w:kern w:val="22"/>
          <w:lang w:val="en-GB"/>
        </w:rPr>
        <w:t xml:space="preserve"> also criticized the </w:t>
      </w:r>
      <w:r w:rsidR="00DE7981" w:rsidRPr="00014C38">
        <w:rPr>
          <w:rFonts w:eastAsia="Batang"/>
          <w:spacing w:val="-2"/>
          <w:kern w:val="22"/>
          <w:lang w:val="en-GB"/>
        </w:rPr>
        <w:lastRenderedPageBreak/>
        <w:t xml:space="preserve">deal for lack of transparency. Gupta argued that </w:t>
      </w:r>
      <w:r w:rsidR="009220D9" w:rsidRPr="00014C38">
        <w:rPr>
          <w:rFonts w:eastAsia="Batang"/>
          <w:spacing w:val="-2"/>
          <w:kern w:val="22"/>
          <w:lang w:val="en-GB"/>
        </w:rPr>
        <w:t xml:space="preserve">MSIL’s </w:t>
      </w:r>
      <w:r w:rsidR="00DE7981" w:rsidRPr="00014C38">
        <w:rPr>
          <w:rFonts w:eastAsia="Batang"/>
          <w:spacing w:val="-2"/>
          <w:kern w:val="22"/>
          <w:lang w:val="en-GB"/>
        </w:rPr>
        <w:t>cost of cars might increase during periods of lower capacity utilization because of fixed overheads</w:t>
      </w:r>
      <w:r w:rsidR="009220D9" w:rsidRPr="00014C38">
        <w:rPr>
          <w:rFonts w:eastAsia="Batang"/>
          <w:spacing w:val="-2"/>
          <w:kern w:val="22"/>
          <w:lang w:val="en-GB"/>
        </w:rPr>
        <w:t>.</w:t>
      </w:r>
      <w:r w:rsidR="00DE7981" w:rsidRPr="00014C38">
        <w:rPr>
          <w:rStyle w:val="EndnoteReference"/>
          <w:rFonts w:eastAsia="Batang"/>
          <w:spacing w:val="-2"/>
          <w:kern w:val="22"/>
          <w:lang w:val="en-GB"/>
        </w:rPr>
        <w:endnoteReference w:id="43"/>
      </w:r>
      <w:r w:rsidR="00DE7981" w:rsidRPr="00014C38">
        <w:rPr>
          <w:rFonts w:eastAsia="Batang"/>
          <w:spacing w:val="-2"/>
          <w:kern w:val="22"/>
          <w:lang w:val="en-GB"/>
        </w:rPr>
        <w:t xml:space="preserve"> InGovern, another proxy advisor</w:t>
      </w:r>
      <w:r w:rsidR="009220D9" w:rsidRPr="00014C38">
        <w:rPr>
          <w:rFonts w:eastAsia="Batang"/>
          <w:spacing w:val="-2"/>
          <w:kern w:val="22"/>
          <w:lang w:val="en-GB"/>
        </w:rPr>
        <w:t>,</w:t>
      </w:r>
      <w:r w:rsidR="00DE7981" w:rsidRPr="00014C38">
        <w:rPr>
          <w:rFonts w:eastAsia="Batang"/>
          <w:spacing w:val="-2"/>
          <w:kern w:val="22"/>
          <w:lang w:val="en-GB"/>
        </w:rPr>
        <w:t xml:space="preserve"> argued that the deal was against the interests of minority shareholders</w:t>
      </w:r>
      <w:r w:rsidR="009220D9" w:rsidRPr="00014C38">
        <w:rPr>
          <w:rFonts w:eastAsia="Batang"/>
          <w:spacing w:val="-2"/>
          <w:kern w:val="22"/>
          <w:lang w:val="en-GB"/>
        </w:rPr>
        <w:t>:</w:t>
      </w:r>
      <w:r w:rsidR="00DE7981" w:rsidRPr="00014C38">
        <w:rPr>
          <w:rFonts w:eastAsia="Batang"/>
          <w:spacing w:val="-2"/>
          <w:kern w:val="22"/>
          <w:lang w:val="en-GB"/>
        </w:rPr>
        <w:t xml:space="preserve"> “It looks like the SMC subsidiary will enjoy the benefits of no business risk with assured vehicle offtake by MSIL</w:t>
      </w:r>
      <w:r w:rsidR="009220D9" w:rsidRPr="00014C38">
        <w:rPr>
          <w:rFonts w:eastAsia="Batang"/>
          <w:spacing w:val="-2"/>
          <w:kern w:val="22"/>
          <w:lang w:val="en-GB"/>
        </w:rPr>
        <w:t xml:space="preserve"> . . . </w:t>
      </w:r>
      <w:r w:rsidR="00DE7981" w:rsidRPr="00014C38">
        <w:rPr>
          <w:rFonts w:eastAsia="Batang"/>
          <w:spacing w:val="-2"/>
          <w:kern w:val="22"/>
          <w:lang w:val="en-GB"/>
        </w:rPr>
        <w:t>while MSIL will bear the business risk</w:t>
      </w:r>
      <w:r w:rsidR="009220D9" w:rsidRPr="00014C38">
        <w:rPr>
          <w:rFonts w:eastAsia="Batang"/>
          <w:spacing w:val="-2"/>
          <w:kern w:val="22"/>
          <w:lang w:val="en-GB"/>
        </w:rPr>
        <w:t>.</w:t>
      </w:r>
      <w:r w:rsidR="00DE7981" w:rsidRPr="00014C38">
        <w:rPr>
          <w:rFonts w:eastAsia="Batang"/>
          <w:spacing w:val="-2"/>
          <w:kern w:val="22"/>
          <w:lang w:val="en-GB"/>
        </w:rPr>
        <w:t>”</w:t>
      </w:r>
      <w:r w:rsidR="00DE7981" w:rsidRPr="00014C38">
        <w:rPr>
          <w:rStyle w:val="EndnoteReference"/>
          <w:rFonts w:eastAsia="Batang"/>
          <w:spacing w:val="-2"/>
          <w:kern w:val="22"/>
          <w:lang w:val="en-GB"/>
        </w:rPr>
        <w:endnoteReference w:id="44"/>
      </w:r>
    </w:p>
    <w:p w14:paraId="63749C90" w14:textId="77777777" w:rsidR="00DE7981" w:rsidRPr="001F64CE" w:rsidRDefault="00DE7981" w:rsidP="003C0A88">
      <w:pPr>
        <w:pStyle w:val="BodyTextMain"/>
        <w:rPr>
          <w:rFonts w:eastAsia="Batang"/>
          <w:lang w:val="en-GB"/>
        </w:rPr>
      </w:pPr>
    </w:p>
    <w:p w14:paraId="0BA71C7A" w14:textId="133650DD" w:rsidR="00DE7981" w:rsidRPr="001F64CE" w:rsidRDefault="00DE7981" w:rsidP="003C0A88">
      <w:pPr>
        <w:pStyle w:val="BodyTextMain"/>
        <w:rPr>
          <w:rFonts w:eastAsia="Batang"/>
          <w:lang w:val="en-GB"/>
        </w:rPr>
      </w:pPr>
      <w:r w:rsidRPr="001F64CE">
        <w:rPr>
          <w:rFonts w:eastAsia="Batang"/>
          <w:lang w:val="en-GB"/>
        </w:rPr>
        <w:t>As per Section 188 of the Indian</w:t>
      </w:r>
      <w:r w:rsidRPr="000E26E8">
        <w:rPr>
          <w:rFonts w:eastAsia="Batang"/>
          <w:i/>
          <w:lang w:val="en-GB"/>
        </w:rPr>
        <w:t xml:space="preserve"> Companies Act, 2013</w:t>
      </w:r>
      <w:r w:rsidRPr="001F64CE">
        <w:rPr>
          <w:rFonts w:eastAsia="Batang"/>
          <w:lang w:val="en-GB"/>
        </w:rPr>
        <w:t xml:space="preserve">, any </w:t>
      </w:r>
      <w:r w:rsidR="009220D9" w:rsidRPr="001F64CE">
        <w:rPr>
          <w:rFonts w:eastAsia="Batang"/>
          <w:lang w:val="en-GB"/>
        </w:rPr>
        <w:t>related-</w:t>
      </w:r>
      <w:r w:rsidRPr="001F64CE">
        <w:rPr>
          <w:rFonts w:eastAsia="Batang"/>
          <w:lang w:val="en-GB"/>
        </w:rPr>
        <w:t xml:space="preserve">party transaction that was not in the ordinary course of business or not </w:t>
      </w:r>
      <w:r w:rsidR="009220D9" w:rsidRPr="001F64CE">
        <w:rPr>
          <w:rFonts w:eastAsia="Batang"/>
          <w:lang w:val="en-GB"/>
        </w:rPr>
        <w:t xml:space="preserve">performed </w:t>
      </w:r>
      <w:r w:rsidRPr="001F64CE">
        <w:rPr>
          <w:rFonts w:eastAsia="Batang"/>
          <w:lang w:val="en-GB"/>
        </w:rPr>
        <w:t xml:space="preserve">at arm’s length </w:t>
      </w:r>
      <w:r w:rsidR="000927A0">
        <w:rPr>
          <w:rFonts w:eastAsia="Batang"/>
          <w:lang w:val="en-GB"/>
        </w:rPr>
        <w:t>had to</w:t>
      </w:r>
      <w:r w:rsidRPr="001F64CE">
        <w:rPr>
          <w:rFonts w:eastAsia="Batang"/>
          <w:lang w:val="en-GB"/>
        </w:rPr>
        <w:t xml:space="preserve"> be approved by the </w:t>
      </w:r>
      <w:r w:rsidR="009220D9" w:rsidRPr="001F64CE">
        <w:rPr>
          <w:rFonts w:eastAsia="Batang"/>
          <w:lang w:val="en-GB"/>
        </w:rPr>
        <w:t>b</w:t>
      </w:r>
      <w:r w:rsidRPr="001F64CE">
        <w:rPr>
          <w:rFonts w:eastAsia="Batang"/>
          <w:lang w:val="en-GB"/>
        </w:rPr>
        <w:t xml:space="preserve">oard of </w:t>
      </w:r>
      <w:r w:rsidR="009220D9" w:rsidRPr="001F64CE">
        <w:rPr>
          <w:rFonts w:eastAsia="Batang"/>
          <w:lang w:val="en-GB"/>
        </w:rPr>
        <w:t>d</w:t>
      </w:r>
      <w:r w:rsidRPr="001F64CE">
        <w:rPr>
          <w:rFonts w:eastAsia="Batang"/>
          <w:lang w:val="en-GB"/>
        </w:rPr>
        <w:t xml:space="preserve">irectors and be approved by </w:t>
      </w:r>
      <w:r w:rsidR="008E08DF">
        <w:rPr>
          <w:rFonts w:eastAsia="Batang"/>
          <w:lang w:val="en-GB"/>
        </w:rPr>
        <w:t xml:space="preserve">a </w:t>
      </w:r>
      <w:r w:rsidRPr="001F64CE">
        <w:rPr>
          <w:rFonts w:eastAsia="Batang"/>
          <w:lang w:val="en-GB"/>
        </w:rPr>
        <w:t>majority of the minority shareholders. However, Section 188 had not yet been enforced on the companies</w:t>
      </w:r>
      <w:r w:rsidR="009220D9" w:rsidRPr="001F64CE">
        <w:rPr>
          <w:rFonts w:eastAsia="Batang"/>
          <w:lang w:val="en-GB"/>
        </w:rPr>
        <w:t>;</w:t>
      </w:r>
      <w:r w:rsidRPr="001F64CE">
        <w:rPr>
          <w:rFonts w:eastAsia="Batang"/>
          <w:lang w:val="en-GB"/>
        </w:rPr>
        <w:t xml:space="preserve"> the market expected it to be effective from April 2014. Similarly, the </w:t>
      </w:r>
      <w:r w:rsidR="009220D9" w:rsidRPr="001F64CE">
        <w:rPr>
          <w:rFonts w:eastAsia="Batang"/>
          <w:lang w:val="en-GB"/>
        </w:rPr>
        <w:t xml:space="preserve">Securities and </w:t>
      </w:r>
      <w:r w:rsidRPr="001F64CE">
        <w:rPr>
          <w:rFonts w:eastAsia="Batang"/>
          <w:lang w:val="en-GB"/>
        </w:rPr>
        <w:t xml:space="preserve">Exchange Board of India (SEBI) </w:t>
      </w:r>
      <w:r w:rsidR="009220D9" w:rsidRPr="001F64CE">
        <w:rPr>
          <w:rFonts w:eastAsia="Batang"/>
          <w:lang w:val="en-GB"/>
        </w:rPr>
        <w:t xml:space="preserve">had </w:t>
      </w:r>
      <w:r w:rsidRPr="001F64CE">
        <w:rPr>
          <w:rFonts w:eastAsia="Batang"/>
          <w:lang w:val="en-GB"/>
        </w:rPr>
        <w:t xml:space="preserve">amended </w:t>
      </w:r>
      <w:r w:rsidR="008E08DF">
        <w:rPr>
          <w:rFonts w:eastAsia="Batang"/>
          <w:lang w:val="en-GB"/>
        </w:rPr>
        <w:t>its</w:t>
      </w:r>
      <w:r w:rsidR="008E08DF" w:rsidRPr="001F64CE">
        <w:rPr>
          <w:rFonts w:eastAsia="Batang"/>
          <w:lang w:val="en-GB"/>
        </w:rPr>
        <w:t xml:space="preserve"> </w:t>
      </w:r>
      <w:r w:rsidRPr="001F64CE">
        <w:rPr>
          <w:rFonts w:eastAsia="Batang"/>
          <w:lang w:val="en-GB"/>
        </w:rPr>
        <w:t xml:space="preserve">equity listing agreement, whereby all material </w:t>
      </w:r>
      <w:r w:rsidR="009220D9" w:rsidRPr="001F64CE">
        <w:rPr>
          <w:rFonts w:eastAsia="Batang"/>
          <w:lang w:val="en-GB"/>
        </w:rPr>
        <w:t>related-</w:t>
      </w:r>
      <w:r w:rsidRPr="001F64CE">
        <w:rPr>
          <w:rFonts w:eastAsia="Batang"/>
          <w:lang w:val="en-GB"/>
        </w:rPr>
        <w:t xml:space="preserve">party transactions would need to be approved by </w:t>
      </w:r>
      <w:r w:rsidR="009220D9" w:rsidRPr="001F64CE">
        <w:rPr>
          <w:rFonts w:eastAsia="Batang"/>
          <w:lang w:val="en-GB"/>
        </w:rPr>
        <w:t xml:space="preserve">a </w:t>
      </w:r>
      <w:r w:rsidRPr="001F64CE">
        <w:rPr>
          <w:rFonts w:eastAsia="Batang"/>
          <w:lang w:val="en-GB"/>
        </w:rPr>
        <w:t xml:space="preserve">majority of the minority shareholders. This listing agreement </w:t>
      </w:r>
      <w:r w:rsidR="009220D9" w:rsidRPr="001F64CE">
        <w:rPr>
          <w:rFonts w:eastAsia="Batang"/>
          <w:lang w:val="en-GB"/>
        </w:rPr>
        <w:t>would</w:t>
      </w:r>
      <w:r w:rsidRPr="001F64CE">
        <w:rPr>
          <w:rFonts w:eastAsia="Batang"/>
          <w:lang w:val="en-GB"/>
        </w:rPr>
        <w:t xml:space="preserve"> be effective from October 1, 2014. A material </w:t>
      </w:r>
      <w:r w:rsidR="009220D9" w:rsidRPr="001F64CE">
        <w:rPr>
          <w:rFonts w:eastAsia="Batang"/>
          <w:lang w:val="en-GB"/>
        </w:rPr>
        <w:t>related-</w:t>
      </w:r>
      <w:r w:rsidRPr="001F64CE">
        <w:rPr>
          <w:rFonts w:eastAsia="Batang"/>
          <w:lang w:val="en-GB"/>
        </w:rPr>
        <w:t xml:space="preserve">party transaction was defined as one that </w:t>
      </w:r>
      <w:r w:rsidR="009220D9" w:rsidRPr="001F64CE">
        <w:rPr>
          <w:rFonts w:eastAsia="Batang"/>
          <w:lang w:val="en-GB"/>
        </w:rPr>
        <w:t xml:space="preserve">exceeded </w:t>
      </w:r>
      <w:r w:rsidRPr="001F64CE">
        <w:rPr>
          <w:rFonts w:eastAsia="Batang"/>
          <w:lang w:val="en-GB"/>
        </w:rPr>
        <w:t xml:space="preserve">20 per cent of the net worth or 5 per cent of the annual turnover of </w:t>
      </w:r>
      <w:r w:rsidR="009220D9" w:rsidRPr="001F64CE">
        <w:rPr>
          <w:rFonts w:eastAsia="Batang"/>
          <w:lang w:val="en-GB"/>
        </w:rPr>
        <w:t xml:space="preserve">a </w:t>
      </w:r>
      <w:r w:rsidRPr="001F64CE">
        <w:rPr>
          <w:rFonts w:eastAsia="Batang"/>
          <w:lang w:val="en-GB"/>
        </w:rPr>
        <w:t xml:space="preserve">company, whichever </w:t>
      </w:r>
      <w:r w:rsidR="009220D9" w:rsidRPr="001F64CE">
        <w:rPr>
          <w:rFonts w:eastAsia="Batang"/>
          <w:lang w:val="en-GB"/>
        </w:rPr>
        <w:t xml:space="preserve">was </w:t>
      </w:r>
      <w:r w:rsidRPr="001F64CE">
        <w:rPr>
          <w:rFonts w:eastAsia="Batang"/>
          <w:lang w:val="en-GB"/>
        </w:rPr>
        <w:t>higher</w:t>
      </w:r>
      <w:r w:rsidR="009220D9" w:rsidRPr="001F64CE">
        <w:rPr>
          <w:rFonts w:eastAsia="Batang"/>
          <w:lang w:val="en-GB"/>
        </w:rPr>
        <w:t>.</w:t>
      </w:r>
      <w:r w:rsidRPr="001F64CE">
        <w:rPr>
          <w:rStyle w:val="EndnoteReference"/>
          <w:rFonts w:eastAsia="Batang"/>
          <w:lang w:val="en-GB"/>
        </w:rPr>
        <w:endnoteReference w:id="45"/>
      </w:r>
      <w:r w:rsidRPr="001F64CE">
        <w:rPr>
          <w:rFonts w:eastAsia="Batang"/>
          <w:lang w:val="en-GB"/>
        </w:rPr>
        <w:t xml:space="preserve"> Though MSIL’s </w:t>
      </w:r>
      <w:r w:rsidR="009220D9" w:rsidRPr="001F64CE">
        <w:rPr>
          <w:rFonts w:eastAsia="Batang"/>
          <w:lang w:val="en-GB"/>
        </w:rPr>
        <w:t xml:space="preserve">proposed action </w:t>
      </w:r>
      <w:r w:rsidRPr="001F64CE">
        <w:rPr>
          <w:rFonts w:eastAsia="Batang"/>
          <w:lang w:val="en-GB"/>
        </w:rPr>
        <w:t xml:space="preserve">was a material </w:t>
      </w:r>
      <w:r w:rsidR="009220D9" w:rsidRPr="001F64CE">
        <w:rPr>
          <w:rFonts w:eastAsia="Batang"/>
          <w:lang w:val="en-GB"/>
        </w:rPr>
        <w:t>related-</w:t>
      </w:r>
      <w:r w:rsidRPr="001F64CE">
        <w:rPr>
          <w:rFonts w:eastAsia="Batang"/>
          <w:lang w:val="en-GB"/>
        </w:rPr>
        <w:t xml:space="preserve">party transaction, </w:t>
      </w:r>
      <w:r w:rsidR="009220D9" w:rsidRPr="001F64CE">
        <w:rPr>
          <w:rFonts w:eastAsia="Batang"/>
          <w:lang w:val="en-GB"/>
        </w:rPr>
        <w:t xml:space="preserve">this definition </w:t>
      </w:r>
      <w:r w:rsidRPr="001F64CE">
        <w:rPr>
          <w:rFonts w:eastAsia="Batang"/>
          <w:lang w:val="en-GB"/>
        </w:rPr>
        <w:t>was not binding on the company as these two rules were not yet applicable</w:t>
      </w:r>
      <w:r w:rsidR="009220D9" w:rsidRPr="001F64CE">
        <w:rPr>
          <w:rFonts w:eastAsia="Batang"/>
          <w:lang w:val="en-GB"/>
        </w:rPr>
        <w:t>.</w:t>
      </w:r>
      <w:r w:rsidRPr="001F64CE">
        <w:rPr>
          <w:rStyle w:val="EndnoteReference"/>
          <w:rFonts w:eastAsia="Batang"/>
          <w:lang w:val="en-GB"/>
        </w:rPr>
        <w:endnoteReference w:id="46"/>
      </w:r>
      <w:r w:rsidRPr="001F64CE">
        <w:rPr>
          <w:rFonts w:eastAsia="Batang"/>
          <w:lang w:val="en-GB"/>
        </w:rPr>
        <w:t xml:space="preserve"> Tandon</w:t>
      </w:r>
      <w:r w:rsidR="009220D9" w:rsidRPr="001F64CE">
        <w:rPr>
          <w:rFonts w:eastAsia="Batang"/>
          <w:lang w:val="en-GB"/>
        </w:rPr>
        <w:t>,</w:t>
      </w:r>
      <w:r w:rsidRPr="001F64CE">
        <w:rPr>
          <w:rFonts w:eastAsia="Batang"/>
          <w:lang w:val="en-GB"/>
        </w:rPr>
        <w:t xml:space="preserve"> of </w:t>
      </w:r>
      <w:r w:rsidR="00014C38" w:rsidRPr="001F64CE">
        <w:rPr>
          <w:rFonts w:eastAsia="Batang"/>
          <w:lang w:val="en-GB"/>
        </w:rPr>
        <w:t>Institutional Investors Advisory Services</w:t>
      </w:r>
      <w:r w:rsidR="009220D9" w:rsidRPr="001F64CE">
        <w:rPr>
          <w:rFonts w:eastAsia="Batang"/>
          <w:lang w:val="en-GB"/>
        </w:rPr>
        <w:t>,</w:t>
      </w:r>
      <w:r w:rsidRPr="001F64CE">
        <w:rPr>
          <w:rFonts w:eastAsia="Batang"/>
          <w:lang w:val="en-GB"/>
        </w:rPr>
        <w:t xml:space="preserve"> summarized the sentiment of the market by saying</w:t>
      </w:r>
      <w:r w:rsidR="009220D9" w:rsidRPr="001F64CE">
        <w:rPr>
          <w:rFonts w:eastAsia="Batang"/>
          <w:lang w:val="en-GB"/>
        </w:rPr>
        <w:t xml:space="preserve"> that </w:t>
      </w:r>
      <w:r w:rsidRPr="001F64CE">
        <w:rPr>
          <w:rFonts w:eastAsia="Batang"/>
          <w:lang w:val="en-GB"/>
        </w:rPr>
        <w:t>“it appears that if Maruti closes the deal before October, there will be little minority shareholders can do about it, except continuing to engage with the company to try and change its mind or, worse, sell the stock and exit</w:t>
      </w:r>
      <w:r w:rsidR="00607138" w:rsidRPr="001F64CE">
        <w:rPr>
          <w:rFonts w:eastAsia="Batang"/>
          <w:lang w:val="en-GB"/>
        </w:rPr>
        <w:t>.”</w:t>
      </w:r>
      <w:r w:rsidRPr="001F64CE">
        <w:rPr>
          <w:rStyle w:val="EndnoteReference"/>
          <w:rFonts w:eastAsia="Batang"/>
          <w:lang w:val="en-GB"/>
        </w:rPr>
        <w:endnoteReference w:id="47"/>
      </w:r>
      <w:r w:rsidRPr="001F64CE">
        <w:rPr>
          <w:rFonts w:eastAsia="Batang"/>
          <w:lang w:val="en-GB"/>
        </w:rPr>
        <w:t xml:space="preserve"> </w:t>
      </w:r>
    </w:p>
    <w:p w14:paraId="24FC37D5" w14:textId="77777777" w:rsidR="00DE7981" w:rsidRPr="001F64CE" w:rsidRDefault="00DE7981" w:rsidP="003C0A88">
      <w:pPr>
        <w:pStyle w:val="BodyTextMain"/>
        <w:rPr>
          <w:rFonts w:eastAsia="Batang"/>
          <w:lang w:val="en-GB"/>
        </w:rPr>
      </w:pPr>
    </w:p>
    <w:p w14:paraId="7AF6B31A" w14:textId="6244E1CF" w:rsidR="00DE7981" w:rsidRPr="001F64CE" w:rsidRDefault="00DE7981" w:rsidP="003C0A88">
      <w:pPr>
        <w:pStyle w:val="BodyTextMain"/>
        <w:rPr>
          <w:rFonts w:eastAsia="Batang"/>
          <w:lang w:val="en-GB"/>
        </w:rPr>
      </w:pPr>
      <w:r w:rsidRPr="001F64CE">
        <w:rPr>
          <w:rFonts w:eastAsia="Batang"/>
          <w:lang w:val="en-GB"/>
        </w:rPr>
        <w:t>Bhargava, however</w:t>
      </w:r>
      <w:r w:rsidR="007E7D08" w:rsidRPr="001F64CE">
        <w:rPr>
          <w:rFonts w:eastAsia="Batang"/>
          <w:lang w:val="en-GB"/>
        </w:rPr>
        <w:t>,</w:t>
      </w:r>
      <w:r w:rsidRPr="001F64CE">
        <w:rPr>
          <w:rFonts w:eastAsia="Batang"/>
          <w:lang w:val="en-GB"/>
        </w:rPr>
        <w:t xml:space="preserve"> argued that the proposed move would not hurt the interests of the minority shareholders. Since SMG would manufacture and sell cars to MSIL on a cost basis, SMG would not make any profit from this transaction. “So instead of Suzuki making any profit in Gujarat, it will get 56 percent of the profit while 44 percent goes to Maruti’s minority shareholders</w:t>
      </w:r>
      <w:r w:rsidR="00607138" w:rsidRPr="001F64CE">
        <w:rPr>
          <w:rFonts w:eastAsia="Batang"/>
          <w:lang w:val="en-GB"/>
        </w:rPr>
        <w:t>.”</w:t>
      </w:r>
      <w:r w:rsidRPr="001F64CE">
        <w:rPr>
          <w:rStyle w:val="EndnoteReference"/>
          <w:rFonts w:eastAsia="Batang"/>
          <w:lang w:val="en-GB"/>
        </w:rPr>
        <w:endnoteReference w:id="48"/>
      </w:r>
    </w:p>
    <w:p w14:paraId="6541ECA5" w14:textId="77777777" w:rsidR="00DE7981" w:rsidRPr="001F64CE" w:rsidRDefault="00DE7981" w:rsidP="003C0A88">
      <w:pPr>
        <w:pStyle w:val="BodyTextMain"/>
        <w:rPr>
          <w:rFonts w:eastAsia="Batang"/>
          <w:lang w:val="en-GB"/>
        </w:rPr>
      </w:pPr>
    </w:p>
    <w:p w14:paraId="2D206E0E" w14:textId="3AB71849" w:rsidR="00DE7981" w:rsidRPr="001F64CE" w:rsidRDefault="00DE7981" w:rsidP="003C0A88">
      <w:pPr>
        <w:pStyle w:val="BodyTextMain"/>
        <w:rPr>
          <w:rFonts w:eastAsia="Batang"/>
          <w:lang w:val="en-GB"/>
        </w:rPr>
      </w:pPr>
      <w:r w:rsidRPr="001F64CE">
        <w:rPr>
          <w:rFonts w:eastAsia="Batang"/>
          <w:lang w:val="en-GB"/>
        </w:rPr>
        <w:t xml:space="preserve">In February 2014, seven domestic fund managers wrote to the management of MSIL saying that the proposed move was against the interests of the minority shareholders. They did not like MSIL becoming a distribution company as that would change the risk and return profile of the company. These fund managers also alluded to possible legal action </w:t>
      </w:r>
      <w:r w:rsidR="007E7D08" w:rsidRPr="001F64CE">
        <w:rPr>
          <w:rFonts w:eastAsia="Batang"/>
          <w:lang w:val="en-GB"/>
        </w:rPr>
        <w:t>if</w:t>
      </w:r>
      <w:r w:rsidRPr="001F64CE">
        <w:rPr>
          <w:rFonts w:eastAsia="Batang"/>
          <w:lang w:val="en-GB"/>
        </w:rPr>
        <w:t xml:space="preserve"> MSIL </w:t>
      </w:r>
      <w:r w:rsidR="007E7D08" w:rsidRPr="001F64CE">
        <w:rPr>
          <w:rFonts w:eastAsia="Batang"/>
          <w:lang w:val="en-GB"/>
        </w:rPr>
        <w:t>went ahead with the plan.</w:t>
      </w:r>
      <w:r w:rsidRPr="001F64CE">
        <w:rPr>
          <w:rStyle w:val="EndnoteReference"/>
          <w:rFonts w:eastAsia="Batang"/>
          <w:lang w:val="en-GB"/>
        </w:rPr>
        <w:endnoteReference w:id="49"/>
      </w:r>
      <w:r w:rsidRPr="001F64CE">
        <w:rPr>
          <w:rFonts w:eastAsia="Batang"/>
          <w:lang w:val="en-GB"/>
        </w:rPr>
        <w:t xml:space="preserve"> </w:t>
      </w:r>
    </w:p>
    <w:p w14:paraId="502AC914" w14:textId="77777777" w:rsidR="00DE7981" w:rsidRPr="001F64CE" w:rsidRDefault="00DE7981" w:rsidP="003C0A88">
      <w:pPr>
        <w:pStyle w:val="BodyTextMain"/>
        <w:rPr>
          <w:rFonts w:eastAsia="Batang"/>
          <w:b/>
          <w:lang w:val="en-GB"/>
        </w:rPr>
      </w:pPr>
    </w:p>
    <w:p w14:paraId="1470F4BC" w14:textId="77777777" w:rsidR="00DE7981" w:rsidRPr="001F64CE" w:rsidRDefault="00DE7981" w:rsidP="003C0A88">
      <w:pPr>
        <w:pStyle w:val="BodyTextMain"/>
        <w:rPr>
          <w:rFonts w:eastAsia="Batang"/>
          <w:b/>
          <w:lang w:val="en-GB"/>
        </w:rPr>
      </w:pPr>
    </w:p>
    <w:p w14:paraId="4C699C6C" w14:textId="77777777" w:rsidR="00DE7981" w:rsidRPr="001F64CE" w:rsidRDefault="00DE7981" w:rsidP="003C0A88">
      <w:pPr>
        <w:pStyle w:val="Casehead1"/>
        <w:rPr>
          <w:rFonts w:eastAsia="Batang"/>
          <w:lang w:val="en-GB"/>
        </w:rPr>
      </w:pPr>
      <w:r w:rsidRPr="001F64CE">
        <w:rPr>
          <w:rFonts w:eastAsia="Batang"/>
          <w:lang w:val="en-GB"/>
        </w:rPr>
        <w:t>MSIL’S SECOND PRESS RELEASE</w:t>
      </w:r>
    </w:p>
    <w:p w14:paraId="0AA2CA0F" w14:textId="77777777" w:rsidR="00DE7981" w:rsidRPr="001F64CE" w:rsidRDefault="00DE7981" w:rsidP="003C0A88">
      <w:pPr>
        <w:pStyle w:val="BodyTextMain"/>
        <w:rPr>
          <w:rFonts w:eastAsia="Batang"/>
          <w:lang w:val="en-GB"/>
        </w:rPr>
      </w:pPr>
    </w:p>
    <w:p w14:paraId="222E475D" w14:textId="3760B013" w:rsidR="00DE7981" w:rsidRPr="001F64CE" w:rsidRDefault="00DE7981" w:rsidP="003C0A88">
      <w:pPr>
        <w:pStyle w:val="BodyTextMain"/>
        <w:rPr>
          <w:rFonts w:eastAsia="Batang"/>
          <w:lang w:val="en-GB"/>
        </w:rPr>
      </w:pPr>
      <w:r w:rsidRPr="001F64CE">
        <w:rPr>
          <w:rFonts w:eastAsia="Batang"/>
          <w:lang w:val="en-GB"/>
        </w:rPr>
        <w:t xml:space="preserve">On February 26, 2014, MSIL </w:t>
      </w:r>
      <w:r w:rsidR="007E7D08" w:rsidRPr="001F64CE">
        <w:rPr>
          <w:rFonts w:eastAsia="Batang"/>
          <w:lang w:val="en-GB"/>
        </w:rPr>
        <w:t>issued</w:t>
      </w:r>
      <w:r w:rsidRPr="001F64CE">
        <w:rPr>
          <w:rFonts w:eastAsia="Batang"/>
          <w:lang w:val="en-GB"/>
        </w:rPr>
        <w:t xml:space="preserve"> a press release that attempted to </w:t>
      </w:r>
      <w:r w:rsidR="007E7D08" w:rsidRPr="001F64CE">
        <w:rPr>
          <w:rFonts w:eastAsia="Batang"/>
          <w:lang w:val="en-GB"/>
        </w:rPr>
        <w:t>clarify</w:t>
      </w:r>
      <w:r w:rsidRPr="001F64CE">
        <w:rPr>
          <w:rFonts w:eastAsia="Batang"/>
          <w:lang w:val="en-GB"/>
        </w:rPr>
        <w:t xml:space="preserve"> the controversial </w:t>
      </w:r>
      <w:r w:rsidR="00827BA9" w:rsidRPr="001F64CE">
        <w:rPr>
          <w:rFonts w:eastAsia="Batang"/>
          <w:lang w:val="en-GB"/>
        </w:rPr>
        <w:t>transfer</w:t>
      </w:r>
      <w:r w:rsidR="00827BA9">
        <w:rPr>
          <w:rFonts w:eastAsia="Batang"/>
          <w:lang w:val="en-GB"/>
        </w:rPr>
        <w:t>-</w:t>
      </w:r>
      <w:r w:rsidRPr="001F64CE">
        <w:rPr>
          <w:rFonts w:eastAsia="Batang"/>
          <w:lang w:val="en-GB"/>
        </w:rPr>
        <w:t>pricing issues</w:t>
      </w:r>
      <w:r w:rsidR="007E7D08" w:rsidRPr="001F64CE">
        <w:rPr>
          <w:rFonts w:eastAsia="Batang"/>
          <w:lang w:val="en-GB"/>
        </w:rPr>
        <w:t>.</w:t>
      </w:r>
      <w:r w:rsidRPr="001F64CE">
        <w:rPr>
          <w:rStyle w:val="EndnoteReference"/>
          <w:rFonts w:eastAsia="Batang"/>
          <w:lang w:val="en-GB"/>
        </w:rPr>
        <w:endnoteReference w:id="50"/>
      </w:r>
      <w:r w:rsidRPr="001F64CE">
        <w:rPr>
          <w:rFonts w:eastAsia="Batang"/>
          <w:lang w:val="en-GB"/>
        </w:rPr>
        <w:t xml:space="preserve"> The press release gave the following explanation of how the incremental </w:t>
      </w:r>
      <w:r w:rsidR="007E7D08" w:rsidRPr="001F64CE">
        <w:rPr>
          <w:rFonts w:eastAsia="Batang"/>
          <w:lang w:val="en-GB"/>
        </w:rPr>
        <w:t xml:space="preserve">CAPEX </w:t>
      </w:r>
      <w:r w:rsidRPr="001F64CE">
        <w:rPr>
          <w:rFonts w:eastAsia="Batang"/>
          <w:lang w:val="en-GB"/>
        </w:rPr>
        <w:t>of SMG would be financed:</w:t>
      </w:r>
    </w:p>
    <w:p w14:paraId="6474912D" w14:textId="77777777" w:rsidR="00DE7981" w:rsidRPr="001F64CE" w:rsidRDefault="00DE7981" w:rsidP="003C0A88">
      <w:pPr>
        <w:pStyle w:val="BodyTextMain"/>
        <w:rPr>
          <w:rFonts w:eastAsia="Batang"/>
          <w:lang w:val="en-GB"/>
        </w:rPr>
      </w:pPr>
    </w:p>
    <w:p w14:paraId="3CA6CC02" w14:textId="66EC452E" w:rsidR="007E7D08" w:rsidRPr="001F64CE" w:rsidRDefault="00DE7981" w:rsidP="003C0A88">
      <w:pPr>
        <w:pStyle w:val="BodyTextMain"/>
        <w:ind w:left="720"/>
        <w:rPr>
          <w:lang w:val="en-GB"/>
        </w:rPr>
      </w:pPr>
      <w:r w:rsidRPr="001F64CE">
        <w:rPr>
          <w:lang w:val="en-GB"/>
        </w:rPr>
        <w:t>The cost of production of vehicles, produced by the Sub</w:t>
      </w:r>
      <w:r w:rsidR="007E7D08" w:rsidRPr="001F64CE">
        <w:rPr>
          <w:lang w:val="en-GB"/>
        </w:rPr>
        <w:t>[</w:t>
      </w:r>
      <w:r w:rsidRPr="001F64CE">
        <w:rPr>
          <w:lang w:val="en-GB"/>
        </w:rPr>
        <w:t>sidiary</w:t>
      </w:r>
      <w:r w:rsidR="007E7D08" w:rsidRPr="001F64CE">
        <w:rPr>
          <w:lang w:val="en-GB"/>
        </w:rPr>
        <w:t>]</w:t>
      </w:r>
      <w:r w:rsidRPr="001F64CE">
        <w:rPr>
          <w:lang w:val="en-GB"/>
        </w:rPr>
        <w:t>, would be calculated in an identical manner to that followed by Maruti Suzuki India Limited (MSIL) in Haryana, and as would have been done if the Gujarat project had been executed by a 100</w:t>
      </w:r>
      <w:r w:rsidR="007E7D08" w:rsidRPr="001F64CE">
        <w:rPr>
          <w:lang w:val="en-GB"/>
        </w:rPr>
        <w:t>%</w:t>
      </w:r>
      <w:r w:rsidRPr="001F64CE">
        <w:rPr>
          <w:lang w:val="en-GB"/>
        </w:rPr>
        <w:t xml:space="preserve"> subsidiary of MSIL. This cost may be called ‘C’, and would not include return on investment and profits.</w:t>
      </w:r>
    </w:p>
    <w:p w14:paraId="5B3379EE" w14:textId="77777777" w:rsidR="007E7D08" w:rsidRPr="001F64CE" w:rsidRDefault="007E7D08" w:rsidP="003C0A88">
      <w:pPr>
        <w:pStyle w:val="BodyTextMain"/>
        <w:ind w:left="720"/>
        <w:rPr>
          <w:lang w:val="en-GB"/>
        </w:rPr>
      </w:pPr>
    </w:p>
    <w:p w14:paraId="2A75042D" w14:textId="405707BA" w:rsidR="007E7D08" w:rsidRDefault="00DE7981" w:rsidP="003C0A88">
      <w:pPr>
        <w:pStyle w:val="BodyTextMain"/>
        <w:ind w:left="720"/>
        <w:rPr>
          <w:lang w:val="en-GB"/>
        </w:rPr>
      </w:pPr>
      <w:r w:rsidRPr="001F64CE">
        <w:rPr>
          <w:lang w:val="en-GB"/>
        </w:rPr>
        <w:t>In Haryana, MSIL marks up ‘C’, to generate profits, which includes the return on capital employed, to arrive at the ex-factory sale price to its dealers. The amount of the mark up is determined, at all times, by market conditions. The amount of</w:t>
      </w:r>
      <w:r w:rsidR="003C0A88">
        <w:rPr>
          <w:lang w:val="en-GB"/>
        </w:rPr>
        <w:t xml:space="preserve"> this mark up may be called ‘P.’</w:t>
      </w:r>
      <w:r w:rsidRPr="001F64CE">
        <w:rPr>
          <w:lang w:val="en-GB"/>
        </w:rPr>
        <w:t xml:space="preserve"> The sale price to dealers is thus C</w:t>
      </w:r>
      <w:r w:rsidR="007E7D08" w:rsidRPr="001F64CE">
        <w:rPr>
          <w:lang w:val="en-GB"/>
        </w:rPr>
        <w:t xml:space="preserve"> </w:t>
      </w:r>
      <w:r w:rsidRPr="001F64CE">
        <w:rPr>
          <w:lang w:val="en-GB"/>
        </w:rPr>
        <w:t>+</w:t>
      </w:r>
      <w:r w:rsidR="007E7D08" w:rsidRPr="001F64CE">
        <w:rPr>
          <w:lang w:val="en-GB"/>
        </w:rPr>
        <w:t xml:space="preserve"> </w:t>
      </w:r>
      <w:r w:rsidRPr="001F64CE">
        <w:rPr>
          <w:lang w:val="en-GB"/>
        </w:rPr>
        <w:t>P</w:t>
      </w:r>
      <w:r w:rsidR="007E7D08" w:rsidRPr="001F64CE">
        <w:rPr>
          <w:lang w:val="en-GB"/>
        </w:rPr>
        <w:t>.</w:t>
      </w:r>
    </w:p>
    <w:p w14:paraId="65D043E2" w14:textId="77777777" w:rsidR="003C0A88" w:rsidRPr="001F64CE" w:rsidRDefault="003C0A88" w:rsidP="003C0A88">
      <w:pPr>
        <w:pStyle w:val="BodyTextMain"/>
        <w:ind w:left="720"/>
        <w:rPr>
          <w:rStyle w:val="EndnoteReference"/>
          <w:rFonts w:eastAsia="Batang"/>
          <w:lang w:val="en-GB"/>
        </w:rPr>
      </w:pPr>
    </w:p>
    <w:p w14:paraId="66F255BE" w14:textId="1CCA4ED7" w:rsidR="00DE7981" w:rsidRPr="001F64CE" w:rsidRDefault="00DE7981" w:rsidP="003C0A88">
      <w:pPr>
        <w:pStyle w:val="BodyTextMain"/>
        <w:ind w:left="720"/>
        <w:rPr>
          <w:lang w:val="en-GB"/>
        </w:rPr>
      </w:pPr>
      <w:r w:rsidRPr="001F64CE">
        <w:rPr>
          <w:lang w:val="en-GB"/>
        </w:rPr>
        <w:t xml:space="preserve">The Capex needs of the Gujarat Sub would be met by i) the depreciation amount available with the Sub ii) by an amount generated as net surplus from the car pricing and iii) by SMC infusing fresh equity, to the extent necessary. The amount of surplus added to ‘C’ would be such as would ensure </w:t>
      </w:r>
      <w:r w:rsidRPr="001F64CE">
        <w:rPr>
          <w:lang w:val="en-GB"/>
        </w:rPr>
        <w:lastRenderedPageBreak/>
        <w:t>that the total ex-factory price of cars made available to MSIL remains less than C</w:t>
      </w:r>
      <w:r w:rsidR="007E7D08" w:rsidRPr="001F64CE">
        <w:rPr>
          <w:lang w:val="en-GB"/>
        </w:rPr>
        <w:t xml:space="preserve"> </w:t>
      </w:r>
      <w:r w:rsidRPr="001F64CE">
        <w:rPr>
          <w:lang w:val="en-GB"/>
        </w:rPr>
        <w:t>+</w:t>
      </w:r>
      <w:r w:rsidR="007E7D08" w:rsidRPr="001F64CE">
        <w:rPr>
          <w:lang w:val="en-GB"/>
        </w:rPr>
        <w:t xml:space="preserve"> </w:t>
      </w:r>
      <w:r w:rsidRPr="001F64CE">
        <w:rPr>
          <w:lang w:val="en-GB"/>
        </w:rPr>
        <w:t>P. MSIL would sell the cars to dealers at C</w:t>
      </w:r>
      <w:r w:rsidR="007E7D08" w:rsidRPr="001F64CE">
        <w:rPr>
          <w:lang w:val="en-GB"/>
        </w:rPr>
        <w:t xml:space="preserve"> </w:t>
      </w:r>
      <w:r w:rsidRPr="001F64CE">
        <w:rPr>
          <w:lang w:val="en-GB"/>
        </w:rPr>
        <w:t>+</w:t>
      </w:r>
      <w:r w:rsidR="007E7D08" w:rsidRPr="001F64CE">
        <w:rPr>
          <w:lang w:val="en-GB"/>
        </w:rPr>
        <w:t xml:space="preserve"> </w:t>
      </w:r>
      <w:r w:rsidRPr="001F64CE">
        <w:rPr>
          <w:lang w:val="en-GB"/>
        </w:rPr>
        <w:t>P.</w:t>
      </w:r>
      <w:r w:rsidRPr="001F64CE">
        <w:rPr>
          <w:rStyle w:val="EndnoteReference"/>
          <w:rFonts w:eastAsia="Batang"/>
          <w:lang w:val="en-GB"/>
        </w:rPr>
        <w:endnoteReference w:id="51"/>
      </w:r>
    </w:p>
    <w:p w14:paraId="79D05786" w14:textId="77777777" w:rsidR="00DE7981" w:rsidRPr="001F64CE" w:rsidRDefault="00DE7981" w:rsidP="003C0A88">
      <w:pPr>
        <w:pStyle w:val="BodyTextMain"/>
        <w:rPr>
          <w:lang w:val="en-GB"/>
        </w:rPr>
      </w:pPr>
    </w:p>
    <w:p w14:paraId="48BAB966" w14:textId="444E17B5" w:rsidR="00DE7981" w:rsidRPr="001F64CE" w:rsidRDefault="00DE7981" w:rsidP="003C0A88">
      <w:pPr>
        <w:pStyle w:val="BodyTextMain"/>
        <w:rPr>
          <w:rFonts w:eastAsia="Batang"/>
          <w:lang w:val="en-GB"/>
        </w:rPr>
      </w:pPr>
      <w:r w:rsidRPr="001F64CE">
        <w:rPr>
          <w:rFonts w:eastAsia="Batang"/>
          <w:lang w:val="en-GB"/>
        </w:rPr>
        <w:t xml:space="preserve">The press release also clarified that the initial agreement was for 15 years </w:t>
      </w:r>
      <w:r w:rsidR="007E7D08" w:rsidRPr="001F64CE">
        <w:rPr>
          <w:rFonts w:eastAsia="Batang"/>
          <w:lang w:val="en-GB"/>
        </w:rPr>
        <w:t xml:space="preserve">only </w:t>
      </w:r>
      <w:r w:rsidRPr="001F64CE">
        <w:rPr>
          <w:rFonts w:eastAsia="Batang"/>
          <w:lang w:val="en-GB"/>
        </w:rPr>
        <w:t xml:space="preserve">and that </w:t>
      </w:r>
      <w:r w:rsidR="007E7D08" w:rsidRPr="001F64CE">
        <w:rPr>
          <w:rFonts w:eastAsia="Batang"/>
          <w:lang w:val="en-GB"/>
        </w:rPr>
        <w:t>if</w:t>
      </w:r>
      <w:r w:rsidRPr="001F64CE">
        <w:rPr>
          <w:rFonts w:eastAsia="Batang"/>
          <w:lang w:val="en-GB"/>
        </w:rPr>
        <w:t xml:space="preserve"> the agreement </w:t>
      </w:r>
      <w:r w:rsidR="007E7D08" w:rsidRPr="001F64CE">
        <w:rPr>
          <w:rFonts w:eastAsia="Batang"/>
          <w:lang w:val="en-GB"/>
        </w:rPr>
        <w:t xml:space="preserve">were </w:t>
      </w:r>
      <w:r w:rsidRPr="001F64CE">
        <w:rPr>
          <w:rFonts w:eastAsia="Batang"/>
          <w:lang w:val="en-GB"/>
        </w:rPr>
        <w:t xml:space="preserve">not extended, the assets of SMG would be transferred to MSIL at fair market value. </w:t>
      </w:r>
    </w:p>
    <w:p w14:paraId="3E675280" w14:textId="77777777" w:rsidR="00DE7981" w:rsidRPr="001F64CE" w:rsidRDefault="00DE7981" w:rsidP="003C0A88">
      <w:pPr>
        <w:pStyle w:val="BodyTextMain"/>
        <w:rPr>
          <w:rFonts w:eastAsia="Batang"/>
          <w:lang w:val="en-GB"/>
        </w:rPr>
      </w:pPr>
    </w:p>
    <w:p w14:paraId="1CD4C72D" w14:textId="77777777" w:rsidR="00DE7981" w:rsidRPr="001F64CE" w:rsidRDefault="00DE7981" w:rsidP="003C0A88">
      <w:pPr>
        <w:pStyle w:val="BodyTextMain"/>
        <w:rPr>
          <w:rFonts w:eastAsia="Batang"/>
          <w:lang w:val="en-GB"/>
        </w:rPr>
      </w:pPr>
    </w:p>
    <w:p w14:paraId="29E9D88C" w14:textId="77777777" w:rsidR="00DE7981" w:rsidRPr="001F64CE" w:rsidRDefault="00DE7981" w:rsidP="003C0A88">
      <w:pPr>
        <w:pStyle w:val="Casehead1"/>
        <w:rPr>
          <w:rFonts w:eastAsia="Batang"/>
          <w:lang w:val="en-GB"/>
        </w:rPr>
      </w:pPr>
      <w:r w:rsidRPr="001F64CE">
        <w:rPr>
          <w:rFonts w:eastAsia="Batang"/>
          <w:lang w:val="en-GB"/>
        </w:rPr>
        <w:t>REACTION FROM THE STREET</w:t>
      </w:r>
    </w:p>
    <w:p w14:paraId="0B254C7A" w14:textId="77777777" w:rsidR="00DE7981" w:rsidRPr="001F64CE" w:rsidRDefault="00DE7981" w:rsidP="003C0A88">
      <w:pPr>
        <w:pStyle w:val="BodyTextMain"/>
        <w:rPr>
          <w:rFonts w:eastAsia="Batang"/>
          <w:lang w:val="en-GB"/>
        </w:rPr>
      </w:pPr>
    </w:p>
    <w:p w14:paraId="30F3A117" w14:textId="3EC8D8D1" w:rsidR="00DE7981" w:rsidRPr="001F64CE" w:rsidRDefault="00DE7981" w:rsidP="003C0A88">
      <w:pPr>
        <w:pStyle w:val="BodyTextMain"/>
        <w:rPr>
          <w:rFonts w:eastAsia="Batang"/>
          <w:lang w:val="en-GB"/>
        </w:rPr>
      </w:pPr>
      <w:r w:rsidRPr="001F64CE">
        <w:rPr>
          <w:rFonts w:eastAsia="Batang"/>
          <w:lang w:val="en-GB"/>
        </w:rPr>
        <w:t>The stock market did not appear to be satisfied with these clarifications</w:t>
      </w:r>
      <w:r w:rsidR="007E7D08" w:rsidRPr="001F64CE">
        <w:rPr>
          <w:rFonts w:eastAsia="Batang"/>
          <w:lang w:val="en-GB"/>
        </w:rPr>
        <w:t>,</w:t>
      </w:r>
      <w:r w:rsidRPr="001F64CE">
        <w:rPr>
          <w:rFonts w:eastAsia="Batang"/>
          <w:lang w:val="en-GB"/>
        </w:rPr>
        <w:t xml:space="preserve"> and the stock price fell by 1 per cent on a day when the </w:t>
      </w:r>
      <w:r w:rsidR="007E7D08" w:rsidRPr="001F64CE">
        <w:rPr>
          <w:rFonts w:eastAsia="Batang"/>
          <w:lang w:val="en-GB"/>
        </w:rPr>
        <w:t>broad-</w:t>
      </w:r>
      <w:r w:rsidRPr="001F64CE">
        <w:rPr>
          <w:rFonts w:eastAsia="Batang"/>
          <w:lang w:val="en-GB"/>
        </w:rPr>
        <w:t>based index Sensex increased by around 0.5 per cent (see Exhibit 7). Analysts again raised similar objections</w:t>
      </w:r>
      <w:r w:rsidR="007E7D08" w:rsidRPr="001F64CE">
        <w:rPr>
          <w:rFonts w:eastAsia="Batang"/>
          <w:lang w:val="en-GB"/>
        </w:rPr>
        <w:t>,</w:t>
      </w:r>
      <w:r w:rsidRPr="001F64CE">
        <w:rPr>
          <w:rFonts w:eastAsia="Batang"/>
          <w:lang w:val="en-GB"/>
        </w:rPr>
        <w:t xml:space="preserve"> saying </w:t>
      </w:r>
      <w:r w:rsidR="007E7D08" w:rsidRPr="001F64CE">
        <w:rPr>
          <w:rFonts w:eastAsia="Batang"/>
          <w:lang w:val="en-GB"/>
        </w:rPr>
        <w:t xml:space="preserve">that </w:t>
      </w:r>
      <w:r w:rsidRPr="001F64CE">
        <w:rPr>
          <w:rFonts w:eastAsia="Batang"/>
          <w:lang w:val="en-GB"/>
        </w:rPr>
        <w:t xml:space="preserve">SMC had no advantage over MSIL in running the new subsidiary. </w:t>
      </w:r>
      <w:r w:rsidR="007E7D08" w:rsidRPr="001F64CE">
        <w:rPr>
          <w:rFonts w:eastAsia="Batang"/>
          <w:lang w:val="en-GB"/>
        </w:rPr>
        <w:t>I</w:t>
      </w:r>
      <w:r w:rsidRPr="001F64CE">
        <w:rPr>
          <w:rFonts w:eastAsia="Batang"/>
          <w:lang w:val="en-GB"/>
        </w:rPr>
        <w:t xml:space="preserve">f </w:t>
      </w:r>
      <w:r w:rsidR="007E7D08" w:rsidRPr="001F64CE">
        <w:rPr>
          <w:rFonts w:eastAsia="Batang"/>
          <w:lang w:val="en-GB"/>
        </w:rPr>
        <w:t xml:space="preserve">SMC’s </w:t>
      </w:r>
      <w:r w:rsidRPr="001F64CE">
        <w:rPr>
          <w:rFonts w:eastAsia="Batang"/>
          <w:lang w:val="en-GB"/>
        </w:rPr>
        <w:t xml:space="preserve">lower cost of capital was the reason why SMC was making the investment, then SMC should also have funded the entire incremental </w:t>
      </w:r>
      <w:r w:rsidR="007E7D08" w:rsidRPr="001F64CE">
        <w:rPr>
          <w:rFonts w:eastAsia="Batang"/>
          <w:lang w:val="en-GB"/>
        </w:rPr>
        <w:t>CAPEX.</w:t>
      </w:r>
      <w:r w:rsidRPr="001F64CE">
        <w:rPr>
          <w:rStyle w:val="EndnoteReference"/>
          <w:rFonts w:eastAsia="Batang"/>
          <w:lang w:val="en-GB"/>
        </w:rPr>
        <w:endnoteReference w:id="52"/>
      </w:r>
      <w:r w:rsidRPr="001F64CE">
        <w:rPr>
          <w:rFonts w:eastAsia="Batang"/>
          <w:lang w:val="en-GB"/>
        </w:rPr>
        <w:t xml:space="preserve"> </w:t>
      </w:r>
    </w:p>
    <w:p w14:paraId="0D77AEC0" w14:textId="77777777" w:rsidR="00DE7981" w:rsidRPr="001F64CE" w:rsidRDefault="00DE7981" w:rsidP="003C0A88">
      <w:pPr>
        <w:pStyle w:val="BodyTextMain"/>
        <w:rPr>
          <w:rFonts w:eastAsia="Batang"/>
          <w:lang w:val="en-GB"/>
        </w:rPr>
      </w:pPr>
    </w:p>
    <w:p w14:paraId="4377A27D" w14:textId="48E5A697" w:rsidR="00DE7981" w:rsidRPr="001F64CE" w:rsidRDefault="005913C8" w:rsidP="003C0A88">
      <w:pPr>
        <w:pStyle w:val="BodyTextMain"/>
        <w:rPr>
          <w:rFonts w:eastAsia="Batang"/>
          <w:lang w:val="en-GB"/>
        </w:rPr>
      </w:pPr>
      <w:r w:rsidRPr="001F64CE">
        <w:rPr>
          <w:rFonts w:eastAsia="Batang"/>
          <w:lang w:val="en-GB"/>
        </w:rPr>
        <w:t xml:space="preserve">Samir </w:t>
      </w:r>
      <w:r w:rsidR="00DE7981" w:rsidRPr="001F64CE">
        <w:rPr>
          <w:rFonts w:eastAsia="Batang"/>
          <w:lang w:val="en-GB"/>
        </w:rPr>
        <w:t>Arora, fund manager of Helios Capital, summarized the frustration of the fund managers</w:t>
      </w:r>
      <w:r w:rsidRPr="001F64CE">
        <w:rPr>
          <w:rFonts w:eastAsia="Batang"/>
          <w:lang w:val="en-GB"/>
        </w:rPr>
        <w:t>:</w:t>
      </w:r>
      <w:r w:rsidR="00DE7981" w:rsidRPr="001F64CE">
        <w:rPr>
          <w:rFonts w:eastAsia="Batang"/>
          <w:lang w:val="en-GB"/>
        </w:rPr>
        <w:t xml:space="preserve"> </w:t>
      </w:r>
    </w:p>
    <w:p w14:paraId="5FA16BBA" w14:textId="77777777" w:rsidR="00DE7981" w:rsidRPr="001F64CE" w:rsidRDefault="00DE7981" w:rsidP="003C0A88">
      <w:pPr>
        <w:ind w:left="144" w:right="144"/>
        <w:jc w:val="both"/>
        <w:rPr>
          <w:rFonts w:eastAsia="Batang"/>
          <w:lang w:val="en-GB"/>
        </w:rPr>
      </w:pPr>
    </w:p>
    <w:p w14:paraId="4EAEA200" w14:textId="4CFB5CA8" w:rsidR="00DE7981" w:rsidRPr="001F64CE" w:rsidRDefault="00DE7981" w:rsidP="003C0A88">
      <w:pPr>
        <w:pStyle w:val="BodyTextMain"/>
        <w:ind w:left="720"/>
        <w:rPr>
          <w:rFonts w:eastAsia="Batang"/>
          <w:lang w:val="en-GB"/>
        </w:rPr>
      </w:pPr>
      <w:r w:rsidRPr="001F64CE">
        <w:rPr>
          <w:rFonts w:eastAsia="Batang"/>
          <w:lang w:val="en-GB"/>
        </w:rPr>
        <w:t xml:space="preserve">These days, the bigger frustration is with many MNCs who try every trick in the book to cheat minority shareholders. A good example is Suzuki whose behavior has been completely anti-minority shareholder. Even after seven big mutual funds of the country objected, the </w:t>
      </w:r>
      <w:r w:rsidR="00014C38">
        <w:rPr>
          <w:rFonts w:eastAsia="Batang"/>
          <w:lang w:val="en-GB"/>
        </w:rPr>
        <w:t>[chief executive officer]</w:t>
      </w:r>
      <w:r w:rsidRPr="001F64CE">
        <w:rPr>
          <w:rFonts w:eastAsia="Batang"/>
          <w:lang w:val="en-GB"/>
        </w:rPr>
        <w:t xml:space="preserve"> says the steps they have taken are for the benefit of the minority shareholders as if these MF managers are dumb and do not understand what is in their benefit. Ridiculous.</w:t>
      </w:r>
      <w:r w:rsidRPr="001F64CE">
        <w:rPr>
          <w:rStyle w:val="EndnoteReference"/>
          <w:rFonts w:eastAsia="Batang"/>
          <w:lang w:val="en-GB"/>
        </w:rPr>
        <w:t xml:space="preserve"> </w:t>
      </w:r>
      <w:r w:rsidRPr="001F64CE">
        <w:rPr>
          <w:rStyle w:val="EndnoteReference"/>
          <w:rFonts w:eastAsia="Batang"/>
          <w:lang w:val="en-GB"/>
        </w:rPr>
        <w:endnoteReference w:id="53"/>
      </w:r>
    </w:p>
    <w:p w14:paraId="1C89B544" w14:textId="77777777" w:rsidR="00DE7981" w:rsidRPr="001F64CE" w:rsidRDefault="00DE7981" w:rsidP="003C0A88">
      <w:pPr>
        <w:pStyle w:val="BodyTextMain"/>
        <w:rPr>
          <w:rFonts w:eastAsia="Batang"/>
          <w:lang w:val="en-GB"/>
        </w:rPr>
      </w:pPr>
    </w:p>
    <w:p w14:paraId="69FBAE51" w14:textId="0964FF82" w:rsidR="00DE7981" w:rsidRPr="001F64CE" w:rsidRDefault="005913C8" w:rsidP="003C0A88">
      <w:pPr>
        <w:pStyle w:val="BodyTextMain"/>
        <w:rPr>
          <w:rFonts w:eastAsia="Batang"/>
          <w:lang w:val="en-GB"/>
        </w:rPr>
      </w:pPr>
      <w:r w:rsidRPr="001F64CE">
        <w:rPr>
          <w:rFonts w:eastAsia="Batang"/>
          <w:lang w:val="en-GB"/>
        </w:rPr>
        <w:t xml:space="preserve">A total of </w:t>
      </w:r>
      <w:r w:rsidR="00DE7981" w:rsidRPr="001F64CE">
        <w:rPr>
          <w:rFonts w:eastAsia="Batang"/>
          <w:lang w:val="en-GB"/>
        </w:rPr>
        <w:t xml:space="preserve">16 fund managers from </w:t>
      </w:r>
      <w:r w:rsidRPr="001F64CE">
        <w:rPr>
          <w:rFonts w:eastAsia="Batang"/>
          <w:lang w:val="en-GB"/>
        </w:rPr>
        <w:t xml:space="preserve">the </w:t>
      </w:r>
      <w:r w:rsidR="00DE7981" w:rsidRPr="001F64CE">
        <w:rPr>
          <w:rFonts w:eastAsia="Batang"/>
          <w:lang w:val="en-GB"/>
        </w:rPr>
        <w:t xml:space="preserve">mutual funds and insurance industry wrote a second letter to MSIL asking it to scrap the proposal. The letter expressed </w:t>
      </w:r>
      <w:r w:rsidRPr="001F64CE">
        <w:rPr>
          <w:rFonts w:eastAsia="Batang"/>
          <w:lang w:val="en-GB"/>
        </w:rPr>
        <w:t xml:space="preserve">these fund managers’ </w:t>
      </w:r>
      <w:r w:rsidR="00DE7981" w:rsidRPr="001F64CE">
        <w:rPr>
          <w:rFonts w:eastAsia="Batang"/>
          <w:lang w:val="en-GB"/>
        </w:rPr>
        <w:t>concerns over MSIL becoming a shell company</w:t>
      </w:r>
      <w:r w:rsidRPr="001F64CE">
        <w:rPr>
          <w:rFonts w:eastAsia="Batang"/>
          <w:lang w:val="en-GB"/>
        </w:rPr>
        <w:t>,</w:t>
      </w:r>
      <w:r w:rsidR="00DE7981" w:rsidRPr="001F64CE">
        <w:rPr>
          <w:rFonts w:eastAsia="Batang"/>
          <w:lang w:val="en-GB"/>
        </w:rPr>
        <w:t xml:space="preserve"> which would ultimately work as a distribution company for the cars manufactured by Suzuki. The letter also questioned the wisdom of the independent directors </w:t>
      </w:r>
      <w:r w:rsidRPr="001F64CE">
        <w:rPr>
          <w:rFonts w:eastAsia="Batang"/>
          <w:lang w:val="en-GB"/>
        </w:rPr>
        <w:t xml:space="preserve">on </w:t>
      </w:r>
      <w:r w:rsidR="00DE7981" w:rsidRPr="001F64CE">
        <w:rPr>
          <w:rFonts w:eastAsia="Batang"/>
          <w:lang w:val="en-GB"/>
        </w:rPr>
        <w:t xml:space="preserve">the </w:t>
      </w:r>
      <w:r w:rsidR="000927A0">
        <w:rPr>
          <w:rFonts w:eastAsia="Batang"/>
          <w:lang w:val="en-GB"/>
        </w:rPr>
        <w:t xml:space="preserve">MSIL </w:t>
      </w:r>
      <w:r w:rsidR="00DE7981" w:rsidRPr="001F64CE">
        <w:rPr>
          <w:rFonts w:eastAsia="Batang"/>
          <w:lang w:val="en-GB"/>
        </w:rPr>
        <w:t>board</w:t>
      </w:r>
      <w:r w:rsidRPr="001F64CE">
        <w:rPr>
          <w:rFonts w:eastAsia="Batang"/>
          <w:lang w:val="en-GB"/>
        </w:rPr>
        <w:t>.</w:t>
      </w:r>
      <w:r w:rsidR="00DE7981" w:rsidRPr="001F64CE">
        <w:rPr>
          <w:rStyle w:val="EndnoteReference"/>
          <w:rFonts w:eastAsia="Batang"/>
          <w:lang w:val="en-GB"/>
        </w:rPr>
        <w:endnoteReference w:id="54"/>
      </w:r>
      <w:r w:rsidR="00DE7981" w:rsidRPr="001F64CE">
        <w:rPr>
          <w:rFonts w:eastAsia="Batang"/>
          <w:lang w:val="en-GB"/>
        </w:rPr>
        <w:t xml:space="preserve"> Though it was not legally necessary for MSIL to </w:t>
      </w:r>
      <w:r w:rsidRPr="001F64CE">
        <w:rPr>
          <w:rFonts w:eastAsia="Batang"/>
          <w:lang w:val="en-GB"/>
        </w:rPr>
        <w:t xml:space="preserve">seek </w:t>
      </w:r>
      <w:r w:rsidR="00DE7981" w:rsidRPr="001F64CE">
        <w:rPr>
          <w:rFonts w:eastAsia="Batang"/>
          <w:lang w:val="en-GB"/>
        </w:rPr>
        <w:t xml:space="preserve">permission </w:t>
      </w:r>
      <w:r w:rsidRPr="001F64CE">
        <w:rPr>
          <w:rFonts w:eastAsia="Batang"/>
          <w:lang w:val="en-GB"/>
        </w:rPr>
        <w:t xml:space="preserve">from </w:t>
      </w:r>
      <w:r w:rsidR="00DE7981" w:rsidRPr="001F64CE">
        <w:rPr>
          <w:rFonts w:eastAsia="Batang"/>
          <w:lang w:val="en-GB"/>
        </w:rPr>
        <w:t>the minority shareholders, there were reports that SEBI was exploring legal options to protect the interests of the minority shareholders</w:t>
      </w:r>
      <w:r w:rsidRPr="001F64CE">
        <w:rPr>
          <w:rFonts w:eastAsia="Batang"/>
          <w:lang w:val="en-GB"/>
        </w:rPr>
        <w:t>.</w:t>
      </w:r>
      <w:r w:rsidR="00DE7981" w:rsidRPr="001F64CE">
        <w:rPr>
          <w:rStyle w:val="EndnoteReference"/>
          <w:rFonts w:eastAsia="Batang"/>
          <w:lang w:val="en-GB"/>
        </w:rPr>
        <w:endnoteReference w:id="55"/>
      </w:r>
      <w:r w:rsidR="00DE7981" w:rsidRPr="001F64CE">
        <w:rPr>
          <w:rFonts w:eastAsia="Batang"/>
          <w:lang w:val="en-GB"/>
        </w:rPr>
        <w:t xml:space="preserve"> </w:t>
      </w:r>
    </w:p>
    <w:p w14:paraId="775B579A" w14:textId="77777777" w:rsidR="00DE7981" w:rsidRPr="001F64CE" w:rsidRDefault="00DE7981" w:rsidP="003C0A88">
      <w:pPr>
        <w:pStyle w:val="BodyTextMain"/>
        <w:rPr>
          <w:rFonts w:eastAsia="Batang"/>
          <w:lang w:val="en-GB"/>
        </w:rPr>
      </w:pPr>
    </w:p>
    <w:p w14:paraId="063CAAA8" w14:textId="77777777" w:rsidR="00DE7981" w:rsidRPr="001F64CE" w:rsidRDefault="00DE7981" w:rsidP="003C0A88">
      <w:pPr>
        <w:pStyle w:val="BodyTextMain"/>
        <w:rPr>
          <w:rFonts w:eastAsia="Batang"/>
          <w:lang w:val="en-GB"/>
        </w:rPr>
      </w:pPr>
    </w:p>
    <w:p w14:paraId="606B9E4F" w14:textId="77777777" w:rsidR="00DE7981" w:rsidRPr="003C0A88" w:rsidRDefault="00DE7981" w:rsidP="003C0A88">
      <w:pPr>
        <w:pStyle w:val="Casehead1"/>
      </w:pPr>
      <w:r w:rsidRPr="003C0A88">
        <w:t>BULLISH ON MARUTI</w:t>
      </w:r>
    </w:p>
    <w:p w14:paraId="1BA52E25" w14:textId="77777777" w:rsidR="00DE7981" w:rsidRPr="001F64CE" w:rsidRDefault="00DE7981" w:rsidP="003C0A88">
      <w:pPr>
        <w:pStyle w:val="BodyTextMain"/>
        <w:rPr>
          <w:bdr w:val="none" w:sz="0" w:space="0" w:color="auto" w:frame="1"/>
          <w:shd w:val="clear" w:color="auto" w:fill="FFFFFF"/>
          <w:lang w:val="en-GB"/>
        </w:rPr>
      </w:pPr>
    </w:p>
    <w:p w14:paraId="74A72C2A" w14:textId="77B22E5F" w:rsidR="00DE7981" w:rsidRPr="001F64CE" w:rsidRDefault="00DE7981" w:rsidP="003C0A88">
      <w:pPr>
        <w:pStyle w:val="BodyTextMain"/>
        <w:rPr>
          <w:bdr w:val="none" w:sz="0" w:space="0" w:color="auto" w:frame="1"/>
          <w:shd w:val="clear" w:color="auto" w:fill="FFFFFF"/>
          <w:lang w:val="en-GB"/>
        </w:rPr>
      </w:pPr>
      <w:r w:rsidRPr="003C0A88">
        <w:rPr>
          <w:bdr w:val="none" w:sz="0" w:space="0" w:color="auto" w:frame="1"/>
          <w:lang w:val="en-GB"/>
        </w:rPr>
        <w:t xml:space="preserve">Not everyone was unhappy, however. Even as the domestic fund managers were exploring legal options, foreign institutional investors (FIIs) were bullish on MSIL and were increasing their equity stake in MSIL. On March 3, 2014, the FII stake in MSIL reached 22 per cent, the maximum allowed </w:t>
      </w:r>
      <w:r w:rsidR="005913C8" w:rsidRPr="003C0A88">
        <w:rPr>
          <w:bdr w:val="none" w:sz="0" w:space="0" w:color="auto" w:frame="1"/>
          <w:lang w:val="en-GB"/>
        </w:rPr>
        <w:t>without obtaining</w:t>
      </w:r>
      <w:r w:rsidR="005913C8" w:rsidRPr="001F64CE">
        <w:rPr>
          <w:bdr w:val="none" w:sz="0" w:space="0" w:color="auto" w:frame="1"/>
          <w:shd w:val="clear" w:color="auto" w:fill="FFFFFF"/>
          <w:lang w:val="en-GB"/>
        </w:rPr>
        <w:t xml:space="preserve"> </w:t>
      </w:r>
      <w:r w:rsidR="005913C8" w:rsidRPr="003C0A88">
        <w:rPr>
          <w:bdr w:val="none" w:sz="0" w:space="0" w:color="auto" w:frame="1"/>
          <w:lang w:val="en-GB"/>
        </w:rPr>
        <w:t xml:space="preserve">special permission from </w:t>
      </w:r>
      <w:r w:rsidR="00014C38">
        <w:rPr>
          <w:bdr w:val="none" w:sz="0" w:space="0" w:color="auto" w:frame="1"/>
          <w:lang w:val="en-GB"/>
        </w:rPr>
        <w:t>Reserve Bank of India</w:t>
      </w:r>
      <w:r w:rsidRPr="003C0A88">
        <w:rPr>
          <w:bdr w:val="none" w:sz="0" w:space="0" w:color="auto" w:frame="1"/>
          <w:lang w:val="en-GB"/>
        </w:rPr>
        <w:t>.</w:t>
      </w:r>
      <w:r w:rsidRPr="003C0A88">
        <w:rPr>
          <w:rStyle w:val="EndnoteReference"/>
          <w:bCs/>
          <w:bdr w:val="none" w:sz="0" w:space="0" w:color="auto" w:frame="1"/>
          <w:lang w:val="en-GB"/>
        </w:rPr>
        <w:endnoteReference w:id="56"/>
      </w:r>
      <w:r w:rsidRPr="003C0A88">
        <w:rPr>
          <w:bdr w:val="none" w:sz="0" w:space="0" w:color="auto" w:frame="1"/>
          <w:lang w:val="en-GB"/>
        </w:rPr>
        <w:t xml:space="preserve"> There were reasons behind this optimism. </w:t>
      </w:r>
      <w:r w:rsidR="005913C8" w:rsidRPr="003C0A88">
        <w:rPr>
          <w:bdr w:val="none" w:sz="0" w:space="0" w:color="auto" w:frame="1"/>
          <w:lang w:val="en-GB"/>
        </w:rPr>
        <w:t>MSIL’s</w:t>
      </w:r>
      <w:r w:rsidRPr="003C0A88">
        <w:rPr>
          <w:bdr w:val="none" w:sz="0" w:space="0" w:color="auto" w:frame="1"/>
          <w:lang w:val="en-GB"/>
        </w:rPr>
        <w:t xml:space="preserve"> </w:t>
      </w:r>
      <w:r w:rsidR="005913C8" w:rsidRPr="003C0A88">
        <w:rPr>
          <w:bdr w:val="none" w:sz="0" w:space="0" w:color="auto" w:frame="1"/>
          <w:lang w:val="en-GB"/>
        </w:rPr>
        <w:t>third-</w:t>
      </w:r>
      <w:r w:rsidRPr="003C0A88">
        <w:rPr>
          <w:bdr w:val="none" w:sz="0" w:space="0" w:color="auto" w:frame="1"/>
          <w:lang w:val="en-GB"/>
        </w:rPr>
        <w:t xml:space="preserve">quarter results for FY 2014 </w:t>
      </w:r>
      <w:r w:rsidR="005913C8" w:rsidRPr="003C0A88">
        <w:rPr>
          <w:bdr w:val="none" w:sz="0" w:space="0" w:color="auto" w:frame="1"/>
          <w:lang w:val="en-GB"/>
        </w:rPr>
        <w:t xml:space="preserve">had </w:t>
      </w:r>
      <w:r w:rsidRPr="003C0A88">
        <w:rPr>
          <w:bdr w:val="none" w:sz="0" w:space="0" w:color="auto" w:frame="1"/>
          <w:lang w:val="en-GB"/>
        </w:rPr>
        <w:t xml:space="preserve">beat the street estimates. MSIL </w:t>
      </w:r>
      <w:r w:rsidR="005913C8" w:rsidRPr="003C0A88">
        <w:rPr>
          <w:bdr w:val="none" w:sz="0" w:space="0" w:color="auto" w:frame="1"/>
          <w:lang w:val="en-GB"/>
        </w:rPr>
        <w:t xml:space="preserve">had </w:t>
      </w:r>
      <w:r w:rsidRPr="003C0A88">
        <w:rPr>
          <w:bdr w:val="none" w:sz="0" w:space="0" w:color="auto" w:frame="1"/>
          <w:lang w:val="en-GB"/>
        </w:rPr>
        <w:t xml:space="preserve">reported </w:t>
      </w:r>
      <w:r w:rsidR="005913C8" w:rsidRPr="003C0A88">
        <w:rPr>
          <w:bdr w:val="none" w:sz="0" w:space="0" w:color="auto" w:frame="1"/>
          <w:lang w:val="en-GB"/>
        </w:rPr>
        <w:t xml:space="preserve">a </w:t>
      </w:r>
      <w:r w:rsidRPr="003C0A88">
        <w:rPr>
          <w:bdr w:val="none" w:sz="0" w:space="0" w:color="auto" w:frame="1"/>
          <w:lang w:val="en-GB"/>
        </w:rPr>
        <w:t>36 per cent increase in quarter-on-quarter net income, increased its market share in the passenger vehicle market, and reduce</w:t>
      </w:r>
      <w:r w:rsidR="005913C8" w:rsidRPr="003C0A88">
        <w:rPr>
          <w:bdr w:val="none" w:sz="0" w:space="0" w:color="auto" w:frame="1"/>
          <w:lang w:val="en-GB"/>
        </w:rPr>
        <w:t>d</w:t>
      </w:r>
      <w:r w:rsidRPr="003C0A88">
        <w:rPr>
          <w:bdr w:val="none" w:sz="0" w:space="0" w:color="auto" w:frame="1"/>
          <w:lang w:val="en-GB"/>
        </w:rPr>
        <w:t xml:space="preserve"> its cost of production.</w:t>
      </w:r>
      <w:r w:rsidRPr="001F64CE">
        <w:rPr>
          <w:bdr w:val="none" w:sz="0" w:space="0" w:color="auto" w:frame="1"/>
          <w:shd w:val="clear" w:color="auto" w:fill="FFFFFF"/>
          <w:lang w:val="en-GB"/>
        </w:rPr>
        <w:t xml:space="preserve"> </w:t>
      </w:r>
    </w:p>
    <w:p w14:paraId="4C563C98" w14:textId="77777777" w:rsidR="00DE7981" w:rsidRPr="001F64CE" w:rsidRDefault="00DE7981" w:rsidP="003C0A88">
      <w:pPr>
        <w:pStyle w:val="BodyTextMain"/>
        <w:rPr>
          <w:bdr w:val="none" w:sz="0" w:space="0" w:color="auto" w:frame="1"/>
          <w:shd w:val="clear" w:color="auto" w:fill="FFFFFF"/>
          <w:lang w:val="en-GB"/>
        </w:rPr>
      </w:pPr>
    </w:p>
    <w:p w14:paraId="235F7E71" w14:textId="7F54A217" w:rsidR="00DE7981" w:rsidRDefault="00607138" w:rsidP="003C0A88">
      <w:pPr>
        <w:pStyle w:val="BodyTextMain"/>
        <w:rPr>
          <w:bdr w:val="none" w:sz="0" w:space="0" w:color="auto" w:frame="1"/>
          <w:shd w:val="clear" w:color="auto" w:fill="FFFFFF"/>
          <w:lang w:val="en-GB"/>
        </w:rPr>
      </w:pPr>
      <w:r w:rsidRPr="003C0A88">
        <w:rPr>
          <w:bdr w:val="none" w:sz="0" w:space="0" w:color="auto" w:frame="1"/>
          <w:lang w:val="en-GB"/>
        </w:rPr>
        <w:t xml:space="preserve">MSIL </w:t>
      </w:r>
      <w:r w:rsidR="005913C8" w:rsidRPr="003C0A88">
        <w:rPr>
          <w:bdr w:val="none" w:sz="0" w:space="0" w:color="auto" w:frame="1"/>
          <w:lang w:val="en-GB"/>
        </w:rPr>
        <w:t xml:space="preserve">had also </w:t>
      </w:r>
      <w:r w:rsidRPr="003C0A88">
        <w:rPr>
          <w:bdr w:val="none" w:sz="0" w:space="0" w:color="auto" w:frame="1"/>
          <w:lang w:val="en-GB"/>
        </w:rPr>
        <w:t xml:space="preserve">launched </w:t>
      </w:r>
      <w:r w:rsidR="008E08DF" w:rsidRPr="003C0A88">
        <w:rPr>
          <w:bdr w:val="none" w:sz="0" w:space="0" w:color="auto" w:frame="1"/>
          <w:lang w:val="en-GB"/>
        </w:rPr>
        <w:t>the</w:t>
      </w:r>
      <w:r w:rsidR="005913C8" w:rsidRPr="003C0A88">
        <w:rPr>
          <w:bdr w:val="none" w:sz="0" w:space="0" w:color="auto" w:frame="1"/>
          <w:lang w:val="en-GB"/>
        </w:rPr>
        <w:t xml:space="preserve"> new compact </w:t>
      </w:r>
      <w:r w:rsidR="00014C38">
        <w:rPr>
          <w:bdr w:val="none" w:sz="0" w:space="0" w:color="auto" w:frame="1"/>
          <w:lang w:val="en-GB"/>
        </w:rPr>
        <w:t>AMT</w:t>
      </w:r>
      <w:r w:rsidR="005913C8" w:rsidRPr="003C0A88">
        <w:rPr>
          <w:bdr w:val="none" w:sz="0" w:space="0" w:color="auto" w:frame="1"/>
          <w:lang w:val="en-GB"/>
        </w:rPr>
        <w:t xml:space="preserve"> car, </w:t>
      </w:r>
      <w:r w:rsidR="00DE7981" w:rsidRPr="003C0A88">
        <w:rPr>
          <w:bdr w:val="none" w:sz="0" w:space="0" w:color="auto" w:frame="1"/>
          <w:lang w:val="en-GB"/>
        </w:rPr>
        <w:t xml:space="preserve">Celerio, in the Indian market in February 2014. Passenger </w:t>
      </w:r>
      <w:r w:rsidR="004A053C" w:rsidRPr="003C0A88">
        <w:rPr>
          <w:bdr w:val="none" w:sz="0" w:space="0" w:color="auto" w:frame="1"/>
          <w:lang w:val="en-GB"/>
        </w:rPr>
        <w:t>v</w:t>
      </w:r>
      <w:r w:rsidR="00DE7981" w:rsidRPr="003C0A88">
        <w:rPr>
          <w:bdr w:val="none" w:sz="0" w:space="0" w:color="auto" w:frame="1"/>
          <w:lang w:val="en-GB"/>
        </w:rPr>
        <w:t xml:space="preserve">ehicles based on </w:t>
      </w:r>
      <w:r w:rsidR="004A053C" w:rsidRPr="003C0A88">
        <w:rPr>
          <w:bdr w:val="none" w:sz="0" w:space="0" w:color="auto" w:frame="1"/>
          <w:lang w:val="en-GB"/>
        </w:rPr>
        <w:t>AMT</w:t>
      </w:r>
      <w:r w:rsidR="00DE7981" w:rsidRPr="003C0A88">
        <w:rPr>
          <w:bdr w:val="none" w:sz="0" w:space="0" w:color="auto" w:frame="1"/>
          <w:lang w:val="en-GB"/>
        </w:rPr>
        <w:t xml:space="preserve"> </w:t>
      </w:r>
      <w:r w:rsidR="004A053C" w:rsidRPr="003C0A88">
        <w:rPr>
          <w:bdr w:val="none" w:sz="0" w:space="0" w:color="auto" w:frame="1"/>
          <w:lang w:val="en-GB"/>
        </w:rPr>
        <w:t xml:space="preserve">technology had </w:t>
      </w:r>
      <w:r w:rsidR="00DE7981" w:rsidRPr="003C0A88">
        <w:rPr>
          <w:bdr w:val="none" w:sz="0" w:space="0" w:color="auto" w:frame="1"/>
          <w:lang w:val="en-GB"/>
        </w:rPr>
        <w:t xml:space="preserve">never worked in India in the past because of </w:t>
      </w:r>
      <w:r w:rsidR="004A053C" w:rsidRPr="003C0A88">
        <w:rPr>
          <w:bdr w:val="none" w:sz="0" w:space="0" w:color="auto" w:frame="1"/>
          <w:lang w:val="en-GB"/>
        </w:rPr>
        <w:t xml:space="preserve">their </w:t>
      </w:r>
      <w:r w:rsidR="00DE7981" w:rsidRPr="003C0A88">
        <w:rPr>
          <w:bdr w:val="none" w:sz="0" w:space="0" w:color="auto" w:frame="1"/>
          <w:lang w:val="en-GB"/>
        </w:rPr>
        <w:t>high fuel consumption. The price difference between auto</w:t>
      </w:r>
      <w:r w:rsidR="004A053C" w:rsidRPr="003C0A88">
        <w:rPr>
          <w:bdr w:val="none" w:sz="0" w:space="0" w:color="auto" w:frame="1"/>
          <w:lang w:val="en-GB"/>
        </w:rPr>
        <w:t>matic</w:t>
      </w:r>
      <w:r w:rsidR="00DE7981" w:rsidRPr="003C0A88">
        <w:rPr>
          <w:bdr w:val="none" w:sz="0" w:space="0" w:color="auto" w:frame="1"/>
          <w:lang w:val="en-GB"/>
        </w:rPr>
        <w:t xml:space="preserve"> and manual transmission</w:t>
      </w:r>
      <w:r w:rsidR="004A053C" w:rsidRPr="003C0A88">
        <w:rPr>
          <w:bdr w:val="none" w:sz="0" w:space="0" w:color="auto" w:frame="1"/>
          <w:lang w:val="en-GB"/>
        </w:rPr>
        <w:t>s</w:t>
      </w:r>
      <w:r w:rsidR="00DE7981" w:rsidRPr="003C0A88">
        <w:rPr>
          <w:bdr w:val="none" w:sz="0" w:space="0" w:color="auto" w:frame="1"/>
          <w:lang w:val="en-GB"/>
        </w:rPr>
        <w:t xml:space="preserve"> worked out to at least </w:t>
      </w:r>
      <w:r w:rsidR="00DE7981" w:rsidRPr="003C0A88">
        <w:rPr>
          <w:rFonts w:ascii="Arial" w:hAnsi="Arial" w:cs="Arial"/>
          <w:sz w:val="20"/>
          <w:szCs w:val="20"/>
          <w:lang w:val="en-GB"/>
        </w:rPr>
        <w:t>₹</w:t>
      </w:r>
      <w:r w:rsidR="00DE7981" w:rsidRPr="003C0A88">
        <w:rPr>
          <w:bdr w:val="none" w:sz="0" w:space="0" w:color="auto" w:frame="1"/>
          <w:lang w:val="en-GB"/>
        </w:rPr>
        <w:t>100,000</w:t>
      </w:r>
      <w:r w:rsidR="004A053C" w:rsidRPr="003C0A88">
        <w:rPr>
          <w:bdr w:val="none" w:sz="0" w:space="0" w:color="auto" w:frame="1"/>
          <w:lang w:val="en-GB"/>
        </w:rPr>
        <w:t>,</w:t>
      </w:r>
      <w:r w:rsidR="00DE7981" w:rsidRPr="003C0A88">
        <w:rPr>
          <w:bdr w:val="none" w:sz="0" w:space="0" w:color="auto" w:frame="1"/>
          <w:lang w:val="en-GB"/>
        </w:rPr>
        <w:t xml:space="preserve"> and </w:t>
      </w:r>
      <w:r w:rsidR="004A053C" w:rsidRPr="003C0A88">
        <w:rPr>
          <w:bdr w:val="none" w:sz="0" w:space="0" w:color="auto" w:frame="1"/>
          <w:lang w:val="en-GB"/>
        </w:rPr>
        <w:t xml:space="preserve">AMT vehicles </w:t>
      </w:r>
      <w:r w:rsidR="00DE7981" w:rsidRPr="003C0A88">
        <w:rPr>
          <w:bdr w:val="none" w:sz="0" w:space="0" w:color="auto" w:frame="1"/>
          <w:lang w:val="en-GB"/>
        </w:rPr>
        <w:t>used to consume 40 per cent more fuel.</w:t>
      </w:r>
      <w:r w:rsidR="00DE7981" w:rsidRPr="00014C38">
        <w:rPr>
          <w:bdr w:val="none" w:sz="0" w:space="0" w:color="auto" w:frame="1"/>
          <w:lang w:val="en-GB"/>
        </w:rPr>
        <w:t xml:space="preserve"> </w:t>
      </w:r>
      <w:r w:rsidR="00DE7981" w:rsidRPr="003C0A88">
        <w:rPr>
          <w:bdr w:val="none" w:sz="0" w:space="0" w:color="auto" w:frame="1"/>
          <w:lang w:val="en-GB"/>
        </w:rPr>
        <w:t xml:space="preserve">These vehicles </w:t>
      </w:r>
      <w:r w:rsidR="004A053C" w:rsidRPr="003C0A88">
        <w:rPr>
          <w:bdr w:val="none" w:sz="0" w:space="0" w:color="auto" w:frame="1"/>
          <w:lang w:val="en-GB"/>
        </w:rPr>
        <w:t xml:space="preserve">had </w:t>
      </w:r>
      <w:r w:rsidR="00DE7981" w:rsidRPr="003C0A88">
        <w:rPr>
          <w:bdr w:val="none" w:sz="0" w:space="0" w:color="auto" w:frame="1"/>
          <w:lang w:val="en-GB"/>
        </w:rPr>
        <w:t>never accounted for more than 5 per cent of the total sales of any auto</w:t>
      </w:r>
      <w:r w:rsidR="004A053C" w:rsidRPr="003C0A88">
        <w:rPr>
          <w:bdr w:val="none" w:sz="0" w:space="0" w:color="auto" w:frame="1"/>
          <w:lang w:val="en-GB"/>
        </w:rPr>
        <w:t>mobile</w:t>
      </w:r>
      <w:r w:rsidR="00DE7981" w:rsidRPr="003C0A88">
        <w:rPr>
          <w:bdr w:val="none" w:sz="0" w:space="0" w:color="auto" w:frame="1"/>
          <w:lang w:val="en-GB"/>
        </w:rPr>
        <w:t xml:space="preserve"> company in India. However, </w:t>
      </w:r>
      <w:r w:rsidR="004A053C" w:rsidRPr="003C0A88">
        <w:rPr>
          <w:bdr w:val="none" w:sz="0" w:space="0" w:color="auto" w:frame="1"/>
          <w:lang w:val="en-GB"/>
        </w:rPr>
        <w:t>according to</w:t>
      </w:r>
      <w:r w:rsidR="00DE7981" w:rsidRPr="003C0A88">
        <w:rPr>
          <w:bdr w:val="none" w:sz="0" w:space="0" w:color="auto" w:frame="1"/>
          <w:lang w:val="en-GB"/>
        </w:rPr>
        <w:t xml:space="preserve"> S</w:t>
      </w:r>
      <w:r w:rsidRPr="003C0A88">
        <w:rPr>
          <w:bdr w:val="none" w:sz="0" w:space="0" w:color="auto" w:frame="1"/>
          <w:lang w:val="en-GB"/>
        </w:rPr>
        <w:t>.</w:t>
      </w:r>
      <w:r w:rsidR="002B21A9" w:rsidRPr="003C0A88">
        <w:rPr>
          <w:bdr w:val="none" w:sz="0" w:space="0" w:color="auto" w:frame="1"/>
          <w:lang w:val="en-GB"/>
        </w:rPr>
        <w:t xml:space="preserve"> </w:t>
      </w:r>
      <w:r w:rsidR="00DE7981" w:rsidRPr="003C0A88">
        <w:rPr>
          <w:bdr w:val="none" w:sz="0" w:space="0" w:color="auto" w:frame="1"/>
          <w:lang w:val="en-GB"/>
        </w:rPr>
        <w:t>N</w:t>
      </w:r>
      <w:r w:rsidRPr="003C0A88">
        <w:rPr>
          <w:bdr w:val="none" w:sz="0" w:space="0" w:color="auto" w:frame="1"/>
          <w:lang w:val="en-GB"/>
        </w:rPr>
        <w:t>.</w:t>
      </w:r>
      <w:r w:rsidR="00DE7981" w:rsidRPr="003C0A88">
        <w:rPr>
          <w:bdr w:val="none" w:sz="0" w:space="0" w:color="auto" w:frame="1"/>
          <w:lang w:val="en-GB"/>
        </w:rPr>
        <w:t xml:space="preserve"> B</w:t>
      </w:r>
      <w:r w:rsidRPr="003C0A88">
        <w:rPr>
          <w:bdr w:val="none" w:sz="0" w:space="0" w:color="auto" w:frame="1"/>
          <w:lang w:val="en-GB"/>
        </w:rPr>
        <w:t>urman, vice</w:t>
      </w:r>
      <w:r w:rsidR="002B21A9" w:rsidRPr="003C0A88">
        <w:rPr>
          <w:bdr w:val="none" w:sz="0" w:space="0" w:color="auto" w:frame="1"/>
          <w:lang w:val="en-GB"/>
        </w:rPr>
        <w:t>-</w:t>
      </w:r>
      <w:r w:rsidRPr="003C0A88">
        <w:rPr>
          <w:bdr w:val="none" w:sz="0" w:space="0" w:color="auto" w:frame="1"/>
          <w:lang w:val="en-GB"/>
        </w:rPr>
        <w:t xml:space="preserve">president of MSIL, </w:t>
      </w:r>
      <w:r w:rsidR="004A053C" w:rsidRPr="003C0A88">
        <w:rPr>
          <w:bdr w:val="none" w:sz="0" w:space="0" w:color="auto" w:frame="1"/>
          <w:lang w:val="en-GB"/>
        </w:rPr>
        <w:t xml:space="preserve">the </w:t>
      </w:r>
      <w:r w:rsidR="00DE7981" w:rsidRPr="003C0A88">
        <w:rPr>
          <w:bdr w:val="none" w:sz="0" w:space="0" w:color="auto" w:frame="1"/>
          <w:lang w:val="en-GB"/>
        </w:rPr>
        <w:t>Celerio cost 60 per cent less to produce compared to similar products in India</w:t>
      </w:r>
      <w:r w:rsidR="004A053C" w:rsidRPr="003C0A88">
        <w:rPr>
          <w:bdr w:val="none" w:sz="0" w:space="0" w:color="auto" w:frame="1"/>
          <w:lang w:val="en-GB"/>
        </w:rPr>
        <w:t>,</w:t>
      </w:r>
      <w:r w:rsidR="00DE7981" w:rsidRPr="003C0A88">
        <w:rPr>
          <w:bdr w:val="none" w:sz="0" w:space="0" w:color="auto" w:frame="1"/>
          <w:lang w:val="en-GB"/>
        </w:rPr>
        <w:t xml:space="preserve"> and its fuel efficiency was comparable to </w:t>
      </w:r>
      <w:r w:rsidR="004A053C" w:rsidRPr="003C0A88">
        <w:rPr>
          <w:bdr w:val="none" w:sz="0" w:space="0" w:color="auto" w:frame="1"/>
          <w:lang w:val="en-GB"/>
        </w:rPr>
        <w:t xml:space="preserve">that of </w:t>
      </w:r>
      <w:r w:rsidR="00DE7981" w:rsidRPr="003C0A88">
        <w:rPr>
          <w:bdr w:val="none" w:sz="0" w:space="0" w:color="auto" w:frame="1"/>
          <w:lang w:val="en-GB"/>
        </w:rPr>
        <w:t xml:space="preserve">cars </w:t>
      </w:r>
      <w:r w:rsidR="004A053C" w:rsidRPr="003C0A88">
        <w:rPr>
          <w:bdr w:val="none" w:sz="0" w:space="0" w:color="auto" w:frame="1"/>
          <w:lang w:val="en-GB"/>
        </w:rPr>
        <w:t>with</w:t>
      </w:r>
      <w:r w:rsidR="00DE7981" w:rsidRPr="003C0A88">
        <w:rPr>
          <w:bdr w:val="none" w:sz="0" w:space="0" w:color="auto" w:frame="1"/>
          <w:lang w:val="en-GB"/>
        </w:rPr>
        <w:t xml:space="preserve"> manual transmission system</w:t>
      </w:r>
      <w:r w:rsidR="004A053C" w:rsidRPr="003C0A88">
        <w:rPr>
          <w:bdr w:val="none" w:sz="0" w:space="0" w:color="auto" w:frame="1"/>
          <w:lang w:val="en-GB"/>
        </w:rPr>
        <w:t>s.</w:t>
      </w:r>
      <w:r w:rsidR="00DE7981" w:rsidRPr="003C0A88">
        <w:rPr>
          <w:rStyle w:val="EndnoteReference"/>
          <w:bCs/>
          <w:bdr w:val="none" w:sz="0" w:space="0" w:color="auto" w:frame="1"/>
          <w:lang w:val="en-GB"/>
        </w:rPr>
        <w:endnoteReference w:id="57"/>
      </w:r>
      <w:r w:rsidR="00DE7981" w:rsidRPr="003C0A88">
        <w:rPr>
          <w:bdr w:val="none" w:sz="0" w:space="0" w:color="auto" w:frame="1"/>
          <w:lang w:val="en-GB"/>
        </w:rPr>
        <w:t xml:space="preserve"> Indian consumers liked the car very much. Demand for the car increased so much that consumers were </w:t>
      </w:r>
      <w:r w:rsidR="00DE7981" w:rsidRPr="003C0A88">
        <w:rPr>
          <w:bdr w:val="none" w:sz="0" w:space="0" w:color="auto" w:frame="1"/>
          <w:lang w:val="en-GB"/>
        </w:rPr>
        <w:lastRenderedPageBreak/>
        <w:t xml:space="preserve">willing to wait for </w:t>
      </w:r>
      <w:r w:rsidRPr="003C0A88">
        <w:rPr>
          <w:bdr w:val="none" w:sz="0" w:space="0" w:color="auto" w:frame="1"/>
          <w:lang w:val="en-GB"/>
        </w:rPr>
        <w:t>seven</w:t>
      </w:r>
      <w:r w:rsidR="00DE7981" w:rsidRPr="003C0A88">
        <w:rPr>
          <w:bdr w:val="none" w:sz="0" w:space="0" w:color="auto" w:frame="1"/>
          <w:lang w:val="en-GB"/>
        </w:rPr>
        <w:t xml:space="preserve"> months to get </w:t>
      </w:r>
      <w:r w:rsidR="004A053C" w:rsidRPr="003C0A88">
        <w:rPr>
          <w:bdr w:val="none" w:sz="0" w:space="0" w:color="auto" w:frame="1"/>
          <w:lang w:val="en-GB"/>
        </w:rPr>
        <w:t xml:space="preserve">a </w:t>
      </w:r>
      <w:r w:rsidR="00DE7981" w:rsidRPr="003C0A88">
        <w:rPr>
          <w:bdr w:val="none" w:sz="0" w:space="0" w:color="auto" w:frame="1"/>
          <w:lang w:val="en-GB"/>
        </w:rPr>
        <w:t>car</w:t>
      </w:r>
      <w:r w:rsidR="004A053C" w:rsidRPr="003C0A88">
        <w:rPr>
          <w:bdr w:val="none" w:sz="0" w:space="0" w:color="auto" w:frame="1"/>
          <w:lang w:val="en-GB"/>
        </w:rPr>
        <w:t>.</w:t>
      </w:r>
      <w:r w:rsidR="00DE7981" w:rsidRPr="003C0A88">
        <w:rPr>
          <w:rStyle w:val="EndnoteReference"/>
          <w:bCs/>
          <w:bdr w:val="none" w:sz="0" w:space="0" w:color="auto" w:frame="1"/>
          <w:lang w:val="en-GB"/>
        </w:rPr>
        <w:endnoteReference w:id="58"/>
      </w:r>
      <w:r w:rsidR="00DE7981" w:rsidRPr="003C0A88">
        <w:rPr>
          <w:bdr w:val="none" w:sz="0" w:space="0" w:color="auto" w:frame="1"/>
          <w:lang w:val="en-GB"/>
        </w:rPr>
        <w:t xml:space="preserve"> None of </w:t>
      </w:r>
      <w:r w:rsidR="004A053C" w:rsidRPr="003C0A88">
        <w:rPr>
          <w:bdr w:val="none" w:sz="0" w:space="0" w:color="auto" w:frame="1"/>
          <w:lang w:val="en-GB"/>
        </w:rPr>
        <w:t xml:space="preserve">MSIL’s </w:t>
      </w:r>
      <w:r w:rsidR="00DE7981" w:rsidRPr="003C0A88">
        <w:rPr>
          <w:bdr w:val="none" w:sz="0" w:space="0" w:color="auto" w:frame="1"/>
          <w:lang w:val="en-GB"/>
        </w:rPr>
        <w:t xml:space="preserve">competitors </w:t>
      </w:r>
      <w:r w:rsidR="004A053C" w:rsidRPr="003C0A88">
        <w:rPr>
          <w:bdr w:val="none" w:sz="0" w:space="0" w:color="auto" w:frame="1"/>
          <w:lang w:val="en-GB"/>
        </w:rPr>
        <w:t>had</w:t>
      </w:r>
      <w:r w:rsidR="00DE7981" w:rsidRPr="003C0A88">
        <w:rPr>
          <w:bdr w:val="none" w:sz="0" w:space="0" w:color="auto" w:frame="1"/>
          <w:lang w:val="en-GB"/>
        </w:rPr>
        <w:t xml:space="preserve"> a matching product</w:t>
      </w:r>
      <w:r w:rsidR="004A053C" w:rsidRPr="003C0A88">
        <w:rPr>
          <w:bdr w:val="none" w:sz="0" w:space="0" w:color="auto" w:frame="1"/>
          <w:lang w:val="en-GB"/>
        </w:rPr>
        <w:t>,</w:t>
      </w:r>
      <w:r w:rsidR="00DE7981" w:rsidRPr="003C0A88">
        <w:rPr>
          <w:bdr w:val="none" w:sz="0" w:space="0" w:color="auto" w:frame="1"/>
          <w:lang w:val="en-GB"/>
        </w:rPr>
        <w:t xml:space="preserve"> and MSIL was expected to </w:t>
      </w:r>
      <w:r w:rsidR="004A053C" w:rsidRPr="003C0A88">
        <w:rPr>
          <w:bdr w:val="none" w:sz="0" w:space="0" w:color="auto" w:frame="1"/>
          <w:lang w:val="en-GB"/>
        </w:rPr>
        <w:t xml:space="preserve">capture </w:t>
      </w:r>
      <w:r w:rsidR="00DE7981" w:rsidRPr="003C0A88">
        <w:rPr>
          <w:bdr w:val="none" w:sz="0" w:space="0" w:color="auto" w:frame="1"/>
          <w:lang w:val="en-GB"/>
        </w:rPr>
        <w:t>market share from its peers in the near future.</w:t>
      </w:r>
      <w:r w:rsidR="00DE7981" w:rsidRPr="001F64CE">
        <w:rPr>
          <w:bdr w:val="none" w:sz="0" w:space="0" w:color="auto" w:frame="1"/>
          <w:shd w:val="clear" w:color="auto" w:fill="FFFFFF"/>
          <w:lang w:val="en-GB"/>
        </w:rPr>
        <w:t xml:space="preserve"> </w:t>
      </w:r>
    </w:p>
    <w:p w14:paraId="7C6B4B95" w14:textId="77777777" w:rsidR="00014C38" w:rsidRPr="001F64CE" w:rsidRDefault="00014C38" w:rsidP="003C0A88">
      <w:pPr>
        <w:pStyle w:val="BodyTextMain"/>
        <w:rPr>
          <w:bdr w:val="none" w:sz="0" w:space="0" w:color="auto" w:frame="1"/>
          <w:shd w:val="clear" w:color="auto" w:fill="FFFFFF"/>
          <w:lang w:val="en-GB"/>
        </w:rPr>
      </w:pPr>
    </w:p>
    <w:p w14:paraId="28463749" w14:textId="4DCFE2C9" w:rsidR="00DE7981" w:rsidRPr="001F64CE" w:rsidRDefault="00DE7981" w:rsidP="003C0A88">
      <w:pPr>
        <w:pStyle w:val="BodyTextMain"/>
        <w:rPr>
          <w:bdr w:val="none" w:sz="0" w:space="0" w:color="auto" w:frame="1"/>
          <w:shd w:val="clear" w:color="auto" w:fill="FFFFFF"/>
          <w:lang w:val="en-GB"/>
        </w:rPr>
      </w:pPr>
      <w:r w:rsidRPr="003C0A88">
        <w:rPr>
          <w:bdr w:val="none" w:sz="0" w:space="0" w:color="auto" w:frame="1"/>
          <w:lang w:val="en-GB"/>
        </w:rPr>
        <w:t xml:space="preserve">Many analysts were also bullish on MSIL because they expected India’s economy to recover from its slow growth rate after the 2014 general elections. India’s GDP growth rate </w:t>
      </w:r>
      <w:r w:rsidR="00B35FAB" w:rsidRPr="003C0A88">
        <w:rPr>
          <w:bdr w:val="none" w:sz="0" w:space="0" w:color="auto" w:frame="1"/>
          <w:lang w:val="en-GB"/>
        </w:rPr>
        <w:t xml:space="preserve">had fallen </w:t>
      </w:r>
      <w:r w:rsidRPr="003C0A88">
        <w:rPr>
          <w:bdr w:val="none" w:sz="0" w:space="0" w:color="auto" w:frame="1"/>
          <w:lang w:val="en-GB"/>
        </w:rPr>
        <w:t>from 11.4 per cent in 2010 to 4.4 per cent in 2013</w:t>
      </w:r>
      <w:r w:rsidR="00B35FAB" w:rsidRPr="003C0A88">
        <w:rPr>
          <w:bdr w:val="none" w:sz="0" w:space="0" w:color="auto" w:frame="1"/>
          <w:lang w:val="en-GB"/>
        </w:rPr>
        <w:t>,</w:t>
      </w:r>
      <w:r w:rsidRPr="003C0A88">
        <w:rPr>
          <w:bdr w:val="none" w:sz="0" w:space="0" w:color="auto" w:frame="1"/>
          <w:lang w:val="en-GB"/>
        </w:rPr>
        <w:t xml:space="preserve"> and many analysts expected the GDP growth rate to increase. Though projecting GDP was a hazardous game, the market was expecting the GDP growth rate to increase to 5 per cent in</w:t>
      </w:r>
      <w:r w:rsidRPr="003C0A88">
        <w:rPr>
          <w:bdr w:val="none" w:sz="0" w:space="0" w:color="auto" w:frame="1"/>
          <w:shd w:val="clear" w:color="auto" w:fill="000000" w:themeFill="text1"/>
          <w:lang w:val="en-GB"/>
        </w:rPr>
        <w:t xml:space="preserve"> </w:t>
      </w:r>
      <w:r w:rsidRPr="003C0A88">
        <w:rPr>
          <w:bdr w:val="none" w:sz="0" w:space="0" w:color="auto" w:frame="1"/>
          <w:lang w:val="en-GB"/>
        </w:rPr>
        <w:t xml:space="preserve">2015 and </w:t>
      </w:r>
      <w:r w:rsidR="00B35FAB" w:rsidRPr="003C0A88">
        <w:rPr>
          <w:bdr w:val="none" w:sz="0" w:space="0" w:color="auto" w:frame="1"/>
          <w:lang w:val="en-GB"/>
        </w:rPr>
        <w:t xml:space="preserve">then </w:t>
      </w:r>
      <w:r w:rsidRPr="003C0A88">
        <w:rPr>
          <w:bdr w:val="none" w:sz="0" w:space="0" w:color="auto" w:frame="1"/>
          <w:lang w:val="en-GB"/>
        </w:rPr>
        <w:t>fall to 4.8 per cent by 2019 and to a long-term average of around 3.5 per cent by 2025</w:t>
      </w:r>
      <w:r w:rsidR="00B35FAB" w:rsidRPr="003C0A88">
        <w:rPr>
          <w:bdr w:val="none" w:sz="0" w:space="0" w:color="auto" w:frame="1"/>
          <w:lang w:val="en-GB"/>
        </w:rPr>
        <w:t>.</w:t>
      </w:r>
      <w:r w:rsidRPr="003C0A88">
        <w:rPr>
          <w:bdr w:val="none" w:sz="0" w:space="0" w:color="auto" w:frame="1"/>
          <w:vertAlign w:val="superscript"/>
          <w:lang w:val="en-GB"/>
        </w:rPr>
        <w:endnoteReference w:id="59"/>
      </w:r>
      <w:r w:rsidRPr="003C0A88">
        <w:rPr>
          <w:bdr w:val="none" w:sz="0" w:space="0" w:color="auto" w:frame="1"/>
          <w:lang w:val="en-GB"/>
        </w:rPr>
        <w:t xml:space="preserve"> Since auto</w:t>
      </w:r>
      <w:r w:rsidR="00B35FAB" w:rsidRPr="003C0A88">
        <w:rPr>
          <w:bdr w:val="none" w:sz="0" w:space="0" w:color="auto" w:frame="1"/>
          <w:lang w:val="en-GB"/>
        </w:rPr>
        <w:t>mobile</w:t>
      </w:r>
      <w:r w:rsidRPr="003C0A88">
        <w:rPr>
          <w:bdr w:val="none" w:sz="0" w:space="0" w:color="auto" w:frame="1"/>
          <w:lang w:val="en-GB"/>
        </w:rPr>
        <w:t xml:space="preserve"> stocks did well during periods of recovery, many fund managers increased the </w:t>
      </w:r>
      <w:r w:rsidR="00B35FAB" w:rsidRPr="003C0A88">
        <w:rPr>
          <w:bdr w:val="none" w:sz="0" w:space="0" w:color="auto" w:frame="1"/>
          <w:lang w:val="en-GB"/>
        </w:rPr>
        <w:t xml:space="preserve">proportion </w:t>
      </w:r>
      <w:r w:rsidRPr="003C0A88">
        <w:rPr>
          <w:bdr w:val="none" w:sz="0" w:space="0" w:color="auto" w:frame="1"/>
          <w:lang w:val="en-GB"/>
        </w:rPr>
        <w:t>of MSIL in their portfolio</w:t>
      </w:r>
      <w:r w:rsidR="00B35FAB" w:rsidRPr="003C0A88">
        <w:rPr>
          <w:bdr w:val="none" w:sz="0" w:space="0" w:color="auto" w:frame="1"/>
          <w:lang w:val="en-GB"/>
        </w:rPr>
        <w:t>s.</w:t>
      </w:r>
      <w:r w:rsidRPr="003C0A88">
        <w:rPr>
          <w:rStyle w:val="EndnoteReference"/>
          <w:rFonts w:eastAsia="Batang"/>
          <w:lang w:val="en-GB"/>
        </w:rPr>
        <w:endnoteReference w:id="60"/>
      </w:r>
      <w:r w:rsidRPr="001F64CE">
        <w:rPr>
          <w:bdr w:val="none" w:sz="0" w:space="0" w:color="auto" w:frame="1"/>
          <w:shd w:val="clear" w:color="auto" w:fill="FFFFFF"/>
          <w:lang w:val="en-GB"/>
        </w:rPr>
        <w:t xml:space="preserve"> </w:t>
      </w:r>
    </w:p>
    <w:p w14:paraId="28C3C3F0" w14:textId="77777777" w:rsidR="00DE7981" w:rsidRPr="001F64CE" w:rsidRDefault="00DE7981" w:rsidP="003C0A88">
      <w:pPr>
        <w:pStyle w:val="BodyTextMain"/>
        <w:rPr>
          <w:bdr w:val="none" w:sz="0" w:space="0" w:color="auto" w:frame="1"/>
          <w:shd w:val="clear" w:color="auto" w:fill="FFFFFF"/>
          <w:lang w:val="en-GB"/>
        </w:rPr>
      </w:pPr>
    </w:p>
    <w:p w14:paraId="505A02B2" w14:textId="6D991E06" w:rsidR="00DE7981" w:rsidRPr="001F64CE" w:rsidRDefault="007D4D29" w:rsidP="003C0A88">
      <w:pPr>
        <w:pStyle w:val="BodyTextMain"/>
        <w:rPr>
          <w:bdr w:val="none" w:sz="0" w:space="0" w:color="auto" w:frame="1"/>
          <w:shd w:val="clear" w:color="auto" w:fill="FFFFFF"/>
          <w:lang w:val="en-GB"/>
        </w:rPr>
      </w:pPr>
      <w:r w:rsidRPr="003C0A88">
        <w:rPr>
          <w:bdr w:val="none" w:sz="0" w:space="0" w:color="auto" w:frame="1"/>
          <w:lang w:val="en-GB"/>
        </w:rPr>
        <w:t>S</w:t>
      </w:r>
      <w:r w:rsidR="00DE7981" w:rsidRPr="003C0A88">
        <w:rPr>
          <w:bdr w:val="none" w:sz="0" w:space="0" w:color="auto" w:frame="1"/>
          <w:lang w:val="en-GB"/>
        </w:rPr>
        <w:t xml:space="preserve">ome analysts did not </w:t>
      </w:r>
      <w:r w:rsidR="00D903EB" w:rsidRPr="003C0A88">
        <w:rPr>
          <w:bdr w:val="none" w:sz="0" w:space="0" w:color="auto" w:frame="1"/>
          <w:lang w:val="en-GB"/>
        </w:rPr>
        <w:t>object</w:t>
      </w:r>
      <w:r w:rsidR="00B35FAB" w:rsidRPr="003C0A88">
        <w:rPr>
          <w:bdr w:val="none" w:sz="0" w:space="0" w:color="auto" w:frame="1"/>
          <w:lang w:val="en-GB"/>
        </w:rPr>
        <w:t xml:space="preserve"> to MSIL’s </w:t>
      </w:r>
      <w:r w:rsidR="00DE7981" w:rsidRPr="003C0A88">
        <w:rPr>
          <w:bdr w:val="none" w:sz="0" w:space="0" w:color="auto" w:frame="1"/>
          <w:lang w:val="en-GB"/>
        </w:rPr>
        <w:t xml:space="preserve">announcement </w:t>
      </w:r>
      <w:r w:rsidRPr="003C0A88">
        <w:rPr>
          <w:bdr w:val="none" w:sz="0" w:space="0" w:color="auto" w:frame="1"/>
          <w:lang w:val="en-GB"/>
        </w:rPr>
        <w:t xml:space="preserve">because </w:t>
      </w:r>
      <w:r w:rsidR="00DE7981" w:rsidRPr="003C0A88">
        <w:rPr>
          <w:bdr w:val="none" w:sz="0" w:space="0" w:color="auto" w:frame="1"/>
          <w:lang w:val="en-GB"/>
        </w:rPr>
        <w:t xml:space="preserve">similar </w:t>
      </w:r>
      <w:r w:rsidRPr="003C0A88">
        <w:rPr>
          <w:bdr w:val="none" w:sz="0" w:space="0" w:color="auto" w:frame="1"/>
          <w:lang w:val="en-GB"/>
        </w:rPr>
        <w:t xml:space="preserve">past </w:t>
      </w:r>
      <w:r w:rsidR="00DE7981" w:rsidRPr="003C0A88">
        <w:rPr>
          <w:bdr w:val="none" w:sz="0" w:space="0" w:color="auto" w:frame="1"/>
          <w:lang w:val="en-GB"/>
        </w:rPr>
        <w:t xml:space="preserve">decisions by MSIL </w:t>
      </w:r>
      <w:r w:rsidR="00B35FAB" w:rsidRPr="003C0A88">
        <w:rPr>
          <w:bdr w:val="none" w:sz="0" w:space="0" w:color="auto" w:frame="1"/>
          <w:lang w:val="en-GB"/>
        </w:rPr>
        <w:t xml:space="preserve">had </w:t>
      </w:r>
      <w:r w:rsidR="00DE7981" w:rsidRPr="003C0A88">
        <w:rPr>
          <w:bdr w:val="none" w:sz="0" w:space="0" w:color="auto" w:frame="1"/>
          <w:lang w:val="en-GB"/>
        </w:rPr>
        <w:t xml:space="preserve">not hurt the interests of minority shareholders. In September 2004, the market </w:t>
      </w:r>
      <w:r w:rsidR="002F476B" w:rsidRPr="003C0A88">
        <w:rPr>
          <w:bdr w:val="none" w:sz="0" w:space="0" w:color="auto" w:frame="1"/>
          <w:lang w:val="en-GB"/>
        </w:rPr>
        <w:t xml:space="preserve">had </w:t>
      </w:r>
      <w:r w:rsidR="00DE7981" w:rsidRPr="003C0A88">
        <w:rPr>
          <w:bdr w:val="none" w:sz="0" w:space="0" w:color="auto" w:frame="1"/>
          <w:lang w:val="en-GB"/>
        </w:rPr>
        <w:t xml:space="preserve">reacted negatively when Suzuki decided to open </w:t>
      </w:r>
      <w:r w:rsidRPr="003C0A88">
        <w:rPr>
          <w:bdr w:val="none" w:sz="0" w:space="0" w:color="auto" w:frame="1"/>
          <w:lang w:val="en-GB"/>
        </w:rPr>
        <w:t xml:space="preserve">an assembly and diesel plant in </w:t>
      </w:r>
      <w:r w:rsidR="00DE7981" w:rsidRPr="003C0A88">
        <w:rPr>
          <w:bdr w:val="none" w:sz="0" w:space="0" w:color="auto" w:frame="1"/>
          <w:lang w:val="en-GB"/>
        </w:rPr>
        <w:t xml:space="preserve">Manesar as a joint venture between MSIL and SMC. </w:t>
      </w:r>
      <w:r w:rsidRPr="003C0A88">
        <w:rPr>
          <w:bdr w:val="none" w:sz="0" w:space="0" w:color="auto" w:frame="1"/>
          <w:lang w:val="en-GB"/>
        </w:rPr>
        <w:t xml:space="preserve">MSIL </w:t>
      </w:r>
      <w:r w:rsidR="00DE7981" w:rsidRPr="003C0A88">
        <w:rPr>
          <w:bdr w:val="none" w:sz="0" w:space="0" w:color="auto" w:frame="1"/>
          <w:lang w:val="en-GB"/>
        </w:rPr>
        <w:t xml:space="preserve">stock similarly fell in February 2007, when Suzuki increased its stake in Suzuki Powertrain </w:t>
      </w:r>
      <w:r w:rsidRPr="003C0A88">
        <w:rPr>
          <w:bdr w:val="none" w:sz="0" w:space="0" w:color="auto" w:frame="1"/>
          <w:lang w:val="en-GB"/>
        </w:rPr>
        <w:t>India</w:t>
      </w:r>
      <w:r w:rsidRPr="001F64CE">
        <w:rPr>
          <w:bdr w:val="none" w:sz="0" w:space="0" w:color="auto" w:frame="1"/>
          <w:shd w:val="clear" w:color="auto" w:fill="FFFFFF"/>
          <w:lang w:val="en-GB"/>
        </w:rPr>
        <w:t xml:space="preserve"> </w:t>
      </w:r>
      <w:r w:rsidRPr="003C0A88">
        <w:rPr>
          <w:bdr w:val="none" w:sz="0" w:space="0" w:color="auto" w:frame="1"/>
          <w:lang w:val="en-GB"/>
        </w:rPr>
        <w:t xml:space="preserve">Ltd. </w:t>
      </w:r>
      <w:r w:rsidR="00DE7981" w:rsidRPr="003C0A88">
        <w:rPr>
          <w:bdr w:val="none" w:sz="0" w:space="0" w:color="auto" w:frame="1"/>
          <w:lang w:val="en-GB"/>
        </w:rPr>
        <w:t xml:space="preserve">(earlier known as Suzuki Metals) </w:t>
      </w:r>
      <w:r w:rsidRPr="003C0A88">
        <w:rPr>
          <w:bdr w:val="none" w:sz="0" w:space="0" w:color="auto" w:frame="1"/>
          <w:lang w:val="en-GB"/>
        </w:rPr>
        <w:t xml:space="preserve">from 51 per cent </w:t>
      </w:r>
      <w:r w:rsidR="00DE7981" w:rsidRPr="003C0A88">
        <w:rPr>
          <w:bdr w:val="none" w:sz="0" w:space="0" w:color="auto" w:frame="1"/>
          <w:lang w:val="en-GB"/>
        </w:rPr>
        <w:t>to 70 per cent</w:t>
      </w:r>
      <w:r w:rsidRPr="003C0A88">
        <w:rPr>
          <w:bdr w:val="none" w:sz="0" w:space="0" w:color="auto" w:frame="1"/>
          <w:lang w:val="en-GB"/>
        </w:rPr>
        <w:t>.</w:t>
      </w:r>
      <w:r w:rsidR="00DE7981" w:rsidRPr="003C0A88">
        <w:rPr>
          <w:rStyle w:val="EndnoteReference"/>
          <w:bCs/>
          <w:bdr w:val="none" w:sz="0" w:space="0" w:color="auto" w:frame="1"/>
          <w:lang w:val="en-GB"/>
        </w:rPr>
        <w:endnoteReference w:id="61"/>
      </w:r>
      <w:r w:rsidR="00DE7981" w:rsidRPr="003C0A88">
        <w:rPr>
          <w:bdr w:val="none" w:sz="0" w:space="0" w:color="auto" w:frame="1"/>
          <w:lang w:val="en-GB"/>
        </w:rPr>
        <w:t xml:space="preserve"> However, in </w:t>
      </w:r>
      <w:r w:rsidRPr="003C0A88">
        <w:rPr>
          <w:bdr w:val="none" w:sz="0" w:space="0" w:color="auto" w:frame="1"/>
          <w:lang w:val="en-GB"/>
        </w:rPr>
        <w:t>both cases</w:t>
      </w:r>
      <w:r w:rsidR="00DE7981" w:rsidRPr="003C0A88">
        <w:rPr>
          <w:bdr w:val="none" w:sz="0" w:space="0" w:color="auto" w:frame="1"/>
          <w:lang w:val="en-GB"/>
        </w:rPr>
        <w:t>, the stock prices of MSIL bounced back after the company reported robust earnings</w:t>
      </w:r>
      <w:r w:rsidRPr="003C0A88">
        <w:rPr>
          <w:bdr w:val="none" w:sz="0" w:space="0" w:color="auto" w:frame="1"/>
          <w:lang w:val="en-GB"/>
        </w:rPr>
        <w:t>, and t</w:t>
      </w:r>
      <w:r w:rsidR="00DE7981" w:rsidRPr="003C0A88">
        <w:rPr>
          <w:bdr w:val="none" w:sz="0" w:space="0" w:color="auto" w:frame="1"/>
          <w:lang w:val="en-GB"/>
        </w:rPr>
        <w:t>hese plants merged with MSIL in 2006 and 2012 respectively, at a fair valuation</w:t>
      </w:r>
      <w:r w:rsidRPr="001F64CE">
        <w:rPr>
          <w:bdr w:val="none" w:sz="0" w:space="0" w:color="auto" w:frame="1"/>
          <w:shd w:val="clear" w:color="auto" w:fill="FFFFFF"/>
          <w:lang w:val="en-GB"/>
        </w:rPr>
        <w:t>.</w:t>
      </w:r>
      <w:r w:rsidR="00DE7981" w:rsidRPr="003C0A88">
        <w:rPr>
          <w:rStyle w:val="EndnoteReference"/>
          <w:rFonts w:eastAsia="Batang"/>
          <w:lang w:val="en-GB"/>
        </w:rPr>
        <w:endnoteReference w:id="62"/>
      </w:r>
      <w:r w:rsidR="00DE7981" w:rsidRPr="003C0A88">
        <w:rPr>
          <w:bdr w:val="none" w:sz="0" w:space="0" w:color="auto" w:frame="1"/>
          <w:lang w:val="en-GB"/>
        </w:rPr>
        <w:t xml:space="preserve"> </w:t>
      </w:r>
      <w:r w:rsidR="00370907" w:rsidRPr="003C0A88">
        <w:rPr>
          <w:bdr w:val="none" w:sz="0" w:space="0" w:color="auto" w:frame="1"/>
          <w:lang w:val="en-GB"/>
        </w:rPr>
        <w:t xml:space="preserve"> </w:t>
      </w:r>
      <w:r w:rsidR="00DE7981" w:rsidRPr="003C0A88">
        <w:rPr>
          <w:bdr w:val="none" w:sz="0" w:space="0" w:color="auto" w:frame="1"/>
          <w:lang w:val="en-GB"/>
        </w:rPr>
        <w:t xml:space="preserve">A few other analysts were of the opinion that the new subsidiary would start </w:t>
      </w:r>
      <w:r w:rsidRPr="003C0A88">
        <w:rPr>
          <w:bdr w:val="none" w:sz="0" w:space="0" w:color="auto" w:frame="1"/>
          <w:lang w:val="en-GB"/>
        </w:rPr>
        <w:t xml:space="preserve">producing </w:t>
      </w:r>
      <w:r w:rsidR="00DE7981" w:rsidRPr="003C0A88">
        <w:rPr>
          <w:bdr w:val="none" w:sz="0" w:space="0" w:color="auto" w:frame="1"/>
          <w:lang w:val="en-GB"/>
        </w:rPr>
        <w:t xml:space="preserve">cars only after 2018 and hence this arrangement would have no </w:t>
      </w:r>
      <w:r w:rsidR="00BB38C4" w:rsidRPr="003C0A88">
        <w:rPr>
          <w:bdr w:val="none" w:sz="0" w:space="0" w:color="auto" w:frame="1"/>
          <w:lang w:val="en-GB"/>
        </w:rPr>
        <w:t>short-</w:t>
      </w:r>
      <w:r w:rsidR="00DE7981" w:rsidRPr="003C0A88">
        <w:rPr>
          <w:bdr w:val="none" w:sz="0" w:space="0" w:color="auto" w:frame="1"/>
          <w:lang w:val="en-GB"/>
        </w:rPr>
        <w:t>term effect on Maruti’s results</w:t>
      </w:r>
      <w:r w:rsidR="00BB38C4" w:rsidRPr="003C0A88">
        <w:rPr>
          <w:bdr w:val="none" w:sz="0" w:space="0" w:color="auto" w:frame="1"/>
          <w:lang w:val="en-GB"/>
        </w:rPr>
        <w:t>.</w:t>
      </w:r>
      <w:r w:rsidR="00DE7981" w:rsidRPr="003C0A88">
        <w:rPr>
          <w:rStyle w:val="EndnoteReference"/>
          <w:bCs/>
          <w:bdr w:val="none" w:sz="0" w:space="0" w:color="auto" w:frame="1"/>
          <w:lang w:val="en-GB"/>
        </w:rPr>
        <w:endnoteReference w:id="63"/>
      </w:r>
      <w:r w:rsidR="00DE7981" w:rsidRPr="003C0A88">
        <w:rPr>
          <w:bdr w:val="none" w:sz="0" w:space="0" w:color="auto" w:frame="1"/>
          <w:lang w:val="en-GB"/>
        </w:rPr>
        <w:t xml:space="preserve"> Analysts expect</w:t>
      </w:r>
      <w:r w:rsidR="00BB38C4" w:rsidRPr="003C0A88">
        <w:rPr>
          <w:bdr w:val="none" w:sz="0" w:space="0" w:color="auto" w:frame="1"/>
          <w:lang w:val="en-GB"/>
        </w:rPr>
        <w:t>ed</w:t>
      </w:r>
      <w:r w:rsidR="00DE7981" w:rsidRPr="003C0A88">
        <w:rPr>
          <w:bdr w:val="none" w:sz="0" w:space="0" w:color="auto" w:frame="1"/>
          <w:lang w:val="en-GB"/>
        </w:rPr>
        <w:t xml:space="preserve"> MSIL to increase its net income by 14.65 per cent in the next </w:t>
      </w:r>
      <w:r w:rsidR="00BB38C4" w:rsidRPr="003C0A88">
        <w:rPr>
          <w:bdr w:val="none" w:sz="0" w:space="0" w:color="auto" w:frame="1"/>
          <w:lang w:val="en-GB"/>
        </w:rPr>
        <w:t xml:space="preserve">five </w:t>
      </w:r>
      <w:r w:rsidR="00DE7981" w:rsidRPr="003C0A88">
        <w:rPr>
          <w:bdr w:val="none" w:sz="0" w:space="0" w:color="auto" w:frame="1"/>
          <w:lang w:val="en-GB"/>
        </w:rPr>
        <w:t>years (see Exhibit 8)</w:t>
      </w:r>
      <w:r w:rsidR="00BB38C4" w:rsidRPr="003C0A88">
        <w:rPr>
          <w:bdr w:val="none" w:sz="0" w:space="0" w:color="auto" w:frame="1"/>
          <w:lang w:val="en-GB"/>
        </w:rPr>
        <w:t>.</w:t>
      </w:r>
      <w:r w:rsidR="00DE7981" w:rsidRPr="003C0A88">
        <w:rPr>
          <w:rStyle w:val="EndnoteReference"/>
          <w:bCs/>
          <w:bdr w:val="none" w:sz="0" w:space="0" w:color="auto" w:frame="1"/>
          <w:lang w:val="en-GB"/>
        </w:rPr>
        <w:endnoteReference w:id="64"/>
      </w:r>
      <w:r w:rsidR="00DE7981" w:rsidRPr="003C0A88">
        <w:rPr>
          <w:bdr w:val="none" w:sz="0" w:space="0" w:color="auto" w:frame="1"/>
          <w:lang w:val="en-GB"/>
        </w:rPr>
        <w:t xml:space="preserve"> </w:t>
      </w:r>
    </w:p>
    <w:p w14:paraId="2826368A" w14:textId="77777777" w:rsidR="00DE7981" w:rsidRPr="001F64CE" w:rsidRDefault="00DE7981" w:rsidP="003C0A88">
      <w:pPr>
        <w:pStyle w:val="BodyTextMain"/>
        <w:rPr>
          <w:rFonts w:eastAsia="Batang"/>
          <w:lang w:val="en-GB"/>
        </w:rPr>
      </w:pPr>
    </w:p>
    <w:p w14:paraId="5D0717BC" w14:textId="77777777" w:rsidR="00DE7981" w:rsidRPr="001F64CE" w:rsidRDefault="00DE7981" w:rsidP="003C0A88">
      <w:pPr>
        <w:pStyle w:val="BodyTextMain"/>
        <w:rPr>
          <w:rFonts w:eastAsia="Batang"/>
          <w:lang w:val="en-GB"/>
        </w:rPr>
      </w:pPr>
    </w:p>
    <w:p w14:paraId="74266BB3" w14:textId="782FCE1C" w:rsidR="00DE7981" w:rsidRPr="001F64CE" w:rsidRDefault="00DE7981" w:rsidP="003C0A88">
      <w:pPr>
        <w:pStyle w:val="Casehead1"/>
        <w:rPr>
          <w:rFonts w:eastAsia="Batang"/>
          <w:lang w:val="en-GB"/>
        </w:rPr>
      </w:pPr>
      <w:r w:rsidRPr="001F64CE">
        <w:rPr>
          <w:rFonts w:eastAsia="Batang"/>
          <w:lang w:val="en-GB"/>
        </w:rPr>
        <w:t>WHAT MATTERS TO INVESTORS</w:t>
      </w:r>
      <w:r w:rsidR="00BB38C4" w:rsidRPr="001F64CE">
        <w:rPr>
          <w:rFonts w:eastAsia="Batang"/>
          <w:lang w:val="en-GB"/>
        </w:rPr>
        <w:t xml:space="preserve">: </w:t>
      </w:r>
      <w:r w:rsidRPr="001F64CE">
        <w:rPr>
          <w:rFonts w:eastAsia="Batang"/>
          <w:lang w:val="en-GB"/>
        </w:rPr>
        <w:t>GOVERNANCE OR PERFORMANCE?</w:t>
      </w:r>
    </w:p>
    <w:p w14:paraId="00FE9B28" w14:textId="77777777" w:rsidR="00DE7981" w:rsidRPr="001F64CE" w:rsidRDefault="00DE7981" w:rsidP="003C0A88">
      <w:pPr>
        <w:pStyle w:val="BodyTextMain"/>
        <w:rPr>
          <w:rFonts w:eastAsia="Batang"/>
          <w:lang w:val="en-GB"/>
        </w:rPr>
      </w:pPr>
    </w:p>
    <w:p w14:paraId="4292FB03" w14:textId="5A6A248F" w:rsidR="00DE7981" w:rsidRPr="001F64CE" w:rsidRDefault="00BB38C4" w:rsidP="003C0A88">
      <w:pPr>
        <w:pStyle w:val="BodyTextMain"/>
        <w:rPr>
          <w:rFonts w:eastAsia="Batang"/>
          <w:lang w:val="en-GB"/>
        </w:rPr>
      </w:pPr>
      <w:r w:rsidRPr="001F64CE">
        <w:rPr>
          <w:rFonts w:eastAsia="Batang"/>
          <w:lang w:val="en-GB"/>
        </w:rPr>
        <w:t>A</w:t>
      </w:r>
      <w:r w:rsidR="00DE7981" w:rsidRPr="001F64CE">
        <w:rPr>
          <w:rFonts w:eastAsia="Batang"/>
          <w:lang w:val="en-GB"/>
        </w:rPr>
        <w:t xml:space="preserve">nalysts were clearly divided on what to do with </w:t>
      </w:r>
      <w:r w:rsidRPr="001F64CE">
        <w:rPr>
          <w:rFonts w:eastAsia="Batang"/>
          <w:lang w:val="en-GB"/>
        </w:rPr>
        <w:t xml:space="preserve">MSIL </w:t>
      </w:r>
      <w:r w:rsidR="00DE7981" w:rsidRPr="001F64CE">
        <w:rPr>
          <w:rFonts w:eastAsia="Batang"/>
          <w:lang w:val="en-GB"/>
        </w:rPr>
        <w:t>stock. As fund managers, their primary responsibility was to generate higher returns for their investors</w:t>
      </w:r>
      <w:r w:rsidRPr="001F64CE">
        <w:rPr>
          <w:rFonts w:eastAsia="Batang"/>
          <w:lang w:val="en-GB"/>
        </w:rPr>
        <w:t>; h</w:t>
      </w:r>
      <w:r w:rsidR="00DE7981" w:rsidRPr="001F64CE">
        <w:rPr>
          <w:rFonts w:eastAsia="Batang"/>
          <w:lang w:val="en-GB"/>
        </w:rPr>
        <w:t>owever, since they controlled a large fraction of shares, they were expected to be active while monitoring the performance of companies in which they invest</w:t>
      </w:r>
      <w:r w:rsidRPr="001F64CE">
        <w:rPr>
          <w:rFonts w:eastAsia="Batang"/>
          <w:lang w:val="en-GB"/>
        </w:rPr>
        <w:t>ed</w:t>
      </w:r>
      <w:r w:rsidR="00DE7981" w:rsidRPr="001F64CE">
        <w:rPr>
          <w:rFonts w:eastAsia="Batang"/>
          <w:lang w:val="en-GB"/>
        </w:rPr>
        <w:t xml:space="preserve">. </w:t>
      </w:r>
    </w:p>
    <w:p w14:paraId="1BB485C0" w14:textId="77777777" w:rsidR="00DE7981" w:rsidRPr="001F64CE" w:rsidRDefault="00DE7981" w:rsidP="003C0A88">
      <w:pPr>
        <w:pStyle w:val="BodyTextMain"/>
        <w:rPr>
          <w:rFonts w:eastAsia="Batang"/>
          <w:lang w:val="en-GB"/>
        </w:rPr>
      </w:pPr>
    </w:p>
    <w:p w14:paraId="777BC5A7" w14:textId="4C73676D" w:rsidR="006F08DD" w:rsidRPr="001F64CE" w:rsidRDefault="00DE7981" w:rsidP="003C0A88">
      <w:pPr>
        <w:pStyle w:val="BodyTextMain"/>
        <w:rPr>
          <w:rFonts w:eastAsia="Batang"/>
          <w:lang w:val="en-GB"/>
        </w:rPr>
      </w:pPr>
      <w:r w:rsidRPr="001F64CE">
        <w:rPr>
          <w:rFonts w:eastAsia="Batang"/>
          <w:lang w:val="en-GB"/>
        </w:rPr>
        <w:t xml:space="preserve">There were numerous instances of MNCs in India taking </w:t>
      </w:r>
      <w:r w:rsidR="00BB38C4" w:rsidRPr="001F64CE">
        <w:rPr>
          <w:rFonts w:eastAsia="Batang"/>
          <w:lang w:val="en-GB"/>
        </w:rPr>
        <w:t>advantage of</w:t>
      </w:r>
      <w:r w:rsidRPr="001F64CE">
        <w:rPr>
          <w:rFonts w:eastAsia="Batang"/>
          <w:lang w:val="en-GB"/>
        </w:rPr>
        <w:t xml:space="preserve"> minority shareholders in the past</w:t>
      </w:r>
      <w:r w:rsidR="00BB38C4" w:rsidRPr="001F64CE">
        <w:rPr>
          <w:rFonts w:eastAsia="Batang"/>
          <w:lang w:val="en-GB"/>
        </w:rPr>
        <w:t xml:space="preserve">, and </w:t>
      </w:r>
      <w:r w:rsidRPr="001F64CE">
        <w:rPr>
          <w:rFonts w:eastAsia="Batang"/>
          <w:lang w:val="en-GB"/>
        </w:rPr>
        <w:t xml:space="preserve">institutional investors </w:t>
      </w:r>
      <w:r w:rsidR="00BB38C4" w:rsidRPr="001F64CE">
        <w:rPr>
          <w:rFonts w:eastAsia="Batang"/>
          <w:lang w:val="en-GB"/>
        </w:rPr>
        <w:t xml:space="preserve">had </w:t>
      </w:r>
      <w:r w:rsidRPr="001F64CE">
        <w:rPr>
          <w:rFonts w:eastAsia="Batang"/>
          <w:lang w:val="en-GB"/>
        </w:rPr>
        <w:t>not interfere</w:t>
      </w:r>
      <w:r w:rsidR="00BB38C4" w:rsidRPr="001F64CE">
        <w:rPr>
          <w:rFonts w:eastAsia="Batang"/>
          <w:lang w:val="en-GB"/>
        </w:rPr>
        <w:t>d</w:t>
      </w:r>
      <w:r w:rsidRPr="001F64CE">
        <w:rPr>
          <w:rFonts w:eastAsia="Batang"/>
          <w:lang w:val="en-GB"/>
        </w:rPr>
        <w:t xml:space="preserve"> </w:t>
      </w:r>
      <w:r w:rsidR="00BB38C4" w:rsidRPr="001F64CE">
        <w:rPr>
          <w:rFonts w:eastAsia="Batang"/>
          <w:lang w:val="en-GB"/>
        </w:rPr>
        <w:t xml:space="preserve">but </w:t>
      </w:r>
      <w:r w:rsidRPr="001F64CE">
        <w:rPr>
          <w:rFonts w:eastAsia="Batang"/>
          <w:lang w:val="en-GB"/>
        </w:rPr>
        <w:t xml:space="preserve">merely stated their unhappiness. </w:t>
      </w:r>
      <w:r w:rsidR="00BB38C4" w:rsidRPr="001F64CE">
        <w:rPr>
          <w:rFonts w:eastAsia="Batang"/>
          <w:lang w:val="en-GB"/>
        </w:rPr>
        <w:t xml:space="preserve">For example, when </w:t>
      </w:r>
      <w:r w:rsidRPr="001F64CE">
        <w:rPr>
          <w:rFonts w:eastAsia="Batang"/>
          <w:lang w:val="en-GB"/>
        </w:rPr>
        <w:t xml:space="preserve">ACC </w:t>
      </w:r>
      <w:r w:rsidR="00014C38">
        <w:rPr>
          <w:rFonts w:eastAsia="Batang"/>
          <w:lang w:val="en-GB"/>
        </w:rPr>
        <w:t xml:space="preserve">Limited </w:t>
      </w:r>
      <w:r w:rsidRPr="001F64CE">
        <w:rPr>
          <w:rFonts w:eastAsia="Batang"/>
          <w:lang w:val="en-GB"/>
        </w:rPr>
        <w:t xml:space="preserve">and Ambuja Cements (both controlled by Holcim Cements) increased the royalties to be paid to the parent company, few institutional investors raised objections. </w:t>
      </w:r>
      <w:r w:rsidR="00BB38C4" w:rsidRPr="001F64CE">
        <w:rPr>
          <w:rFonts w:eastAsia="Batang"/>
          <w:lang w:val="en-GB"/>
        </w:rPr>
        <w:t>B</w:t>
      </w:r>
      <w:r w:rsidRPr="001F64CE">
        <w:rPr>
          <w:rFonts w:eastAsia="Batang"/>
          <w:lang w:val="en-GB"/>
        </w:rPr>
        <w:t>oth companies managed to increase the royalties</w:t>
      </w:r>
      <w:r w:rsidR="00BB38C4" w:rsidRPr="001F64CE">
        <w:rPr>
          <w:rFonts w:eastAsia="Batang"/>
          <w:lang w:val="en-GB"/>
        </w:rPr>
        <w:t>,</w:t>
      </w:r>
      <w:r w:rsidRPr="001F64CE">
        <w:rPr>
          <w:rFonts w:eastAsia="Batang"/>
          <w:lang w:val="en-GB"/>
        </w:rPr>
        <w:t xml:space="preserve"> and institutional investors’ stake</w:t>
      </w:r>
      <w:r w:rsidR="00BB38C4" w:rsidRPr="001F64CE">
        <w:rPr>
          <w:rFonts w:eastAsia="Batang"/>
          <w:lang w:val="en-GB"/>
        </w:rPr>
        <w:t>s</w:t>
      </w:r>
      <w:r w:rsidRPr="001F64CE">
        <w:rPr>
          <w:rFonts w:eastAsia="Batang"/>
          <w:lang w:val="en-GB"/>
        </w:rPr>
        <w:t xml:space="preserve"> in these two companies increased from 39.8 per cent to 40.5 per cent within a quarter. In similar instances involving Hero </w:t>
      </w:r>
      <w:r w:rsidR="00014C38">
        <w:rPr>
          <w:rFonts w:eastAsia="Batang"/>
          <w:lang w:val="en-GB"/>
        </w:rPr>
        <w:t>Motocorp Ltd.</w:t>
      </w:r>
      <w:r w:rsidRPr="001F64CE">
        <w:rPr>
          <w:rFonts w:eastAsia="Batang"/>
          <w:lang w:val="en-GB"/>
        </w:rPr>
        <w:t xml:space="preserve">, Procter &amp; Gamble </w:t>
      </w:r>
      <w:r w:rsidR="00BB38C4" w:rsidRPr="001F64CE">
        <w:rPr>
          <w:rFonts w:eastAsia="Batang"/>
          <w:lang w:val="en-GB"/>
        </w:rPr>
        <w:t xml:space="preserve">Hygiene and </w:t>
      </w:r>
      <w:r w:rsidRPr="001F64CE">
        <w:rPr>
          <w:rFonts w:eastAsia="Batang"/>
          <w:lang w:val="en-GB"/>
        </w:rPr>
        <w:t xml:space="preserve">Health </w:t>
      </w:r>
      <w:r w:rsidR="00BB38C4" w:rsidRPr="001F64CE">
        <w:rPr>
          <w:rFonts w:eastAsia="Batang"/>
          <w:lang w:val="en-GB"/>
        </w:rPr>
        <w:t xml:space="preserve">Care Limited, </w:t>
      </w:r>
      <w:r w:rsidRPr="001F64CE">
        <w:rPr>
          <w:rFonts w:eastAsia="Batang"/>
          <w:lang w:val="en-GB"/>
        </w:rPr>
        <w:t>and Pfizer</w:t>
      </w:r>
      <w:r w:rsidR="00EF1B92" w:rsidRPr="001F64CE">
        <w:rPr>
          <w:rFonts w:eastAsia="Batang"/>
          <w:lang w:val="en-GB"/>
        </w:rPr>
        <w:t xml:space="preserve"> Inc.</w:t>
      </w:r>
      <w:r w:rsidRPr="001F64CE">
        <w:rPr>
          <w:rFonts w:eastAsia="Batang"/>
          <w:lang w:val="en-GB"/>
        </w:rPr>
        <w:t>, institutional investors raised objections to the anti-</w:t>
      </w:r>
      <w:r w:rsidR="00EF1B92" w:rsidRPr="001F64CE">
        <w:rPr>
          <w:rFonts w:eastAsia="Batang"/>
          <w:lang w:val="en-GB"/>
        </w:rPr>
        <w:t>minority-</w:t>
      </w:r>
      <w:r w:rsidRPr="001F64CE">
        <w:rPr>
          <w:rFonts w:eastAsia="Batang"/>
          <w:lang w:val="en-GB"/>
        </w:rPr>
        <w:t>shareholder decisions taken by the companies and at the same time increased their equity stake</w:t>
      </w:r>
      <w:r w:rsidR="00EF1B92" w:rsidRPr="001F64CE">
        <w:rPr>
          <w:rFonts w:eastAsia="Batang"/>
          <w:lang w:val="en-GB"/>
        </w:rPr>
        <w:t>s</w:t>
      </w:r>
      <w:r w:rsidRPr="001F64CE">
        <w:rPr>
          <w:rFonts w:eastAsia="Batang"/>
          <w:lang w:val="en-GB"/>
        </w:rPr>
        <w:t xml:space="preserve"> in these companies</w:t>
      </w:r>
      <w:r w:rsidR="00EF1B92" w:rsidRPr="001F64CE">
        <w:rPr>
          <w:rFonts w:eastAsia="Batang"/>
          <w:lang w:val="en-GB"/>
        </w:rPr>
        <w:t>.</w:t>
      </w:r>
      <w:r w:rsidRPr="001F64CE">
        <w:rPr>
          <w:rStyle w:val="EndnoteReference"/>
          <w:rFonts w:eastAsia="Batang"/>
          <w:lang w:val="en-GB"/>
        </w:rPr>
        <w:endnoteReference w:id="65"/>
      </w:r>
    </w:p>
    <w:p w14:paraId="625A8CA1" w14:textId="77777777" w:rsidR="002B57B3" w:rsidRDefault="002B57B3" w:rsidP="003C0A88">
      <w:pPr>
        <w:pStyle w:val="Casehead1"/>
        <w:rPr>
          <w:rFonts w:eastAsia="Batang"/>
          <w:lang w:val="en-GB"/>
        </w:rPr>
      </w:pPr>
    </w:p>
    <w:p w14:paraId="036E15B0" w14:textId="77777777" w:rsidR="002B21A9" w:rsidRPr="001F64CE" w:rsidRDefault="002B21A9" w:rsidP="003C0A88">
      <w:pPr>
        <w:pStyle w:val="Casehead1"/>
        <w:rPr>
          <w:rFonts w:eastAsia="Batang"/>
          <w:lang w:val="en-GB"/>
        </w:rPr>
      </w:pPr>
    </w:p>
    <w:p w14:paraId="46D1EB28" w14:textId="77777777" w:rsidR="00DE7981" w:rsidRPr="001F64CE" w:rsidRDefault="00DE7981" w:rsidP="003C0A88">
      <w:pPr>
        <w:pStyle w:val="Casehead1"/>
        <w:rPr>
          <w:rFonts w:eastAsia="Batang"/>
          <w:lang w:val="en-GB"/>
        </w:rPr>
      </w:pPr>
      <w:r w:rsidRPr="001F64CE">
        <w:rPr>
          <w:rFonts w:eastAsia="Batang"/>
          <w:lang w:val="en-GB"/>
        </w:rPr>
        <w:t>INVESTORS’ DILEMMA</w:t>
      </w:r>
    </w:p>
    <w:p w14:paraId="7E37423B" w14:textId="77777777" w:rsidR="00DE7981" w:rsidRPr="001F64CE" w:rsidRDefault="00DE7981" w:rsidP="003C0A88">
      <w:pPr>
        <w:pStyle w:val="BodyTextMain"/>
        <w:rPr>
          <w:rFonts w:eastAsia="Batang"/>
          <w:lang w:val="en-GB"/>
        </w:rPr>
      </w:pPr>
    </w:p>
    <w:p w14:paraId="28F4D66F" w14:textId="1FFF43E8" w:rsidR="00DE7981" w:rsidRDefault="00DE7981" w:rsidP="003C0A88">
      <w:pPr>
        <w:pStyle w:val="BodyTextMain"/>
        <w:rPr>
          <w:rFonts w:eastAsia="Batang"/>
          <w:lang w:val="en-GB"/>
        </w:rPr>
      </w:pPr>
      <w:r w:rsidRPr="001F64CE">
        <w:rPr>
          <w:rFonts w:eastAsia="Batang"/>
          <w:lang w:val="en-GB"/>
        </w:rPr>
        <w:t xml:space="preserve">After reaching a low of </w:t>
      </w:r>
      <w:r w:rsidRPr="003C0A88">
        <w:rPr>
          <w:rFonts w:ascii="Arial" w:hAnsi="Arial" w:cs="Arial"/>
          <w:sz w:val="20"/>
          <w:szCs w:val="20"/>
          <w:lang w:val="en-GB"/>
        </w:rPr>
        <w:t>₹</w:t>
      </w:r>
      <w:r w:rsidRPr="001F64CE">
        <w:rPr>
          <w:rFonts w:eastAsia="Batang"/>
          <w:lang w:val="en-GB"/>
        </w:rPr>
        <w:t xml:space="preserve">1,581, </w:t>
      </w:r>
      <w:r w:rsidR="00EF1B92" w:rsidRPr="001F64CE">
        <w:rPr>
          <w:rFonts w:eastAsia="Batang"/>
          <w:lang w:val="en-GB"/>
        </w:rPr>
        <w:t xml:space="preserve">MSIL </w:t>
      </w:r>
      <w:r w:rsidRPr="001F64CE">
        <w:rPr>
          <w:rFonts w:eastAsia="Batang"/>
          <w:lang w:val="en-GB"/>
        </w:rPr>
        <w:t xml:space="preserve">stock had bounced back to </w:t>
      </w:r>
      <w:r w:rsidRPr="003C0A88">
        <w:rPr>
          <w:rFonts w:ascii="Arial" w:hAnsi="Arial" w:cs="Arial"/>
          <w:sz w:val="20"/>
          <w:szCs w:val="20"/>
          <w:lang w:val="en-GB"/>
        </w:rPr>
        <w:t>₹</w:t>
      </w:r>
      <w:r w:rsidRPr="001F64CE">
        <w:rPr>
          <w:rFonts w:eastAsia="Batang"/>
          <w:lang w:val="en-GB"/>
        </w:rPr>
        <w:t xml:space="preserve">1,737 on March 14, 2014. It was </w:t>
      </w:r>
      <w:r w:rsidR="00EF1B92" w:rsidRPr="001F64CE">
        <w:rPr>
          <w:rFonts w:eastAsia="Batang"/>
          <w:lang w:val="en-GB"/>
        </w:rPr>
        <w:t>un</w:t>
      </w:r>
      <w:r w:rsidRPr="001F64CE">
        <w:rPr>
          <w:rFonts w:eastAsia="Batang"/>
          <w:lang w:val="en-GB"/>
        </w:rPr>
        <w:t>clear what MSIL would do</w:t>
      </w:r>
      <w:r w:rsidR="00EF1B92" w:rsidRPr="001F64CE">
        <w:rPr>
          <w:rFonts w:eastAsia="Batang"/>
          <w:lang w:val="en-GB"/>
        </w:rPr>
        <w:t>, so</w:t>
      </w:r>
      <w:r w:rsidRPr="001F64CE">
        <w:rPr>
          <w:rFonts w:eastAsia="Batang"/>
          <w:lang w:val="en-GB"/>
        </w:rPr>
        <w:t xml:space="preserve"> it was </w:t>
      </w:r>
      <w:r w:rsidR="00EF1B92" w:rsidRPr="001F64CE">
        <w:rPr>
          <w:rFonts w:eastAsia="Batang"/>
          <w:lang w:val="en-GB"/>
        </w:rPr>
        <w:t>un</w:t>
      </w:r>
      <w:r w:rsidRPr="001F64CE">
        <w:rPr>
          <w:rFonts w:eastAsia="Batang"/>
          <w:lang w:val="en-GB"/>
        </w:rPr>
        <w:t xml:space="preserve">clear what the investors should do. MSIL could simply ignore the minority shareholders and go ahead with its proposal, as it had done in the past. MSIL could also put the proposal to </w:t>
      </w:r>
      <w:r w:rsidR="00EF1B92" w:rsidRPr="001F64CE">
        <w:rPr>
          <w:rFonts w:eastAsia="Batang"/>
          <w:lang w:val="en-GB"/>
        </w:rPr>
        <w:t xml:space="preserve">a </w:t>
      </w:r>
      <w:r w:rsidRPr="001F64CE">
        <w:rPr>
          <w:rFonts w:eastAsia="Batang"/>
          <w:lang w:val="en-GB"/>
        </w:rPr>
        <w:t xml:space="preserve">vote </w:t>
      </w:r>
      <w:r w:rsidR="00EF1B92" w:rsidRPr="001F64CE">
        <w:rPr>
          <w:rFonts w:eastAsia="Batang"/>
          <w:lang w:val="en-GB"/>
        </w:rPr>
        <w:t>of the</w:t>
      </w:r>
      <w:r w:rsidRPr="001F64CE">
        <w:rPr>
          <w:rFonts w:eastAsia="Batang"/>
          <w:lang w:val="en-GB"/>
        </w:rPr>
        <w:t xml:space="preserve"> minority shareholders and </w:t>
      </w:r>
      <w:r w:rsidR="00EF1B92" w:rsidRPr="001F64CE">
        <w:rPr>
          <w:rFonts w:eastAsia="Batang"/>
          <w:lang w:val="en-GB"/>
        </w:rPr>
        <w:t xml:space="preserve">abide </w:t>
      </w:r>
      <w:r w:rsidRPr="001F64CE">
        <w:rPr>
          <w:rFonts w:eastAsia="Batang"/>
          <w:lang w:val="en-GB"/>
        </w:rPr>
        <w:t>by the</w:t>
      </w:r>
      <w:r w:rsidR="00EF1B92" w:rsidRPr="001F64CE">
        <w:rPr>
          <w:rFonts w:eastAsia="Batang"/>
          <w:lang w:val="en-GB"/>
        </w:rPr>
        <w:t>ir</w:t>
      </w:r>
      <w:r w:rsidRPr="001F64CE">
        <w:rPr>
          <w:rFonts w:eastAsia="Batang"/>
          <w:lang w:val="en-GB"/>
        </w:rPr>
        <w:t xml:space="preserve"> decision. According to Gupta, “though it is not legally binding on Maruti to get shareholders’ approval, as a good corporate governance measure, it should do this.</w:t>
      </w:r>
      <w:r w:rsidR="00EF1B92" w:rsidRPr="001F64CE">
        <w:rPr>
          <w:rFonts w:eastAsia="Batang"/>
          <w:lang w:val="en-GB"/>
        </w:rPr>
        <w:t>”</w:t>
      </w:r>
      <w:r w:rsidRPr="001F64CE">
        <w:rPr>
          <w:rStyle w:val="EndnoteReference"/>
          <w:rFonts w:eastAsia="Batang"/>
          <w:lang w:val="en-GB"/>
        </w:rPr>
        <w:endnoteReference w:id="66"/>
      </w:r>
      <w:r w:rsidRPr="001F64CE">
        <w:rPr>
          <w:rFonts w:eastAsia="Batang"/>
          <w:lang w:val="en-GB"/>
        </w:rPr>
        <w:t xml:space="preserve"> </w:t>
      </w:r>
    </w:p>
    <w:p w14:paraId="699FD790" w14:textId="77777777" w:rsidR="00370907" w:rsidRPr="001F64CE" w:rsidRDefault="00370907" w:rsidP="003C0A88">
      <w:pPr>
        <w:pStyle w:val="BodyTextMain"/>
        <w:rPr>
          <w:rFonts w:eastAsia="Batang"/>
          <w:lang w:val="en-GB"/>
        </w:rPr>
      </w:pPr>
    </w:p>
    <w:p w14:paraId="157022A8" w14:textId="2621CD48" w:rsidR="00DE7981" w:rsidRPr="001F64CE" w:rsidRDefault="00F64C1B" w:rsidP="003C0A88">
      <w:pPr>
        <w:pStyle w:val="BodyTextMain"/>
        <w:rPr>
          <w:rFonts w:eastAsia="Batang"/>
          <w:lang w:val="en-GB"/>
        </w:rPr>
      </w:pPr>
      <w:r w:rsidRPr="001F64CE">
        <w:rPr>
          <w:rFonts w:eastAsia="Batang"/>
          <w:lang w:val="en-GB"/>
        </w:rPr>
        <w:lastRenderedPageBreak/>
        <w:t xml:space="preserve">If MSIL asked the shareholders to vote on the proposal, </w:t>
      </w:r>
      <w:r w:rsidR="00DE7981" w:rsidRPr="001F64CE">
        <w:rPr>
          <w:rFonts w:eastAsia="Batang"/>
          <w:lang w:val="en-GB"/>
        </w:rPr>
        <w:t xml:space="preserve">shareholders could express their disapproval by voting against </w:t>
      </w:r>
      <w:r w:rsidRPr="001F64CE">
        <w:rPr>
          <w:rFonts w:eastAsia="Batang"/>
          <w:lang w:val="en-GB"/>
        </w:rPr>
        <w:t>it</w:t>
      </w:r>
      <w:r w:rsidR="00DE7981" w:rsidRPr="001F64CE">
        <w:rPr>
          <w:rFonts w:eastAsia="Batang"/>
          <w:lang w:val="en-GB"/>
        </w:rPr>
        <w:t xml:space="preserve">. Otherwise, the shareholders </w:t>
      </w:r>
      <w:r w:rsidRPr="001F64CE">
        <w:rPr>
          <w:rFonts w:eastAsia="Batang"/>
          <w:lang w:val="en-GB"/>
        </w:rPr>
        <w:t xml:space="preserve">could vote with their feet by selling their shares. Alternatively, </w:t>
      </w:r>
      <w:r w:rsidR="00DE7981" w:rsidRPr="001F64CE">
        <w:rPr>
          <w:rFonts w:eastAsia="Batang"/>
          <w:lang w:val="en-GB"/>
        </w:rPr>
        <w:t>if the</w:t>
      </w:r>
      <w:r w:rsidRPr="001F64CE">
        <w:rPr>
          <w:rFonts w:eastAsia="Batang"/>
          <w:lang w:val="en-GB"/>
        </w:rPr>
        <w:t>y</w:t>
      </w:r>
      <w:r w:rsidR="00DE7981" w:rsidRPr="001F64CE">
        <w:rPr>
          <w:rFonts w:eastAsia="Batang"/>
          <w:lang w:val="en-GB"/>
        </w:rPr>
        <w:t xml:space="preserve"> perceived MSIL to be a good </w:t>
      </w:r>
      <w:r w:rsidRPr="001F64CE">
        <w:rPr>
          <w:rFonts w:eastAsia="Batang"/>
          <w:lang w:val="en-GB"/>
        </w:rPr>
        <w:t>long-</w:t>
      </w:r>
      <w:r w:rsidR="00DE7981" w:rsidRPr="001F64CE">
        <w:rPr>
          <w:rFonts w:eastAsia="Batang"/>
          <w:lang w:val="en-GB"/>
        </w:rPr>
        <w:t xml:space="preserve">term investment, </w:t>
      </w:r>
      <w:r w:rsidRPr="001F64CE">
        <w:rPr>
          <w:rFonts w:eastAsia="Batang"/>
          <w:lang w:val="en-GB"/>
        </w:rPr>
        <w:t xml:space="preserve">investors </w:t>
      </w:r>
      <w:r w:rsidR="00DE7981" w:rsidRPr="001F64CE">
        <w:rPr>
          <w:rFonts w:eastAsia="Batang"/>
          <w:lang w:val="en-GB"/>
        </w:rPr>
        <w:t>might ignore the governance issues and stay invested in the company.</w:t>
      </w:r>
      <w:r w:rsidR="00DE7981" w:rsidRPr="001F64CE">
        <w:rPr>
          <w:rFonts w:eastAsia="Batang"/>
          <w:lang w:val="en-GB"/>
        </w:rPr>
        <w:br w:type="page"/>
      </w:r>
    </w:p>
    <w:p w14:paraId="09EE3198" w14:textId="77777777" w:rsidR="00DE7981" w:rsidRPr="001F64CE" w:rsidRDefault="00DE7981" w:rsidP="003C0A88">
      <w:pPr>
        <w:pStyle w:val="ExhibitHeading"/>
        <w:rPr>
          <w:rFonts w:eastAsia="Batang"/>
          <w:lang w:val="en-GB"/>
        </w:rPr>
      </w:pPr>
      <w:r w:rsidRPr="001F64CE">
        <w:rPr>
          <w:rFonts w:eastAsia="Batang"/>
          <w:lang w:val="en-GB"/>
        </w:rPr>
        <w:lastRenderedPageBreak/>
        <w:t>Exhibit 1</w:t>
      </w:r>
      <w:r w:rsidR="006F08DD" w:rsidRPr="001F64CE">
        <w:rPr>
          <w:rFonts w:eastAsia="Batang"/>
          <w:lang w:val="en-GB"/>
        </w:rPr>
        <w:t>: shareholding pattern in MSIL on december 31, 2013</w:t>
      </w:r>
    </w:p>
    <w:p w14:paraId="11F14E4B" w14:textId="77777777" w:rsidR="00DE7981" w:rsidRPr="001F64CE" w:rsidRDefault="00DE7981" w:rsidP="003C0A88">
      <w:pPr>
        <w:pStyle w:val="ExhibitText"/>
        <w:rPr>
          <w:rFonts w:eastAsia="Batang"/>
          <w:lang w:val="en-GB"/>
        </w:rPr>
      </w:pPr>
    </w:p>
    <w:tbl>
      <w:tblPr>
        <w:tblW w:w="5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6"/>
        <w:gridCol w:w="1516"/>
        <w:gridCol w:w="1006"/>
      </w:tblGrid>
      <w:tr w:rsidR="00DE7981" w:rsidRPr="001F64CE" w14:paraId="68CE5652" w14:textId="77777777" w:rsidTr="002F1F01">
        <w:trPr>
          <w:trHeight w:val="288"/>
          <w:jc w:val="center"/>
        </w:trPr>
        <w:tc>
          <w:tcPr>
            <w:tcW w:w="2976" w:type="dxa"/>
            <w:shd w:val="clear" w:color="auto" w:fill="auto"/>
            <w:noWrap/>
            <w:vAlign w:val="bottom"/>
            <w:hideMark/>
          </w:tcPr>
          <w:p w14:paraId="6E36A802" w14:textId="77777777" w:rsidR="00DE7981" w:rsidRPr="002F1F01" w:rsidRDefault="00DE7981" w:rsidP="003C0A88">
            <w:pPr>
              <w:pStyle w:val="ExhibitText"/>
              <w:jc w:val="center"/>
              <w:rPr>
                <w:b/>
                <w:lang w:val="en-GB" w:eastAsia="en-IN"/>
              </w:rPr>
            </w:pPr>
            <w:r w:rsidRPr="002F1F01">
              <w:rPr>
                <w:b/>
                <w:lang w:val="en-GB" w:eastAsia="en-IN"/>
              </w:rPr>
              <w:t>Type of Shareholders</w:t>
            </w:r>
          </w:p>
        </w:tc>
        <w:tc>
          <w:tcPr>
            <w:tcW w:w="1516" w:type="dxa"/>
            <w:shd w:val="clear" w:color="auto" w:fill="auto"/>
            <w:noWrap/>
            <w:vAlign w:val="bottom"/>
            <w:hideMark/>
          </w:tcPr>
          <w:p w14:paraId="41D843FF" w14:textId="2EE19977" w:rsidR="00DE7981" w:rsidRPr="002F1F01" w:rsidRDefault="00DE7981" w:rsidP="003C0A88">
            <w:pPr>
              <w:pStyle w:val="ExhibitText"/>
              <w:jc w:val="center"/>
              <w:rPr>
                <w:b/>
                <w:lang w:val="en-GB" w:eastAsia="en-IN"/>
              </w:rPr>
            </w:pPr>
            <w:r w:rsidRPr="002F1F01">
              <w:rPr>
                <w:b/>
                <w:lang w:val="en-GB" w:eastAsia="en-IN"/>
              </w:rPr>
              <w:t>No</w:t>
            </w:r>
            <w:r w:rsidR="00F64C1B" w:rsidRPr="001F64CE">
              <w:rPr>
                <w:b/>
                <w:lang w:val="en-GB" w:eastAsia="en-IN"/>
              </w:rPr>
              <w:t>.</w:t>
            </w:r>
            <w:r w:rsidRPr="002F1F01">
              <w:rPr>
                <w:b/>
                <w:lang w:val="en-GB" w:eastAsia="en-IN"/>
              </w:rPr>
              <w:t xml:space="preserve"> of </w:t>
            </w:r>
            <w:r w:rsidR="002B21A9">
              <w:rPr>
                <w:b/>
                <w:lang w:val="en-GB" w:eastAsia="en-IN"/>
              </w:rPr>
              <w:t>S</w:t>
            </w:r>
            <w:r w:rsidRPr="002F1F01">
              <w:rPr>
                <w:b/>
                <w:lang w:val="en-GB" w:eastAsia="en-IN"/>
              </w:rPr>
              <w:t>hares</w:t>
            </w:r>
          </w:p>
        </w:tc>
        <w:tc>
          <w:tcPr>
            <w:tcW w:w="1006" w:type="dxa"/>
            <w:shd w:val="clear" w:color="auto" w:fill="auto"/>
            <w:noWrap/>
            <w:vAlign w:val="bottom"/>
            <w:hideMark/>
          </w:tcPr>
          <w:p w14:paraId="20B55D70" w14:textId="1FC94246" w:rsidR="00DE7981" w:rsidRPr="002F1F01" w:rsidRDefault="00DE7981" w:rsidP="003C0A88">
            <w:pPr>
              <w:pStyle w:val="ExhibitText"/>
              <w:jc w:val="center"/>
              <w:rPr>
                <w:b/>
                <w:lang w:val="en-GB" w:eastAsia="en-IN"/>
              </w:rPr>
            </w:pPr>
            <w:r w:rsidRPr="002F1F01">
              <w:rPr>
                <w:b/>
                <w:lang w:val="en-GB" w:eastAsia="en-IN"/>
              </w:rPr>
              <w:t xml:space="preserve">% </w:t>
            </w:r>
            <w:r w:rsidR="002B21A9">
              <w:rPr>
                <w:b/>
                <w:lang w:val="en-GB" w:eastAsia="en-IN"/>
              </w:rPr>
              <w:t>S</w:t>
            </w:r>
            <w:r w:rsidRPr="002F1F01">
              <w:rPr>
                <w:b/>
                <w:lang w:val="en-GB" w:eastAsia="en-IN"/>
              </w:rPr>
              <w:t>take</w:t>
            </w:r>
          </w:p>
        </w:tc>
      </w:tr>
      <w:tr w:rsidR="00DE7981" w:rsidRPr="001F64CE" w14:paraId="46AF5390" w14:textId="77777777" w:rsidTr="002F1F01">
        <w:trPr>
          <w:trHeight w:val="288"/>
          <w:jc w:val="center"/>
        </w:trPr>
        <w:tc>
          <w:tcPr>
            <w:tcW w:w="2976" w:type="dxa"/>
            <w:shd w:val="clear" w:color="auto" w:fill="auto"/>
            <w:noWrap/>
            <w:vAlign w:val="bottom"/>
            <w:hideMark/>
          </w:tcPr>
          <w:p w14:paraId="4ED27050" w14:textId="77777777" w:rsidR="00DE7981" w:rsidRPr="001F64CE" w:rsidRDefault="00DE7981" w:rsidP="003C0A88">
            <w:pPr>
              <w:pStyle w:val="ExhibitText"/>
              <w:rPr>
                <w:lang w:val="en-GB" w:eastAsia="en-IN"/>
              </w:rPr>
            </w:pPr>
            <w:r w:rsidRPr="001F64CE">
              <w:rPr>
                <w:lang w:val="en-GB" w:eastAsia="en-IN"/>
              </w:rPr>
              <w:t>Promoters</w:t>
            </w:r>
          </w:p>
        </w:tc>
        <w:tc>
          <w:tcPr>
            <w:tcW w:w="1516" w:type="dxa"/>
            <w:shd w:val="clear" w:color="auto" w:fill="auto"/>
            <w:noWrap/>
            <w:vAlign w:val="bottom"/>
            <w:hideMark/>
          </w:tcPr>
          <w:p w14:paraId="7A2B95CF" w14:textId="77777777" w:rsidR="00DE7981" w:rsidRPr="001F64CE" w:rsidRDefault="00DE7981" w:rsidP="003C0A88">
            <w:pPr>
              <w:pStyle w:val="ExhibitText"/>
              <w:jc w:val="right"/>
              <w:rPr>
                <w:lang w:val="en-GB" w:eastAsia="en-IN"/>
              </w:rPr>
            </w:pPr>
            <w:r w:rsidRPr="001F64CE">
              <w:rPr>
                <w:lang w:val="en-GB" w:eastAsia="en-IN"/>
              </w:rPr>
              <w:t>169,788,440</w:t>
            </w:r>
          </w:p>
        </w:tc>
        <w:tc>
          <w:tcPr>
            <w:tcW w:w="1006" w:type="dxa"/>
            <w:shd w:val="clear" w:color="auto" w:fill="auto"/>
            <w:noWrap/>
            <w:vAlign w:val="bottom"/>
            <w:hideMark/>
          </w:tcPr>
          <w:p w14:paraId="751F23DA" w14:textId="0253AB13" w:rsidR="00DE7981" w:rsidRPr="001F64CE" w:rsidRDefault="00DE7981" w:rsidP="003C0A88">
            <w:pPr>
              <w:pStyle w:val="ExhibitText"/>
              <w:jc w:val="right"/>
              <w:rPr>
                <w:lang w:val="en-GB" w:eastAsia="en-IN"/>
              </w:rPr>
            </w:pPr>
            <w:r w:rsidRPr="001F64CE">
              <w:rPr>
                <w:lang w:val="en-GB" w:eastAsia="en-IN"/>
              </w:rPr>
              <w:t>56.21</w:t>
            </w:r>
          </w:p>
        </w:tc>
      </w:tr>
      <w:tr w:rsidR="00DE7981" w:rsidRPr="001F64CE" w14:paraId="58C06B30" w14:textId="77777777" w:rsidTr="002F1F01">
        <w:trPr>
          <w:trHeight w:val="288"/>
          <w:jc w:val="center"/>
        </w:trPr>
        <w:tc>
          <w:tcPr>
            <w:tcW w:w="2976" w:type="dxa"/>
            <w:shd w:val="clear" w:color="auto" w:fill="auto"/>
            <w:noWrap/>
            <w:vAlign w:val="bottom"/>
            <w:hideMark/>
          </w:tcPr>
          <w:p w14:paraId="4F258E68" w14:textId="77777777" w:rsidR="00DE7981" w:rsidRPr="001F64CE" w:rsidRDefault="00DE7981" w:rsidP="003C0A88">
            <w:pPr>
              <w:pStyle w:val="ExhibitText"/>
              <w:rPr>
                <w:lang w:val="en-GB" w:eastAsia="en-IN"/>
              </w:rPr>
            </w:pPr>
            <w:r w:rsidRPr="001F64CE">
              <w:rPr>
                <w:lang w:val="en-GB" w:eastAsia="en-IN"/>
              </w:rPr>
              <w:t>Mutual Funds</w:t>
            </w:r>
          </w:p>
        </w:tc>
        <w:tc>
          <w:tcPr>
            <w:tcW w:w="1516" w:type="dxa"/>
            <w:shd w:val="clear" w:color="auto" w:fill="auto"/>
            <w:noWrap/>
            <w:vAlign w:val="bottom"/>
            <w:hideMark/>
          </w:tcPr>
          <w:p w14:paraId="6ED5167A" w14:textId="77777777" w:rsidR="00DE7981" w:rsidRPr="001F64CE" w:rsidRDefault="00DE7981" w:rsidP="003C0A88">
            <w:pPr>
              <w:pStyle w:val="ExhibitText"/>
              <w:jc w:val="right"/>
              <w:rPr>
                <w:lang w:val="en-GB" w:eastAsia="en-IN"/>
              </w:rPr>
            </w:pPr>
            <w:r w:rsidRPr="001F64CE">
              <w:rPr>
                <w:lang w:val="en-GB" w:eastAsia="en-IN"/>
              </w:rPr>
              <w:t>16,682,142</w:t>
            </w:r>
          </w:p>
        </w:tc>
        <w:tc>
          <w:tcPr>
            <w:tcW w:w="1006" w:type="dxa"/>
            <w:shd w:val="clear" w:color="auto" w:fill="auto"/>
            <w:noWrap/>
            <w:vAlign w:val="bottom"/>
            <w:hideMark/>
          </w:tcPr>
          <w:p w14:paraId="7FCC3955" w14:textId="5ED6AFA6" w:rsidR="00DE7981" w:rsidRPr="001F64CE" w:rsidRDefault="00DE7981" w:rsidP="003C0A88">
            <w:pPr>
              <w:pStyle w:val="ExhibitText"/>
              <w:jc w:val="right"/>
              <w:rPr>
                <w:lang w:val="en-GB" w:eastAsia="en-IN"/>
              </w:rPr>
            </w:pPr>
            <w:r w:rsidRPr="001F64CE">
              <w:rPr>
                <w:lang w:val="en-GB" w:eastAsia="en-IN"/>
              </w:rPr>
              <w:t>5.52</w:t>
            </w:r>
          </w:p>
        </w:tc>
      </w:tr>
      <w:tr w:rsidR="00DE7981" w:rsidRPr="001F64CE" w14:paraId="69F6CF2C" w14:textId="77777777" w:rsidTr="002F1F01">
        <w:trPr>
          <w:trHeight w:val="288"/>
          <w:jc w:val="center"/>
        </w:trPr>
        <w:tc>
          <w:tcPr>
            <w:tcW w:w="2976" w:type="dxa"/>
            <w:shd w:val="clear" w:color="auto" w:fill="auto"/>
            <w:noWrap/>
            <w:vAlign w:val="bottom"/>
            <w:hideMark/>
          </w:tcPr>
          <w:p w14:paraId="68DCED46" w14:textId="77777777" w:rsidR="00DE7981" w:rsidRPr="001F64CE" w:rsidRDefault="00DE7981" w:rsidP="003C0A88">
            <w:pPr>
              <w:pStyle w:val="ExhibitText"/>
              <w:rPr>
                <w:lang w:val="en-GB" w:eastAsia="en-IN"/>
              </w:rPr>
            </w:pPr>
            <w:r w:rsidRPr="001F64CE">
              <w:rPr>
                <w:lang w:val="en-GB" w:eastAsia="en-IN"/>
              </w:rPr>
              <w:t>Financial Institutions &amp; Banks</w:t>
            </w:r>
          </w:p>
        </w:tc>
        <w:tc>
          <w:tcPr>
            <w:tcW w:w="1516" w:type="dxa"/>
            <w:shd w:val="clear" w:color="auto" w:fill="auto"/>
            <w:noWrap/>
            <w:vAlign w:val="bottom"/>
            <w:hideMark/>
          </w:tcPr>
          <w:p w14:paraId="7E87724A" w14:textId="77777777" w:rsidR="00DE7981" w:rsidRPr="001F64CE" w:rsidRDefault="00DE7981" w:rsidP="003C0A88">
            <w:pPr>
              <w:pStyle w:val="ExhibitText"/>
              <w:jc w:val="right"/>
              <w:rPr>
                <w:lang w:val="en-GB" w:eastAsia="en-IN"/>
              </w:rPr>
            </w:pPr>
            <w:r w:rsidRPr="001F64CE">
              <w:rPr>
                <w:lang w:val="en-GB" w:eastAsia="en-IN"/>
              </w:rPr>
              <w:t>25,551,589</w:t>
            </w:r>
          </w:p>
        </w:tc>
        <w:tc>
          <w:tcPr>
            <w:tcW w:w="1006" w:type="dxa"/>
            <w:shd w:val="clear" w:color="auto" w:fill="auto"/>
            <w:noWrap/>
            <w:vAlign w:val="bottom"/>
            <w:hideMark/>
          </w:tcPr>
          <w:p w14:paraId="2D38753F" w14:textId="6D1D528A" w:rsidR="00DE7981" w:rsidRPr="001F64CE" w:rsidRDefault="00DE7981" w:rsidP="003C0A88">
            <w:pPr>
              <w:pStyle w:val="ExhibitText"/>
              <w:jc w:val="right"/>
              <w:rPr>
                <w:lang w:val="en-GB" w:eastAsia="en-IN"/>
              </w:rPr>
            </w:pPr>
            <w:r w:rsidRPr="001F64CE">
              <w:rPr>
                <w:lang w:val="en-GB" w:eastAsia="en-IN"/>
              </w:rPr>
              <w:t>8.46</w:t>
            </w:r>
          </w:p>
        </w:tc>
      </w:tr>
      <w:tr w:rsidR="00DE7981" w:rsidRPr="001F64CE" w14:paraId="63EF2A85" w14:textId="77777777" w:rsidTr="002F1F01">
        <w:trPr>
          <w:trHeight w:val="288"/>
          <w:jc w:val="center"/>
        </w:trPr>
        <w:tc>
          <w:tcPr>
            <w:tcW w:w="2976" w:type="dxa"/>
            <w:shd w:val="clear" w:color="auto" w:fill="auto"/>
            <w:noWrap/>
            <w:vAlign w:val="bottom"/>
            <w:hideMark/>
          </w:tcPr>
          <w:p w14:paraId="3C76AA4B" w14:textId="77777777" w:rsidR="00DE7981" w:rsidRPr="001F64CE" w:rsidRDefault="00DE7981" w:rsidP="003C0A88">
            <w:pPr>
              <w:pStyle w:val="ExhibitText"/>
              <w:rPr>
                <w:lang w:val="en-GB" w:eastAsia="en-IN"/>
              </w:rPr>
            </w:pPr>
            <w:r w:rsidRPr="001F64CE">
              <w:rPr>
                <w:lang w:val="en-GB" w:eastAsia="en-IN"/>
              </w:rPr>
              <w:t>Foreign Institutional Investors</w:t>
            </w:r>
          </w:p>
        </w:tc>
        <w:tc>
          <w:tcPr>
            <w:tcW w:w="1516" w:type="dxa"/>
            <w:shd w:val="clear" w:color="auto" w:fill="auto"/>
            <w:noWrap/>
            <w:vAlign w:val="bottom"/>
            <w:hideMark/>
          </w:tcPr>
          <w:p w14:paraId="2F6FDAE2" w14:textId="77777777" w:rsidR="00DE7981" w:rsidRPr="001F64CE" w:rsidRDefault="00DE7981" w:rsidP="003C0A88">
            <w:pPr>
              <w:pStyle w:val="ExhibitText"/>
              <w:jc w:val="right"/>
              <w:rPr>
                <w:lang w:val="en-GB" w:eastAsia="en-IN"/>
              </w:rPr>
            </w:pPr>
            <w:r w:rsidRPr="001F64CE">
              <w:rPr>
                <w:lang w:val="en-GB" w:eastAsia="en-IN"/>
              </w:rPr>
              <w:t>64,860,264</w:t>
            </w:r>
          </w:p>
        </w:tc>
        <w:tc>
          <w:tcPr>
            <w:tcW w:w="1006" w:type="dxa"/>
            <w:shd w:val="clear" w:color="auto" w:fill="auto"/>
            <w:noWrap/>
            <w:vAlign w:val="bottom"/>
            <w:hideMark/>
          </w:tcPr>
          <w:p w14:paraId="712CEF8F" w14:textId="18F463CF" w:rsidR="00DE7981" w:rsidRPr="001F64CE" w:rsidRDefault="00DE7981" w:rsidP="003C0A88">
            <w:pPr>
              <w:pStyle w:val="ExhibitText"/>
              <w:jc w:val="right"/>
              <w:rPr>
                <w:lang w:val="en-GB" w:eastAsia="en-IN"/>
              </w:rPr>
            </w:pPr>
            <w:r w:rsidRPr="001F64CE">
              <w:rPr>
                <w:lang w:val="en-GB" w:eastAsia="en-IN"/>
              </w:rPr>
              <w:t>21.47</w:t>
            </w:r>
          </w:p>
        </w:tc>
      </w:tr>
      <w:tr w:rsidR="00DE7981" w:rsidRPr="001F64CE" w14:paraId="0BCD6F4F" w14:textId="77777777" w:rsidTr="002F1F01">
        <w:trPr>
          <w:trHeight w:val="288"/>
          <w:jc w:val="center"/>
        </w:trPr>
        <w:tc>
          <w:tcPr>
            <w:tcW w:w="2976" w:type="dxa"/>
            <w:shd w:val="clear" w:color="auto" w:fill="auto"/>
            <w:noWrap/>
            <w:vAlign w:val="bottom"/>
            <w:hideMark/>
          </w:tcPr>
          <w:p w14:paraId="693F2DF8" w14:textId="77777777" w:rsidR="00DE7981" w:rsidRPr="001F64CE" w:rsidRDefault="00DE7981" w:rsidP="003C0A88">
            <w:pPr>
              <w:pStyle w:val="ExhibitText"/>
              <w:rPr>
                <w:lang w:val="en-GB" w:eastAsia="en-IN"/>
              </w:rPr>
            </w:pPr>
            <w:r w:rsidRPr="001F64CE">
              <w:rPr>
                <w:lang w:val="en-GB" w:eastAsia="en-IN"/>
              </w:rPr>
              <w:t>Corporate Bodies</w:t>
            </w:r>
          </w:p>
        </w:tc>
        <w:tc>
          <w:tcPr>
            <w:tcW w:w="1516" w:type="dxa"/>
            <w:shd w:val="clear" w:color="auto" w:fill="auto"/>
            <w:noWrap/>
            <w:vAlign w:val="bottom"/>
            <w:hideMark/>
          </w:tcPr>
          <w:p w14:paraId="37D37463" w14:textId="77777777" w:rsidR="00DE7981" w:rsidRPr="001F64CE" w:rsidRDefault="00DE7981" w:rsidP="003C0A88">
            <w:pPr>
              <w:pStyle w:val="ExhibitText"/>
              <w:jc w:val="right"/>
              <w:rPr>
                <w:lang w:val="en-GB" w:eastAsia="en-IN"/>
              </w:rPr>
            </w:pPr>
            <w:r w:rsidRPr="001F64CE">
              <w:rPr>
                <w:lang w:val="en-GB" w:eastAsia="en-IN"/>
              </w:rPr>
              <w:t>18,358,794</w:t>
            </w:r>
          </w:p>
        </w:tc>
        <w:tc>
          <w:tcPr>
            <w:tcW w:w="1006" w:type="dxa"/>
            <w:shd w:val="clear" w:color="auto" w:fill="auto"/>
            <w:noWrap/>
            <w:vAlign w:val="bottom"/>
            <w:hideMark/>
          </w:tcPr>
          <w:p w14:paraId="4624C604" w14:textId="72A5B06C" w:rsidR="00DE7981" w:rsidRPr="001F64CE" w:rsidRDefault="00DE7981" w:rsidP="003C0A88">
            <w:pPr>
              <w:pStyle w:val="ExhibitText"/>
              <w:jc w:val="right"/>
              <w:rPr>
                <w:lang w:val="en-GB" w:eastAsia="en-IN"/>
              </w:rPr>
            </w:pPr>
            <w:r w:rsidRPr="001F64CE">
              <w:rPr>
                <w:lang w:val="en-GB" w:eastAsia="en-IN"/>
              </w:rPr>
              <w:t>6.08</w:t>
            </w:r>
          </w:p>
        </w:tc>
      </w:tr>
      <w:tr w:rsidR="00DE7981" w:rsidRPr="001F64CE" w14:paraId="13833BEF" w14:textId="77777777" w:rsidTr="002F1F01">
        <w:trPr>
          <w:trHeight w:val="288"/>
          <w:jc w:val="center"/>
        </w:trPr>
        <w:tc>
          <w:tcPr>
            <w:tcW w:w="2976" w:type="dxa"/>
            <w:shd w:val="clear" w:color="auto" w:fill="auto"/>
            <w:noWrap/>
            <w:vAlign w:val="bottom"/>
            <w:hideMark/>
          </w:tcPr>
          <w:p w14:paraId="6333D3BB" w14:textId="77777777" w:rsidR="00DE7981" w:rsidRPr="001F64CE" w:rsidRDefault="00DE7981" w:rsidP="003C0A88">
            <w:pPr>
              <w:pStyle w:val="ExhibitText"/>
              <w:rPr>
                <w:lang w:val="en-GB" w:eastAsia="en-IN"/>
              </w:rPr>
            </w:pPr>
            <w:r w:rsidRPr="001F64CE">
              <w:rPr>
                <w:lang w:val="en-GB" w:eastAsia="en-IN"/>
              </w:rPr>
              <w:t>Individuals &amp; Others</w:t>
            </w:r>
          </w:p>
        </w:tc>
        <w:tc>
          <w:tcPr>
            <w:tcW w:w="1516" w:type="dxa"/>
            <w:shd w:val="clear" w:color="auto" w:fill="auto"/>
            <w:noWrap/>
            <w:vAlign w:val="bottom"/>
            <w:hideMark/>
          </w:tcPr>
          <w:p w14:paraId="564EA950" w14:textId="77777777" w:rsidR="00DE7981" w:rsidRPr="001F64CE" w:rsidRDefault="00DE7981" w:rsidP="003C0A88">
            <w:pPr>
              <w:pStyle w:val="ExhibitText"/>
              <w:jc w:val="right"/>
              <w:rPr>
                <w:lang w:val="en-GB" w:eastAsia="en-IN"/>
              </w:rPr>
            </w:pPr>
            <w:r w:rsidRPr="001F64CE">
              <w:rPr>
                <w:lang w:val="en-GB" w:eastAsia="en-IN"/>
              </w:rPr>
              <w:t>6,838,831</w:t>
            </w:r>
          </w:p>
        </w:tc>
        <w:tc>
          <w:tcPr>
            <w:tcW w:w="1006" w:type="dxa"/>
            <w:shd w:val="clear" w:color="auto" w:fill="auto"/>
            <w:noWrap/>
            <w:vAlign w:val="bottom"/>
            <w:hideMark/>
          </w:tcPr>
          <w:p w14:paraId="22C24FFC" w14:textId="596E103A" w:rsidR="00DE7981" w:rsidRPr="001F64CE" w:rsidRDefault="00DE7981" w:rsidP="003C0A88">
            <w:pPr>
              <w:pStyle w:val="ExhibitText"/>
              <w:jc w:val="right"/>
              <w:rPr>
                <w:lang w:val="en-GB" w:eastAsia="en-IN"/>
              </w:rPr>
            </w:pPr>
            <w:r w:rsidRPr="001F64CE">
              <w:rPr>
                <w:lang w:val="en-GB" w:eastAsia="en-IN"/>
              </w:rPr>
              <w:t>2.26</w:t>
            </w:r>
          </w:p>
        </w:tc>
      </w:tr>
      <w:tr w:rsidR="00DE7981" w:rsidRPr="001F64CE" w14:paraId="583B18C9" w14:textId="77777777" w:rsidTr="002F1F01">
        <w:trPr>
          <w:trHeight w:val="288"/>
          <w:jc w:val="center"/>
        </w:trPr>
        <w:tc>
          <w:tcPr>
            <w:tcW w:w="2976" w:type="dxa"/>
            <w:shd w:val="clear" w:color="auto" w:fill="auto"/>
            <w:noWrap/>
            <w:vAlign w:val="bottom"/>
            <w:hideMark/>
          </w:tcPr>
          <w:p w14:paraId="2C9EFAF2" w14:textId="77777777" w:rsidR="00DE7981" w:rsidRPr="002F1F01" w:rsidRDefault="00DE7981" w:rsidP="003C0A88">
            <w:pPr>
              <w:pStyle w:val="ExhibitText"/>
              <w:rPr>
                <w:iCs/>
                <w:lang w:val="en-GB" w:eastAsia="en-IN"/>
              </w:rPr>
            </w:pPr>
            <w:r w:rsidRPr="002F1F01">
              <w:rPr>
                <w:iCs/>
                <w:lang w:val="en-GB" w:eastAsia="en-IN"/>
              </w:rPr>
              <w:t>Total</w:t>
            </w:r>
          </w:p>
        </w:tc>
        <w:tc>
          <w:tcPr>
            <w:tcW w:w="1516" w:type="dxa"/>
            <w:shd w:val="clear" w:color="auto" w:fill="auto"/>
            <w:noWrap/>
            <w:vAlign w:val="bottom"/>
            <w:hideMark/>
          </w:tcPr>
          <w:p w14:paraId="6A0DD573" w14:textId="77777777" w:rsidR="00DE7981" w:rsidRPr="001F64CE" w:rsidRDefault="00DE7981" w:rsidP="003C0A88">
            <w:pPr>
              <w:pStyle w:val="ExhibitText"/>
              <w:jc w:val="right"/>
              <w:rPr>
                <w:lang w:val="en-GB" w:eastAsia="en-IN"/>
              </w:rPr>
            </w:pPr>
            <w:bookmarkStart w:id="1" w:name="RANGE!C9"/>
            <w:r w:rsidRPr="001F64CE">
              <w:rPr>
                <w:lang w:val="en-GB" w:eastAsia="en-IN"/>
              </w:rPr>
              <w:t>302,080,060</w:t>
            </w:r>
            <w:bookmarkEnd w:id="1"/>
          </w:p>
        </w:tc>
        <w:tc>
          <w:tcPr>
            <w:tcW w:w="1006" w:type="dxa"/>
            <w:shd w:val="clear" w:color="auto" w:fill="auto"/>
            <w:noWrap/>
            <w:vAlign w:val="bottom"/>
            <w:hideMark/>
          </w:tcPr>
          <w:p w14:paraId="2FC29E2E" w14:textId="6E71579C" w:rsidR="00DE7981" w:rsidRPr="001F64CE" w:rsidRDefault="00DE7981" w:rsidP="003C0A88">
            <w:pPr>
              <w:pStyle w:val="ExhibitText"/>
              <w:jc w:val="right"/>
              <w:rPr>
                <w:lang w:val="en-GB" w:eastAsia="en-IN"/>
              </w:rPr>
            </w:pPr>
            <w:r w:rsidRPr="001F64CE">
              <w:rPr>
                <w:lang w:val="en-GB" w:eastAsia="en-IN"/>
              </w:rPr>
              <w:t>100.00</w:t>
            </w:r>
          </w:p>
        </w:tc>
      </w:tr>
    </w:tbl>
    <w:p w14:paraId="00683C32" w14:textId="77777777" w:rsidR="00D903EB" w:rsidRPr="001F64CE" w:rsidRDefault="00D903EB" w:rsidP="003C0A88">
      <w:pPr>
        <w:pStyle w:val="Footnote"/>
        <w:rPr>
          <w:rFonts w:eastAsia="Batang"/>
          <w:lang w:val="en-GB"/>
        </w:rPr>
      </w:pPr>
    </w:p>
    <w:p w14:paraId="7A4CEA84" w14:textId="07003B52" w:rsidR="00DE7981" w:rsidRPr="001F64CE" w:rsidRDefault="00DE7981" w:rsidP="003C0A88">
      <w:pPr>
        <w:pStyle w:val="Footnote"/>
        <w:rPr>
          <w:rFonts w:eastAsia="Batang"/>
          <w:lang w:val="en-GB"/>
        </w:rPr>
      </w:pPr>
      <w:r w:rsidRPr="001F64CE">
        <w:rPr>
          <w:rFonts w:eastAsia="Batang"/>
          <w:lang w:val="en-GB"/>
        </w:rPr>
        <w:t xml:space="preserve">Source: </w:t>
      </w:r>
      <w:r w:rsidR="00FE3D2E" w:rsidRPr="001F64CE">
        <w:rPr>
          <w:rFonts w:eastAsia="Batang"/>
          <w:lang w:val="en-GB"/>
        </w:rPr>
        <w:t>Created by the authors based on “Shareholding Pattern,” Maruti Suzuki</w:t>
      </w:r>
      <w:r w:rsidR="00ED0932">
        <w:rPr>
          <w:rFonts w:eastAsia="Batang"/>
          <w:lang w:val="en-GB"/>
        </w:rPr>
        <w:t xml:space="preserve"> India Limited</w:t>
      </w:r>
      <w:r w:rsidR="00FE3D2E" w:rsidRPr="001F64CE">
        <w:rPr>
          <w:rFonts w:eastAsia="Batang"/>
          <w:lang w:val="en-GB"/>
        </w:rPr>
        <w:t>, accessed July 11, 2014,</w:t>
      </w:r>
      <w:r w:rsidR="00520106" w:rsidRPr="001F64CE">
        <w:rPr>
          <w:rFonts w:eastAsia="Batang"/>
          <w:lang w:val="en-GB"/>
        </w:rPr>
        <w:t xml:space="preserve"> </w:t>
      </w:r>
      <w:r w:rsidR="00ED0932" w:rsidRPr="008B0D5A">
        <w:rPr>
          <w:rFonts w:eastAsia="Batang"/>
        </w:rPr>
        <w:t>www.marutisuzuki.com/shareholding-pattern.aspx</w:t>
      </w:r>
      <w:r w:rsidR="000A288C" w:rsidRPr="001F64CE">
        <w:rPr>
          <w:rFonts w:eastAsia="Batang"/>
          <w:lang w:val="en-GB"/>
        </w:rPr>
        <w:t xml:space="preserve">. </w:t>
      </w:r>
    </w:p>
    <w:p w14:paraId="73CDCBE0" w14:textId="77777777" w:rsidR="00DE7981" w:rsidRPr="001F64CE" w:rsidRDefault="00DE7981" w:rsidP="003C0A88">
      <w:pPr>
        <w:pStyle w:val="Footnote"/>
        <w:rPr>
          <w:rFonts w:eastAsia="Batang"/>
          <w:lang w:val="en-GB"/>
        </w:rPr>
      </w:pPr>
    </w:p>
    <w:p w14:paraId="39134F61" w14:textId="77777777" w:rsidR="00DE7981" w:rsidRPr="001F64CE" w:rsidRDefault="00DE7981" w:rsidP="003C0A88">
      <w:pPr>
        <w:ind w:left="144" w:right="144"/>
        <w:rPr>
          <w:rFonts w:eastAsia="Batang"/>
          <w:lang w:val="en-GB"/>
        </w:rPr>
      </w:pPr>
      <w:r w:rsidRPr="001F64CE">
        <w:rPr>
          <w:rFonts w:eastAsia="Batang"/>
          <w:lang w:val="en-GB"/>
        </w:rPr>
        <w:br w:type="page"/>
      </w:r>
    </w:p>
    <w:p w14:paraId="34D91195" w14:textId="79CD1BCB" w:rsidR="00DE7981" w:rsidRPr="001F64CE" w:rsidRDefault="00DE7981" w:rsidP="003C0A88">
      <w:pPr>
        <w:pStyle w:val="ExhibitHeading"/>
        <w:rPr>
          <w:rFonts w:eastAsia="Batang"/>
          <w:lang w:val="en-GB"/>
        </w:rPr>
      </w:pPr>
      <w:r w:rsidRPr="001F64CE">
        <w:rPr>
          <w:rFonts w:eastAsia="Batang"/>
          <w:lang w:val="en-GB"/>
        </w:rPr>
        <w:lastRenderedPageBreak/>
        <w:t xml:space="preserve">Exhibit 2: Relevant Financial Statements </w:t>
      </w:r>
      <w:r w:rsidR="002B21A9">
        <w:rPr>
          <w:rFonts w:eastAsia="Batang"/>
          <w:lang w:val="en-GB"/>
        </w:rPr>
        <w:t>for</w:t>
      </w:r>
      <w:r w:rsidRPr="001F64CE">
        <w:rPr>
          <w:rFonts w:eastAsia="Batang"/>
          <w:lang w:val="en-GB"/>
        </w:rPr>
        <w:t xml:space="preserve"> MSIL </w:t>
      </w:r>
      <w:r w:rsidR="00BF1A36" w:rsidRPr="001F64CE">
        <w:rPr>
          <w:rFonts w:eastAsia="Batang"/>
          <w:lang w:val="en-GB"/>
        </w:rPr>
        <w:t xml:space="preserve">(in </w:t>
      </w:r>
      <w:r w:rsidR="00012D90" w:rsidRPr="002F1F01">
        <w:rPr>
          <w:rFonts w:eastAsia="Batang"/>
          <w:lang w:val="en-GB"/>
        </w:rPr>
        <w:t>₹</w:t>
      </w:r>
      <w:r w:rsidR="00BF1A36" w:rsidRPr="001F64CE">
        <w:rPr>
          <w:rFonts w:eastAsia="Batang"/>
          <w:lang w:val="en-GB"/>
        </w:rPr>
        <w:t xml:space="preserve"> Million</w:t>
      </w:r>
      <w:r w:rsidR="002365FE" w:rsidRPr="001F64CE">
        <w:rPr>
          <w:rFonts w:eastAsia="Batang"/>
          <w:lang w:val="en-GB"/>
        </w:rPr>
        <w:t>s</w:t>
      </w:r>
      <w:r w:rsidR="00BF1A36" w:rsidRPr="001F64CE">
        <w:rPr>
          <w:rFonts w:eastAsia="Batang"/>
          <w:lang w:val="en-GB"/>
        </w:rPr>
        <w:t>, except</w:t>
      </w:r>
      <w:r w:rsidRPr="001F64CE">
        <w:rPr>
          <w:rFonts w:eastAsia="Batang"/>
          <w:lang w:val="en-GB"/>
        </w:rPr>
        <w:t xml:space="preserve"> </w:t>
      </w:r>
      <w:r w:rsidR="00A41430" w:rsidRPr="001F64CE">
        <w:rPr>
          <w:rFonts w:eastAsia="Batang"/>
          <w:lang w:val="en-GB"/>
        </w:rPr>
        <w:t>Cars Sold</w:t>
      </w:r>
      <w:r w:rsidRPr="001F64CE">
        <w:rPr>
          <w:rFonts w:eastAsia="Batang"/>
          <w:lang w:val="en-GB"/>
        </w:rPr>
        <w:t xml:space="preserve">) </w:t>
      </w:r>
    </w:p>
    <w:p w14:paraId="068456B3" w14:textId="77777777" w:rsidR="00DE7981" w:rsidRPr="001F64CE" w:rsidRDefault="00DE7981" w:rsidP="003C0A88">
      <w:pPr>
        <w:ind w:left="144" w:right="144"/>
        <w:rPr>
          <w:rFonts w:eastAsia="Batang"/>
          <w:lang w:val="en-GB"/>
        </w:rPr>
      </w:pPr>
    </w:p>
    <w:tbl>
      <w:tblPr>
        <w:tblW w:w="78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0"/>
        <w:gridCol w:w="2147"/>
        <w:gridCol w:w="1518"/>
      </w:tblGrid>
      <w:tr w:rsidR="00DE7981" w:rsidRPr="001F64CE" w14:paraId="3860AB22" w14:textId="77777777" w:rsidTr="00370907">
        <w:trPr>
          <w:trHeight w:val="241"/>
          <w:jc w:val="center"/>
        </w:trPr>
        <w:tc>
          <w:tcPr>
            <w:tcW w:w="4230" w:type="dxa"/>
            <w:shd w:val="clear" w:color="auto" w:fill="auto"/>
            <w:noWrap/>
            <w:vAlign w:val="bottom"/>
            <w:hideMark/>
          </w:tcPr>
          <w:p w14:paraId="542C6722" w14:textId="228F9CA7" w:rsidR="00DE7981" w:rsidRPr="001F64CE" w:rsidRDefault="006A75C4" w:rsidP="003C0A88">
            <w:pPr>
              <w:pStyle w:val="ExhibitText"/>
              <w:jc w:val="center"/>
              <w:rPr>
                <w:b/>
                <w:color w:val="000000"/>
                <w:sz w:val="18"/>
                <w:szCs w:val="18"/>
                <w:lang w:val="en-GB" w:eastAsia="en-IN"/>
              </w:rPr>
            </w:pPr>
            <w:r w:rsidRPr="001F64CE">
              <w:rPr>
                <w:b/>
                <w:color w:val="000000"/>
                <w:sz w:val="18"/>
                <w:szCs w:val="18"/>
                <w:lang w:val="en-GB" w:eastAsia="en-IN"/>
              </w:rPr>
              <w:t>Year Ending March 31</w:t>
            </w:r>
          </w:p>
        </w:tc>
        <w:tc>
          <w:tcPr>
            <w:tcW w:w="2147" w:type="dxa"/>
            <w:shd w:val="clear" w:color="auto" w:fill="auto"/>
            <w:noWrap/>
            <w:vAlign w:val="bottom"/>
            <w:hideMark/>
          </w:tcPr>
          <w:p w14:paraId="467D66EE" w14:textId="77777777" w:rsidR="00DE7981" w:rsidRPr="002F1F01" w:rsidRDefault="00DE7981" w:rsidP="003C0A88">
            <w:pPr>
              <w:pStyle w:val="ExhibitText"/>
              <w:jc w:val="center"/>
              <w:rPr>
                <w:b/>
                <w:color w:val="000000"/>
                <w:sz w:val="18"/>
                <w:szCs w:val="18"/>
                <w:lang w:val="en-GB" w:eastAsia="en-IN"/>
              </w:rPr>
            </w:pPr>
            <w:r w:rsidRPr="002F1F01">
              <w:rPr>
                <w:b/>
                <w:color w:val="000000"/>
                <w:sz w:val="18"/>
                <w:szCs w:val="18"/>
                <w:lang w:val="en-GB" w:eastAsia="en-IN"/>
              </w:rPr>
              <w:t>2013</w:t>
            </w:r>
          </w:p>
        </w:tc>
        <w:tc>
          <w:tcPr>
            <w:tcW w:w="1518" w:type="dxa"/>
            <w:shd w:val="clear" w:color="auto" w:fill="auto"/>
            <w:noWrap/>
            <w:vAlign w:val="bottom"/>
            <w:hideMark/>
          </w:tcPr>
          <w:p w14:paraId="53E2A1A9" w14:textId="77777777" w:rsidR="00DE7981" w:rsidRPr="002F1F01" w:rsidRDefault="00DE7981" w:rsidP="003C0A88">
            <w:pPr>
              <w:pStyle w:val="ExhibitText"/>
              <w:jc w:val="center"/>
              <w:rPr>
                <w:b/>
                <w:color w:val="000000"/>
                <w:sz w:val="18"/>
                <w:szCs w:val="18"/>
                <w:lang w:val="en-GB" w:eastAsia="en-IN"/>
              </w:rPr>
            </w:pPr>
            <w:r w:rsidRPr="002F1F01">
              <w:rPr>
                <w:b/>
                <w:color w:val="000000"/>
                <w:sz w:val="18"/>
                <w:szCs w:val="18"/>
                <w:lang w:val="en-GB" w:eastAsia="en-IN"/>
              </w:rPr>
              <w:t>2012</w:t>
            </w:r>
          </w:p>
        </w:tc>
      </w:tr>
      <w:tr w:rsidR="00DE7981" w:rsidRPr="001F64CE" w14:paraId="60CA65FB" w14:textId="77777777" w:rsidTr="00370907">
        <w:trPr>
          <w:trHeight w:val="241"/>
          <w:jc w:val="center"/>
        </w:trPr>
        <w:tc>
          <w:tcPr>
            <w:tcW w:w="4230" w:type="dxa"/>
            <w:shd w:val="clear" w:color="auto" w:fill="auto"/>
            <w:noWrap/>
            <w:vAlign w:val="bottom"/>
            <w:hideMark/>
          </w:tcPr>
          <w:p w14:paraId="6F920FEA" w14:textId="79158667" w:rsidR="00DE7981" w:rsidRPr="001F64CE" w:rsidRDefault="00A41430" w:rsidP="003C0A88">
            <w:pPr>
              <w:pStyle w:val="ExhibitText"/>
              <w:rPr>
                <w:b/>
                <w:bCs/>
                <w:color w:val="000000"/>
                <w:sz w:val="18"/>
                <w:szCs w:val="18"/>
                <w:lang w:val="en-GB" w:eastAsia="en-IN"/>
              </w:rPr>
            </w:pPr>
            <w:r w:rsidRPr="001F64CE">
              <w:rPr>
                <w:b/>
                <w:bCs/>
                <w:color w:val="000000"/>
                <w:sz w:val="18"/>
                <w:szCs w:val="18"/>
                <w:lang w:val="en-GB" w:eastAsia="en-IN"/>
              </w:rPr>
              <w:t>Cars Sold</w:t>
            </w:r>
            <w:r w:rsidR="00DE7981" w:rsidRPr="001F64CE">
              <w:rPr>
                <w:b/>
                <w:bCs/>
                <w:color w:val="000000"/>
                <w:sz w:val="18"/>
                <w:szCs w:val="18"/>
                <w:lang w:val="en-GB" w:eastAsia="en-IN"/>
              </w:rPr>
              <w:t xml:space="preserve"> (no</w:t>
            </w:r>
            <w:r w:rsidR="002B21A9">
              <w:rPr>
                <w:b/>
                <w:bCs/>
                <w:color w:val="000000"/>
                <w:sz w:val="18"/>
                <w:szCs w:val="18"/>
                <w:lang w:val="en-GB" w:eastAsia="en-IN"/>
              </w:rPr>
              <w:t>.</w:t>
            </w:r>
            <w:r w:rsidR="00DE7981" w:rsidRPr="001F64CE">
              <w:rPr>
                <w:b/>
                <w:bCs/>
                <w:color w:val="000000"/>
                <w:sz w:val="18"/>
                <w:szCs w:val="18"/>
                <w:lang w:val="en-GB" w:eastAsia="en-IN"/>
              </w:rPr>
              <w:t>)</w:t>
            </w:r>
          </w:p>
        </w:tc>
        <w:tc>
          <w:tcPr>
            <w:tcW w:w="2147" w:type="dxa"/>
            <w:shd w:val="clear" w:color="auto" w:fill="auto"/>
            <w:noWrap/>
            <w:vAlign w:val="bottom"/>
            <w:hideMark/>
          </w:tcPr>
          <w:p w14:paraId="517978AC"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1,171,434</w:t>
            </w:r>
          </w:p>
        </w:tc>
        <w:tc>
          <w:tcPr>
            <w:tcW w:w="1518" w:type="dxa"/>
            <w:shd w:val="clear" w:color="auto" w:fill="auto"/>
            <w:noWrap/>
            <w:vAlign w:val="bottom"/>
            <w:hideMark/>
          </w:tcPr>
          <w:p w14:paraId="3C173148"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1,133,695</w:t>
            </w:r>
          </w:p>
        </w:tc>
      </w:tr>
      <w:tr w:rsidR="00DE7981" w:rsidRPr="001F64CE" w14:paraId="52157CA3" w14:textId="77777777" w:rsidTr="00370907">
        <w:trPr>
          <w:trHeight w:val="241"/>
          <w:jc w:val="center"/>
        </w:trPr>
        <w:tc>
          <w:tcPr>
            <w:tcW w:w="4230" w:type="dxa"/>
            <w:shd w:val="clear" w:color="auto" w:fill="auto"/>
            <w:noWrap/>
            <w:vAlign w:val="bottom"/>
            <w:hideMark/>
          </w:tcPr>
          <w:p w14:paraId="4FB72B52" w14:textId="4CA5FD8B" w:rsidR="00DE7981" w:rsidRPr="001F64CE" w:rsidRDefault="00DE7981" w:rsidP="003C0A88">
            <w:pPr>
              <w:pStyle w:val="ExhibitText"/>
              <w:rPr>
                <w:b/>
                <w:bCs/>
                <w:color w:val="000000"/>
                <w:sz w:val="18"/>
                <w:szCs w:val="18"/>
                <w:lang w:val="en-GB" w:eastAsia="en-IN"/>
              </w:rPr>
            </w:pPr>
            <w:r w:rsidRPr="001F64CE">
              <w:rPr>
                <w:b/>
                <w:bCs/>
                <w:color w:val="000000"/>
                <w:sz w:val="18"/>
                <w:szCs w:val="18"/>
                <w:lang w:val="en-GB" w:eastAsia="en-IN"/>
              </w:rPr>
              <w:t>Net Sales (</w:t>
            </w:r>
            <w:r w:rsidR="00012D90" w:rsidRPr="001F64CE">
              <w:rPr>
                <w:b/>
                <w:bCs/>
                <w:color w:val="000000"/>
                <w:sz w:val="18"/>
                <w:szCs w:val="18"/>
                <w:lang w:val="en-GB" w:eastAsia="en-IN"/>
              </w:rPr>
              <w:t>₹</w:t>
            </w:r>
            <w:r w:rsidRPr="001F64CE">
              <w:rPr>
                <w:b/>
                <w:bCs/>
                <w:color w:val="000000"/>
                <w:sz w:val="18"/>
                <w:szCs w:val="18"/>
                <w:lang w:val="en-GB" w:eastAsia="en-IN"/>
              </w:rPr>
              <w:t xml:space="preserve"> Million</w:t>
            </w:r>
            <w:r w:rsidR="002365FE" w:rsidRPr="001F64CE">
              <w:rPr>
                <w:b/>
                <w:bCs/>
                <w:color w:val="000000"/>
                <w:sz w:val="18"/>
                <w:szCs w:val="18"/>
                <w:lang w:val="en-GB" w:eastAsia="en-IN"/>
              </w:rPr>
              <w:t>s</w:t>
            </w:r>
            <w:r w:rsidRPr="001F64CE">
              <w:rPr>
                <w:b/>
                <w:bCs/>
                <w:color w:val="000000"/>
                <w:sz w:val="18"/>
                <w:szCs w:val="18"/>
                <w:lang w:val="en-GB" w:eastAsia="en-IN"/>
              </w:rPr>
              <w:t>)</w:t>
            </w:r>
          </w:p>
        </w:tc>
        <w:tc>
          <w:tcPr>
            <w:tcW w:w="2147" w:type="dxa"/>
            <w:shd w:val="clear" w:color="auto" w:fill="auto"/>
            <w:noWrap/>
            <w:vAlign w:val="bottom"/>
            <w:hideMark/>
          </w:tcPr>
          <w:p w14:paraId="4105BA29" w14:textId="77777777" w:rsidR="00DE7981" w:rsidRPr="001F64CE" w:rsidRDefault="00DE7981" w:rsidP="003C0A88">
            <w:pPr>
              <w:pStyle w:val="ExhibitText"/>
              <w:jc w:val="right"/>
              <w:rPr>
                <w:b/>
                <w:bCs/>
                <w:color w:val="000000"/>
                <w:sz w:val="18"/>
                <w:szCs w:val="18"/>
                <w:lang w:val="en-GB" w:eastAsia="en-IN"/>
              </w:rPr>
            </w:pPr>
            <w:r w:rsidRPr="001F64CE">
              <w:rPr>
                <w:b/>
                <w:bCs/>
                <w:color w:val="000000"/>
                <w:sz w:val="18"/>
                <w:szCs w:val="18"/>
                <w:lang w:val="en-GB" w:eastAsia="en-IN"/>
              </w:rPr>
              <w:t>426,126</w:t>
            </w:r>
          </w:p>
        </w:tc>
        <w:tc>
          <w:tcPr>
            <w:tcW w:w="1518" w:type="dxa"/>
            <w:shd w:val="clear" w:color="auto" w:fill="auto"/>
            <w:noWrap/>
            <w:vAlign w:val="bottom"/>
            <w:hideMark/>
          </w:tcPr>
          <w:p w14:paraId="13C39AC7" w14:textId="77777777" w:rsidR="00DE7981" w:rsidRPr="001F64CE" w:rsidRDefault="00DE7981" w:rsidP="003C0A88">
            <w:pPr>
              <w:pStyle w:val="ExhibitText"/>
              <w:jc w:val="right"/>
              <w:rPr>
                <w:b/>
                <w:bCs/>
                <w:color w:val="000000"/>
                <w:sz w:val="18"/>
                <w:szCs w:val="18"/>
                <w:lang w:val="en-GB" w:eastAsia="en-IN"/>
              </w:rPr>
            </w:pPr>
            <w:r w:rsidRPr="001F64CE">
              <w:rPr>
                <w:b/>
                <w:bCs/>
                <w:color w:val="000000"/>
                <w:sz w:val="18"/>
                <w:szCs w:val="18"/>
                <w:lang w:val="en-GB" w:eastAsia="en-IN"/>
              </w:rPr>
              <w:t>347,059</w:t>
            </w:r>
          </w:p>
        </w:tc>
      </w:tr>
      <w:tr w:rsidR="00DE7981" w:rsidRPr="001F64CE" w14:paraId="49020884" w14:textId="77777777" w:rsidTr="00370907">
        <w:trPr>
          <w:trHeight w:val="241"/>
          <w:jc w:val="center"/>
        </w:trPr>
        <w:tc>
          <w:tcPr>
            <w:tcW w:w="4230" w:type="dxa"/>
            <w:shd w:val="clear" w:color="auto" w:fill="auto"/>
            <w:noWrap/>
            <w:vAlign w:val="bottom"/>
            <w:hideMark/>
          </w:tcPr>
          <w:p w14:paraId="1D5B69D6" w14:textId="77777777" w:rsidR="00DE7981" w:rsidRPr="001F64CE" w:rsidRDefault="00DE7981" w:rsidP="003C0A88">
            <w:pPr>
              <w:pStyle w:val="ExhibitText"/>
              <w:rPr>
                <w:color w:val="000000"/>
                <w:sz w:val="18"/>
                <w:szCs w:val="18"/>
                <w:lang w:val="en-GB" w:eastAsia="en-IN"/>
              </w:rPr>
            </w:pPr>
            <w:r w:rsidRPr="001F64CE">
              <w:rPr>
                <w:color w:val="000000"/>
                <w:sz w:val="18"/>
                <w:szCs w:val="18"/>
                <w:lang w:val="en-GB" w:eastAsia="en-IN"/>
              </w:rPr>
              <w:t>Other Operating Income</w:t>
            </w:r>
          </w:p>
        </w:tc>
        <w:tc>
          <w:tcPr>
            <w:tcW w:w="2147" w:type="dxa"/>
            <w:shd w:val="clear" w:color="auto" w:fill="auto"/>
            <w:noWrap/>
            <w:vAlign w:val="bottom"/>
            <w:hideMark/>
          </w:tcPr>
          <w:p w14:paraId="56F7EA71"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9,753</w:t>
            </w:r>
          </w:p>
        </w:tc>
        <w:tc>
          <w:tcPr>
            <w:tcW w:w="1518" w:type="dxa"/>
            <w:shd w:val="clear" w:color="auto" w:fill="auto"/>
            <w:noWrap/>
            <w:vAlign w:val="bottom"/>
            <w:hideMark/>
          </w:tcPr>
          <w:p w14:paraId="7FE9D7A0"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8,812</w:t>
            </w:r>
          </w:p>
        </w:tc>
      </w:tr>
      <w:tr w:rsidR="00DE7981" w:rsidRPr="001F64CE" w14:paraId="58B267EB" w14:textId="77777777" w:rsidTr="00370907">
        <w:trPr>
          <w:trHeight w:val="241"/>
          <w:jc w:val="center"/>
        </w:trPr>
        <w:tc>
          <w:tcPr>
            <w:tcW w:w="4230" w:type="dxa"/>
            <w:shd w:val="clear" w:color="auto" w:fill="auto"/>
            <w:noWrap/>
            <w:vAlign w:val="bottom"/>
            <w:hideMark/>
          </w:tcPr>
          <w:p w14:paraId="6E0D7F4D" w14:textId="77777777" w:rsidR="00DE7981" w:rsidRPr="001F64CE" w:rsidRDefault="00DE7981" w:rsidP="003C0A88">
            <w:pPr>
              <w:pStyle w:val="ExhibitText"/>
              <w:rPr>
                <w:color w:val="000000"/>
                <w:sz w:val="18"/>
                <w:szCs w:val="18"/>
                <w:lang w:val="en-GB" w:eastAsia="en-IN"/>
              </w:rPr>
            </w:pPr>
            <w:r w:rsidRPr="001F64CE">
              <w:rPr>
                <w:color w:val="000000"/>
                <w:sz w:val="18"/>
                <w:szCs w:val="18"/>
                <w:lang w:val="en-GB" w:eastAsia="en-IN"/>
              </w:rPr>
              <w:t>Other Income</w:t>
            </w:r>
          </w:p>
        </w:tc>
        <w:tc>
          <w:tcPr>
            <w:tcW w:w="2147" w:type="dxa"/>
            <w:shd w:val="clear" w:color="auto" w:fill="auto"/>
            <w:noWrap/>
            <w:vAlign w:val="bottom"/>
            <w:hideMark/>
          </w:tcPr>
          <w:p w14:paraId="16D99487"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8,124</w:t>
            </w:r>
          </w:p>
        </w:tc>
        <w:tc>
          <w:tcPr>
            <w:tcW w:w="1518" w:type="dxa"/>
            <w:shd w:val="clear" w:color="auto" w:fill="auto"/>
            <w:noWrap/>
            <w:vAlign w:val="bottom"/>
            <w:hideMark/>
          </w:tcPr>
          <w:p w14:paraId="3423B3B8"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8,268</w:t>
            </w:r>
          </w:p>
        </w:tc>
      </w:tr>
      <w:tr w:rsidR="00DE7981" w:rsidRPr="001F64CE" w14:paraId="7B4C14A2" w14:textId="77777777" w:rsidTr="00370907">
        <w:trPr>
          <w:trHeight w:val="241"/>
          <w:jc w:val="center"/>
        </w:trPr>
        <w:tc>
          <w:tcPr>
            <w:tcW w:w="4230" w:type="dxa"/>
            <w:shd w:val="clear" w:color="auto" w:fill="auto"/>
            <w:noWrap/>
            <w:vAlign w:val="bottom"/>
            <w:hideMark/>
          </w:tcPr>
          <w:p w14:paraId="4F49868D" w14:textId="77777777" w:rsidR="00DE7981" w:rsidRPr="001F64CE" w:rsidRDefault="00DE7981" w:rsidP="003C0A88">
            <w:pPr>
              <w:pStyle w:val="ExhibitText"/>
              <w:rPr>
                <w:b/>
                <w:bCs/>
                <w:color w:val="000000"/>
                <w:sz w:val="18"/>
                <w:szCs w:val="18"/>
                <w:lang w:val="en-GB" w:eastAsia="en-IN"/>
              </w:rPr>
            </w:pPr>
            <w:r w:rsidRPr="001F64CE">
              <w:rPr>
                <w:b/>
                <w:bCs/>
                <w:color w:val="000000"/>
                <w:sz w:val="18"/>
                <w:szCs w:val="18"/>
                <w:lang w:val="en-GB" w:eastAsia="en-IN"/>
              </w:rPr>
              <w:t>Total Revenue</w:t>
            </w:r>
          </w:p>
        </w:tc>
        <w:tc>
          <w:tcPr>
            <w:tcW w:w="2147" w:type="dxa"/>
            <w:shd w:val="clear" w:color="auto" w:fill="auto"/>
            <w:noWrap/>
            <w:vAlign w:val="bottom"/>
            <w:hideMark/>
          </w:tcPr>
          <w:p w14:paraId="52BBA371" w14:textId="77777777" w:rsidR="00DE7981" w:rsidRPr="001F64CE" w:rsidRDefault="00DE7981" w:rsidP="003C0A88">
            <w:pPr>
              <w:pStyle w:val="ExhibitText"/>
              <w:jc w:val="right"/>
              <w:rPr>
                <w:b/>
                <w:bCs/>
                <w:color w:val="000000"/>
                <w:sz w:val="18"/>
                <w:szCs w:val="18"/>
                <w:lang w:val="en-GB" w:eastAsia="en-IN"/>
              </w:rPr>
            </w:pPr>
            <w:r w:rsidRPr="001F64CE">
              <w:rPr>
                <w:b/>
                <w:bCs/>
                <w:color w:val="000000"/>
                <w:sz w:val="18"/>
                <w:szCs w:val="18"/>
                <w:lang w:val="en-GB" w:eastAsia="en-IN"/>
              </w:rPr>
              <w:t>444,003</w:t>
            </w:r>
          </w:p>
        </w:tc>
        <w:tc>
          <w:tcPr>
            <w:tcW w:w="1518" w:type="dxa"/>
            <w:shd w:val="clear" w:color="auto" w:fill="auto"/>
            <w:noWrap/>
            <w:vAlign w:val="bottom"/>
            <w:hideMark/>
          </w:tcPr>
          <w:p w14:paraId="037A0630" w14:textId="77777777" w:rsidR="00DE7981" w:rsidRPr="001F64CE" w:rsidRDefault="00DE7981" w:rsidP="003C0A88">
            <w:pPr>
              <w:pStyle w:val="ExhibitText"/>
              <w:jc w:val="right"/>
              <w:rPr>
                <w:b/>
                <w:bCs/>
                <w:color w:val="000000"/>
                <w:sz w:val="18"/>
                <w:szCs w:val="18"/>
                <w:lang w:val="en-GB" w:eastAsia="en-IN"/>
              </w:rPr>
            </w:pPr>
            <w:r w:rsidRPr="001F64CE">
              <w:rPr>
                <w:b/>
                <w:bCs/>
                <w:color w:val="000000"/>
                <w:sz w:val="18"/>
                <w:szCs w:val="18"/>
                <w:lang w:val="en-GB" w:eastAsia="en-IN"/>
              </w:rPr>
              <w:t>364,139</w:t>
            </w:r>
          </w:p>
        </w:tc>
      </w:tr>
      <w:tr w:rsidR="00DE7981" w:rsidRPr="001F64CE" w14:paraId="2E05A91E" w14:textId="77777777" w:rsidTr="00370907">
        <w:trPr>
          <w:trHeight w:val="241"/>
          <w:jc w:val="center"/>
        </w:trPr>
        <w:tc>
          <w:tcPr>
            <w:tcW w:w="4230" w:type="dxa"/>
            <w:shd w:val="clear" w:color="auto" w:fill="auto"/>
            <w:noWrap/>
            <w:vAlign w:val="bottom"/>
            <w:hideMark/>
          </w:tcPr>
          <w:p w14:paraId="30C089B5" w14:textId="77777777" w:rsidR="00DE7981" w:rsidRPr="001F64CE" w:rsidRDefault="00DE7981" w:rsidP="003C0A88">
            <w:pPr>
              <w:pStyle w:val="ExhibitText"/>
              <w:rPr>
                <w:color w:val="000000"/>
                <w:sz w:val="18"/>
                <w:szCs w:val="18"/>
                <w:lang w:val="en-GB" w:eastAsia="en-IN"/>
              </w:rPr>
            </w:pPr>
            <w:r w:rsidRPr="001F64CE">
              <w:rPr>
                <w:color w:val="000000"/>
                <w:sz w:val="18"/>
                <w:szCs w:val="18"/>
                <w:lang w:val="en-GB" w:eastAsia="en-IN"/>
              </w:rPr>
              <w:t>Raw Material Expenses</w:t>
            </w:r>
          </w:p>
        </w:tc>
        <w:tc>
          <w:tcPr>
            <w:tcW w:w="2147" w:type="dxa"/>
            <w:shd w:val="clear" w:color="auto" w:fill="auto"/>
            <w:noWrap/>
            <w:vAlign w:val="bottom"/>
            <w:hideMark/>
          </w:tcPr>
          <w:p w14:paraId="656FAC29"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325,150</w:t>
            </w:r>
          </w:p>
        </w:tc>
        <w:tc>
          <w:tcPr>
            <w:tcW w:w="1518" w:type="dxa"/>
            <w:shd w:val="clear" w:color="auto" w:fill="auto"/>
            <w:noWrap/>
            <w:vAlign w:val="bottom"/>
            <w:hideMark/>
          </w:tcPr>
          <w:p w14:paraId="082C7EB5"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280,656</w:t>
            </w:r>
          </w:p>
        </w:tc>
      </w:tr>
      <w:tr w:rsidR="00DE7981" w:rsidRPr="001F64CE" w14:paraId="3D9F7F18" w14:textId="77777777" w:rsidTr="00370907">
        <w:trPr>
          <w:trHeight w:val="241"/>
          <w:jc w:val="center"/>
        </w:trPr>
        <w:tc>
          <w:tcPr>
            <w:tcW w:w="4230" w:type="dxa"/>
            <w:shd w:val="clear" w:color="auto" w:fill="auto"/>
            <w:noWrap/>
            <w:vAlign w:val="bottom"/>
            <w:hideMark/>
          </w:tcPr>
          <w:p w14:paraId="2A35A2B1" w14:textId="075A8EFE" w:rsidR="00DE7981" w:rsidRPr="001F64CE" w:rsidRDefault="00DE7981" w:rsidP="003C0A88">
            <w:pPr>
              <w:pStyle w:val="ExhibitText"/>
              <w:rPr>
                <w:color w:val="000000"/>
                <w:sz w:val="18"/>
                <w:szCs w:val="18"/>
                <w:lang w:val="en-GB" w:eastAsia="en-IN"/>
              </w:rPr>
            </w:pPr>
            <w:r w:rsidRPr="001F64CE">
              <w:rPr>
                <w:color w:val="000000"/>
                <w:sz w:val="18"/>
                <w:szCs w:val="18"/>
                <w:lang w:val="en-GB" w:eastAsia="en-IN"/>
              </w:rPr>
              <w:t xml:space="preserve">Employee </w:t>
            </w:r>
            <w:r w:rsidR="002365FE" w:rsidRPr="001F64CE">
              <w:rPr>
                <w:color w:val="000000"/>
                <w:sz w:val="18"/>
                <w:szCs w:val="18"/>
                <w:lang w:val="en-GB" w:eastAsia="en-IN"/>
              </w:rPr>
              <w:t>Benefits</w:t>
            </w:r>
          </w:p>
        </w:tc>
        <w:tc>
          <w:tcPr>
            <w:tcW w:w="2147" w:type="dxa"/>
            <w:shd w:val="clear" w:color="auto" w:fill="auto"/>
            <w:noWrap/>
            <w:vAlign w:val="bottom"/>
            <w:hideMark/>
          </w:tcPr>
          <w:p w14:paraId="66AF1C04"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10,696</w:t>
            </w:r>
          </w:p>
        </w:tc>
        <w:tc>
          <w:tcPr>
            <w:tcW w:w="1518" w:type="dxa"/>
            <w:shd w:val="clear" w:color="auto" w:fill="auto"/>
            <w:noWrap/>
            <w:vAlign w:val="bottom"/>
            <w:hideMark/>
          </w:tcPr>
          <w:p w14:paraId="66D2BCBD"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8,013</w:t>
            </w:r>
          </w:p>
        </w:tc>
      </w:tr>
      <w:tr w:rsidR="00DE7981" w:rsidRPr="001F64CE" w14:paraId="304B37AC" w14:textId="77777777" w:rsidTr="00370907">
        <w:trPr>
          <w:trHeight w:val="241"/>
          <w:jc w:val="center"/>
        </w:trPr>
        <w:tc>
          <w:tcPr>
            <w:tcW w:w="4230" w:type="dxa"/>
            <w:shd w:val="clear" w:color="auto" w:fill="auto"/>
            <w:noWrap/>
            <w:vAlign w:val="bottom"/>
            <w:hideMark/>
          </w:tcPr>
          <w:p w14:paraId="2ADB8CCB" w14:textId="77777777" w:rsidR="00DE7981" w:rsidRPr="001F64CE" w:rsidRDefault="00DE7981" w:rsidP="003C0A88">
            <w:pPr>
              <w:pStyle w:val="ExhibitText"/>
              <w:rPr>
                <w:color w:val="000000"/>
                <w:sz w:val="18"/>
                <w:szCs w:val="18"/>
                <w:lang w:val="en-GB" w:eastAsia="en-IN"/>
              </w:rPr>
            </w:pPr>
            <w:r w:rsidRPr="001F64CE">
              <w:rPr>
                <w:color w:val="000000"/>
                <w:sz w:val="18"/>
                <w:szCs w:val="18"/>
                <w:lang w:val="en-GB" w:eastAsia="en-IN"/>
              </w:rPr>
              <w:t>Interest Expenses</w:t>
            </w:r>
          </w:p>
        </w:tc>
        <w:tc>
          <w:tcPr>
            <w:tcW w:w="2147" w:type="dxa"/>
            <w:shd w:val="clear" w:color="auto" w:fill="auto"/>
            <w:noWrap/>
            <w:vAlign w:val="bottom"/>
            <w:hideMark/>
          </w:tcPr>
          <w:p w14:paraId="43B50FC1"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1,898</w:t>
            </w:r>
          </w:p>
        </w:tc>
        <w:tc>
          <w:tcPr>
            <w:tcW w:w="1518" w:type="dxa"/>
            <w:shd w:val="clear" w:color="auto" w:fill="auto"/>
            <w:noWrap/>
            <w:vAlign w:val="bottom"/>
            <w:hideMark/>
          </w:tcPr>
          <w:p w14:paraId="142A27F2"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552</w:t>
            </w:r>
          </w:p>
        </w:tc>
      </w:tr>
      <w:tr w:rsidR="00DE7981" w:rsidRPr="001F64CE" w14:paraId="01708B23" w14:textId="77777777" w:rsidTr="00370907">
        <w:trPr>
          <w:trHeight w:val="241"/>
          <w:jc w:val="center"/>
        </w:trPr>
        <w:tc>
          <w:tcPr>
            <w:tcW w:w="4230" w:type="dxa"/>
            <w:shd w:val="clear" w:color="auto" w:fill="auto"/>
            <w:noWrap/>
            <w:vAlign w:val="bottom"/>
            <w:hideMark/>
          </w:tcPr>
          <w:p w14:paraId="50A38345" w14:textId="382C6BF5" w:rsidR="00DE7981" w:rsidRPr="001F64CE" w:rsidRDefault="00DE7981" w:rsidP="003C0A88">
            <w:pPr>
              <w:pStyle w:val="ExhibitText"/>
              <w:rPr>
                <w:color w:val="000000"/>
                <w:sz w:val="18"/>
                <w:szCs w:val="18"/>
                <w:lang w:val="en-GB" w:eastAsia="en-IN"/>
              </w:rPr>
            </w:pPr>
            <w:r w:rsidRPr="001F64CE">
              <w:rPr>
                <w:color w:val="000000"/>
                <w:sz w:val="18"/>
                <w:szCs w:val="18"/>
                <w:lang w:val="en-GB" w:eastAsia="en-IN"/>
              </w:rPr>
              <w:t xml:space="preserve">Depreciation &amp; </w:t>
            </w:r>
            <w:r w:rsidR="002365FE" w:rsidRPr="001F64CE">
              <w:rPr>
                <w:color w:val="000000"/>
                <w:sz w:val="18"/>
                <w:szCs w:val="18"/>
                <w:lang w:val="en-GB" w:eastAsia="en-IN"/>
              </w:rPr>
              <w:t>Amortization</w:t>
            </w:r>
          </w:p>
        </w:tc>
        <w:tc>
          <w:tcPr>
            <w:tcW w:w="2147" w:type="dxa"/>
            <w:shd w:val="clear" w:color="auto" w:fill="auto"/>
            <w:noWrap/>
            <w:vAlign w:val="bottom"/>
            <w:hideMark/>
          </w:tcPr>
          <w:p w14:paraId="2BEFDA57"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18,612</w:t>
            </w:r>
          </w:p>
        </w:tc>
        <w:tc>
          <w:tcPr>
            <w:tcW w:w="1518" w:type="dxa"/>
            <w:shd w:val="clear" w:color="auto" w:fill="auto"/>
            <w:noWrap/>
            <w:vAlign w:val="bottom"/>
            <w:hideMark/>
          </w:tcPr>
          <w:p w14:paraId="2B980124"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11,384</w:t>
            </w:r>
          </w:p>
        </w:tc>
      </w:tr>
      <w:tr w:rsidR="00DE7981" w:rsidRPr="001F64CE" w14:paraId="4BDA801C" w14:textId="77777777" w:rsidTr="00370907">
        <w:trPr>
          <w:trHeight w:val="241"/>
          <w:jc w:val="center"/>
        </w:trPr>
        <w:tc>
          <w:tcPr>
            <w:tcW w:w="4230" w:type="dxa"/>
            <w:shd w:val="clear" w:color="auto" w:fill="auto"/>
            <w:noWrap/>
            <w:vAlign w:val="bottom"/>
            <w:hideMark/>
          </w:tcPr>
          <w:p w14:paraId="55967503" w14:textId="1B366D00" w:rsidR="00DE7981" w:rsidRPr="001F64CE" w:rsidRDefault="00DE7981" w:rsidP="003C0A88">
            <w:pPr>
              <w:pStyle w:val="ExhibitText"/>
              <w:rPr>
                <w:color w:val="000000"/>
                <w:sz w:val="18"/>
                <w:szCs w:val="18"/>
                <w:lang w:val="en-GB" w:eastAsia="en-IN"/>
              </w:rPr>
            </w:pPr>
            <w:r w:rsidRPr="001F64CE">
              <w:rPr>
                <w:color w:val="000000"/>
                <w:sz w:val="18"/>
                <w:szCs w:val="18"/>
                <w:lang w:val="en-GB" w:eastAsia="en-IN"/>
              </w:rPr>
              <w:t xml:space="preserve">Other </w:t>
            </w:r>
            <w:r w:rsidR="002365FE" w:rsidRPr="001F64CE">
              <w:rPr>
                <w:color w:val="000000"/>
                <w:sz w:val="18"/>
                <w:szCs w:val="18"/>
                <w:lang w:val="en-GB" w:eastAsia="en-IN"/>
              </w:rPr>
              <w:t>Expenses</w:t>
            </w:r>
          </w:p>
        </w:tc>
        <w:tc>
          <w:tcPr>
            <w:tcW w:w="2147" w:type="dxa"/>
            <w:shd w:val="clear" w:color="auto" w:fill="auto"/>
            <w:noWrap/>
            <w:vAlign w:val="bottom"/>
            <w:hideMark/>
          </w:tcPr>
          <w:p w14:paraId="0813CFE2"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57,737</w:t>
            </w:r>
          </w:p>
        </w:tc>
        <w:tc>
          <w:tcPr>
            <w:tcW w:w="1518" w:type="dxa"/>
            <w:shd w:val="clear" w:color="auto" w:fill="auto"/>
            <w:noWrap/>
            <w:vAlign w:val="bottom"/>
            <w:hideMark/>
          </w:tcPr>
          <w:p w14:paraId="7B1ABD3B"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42,072</w:t>
            </w:r>
          </w:p>
        </w:tc>
      </w:tr>
      <w:tr w:rsidR="00DE7981" w:rsidRPr="001F64CE" w14:paraId="76F30530" w14:textId="77777777" w:rsidTr="00370907">
        <w:trPr>
          <w:trHeight w:val="241"/>
          <w:jc w:val="center"/>
        </w:trPr>
        <w:tc>
          <w:tcPr>
            <w:tcW w:w="4230" w:type="dxa"/>
            <w:shd w:val="clear" w:color="auto" w:fill="auto"/>
            <w:noWrap/>
            <w:vAlign w:val="bottom"/>
            <w:hideMark/>
          </w:tcPr>
          <w:p w14:paraId="18719FCB" w14:textId="1200480F" w:rsidR="00DE7981" w:rsidRPr="001F64CE" w:rsidRDefault="00DE7981" w:rsidP="003C0A88">
            <w:pPr>
              <w:pStyle w:val="ExhibitText"/>
              <w:rPr>
                <w:b/>
                <w:bCs/>
                <w:color w:val="000000"/>
                <w:sz w:val="18"/>
                <w:szCs w:val="18"/>
                <w:lang w:val="en-GB" w:eastAsia="en-IN"/>
              </w:rPr>
            </w:pPr>
            <w:r w:rsidRPr="001F64CE">
              <w:rPr>
                <w:b/>
                <w:bCs/>
                <w:color w:val="000000"/>
                <w:sz w:val="18"/>
                <w:szCs w:val="18"/>
                <w:lang w:val="en-GB" w:eastAsia="en-IN"/>
              </w:rPr>
              <w:t xml:space="preserve">Total </w:t>
            </w:r>
            <w:r w:rsidR="002365FE" w:rsidRPr="001F64CE">
              <w:rPr>
                <w:b/>
                <w:bCs/>
                <w:color w:val="000000"/>
                <w:sz w:val="18"/>
                <w:szCs w:val="18"/>
                <w:lang w:val="en-GB" w:eastAsia="en-IN"/>
              </w:rPr>
              <w:t>Expenses</w:t>
            </w:r>
          </w:p>
        </w:tc>
        <w:tc>
          <w:tcPr>
            <w:tcW w:w="2147" w:type="dxa"/>
            <w:shd w:val="clear" w:color="auto" w:fill="auto"/>
            <w:noWrap/>
            <w:vAlign w:val="bottom"/>
            <w:hideMark/>
          </w:tcPr>
          <w:p w14:paraId="5A0BFE9E"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414,093</w:t>
            </w:r>
          </w:p>
        </w:tc>
        <w:tc>
          <w:tcPr>
            <w:tcW w:w="1518" w:type="dxa"/>
            <w:shd w:val="clear" w:color="auto" w:fill="auto"/>
            <w:noWrap/>
            <w:vAlign w:val="bottom"/>
            <w:hideMark/>
          </w:tcPr>
          <w:p w14:paraId="1933E55E"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342,677</w:t>
            </w:r>
          </w:p>
        </w:tc>
      </w:tr>
      <w:tr w:rsidR="00DE7981" w:rsidRPr="001F64CE" w14:paraId="38665464" w14:textId="77777777" w:rsidTr="00370907">
        <w:trPr>
          <w:trHeight w:val="241"/>
          <w:jc w:val="center"/>
        </w:trPr>
        <w:tc>
          <w:tcPr>
            <w:tcW w:w="4230" w:type="dxa"/>
            <w:shd w:val="clear" w:color="auto" w:fill="auto"/>
            <w:noWrap/>
            <w:vAlign w:val="bottom"/>
            <w:hideMark/>
          </w:tcPr>
          <w:p w14:paraId="641AEB8F" w14:textId="3752431D" w:rsidR="00DE7981" w:rsidRPr="001F64CE" w:rsidRDefault="00DE7981" w:rsidP="003C0A88">
            <w:pPr>
              <w:pStyle w:val="ExhibitText"/>
              <w:rPr>
                <w:b/>
                <w:bCs/>
                <w:color w:val="000000"/>
                <w:sz w:val="18"/>
                <w:szCs w:val="18"/>
                <w:lang w:val="en-GB" w:eastAsia="en-IN"/>
              </w:rPr>
            </w:pPr>
            <w:r w:rsidRPr="001F64CE">
              <w:rPr>
                <w:b/>
                <w:bCs/>
                <w:color w:val="000000"/>
                <w:sz w:val="18"/>
                <w:szCs w:val="18"/>
                <w:lang w:val="en-GB" w:eastAsia="en-IN"/>
              </w:rPr>
              <w:t xml:space="preserve">Profit </w:t>
            </w:r>
            <w:r w:rsidR="002365FE" w:rsidRPr="001F64CE">
              <w:rPr>
                <w:b/>
                <w:bCs/>
                <w:color w:val="000000"/>
                <w:sz w:val="18"/>
                <w:szCs w:val="18"/>
                <w:lang w:val="en-GB" w:eastAsia="en-IN"/>
              </w:rPr>
              <w:t>Before Tax</w:t>
            </w:r>
          </w:p>
        </w:tc>
        <w:tc>
          <w:tcPr>
            <w:tcW w:w="2147" w:type="dxa"/>
            <w:shd w:val="clear" w:color="auto" w:fill="auto"/>
            <w:noWrap/>
            <w:vAlign w:val="bottom"/>
            <w:hideMark/>
          </w:tcPr>
          <w:p w14:paraId="77CBC727" w14:textId="77777777" w:rsidR="00DE7981" w:rsidRPr="001F64CE" w:rsidRDefault="00DE7981" w:rsidP="003C0A88">
            <w:pPr>
              <w:pStyle w:val="ExhibitText"/>
              <w:jc w:val="right"/>
              <w:rPr>
                <w:b/>
                <w:bCs/>
                <w:color w:val="000000"/>
                <w:sz w:val="18"/>
                <w:szCs w:val="18"/>
                <w:lang w:val="en-GB" w:eastAsia="en-IN"/>
              </w:rPr>
            </w:pPr>
            <w:r w:rsidRPr="001F64CE">
              <w:rPr>
                <w:b/>
                <w:bCs/>
                <w:color w:val="000000"/>
                <w:sz w:val="18"/>
                <w:szCs w:val="18"/>
                <w:lang w:val="en-GB" w:eastAsia="en-IN"/>
              </w:rPr>
              <w:t>29,910</w:t>
            </w:r>
          </w:p>
        </w:tc>
        <w:tc>
          <w:tcPr>
            <w:tcW w:w="1518" w:type="dxa"/>
            <w:shd w:val="clear" w:color="auto" w:fill="auto"/>
            <w:noWrap/>
            <w:vAlign w:val="bottom"/>
            <w:hideMark/>
          </w:tcPr>
          <w:p w14:paraId="5FA42D2F" w14:textId="77777777" w:rsidR="00DE7981" w:rsidRPr="001F64CE" w:rsidRDefault="00DE7981" w:rsidP="003C0A88">
            <w:pPr>
              <w:pStyle w:val="ExhibitText"/>
              <w:jc w:val="right"/>
              <w:rPr>
                <w:b/>
                <w:bCs/>
                <w:color w:val="000000"/>
                <w:sz w:val="18"/>
                <w:szCs w:val="18"/>
                <w:lang w:val="en-GB" w:eastAsia="en-IN"/>
              </w:rPr>
            </w:pPr>
            <w:r w:rsidRPr="001F64CE">
              <w:rPr>
                <w:b/>
                <w:bCs/>
                <w:color w:val="000000"/>
                <w:sz w:val="18"/>
                <w:szCs w:val="18"/>
                <w:lang w:val="en-GB" w:eastAsia="en-IN"/>
              </w:rPr>
              <w:t>21,462</w:t>
            </w:r>
          </w:p>
        </w:tc>
      </w:tr>
      <w:tr w:rsidR="00DE7981" w:rsidRPr="001F64CE" w14:paraId="35726370" w14:textId="77777777" w:rsidTr="00370907">
        <w:trPr>
          <w:trHeight w:val="241"/>
          <w:jc w:val="center"/>
        </w:trPr>
        <w:tc>
          <w:tcPr>
            <w:tcW w:w="4230" w:type="dxa"/>
            <w:shd w:val="clear" w:color="auto" w:fill="auto"/>
            <w:noWrap/>
            <w:vAlign w:val="bottom"/>
            <w:hideMark/>
          </w:tcPr>
          <w:p w14:paraId="48C064E2" w14:textId="69E58E04" w:rsidR="00DE7981" w:rsidRPr="001F64CE" w:rsidRDefault="00DE7981" w:rsidP="003C0A88">
            <w:pPr>
              <w:pStyle w:val="ExhibitText"/>
              <w:rPr>
                <w:color w:val="000000"/>
                <w:sz w:val="18"/>
                <w:szCs w:val="18"/>
                <w:lang w:val="en-GB" w:eastAsia="en-IN"/>
              </w:rPr>
            </w:pPr>
            <w:r w:rsidRPr="001F64CE">
              <w:rPr>
                <w:color w:val="000000"/>
                <w:sz w:val="18"/>
                <w:szCs w:val="18"/>
                <w:lang w:val="en-GB" w:eastAsia="en-IN"/>
              </w:rPr>
              <w:t xml:space="preserve">Current </w:t>
            </w:r>
            <w:r w:rsidR="002365FE" w:rsidRPr="001F64CE">
              <w:rPr>
                <w:color w:val="000000"/>
                <w:sz w:val="18"/>
                <w:szCs w:val="18"/>
                <w:lang w:val="en-GB" w:eastAsia="en-IN"/>
              </w:rPr>
              <w:t>Tax</w:t>
            </w:r>
          </w:p>
        </w:tc>
        <w:tc>
          <w:tcPr>
            <w:tcW w:w="2147" w:type="dxa"/>
            <w:shd w:val="clear" w:color="auto" w:fill="auto"/>
            <w:noWrap/>
            <w:vAlign w:val="bottom"/>
            <w:hideMark/>
          </w:tcPr>
          <w:p w14:paraId="17EB02CD"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6,324</w:t>
            </w:r>
          </w:p>
        </w:tc>
        <w:tc>
          <w:tcPr>
            <w:tcW w:w="1518" w:type="dxa"/>
            <w:shd w:val="clear" w:color="auto" w:fill="auto"/>
            <w:noWrap/>
            <w:vAlign w:val="bottom"/>
            <w:hideMark/>
          </w:tcPr>
          <w:p w14:paraId="2DD73E00"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4,138</w:t>
            </w:r>
          </w:p>
        </w:tc>
      </w:tr>
      <w:tr w:rsidR="00DE7981" w:rsidRPr="001F64CE" w14:paraId="13CC7E54" w14:textId="77777777" w:rsidTr="00370907">
        <w:trPr>
          <w:trHeight w:val="241"/>
          <w:jc w:val="center"/>
        </w:trPr>
        <w:tc>
          <w:tcPr>
            <w:tcW w:w="4230" w:type="dxa"/>
            <w:shd w:val="clear" w:color="auto" w:fill="auto"/>
            <w:noWrap/>
            <w:vAlign w:val="bottom"/>
            <w:hideMark/>
          </w:tcPr>
          <w:p w14:paraId="005D8693" w14:textId="77777777" w:rsidR="00DE7981" w:rsidRPr="001F64CE" w:rsidRDefault="00DE7981" w:rsidP="003C0A88">
            <w:pPr>
              <w:pStyle w:val="ExhibitText"/>
              <w:rPr>
                <w:color w:val="000000"/>
                <w:sz w:val="18"/>
                <w:szCs w:val="18"/>
                <w:lang w:val="en-GB" w:eastAsia="en-IN"/>
              </w:rPr>
            </w:pPr>
            <w:r w:rsidRPr="001F64CE">
              <w:rPr>
                <w:color w:val="000000"/>
                <w:sz w:val="18"/>
                <w:szCs w:val="18"/>
                <w:lang w:val="en-GB" w:eastAsia="en-IN"/>
              </w:rPr>
              <w:t>Deferred tax</w:t>
            </w:r>
          </w:p>
        </w:tc>
        <w:tc>
          <w:tcPr>
            <w:tcW w:w="2147" w:type="dxa"/>
            <w:shd w:val="clear" w:color="auto" w:fill="auto"/>
            <w:noWrap/>
            <w:vAlign w:val="bottom"/>
            <w:hideMark/>
          </w:tcPr>
          <w:p w14:paraId="1F006270" w14:textId="0526EE79" w:rsidR="00DE7981" w:rsidRPr="001F64CE" w:rsidRDefault="002365FE" w:rsidP="003C0A88">
            <w:pPr>
              <w:pStyle w:val="ExhibitText"/>
              <w:jc w:val="right"/>
              <w:rPr>
                <w:color w:val="000000"/>
                <w:sz w:val="18"/>
                <w:szCs w:val="18"/>
                <w:lang w:val="en-GB" w:eastAsia="en-IN"/>
              </w:rPr>
            </w:pPr>
            <w:r w:rsidRPr="001F64CE">
              <w:rPr>
                <w:color w:val="000000"/>
                <w:sz w:val="18"/>
                <w:szCs w:val="18"/>
                <w:lang w:val="en-GB" w:eastAsia="en-IN"/>
              </w:rPr>
              <w:t>−</w:t>
            </w:r>
            <w:r w:rsidR="00DE7981" w:rsidRPr="001F64CE">
              <w:rPr>
                <w:color w:val="000000"/>
                <w:sz w:val="18"/>
                <w:szCs w:val="18"/>
                <w:lang w:val="en-GB" w:eastAsia="en-IN"/>
              </w:rPr>
              <w:t>335</w:t>
            </w:r>
          </w:p>
        </w:tc>
        <w:tc>
          <w:tcPr>
            <w:tcW w:w="1518" w:type="dxa"/>
            <w:shd w:val="clear" w:color="auto" w:fill="auto"/>
            <w:noWrap/>
            <w:vAlign w:val="bottom"/>
            <w:hideMark/>
          </w:tcPr>
          <w:p w14:paraId="6CCD1C88"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972</w:t>
            </w:r>
          </w:p>
        </w:tc>
      </w:tr>
      <w:tr w:rsidR="00DE7981" w:rsidRPr="001F64CE" w14:paraId="73EE5FFB" w14:textId="77777777" w:rsidTr="00370907">
        <w:trPr>
          <w:trHeight w:val="241"/>
          <w:jc w:val="center"/>
        </w:trPr>
        <w:tc>
          <w:tcPr>
            <w:tcW w:w="4230" w:type="dxa"/>
            <w:shd w:val="clear" w:color="auto" w:fill="auto"/>
            <w:noWrap/>
            <w:vAlign w:val="bottom"/>
            <w:hideMark/>
          </w:tcPr>
          <w:p w14:paraId="271705CE" w14:textId="77777777" w:rsidR="00DE7981" w:rsidRPr="001F64CE" w:rsidRDefault="00DE7981" w:rsidP="003C0A88">
            <w:pPr>
              <w:pStyle w:val="ExhibitText"/>
              <w:rPr>
                <w:b/>
                <w:bCs/>
                <w:color w:val="000000"/>
                <w:sz w:val="18"/>
                <w:szCs w:val="18"/>
                <w:lang w:val="en-GB" w:eastAsia="en-IN"/>
              </w:rPr>
            </w:pPr>
            <w:r w:rsidRPr="001F64CE">
              <w:rPr>
                <w:b/>
                <w:bCs/>
                <w:color w:val="000000"/>
                <w:sz w:val="18"/>
                <w:szCs w:val="18"/>
                <w:lang w:val="en-GB" w:eastAsia="en-IN"/>
              </w:rPr>
              <w:t>Net Income</w:t>
            </w:r>
          </w:p>
        </w:tc>
        <w:tc>
          <w:tcPr>
            <w:tcW w:w="2147" w:type="dxa"/>
            <w:shd w:val="clear" w:color="auto" w:fill="auto"/>
            <w:noWrap/>
            <w:vAlign w:val="bottom"/>
            <w:hideMark/>
          </w:tcPr>
          <w:p w14:paraId="39466689" w14:textId="77777777" w:rsidR="00DE7981" w:rsidRPr="001F64CE" w:rsidRDefault="00DE7981" w:rsidP="003C0A88">
            <w:pPr>
              <w:pStyle w:val="ExhibitText"/>
              <w:jc w:val="right"/>
              <w:rPr>
                <w:b/>
                <w:bCs/>
                <w:color w:val="000000"/>
                <w:sz w:val="18"/>
                <w:szCs w:val="18"/>
                <w:lang w:val="en-GB" w:eastAsia="en-IN"/>
              </w:rPr>
            </w:pPr>
            <w:r w:rsidRPr="001F64CE">
              <w:rPr>
                <w:b/>
                <w:bCs/>
                <w:color w:val="000000"/>
                <w:sz w:val="18"/>
                <w:szCs w:val="18"/>
                <w:lang w:val="en-GB" w:eastAsia="en-IN"/>
              </w:rPr>
              <w:t>23,921</w:t>
            </w:r>
          </w:p>
        </w:tc>
        <w:tc>
          <w:tcPr>
            <w:tcW w:w="1518" w:type="dxa"/>
            <w:shd w:val="clear" w:color="auto" w:fill="auto"/>
            <w:noWrap/>
            <w:vAlign w:val="bottom"/>
            <w:hideMark/>
          </w:tcPr>
          <w:p w14:paraId="5CD8602C" w14:textId="77777777" w:rsidR="00DE7981" w:rsidRPr="001F64CE" w:rsidRDefault="00DE7981" w:rsidP="003C0A88">
            <w:pPr>
              <w:pStyle w:val="ExhibitText"/>
              <w:jc w:val="right"/>
              <w:rPr>
                <w:b/>
                <w:bCs/>
                <w:color w:val="000000"/>
                <w:sz w:val="18"/>
                <w:szCs w:val="18"/>
                <w:lang w:val="en-GB" w:eastAsia="en-IN"/>
              </w:rPr>
            </w:pPr>
            <w:r w:rsidRPr="001F64CE">
              <w:rPr>
                <w:b/>
                <w:bCs/>
                <w:color w:val="000000"/>
                <w:sz w:val="18"/>
                <w:szCs w:val="18"/>
                <w:lang w:val="en-GB" w:eastAsia="en-IN"/>
              </w:rPr>
              <w:t>16,352</w:t>
            </w:r>
          </w:p>
        </w:tc>
      </w:tr>
      <w:tr w:rsidR="00DE7981" w:rsidRPr="001F64CE" w14:paraId="0E04C2EB" w14:textId="77777777" w:rsidTr="00370907">
        <w:trPr>
          <w:trHeight w:val="241"/>
          <w:jc w:val="center"/>
        </w:trPr>
        <w:tc>
          <w:tcPr>
            <w:tcW w:w="4230" w:type="dxa"/>
            <w:shd w:val="clear" w:color="auto" w:fill="auto"/>
            <w:noWrap/>
            <w:vAlign w:val="bottom"/>
            <w:hideMark/>
          </w:tcPr>
          <w:p w14:paraId="1AE524E2" w14:textId="77777777" w:rsidR="00DE7981" w:rsidRPr="001F64CE" w:rsidRDefault="00DE7981" w:rsidP="003C0A88">
            <w:pPr>
              <w:pStyle w:val="ExhibitText"/>
              <w:rPr>
                <w:b/>
                <w:bCs/>
                <w:color w:val="000000"/>
                <w:sz w:val="18"/>
                <w:szCs w:val="18"/>
                <w:lang w:val="en-GB" w:eastAsia="en-IN"/>
              </w:rPr>
            </w:pPr>
          </w:p>
        </w:tc>
        <w:tc>
          <w:tcPr>
            <w:tcW w:w="3665" w:type="dxa"/>
            <w:gridSpan w:val="2"/>
            <w:shd w:val="clear" w:color="auto" w:fill="auto"/>
            <w:noWrap/>
            <w:vAlign w:val="bottom"/>
            <w:hideMark/>
          </w:tcPr>
          <w:p w14:paraId="63C4BFF3" w14:textId="0CE3EF7B" w:rsidR="00DE7981" w:rsidRPr="001F64CE" w:rsidRDefault="00DE7981" w:rsidP="003C0A88">
            <w:pPr>
              <w:pStyle w:val="ExhibitText"/>
              <w:rPr>
                <w:color w:val="000000"/>
                <w:sz w:val="18"/>
                <w:szCs w:val="18"/>
                <w:lang w:val="en-GB" w:eastAsia="en-IN"/>
              </w:rPr>
            </w:pPr>
          </w:p>
        </w:tc>
      </w:tr>
      <w:tr w:rsidR="00DE7981" w:rsidRPr="001F64CE" w14:paraId="4F35EE16" w14:textId="77777777" w:rsidTr="00370907">
        <w:trPr>
          <w:trHeight w:val="241"/>
          <w:jc w:val="center"/>
        </w:trPr>
        <w:tc>
          <w:tcPr>
            <w:tcW w:w="4230" w:type="dxa"/>
            <w:shd w:val="clear" w:color="auto" w:fill="auto"/>
            <w:noWrap/>
            <w:vAlign w:val="bottom"/>
            <w:hideMark/>
          </w:tcPr>
          <w:p w14:paraId="67B66B97" w14:textId="4197570C" w:rsidR="00DE7981" w:rsidRPr="001F64CE" w:rsidRDefault="005C4CF3" w:rsidP="003C0A88">
            <w:pPr>
              <w:pStyle w:val="ExhibitText"/>
              <w:rPr>
                <w:b/>
                <w:color w:val="000000"/>
                <w:sz w:val="18"/>
                <w:szCs w:val="18"/>
                <w:lang w:val="en-GB" w:eastAsia="en-IN"/>
              </w:rPr>
            </w:pPr>
            <w:r w:rsidRPr="001F64CE">
              <w:rPr>
                <w:b/>
                <w:color w:val="000000"/>
                <w:sz w:val="18"/>
                <w:szCs w:val="18"/>
                <w:lang w:val="en-GB" w:eastAsia="en-IN"/>
              </w:rPr>
              <w:t>As o</w:t>
            </w:r>
            <w:r w:rsidR="00F64C1B" w:rsidRPr="001F64CE">
              <w:rPr>
                <w:b/>
                <w:color w:val="000000"/>
                <w:sz w:val="18"/>
                <w:szCs w:val="18"/>
                <w:lang w:val="en-GB" w:eastAsia="en-IN"/>
              </w:rPr>
              <w:t>f</w:t>
            </w:r>
            <w:r w:rsidR="006A75C4" w:rsidRPr="001F64CE">
              <w:rPr>
                <w:b/>
                <w:color w:val="000000"/>
                <w:sz w:val="18"/>
                <w:szCs w:val="18"/>
                <w:lang w:val="en-GB" w:eastAsia="en-IN"/>
              </w:rPr>
              <w:t xml:space="preserve"> March 31</w:t>
            </w:r>
          </w:p>
        </w:tc>
        <w:tc>
          <w:tcPr>
            <w:tcW w:w="2147" w:type="dxa"/>
            <w:shd w:val="clear" w:color="auto" w:fill="auto"/>
            <w:noWrap/>
            <w:vAlign w:val="bottom"/>
            <w:hideMark/>
          </w:tcPr>
          <w:p w14:paraId="5C4A5EDD" w14:textId="77777777" w:rsidR="00DE7981" w:rsidRPr="002F1F01" w:rsidRDefault="00DE7981" w:rsidP="003C0A88">
            <w:pPr>
              <w:pStyle w:val="ExhibitText"/>
              <w:jc w:val="center"/>
              <w:rPr>
                <w:b/>
                <w:color w:val="000000"/>
                <w:sz w:val="18"/>
                <w:szCs w:val="18"/>
                <w:lang w:val="en-GB" w:eastAsia="en-IN"/>
              </w:rPr>
            </w:pPr>
            <w:r w:rsidRPr="002F1F01">
              <w:rPr>
                <w:b/>
                <w:color w:val="000000"/>
                <w:sz w:val="18"/>
                <w:szCs w:val="18"/>
                <w:lang w:val="en-GB" w:eastAsia="en-IN"/>
              </w:rPr>
              <w:t>2013</w:t>
            </w:r>
          </w:p>
        </w:tc>
        <w:tc>
          <w:tcPr>
            <w:tcW w:w="1518" w:type="dxa"/>
            <w:shd w:val="clear" w:color="auto" w:fill="auto"/>
            <w:noWrap/>
            <w:vAlign w:val="bottom"/>
            <w:hideMark/>
          </w:tcPr>
          <w:p w14:paraId="2C262A6A" w14:textId="77777777" w:rsidR="00DE7981" w:rsidRPr="002F1F01" w:rsidRDefault="00DE7981" w:rsidP="003C0A88">
            <w:pPr>
              <w:pStyle w:val="ExhibitText"/>
              <w:jc w:val="center"/>
              <w:rPr>
                <w:b/>
                <w:color w:val="000000"/>
                <w:sz w:val="18"/>
                <w:szCs w:val="18"/>
                <w:lang w:val="en-GB" w:eastAsia="en-IN"/>
              </w:rPr>
            </w:pPr>
            <w:r w:rsidRPr="002F1F01">
              <w:rPr>
                <w:b/>
                <w:color w:val="000000"/>
                <w:sz w:val="18"/>
                <w:szCs w:val="18"/>
                <w:lang w:val="en-GB" w:eastAsia="en-IN"/>
              </w:rPr>
              <w:t>2012</w:t>
            </w:r>
          </w:p>
        </w:tc>
      </w:tr>
      <w:tr w:rsidR="00DE7981" w:rsidRPr="001F64CE" w14:paraId="3608355D" w14:textId="77777777" w:rsidTr="00370907">
        <w:trPr>
          <w:trHeight w:val="241"/>
          <w:jc w:val="center"/>
        </w:trPr>
        <w:tc>
          <w:tcPr>
            <w:tcW w:w="4230" w:type="dxa"/>
            <w:shd w:val="clear" w:color="auto" w:fill="auto"/>
            <w:noWrap/>
            <w:vAlign w:val="bottom"/>
            <w:hideMark/>
          </w:tcPr>
          <w:p w14:paraId="62FBAA11" w14:textId="65F33EF3" w:rsidR="00DE7981" w:rsidRPr="001F64CE" w:rsidRDefault="00DE7981" w:rsidP="003C0A88">
            <w:pPr>
              <w:pStyle w:val="ExhibitText"/>
              <w:rPr>
                <w:b/>
                <w:bCs/>
                <w:color w:val="000000"/>
                <w:sz w:val="18"/>
                <w:szCs w:val="18"/>
                <w:lang w:val="en-GB" w:eastAsia="en-IN"/>
              </w:rPr>
            </w:pPr>
            <w:r w:rsidRPr="001F64CE">
              <w:rPr>
                <w:b/>
                <w:bCs/>
                <w:color w:val="000000"/>
                <w:sz w:val="18"/>
                <w:szCs w:val="18"/>
                <w:lang w:val="en-GB" w:eastAsia="en-IN"/>
              </w:rPr>
              <w:t>Shareholders</w:t>
            </w:r>
            <w:r w:rsidR="00F64C1B" w:rsidRPr="001F64CE">
              <w:rPr>
                <w:b/>
                <w:bCs/>
                <w:color w:val="000000"/>
                <w:sz w:val="18"/>
                <w:szCs w:val="18"/>
                <w:lang w:val="en-GB" w:eastAsia="en-IN"/>
              </w:rPr>
              <w:t>’</w:t>
            </w:r>
            <w:r w:rsidRPr="001F64CE">
              <w:rPr>
                <w:b/>
                <w:bCs/>
                <w:color w:val="000000"/>
                <w:sz w:val="18"/>
                <w:szCs w:val="18"/>
                <w:lang w:val="en-GB" w:eastAsia="en-IN"/>
              </w:rPr>
              <w:t xml:space="preserve"> Equity (</w:t>
            </w:r>
            <w:r w:rsidR="00012D90" w:rsidRPr="001F64CE">
              <w:rPr>
                <w:b/>
                <w:bCs/>
                <w:color w:val="000000"/>
                <w:sz w:val="18"/>
                <w:szCs w:val="18"/>
                <w:lang w:val="en-GB" w:eastAsia="en-IN"/>
              </w:rPr>
              <w:t>₹</w:t>
            </w:r>
            <w:r w:rsidRPr="001F64CE">
              <w:rPr>
                <w:b/>
                <w:bCs/>
                <w:color w:val="000000"/>
                <w:sz w:val="18"/>
                <w:szCs w:val="18"/>
                <w:lang w:val="en-GB" w:eastAsia="en-IN"/>
              </w:rPr>
              <w:t xml:space="preserve"> Million</w:t>
            </w:r>
            <w:r w:rsidR="002365FE" w:rsidRPr="001F64CE">
              <w:rPr>
                <w:b/>
                <w:bCs/>
                <w:color w:val="000000"/>
                <w:sz w:val="18"/>
                <w:szCs w:val="18"/>
                <w:lang w:val="en-GB" w:eastAsia="en-IN"/>
              </w:rPr>
              <w:t>s</w:t>
            </w:r>
            <w:r w:rsidRPr="001F64CE">
              <w:rPr>
                <w:b/>
                <w:bCs/>
                <w:color w:val="000000"/>
                <w:sz w:val="18"/>
                <w:szCs w:val="18"/>
                <w:lang w:val="en-GB" w:eastAsia="en-IN"/>
              </w:rPr>
              <w:t>)</w:t>
            </w:r>
          </w:p>
        </w:tc>
        <w:tc>
          <w:tcPr>
            <w:tcW w:w="2147" w:type="dxa"/>
            <w:shd w:val="clear" w:color="auto" w:fill="auto"/>
            <w:noWrap/>
            <w:vAlign w:val="bottom"/>
            <w:hideMark/>
          </w:tcPr>
          <w:p w14:paraId="6BB8337A"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185,789</w:t>
            </w:r>
          </w:p>
        </w:tc>
        <w:tc>
          <w:tcPr>
            <w:tcW w:w="1518" w:type="dxa"/>
            <w:shd w:val="clear" w:color="auto" w:fill="auto"/>
            <w:noWrap/>
            <w:vAlign w:val="bottom"/>
            <w:hideMark/>
          </w:tcPr>
          <w:p w14:paraId="149BBF57"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151,874</w:t>
            </w:r>
          </w:p>
        </w:tc>
      </w:tr>
      <w:tr w:rsidR="00DE7981" w:rsidRPr="001F64CE" w14:paraId="6170BF95" w14:textId="77777777" w:rsidTr="00370907">
        <w:trPr>
          <w:trHeight w:val="241"/>
          <w:jc w:val="center"/>
        </w:trPr>
        <w:tc>
          <w:tcPr>
            <w:tcW w:w="4230" w:type="dxa"/>
            <w:shd w:val="clear" w:color="auto" w:fill="auto"/>
            <w:noWrap/>
            <w:vAlign w:val="bottom"/>
            <w:hideMark/>
          </w:tcPr>
          <w:p w14:paraId="73F3F292" w14:textId="1CF4F384" w:rsidR="00DE7981" w:rsidRPr="001F64CE" w:rsidRDefault="002365FE" w:rsidP="003C0A88">
            <w:pPr>
              <w:pStyle w:val="ExhibitText"/>
              <w:rPr>
                <w:color w:val="000000"/>
                <w:sz w:val="18"/>
                <w:szCs w:val="18"/>
                <w:lang w:val="en-GB" w:eastAsia="en-IN"/>
              </w:rPr>
            </w:pPr>
            <w:r w:rsidRPr="001F64CE">
              <w:rPr>
                <w:color w:val="000000"/>
                <w:sz w:val="18"/>
                <w:szCs w:val="18"/>
                <w:lang w:val="en-GB" w:eastAsia="en-IN"/>
              </w:rPr>
              <w:t>Long-Term Borrowings</w:t>
            </w:r>
          </w:p>
        </w:tc>
        <w:tc>
          <w:tcPr>
            <w:tcW w:w="2147" w:type="dxa"/>
            <w:shd w:val="clear" w:color="auto" w:fill="auto"/>
            <w:noWrap/>
            <w:vAlign w:val="bottom"/>
            <w:hideMark/>
          </w:tcPr>
          <w:p w14:paraId="70ADB74F"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5,429</w:t>
            </w:r>
          </w:p>
        </w:tc>
        <w:tc>
          <w:tcPr>
            <w:tcW w:w="1518" w:type="dxa"/>
            <w:shd w:val="clear" w:color="auto" w:fill="auto"/>
            <w:noWrap/>
            <w:vAlign w:val="bottom"/>
            <w:hideMark/>
          </w:tcPr>
          <w:p w14:paraId="535E3DAC"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w:t>
            </w:r>
          </w:p>
        </w:tc>
      </w:tr>
      <w:tr w:rsidR="00DE7981" w:rsidRPr="001F64CE" w14:paraId="4C9BB2A4" w14:textId="77777777" w:rsidTr="00370907">
        <w:trPr>
          <w:trHeight w:val="241"/>
          <w:jc w:val="center"/>
        </w:trPr>
        <w:tc>
          <w:tcPr>
            <w:tcW w:w="4230" w:type="dxa"/>
            <w:shd w:val="clear" w:color="auto" w:fill="auto"/>
            <w:noWrap/>
            <w:vAlign w:val="bottom"/>
            <w:hideMark/>
          </w:tcPr>
          <w:p w14:paraId="3D7297A3" w14:textId="77777777" w:rsidR="00DE7981" w:rsidRPr="001F64CE" w:rsidRDefault="00DE7981" w:rsidP="003C0A88">
            <w:pPr>
              <w:pStyle w:val="ExhibitText"/>
              <w:rPr>
                <w:color w:val="000000"/>
                <w:sz w:val="18"/>
                <w:szCs w:val="18"/>
                <w:lang w:val="en-GB" w:eastAsia="en-IN"/>
              </w:rPr>
            </w:pPr>
            <w:r w:rsidRPr="001F64CE">
              <w:rPr>
                <w:color w:val="000000"/>
                <w:sz w:val="18"/>
                <w:szCs w:val="18"/>
                <w:lang w:val="en-GB" w:eastAsia="en-IN"/>
              </w:rPr>
              <w:t>Other Liabilities &amp; Provisions</w:t>
            </w:r>
          </w:p>
        </w:tc>
        <w:tc>
          <w:tcPr>
            <w:tcW w:w="2147" w:type="dxa"/>
            <w:shd w:val="clear" w:color="auto" w:fill="auto"/>
            <w:noWrap/>
            <w:vAlign w:val="bottom"/>
            <w:hideMark/>
          </w:tcPr>
          <w:p w14:paraId="70302041"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7,382</w:t>
            </w:r>
          </w:p>
        </w:tc>
        <w:tc>
          <w:tcPr>
            <w:tcW w:w="1518" w:type="dxa"/>
            <w:shd w:val="clear" w:color="auto" w:fill="auto"/>
            <w:noWrap/>
            <w:vAlign w:val="bottom"/>
            <w:hideMark/>
          </w:tcPr>
          <w:p w14:paraId="015247DE"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5,682</w:t>
            </w:r>
          </w:p>
        </w:tc>
      </w:tr>
      <w:tr w:rsidR="00DE7981" w:rsidRPr="001F64CE" w14:paraId="00DCAFFF" w14:textId="77777777" w:rsidTr="00370907">
        <w:trPr>
          <w:trHeight w:val="241"/>
          <w:jc w:val="center"/>
        </w:trPr>
        <w:tc>
          <w:tcPr>
            <w:tcW w:w="4230" w:type="dxa"/>
            <w:shd w:val="clear" w:color="auto" w:fill="auto"/>
            <w:noWrap/>
            <w:vAlign w:val="bottom"/>
            <w:hideMark/>
          </w:tcPr>
          <w:p w14:paraId="0C2110C1" w14:textId="77777777" w:rsidR="00DE7981" w:rsidRPr="001F64CE" w:rsidRDefault="00DE7981" w:rsidP="003C0A88">
            <w:pPr>
              <w:pStyle w:val="ExhibitText"/>
              <w:rPr>
                <w:color w:val="000000"/>
                <w:sz w:val="18"/>
                <w:szCs w:val="18"/>
                <w:lang w:val="en-GB" w:eastAsia="en-IN"/>
              </w:rPr>
            </w:pPr>
            <w:r w:rsidRPr="001F64CE">
              <w:rPr>
                <w:color w:val="000000"/>
                <w:sz w:val="18"/>
                <w:szCs w:val="18"/>
                <w:lang w:val="en-GB" w:eastAsia="en-IN"/>
              </w:rPr>
              <w:t>Total</w:t>
            </w:r>
          </w:p>
        </w:tc>
        <w:tc>
          <w:tcPr>
            <w:tcW w:w="2147" w:type="dxa"/>
            <w:shd w:val="clear" w:color="auto" w:fill="auto"/>
            <w:noWrap/>
            <w:vAlign w:val="bottom"/>
            <w:hideMark/>
          </w:tcPr>
          <w:p w14:paraId="6B8C6C84"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12,811</w:t>
            </w:r>
          </w:p>
        </w:tc>
        <w:tc>
          <w:tcPr>
            <w:tcW w:w="1518" w:type="dxa"/>
            <w:shd w:val="clear" w:color="auto" w:fill="auto"/>
            <w:noWrap/>
            <w:vAlign w:val="bottom"/>
            <w:hideMark/>
          </w:tcPr>
          <w:p w14:paraId="052BEAD5"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5,682</w:t>
            </w:r>
          </w:p>
        </w:tc>
      </w:tr>
      <w:tr w:rsidR="00DE7981" w:rsidRPr="001F64CE" w14:paraId="66AEEB2D" w14:textId="77777777" w:rsidTr="00370907">
        <w:trPr>
          <w:trHeight w:val="241"/>
          <w:jc w:val="center"/>
        </w:trPr>
        <w:tc>
          <w:tcPr>
            <w:tcW w:w="4230" w:type="dxa"/>
            <w:shd w:val="clear" w:color="auto" w:fill="auto"/>
            <w:noWrap/>
            <w:vAlign w:val="bottom"/>
            <w:hideMark/>
          </w:tcPr>
          <w:p w14:paraId="2D58691C" w14:textId="77777777" w:rsidR="00DE7981" w:rsidRPr="001F64CE" w:rsidRDefault="00DE7981" w:rsidP="003C0A88">
            <w:pPr>
              <w:pStyle w:val="ExhibitText"/>
              <w:rPr>
                <w:b/>
                <w:bCs/>
                <w:color w:val="000000"/>
                <w:sz w:val="18"/>
                <w:szCs w:val="18"/>
                <w:lang w:val="en-GB" w:eastAsia="en-IN"/>
              </w:rPr>
            </w:pPr>
            <w:r w:rsidRPr="001F64CE">
              <w:rPr>
                <w:b/>
                <w:bCs/>
                <w:color w:val="000000"/>
                <w:sz w:val="18"/>
                <w:szCs w:val="18"/>
                <w:lang w:val="en-GB" w:eastAsia="en-IN"/>
              </w:rPr>
              <w:t>Current Liabilities</w:t>
            </w:r>
          </w:p>
        </w:tc>
        <w:tc>
          <w:tcPr>
            <w:tcW w:w="2147" w:type="dxa"/>
            <w:shd w:val="clear" w:color="auto" w:fill="auto"/>
            <w:noWrap/>
            <w:vAlign w:val="bottom"/>
            <w:hideMark/>
          </w:tcPr>
          <w:p w14:paraId="33C515BD" w14:textId="77777777" w:rsidR="00DE7981" w:rsidRPr="001F64CE" w:rsidRDefault="00DE7981" w:rsidP="003C0A88">
            <w:pPr>
              <w:pStyle w:val="ExhibitText"/>
              <w:jc w:val="right"/>
              <w:rPr>
                <w:b/>
                <w:bCs/>
                <w:color w:val="000000"/>
                <w:sz w:val="18"/>
                <w:szCs w:val="18"/>
                <w:lang w:val="en-GB" w:eastAsia="en-IN"/>
              </w:rPr>
            </w:pPr>
          </w:p>
        </w:tc>
        <w:tc>
          <w:tcPr>
            <w:tcW w:w="1518" w:type="dxa"/>
            <w:shd w:val="clear" w:color="auto" w:fill="auto"/>
            <w:noWrap/>
            <w:vAlign w:val="bottom"/>
            <w:hideMark/>
          </w:tcPr>
          <w:p w14:paraId="2ADFCC57" w14:textId="77777777" w:rsidR="00DE7981" w:rsidRPr="001F64CE" w:rsidRDefault="00DE7981" w:rsidP="003C0A88">
            <w:pPr>
              <w:pStyle w:val="ExhibitText"/>
              <w:jc w:val="right"/>
              <w:rPr>
                <w:sz w:val="18"/>
                <w:szCs w:val="18"/>
                <w:lang w:val="en-GB" w:eastAsia="en-IN"/>
              </w:rPr>
            </w:pPr>
          </w:p>
        </w:tc>
      </w:tr>
      <w:tr w:rsidR="00DE7981" w:rsidRPr="001F64CE" w14:paraId="7D22F295" w14:textId="77777777" w:rsidTr="00370907">
        <w:trPr>
          <w:trHeight w:val="241"/>
          <w:jc w:val="center"/>
        </w:trPr>
        <w:tc>
          <w:tcPr>
            <w:tcW w:w="4230" w:type="dxa"/>
            <w:shd w:val="clear" w:color="auto" w:fill="auto"/>
            <w:noWrap/>
            <w:vAlign w:val="bottom"/>
            <w:hideMark/>
          </w:tcPr>
          <w:p w14:paraId="5F80FD11" w14:textId="5C9E5197" w:rsidR="00DE7981" w:rsidRPr="001F64CE" w:rsidRDefault="002365FE" w:rsidP="003C0A88">
            <w:pPr>
              <w:pStyle w:val="ExhibitText"/>
              <w:rPr>
                <w:color w:val="000000"/>
                <w:sz w:val="18"/>
                <w:szCs w:val="18"/>
                <w:lang w:val="en-GB" w:eastAsia="en-IN"/>
              </w:rPr>
            </w:pPr>
            <w:r w:rsidRPr="001F64CE">
              <w:rPr>
                <w:color w:val="000000"/>
                <w:sz w:val="18"/>
                <w:szCs w:val="18"/>
                <w:lang w:val="en-GB" w:eastAsia="en-IN"/>
              </w:rPr>
              <w:t>Short-Term Borrowings</w:t>
            </w:r>
          </w:p>
        </w:tc>
        <w:tc>
          <w:tcPr>
            <w:tcW w:w="2147" w:type="dxa"/>
            <w:shd w:val="clear" w:color="auto" w:fill="auto"/>
            <w:noWrap/>
            <w:vAlign w:val="bottom"/>
            <w:hideMark/>
          </w:tcPr>
          <w:p w14:paraId="727963EB"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8,463</w:t>
            </w:r>
          </w:p>
        </w:tc>
        <w:tc>
          <w:tcPr>
            <w:tcW w:w="1518" w:type="dxa"/>
            <w:shd w:val="clear" w:color="auto" w:fill="auto"/>
            <w:noWrap/>
            <w:vAlign w:val="bottom"/>
            <w:hideMark/>
          </w:tcPr>
          <w:p w14:paraId="35FB1A0B"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10,783</w:t>
            </w:r>
          </w:p>
        </w:tc>
      </w:tr>
      <w:tr w:rsidR="00DE7981" w:rsidRPr="001F64CE" w14:paraId="51314219" w14:textId="77777777" w:rsidTr="00370907">
        <w:trPr>
          <w:trHeight w:val="241"/>
          <w:jc w:val="center"/>
        </w:trPr>
        <w:tc>
          <w:tcPr>
            <w:tcW w:w="4230" w:type="dxa"/>
            <w:shd w:val="clear" w:color="auto" w:fill="auto"/>
            <w:noWrap/>
            <w:vAlign w:val="bottom"/>
            <w:hideMark/>
          </w:tcPr>
          <w:p w14:paraId="40C12F1F" w14:textId="77777777" w:rsidR="00DE7981" w:rsidRPr="001F64CE" w:rsidRDefault="00DE7981" w:rsidP="003C0A88">
            <w:pPr>
              <w:pStyle w:val="ExhibitText"/>
              <w:rPr>
                <w:color w:val="000000"/>
                <w:sz w:val="18"/>
                <w:szCs w:val="18"/>
                <w:lang w:val="en-GB" w:eastAsia="en-IN"/>
              </w:rPr>
            </w:pPr>
            <w:r w:rsidRPr="001F64CE">
              <w:rPr>
                <w:color w:val="000000"/>
                <w:sz w:val="18"/>
                <w:szCs w:val="18"/>
                <w:lang w:val="en-GB" w:eastAsia="en-IN"/>
              </w:rPr>
              <w:t>Payables</w:t>
            </w:r>
          </w:p>
        </w:tc>
        <w:tc>
          <w:tcPr>
            <w:tcW w:w="2147" w:type="dxa"/>
            <w:shd w:val="clear" w:color="auto" w:fill="auto"/>
            <w:noWrap/>
            <w:vAlign w:val="bottom"/>
            <w:hideMark/>
          </w:tcPr>
          <w:p w14:paraId="4E398ECE"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41,674</w:t>
            </w:r>
          </w:p>
        </w:tc>
        <w:tc>
          <w:tcPr>
            <w:tcW w:w="1518" w:type="dxa"/>
            <w:shd w:val="clear" w:color="auto" w:fill="auto"/>
            <w:noWrap/>
            <w:vAlign w:val="bottom"/>
            <w:hideMark/>
          </w:tcPr>
          <w:p w14:paraId="112846D0"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7,382</w:t>
            </w:r>
          </w:p>
        </w:tc>
      </w:tr>
      <w:tr w:rsidR="00DE7981" w:rsidRPr="001F64CE" w14:paraId="0E1865FE" w14:textId="77777777" w:rsidTr="00370907">
        <w:trPr>
          <w:trHeight w:val="241"/>
          <w:jc w:val="center"/>
        </w:trPr>
        <w:tc>
          <w:tcPr>
            <w:tcW w:w="4230" w:type="dxa"/>
            <w:shd w:val="clear" w:color="auto" w:fill="auto"/>
            <w:noWrap/>
            <w:vAlign w:val="bottom"/>
            <w:hideMark/>
          </w:tcPr>
          <w:p w14:paraId="69C19D2F" w14:textId="47E1DF90" w:rsidR="00DE7981" w:rsidRPr="001F64CE" w:rsidRDefault="00DE7981" w:rsidP="003C0A88">
            <w:pPr>
              <w:pStyle w:val="ExhibitText"/>
              <w:rPr>
                <w:color w:val="000000"/>
                <w:sz w:val="18"/>
                <w:szCs w:val="18"/>
                <w:lang w:val="en-GB" w:eastAsia="en-IN"/>
              </w:rPr>
            </w:pPr>
            <w:r w:rsidRPr="001F64CE">
              <w:rPr>
                <w:color w:val="000000"/>
                <w:sz w:val="18"/>
                <w:szCs w:val="18"/>
                <w:lang w:val="en-GB" w:eastAsia="en-IN"/>
              </w:rPr>
              <w:t xml:space="preserve">Other </w:t>
            </w:r>
            <w:r w:rsidR="002365FE" w:rsidRPr="001F64CE">
              <w:rPr>
                <w:color w:val="000000"/>
                <w:sz w:val="18"/>
                <w:szCs w:val="18"/>
                <w:lang w:val="en-GB" w:eastAsia="en-IN"/>
              </w:rPr>
              <w:t xml:space="preserve">Current Liabilities </w:t>
            </w:r>
            <w:r w:rsidRPr="001F64CE">
              <w:rPr>
                <w:color w:val="000000"/>
                <w:sz w:val="18"/>
                <w:szCs w:val="18"/>
                <w:lang w:val="en-GB" w:eastAsia="en-IN"/>
              </w:rPr>
              <w:t>&amp; Provisions</w:t>
            </w:r>
          </w:p>
        </w:tc>
        <w:tc>
          <w:tcPr>
            <w:tcW w:w="2147" w:type="dxa"/>
            <w:shd w:val="clear" w:color="auto" w:fill="auto"/>
            <w:noWrap/>
            <w:vAlign w:val="bottom"/>
            <w:hideMark/>
          </w:tcPr>
          <w:p w14:paraId="43B807B0"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18,143</w:t>
            </w:r>
          </w:p>
        </w:tc>
        <w:tc>
          <w:tcPr>
            <w:tcW w:w="1518" w:type="dxa"/>
            <w:shd w:val="clear" w:color="auto" w:fill="auto"/>
            <w:noWrap/>
            <w:vAlign w:val="bottom"/>
            <w:hideMark/>
          </w:tcPr>
          <w:p w14:paraId="060BCF32"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21,184</w:t>
            </w:r>
          </w:p>
        </w:tc>
      </w:tr>
      <w:tr w:rsidR="00DE7981" w:rsidRPr="001F64CE" w14:paraId="308B9962" w14:textId="77777777" w:rsidTr="00370907">
        <w:trPr>
          <w:trHeight w:val="241"/>
          <w:jc w:val="center"/>
        </w:trPr>
        <w:tc>
          <w:tcPr>
            <w:tcW w:w="4230" w:type="dxa"/>
            <w:shd w:val="clear" w:color="auto" w:fill="auto"/>
            <w:noWrap/>
            <w:vAlign w:val="bottom"/>
            <w:hideMark/>
          </w:tcPr>
          <w:p w14:paraId="590D76EC" w14:textId="77777777" w:rsidR="00DE7981" w:rsidRPr="001F64CE" w:rsidRDefault="00DE7981" w:rsidP="003C0A88">
            <w:pPr>
              <w:pStyle w:val="ExhibitText"/>
              <w:rPr>
                <w:color w:val="000000"/>
                <w:sz w:val="18"/>
                <w:szCs w:val="18"/>
                <w:lang w:val="en-GB" w:eastAsia="en-IN"/>
              </w:rPr>
            </w:pPr>
            <w:r w:rsidRPr="001F64CE">
              <w:rPr>
                <w:color w:val="000000"/>
                <w:sz w:val="18"/>
                <w:szCs w:val="18"/>
                <w:lang w:val="en-GB" w:eastAsia="en-IN"/>
              </w:rPr>
              <w:t>Total</w:t>
            </w:r>
          </w:p>
        </w:tc>
        <w:tc>
          <w:tcPr>
            <w:tcW w:w="2147" w:type="dxa"/>
            <w:shd w:val="clear" w:color="auto" w:fill="auto"/>
            <w:noWrap/>
            <w:vAlign w:val="bottom"/>
            <w:hideMark/>
          </w:tcPr>
          <w:p w14:paraId="749817AB"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68,280</w:t>
            </w:r>
          </w:p>
        </w:tc>
        <w:tc>
          <w:tcPr>
            <w:tcW w:w="1518" w:type="dxa"/>
            <w:shd w:val="clear" w:color="auto" w:fill="auto"/>
            <w:noWrap/>
            <w:vAlign w:val="bottom"/>
            <w:hideMark/>
          </w:tcPr>
          <w:p w14:paraId="09D0F675"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65,466</w:t>
            </w:r>
          </w:p>
        </w:tc>
      </w:tr>
      <w:tr w:rsidR="00DE7981" w:rsidRPr="001F64CE" w14:paraId="7D1D2688" w14:textId="77777777" w:rsidTr="00370907">
        <w:trPr>
          <w:trHeight w:val="241"/>
          <w:jc w:val="center"/>
        </w:trPr>
        <w:tc>
          <w:tcPr>
            <w:tcW w:w="4230" w:type="dxa"/>
            <w:shd w:val="clear" w:color="auto" w:fill="auto"/>
            <w:noWrap/>
            <w:vAlign w:val="bottom"/>
            <w:hideMark/>
          </w:tcPr>
          <w:p w14:paraId="768804E3" w14:textId="77777777" w:rsidR="00DE7981" w:rsidRPr="001F64CE" w:rsidRDefault="00DE7981" w:rsidP="003C0A88">
            <w:pPr>
              <w:pStyle w:val="ExhibitText"/>
              <w:rPr>
                <w:b/>
                <w:bCs/>
                <w:color w:val="000000"/>
                <w:sz w:val="18"/>
                <w:szCs w:val="18"/>
                <w:lang w:val="en-GB" w:eastAsia="en-IN"/>
              </w:rPr>
            </w:pPr>
            <w:r w:rsidRPr="001F64CE">
              <w:rPr>
                <w:b/>
                <w:bCs/>
                <w:color w:val="000000"/>
                <w:sz w:val="18"/>
                <w:szCs w:val="18"/>
                <w:lang w:val="en-GB" w:eastAsia="en-IN"/>
              </w:rPr>
              <w:t>Total Equity and Liabilities</w:t>
            </w:r>
          </w:p>
        </w:tc>
        <w:tc>
          <w:tcPr>
            <w:tcW w:w="2147" w:type="dxa"/>
            <w:shd w:val="clear" w:color="auto" w:fill="auto"/>
            <w:noWrap/>
            <w:vAlign w:val="bottom"/>
            <w:hideMark/>
          </w:tcPr>
          <w:p w14:paraId="5B3072D2" w14:textId="77777777" w:rsidR="00DE7981" w:rsidRPr="001F64CE" w:rsidRDefault="00DE7981" w:rsidP="003C0A88">
            <w:pPr>
              <w:pStyle w:val="ExhibitText"/>
              <w:jc w:val="right"/>
              <w:rPr>
                <w:b/>
                <w:bCs/>
                <w:color w:val="000000"/>
                <w:sz w:val="18"/>
                <w:szCs w:val="18"/>
                <w:lang w:val="en-GB" w:eastAsia="en-IN"/>
              </w:rPr>
            </w:pPr>
            <w:r w:rsidRPr="001F64CE">
              <w:rPr>
                <w:b/>
                <w:bCs/>
                <w:color w:val="000000"/>
                <w:sz w:val="18"/>
                <w:szCs w:val="18"/>
                <w:lang w:val="en-GB" w:eastAsia="en-IN"/>
              </w:rPr>
              <w:t>266,880</w:t>
            </w:r>
          </w:p>
        </w:tc>
        <w:tc>
          <w:tcPr>
            <w:tcW w:w="1518" w:type="dxa"/>
            <w:shd w:val="clear" w:color="auto" w:fill="auto"/>
            <w:noWrap/>
            <w:vAlign w:val="bottom"/>
            <w:hideMark/>
          </w:tcPr>
          <w:p w14:paraId="6CB1D3F4" w14:textId="77777777" w:rsidR="00DE7981" w:rsidRPr="001F64CE" w:rsidRDefault="00DE7981" w:rsidP="003C0A88">
            <w:pPr>
              <w:pStyle w:val="ExhibitText"/>
              <w:jc w:val="right"/>
              <w:rPr>
                <w:b/>
                <w:bCs/>
                <w:color w:val="000000"/>
                <w:sz w:val="18"/>
                <w:szCs w:val="18"/>
                <w:lang w:val="en-GB" w:eastAsia="en-IN"/>
              </w:rPr>
            </w:pPr>
            <w:r w:rsidRPr="001F64CE">
              <w:rPr>
                <w:b/>
                <w:bCs/>
                <w:color w:val="000000"/>
                <w:sz w:val="18"/>
                <w:szCs w:val="18"/>
                <w:lang w:val="en-GB" w:eastAsia="en-IN"/>
              </w:rPr>
              <w:t>223,022</w:t>
            </w:r>
          </w:p>
        </w:tc>
      </w:tr>
      <w:tr w:rsidR="00DE7981" w:rsidRPr="001F64CE" w14:paraId="20CAE1B2" w14:textId="77777777" w:rsidTr="00370907">
        <w:trPr>
          <w:trHeight w:val="241"/>
          <w:jc w:val="center"/>
        </w:trPr>
        <w:tc>
          <w:tcPr>
            <w:tcW w:w="4230" w:type="dxa"/>
            <w:shd w:val="clear" w:color="auto" w:fill="auto"/>
            <w:noWrap/>
            <w:vAlign w:val="bottom"/>
            <w:hideMark/>
          </w:tcPr>
          <w:p w14:paraId="625C2903" w14:textId="77777777" w:rsidR="00DE7981" w:rsidRPr="001F64CE" w:rsidRDefault="00DE7981" w:rsidP="003C0A88">
            <w:pPr>
              <w:pStyle w:val="ExhibitText"/>
              <w:rPr>
                <w:b/>
                <w:bCs/>
                <w:color w:val="000000"/>
                <w:sz w:val="18"/>
                <w:szCs w:val="18"/>
                <w:lang w:val="en-GB" w:eastAsia="en-IN"/>
              </w:rPr>
            </w:pPr>
            <w:r w:rsidRPr="001F64CE">
              <w:rPr>
                <w:b/>
                <w:bCs/>
                <w:color w:val="000000"/>
                <w:sz w:val="18"/>
                <w:szCs w:val="18"/>
                <w:lang w:val="en-GB" w:eastAsia="en-IN"/>
              </w:rPr>
              <w:t>Assets</w:t>
            </w:r>
          </w:p>
        </w:tc>
        <w:tc>
          <w:tcPr>
            <w:tcW w:w="2147" w:type="dxa"/>
            <w:shd w:val="clear" w:color="auto" w:fill="auto"/>
            <w:noWrap/>
            <w:vAlign w:val="bottom"/>
            <w:hideMark/>
          </w:tcPr>
          <w:p w14:paraId="049E50CE" w14:textId="77777777" w:rsidR="00DE7981" w:rsidRPr="001F64CE" w:rsidRDefault="00DE7981" w:rsidP="003C0A88">
            <w:pPr>
              <w:pStyle w:val="ExhibitText"/>
              <w:jc w:val="right"/>
              <w:rPr>
                <w:b/>
                <w:bCs/>
                <w:color w:val="000000"/>
                <w:sz w:val="18"/>
                <w:szCs w:val="18"/>
                <w:lang w:val="en-GB" w:eastAsia="en-IN"/>
              </w:rPr>
            </w:pPr>
          </w:p>
        </w:tc>
        <w:tc>
          <w:tcPr>
            <w:tcW w:w="1518" w:type="dxa"/>
            <w:shd w:val="clear" w:color="auto" w:fill="auto"/>
            <w:noWrap/>
            <w:vAlign w:val="bottom"/>
            <w:hideMark/>
          </w:tcPr>
          <w:p w14:paraId="488E93DA" w14:textId="77777777" w:rsidR="00DE7981" w:rsidRPr="001F64CE" w:rsidRDefault="00DE7981" w:rsidP="003C0A88">
            <w:pPr>
              <w:pStyle w:val="ExhibitText"/>
              <w:jc w:val="right"/>
              <w:rPr>
                <w:sz w:val="18"/>
                <w:szCs w:val="18"/>
                <w:lang w:val="en-GB" w:eastAsia="en-IN"/>
              </w:rPr>
            </w:pPr>
          </w:p>
        </w:tc>
      </w:tr>
      <w:tr w:rsidR="00DE7981" w:rsidRPr="001F64CE" w14:paraId="55E28820" w14:textId="77777777" w:rsidTr="00370907">
        <w:trPr>
          <w:trHeight w:val="241"/>
          <w:jc w:val="center"/>
        </w:trPr>
        <w:tc>
          <w:tcPr>
            <w:tcW w:w="4230" w:type="dxa"/>
            <w:shd w:val="clear" w:color="auto" w:fill="auto"/>
            <w:noWrap/>
            <w:vAlign w:val="bottom"/>
            <w:hideMark/>
          </w:tcPr>
          <w:p w14:paraId="224138CA" w14:textId="77777777" w:rsidR="00DE7981" w:rsidRPr="001F64CE" w:rsidRDefault="00DE7981" w:rsidP="003C0A88">
            <w:pPr>
              <w:pStyle w:val="ExhibitText"/>
              <w:rPr>
                <w:color w:val="000000"/>
                <w:sz w:val="18"/>
                <w:szCs w:val="18"/>
                <w:lang w:val="en-GB" w:eastAsia="en-IN"/>
              </w:rPr>
            </w:pPr>
            <w:r w:rsidRPr="001F64CE">
              <w:rPr>
                <w:color w:val="000000"/>
                <w:sz w:val="18"/>
                <w:szCs w:val="18"/>
                <w:lang w:val="en-GB" w:eastAsia="en-IN"/>
              </w:rPr>
              <w:t>Tangible Assets</w:t>
            </w:r>
          </w:p>
        </w:tc>
        <w:tc>
          <w:tcPr>
            <w:tcW w:w="2147" w:type="dxa"/>
            <w:shd w:val="clear" w:color="auto" w:fill="auto"/>
            <w:noWrap/>
            <w:vAlign w:val="bottom"/>
            <w:hideMark/>
          </w:tcPr>
          <w:p w14:paraId="3B2C7008"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115,187</w:t>
            </w:r>
          </w:p>
        </w:tc>
        <w:tc>
          <w:tcPr>
            <w:tcW w:w="1518" w:type="dxa"/>
            <w:shd w:val="clear" w:color="auto" w:fill="auto"/>
            <w:noWrap/>
            <w:vAlign w:val="bottom"/>
            <w:hideMark/>
          </w:tcPr>
          <w:p w14:paraId="32D2A3CC"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82,527</w:t>
            </w:r>
          </w:p>
        </w:tc>
      </w:tr>
      <w:tr w:rsidR="00DE7981" w:rsidRPr="001F64CE" w14:paraId="48E0CDDB" w14:textId="77777777" w:rsidTr="00370907">
        <w:trPr>
          <w:trHeight w:val="241"/>
          <w:jc w:val="center"/>
        </w:trPr>
        <w:tc>
          <w:tcPr>
            <w:tcW w:w="4230" w:type="dxa"/>
            <w:shd w:val="clear" w:color="auto" w:fill="auto"/>
            <w:noWrap/>
            <w:vAlign w:val="bottom"/>
            <w:hideMark/>
          </w:tcPr>
          <w:p w14:paraId="6E8D043F" w14:textId="77777777" w:rsidR="00DE7981" w:rsidRPr="001F64CE" w:rsidRDefault="00DE7981" w:rsidP="003C0A88">
            <w:pPr>
              <w:pStyle w:val="ExhibitText"/>
              <w:rPr>
                <w:color w:val="000000"/>
                <w:sz w:val="18"/>
                <w:szCs w:val="18"/>
                <w:lang w:val="en-GB" w:eastAsia="en-IN"/>
              </w:rPr>
            </w:pPr>
            <w:r w:rsidRPr="001F64CE">
              <w:rPr>
                <w:color w:val="000000"/>
                <w:sz w:val="18"/>
                <w:szCs w:val="18"/>
                <w:lang w:val="en-GB" w:eastAsia="en-IN"/>
              </w:rPr>
              <w:t>Intangible Assets</w:t>
            </w:r>
          </w:p>
        </w:tc>
        <w:tc>
          <w:tcPr>
            <w:tcW w:w="2147" w:type="dxa"/>
            <w:shd w:val="clear" w:color="auto" w:fill="auto"/>
            <w:noWrap/>
            <w:vAlign w:val="bottom"/>
            <w:hideMark/>
          </w:tcPr>
          <w:p w14:paraId="32E8CFCF"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2,227</w:t>
            </w:r>
          </w:p>
        </w:tc>
        <w:tc>
          <w:tcPr>
            <w:tcW w:w="1518" w:type="dxa"/>
            <w:shd w:val="clear" w:color="auto" w:fill="auto"/>
            <w:noWrap/>
            <w:vAlign w:val="bottom"/>
            <w:hideMark/>
          </w:tcPr>
          <w:p w14:paraId="287919D5"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2,099</w:t>
            </w:r>
          </w:p>
        </w:tc>
      </w:tr>
      <w:tr w:rsidR="00DE7981" w:rsidRPr="001F64CE" w14:paraId="75082E88" w14:textId="77777777" w:rsidTr="00370907">
        <w:trPr>
          <w:trHeight w:val="241"/>
          <w:jc w:val="center"/>
        </w:trPr>
        <w:tc>
          <w:tcPr>
            <w:tcW w:w="4230" w:type="dxa"/>
            <w:shd w:val="clear" w:color="auto" w:fill="auto"/>
            <w:noWrap/>
            <w:vAlign w:val="bottom"/>
            <w:hideMark/>
          </w:tcPr>
          <w:p w14:paraId="73461D5A" w14:textId="77777777" w:rsidR="00DE7981" w:rsidRPr="001F64CE" w:rsidRDefault="00DE7981" w:rsidP="003C0A88">
            <w:pPr>
              <w:pStyle w:val="ExhibitText"/>
              <w:rPr>
                <w:color w:val="000000"/>
                <w:sz w:val="18"/>
                <w:szCs w:val="18"/>
                <w:lang w:val="en-GB" w:eastAsia="en-IN"/>
              </w:rPr>
            </w:pPr>
            <w:r w:rsidRPr="001F64CE">
              <w:rPr>
                <w:color w:val="000000"/>
                <w:sz w:val="18"/>
                <w:szCs w:val="18"/>
                <w:lang w:val="en-GB" w:eastAsia="en-IN"/>
              </w:rPr>
              <w:t>Total</w:t>
            </w:r>
          </w:p>
        </w:tc>
        <w:tc>
          <w:tcPr>
            <w:tcW w:w="2147" w:type="dxa"/>
            <w:shd w:val="clear" w:color="auto" w:fill="auto"/>
            <w:noWrap/>
            <w:vAlign w:val="bottom"/>
            <w:hideMark/>
          </w:tcPr>
          <w:p w14:paraId="63E0FAE2"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117,414</w:t>
            </w:r>
          </w:p>
        </w:tc>
        <w:tc>
          <w:tcPr>
            <w:tcW w:w="1518" w:type="dxa"/>
            <w:shd w:val="clear" w:color="auto" w:fill="auto"/>
            <w:noWrap/>
            <w:vAlign w:val="bottom"/>
            <w:hideMark/>
          </w:tcPr>
          <w:p w14:paraId="49058D3D"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84,626</w:t>
            </w:r>
          </w:p>
        </w:tc>
      </w:tr>
      <w:tr w:rsidR="00DE7981" w:rsidRPr="001F64CE" w14:paraId="5B718EE4" w14:textId="77777777" w:rsidTr="00370907">
        <w:trPr>
          <w:trHeight w:val="241"/>
          <w:jc w:val="center"/>
        </w:trPr>
        <w:tc>
          <w:tcPr>
            <w:tcW w:w="4230" w:type="dxa"/>
            <w:shd w:val="clear" w:color="auto" w:fill="auto"/>
            <w:noWrap/>
            <w:vAlign w:val="bottom"/>
            <w:hideMark/>
          </w:tcPr>
          <w:p w14:paraId="55EDFB49" w14:textId="3F4A7C51" w:rsidR="00DE7981" w:rsidRPr="001F64CE" w:rsidRDefault="00DE7981" w:rsidP="003C0A88">
            <w:pPr>
              <w:pStyle w:val="ExhibitText"/>
              <w:rPr>
                <w:color w:val="000000"/>
                <w:sz w:val="18"/>
                <w:szCs w:val="18"/>
                <w:lang w:val="en-GB" w:eastAsia="en-IN"/>
              </w:rPr>
            </w:pPr>
            <w:r w:rsidRPr="001F64CE">
              <w:rPr>
                <w:color w:val="000000"/>
                <w:sz w:val="18"/>
                <w:szCs w:val="18"/>
                <w:lang w:val="en-GB" w:eastAsia="en-IN"/>
              </w:rPr>
              <w:t>Non-</w:t>
            </w:r>
            <w:r w:rsidR="002365FE" w:rsidRPr="001F64CE">
              <w:rPr>
                <w:color w:val="000000"/>
                <w:sz w:val="18"/>
                <w:szCs w:val="18"/>
                <w:lang w:val="en-GB" w:eastAsia="en-IN"/>
              </w:rPr>
              <w:t xml:space="preserve">Current </w:t>
            </w:r>
            <w:r w:rsidRPr="001F64CE">
              <w:rPr>
                <w:color w:val="000000"/>
                <w:sz w:val="18"/>
                <w:szCs w:val="18"/>
                <w:lang w:val="en-GB" w:eastAsia="en-IN"/>
              </w:rPr>
              <w:t>investments</w:t>
            </w:r>
          </w:p>
        </w:tc>
        <w:tc>
          <w:tcPr>
            <w:tcW w:w="2147" w:type="dxa"/>
            <w:shd w:val="clear" w:color="auto" w:fill="auto"/>
            <w:noWrap/>
            <w:vAlign w:val="bottom"/>
            <w:hideMark/>
          </w:tcPr>
          <w:p w14:paraId="25CDFE4E"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18,485</w:t>
            </w:r>
          </w:p>
        </w:tc>
        <w:tc>
          <w:tcPr>
            <w:tcW w:w="1518" w:type="dxa"/>
            <w:shd w:val="clear" w:color="auto" w:fill="auto"/>
            <w:noWrap/>
            <w:vAlign w:val="bottom"/>
            <w:hideMark/>
          </w:tcPr>
          <w:p w14:paraId="6AA1C78E"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13,933</w:t>
            </w:r>
          </w:p>
        </w:tc>
      </w:tr>
      <w:tr w:rsidR="00DE7981" w:rsidRPr="001F64CE" w14:paraId="4FB0AC6C" w14:textId="77777777" w:rsidTr="00370907">
        <w:trPr>
          <w:trHeight w:val="241"/>
          <w:jc w:val="center"/>
        </w:trPr>
        <w:tc>
          <w:tcPr>
            <w:tcW w:w="4230" w:type="dxa"/>
            <w:shd w:val="clear" w:color="auto" w:fill="auto"/>
            <w:noWrap/>
            <w:vAlign w:val="bottom"/>
            <w:hideMark/>
          </w:tcPr>
          <w:p w14:paraId="2E83A7C8" w14:textId="3D979793" w:rsidR="00DE7981" w:rsidRPr="001F64CE" w:rsidRDefault="00DE7981" w:rsidP="003C0A88">
            <w:pPr>
              <w:pStyle w:val="ExhibitText"/>
              <w:rPr>
                <w:color w:val="000000"/>
                <w:sz w:val="18"/>
                <w:szCs w:val="18"/>
                <w:lang w:val="en-GB" w:eastAsia="en-IN"/>
              </w:rPr>
            </w:pPr>
            <w:r w:rsidRPr="001F64CE">
              <w:rPr>
                <w:color w:val="000000"/>
                <w:sz w:val="18"/>
                <w:szCs w:val="18"/>
                <w:lang w:val="en-GB" w:eastAsia="en-IN"/>
              </w:rPr>
              <w:t xml:space="preserve">Other </w:t>
            </w:r>
            <w:r w:rsidR="002365FE" w:rsidRPr="001F64CE">
              <w:rPr>
                <w:color w:val="000000"/>
                <w:sz w:val="18"/>
                <w:szCs w:val="18"/>
                <w:lang w:val="en-GB" w:eastAsia="en-IN"/>
              </w:rPr>
              <w:t>Long-T</w:t>
            </w:r>
            <w:r w:rsidRPr="001F64CE">
              <w:rPr>
                <w:color w:val="000000"/>
                <w:sz w:val="18"/>
                <w:szCs w:val="18"/>
                <w:lang w:val="en-GB" w:eastAsia="en-IN"/>
              </w:rPr>
              <w:t xml:space="preserve">erm </w:t>
            </w:r>
            <w:r w:rsidR="002365FE" w:rsidRPr="001F64CE">
              <w:rPr>
                <w:color w:val="000000"/>
                <w:sz w:val="18"/>
                <w:szCs w:val="18"/>
                <w:lang w:val="en-GB" w:eastAsia="en-IN"/>
              </w:rPr>
              <w:t>Assets</w:t>
            </w:r>
          </w:p>
        </w:tc>
        <w:tc>
          <w:tcPr>
            <w:tcW w:w="2147" w:type="dxa"/>
            <w:shd w:val="clear" w:color="auto" w:fill="auto"/>
            <w:noWrap/>
            <w:vAlign w:val="bottom"/>
            <w:hideMark/>
          </w:tcPr>
          <w:p w14:paraId="0BC86D2A"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21,733</w:t>
            </w:r>
          </w:p>
        </w:tc>
        <w:tc>
          <w:tcPr>
            <w:tcW w:w="1518" w:type="dxa"/>
            <w:shd w:val="clear" w:color="auto" w:fill="auto"/>
            <w:noWrap/>
            <w:vAlign w:val="bottom"/>
            <w:hideMark/>
          </w:tcPr>
          <w:p w14:paraId="23109F01"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13,673</w:t>
            </w:r>
          </w:p>
        </w:tc>
      </w:tr>
      <w:tr w:rsidR="00DE7981" w:rsidRPr="001F64CE" w14:paraId="4FADD7FA" w14:textId="77777777" w:rsidTr="00370907">
        <w:trPr>
          <w:trHeight w:val="241"/>
          <w:jc w:val="center"/>
        </w:trPr>
        <w:tc>
          <w:tcPr>
            <w:tcW w:w="4230" w:type="dxa"/>
            <w:shd w:val="clear" w:color="auto" w:fill="auto"/>
            <w:noWrap/>
            <w:vAlign w:val="bottom"/>
            <w:hideMark/>
          </w:tcPr>
          <w:p w14:paraId="47D39AE1" w14:textId="77777777" w:rsidR="00DE7981" w:rsidRPr="001F64CE" w:rsidRDefault="00DE7981" w:rsidP="003C0A88">
            <w:pPr>
              <w:pStyle w:val="ExhibitText"/>
              <w:rPr>
                <w:color w:val="000000"/>
                <w:sz w:val="18"/>
                <w:szCs w:val="18"/>
                <w:lang w:val="en-GB" w:eastAsia="en-IN"/>
              </w:rPr>
            </w:pPr>
            <w:r w:rsidRPr="001F64CE">
              <w:rPr>
                <w:color w:val="000000"/>
                <w:sz w:val="18"/>
                <w:szCs w:val="18"/>
                <w:lang w:val="en-GB" w:eastAsia="en-IN"/>
              </w:rPr>
              <w:t>Total</w:t>
            </w:r>
          </w:p>
        </w:tc>
        <w:tc>
          <w:tcPr>
            <w:tcW w:w="2147" w:type="dxa"/>
            <w:shd w:val="clear" w:color="auto" w:fill="auto"/>
            <w:noWrap/>
            <w:vAlign w:val="bottom"/>
            <w:hideMark/>
          </w:tcPr>
          <w:p w14:paraId="1BE975F1"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157,632</w:t>
            </w:r>
          </w:p>
        </w:tc>
        <w:tc>
          <w:tcPr>
            <w:tcW w:w="1518" w:type="dxa"/>
            <w:shd w:val="clear" w:color="auto" w:fill="auto"/>
            <w:noWrap/>
            <w:vAlign w:val="bottom"/>
            <w:hideMark/>
          </w:tcPr>
          <w:p w14:paraId="665E6DF9"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112,232</w:t>
            </w:r>
          </w:p>
        </w:tc>
      </w:tr>
      <w:tr w:rsidR="00DE7981" w:rsidRPr="001F64CE" w14:paraId="6BAC8596" w14:textId="77777777" w:rsidTr="00370907">
        <w:trPr>
          <w:trHeight w:val="241"/>
          <w:jc w:val="center"/>
        </w:trPr>
        <w:tc>
          <w:tcPr>
            <w:tcW w:w="4230" w:type="dxa"/>
            <w:shd w:val="clear" w:color="auto" w:fill="auto"/>
            <w:noWrap/>
            <w:vAlign w:val="bottom"/>
            <w:hideMark/>
          </w:tcPr>
          <w:p w14:paraId="5B436896" w14:textId="77777777" w:rsidR="00DE7981" w:rsidRPr="001F64CE" w:rsidRDefault="00DE7981" w:rsidP="003C0A88">
            <w:pPr>
              <w:pStyle w:val="ExhibitText"/>
              <w:rPr>
                <w:b/>
                <w:bCs/>
                <w:color w:val="000000"/>
                <w:sz w:val="18"/>
                <w:szCs w:val="18"/>
                <w:lang w:val="en-GB" w:eastAsia="en-IN"/>
              </w:rPr>
            </w:pPr>
            <w:r w:rsidRPr="001F64CE">
              <w:rPr>
                <w:b/>
                <w:bCs/>
                <w:color w:val="000000"/>
                <w:sz w:val="18"/>
                <w:szCs w:val="18"/>
                <w:lang w:val="en-GB" w:eastAsia="en-IN"/>
              </w:rPr>
              <w:t>Current Assets</w:t>
            </w:r>
          </w:p>
        </w:tc>
        <w:tc>
          <w:tcPr>
            <w:tcW w:w="2147" w:type="dxa"/>
            <w:shd w:val="clear" w:color="auto" w:fill="auto"/>
            <w:noWrap/>
            <w:vAlign w:val="bottom"/>
            <w:hideMark/>
          </w:tcPr>
          <w:p w14:paraId="4410295E" w14:textId="77777777" w:rsidR="00DE7981" w:rsidRPr="001F64CE" w:rsidRDefault="00DE7981" w:rsidP="003C0A88">
            <w:pPr>
              <w:pStyle w:val="ExhibitText"/>
              <w:jc w:val="right"/>
              <w:rPr>
                <w:b/>
                <w:bCs/>
                <w:color w:val="000000"/>
                <w:sz w:val="18"/>
                <w:szCs w:val="18"/>
                <w:lang w:val="en-GB" w:eastAsia="en-IN"/>
              </w:rPr>
            </w:pPr>
          </w:p>
        </w:tc>
        <w:tc>
          <w:tcPr>
            <w:tcW w:w="1518" w:type="dxa"/>
            <w:shd w:val="clear" w:color="auto" w:fill="auto"/>
            <w:noWrap/>
            <w:vAlign w:val="bottom"/>
            <w:hideMark/>
          </w:tcPr>
          <w:p w14:paraId="3B0FE40C" w14:textId="77777777" w:rsidR="00DE7981" w:rsidRPr="001F64CE" w:rsidRDefault="00DE7981" w:rsidP="003C0A88">
            <w:pPr>
              <w:pStyle w:val="ExhibitText"/>
              <w:jc w:val="right"/>
              <w:rPr>
                <w:sz w:val="18"/>
                <w:szCs w:val="18"/>
                <w:lang w:val="en-GB" w:eastAsia="en-IN"/>
              </w:rPr>
            </w:pPr>
          </w:p>
        </w:tc>
      </w:tr>
      <w:tr w:rsidR="00DE7981" w:rsidRPr="001F64CE" w14:paraId="613B4B34" w14:textId="77777777" w:rsidTr="00370907">
        <w:trPr>
          <w:trHeight w:val="241"/>
          <w:jc w:val="center"/>
        </w:trPr>
        <w:tc>
          <w:tcPr>
            <w:tcW w:w="4230" w:type="dxa"/>
            <w:shd w:val="clear" w:color="auto" w:fill="auto"/>
            <w:noWrap/>
            <w:vAlign w:val="bottom"/>
            <w:hideMark/>
          </w:tcPr>
          <w:p w14:paraId="548DB48A" w14:textId="77777777" w:rsidR="00DE7981" w:rsidRPr="001F64CE" w:rsidRDefault="00DE7981" w:rsidP="003C0A88">
            <w:pPr>
              <w:pStyle w:val="ExhibitText"/>
              <w:rPr>
                <w:color w:val="000000"/>
                <w:sz w:val="18"/>
                <w:szCs w:val="18"/>
                <w:lang w:val="en-GB" w:eastAsia="en-IN"/>
              </w:rPr>
            </w:pPr>
            <w:r w:rsidRPr="001F64CE">
              <w:rPr>
                <w:color w:val="000000"/>
                <w:sz w:val="18"/>
                <w:szCs w:val="18"/>
                <w:lang w:val="en-GB" w:eastAsia="en-IN"/>
              </w:rPr>
              <w:t>Current Investments</w:t>
            </w:r>
          </w:p>
        </w:tc>
        <w:tc>
          <w:tcPr>
            <w:tcW w:w="2147" w:type="dxa"/>
            <w:shd w:val="clear" w:color="auto" w:fill="auto"/>
            <w:noWrap/>
            <w:vAlign w:val="bottom"/>
            <w:hideMark/>
          </w:tcPr>
          <w:p w14:paraId="5B540572"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52,298</w:t>
            </w:r>
          </w:p>
        </w:tc>
        <w:tc>
          <w:tcPr>
            <w:tcW w:w="1518" w:type="dxa"/>
            <w:shd w:val="clear" w:color="auto" w:fill="auto"/>
            <w:noWrap/>
            <w:vAlign w:val="bottom"/>
            <w:hideMark/>
          </w:tcPr>
          <w:p w14:paraId="4161D529"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47,541</w:t>
            </w:r>
          </w:p>
        </w:tc>
      </w:tr>
      <w:tr w:rsidR="00DE7981" w:rsidRPr="001F64CE" w14:paraId="42AB9814" w14:textId="77777777" w:rsidTr="00370907">
        <w:trPr>
          <w:trHeight w:val="241"/>
          <w:jc w:val="center"/>
        </w:trPr>
        <w:tc>
          <w:tcPr>
            <w:tcW w:w="4230" w:type="dxa"/>
            <w:shd w:val="clear" w:color="auto" w:fill="auto"/>
            <w:noWrap/>
            <w:vAlign w:val="bottom"/>
            <w:hideMark/>
          </w:tcPr>
          <w:p w14:paraId="3AC0E468" w14:textId="77777777" w:rsidR="00DE7981" w:rsidRPr="001F64CE" w:rsidRDefault="00DE7981" w:rsidP="003C0A88">
            <w:pPr>
              <w:pStyle w:val="ExhibitText"/>
              <w:rPr>
                <w:color w:val="000000"/>
                <w:sz w:val="18"/>
                <w:szCs w:val="18"/>
                <w:lang w:val="en-GB" w:eastAsia="en-IN"/>
              </w:rPr>
            </w:pPr>
            <w:r w:rsidRPr="001F64CE">
              <w:rPr>
                <w:color w:val="000000"/>
                <w:sz w:val="18"/>
                <w:szCs w:val="18"/>
                <w:lang w:val="en-GB" w:eastAsia="en-IN"/>
              </w:rPr>
              <w:t>Inventories</w:t>
            </w:r>
          </w:p>
        </w:tc>
        <w:tc>
          <w:tcPr>
            <w:tcW w:w="2147" w:type="dxa"/>
            <w:shd w:val="clear" w:color="auto" w:fill="auto"/>
            <w:noWrap/>
            <w:vAlign w:val="bottom"/>
            <w:hideMark/>
          </w:tcPr>
          <w:p w14:paraId="15072D72"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18,407</w:t>
            </w:r>
          </w:p>
        </w:tc>
        <w:tc>
          <w:tcPr>
            <w:tcW w:w="1518" w:type="dxa"/>
            <w:shd w:val="clear" w:color="auto" w:fill="auto"/>
            <w:noWrap/>
            <w:vAlign w:val="bottom"/>
            <w:hideMark/>
          </w:tcPr>
          <w:p w14:paraId="4F6722B7"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17,965</w:t>
            </w:r>
          </w:p>
        </w:tc>
      </w:tr>
      <w:tr w:rsidR="00DE7981" w:rsidRPr="001F64CE" w14:paraId="2616A50E" w14:textId="77777777" w:rsidTr="00370907">
        <w:trPr>
          <w:trHeight w:val="241"/>
          <w:jc w:val="center"/>
        </w:trPr>
        <w:tc>
          <w:tcPr>
            <w:tcW w:w="4230" w:type="dxa"/>
            <w:shd w:val="clear" w:color="auto" w:fill="auto"/>
            <w:noWrap/>
            <w:vAlign w:val="bottom"/>
            <w:hideMark/>
          </w:tcPr>
          <w:p w14:paraId="4BF609B0" w14:textId="77777777" w:rsidR="00DE7981" w:rsidRPr="001F64CE" w:rsidRDefault="00DE7981" w:rsidP="003C0A88">
            <w:pPr>
              <w:pStyle w:val="ExhibitText"/>
              <w:rPr>
                <w:color w:val="000000"/>
                <w:sz w:val="18"/>
                <w:szCs w:val="18"/>
                <w:lang w:val="en-GB" w:eastAsia="en-IN"/>
              </w:rPr>
            </w:pPr>
            <w:r w:rsidRPr="001F64CE">
              <w:rPr>
                <w:color w:val="000000"/>
                <w:sz w:val="18"/>
                <w:szCs w:val="18"/>
                <w:lang w:val="en-GB" w:eastAsia="en-IN"/>
              </w:rPr>
              <w:t>Receivables</w:t>
            </w:r>
          </w:p>
        </w:tc>
        <w:tc>
          <w:tcPr>
            <w:tcW w:w="2147" w:type="dxa"/>
            <w:shd w:val="clear" w:color="auto" w:fill="auto"/>
            <w:noWrap/>
            <w:vAlign w:val="bottom"/>
            <w:hideMark/>
          </w:tcPr>
          <w:p w14:paraId="38DE7749"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14,237</w:t>
            </w:r>
          </w:p>
        </w:tc>
        <w:tc>
          <w:tcPr>
            <w:tcW w:w="1518" w:type="dxa"/>
            <w:shd w:val="clear" w:color="auto" w:fill="auto"/>
            <w:noWrap/>
            <w:vAlign w:val="bottom"/>
            <w:hideMark/>
          </w:tcPr>
          <w:p w14:paraId="4992F6E6"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9,376</w:t>
            </w:r>
          </w:p>
        </w:tc>
      </w:tr>
      <w:tr w:rsidR="00DE7981" w:rsidRPr="001F64CE" w14:paraId="5DD70A3B" w14:textId="77777777" w:rsidTr="00370907">
        <w:trPr>
          <w:trHeight w:val="241"/>
          <w:jc w:val="center"/>
        </w:trPr>
        <w:tc>
          <w:tcPr>
            <w:tcW w:w="4230" w:type="dxa"/>
            <w:shd w:val="clear" w:color="auto" w:fill="auto"/>
            <w:noWrap/>
            <w:vAlign w:val="bottom"/>
            <w:hideMark/>
          </w:tcPr>
          <w:p w14:paraId="4DC6D936" w14:textId="13664B2C" w:rsidR="00DE7981" w:rsidRPr="001F64CE" w:rsidRDefault="00DE7981" w:rsidP="003C0A88">
            <w:pPr>
              <w:pStyle w:val="ExhibitText"/>
              <w:rPr>
                <w:color w:val="000000"/>
                <w:sz w:val="18"/>
                <w:szCs w:val="18"/>
                <w:lang w:val="en-GB" w:eastAsia="en-IN"/>
              </w:rPr>
            </w:pPr>
            <w:r w:rsidRPr="001F64CE">
              <w:rPr>
                <w:color w:val="000000"/>
                <w:sz w:val="18"/>
                <w:szCs w:val="18"/>
                <w:lang w:val="en-GB" w:eastAsia="en-IN"/>
              </w:rPr>
              <w:t xml:space="preserve">Cash and </w:t>
            </w:r>
            <w:r w:rsidR="002365FE" w:rsidRPr="001F64CE">
              <w:rPr>
                <w:color w:val="000000"/>
                <w:sz w:val="18"/>
                <w:szCs w:val="18"/>
                <w:lang w:val="en-GB" w:eastAsia="en-IN"/>
              </w:rPr>
              <w:t>Bank Balances</w:t>
            </w:r>
          </w:p>
        </w:tc>
        <w:tc>
          <w:tcPr>
            <w:tcW w:w="2147" w:type="dxa"/>
            <w:shd w:val="clear" w:color="auto" w:fill="auto"/>
            <w:noWrap/>
            <w:vAlign w:val="bottom"/>
            <w:hideMark/>
          </w:tcPr>
          <w:p w14:paraId="6087BF43"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7,750</w:t>
            </w:r>
          </w:p>
        </w:tc>
        <w:tc>
          <w:tcPr>
            <w:tcW w:w="1518" w:type="dxa"/>
            <w:shd w:val="clear" w:color="auto" w:fill="auto"/>
            <w:noWrap/>
            <w:vAlign w:val="bottom"/>
            <w:hideMark/>
          </w:tcPr>
          <w:p w14:paraId="52C15497"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24,361</w:t>
            </w:r>
          </w:p>
        </w:tc>
      </w:tr>
      <w:tr w:rsidR="00DE7981" w:rsidRPr="001F64CE" w14:paraId="19556AD9" w14:textId="77777777" w:rsidTr="00370907">
        <w:trPr>
          <w:trHeight w:val="241"/>
          <w:jc w:val="center"/>
        </w:trPr>
        <w:tc>
          <w:tcPr>
            <w:tcW w:w="4230" w:type="dxa"/>
            <w:shd w:val="clear" w:color="auto" w:fill="auto"/>
            <w:noWrap/>
            <w:vAlign w:val="bottom"/>
            <w:hideMark/>
          </w:tcPr>
          <w:p w14:paraId="1DB0706C" w14:textId="77777777" w:rsidR="00DE7981" w:rsidRPr="001F64CE" w:rsidRDefault="00DE7981" w:rsidP="003C0A88">
            <w:pPr>
              <w:pStyle w:val="ExhibitText"/>
              <w:rPr>
                <w:color w:val="000000"/>
                <w:sz w:val="18"/>
                <w:szCs w:val="18"/>
                <w:lang w:val="en-GB" w:eastAsia="en-IN"/>
              </w:rPr>
            </w:pPr>
            <w:r w:rsidRPr="001F64CE">
              <w:rPr>
                <w:color w:val="000000"/>
                <w:sz w:val="18"/>
                <w:szCs w:val="18"/>
                <w:lang w:val="en-GB" w:eastAsia="en-IN"/>
              </w:rPr>
              <w:t>Other Current Assets</w:t>
            </w:r>
          </w:p>
        </w:tc>
        <w:tc>
          <w:tcPr>
            <w:tcW w:w="2147" w:type="dxa"/>
            <w:shd w:val="clear" w:color="auto" w:fill="auto"/>
            <w:noWrap/>
            <w:vAlign w:val="bottom"/>
            <w:hideMark/>
          </w:tcPr>
          <w:p w14:paraId="14D5A3CC"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16,556</w:t>
            </w:r>
          </w:p>
        </w:tc>
        <w:tc>
          <w:tcPr>
            <w:tcW w:w="1518" w:type="dxa"/>
            <w:shd w:val="clear" w:color="auto" w:fill="auto"/>
            <w:noWrap/>
            <w:vAlign w:val="bottom"/>
            <w:hideMark/>
          </w:tcPr>
          <w:p w14:paraId="62F9844D"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11,547</w:t>
            </w:r>
          </w:p>
        </w:tc>
      </w:tr>
      <w:tr w:rsidR="00DE7981" w:rsidRPr="001F64CE" w14:paraId="1AEE3F1C" w14:textId="77777777" w:rsidTr="00370907">
        <w:trPr>
          <w:trHeight w:val="241"/>
          <w:jc w:val="center"/>
        </w:trPr>
        <w:tc>
          <w:tcPr>
            <w:tcW w:w="4230" w:type="dxa"/>
            <w:shd w:val="clear" w:color="auto" w:fill="auto"/>
            <w:noWrap/>
            <w:vAlign w:val="bottom"/>
            <w:hideMark/>
          </w:tcPr>
          <w:p w14:paraId="7CF0B762" w14:textId="77777777" w:rsidR="00DE7981" w:rsidRPr="001F64CE" w:rsidRDefault="00DE7981" w:rsidP="003C0A88">
            <w:pPr>
              <w:pStyle w:val="ExhibitText"/>
              <w:rPr>
                <w:color w:val="000000"/>
                <w:sz w:val="18"/>
                <w:szCs w:val="18"/>
                <w:lang w:val="en-GB" w:eastAsia="en-IN"/>
              </w:rPr>
            </w:pPr>
            <w:r w:rsidRPr="001F64CE">
              <w:rPr>
                <w:color w:val="000000"/>
                <w:sz w:val="18"/>
                <w:szCs w:val="18"/>
                <w:lang w:val="en-GB" w:eastAsia="en-IN"/>
              </w:rPr>
              <w:t>Total</w:t>
            </w:r>
          </w:p>
        </w:tc>
        <w:tc>
          <w:tcPr>
            <w:tcW w:w="2147" w:type="dxa"/>
            <w:shd w:val="clear" w:color="auto" w:fill="auto"/>
            <w:noWrap/>
            <w:vAlign w:val="bottom"/>
            <w:hideMark/>
          </w:tcPr>
          <w:p w14:paraId="39B81F6A"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109,248</w:t>
            </w:r>
          </w:p>
        </w:tc>
        <w:tc>
          <w:tcPr>
            <w:tcW w:w="1518" w:type="dxa"/>
            <w:shd w:val="clear" w:color="auto" w:fill="auto"/>
            <w:noWrap/>
            <w:vAlign w:val="bottom"/>
            <w:hideMark/>
          </w:tcPr>
          <w:p w14:paraId="679A063D" w14:textId="77777777" w:rsidR="00DE7981" w:rsidRPr="001F64CE" w:rsidRDefault="00DE7981" w:rsidP="003C0A88">
            <w:pPr>
              <w:pStyle w:val="ExhibitText"/>
              <w:jc w:val="right"/>
              <w:rPr>
                <w:color w:val="000000"/>
                <w:sz w:val="18"/>
                <w:szCs w:val="18"/>
                <w:lang w:val="en-GB" w:eastAsia="en-IN"/>
              </w:rPr>
            </w:pPr>
            <w:r w:rsidRPr="001F64CE">
              <w:rPr>
                <w:color w:val="000000"/>
                <w:sz w:val="18"/>
                <w:szCs w:val="18"/>
                <w:lang w:val="en-GB" w:eastAsia="en-IN"/>
              </w:rPr>
              <w:t>110,790</w:t>
            </w:r>
          </w:p>
        </w:tc>
      </w:tr>
      <w:tr w:rsidR="00DE7981" w:rsidRPr="001F64CE" w14:paraId="0AB0C1DF" w14:textId="77777777" w:rsidTr="00370907">
        <w:trPr>
          <w:trHeight w:val="241"/>
          <w:jc w:val="center"/>
        </w:trPr>
        <w:tc>
          <w:tcPr>
            <w:tcW w:w="4230" w:type="dxa"/>
            <w:shd w:val="clear" w:color="auto" w:fill="auto"/>
            <w:noWrap/>
            <w:vAlign w:val="bottom"/>
            <w:hideMark/>
          </w:tcPr>
          <w:p w14:paraId="40F7CCB2" w14:textId="77777777" w:rsidR="00DE7981" w:rsidRPr="001F64CE" w:rsidRDefault="00DE7981" w:rsidP="003C0A88">
            <w:pPr>
              <w:pStyle w:val="ExhibitText"/>
              <w:rPr>
                <w:b/>
                <w:bCs/>
                <w:color w:val="000000"/>
                <w:sz w:val="18"/>
                <w:szCs w:val="18"/>
                <w:lang w:val="en-GB" w:eastAsia="en-IN"/>
              </w:rPr>
            </w:pPr>
            <w:r w:rsidRPr="001F64CE">
              <w:rPr>
                <w:b/>
                <w:bCs/>
                <w:color w:val="000000"/>
                <w:sz w:val="18"/>
                <w:szCs w:val="18"/>
                <w:lang w:val="en-GB" w:eastAsia="en-IN"/>
              </w:rPr>
              <w:t>Total Assets</w:t>
            </w:r>
          </w:p>
        </w:tc>
        <w:tc>
          <w:tcPr>
            <w:tcW w:w="2147" w:type="dxa"/>
            <w:shd w:val="clear" w:color="auto" w:fill="auto"/>
            <w:noWrap/>
            <w:vAlign w:val="bottom"/>
            <w:hideMark/>
          </w:tcPr>
          <w:p w14:paraId="7D7492FD" w14:textId="77777777" w:rsidR="00DE7981" w:rsidRPr="001F64CE" w:rsidRDefault="00DE7981" w:rsidP="003C0A88">
            <w:pPr>
              <w:pStyle w:val="ExhibitText"/>
              <w:jc w:val="right"/>
              <w:rPr>
                <w:b/>
                <w:bCs/>
                <w:color w:val="000000"/>
                <w:sz w:val="18"/>
                <w:szCs w:val="18"/>
                <w:lang w:val="en-GB" w:eastAsia="en-IN"/>
              </w:rPr>
            </w:pPr>
            <w:r w:rsidRPr="001F64CE">
              <w:rPr>
                <w:b/>
                <w:bCs/>
                <w:color w:val="000000"/>
                <w:sz w:val="18"/>
                <w:szCs w:val="18"/>
                <w:lang w:val="en-GB" w:eastAsia="en-IN"/>
              </w:rPr>
              <w:t>266,880</w:t>
            </w:r>
          </w:p>
        </w:tc>
        <w:tc>
          <w:tcPr>
            <w:tcW w:w="1518" w:type="dxa"/>
            <w:shd w:val="clear" w:color="auto" w:fill="auto"/>
            <w:noWrap/>
            <w:vAlign w:val="bottom"/>
            <w:hideMark/>
          </w:tcPr>
          <w:p w14:paraId="7C37FB4D" w14:textId="77777777" w:rsidR="00DE7981" w:rsidRPr="001F64CE" w:rsidRDefault="00DE7981" w:rsidP="003C0A88">
            <w:pPr>
              <w:pStyle w:val="ExhibitText"/>
              <w:jc w:val="right"/>
              <w:rPr>
                <w:b/>
                <w:bCs/>
                <w:color w:val="000000"/>
                <w:sz w:val="18"/>
                <w:szCs w:val="18"/>
                <w:lang w:val="en-GB" w:eastAsia="en-IN"/>
              </w:rPr>
            </w:pPr>
            <w:r w:rsidRPr="001F64CE">
              <w:rPr>
                <w:b/>
                <w:bCs/>
                <w:color w:val="000000"/>
                <w:sz w:val="18"/>
                <w:szCs w:val="18"/>
                <w:lang w:val="en-GB" w:eastAsia="en-IN"/>
              </w:rPr>
              <w:t>223,022</w:t>
            </w:r>
          </w:p>
        </w:tc>
      </w:tr>
    </w:tbl>
    <w:p w14:paraId="3A0A3618" w14:textId="77777777" w:rsidR="00DE7981" w:rsidRPr="001F64CE" w:rsidRDefault="00DE7981" w:rsidP="003C0A88">
      <w:pPr>
        <w:ind w:left="144" w:right="144"/>
        <w:rPr>
          <w:lang w:val="en-GB"/>
        </w:rPr>
      </w:pPr>
    </w:p>
    <w:p w14:paraId="135F59FB" w14:textId="373BFFB8" w:rsidR="005D3011" w:rsidRDefault="00DE7981" w:rsidP="003C0A88">
      <w:pPr>
        <w:pStyle w:val="ExhibitHeading"/>
        <w:rPr>
          <w:rFonts w:eastAsia="Batang"/>
          <w:lang w:val="en-GB"/>
        </w:rPr>
      </w:pPr>
      <w:r w:rsidRPr="001F64CE">
        <w:rPr>
          <w:lang w:val="en-GB"/>
        </w:rPr>
        <w:br w:type="page"/>
      </w:r>
      <w:r w:rsidRPr="001F64CE">
        <w:rPr>
          <w:lang w:val="en-GB"/>
        </w:rPr>
        <w:lastRenderedPageBreak/>
        <w:t>Exhibit 2</w:t>
      </w:r>
      <w:r w:rsidR="002365FE" w:rsidRPr="001F64CE">
        <w:rPr>
          <w:lang w:val="en-GB"/>
        </w:rPr>
        <w:t xml:space="preserve"> (</w:t>
      </w:r>
      <w:r w:rsidR="006F08DD" w:rsidRPr="001F64CE">
        <w:rPr>
          <w:lang w:val="en-GB"/>
        </w:rPr>
        <w:t>continued</w:t>
      </w:r>
      <w:r w:rsidR="002365FE" w:rsidRPr="001F64CE">
        <w:rPr>
          <w:lang w:val="en-GB"/>
        </w:rPr>
        <w:t>)</w:t>
      </w:r>
      <w:r w:rsidR="005D3011" w:rsidRPr="001F64CE">
        <w:rPr>
          <w:rFonts w:eastAsia="Batang"/>
          <w:lang w:val="en-GB"/>
        </w:rPr>
        <w:t xml:space="preserve"> </w:t>
      </w:r>
    </w:p>
    <w:p w14:paraId="0D3AF403" w14:textId="77777777" w:rsidR="00014C38" w:rsidRDefault="00014C38" w:rsidP="003C0A88">
      <w:pPr>
        <w:pStyle w:val="ExhibitHeading"/>
        <w:rPr>
          <w:rFonts w:eastAsia="Batang"/>
          <w:lang w:val="en-GB"/>
        </w:rPr>
      </w:pPr>
    </w:p>
    <w:p w14:paraId="29AFBFC7" w14:textId="565D00F8" w:rsidR="00014C38" w:rsidRPr="001F64CE" w:rsidRDefault="00014C38" w:rsidP="00014C38">
      <w:pPr>
        <w:pStyle w:val="Casehead2"/>
        <w:rPr>
          <w:rFonts w:eastAsia="Batang"/>
          <w:lang w:val="en-GB"/>
        </w:rPr>
      </w:pPr>
      <w:r>
        <w:rPr>
          <w:rFonts w:eastAsia="Batang"/>
          <w:lang w:val="en-GB"/>
        </w:rPr>
        <w:t>Quarter Results</w:t>
      </w:r>
    </w:p>
    <w:p w14:paraId="2981982F" w14:textId="379BE5E5" w:rsidR="00DE7981" w:rsidRPr="001F64CE" w:rsidRDefault="00DE7981" w:rsidP="003C0A88">
      <w:pPr>
        <w:pStyle w:val="ExhibitHeading"/>
        <w:rPr>
          <w:lang w:val="en-GB"/>
        </w:rPr>
      </w:pPr>
      <w:r w:rsidRPr="001F64CE">
        <w:rPr>
          <w:lang w:val="en-GB"/>
        </w:rPr>
        <w:t xml:space="preserve"> </w:t>
      </w:r>
    </w:p>
    <w:tbl>
      <w:tblPr>
        <w:tblW w:w="79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6"/>
        <w:gridCol w:w="1184"/>
        <w:gridCol w:w="1184"/>
        <w:gridCol w:w="1184"/>
        <w:gridCol w:w="1184"/>
      </w:tblGrid>
      <w:tr w:rsidR="00DE7981" w:rsidRPr="001F64CE" w14:paraId="4B35837B" w14:textId="77777777" w:rsidTr="002F1F01">
        <w:trPr>
          <w:trHeight w:val="288"/>
          <w:jc w:val="center"/>
        </w:trPr>
        <w:tc>
          <w:tcPr>
            <w:tcW w:w="3176" w:type="dxa"/>
            <w:shd w:val="clear" w:color="auto" w:fill="auto"/>
            <w:noWrap/>
            <w:vAlign w:val="bottom"/>
            <w:hideMark/>
          </w:tcPr>
          <w:tbl>
            <w:tblPr>
              <w:tblW w:w="0" w:type="auto"/>
              <w:tblCellSpacing w:w="0" w:type="dxa"/>
              <w:tblCellMar>
                <w:left w:w="0" w:type="dxa"/>
                <w:right w:w="0" w:type="dxa"/>
              </w:tblCellMar>
              <w:tblLook w:val="04A0" w:firstRow="1" w:lastRow="0" w:firstColumn="1" w:lastColumn="0" w:noHBand="0" w:noVBand="1"/>
            </w:tblPr>
            <w:tblGrid>
              <w:gridCol w:w="2960"/>
            </w:tblGrid>
            <w:tr w:rsidR="00DE7981" w:rsidRPr="001F64CE" w14:paraId="0D463C35" w14:textId="77777777" w:rsidTr="003A5C51">
              <w:trPr>
                <w:trHeight w:val="288"/>
                <w:tblCellSpacing w:w="0" w:type="dxa"/>
              </w:trPr>
              <w:tc>
                <w:tcPr>
                  <w:tcW w:w="2960" w:type="dxa"/>
                  <w:tcBorders>
                    <w:top w:val="nil"/>
                    <w:left w:val="nil"/>
                    <w:bottom w:val="nil"/>
                    <w:right w:val="nil"/>
                  </w:tcBorders>
                  <w:shd w:val="clear" w:color="auto" w:fill="auto"/>
                  <w:noWrap/>
                  <w:vAlign w:val="bottom"/>
                  <w:hideMark/>
                </w:tcPr>
                <w:p w14:paraId="6BB80289" w14:textId="6FDF5CEF" w:rsidR="00DE7981" w:rsidRPr="002F1F01" w:rsidRDefault="00DE7981" w:rsidP="003C0A88">
                  <w:pPr>
                    <w:pStyle w:val="ExhibitText"/>
                    <w:jc w:val="center"/>
                    <w:rPr>
                      <w:b/>
                      <w:sz w:val="18"/>
                      <w:szCs w:val="18"/>
                      <w:lang w:val="en-GB" w:eastAsia="en-IN"/>
                    </w:rPr>
                  </w:pPr>
                  <w:r w:rsidRPr="002F1F01">
                    <w:rPr>
                      <w:b/>
                      <w:noProof/>
                      <w:sz w:val="18"/>
                      <w:szCs w:val="18"/>
                      <w:lang w:val="en-GB" w:eastAsia="en-GB"/>
                    </w:rPr>
                    <w:drawing>
                      <wp:anchor distT="0" distB="0" distL="114300" distR="114300" simplePos="0" relativeHeight="251655168" behindDoc="0" locked="0" layoutInCell="1" allowOverlap="1" wp14:anchorId="5F8EEC4B" wp14:editId="090BEE4A">
                        <wp:simplePos x="0" y="0"/>
                        <wp:positionH relativeFrom="column">
                          <wp:posOffset>0</wp:posOffset>
                        </wp:positionH>
                        <wp:positionV relativeFrom="paragraph">
                          <wp:posOffset>0</wp:posOffset>
                        </wp:positionV>
                        <wp:extent cx="53340" cy="45720"/>
                        <wp:effectExtent l="0" t="0" r="0" b="0"/>
                        <wp:wrapNone/>
                        <wp:docPr id="14" name="Picture 14" descr="http://img1.moneycontrol.com/images/blank.gif"/>
                        <wp:cNvGraphicFramePr/>
                        <a:graphic xmlns:a="http://schemas.openxmlformats.org/drawingml/2006/main">
                          <a:graphicData uri="http://schemas.openxmlformats.org/drawingml/2006/picture">
                            <pic:pic xmlns:pic="http://schemas.openxmlformats.org/drawingml/2006/picture">
                              <pic:nvPicPr>
                                <pic:cNvPr id="2" name="Picture 1" descr="http://img1.moneycontrol.com/images/blank.gif"/>
                                <pic:cNvPicPr>
                                  <a:picLocks noChangeAspect="1" noChangeArrowheads="1"/>
                                </pic:cNvPicPr>
                              </pic:nvPicPr>
                              <pic:blipFill>
                                <a:blip r:embed="rId12"/>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r w:rsidR="005D3011" w:rsidRPr="002F1F01">
                    <w:rPr>
                      <w:b/>
                      <w:sz w:val="18"/>
                      <w:szCs w:val="18"/>
                      <w:lang w:val="en-GB" w:eastAsia="en-IN"/>
                    </w:rPr>
                    <w:t>Quarter Ending</w:t>
                  </w:r>
                </w:p>
              </w:tc>
            </w:tr>
          </w:tbl>
          <w:p w14:paraId="5A80693C" w14:textId="77777777" w:rsidR="00DE7981" w:rsidRPr="002F1F01" w:rsidRDefault="00DE7981" w:rsidP="003C0A88">
            <w:pPr>
              <w:pStyle w:val="ExhibitText"/>
              <w:jc w:val="center"/>
              <w:rPr>
                <w:b/>
                <w:sz w:val="18"/>
                <w:szCs w:val="18"/>
                <w:lang w:val="en-GB" w:eastAsia="en-IN"/>
              </w:rPr>
            </w:pPr>
          </w:p>
        </w:tc>
        <w:tc>
          <w:tcPr>
            <w:tcW w:w="1184" w:type="dxa"/>
            <w:shd w:val="clear" w:color="auto" w:fill="auto"/>
            <w:noWrap/>
            <w:vAlign w:val="bottom"/>
            <w:hideMark/>
          </w:tcPr>
          <w:p w14:paraId="0B52148B" w14:textId="66FD40EC" w:rsidR="00DE7981" w:rsidRPr="002F1F01" w:rsidRDefault="00DE7981" w:rsidP="003C0A88">
            <w:pPr>
              <w:pStyle w:val="ExhibitText"/>
              <w:jc w:val="center"/>
              <w:rPr>
                <w:b/>
                <w:sz w:val="18"/>
                <w:szCs w:val="18"/>
                <w:lang w:val="en-GB" w:eastAsia="en-IN"/>
              </w:rPr>
            </w:pPr>
            <w:r w:rsidRPr="002F1F01">
              <w:rPr>
                <w:b/>
                <w:sz w:val="18"/>
                <w:szCs w:val="18"/>
                <w:lang w:val="en-GB" w:eastAsia="en-IN"/>
              </w:rPr>
              <w:t xml:space="preserve">Dec </w:t>
            </w:r>
            <w:r w:rsidR="00F64C1B" w:rsidRPr="002F1F01">
              <w:rPr>
                <w:b/>
                <w:sz w:val="18"/>
                <w:szCs w:val="18"/>
                <w:lang w:val="en-GB" w:eastAsia="en-IN"/>
              </w:rPr>
              <w:t>2013</w:t>
            </w:r>
          </w:p>
        </w:tc>
        <w:tc>
          <w:tcPr>
            <w:tcW w:w="1184" w:type="dxa"/>
            <w:shd w:val="clear" w:color="auto" w:fill="auto"/>
            <w:noWrap/>
            <w:vAlign w:val="bottom"/>
            <w:hideMark/>
          </w:tcPr>
          <w:p w14:paraId="66EAC1A1" w14:textId="1CB08091" w:rsidR="00DE7981" w:rsidRPr="002F1F01" w:rsidRDefault="00DE7981" w:rsidP="003C0A88">
            <w:pPr>
              <w:pStyle w:val="ExhibitText"/>
              <w:jc w:val="center"/>
              <w:rPr>
                <w:b/>
                <w:sz w:val="18"/>
                <w:szCs w:val="18"/>
                <w:lang w:val="en-GB" w:eastAsia="en-IN"/>
              </w:rPr>
            </w:pPr>
            <w:r w:rsidRPr="002F1F01">
              <w:rPr>
                <w:b/>
                <w:sz w:val="18"/>
                <w:szCs w:val="18"/>
                <w:lang w:val="en-GB" w:eastAsia="en-IN"/>
              </w:rPr>
              <w:t xml:space="preserve">Sep </w:t>
            </w:r>
            <w:r w:rsidR="00F64C1B" w:rsidRPr="002F1F01">
              <w:rPr>
                <w:b/>
                <w:sz w:val="18"/>
                <w:szCs w:val="18"/>
                <w:lang w:val="en-GB" w:eastAsia="en-IN"/>
              </w:rPr>
              <w:t>2013</w:t>
            </w:r>
          </w:p>
        </w:tc>
        <w:tc>
          <w:tcPr>
            <w:tcW w:w="1184" w:type="dxa"/>
            <w:shd w:val="clear" w:color="auto" w:fill="auto"/>
            <w:noWrap/>
            <w:vAlign w:val="bottom"/>
            <w:hideMark/>
          </w:tcPr>
          <w:p w14:paraId="571332FA" w14:textId="3A41048E" w:rsidR="00DE7981" w:rsidRPr="002F1F01" w:rsidRDefault="00DE7981" w:rsidP="003C0A88">
            <w:pPr>
              <w:pStyle w:val="ExhibitText"/>
              <w:jc w:val="center"/>
              <w:rPr>
                <w:b/>
                <w:sz w:val="18"/>
                <w:szCs w:val="18"/>
                <w:lang w:val="en-GB" w:eastAsia="en-IN"/>
              </w:rPr>
            </w:pPr>
            <w:r w:rsidRPr="002F1F01">
              <w:rPr>
                <w:b/>
                <w:sz w:val="18"/>
                <w:szCs w:val="18"/>
                <w:lang w:val="en-GB" w:eastAsia="en-IN"/>
              </w:rPr>
              <w:t xml:space="preserve">Jun </w:t>
            </w:r>
            <w:r w:rsidR="00F64C1B" w:rsidRPr="002F1F01">
              <w:rPr>
                <w:b/>
                <w:sz w:val="18"/>
                <w:szCs w:val="18"/>
                <w:lang w:val="en-GB" w:eastAsia="en-IN"/>
              </w:rPr>
              <w:t>2013</w:t>
            </w:r>
          </w:p>
        </w:tc>
        <w:tc>
          <w:tcPr>
            <w:tcW w:w="1184" w:type="dxa"/>
            <w:shd w:val="clear" w:color="auto" w:fill="auto"/>
            <w:noWrap/>
            <w:vAlign w:val="bottom"/>
            <w:hideMark/>
          </w:tcPr>
          <w:p w14:paraId="16977378" w14:textId="6B58992B" w:rsidR="00DE7981" w:rsidRPr="002F1F01" w:rsidRDefault="00DE7981" w:rsidP="003C0A88">
            <w:pPr>
              <w:pStyle w:val="ExhibitText"/>
              <w:jc w:val="center"/>
              <w:rPr>
                <w:b/>
                <w:sz w:val="18"/>
                <w:szCs w:val="18"/>
                <w:lang w:val="en-GB" w:eastAsia="en-IN"/>
              </w:rPr>
            </w:pPr>
            <w:r w:rsidRPr="002F1F01">
              <w:rPr>
                <w:b/>
                <w:sz w:val="18"/>
                <w:szCs w:val="18"/>
                <w:lang w:val="en-GB" w:eastAsia="en-IN"/>
              </w:rPr>
              <w:t xml:space="preserve">Mar </w:t>
            </w:r>
            <w:r w:rsidR="00F64C1B" w:rsidRPr="002F1F01">
              <w:rPr>
                <w:b/>
                <w:sz w:val="18"/>
                <w:szCs w:val="18"/>
                <w:lang w:val="en-GB" w:eastAsia="en-IN"/>
              </w:rPr>
              <w:t>2013</w:t>
            </w:r>
          </w:p>
        </w:tc>
      </w:tr>
      <w:tr w:rsidR="00DE7981" w:rsidRPr="001F64CE" w14:paraId="32D68BA7" w14:textId="77777777" w:rsidTr="002F1F01">
        <w:trPr>
          <w:trHeight w:val="288"/>
          <w:jc w:val="center"/>
        </w:trPr>
        <w:tc>
          <w:tcPr>
            <w:tcW w:w="3176" w:type="dxa"/>
            <w:shd w:val="clear" w:color="auto" w:fill="auto"/>
            <w:noWrap/>
            <w:vAlign w:val="bottom"/>
            <w:hideMark/>
          </w:tcPr>
          <w:p w14:paraId="5F01EB0F" w14:textId="7534B8C1" w:rsidR="00DE7981" w:rsidRPr="001F64CE" w:rsidRDefault="00DE7981" w:rsidP="003C0A88">
            <w:pPr>
              <w:pStyle w:val="ExhibitText"/>
              <w:rPr>
                <w:sz w:val="18"/>
                <w:szCs w:val="18"/>
                <w:lang w:val="en-GB" w:eastAsia="en-IN"/>
              </w:rPr>
            </w:pPr>
            <w:r w:rsidRPr="001F64CE">
              <w:rPr>
                <w:sz w:val="18"/>
                <w:szCs w:val="18"/>
                <w:lang w:val="en-GB" w:eastAsia="en-IN"/>
              </w:rPr>
              <w:t>Cars Sold (no</w:t>
            </w:r>
            <w:r w:rsidR="00F64C1B" w:rsidRPr="001F64CE">
              <w:rPr>
                <w:sz w:val="18"/>
                <w:szCs w:val="18"/>
                <w:lang w:val="en-GB" w:eastAsia="en-IN"/>
              </w:rPr>
              <w:t>.</w:t>
            </w:r>
            <w:r w:rsidRPr="001F64CE">
              <w:rPr>
                <w:sz w:val="18"/>
                <w:szCs w:val="18"/>
                <w:lang w:val="en-GB" w:eastAsia="en-IN"/>
              </w:rPr>
              <w:t>)</w:t>
            </w:r>
          </w:p>
        </w:tc>
        <w:tc>
          <w:tcPr>
            <w:tcW w:w="1184" w:type="dxa"/>
            <w:shd w:val="clear" w:color="auto" w:fill="auto"/>
            <w:noWrap/>
            <w:vAlign w:val="bottom"/>
            <w:hideMark/>
          </w:tcPr>
          <w:p w14:paraId="67A3956F" w14:textId="77777777" w:rsidR="00DE7981" w:rsidRPr="001F64CE" w:rsidRDefault="00DE7981" w:rsidP="003C0A88">
            <w:pPr>
              <w:pStyle w:val="ExhibitText"/>
              <w:jc w:val="right"/>
              <w:rPr>
                <w:sz w:val="18"/>
                <w:szCs w:val="18"/>
                <w:lang w:val="en-GB" w:eastAsia="en-IN"/>
              </w:rPr>
            </w:pPr>
            <w:r w:rsidRPr="001F64CE">
              <w:rPr>
                <w:sz w:val="18"/>
                <w:szCs w:val="18"/>
                <w:lang w:val="en-GB" w:eastAsia="en-IN"/>
              </w:rPr>
              <w:t>288,151</w:t>
            </w:r>
          </w:p>
        </w:tc>
        <w:tc>
          <w:tcPr>
            <w:tcW w:w="1184" w:type="dxa"/>
            <w:shd w:val="clear" w:color="auto" w:fill="auto"/>
            <w:noWrap/>
            <w:vAlign w:val="bottom"/>
            <w:hideMark/>
          </w:tcPr>
          <w:p w14:paraId="09A8AE40" w14:textId="77777777" w:rsidR="00DE7981" w:rsidRPr="001F64CE" w:rsidRDefault="00DE7981" w:rsidP="003C0A88">
            <w:pPr>
              <w:pStyle w:val="ExhibitText"/>
              <w:jc w:val="right"/>
              <w:rPr>
                <w:sz w:val="18"/>
                <w:szCs w:val="18"/>
                <w:lang w:val="en-GB" w:eastAsia="en-IN"/>
              </w:rPr>
            </w:pPr>
            <w:r w:rsidRPr="001F64CE">
              <w:rPr>
                <w:sz w:val="18"/>
                <w:szCs w:val="18"/>
                <w:lang w:val="en-GB" w:eastAsia="en-IN"/>
              </w:rPr>
              <w:t>275,586</w:t>
            </w:r>
          </w:p>
        </w:tc>
        <w:tc>
          <w:tcPr>
            <w:tcW w:w="1184" w:type="dxa"/>
            <w:shd w:val="clear" w:color="auto" w:fill="auto"/>
            <w:noWrap/>
            <w:vAlign w:val="bottom"/>
            <w:hideMark/>
          </w:tcPr>
          <w:p w14:paraId="27318872" w14:textId="77777777" w:rsidR="00DE7981" w:rsidRPr="001F64CE" w:rsidRDefault="00DE7981" w:rsidP="003C0A88">
            <w:pPr>
              <w:pStyle w:val="ExhibitText"/>
              <w:jc w:val="right"/>
              <w:rPr>
                <w:sz w:val="18"/>
                <w:szCs w:val="18"/>
                <w:lang w:val="en-GB" w:eastAsia="en-IN"/>
              </w:rPr>
            </w:pPr>
            <w:r w:rsidRPr="001F64CE">
              <w:rPr>
                <w:sz w:val="18"/>
                <w:szCs w:val="18"/>
                <w:lang w:val="en-GB" w:eastAsia="en-IN"/>
              </w:rPr>
              <w:t>266,434</w:t>
            </w:r>
          </w:p>
        </w:tc>
        <w:tc>
          <w:tcPr>
            <w:tcW w:w="1184" w:type="dxa"/>
            <w:shd w:val="clear" w:color="auto" w:fill="auto"/>
            <w:noWrap/>
            <w:vAlign w:val="bottom"/>
            <w:hideMark/>
          </w:tcPr>
          <w:p w14:paraId="324C43EC" w14:textId="77777777" w:rsidR="00DE7981" w:rsidRPr="001F64CE" w:rsidRDefault="00DE7981" w:rsidP="003C0A88">
            <w:pPr>
              <w:pStyle w:val="ExhibitText"/>
              <w:jc w:val="right"/>
              <w:rPr>
                <w:sz w:val="18"/>
                <w:szCs w:val="18"/>
                <w:lang w:val="en-GB" w:eastAsia="en-IN"/>
              </w:rPr>
            </w:pPr>
            <w:r w:rsidRPr="001F64CE">
              <w:rPr>
                <w:sz w:val="18"/>
                <w:szCs w:val="18"/>
                <w:lang w:val="en-GB" w:eastAsia="en-IN"/>
              </w:rPr>
              <w:t>343,709</w:t>
            </w:r>
          </w:p>
        </w:tc>
      </w:tr>
      <w:tr w:rsidR="00DE7981" w:rsidRPr="001F64CE" w14:paraId="2ECA7418" w14:textId="77777777" w:rsidTr="002F1F01">
        <w:trPr>
          <w:trHeight w:val="288"/>
          <w:jc w:val="center"/>
        </w:trPr>
        <w:tc>
          <w:tcPr>
            <w:tcW w:w="3176" w:type="dxa"/>
            <w:shd w:val="clear" w:color="auto" w:fill="auto"/>
            <w:noWrap/>
            <w:vAlign w:val="bottom"/>
            <w:hideMark/>
          </w:tcPr>
          <w:p w14:paraId="6BB8541E" w14:textId="77777777" w:rsidR="00DE7981" w:rsidRPr="001F64CE" w:rsidRDefault="00DE7981" w:rsidP="003C0A88">
            <w:pPr>
              <w:pStyle w:val="ExhibitText"/>
              <w:rPr>
                <w:sz w:val="18"/>
                <w:szCs w:val="18"/>
                <w:lang w:val="en-GB" w:eastAsia="en-IN"/>
              </w:rPr>
            </w:pPr>
            <w:r w:rsidRPr="001F64CE">
              <w:rPr>
                <w:noProof/>
                <w:sz w:val="18"/>
                <w:szCs w:val="18"/>
                <w:lang w:val="en-GB" w:eastAsia="en-GB"/>
              </w:rPr>
              <w:drawing>
                <wp:anchor distT="0" distB="0" distL="114300" distR="114300" simplePos="0" relativeHeight="251659264" behindDoc="0" locked="0" layoutInCell="1" allowOverlap="1" wp14:anchorId="70A944A2" wp14:editId="28BAE0AE">
                  <wp:simplePos x="0" y="0"/>
                  <wp:positionH relativeFrom="column">
                    <wp:posOffset>0</wp:posOffset>
                  </wp:positionH>
                  <wp:positionV relativeFrom="paragraph">
                    <wp:posOffset>0</wp:posOffset>
                  </wp:positionV>
                  <wp:extent cx="76200" cy="76200"/>
                  <wp:effectExtent l="0" t="0" r="0" b="0"/>
                  <wp:wrapNone/>
                  <wp:docPr id="8" name="Picture 8" descr="http://img1.moneycontrol.com/images/blank.gif"/>
                  <wp:cNvGraphicFramePr/>
                  <a:graphic xmlns:a="http://schemas.openxmlformats.org/drawingml/2006/main">
                    <a:graphicData uri="http://schemas.openxmlformats.org/drawingml/2006/picture">
                      <pic:pic xmlns:pic="http://schemas.openxmlformats.org/drawingml/2006/picture">
                        <pic:nvPicPr>
                          <pic:cNvPr id="4" name="Picture 3" descr="http://img1.moneycontrol.com/images/blank.gif"/>
                          <pic:cNvPicPr>
                            <a:picLocks noChangeAspect="1" noChangeArrowheads="1"/>
                          </pic:cNvPicPr>
                        </pic:nvPicPr>
                        <pic:blipFill>
                          <a:blip r:embed="rId12"/>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2960"/>
            </w:tblGrid>
            <w:tr w:rsidR="00DE7981" w:rsidRPr="001F64CE" w14:paraId="5A49A4B6" w14:textId="77777777" w:rsidTr="003A5C51">
              <w:trPr>
                <w:trHeight w:val="288"/>
                <w:tblCellSpacing w:w="0" w:type="dxa"/>
              </w:trPr>
              <w:tc>
                <w:tcPr>
                  <w:tcW w:w="2960" w:type="dxa"/>
                  <w:tcBorders>
                    <w:top w:val="nil"/>
                    <w:left w:val="nil"/>
                    <w:bottom w:val="nil"/>
                    <w:right w:val="nil"/>
                  </w:tcBorders>
                  <w:shd w:val="clear" w:color="auto" w:fill="auto"/>
                  <w:noWrap/>
                  <w:vAlign w:val="bottom"/>
                  <w:hideMark/>
                </w:tcPr>
                <w:p w14:paraId="197FE38F" w14:textId="4C95DF0B" w:rsidR="00DE7981" w:rsidRPr="001F64CE" w:rsidRDefault="00DE7981" w:rsidP="003C0A88">
                  <w:pPr>
                    <w:pStyle w:val="ExhibitText"/>
                    <w:rPr>
                      <w:sz w:val="18"/>
                      <w:szCs w:val="18"/>
                      <w:lang w:val="en-GB" w:eastAsia="en-IN"/>
                    </w:rPr>
                  </w:pPr>
                  <w:r w:rsidRPr="001F64CE">
                    <w:rPr>
                      <w:sz w:val="18"/>
                      <w:szCs w:val="18"/>
                      <w:lang w:val="en-GB" w:eastAsia="en-IN"/>
                    </w:rPr>
                    <w:t>Net Sales</w:t>
                  </w:r>
                </w:p>
              </w:tc>
            </w:tr>
          </w:tbl>
          <w:p w14:paraId="5640CA0F" w14:textId="77777777" w:rsidR="00DE7981" w:rsidRPr="001F64CE" w:rsidRDefault="00DE7981" w:rsidP="003C0A88">
            <w:pPr>
              <w:pStyle w:val="ExhibitText"/>
              <w:rPr>
                <w:sz w:val="18"/>
                <w:szCs w:val="18"/>
                <w:lang w:val="en-GB" w:eastAsia="en-IN"/>
              </w:rPr>
            </w:pPr>
          </w:p>
        </w:tc>
        <w:tc>
          <w:tcPr>
            <w:tcW w:w="1184" w:type="dxa"/>
            <w:shd w:val="clear" w:color="auto" w:fill="auto"/>
            <w:noWrap/>
            <w:vAlign w:val="bottom"/>
            <w:hideMark/>
          </w:tcPr>
          <w:p w14:paraId="0E948987" w14:textId="77777777" w:rsidR="00DE7981" w:rsidRPr="001F64CE" w:rsidRDefault="00DE7981" w:rsidP="003C0A88">
            <w:pPr>
              <w:pStyle w:val="ExhibitText"/>
              <w:jc w:val="right"/>
              <w:rPr>
                <w:sz w:val="18"/>
                <w:szCs w:val="18"/>
                <w:lang w:val="en-GB" w:eastAsia="en-IN"/>
              </w:rPr>
            </w:pPr>
            <w:r w:rsidRPr="001F64CE">
              <w:rPr>
                <w:sz w:val="18"/>
                <w:szCs w:val="18"/>
                <w:lang w:val="en-GB" w:eastAsia="en-IN"/>
              </w:rPr>
              <w:t>106,197</w:t>
            </w:r>
          </w:p>
        </w:tc>
        <w:tc>
          <w:tcPr>
            <w:tcW w:w="1184" w:type="dxa"/>
            <w:shd w:val="clear" w:color="auto" w:fill="auto"/>
            <w:noWrap/>
            <w:vAlign w:val="bottom"/>
            <w:hideMark/>
          </w:tcPr>
          <w:p w14:paraId="736CBEFB" w14:textId="77777777" w:rsidR="00DE7981" w:rsidRPr="001F64CE" w:rsidRDefault="00DE7981" w:rsidP="003C0A88">
            <w:pPr>
              <w:pStyle w:val="ExhibitText"/>
              <w:jc w:val="right"/>
              <w:rPr>
                <w:sz w:val="18"/>
                <w:szCs w:val="18"/>
                <w:lang w:val="en-GB" w:eastAsia="en-IN"/>
              </w:rPr>
            </w:pPr>
            <w:r w:rsidRPr="001F64CE">
              <w:rPr>
                <w:sz w:val="18"/>
                <w:szCs w:val="18"/>
                <w:lang w:val="en-GB" w:eastAsia="en-IN"/>
              </w:rPr>
              <w:t>102,118</w:t>
            </w:r>
          </w:p>
        </w:tc>
        <w:tc>
          <w:tcPr>
            <w:tcW w:w="1184" w:type="dxa"/>
            <w:shd w:val="clear" w:color="auto" w:fill="auto"/>
            <w:noWrap/>
            <w:vAlign w:val="bottom"/>
            <w:hideMark/>
          </w:tcPr>
          <w:p w14:paraId="2DE79334" w14:textId="77777777" w:rsidR="00DE7981" w:rsidRPr="001F64CE" w:rsidRDefault="00DE7981" w:rsidP="003C0A88">
            <w:pPr>
              <w:pStyle w:val="ExhibitText"/>
              <w:jc w:val="right"/>
              <w:rPr>
                <w:sz w:val="18"/>
                <w:szCs w:val="18"/>
                <w:lang w:val="en-GB" w:eastAsia="en-IN"/>
              </w:rPr>
            </w:pPr>
            <w:r w:rsidRPr="001F64CE">
              <w:rPr>
                <w:sz w:val="18"/>
                <w:szCs w:val="18"/>
                <w:lang w:val="en-GB" w:eastAsia="en-IN"/>
              </w:rPr>
              <w:t>99,951</w:t>
            </w:r>
          </w:p>
        </w:tc>
        <w:tc>
          <w:tcPr>
            <w:tcW w:w="1184" w:type="dxa"/>
            <w:shd w:val="clear" w:color="auto" w:fill="auto"/>
            <w:noWrap/>
            <w:vAlign w:val="bottom"/>
            <w:hideMark/>
          </w:tcPr>
          <w:p w14:paraId="2806FAA6" w14:textId="77777777" w:rsidR="00DE7981" w:rsidRPr="001F64CE" w:rsidRDefault="00DE7981" w:rsidP="003C0A88">
            <w:pPr>
              <w:pStyle w:val="ExhibitText"/>
              <w:jc w:val="right"/>
              <w:rPr>
                <w:sz w:val="18"/>
                <w:szCs w:val="18"/>
                <w:lang w:val="en-GB" w:eastAsia="en-IN"/>
              </w:rPr>
            </w:pPr>
            <w:r w:rsidRPr="001F64CE">
              <w:rPr>
                <w:sz w:val="18"/>
                <w:szCs w:val="18"/>
                <w:lang w:val="en-GB" w:eastAsia="en-IN"/>
              </w:rPr>
              <w:t>130,563</w:t>
            </w:r>
          </w:p>
        </w:tc>
      </w:tr>
      <w:tr w:rsidR="00DE7981" w:rsidRPr="001F64CE" w14:paraId="45ACD647" w14:textId="77777777" w:rsidTr="002F1F01">
        <w:trPr>
          <w:trHeight w:val="288"/>
          <w:jc w:val="center"/>
        </w:trPr>
        <w:tc>
          <w:tcPr>
            <w:tcW w:w="3176" w:type="dxa"/>
            <w:shd w:val="clear" w:color="auto" w:fill="auto"/>
            <w:noWrap/>
            <w:vAlign w:val="bottom"/>
            <w:hideMark/>
          </w:tcPr>
          <w:p w14:paraId="27D482A1" w14:textId="77777777" w:rsidR="00DE7981" w:rsidRPr="001F64CE" w:rsidRDefault="00DE7981" w:rsidP="003C0A88">
            <w:pPr>
              <w:pStyle w:val="ExhibitText"/>
              <w:rPr>
                <w:sz w:val="18"/>
                <w:szCs w:val="18"/>
                <w:lang w:val="en-GB" w:eastAsia="en-IN"/>
              </w:rPr>
            </w:pPr>
            <w:r w:rsidRPr="001F64CE">
              <w:rPr>
                <w:sz w:val="18"/>
                <w:szCs w:val="18"/>
                <w:lang w:val="en-GB" w:eastAsia="en-IN"/>
              </w:rPr>
              <w:t>Other Income</w:t>
            </w:r>
          </w:p>
        </w:tc>
        <w:tc>
          <w:tcPr>
            <w:tcW w:w="1184" w:type="dxa"/>
            <w:shd w:val="clear" w:color="auto" w:fill="auto"/>
            <w:noWrap/>
            <w:vAlign w:val="bottom"/>
            <w:hideMark/>
          </w:tcPr>
          <w:p w14:paraId="1EA42006" w14:textId="77777777" w:rsidR="00DE7981" w:rsidRPr="001F64CE" w:rsidRDefault="00DE7981" w:rsidP="003C0A88">
            <w:pPr>
              <w:pStyle w:val="ExhibitText"/>
              <w:jc w:val="right"/>
              <w:rPr>
                <w:sz w:val="18"/>
                <w:szCs w:val="18"/>
                <w:lang w:val="en-GB" w:eastAsia="en-IN"/>
              </w:rPr>
            </w:pPr>
            <w:r w:rsidRPr="001F64CE">
              <w:rPr>
                <w:sz w:val="18"/>
                <w:szCs w:val="18"/>
                <w:lang w:val="en-GB" w:eastAsia="en-IN"/>
              </w:rPr>
              <w:t>3,911</w:t>
            </w:r>
          </w:p>
        </w:tc>
        <w:tc>
          <w:tcPr>
            <w:tcW w:w="1184" w:type="dxa"/>
            <w:shd w:val="clear" w:color="auto" w:fill="auto"/>
            <w:noWrap/>
            <w:vAlign w:val="bottom"/>
            <w:hideMark/>
          </w:tcPr>
          <w:p w14:paraId="196D4F3D" w14:textId="77777777" w:rsidR="00DE7981" w:rsidRPr="001F64CE" w:rsidRDefault="00DE7981" w:rsidP="003C0A88">
            <w:pPr>
              <w:pStyle w:val="ExhibitText"/>
              <w:jc w:val="right"/>
              <w:rPr>
                <w:sz w:val="18"/>
                <w:szCs w:val="18"/>
                <w:lang w:val="en-GB" w:eastAsia="en-IN"/>
              </w:rPr>
            </w:pPr>
            <w:r w:rsidRPr="001F64CE">
              <w:rPr>
                <w:sz w:val="18"/>
                <w:szCs w:val="18"/>
                <w:lang w:val="en-GB" w:eastAsia="en-IN"/>
              </w:rPr>
              <w:t>3,573</w:t>
            </w:r>
          </w:p>
        </w:tc>
        <w:tc>
          <w:tcPr>
            <w:tcW w:w="1184" w:type="dxa"/>
            <w:shd w:val="clear" w:color="auto" w:fill="auto"/>
            <w:noWrap/>
            <w:vAlign w:val="bottom"/>
            <w:hideMark/>
          </w:tcPr>
          <w:p w14:paraId="11858E76" w14:textId="77777777" w:rsidR="00DE7981" w:rsidRPr="001F64CE" w:rsidRDefault="00DE7981" w:rsidP="003C0A88">
            <w:pPr>
              <w:pStyle w:val="ExhibitText"/>
              <w:jc w:val="right"/>
              <w:rPr>
                <w:sz w:val="18"/>
                <w:szCs w:val="18"/>
                <w:lang w:val="en-GB" w:eastAsia="en-IN"/>
              </w:rPr>
            </w:pPr>
            <w:r w:rsidRPr="001F64CE">
              <w:rPr>
                <w:sz w:val="18"/>
                <w:szCs w:val="18"/>
                <w:lang w:val="en-GB" w:eastAsia="en-IN"/>
              </w:rPr>
              <w:t>4,465</w:t>
            </w:r>
          </w:p>
        </w:tc>
        <w:tc>
          <w:tcPr>
            <w:tcW w:w="1184" w:type="dxa"/>
            <w:shd w:val="clear" w:color="auto" w:fill="auto"/>
            <w:noWrap/>
            <w:vAlign w:val="bottom"/>
            <w:hideMark/>
          </w:tcPr>
          <w:p w14:paraId="4BB6FA4A" w14:textId="77777777" w:rsidR="00DE7981" w:rsidRPr="001F64CE" w:rsidRDefault="00DE7981" w:rsidP="003C0A88">
            <w:pPr>
              <w:pStyle w:val="ExhibitText"/>
              <w:jc w:val="right"/>
              <w:rPr>
                <w:sz w:val="18"/>
                <w:szCs w:val="18"/>
                <w:lang w:val="en-GB" w:eastAsia="en-IN"/>
              </w:rPr>
            </w:pPr>
            <w:r w:rsidRPr="001F64CE">
              <w:rPr>
                <w:sz w:val="18"/>
                <w:szCs w:val="18"/>
                <w:lang w:val="en-GB" w:eastAsia="en-IN"/>
              </w:rPr>
              <w:t>6,467</w:t>
            </w:r>
          </w:p>
        </w:tc>
      </w:tr>
      <w:tr w:rsidR="00DE7981" w:rsidRPr="001F64CE" w14:paraId="6A2D449F" w14:textId="77777777" w:rsidTr="002F1F01">
        <w:trPr>
          <w:trHeight w:val="288"/>
          <w:jc w:val="center"/>
        </w:trPr>
        <w:tc>
          <w:tcPr>
            <w:tcW w:w="3176" w:type="dxa"/>
            <w:shd w:val="clear" w:color="auto" w:fill="auto"/>
            <w:noWrap/>
            <w:vAlign w:val="bottom"/>
            <w:hideMark/>
          </w:tcPr>
          <w:p w14:paraId="12A54321" w14:textId="77777777" w:rsidR="00DE7981" w:rsidRPr="001F64CE" w:rsidRDefault="00DE7981" w:rsidP="003C0A88">
            <w:pPr>
              <w:pStyle w:val="ExhibitText"/>
              <w:rPr>
                <w:sz w:val="18"/>
                <w:szCs w:val="18"/>
                <w:lang w:val="en-GB" w:eastAsia="en-IN"/>
              </w:rPr>
            </w:pPr>
            <w:r w:rsidRPr="001F64CE">
              <w:rPr>
                <w:sz w:val="18"/>
                <w:szCs w:val="18"/>
                <w:lang w:val="en-GB" w:eastAsia="en-IN"/>
              </w:rPr>
              <w:t>Total Operating Income</w:t>
            </w:r>
          </w:p>
        </w:tc>
        <w:tc>
          <w:tcPr>
            <w:tcW w:w="1184" w:type="dxa"/>
            <w:shd w:val="clear" w:color="auto" w:fill="auto"/>
            <w:noWrap/>
            <w:vAlign w:val="bottom"/>
            <w:hideMark/>
          </w:tcPr>
          <w:p w14:paraId="690CFA97" w14:textId="77777777" w:rsidR="00DE7981" w:rsidRPr="001F64CE" w:rsidRDefault="00DE7981" w:rsidP="003C0A88">
            <w:pPr>
              <w:pStyle w:val="ExhibitText"/>
              <w:jc w:val="right"/>
              <w:rPr>
                <w:sz w:val="18"/>
                <w:szCs w:val="18"/>
                <w:lang w:val="en-GB" w:eastAsia="en-IN"/>
              </w:rPr>
            </w:pPr>
            <w:r w:rsidRPr="001F64CE">
              <w:rPr>
                <w:sz w:val="18"/>
                <w:szCs w:val="18"/>
                <w:lang w:val="en-GB" w:eastAsia="en-IN"/>
              </w:rPr>
              <w:t>110,108</w:t>
            </w:r>
          </w:p>
        </w:tc>
        <w:tc>
          <w:tcPr>
            <w:tcW w:w="1184" w:type="dxa"/>
            <w:shd w:val="clear" w:color="auto" w:fill="auto"/>
            <w:noWrap/>
            <w:vAlign w:val="bottom"/>
            <w:hideMark/>
          </w:tcPr>
          <w:p w14:paraId="31F65623" w14:textId="77777777" w:rsidR="00DE7981" w:rsidRPr="001F64CE" w:rsidRDefault="00DE7981" w:rsidP="003C0A88">
            <w:pPr>
              <w:pStyle w:val="ExhibitText"/>
              <w:jc w:val="right"/>
              <w:rPr>
                <w:sz w:val="18"/>
                <w:szCs w:val="18"/>
                <w:lang w:val="en-GB" w:eastAsia="en-IN"/>
              </w:rPr>
            </w:pPr>
            <w:r w:rsidRPr="001F64CE">
              <w:rPr>
                <w:sz w:val="18"/>
                <w:szCs w:val="18"/>
                <w:lang w:val="en-GB" w:eastAsia="en-IN"/>
              </w:rPr>
              <w:t>105,691</w:t>
            </w:r>
          </w:p>
        </w:tc>
        <w:tc>
          <w:tcPr>
            <w:tcW w:w="1184" w:type="dxa"/>
            <w:shd w:val="clear" w:color="auto" w:fill="auto"/>
            <w:noWrap/>
            <w:vAlign w:val="bottom"/>
            <w:hideMark/>
          </w:tcPr>
          <w:p w14:paraId="52534A0A" w14:textId="77777777" w:rsidR="00DE7981" w:rsidRPr="001F64CE" w:rsidRDefault="00DE7981" w:rsidP="003C0A88">
            <w:pPr>
              <w:pStyle w:val="ExhibitText"/>
              <w:jc w:val="right"/>
              <w:rPr>
                <w:sz w:val="18"/>
                <w:szCs w:val="18"/>
                <w:lang w:val="en-GB" w:eastAsia="en-IN"/>
              </w:rPr>
            </w:pPr>
            <w:r w:rsidRPr="001F64CE">
              <w:rPr>
                <w:sz w:val="18"/>
                <w:szCs w:val="18"/>
                <w:lang w:val="en-GB" w:eastAsia="en-IN"/>
              </w:rPr>
              <w:t>104,416</w:t>
            </w:r>
          </w:p>
        </w:tc>
        <w:tc>
          <w:tcPr>
            <w:tcW w:w="1184" w:type="dxa"/>
            <w:shd w:val="clear" w:color="auto" w:fill="auto"/>
            <w:noWrap/>
            <w:vAlign w:val="bottom"/>
            <w:hideMark/>
          </w:tcPr>
          <w:p w14:paraId="604C4CDB" w14:textId="77777777" w:rsidR="00DE7981" w:rsidRPr="001F64CE" w:rsidRDefault="00DE7981" w:rsidP="003C0A88">
            <w:pPr>
              <w:pStyle w:val="ExhibitText"/>
              <w:jc w:val="right"/>
              <w:rPr>
                <w:sz w:val="18"/>
                <w:szCs w:val="18"/>
                <w:lang w:val="en-GB" w:eastAsia="en-IN"/>
              </w:rPr>
            </w:pPr>
            <w:r w:rsidRPr="001F64CE">
              <w:rPr>
                <w:sz w:val="18"/>
                <w:szCs w:val="18"/>
                <w:lang w:val="en-GB" w:eastAsia="en-IN"/>
              </w:rPr>
              <w:t>137,030</w:t>
            </w:r>
          </w:p>
        </w:tc>
      </w:tr>
      <w:tr w:rsidR="00DE7981" w:rsidRPr="001F64CE" w14:paraId="58896540" w14:textId="77777777" w:rsidTr="002F1F01">
        <w:trPr>
          <w:trHeight w:val="288"/>
          <w:jc w:val="center"/>
        </w:trPr>
        <w:tc>
          <w:tcPr>
            <w:tcW w:w="3176" w:type="dxa"/>
            <w:shd w:val="clear" w:color="auto" w:fill="auto"/>
            <w:noWrap/>
            <w:vAlign w:val="bottom"/>
            <w:hideMark/>
          </w:tcPr>
          <w:p w14:paraId="65AE8A82" w14:textId="77777777" w:rsidR="00DE7981" w:rsidRPr="001F64CE" w:rsidRDefault="00DE7981" w:rsidP="003C0A88">
            <w:pPr>
              <w:pStyle w:val="ExhibitText"/>
              <w:rPr>
                <w:sz w:val="18"/>
                <w:szCs w:val="18"/>
                <w:lang w:val="en-GB" w:eastAsia="en-IN"/>
              </w:rPr>
            </w:pPr>
          </w:p>
        </w:tc>
        <w:tc>
          <w:tcPr>
            <w:tcW w:w="1184" w:type="dxa"/>
            <w:shd w:val="clear" w:color="auto" w:fill="auto"/>
            <w:noWrap/>
            <w:vAlign w:val="bottom"/>
            <w:hideMark/>
          </w:tcPr>
          <w:p w14:paraId="74049C01" w14:textId="77777777" w:rsidR="00DE7981" w:rsidRPr="001F64CE" w:rsidRDefault="00DE7981" w:rsidP="003C0A88">
            <w:pPr>
              <w:pStyle w:val="ExhibitText"/>
              <w:jc w:val="right"/>
              <w:rPr>
                <w:sz w:val="18"/>
                <w:szCs w:val="18"/>
                <w:lang w:val="en-GB" w:eastAsia="en-IN"/>
              </w:rPr>
            </w:pPr>
          </w:p>
        </w:tc>
        <w:tc>
          <w:tcPr>
            <w:tcW w:w="1184" w:type="dxa"/>
            <w:shd w:val="clear" w:color="auto" w:fill="auto"/>
            <w:noWrap/>
            <w:vAlign w:val="bottom"/>
            <w:hideMark/>
          </w:tcPr>
          <w:p w14:paraId="6FE1B916" w14:textId="77777777" w:rsidR="00DE7981" w:rsidRPr="001F64CE" w:rsidRDefault="00DE7981" w:rsidP="003C0A88">
            <w:pPr>
              <w:pStyle w:val="ExhibitText"/>
              <w:jc w:val="right"/>
              <w:rPr>
                <w:sz w:val="18"/>
                <w:szCs w:val="18"/>
                <w:lang w:val="en-GB" w:eastAsia="en-IN"/>
              </w:rPr>
            </w:pPr>
          </w:p>
        </w:tc>
        <w:tc>
          <w:tcPr>
            <w:tcW w:w="1184" w:type="dxa"/>
            <w:shd w:val="clear" w:color="auto" w:fill="auto"/>
            <w:noWrap/>
            <w:vAlign w:val="bottom"/>
            <w:hideMark/>
          </w:tcPr>
          <w:p w14:paraId="41868265" w14:textId="77777777" w:rsidR="00DE7981" w:rsidRPr="001F64CE" w:rsidRDefault="00DE7981" w:rsidP="003C0A88">
            <w:pPr>
              <w:pStyle w:val="ExhibitText"/>
              <w:jc w:val="right"/>
              <w:rPr>
                <w:sz w:val="18"/>
                <w:szCs w:val="18"/>
                <w:lang w:val="en-GB" w:eastAsia="en-IN"/>
              </w:rPr>
            </w:pPr>
          </w:p>
        </w:tc>
        <w:tc>
          <w:tcPr>
            <w:tcW w:w="1184" w:type="dxa"/>
            <w:shd w:val="clear" w:color="auto" w:fill="auto"/>
            <w:noWrap/>
            <w:vAlign w:val="bottom"/>
            <w:hideMark/>
          </w:tcPr>
          <w:p w14:paraId="60452AD7" w14:textId="77777777" w:rsidR="00DE7981" w:rsidRPr="001F64CE" w:rsidRDefault="00DE7981" w:rsidP="003C0A88">
            <w:pPr>
              <w:pStyle w:val="ExhibitText"/>
              <w:jc w:val="right"/>
              <w:rPr>
                <w:sz w:val="18"/>
                <w:szCs w:val="18"/>
                <w:lang w:val="en-GB" w:eastAsia="en-IN"/>
              </w:rPr>
            </w:pPr>
          </w:p>
        </w:tc>
      </w:tr>
      <w:tr w:rsidR="00DE7981" w:rsidRPr="001F64CE" w14:paraId="69E43E8E" w14:textId="77777777" w:rsidTr="002F1F01">
        <w:trPr>
          <w:trHeight w:val="288"/>
          <w:jc w:val="center"/>
        </w:trPr>
        <w:tc>
          <w:tcPr>
            <w:tcW w:w="3176" w:type="dxa"/>
            <w:shd w:val="clear" w:color="auto" w:fill="auto"/>
            <w:noWrap/>
            <w:vAlign w:val="bottom"/>
            <w:hideMark/>
          </w:tcPr>
          <w:p w14:paraId="29FE3EB7" w14:textId="77777777" w:rsidR="00DE7981" w:rsidRPr="001F64CE" w:rsidRDefault="00DE7981" w:rsidP="003C0A88">
            <w:pPr>
              <w:pStyle w:val="ExhibitText"/>
              <w:rPr>
                <w:sz w:val="18"/>
                <w:szCs w:val="18"/>
                <w:lang w:val="en-GB" w:eastAsia="en-IN"/>
              </w:rPr>
            </w:pPr>
            <w:r w:rsidRPr="001F64CE">
              <w:rPr>
                <w:sz w:val="18"/>
                <w:szCs w:val="18"/>
                <w:lang w:val="en-GB" w:eastAsia="en-IN"/>
              </w:rPr>
              <w:t xml:space="preserve">Raw Materials </w:t>
            </w:r>
          </w:p>
        </w:tc>
        <w:tc>
          <w:tcPr>
            <w:tcW w:w="1184" w:type="dxa"/>
            <w:shd w:val="clear" w:color="auto" w:fill="auto"/>
            <w:noWrap/>
            <w:vAlign w:val="bottom"/>
            <w:hideMark/>
          </w:tcPr>
          <w:p w14:paraId="19B8ACA1" w14:textId="77777777" w:rsidR="00DE7981" w:rsidRPr="001F64CE" w:rsidRDefault="00DE7981" w:rsidP="003C0A88">
            <w:pPr>
              <w:pStyle w:val="ExhibitText"/>
              <w:jc w:val="right"/>
              <w:rPr>
                <w:sz w:val="18"/>
                <w:szCs w:val="18"/>
                <w:lang w:val="en-GB" w:eastAsia="en-IN"/>
              </w:rPr>
            </w:pPr>
            <w:r w:rsidRPr="001F64CE">
              <w:rPr>
                <w:sz w:val="18"/>
                <w:szCs w:val="18"/>
                <w:lang w:val="en-GB" w:eastAsia="en-IN"/>
              </w:rPr>
              <w:t>78,014</w:t>
            </w:r>
          </w:p>
        </w:tc>
        <w:tc>
          <w:tcPr>
            <w:tcW w:w="1184" w:type="dxa"/>
            <w:shd w:val="clear" w:color="auto" w:fill="auto"/>
            <w:noWrap/>
            <w:vAlign w:val="bottom"/>
            <w:hideMark/>
          </w:tcPr>
          <w:p w14:paraId="5CC34E2A" w14:textId="77777777" w:rsidR="00DE7981" w:rsidRPr="001F64CE" w:rsidRDefault="00DE7981" w:rsidP="003C0A88">
            <w:pPr>
              <w:pStyle w:val="ExhibitText"/>
              <w:jc w:val="right"/>
              <w:rPr>
                <w:sz w:val="18"/>
                <w:szCs w:val="18"/>
                <w:lang w:val="en-GB" w:eastAsia="en-IN"/>
              </w:rPr>
            </w:pPr>
            <w:r w:rsidRPr="001F64CE">
              <w:rPr>
                <w:sz w:val="18"/>
                <w:szCs w:val="18"/>
                <w:lang w:val="en-GB" w:eastAsia="en-IN"/>
              </w:rPr>
              <w:t>72,644</w:t>
            </w:r>
          </w:p>
        </w:tc>
        <w:tc>
          <w:tcPr>
            <w:tcW w:w="1184" w:type="dxa"/>
            <w:shd w:val="clear" w:color="auto" w:fill="auto"/>
            <w:noWrap/>
            <w:vAlign w:val="bottom"/>
            <w:hideMark/>
          </w:tcPr>
          <w:p w14:paraId="4B9A8B81" w14:textId="77777777" w:rsidR="00DE7981" w:rsidRPr="001F64CE" w:rsidRDefault="00DE7981" w:rsidP="003C0A88">
            <w:pPr>
              <w:pStyle w:val="ExhibitText"/>
              <w:jc w:val="right"/>
              <w:rPr>
                <w:sz w:val="18"/>
                <w:szCs w:val="18"/>
                <w:lang w:val="en-GB" w:eastAsia="en-IN"/>
              </w:rPr>
            </w:pPr>
            <w:r w:rsidRPr="001F64CE">
              <w:rPr>
                <w:sz w:val="18"/>
                <w:szCs w:val="18"/>
                <w:lang w:val="en-GB" w:eastAsia="en-IN"/>
              </w:rPr>
              <w:t>73,656</w:t>
            </w:r>
          </w:p>
        </w:tc>
        <w:tc>
          <w:tcPr>
            <w:tcW w:w="1184" w:type="dxa"/>
            <w:shd w:val="clear" w:color="auto" w:fill="auto"/>
            <w:noWrap/>
            <w:vAlign w:val="bottom"/>
            <w:hideMark/>
          </w:tcPr>
          <w:p w14:paraId="02E6C370" w14:textId="77777777" w:rsidR="00DE7981" w:rsidRPr="001F64CE" w:rsidRDefault="00DE7981" w:rsidP="003C0A88">
            <w:pPr>
              <w:pStyle w:val="ExhibitText"/>
              <w:jc w:val="right"/>
              <w:rPr>
                <w:sz w:val="18"/>
                <w:szCs w:val="18"/>
                <w:lang w:val="en-GB" w:eastAsia="en-IN"/>
              </w:rPr>
            </w:pPr>
            <w:r w:rsidRPr="001F64CE">
              <w:rPr>
                <w:sz w:val="18"/>
                <w:szCs w:val="18"/>
                <w:lang w:val="en-GB" w:eastAsia="en-IN"/>
              </w:rPr>
              <w:t>87,295</w:t>
            </w:r>
          </w:p>
        </w:tc>
      </w:tr>
      <w:tr w:rsidR="00DE7981" w:rsidRPr="001F64CE" w14:paraId="60ADDD3F" w14:textId="77777777" w:rsidTr="002F1F01">
        <w:trPr>
          <w:trHeight w:val="288"/>
          <w:jc w:val="center"/>
        </w:trPr>
        <w:tc>
          <w:tcPr>
            <w:tcW w:w="3176" w:type="dxa"/>
            <w:shd w:val="clear" w:color="auto" w:fill="auto"/>
            <w:noWrap/>
            <w:vAlign w:val="bottom"/>
            <w:hideMark/>
          </w:tcPr>
          <w:p w14:paraId="7440C77E" w14:textId="77777777" w:rsidR="00DE7981" w:rsidRPr="001F64CE" w:rsidRDefault="00DE7981" w:rsidP="003C0A88">
            <w:pPr>
              <w:pStyle w:val="ExhibitText"/>
              <w:rPr>
                <w:sz w:val="18"/>
                <w:szCs w:val="18"/>
                <w:lang w:val="en-GB" w:eastAsia="en-IN"/>
              </w:rPr>
            </w:pPr>
            <w:r w:rsidRPr="001F64CE">
              <w:rPr>
                <w:sz w:val="18"/>
                <w:szCs w:val="18"/>
                <w:lang w:val="en-GB" w:eastAsia="en-IN"/>
              </w:rPr>
              <w:t>Wages and Salaries</w:t>
            </w:r>
          </w:p>
        </w:tc>
        <w:tc>
          <w:tcPr>
            <w:tcW w:w="1184" w:type="dxa"/>
            <w:shd w:val="clear" w:color="auto" w:fill="auto"/>
            <w:noWrap/>
            <w:vAlign w:val="bottom"/>
            <w:hideMark/>
          </w:tcPr>
          <w:p w14:paraId="743231EB" w14:textId="77777777" w:rsidR="00DE7981" w:rsidRPr="001F64CE" w:rsidRDefault="00DE7981" w:rsidP="003C0A88">
            <w:pPr>
              <w:pStyle w:val="ExhibitText"/>
              <w:jc w:val="right"/>
              <w:rPr>
                <w:sz w:val="18"/>
                <w:szCs w:val="18"/>
                <w:lang w:val="en-GB" w:eastAsia="en-IN"/>
              </w:rPr>
            </w:pPr>
            <w:r w:rsidRPr="001F64CE">
              <w:rPr>
                <w:sz w:val="18"/>
                <w:szCs w:val="18"/>
                <w:lang w:val="en-GB" w:eastAsia="en-IN"/>
              </w:rPr>
              <w:t>2,997</w:t>
            </w:r>
          </w:p>
        </w:tc>
        <w:tc>
          <w:tcPr>
            <w:tcW w:w="1184" w:type="dxa"/>
            <w:shd w:val="clear" w:color="auto" w:fill="auto"/>
            <w:noWrap/>
            <w:vAlign w:val="bottom"/>
            <w:hideMark/>
          </w:tcPr>
          <w:p w14:paraId="44B1FC08" w14:textId="77777777" w:rsidR="00DE7981" w:rsidRPr="001F64CE" w:rsidRDefault="00DE7981" w:rsidP="003C0A88">
            <w:pPr>
              <w:pStyle w:val="ExhibitText"/>
              <w:jc w:val="right"/>
              <w:rPr>
                <w:sz w:val="18"/>
                <w:szCs w:val="18"/>
                <w:lang w:val="en-GB" w:eastAsia="en-IN"/>
              </w:rPr>
            </w:pPr>
            <w:r w:rsidRPr="001F64CE">
              <w:rPr>
                <w:sz w:val="18"/>
                <w:szCs w:val="18"/>
                <w:lang w:val="en-GB" w:eastAsia="en-IN"/>
              </w:rPr>
              <w:t>3,723</w:t>
            </w:r>
          </w:p>
        </w:tc>
        <w:tc>
          <w:tcPr>
            <w:tcW w:w="1184" w:type="dxa"/>
            <w:shd w:val="clear" w:color="auto" w:fill="auto"/>
            <w:noWrap/>
            <w:vAlign w:val="bottom"/>
            <w:hideMark/>
          </w:tcPr>
          <w:p w14:paraId="7B1E9BE4" w14:textId="77777777" w:rsidR="00DE7981" w:rsidRPr="001F64CE" w:rsidRDefault="00DE7981" w:rsidP="003C0A88">
            <w:pPr>
              <w:pStyle w:val="ExhibitText"/>
              <w:jc w:val="right"/>
              <w:rPr>
                <w:sz w:val="18"/>
                <w:szCs w:val="18"/>
                <w:lang w:val="en-GB" w:eastAsia="en-IN"/>
              </w:rPr>
            </w:pPr>
            <w:r w:rsidRPr="001F64CE">
              <w:rPr>
                <w:sz w:val="18"/>
                <w:szCs w:val="18"/>
                <w:lang w:val="en-GB" w:eastAsia="en-IN"/>
              </w:rPr>
              <w:t>2,951</w:t>
            </w:r>
          </w:p>
        </w:tc>
        <w:tc>
          <w:tcPr>
            <w:tcW w:w="1184" w:type="dxa"/>
            <w:shd w:val="clear" w:color="auto" w:fill="auto"/>
            <w:noWrap/>
            <w:vAlign w:val="bottom"/>
            <w:hideMark/>
          </w:tcPr>
          <w:p w14:paraId="604F63A0" w14:textId="77777777" w:rsidR="00DE7981" w:rsidRPr="001F64CE" w:rsidRDefault="00DE7981" w:rsidP="003C0A88">
            <w:pPr>
              <w:pStyle w:val="ExhibitText"/>
              <w:jc w:val="right"/>
              <w:rPr>
                <w:sz w:val="18"/>
                <w:szCs w:val="18"/>
                <w:lang w:val="en-GB" w:eastAsia="en-IN"/>
              </w:rPr>
            </w:pPr>
            <w:r w:rsidRPr="001F64CE">
              <w:rPr>
                <w:sz w:val="18"/>
                <w:szCs w:val="18"/>
                <w:lang w:val="en-GB" w:eastAsia="en-IN"/>
              </w:rPr>
              <w:t>3,875</w:t>
            </w:r>
          </w:p>
        </w:tc>
      </w:tr>
      <w:tr w:rsidR="00DE7981" w:rsidRPr="001F64CE" w14:paraId="67CEC70E" w14:textId="77777777" w:rsidTr="002F1F01">
        <w:trPr>
          <w:trHeight w:val="288"/>
          <w:jc w:val="center"/>
        </w:trPr>
        <w:tc>
          <w:tcPr>
            <w:tcW w:w="3176" w:type="dxa"/>
            <w:shd w:val="clear" w:color="auto" w:fill="auto"/>
            <w:noWrap/>
            <w:vAlign w:val="bottom"/>
            <w:hideMark/>
          </w:tcPr>
          <w:p w14:paraId="090D97DA" w14:textId="77777777" w:rsidR="00DE7981" w:rsidRPr="001F64CE" w:rsidRDefault="00DE7981" w:rsidP="003C0A88">
            <w:pPr>
              <w:pStyle w:val="ExhibitText"/>
              <w:rPr>
                <w:sz w:val="18"/>
                <w:szCs w:val="18"/>
                <w:lang w:val="en-GB" w:eastAsia="en-IN"/>
              </w:rPr>
            </w:pPr>
            <w:r w:rsidRPr="001F64CE">
              <w:rPr>
                <w:sz w:val="18"/>
                <w:szCs w:val="18"/>
                <w:lang w:val="en-GB" w:eastAsia="en-IN"/>
              </w:rPr>
              <w:t>Depreciation</w:t>
            </w:r>
          </w:p>
        </w:tc>
        <w:tc>
          <w:tcPr>
            <w:tcW w:w="1184" w:type="dxa"/>
            <w:shd w:val="clear" w:color="auto" w:fill="auto"/>
            <w:noWrap/>
            <w:vAlign w:val="bottom"/>
            <w:hideMark/>
          </w:tcPr>
          <w:p w14:paraId="69873121" w14:textId="77777777" w:rsidR="00DE7981" w:rsidRPr="001F64CE" w:rsidRDefault="00DE7981" w:rsidP="003C0A88">
            <w:pPr>
              <w:pStyle w:val="ExhibitText"/>
              <w:jc w:val="right"/>
              <w:rPr>
                <w:sz w:val="18"/>
                <w:szCs w:val="18"/>
                <w:lang w:val="en-GB" w:eastAsia="en-IN"/>
              </w:rPr>
            </w:pPr>
            <w:r w:rsidRPr="001F64CE">
              <w:rPr>
                <w:sz w:val="18"/>
                <w:szCs w:val="18"/>
                <w:lang w:val="en-GB" w:eastAsia="en-IN"/>
              </w:rPr>
              <w:t>5,414</w:t>
            </w:r>
          </w:p>
        </w:tc>
        <w:tc>
          <w:tcPr>
            <w:tcW w:w="1184" w:type="dxa"/>
            <w:shd w:val="clear" w:color="auto" w:fill="auto"/>
            <w:noWrap/>
            <w:vAlign w:val="bottom"/>
            <w:hideMark/>
          </w:tcPr>
          <w:p w14:paraId="02749BE7" w14:textId="77777777" w:rsidR="00DE7981" w:rsidRPr="001F64CE" w:rsidRDefault="00DE7981" w:rsidP="003C0A88">
            <w:pPr>
              <w:pStyle w:val="ExhibitText"/>
              <w:jc w:val="right"/>
              <w:rPr>
                <w:sz w:val="18"/>
                <w:szCs w:val="18"/>
                <w:lang w:val="en-GB" w:eastAsia="en-IN"/>
              </w:rPr>
            </w:pPr>
            <w:r w:rsidRPr="001F64CE">
              <w:rPr>
                <w:sz w:val="18"/>
                <w:szCs w:val="18"/>
                <w:lang w:val="en-GB" w:eastAsia="en-IN"/>
              </w:rPr>
              <w:t>4,992</w:t>
            </w:r>
          </w:p>
        </w:tc>
        <w:tc>
          <w:tcPr>
            <w:tcW w:w="1184" w:type="dxa"/>
            <w:shd w:val="clear" w:color="auto" w:fill="auto"/>
            <w:noWrap/>
            <w:vAlign w:val="bottom"/>
            <w:hideMark/>
          </w:tcPr>
          <w:p w14:paraId="4E8DA962" w14:textId="77777777" w:rsidR="00DE7981" w:rsidRPr="001F64CE" w:rsidRDefault="00DE7981" w:rsidP="003C0A88">
            <w:pPr>
              <w:pStyle w:val="ExhibitText"/>
              <w:jc w:val="right"/>
              <w:rPr>
                <w:sz w:val="18"/>
                <w:szCs w:val="18"/>
                <w:lang w:val="en-GB" w:eastAsia="en-IN"/>
              </w:rPr>
            </w:pPr>
            <w:r w:rsidRPr="001F64CE">
              <w:rPr>
                <w:sz w:val="18"/>
                <w:szCs w:val="18"/>
                <w:lang w:val="en-GB" w:eastAsia="en-IN"/>
              </w:rPr>
              <w:t>4,802</w:t>
            </w:r>
          </w:p>
        </w:tc>
        <w:tc>
          <w:tcPr>
            <w:tcW w:w="1184" w:type="dxa"/>
            <w:shd w:val="clear" w:color="auto" w:fill="auto"/>
            <w:noWrap/>
            <w:vAlign w:val="bottom"/>
            <w:hideMark/>
          </w:tcPr>
          <w:p w14:paraId="2BA804D9" w14:textId="77777777" w:rsidR="00DE7981" w:rsidRPr="001F64CE" w:rsidRDefault="00DE7981" w:rsidP="003C0A88">
            <w:pPr>
              <w:pStyle w:val="ExhibitText"/>
              <w:jc w:val="right"/>
              <w:rPr>
                <w:sz w:val="18"/>
                <w:szCs w:val="18"/>
                <w:lang w:val="en-GB" w:eastAsia="en-IN"/>
              </w:rPr>
            </w:pPr>
            <w:r w:rsidRPr="001F64CE">
              <w:rPr>
                <w:sz w:val="18"/>
                <w:szCs w:val="18"/>
                <w:lang w:val="en-GB" w:eastAsia="en-IN"/>
              </w:rPr>
              <w:t>8,159</w:t>
            </w:r>
          </w:p>
        </w:tc>
      </w:tr>
      <w:tr w:rsidR="00DE7981" w:rsidRPr="001F64CE" w14:paraId="166DFF8A" w14:textId="77777777" w:rsidTr="002F1F01">
        <w:trPr>
          <w:trHeight w:val="288"/>
          <w:jc w:val="center"/>
        </w:trPr>
        <w:tc>
          <w:tcPr>
            <w:tcW w:w="3176" w:type="dxa"/>
            <w:shd w:val="clear" w:color="auto" w:fill="auto"/>
            <w:noWrap/>
            <w:vAlign w:val="bottom"/>
            <w:hideMark/>
          </w:tcPr>
          <w:p w14:paraId="02B75635" w14:textId="77777777" w:rsidR="00DE7981" w:rsidRPr="001F64CE" w:rsidRDefault="00DE7981" w:rsidP="003C0A88">
            <w:pPr>
              <w:pStyle w:val="ExhibitText"/>
              <w:rPr>
                <w:sz w:val="18"/>
                <w:szCs w:val="18"/>
                <w:lang w:val="en-GB" w:eastAsia="en-IN"/>
              </w:rPr>
            </w:pPr>
            <w:r w:rsidRPr="001F64CE">
              <w:rPr>
                <w:sz w:val="18"/>
                <w:szCs w:val="18"/>
                <w:lang w:val="en-GB" w:eastAsia="en-IN"/>
              </w:rPr>
              <w:t>Other Expenses</w:t>
            </w:r>
          </w:p>
        </w:tc>
        <w:tc>
          <w:tcPr>
            <w:tcW w:w="1184" w:type="dxa"/>
            <w:shd w:val="clear" w:color="auto" w:fill="auto"/>
            <w:noWrap/>
            <w:vAlign w:val="bottom"/>
            <w:hideMark/>
          </w:tcPr>
          <w:p w14:paraId="4E72D4DE" w14:textId="77777777" w:rsidR="00DE7981" w:rsidRPr="001F64CE" w:rsidRDefault="00DE7981" w:rsidP="003C0A88">
            <w:pPr>
              <w:pStyle w:val="ExhibitText"/>
              <w:jc w:val="right"/>
              <w:rPr>
                <w:sz w:val="18"/>
                <w:szCs w:val="18"/>
                <w:lang w:val="en-GB" w:eastAsia="en-IN"/>
              </w:rPr>
            </w:pPr>
            <w:r w:rsidRPr="001F64CE">
              <w:rPr>
                <w:sz w:val="18"/>
                <w:szCs w:val="18"/>
                <w:lang w:val="en-GB" w:eastAsia="en-IN"/>
              </w:rPr>
              <w:t>14,380</w:t>
            </w:r>
          </w:p>
        </w:tc>
        <w:tc>
          <w:tcPr>
            <w:tcW w:w="1184" w:type="dxa"/>
            <w:shd w:val="clear" w:color="auto" w:fill="auto"/>
            <w:noWrap/>
            <w:vAlign w:val="bottom"/>
            <w:hideMark/>
          </w:tcPr>
          <w:p w14:paraId="265D2989" w14:textId="77777777" w:rsidR="00DE7981" w:rsidRPr="001F64CE" w:rsidRDefault="00DE7981" w:rsidP="003C0A88">
            <w:pPr>
              <w:pStyle w:val="ExhibitText"/>
              <w:jc w:val="right"/>
              <w:rPr>
                <w:sz w:val="18"/>
                <w:szCs w:val="18"/>
                <w:lang w:val="en-GB" w:eastAsia="en-IN"/>
              </w:rPr>
            </w:pPr>
            <w:r w:rsidRPr="001F64CE">
              <w:rPr>
                <w:sz w:val="18"/>
                <w:szCs w:val="18"/>
                <w:lang w:val="en-GB" w:eastAsia="en-IN"/>
              </w:rPr>
              <w:t>15,099</w:t>
            </w:r>
          </w:p>
        </w:tc>
        <w:tc>
          <w:tcPr>
            <w:tcW w:w="1184" w:type="dxa"/>
            <w:shd w:val="clear" w:color="auto" w:fill="auto"/>
            <w:noWrap/>
            <w:vAlign w:val="bottom"/>
            <w:hideMark/>
          </w:tcPr>
          <w:p w14:paraId="5F0F31ED" w14:textId="77777777" w:rsidR="00DE7981" w:rsidRPr="001F64CE" w:rsidRDefault="00DE7981" w:rsidP="003C0A88">
            <w:pPr>
              <w:pStyle w:val="ExhibitText"/>
              <w:jc w:val="right"/>
              <w:rPr>
                <w:sz w:val="18"/>
                <w:szCs w:val="18"/>
                <w:lang w:val="en-GB" w:eastAsia="en-IN"/>
              </w:rPr>
            </w:pPr>
            <w:r w:rsidRPr="001F64CE">
              <w:rPr>
                <w:sz w:val="18"/>
                <w:szCs w:val="18"/>
                <w:lang w:val="en-GB" w:eastAsia="en-IN"/>
              </w:rPr>
              <w:t>14,105</w:t>
            </w:r>
          </w:p>
        </w:tc>
        <w:tc>
          <w:tcPr>
            <w:tcW w:w="1184" w:type="dxa"/>
            <w:shd w:val="clear" w:color="auto" w:fill="auto"/>
            <w:noWrap/>
            <w:vAlign w:val="bottom"/>
            <w:hideMark/>
          </w:tcPr>
          <w:p w14:paraId="64FB4409" w14:textId="77777777" w:rsidR="00DE7981" w:rsidRPr="001F64CE" w:rsidRDefault="00DE7981" w:rsidP="003C0A88">
            <w:pPr>
              <w:pStyle w:val="ExhibitText"/>
              <w:jc w:val="right"/>
              <w:rPr>
                <w:sz w:val="18"/>
                <w:szCs w:val="18"/>
                <w:lang w:val="en-GB" w:eastAsia="en-IN"/>
              </w:rPr>
            </w:pPr>
            <w:r w:rsidRPr="001F64CE">
              <w:rPr>
                <w:sz w:val="18"/>
                <w:szCs w:val="18"/>
                <w:lang w:val="en-GB" w:eastAsia="en-IN"/>
              </w:rPr>
              <w:t>21,874</w:t>
            </w:r>
          </w:p>
        </w:tc>
      </w:tr>
      <w:tr w:rsidR="00DE7981" w:rsidRPr="001F64CE" w14:paraId="22DAE01E" w14:textId="77777777" w:rsidTr="002F1F01">
        <w:trPr>
          <w:trHeight w:val="288"/>
          <w:jc w:val="center"/>
        </w:trPr>
        <w:tc>
          <w:tcPr>
            <w:tcW w:w="3176" w:type="dxa"/>
            <w:shd w:val="clear" w:color="auto" w:fill="auto"/>
            <w:noWrap/>
            <w:vAlign w:val="bottom"/>
            <w:hideMark/>
          </w:tcPr>
          <w:p w14:paraId="14F104B0" w14:textId="77777777" w:rsidR="00DE7981" w:rsidRPr="001F64CE" w:rsidRDefault="00DE7981" w:rsidP="003C0A88">
            <w:pPr>
              <w:pStyle w:val="ExhibitText"/>
              <w:rPr>
                <w:sz w:val="18"/>
                <w:szCs w:val="18"/>
                <w:lang w:val="en-GB" w:eastAsia="en-IN"/>
              </w:rPr>
            </w:pPr>
            <w:r w:rsidRPr="001F64CE">
              <w:rPr>
                <w:sz w:val="18"/>
                <w:szCs w:val="18"/>
                <w:lang w:val="en-GB" w:eastAsia="en-IN"/>
              </w:rPr>
              <w:t>EBIT</w:t>
            </w:r>
          </w:p>
        </w:tc>
        <w:tc>
          <w:tcPr>
            <w:tcW w:w="1184" w:type="dxa"/>
            <w:shd w:val="clear" w:color="auto" w:fill="auto"/>
            <w:noWrap/>
            <w:vAlign w:val="bottom"/>
            <w:hideMark/>
          </w:tcPr>
          <w:p w14:paraId="7D4D8636" w14:textId="77777777" w:rsidR="00DE7981" w:rsidRPr="001F64CE" w:rsidRDefault="00DE7981" w:rsidP="003C0A88">
            <w:pPr>
              <w:pStyle w:val="ExhibitText"/>
              <w:jc w:val="right"/>
              <w:rPr>
                <w:sz w:val="18"/>
                <w:szCs w:val="18"/>
                <w:lang w:val="en-GB" w:eastAsia="en-IN"/>
              </w:rPr>
            </w:pPr>
            <w:r w:rsidRPr="001F64CE">
              <w:rPr>
                <w:sz w:val="18"/>
                <w:szCs w:val="18"/>
                <w:lang w:val="en-GB" w:eastAsia="en-IN"/>
              </w:rPr>
              <w:t>9,304</w:t>
            </w:r>
          </w:p>
        </w:tc>
        <w:tc>
          <w:tcPr>
            <w:tcW w:w="1184" w:type="dxa"/>
            <w:shd w:val="clear" w:color="auto" w:fill="auto"/>
            <w:noWrap/>
            <w:vAlign w:val="bottom"/>
            <w:hideMark/>
          </w:tcPr>
          <w:p w14:paraId="2222C140" w14:textId="77777777" w:rsidR="00DE7981" w:rsidRPr="001F64CE" w:rsidRDefault="00DE7981" w:rsidP="003C0A88">
            <w:pPr>
              <w:pStyle w:val="ExhibitText"/>
              <w:jc w:val="right"/>
              <w:rPr>
                <w:sz w:val="18"/>
                <w:szCs w:val="18"/>
                <w:lang w:val="en-GB" w:eastAsia="en-IN"/>
              </w:rPr>
            </w:pPr>
            <w:r w:rsidRPr="001F64CE">
              <w:rPr>
                <w:sz w:val="18"/>
                <w:szCs w:val="18"/>
                <w:lang w:val="en-GB" w:eastAsia="en-IN"/>
              </w:rPr>
              <w:t>9,233</w:t>
            </w:r>
          </w:p>
        </w:tc>
        <w:tc>
          <w:tcPr>
            <w:tcW w:w="1184" w:type="dxa"/>
            <w:shd w:val="clear" w:color="auto" w:fill="auto"/>
            <w:noWrap/>
            <w:vAlign w:val="bottom"/>
            <w:hideMark/>
          </w:tcPr>
          <w:p w14:paraId="2A5C8300" w14:textId="77777777" w:rsidR="00DE7981" w:rsidRPr="001F64CE" w:rsidRDefault="00DE7981" w:rsidP="003C0A88">
            <w:pPr>
              <w:pStyle w:val="ExhibitText"/>
              <w:jc w:val="right"/>
              <w:rPr>
                <w:sz w:val="18"/>
                <w:szCs w:val="18"/>
                <w:lang w:val="en-GB" w:eastAsia="en-IN"/>
              </w:rPr>
            </w:pPr>
            <w:r w:rsidRPr="001F64CE">
              <w:rPr>
                <w:sz w:val="18"/>
                <w:szCs w:val="18"/>
                <w:lang w:val="en-GB" w:eastAsia="en-IN"/>
              </w:rPr>
              <w:t>8,903</w:t>
            </w:r>
          </w:p>
        </w:tc>
        <w:tc>
          <w:tcPr>
            <w:tcW w:w="1184" w:type="dxa"/>
            <w:shd w:val="clear" w:color="auto" w:fill="auto"/>
            <w:noWrap/>
            <w:vAlign w:val="bottom"/>
            <w:hideMark/>
          </w:tcPr>
          <w:p w14:paraId="3A1A6D2B" w14:textId="77777777" w:rsidR="00DE7981" w:rsidRPr="001F64CE" w:rsidRDefault="00DE7981" w:rsidP="003C0A88">
            <w:pPr>
              <w:pStyle w:val="ExhibitText"/>
              <w:jc w:val="right"/>
              <w:rPr>
                <w:sz w:val="18"/>
                <w:szCs w:val="18"/>
                <w:lang w:val="en-GB" w:eastAsia="en-IN"/>
              </w:rPr>
            </w:pPr>
            <w:r w:rsidRPr="001F64CE">
              <w:rPr>
                <w:sz w:val="18"/>
                <w:szCs w:val="18"/>
                <w:lang w:val="en-GB" w:eastAsia="en-IN"/>
              </w:rPr>
              <w:t>15,827</w:t>
            </w:r>
          </w:p>
        </w:tc>
      </w:tr>
      <w:tr w:rsidR="00DE7981" w:rsidRPr="001F64CE" w14:paraId="436DAED0" w14:textId="77777777" w:rsidTr="002F1F01">
        <w:trPr>
          <w:trHeight w:val="288"/>
          <w:jc w:val="center"/>
        </w:trPr>
        <w:tc>
          <w:tcPr>
            <w:tcW w:w="3176" w:type="dxa"/>
            <w:shd w:val="clear" w:color="auto" w:fill="auto"/>
            <w:noWrap/>
            <w:vAlign w:val="bottom"/>
            <w:hideMark/>
          </w:tcPr>
          <w:p w14:paraId="41D49C0A" w14:textId="77777777" w:rsidR="00DE7981" w:rsidRPr="001F64CE" w:rsidRDefault="00DE7981" w:rsidP="003C0A88">
            <w:pPr>
              <w:pStyle w:val="ExhibitText"/>
              <w:rPr>
                <w:sz w:val="18"/>
                <w:szCs w:val="18"/>
                <w:lang w:val="en-GB" w:eastAsia="en-IN"/>
              </w:rPr>
            </w:pPr>
            <w:r w:rsidRPr="001F64CE">
              <w:rPr>
                <w:sz w:val="18"/>
                <w:szCs w:val="18"/>
                <w:lang w:val="en-GB" w:eastAsia="en-IN"/>
              </w:rPr>
              <w:t>Interest</w:t>
            </w:r>
          </w:p>
        </w:tc>
        <w:tc>
          <w:tcPr>
            <w:tcW w:w="1184" w:type="dxa"/>
            <w:shd w:val="clear" w:color="auto" w:fill="auto"/>
            <w:noWrap/>
            <w:vAlign w:val="bottom"/>
            <w:hideMark/>
          </w:tcPr>
          <w:p w14:paraId="14730DDE" w14:textId="77777777" w:rsidR="00DE7981" w:rsidRPr="001F64CE" w:rsidRDefault="00DE7981" w:rsidP="003C0A88">
            <w:pPr>
              <w:pStyle w:val="ExhibitText"/>
              <w:jc w:val="right"/>
              <w:rPr>
                <w:sz w:val="18"/>
                <w:szCs w:val="18"/>
                <w:lang w:val="en-GB" w:eastAsia="en-IN"/>
              </w:rPr>
            </w:pPr>
            <w:r w:rsidRPr="001F64CE">
              <w:rPr>
                <w:sz w:val="18"/>
                <w:szCs w:val="18"/>
                <w:lang w:val="en-GB" w:eastAsia="en-IN"/>
              </w:rPr>
              <w:t>448</w:t>
            </w:r>
          </w:p>
        </w:tc>
        <w:tc>
          <w:tcPr>
            <w:tcW w:w="1184" w:type="dxa"/>
            <w:shd w:val="clear" w:color="auto" w:fill="auto"/>
            <w:noWrap/>
            <w:vAlign w:val="bottom"/>
            <w:hideMark/>
          </w:tcPr>
          <w:p w14:paraId="1CE7B626" w14:textId="77777777" w:rsidR="00DE7981" w:rsidRPr="001F64CE" w:rsidRDefault="00DE7981" w:rsidP="003C0A88">
            <w:pPr>
              <w:pStyle w:val="ExhibitText"/>
              <w:jc w:val="right"/>
              <w:rPr>
                <w:sz w:val="18"/>
                <w:szCs w:val="18"/>
                <w:lang w:val="en-GB" w:eastAsia="en-IN"/>
              </w:rPr>
            </w:pPr>
            <w:r w:rsidRPr="001F64CE">
              <w:rPr>
                <w:sz w:val="18"/>
                <w:szCs w:val="18"/>
                <w:lang w:val="en-GB" w:eastAsia="en-IN"/>
              </w:rPr>
              <w:t>434</w:t>
            </w:r>
          </w:p>
        </w:tc>
        <w:tc>
          <w:tcPr>
            <w:tcW w:w="1184" w:type="dxa"/>
            <w:shd w:val="clear" w:color="auto" w:fill="auto"/>
            <w:noWrap/>
            <w:vAlign w:val="bottom"/>
            <w:hideMark/>
          </w:tcPr>
          <w:p w14:paraId="004381A3" w14:textId="77777777" w:rsidR="00DE7981" w:rsidRPr="001F64CE" w:rsidRDefault="00DE7981" w:rsidP="003C0A88">
            <w:pPr>
              <w:pStyle w:val="ExhibitText"/>
              <w:jc w:val="right"/>
              <w:rPr>
                <w:sz w:val="18"/>
                <w:szCs w:val="18"/>
                <w:lang w:val="en-GB" w:eastAsia="en-IN"/>
              </w:rPr>
            </w:pPr>
            <w:r w:rsidRPr="001F64CE">
              <w:rPr>
                <w:sz w:val="18"/>
                <w:szCs w:val="18"/>
                <w:lang w:val="en-GB" w:eastAsia="en-IN"/>
              </w:rPr>
              <w:t>442</w:t>
            </w:r>
          </w:p>
        </w:tc>
        <w:tc>
          <w:tcPr>
            <w:tcW w:w="1184" w:type="dxa"/>
            <w:shd w:val="clear" w:color="auto" w:fill="auto"/>
            <w:noWrap/>
            <w:vAlign w:val="bottom"/>
            <w:hideMark/>
          </w:tcPr>
          <w:p w14:paraId="38D0F5AD" w14:textId="77777777" w:rsidR="00DE7981" w:rsidRPr="001F64CE" w:rsidRDefault="00DE7981" w:rsidP="003C0A88">
            <w:pPr>
              <w:pStyle w:val="ExhibitText"/>
              <w:jc w:val="right"/>
              <w:rPr>
                <w:sz w:val="18"/>
                <w:szCs w:val="18"/>
                <w:lang w:val="en-GB" w:eastAsia="en-IN"/>
              </w:rPr>
            </w:pPr>
            <w:r w:rsidRPr="001F64CE">
              <w:rPr>
                <w:sz w:val="18"/>
                <w:szCs w:val="18"/>
                <w:lang w:val="en-GB" w:eastAsia="en-IN"/>
              </w:rPr>
              <w:t>726</w:t>
            </w:r>
          </w:p>
        </w:tc>
      </w:tr>
      <w:tr w:rsidR="00DE7981" w:rsidRPr="001F64CE" w14:paraId="20038331" w14:textId="77777777" w:rsidTr="002F1F01">
        <w:trPr>
          <w:trHeight w:val="288"/>
          <w:jc w:val="center"/>
        </w:trPr>
        <w:tc>
          <w:tcPr>
            <w:tcW w:w="3176" w:type="dxa"/>
            <w:shd w:val="clear" w:color="auto" w:fill="auto"/>
            <w:noWrap/>
            <w:vAlign w:val="bottom"/>
            <w:hideMark/>
          </w:tcPr>
          <w:p w14:paraId="61D835EE" w14:textId="77777777" w:rsidR="00DE7981" w:rsidRPr="001F64CE" w:rsidRDefault="00DE7981" w:rsidP="003C0A88">
            <w:pPr>
              <w:pStyle w:val="ExhibitText"/>
              <w:rPr>
                <w:sz w:val="18"/>
                <w:szCs w:val="18"/>
                <w:lang w:val="en-GB" w:eastAsia="en-IN"/>
              </w:rPr>
            </w:pPr>
            <w:r w:rsidRPr="001F64CE">
              <w:rPr>
                <w:sz w:val="18"/>
                <w:szCs w:val="18"/>
                <w:lang w:val="en-GB" w:eastAsia="en-IN"/>
              </w:rPr>
              <w:t>PBT</w:t>
            </w:r>
          </w:p>
        </w:tc>
        <w:tc>
          <w:tcPr>
            <w:tcW w:w="1184" w:type="dxa"/>
            <w:shd w:val="clear" w:color="auto" w:fill="auto"/>
            <w:noWrap/>
            <w:vAlign w:val="bottom"/>
            <w:hideMark/>
          </w:tcPr>
          <w:p w14:paraId="3E99D988" w14:textId="77777777" w:rsidR="00DE7981" w:rsidRPr="001F64CE" w:rsidRDefault="00DE7981" w:rsidP="003C0A88">
            <w:pPr>
              <w:pStyle w:val="ExhibitText"/>
              <w:jc w:val="right"/>
              <w:rPr>
                <w:sz w:val="18"/>
                <w:szCs w:val="18"/>
                <w:lang w:val="en-GB" w:eastAsia="en-IN"/>
              </w:rPr>
            </w:pPr>
            <w:r w:rsidRPr="001F64CE">
              <w:rPr>
                <w:sz w:val="18"/>
                <w:szCs w:val="18"/>
                <w:lang w:val="en-GB" w:eastAsia="en-IN"/>
              </w:rPr>
              <w:t>8,856</w:t>
            </w:r>
          </w:p>
        </w:tc>
        <w:tc>
          <w:tcPr>
            <w:tcW w:w="1184" w:type="dxa"/>
            <w:shd w:val="clear" w:color="auto" w:fill="auto"/>
            <w:noWrap/>
            <w:vAlign w:val="bottom"/>
            <w:hideMark/>
          </w:tcPr>
          <w:p w14:paraId="2F3B09BA" w14:textId="77777777" w:rsidR="00DE7981" w:rsidRPr="001F64CE" w:rsidRDefault="00DE7981" w:rsidP="003C0A88">
            <w:pPr>
              <w:pStyle w:val="ExhibitText"/>
              <w:jc w:val="right"/>
              <w:rPr>
                <w:sz w:val="18"/>
                <w:szCs w:val="18"/>
                <w:lang w:val="en-GB" w:eastAsia="en-IN"/>
              </w:rPr>
            </w:pPr>
            <w:r w:rsidRPr="001F64CE">
              <w:rPr>
                <w:sz w:val="18"/>
                <w:szCs w:val="18"/>
                <w:lang w:val="en-GB" w:eastAsia="en-IN"/>
              </w:rPr>
              <w:t>8,799</w:t>
            </w:r>
          </w:p>
        </w:tc>
        <w:tc>
          <w:tcPr>
            <w:tcW w:w="1184" w:type="dxa"/>
            <w:shd w:val="clear" w:color="auto" w:fill="auto"/>
            <w:noWrap/>
            <w:vAlign w:val="bottom"/>
            <w:hideMark/>
          </w:tcPr>
          <w:p w14:paraId="06F0FDD0" w14:textId="77777777" w:rsidR="00DE7981" w:rsidRPr="001F64CE" w:rsidRDefault="00DE7981" w:rsidP="003C0A88">
            <w:pPr>
              <w:pStyle w:val="ExhibitText"/>
              <w:jc w:val="right"/>
              <w:rPr>
                <w:sz w:val="18"/>
                <w:szCs w:val="18"/>
                <w:lang w:val="en-GB" w:eastAsia="en-IN"/>
              </w:rPr>
            </w:pPr>
            <w:r w:rsidRPr="001F64CE">
              <w:rPr>
                <w:sz w:val="18"/>
                <w:szCs w:val="18"/>
                <w:lang w:val="en-GB" w:eastAsia="en-IN"/>
              </w:rPr>
              <w:t>8,461</w:t>
            </w:r>
          </w:p>
        </w:tc>
        <w:tc>
          <w:tcPr>
            <w:tcW w:w="1184" w:type="dxa"/>
            <w:shd w:val="clear" w:color="auto" w:fill="auto"/>
            <w:noWrap/>
            <w:vAlign w:val="bottom"/>
            <w:hideMark/>
          </w:tcPr>
          <w:p w14:paraId="6645D4D9" w14:textId="77777777" w:rsidR="00DE7981" w:rsidRPr="001F64CE" w:rsidRDefault="00DE7981" w:rsidP="003C0A88">
            <w:pPr>
              <w:pStyle w:val="ExhibitText"/>
              <w:jc w:val="right"/>
              <w:rPr>
                <w:sz w:val="18"/>
                <w:szCs w:val="18"/>
                <w:lang w:val="en-GB" w:eastAsia="en-IN"/>
              </w:rPr>
            </w:pPr>
            <w:r w:rsidRPr="001F64CE">
              <w:rPr>
                <w:sz w:val="18"/>
                <w:szCs w:val="18"/>
                <w:lang w:val="en-GB" w:eastAsia="en-IN"/>
              </w:rPr>
              <w:t>15,101</w:t>
            </w:r>
          </w:p>
        </w:tc>
      </w:tr>
      <w:tr w:rsidR="00DE7981" w:rsidRPr="001F64CE" w14:paraId="08DD2E15" w14:textId="77777777" w:rsidTr="002F1F01">
        <w:trPr>
          <w:trHeight w:val="288"/>
          <w:jc w:val="center"/>
        </w:trPr>
        <w:tc>
          <w:tcPr>
            <w:tcW w:w="3176" w:type="dxa"/>
            <w:shd w:val="clear" w:color="auto" w:fill="auto"/>
            <w:noWrap/>
            <w:vAlign w:val="bottom"/>
            <w:hideMark/>
          </w:tcPr>
          <w:p w14:paraId="41CCBA07" w14:textId="77777777" w:rsidR="00DE7981" w:rsidRPr="001F64CE" w:rsidRDefault="00DE7981" w:rsidP="003C0A88">
            <w:pPr>
              <w:pStyle w:val="ExhibitText"/>
              <w:rPr>
                <w:sz w:val="18"/>
                <w:szCs w:val="18"/>
                <w:lang w:val="en-GB" w:eastAsia="en-IN"/>
              </w:rPr>
            </w:pPr>
            <w:r w:rsidRPr="001F64CE">
              <w:rPr>
                <w:sz w:val="18"/>
                <w:szCs w:val="18"/>
                <w:lang w:val="en-GB" w:eastAsia="en-IN"/>
              </w:rPr>
              <w:t>Tax</w:t>
            </w:r>
          </w:p>
        </w:tc>
        <w:tc>
          <w:tcPr>
            <w:tcW w:w="1184" w:type="dxa"/>
            <w:shd w:val="clear" w:color="auto" w:fill="auto"/>
            <w:noWrap/>
            <w:vAlign w:val="bottom"/>
            <w:hideMark/>
          </w:tcPr>
          <w:p w14:paraId="66098677" w14:textId="77777777" w:rsidR="00DE7981" w:rsidRPr="001F64CE" w:rsidRDefault="00DE7981" w:rsidP="003C0A88">
            <w:pPr>
              <w:pStyle w:val="ExhibitText"/>
              <w:jc w:val="right"/>
              <w:rPr>
                <w:sz w:val="18"/>
                <w:szCs w:val="18"/>
                <w:lang w:val="en-GB" w:eastAsia="en-IN"/>
              </w:rPr>
            </w:pPr>
            <w:r w:rsidRPr="001F64CE">
              <w:rPr>
                <w:sz w:val="18"/>
                <w:szCs w:val="18"/>
                <w:lang w:val="en-GB" w:eastAsia="en-IN"/>
              </w:rPr>
              <w:t>2,044</w:t>
            </w:r>
          </w:p>
        </w:tc>
        <w:tc>
          <w:tcPr>
            <w:tcW w:w="1184" w:type="dxa"/>
            <w:shd w:val="clear" w:color="auto" w:fill="auto"/>
            <w:noWrap/>
            <w:vAlign w:val="bottom"/>
            <w:hideMark/>
          </w:tcPr>
          <w:p w14:paraId="167880F7" w14:textId="77777777" w:rsidR="00DE7981" w:rsidRPr="001F64CE" w:rsidRDefault="00DE7981" w:rsidP="003C0A88">
            <w:pPr>
              <w:pStyle w:val="ExhibitText"/>
              <w:jc w:val="right"/>
              <w:rPr>
                <w:sz w:val="18"/>
                <w:szCs w:val="18"/>
                <w:lang w:val="en-GB" w:eastAsia="en-IN"/>
              </w:rPr>
            </w:pPr>
            <w:r w:rsidRPr="001F64CE">
              <w:rPr>
                <w:sz w:val="18"/>
                <w:szCs w:val="18"/>
                <w:lang w:val="en-GB" w:eastAsia="en-IN"/>
              </w:rPr>
              <w:t>2,097</w:t>
            </w:r>
          </w:p>
        </w:tc>
        <w:tc>
          <w:tcPr>
            <w:tcW w:w="1184" w:type="dxa"/>
            <w:shd w:val="clear" w:color="auto" w:fill="auto"/>
            <w:noWrap/>
            <w:vAlign w:val="bottom"/>
            <w:hideMark/>
          </w:tcPr>
          <w:p w14:paraId="27F82F44" w14:textId="77777777" w:rsidR="00DE7981" w:rsidRPr="001F64CE" w:rsidRDefault="00DE7981" w:rsidP="003C0A88">
            <w:pPr>
              <w:pStyle w:val="ExhibitText"/>
              <w:jc w:val="right"/>
              <w:rPr>
                <w:sz w:val="18"/>
                <w:szCs w:val="18"/>
                <w:lang w:val="en-GB" w:eastAsia="en-IN"/>
              </w:rPr>
            </w:pPr>
            <w:r w:rsidRPr="001F64CE">
              <w:rPr>
                <w:sz w:val="18"/>
                <w:szCs w:val="18"/>
                <w:lang w:val="en-GB" w:eastAsia="en-IN"/>
              </w:rPr>
              <w:t>2,145</w:t>
            </w:r>
          </w:p>
        </w:tc>
        <w:tc>
          <w:tcPr>
            <w:tcW w:w="1184" w:type="dxa"/>
            <w:shd w:val="clear" w:color="auto" w:fill="auto"/>
            <w:noWrap/>
            <w:vAlign w:val="bottom"/>
            <w:hideMark/>
          </w:tcPr>
          <w:p w14:paraId="773A0BA2" w14:textId="77777777" w:rsidR="00DE7981" w:rsidRPr="001F64CE" w:rsidRDefault="00DE7981" w:rsidP="003C0A88">
            <w:pPr>
              <w:pStyle w:val="ExhibitText"/>
              <w:jc w:val="right"/>
              <w:rPr>
                <w:sz w:val="18"/>
                <w:szCs w:val="18"/>
                <w:lang w:val="en-GB" w:eastAsia="en-IN"/>
              </w:rPr>
            </w:pPr>
            <w:r w:rsidRPr="001F64CE">
              <w:rPr>
                <w:sz w:val="18"/>
                <w:szCs w:val="18"/>
                <w:lang w:val="en-GB" w:eastAsia="en-IN"/>
              </w:rPr>
              <w:t>2,705</w:t>
            </w:r>
          </w:p>
        </w:tc>
      </w:tr>
      <w:tr w:rsidR="00DE7981" w:rsidRPr="001F64CE" w14:paraId="4E165118" w14:textId="77777777" w:rsidTr="002F1F01">
        <w:trPr>
          <w:trHeight w:val="288"/>
          <w:jc w:val="center"/>
        </w:trPr>
        <w:tc>
          <w:tcPr>
            <w:tcW w:w="3176" w:type="dxa"/>
            <w:shd w:val="clear" w:color="auto" w:fill="auto"/>
            <w:noWrap/>
            <w:vAlign w:val="bottom"/>
            <w:hideMark/>
          </w:tcPr>
          <w:p w14:paraId="283D8238" w14:textId="77777777" w:rsidR="00DE7981" w:rsidRPr="001F64CE" w:rsidRDefault="00DE7981" w:rsidP="003C0A88">
            <w:pPr>
              <w:pStyle w:val="ExhibitText"/>
              <w:rPr>
                <w:sz w:val="18"/>
                <w:szCs w:val="18"/>
                <w:lang w:val="en-GB" w:eastAsia="en-IN"/>
              </w:rPr>
            </w:pPr>
            <w:r w:rsidRPr="001F64CE">
              <w:rPr>
                <w:sz w:val="18"/>
                <w:szCs w:val="18"/>
                <w:lang w:val="en-GB" w:eastAsia="en-IN"/>
              </w:rPr>
              <w:t>Net Income</w:t>
            </w:r>
          </w:p>
        </w:tc>
        <w:tc>
          <w:tcPr>
            <w:tcW w:w="1184" w:type="dxa"/>
            <w:shd w:val="clear" w:color="auto" w:fill="auto"/>
            <w:noWrap/>
            <w:vAlign w:val="bottom"/>
            <w:hideMark/>
          </w:tcPr>
          <w:p w14:paraId="5AB966B9" w14:textId="77777777" w:rsidR="00DE7981" w:rsidRPr="001F64CE" w:rsidRDefault="00DE7981" w:rsidP="003C0A88">
            <w:pPr>
              <w:pStyle w:val="ExhibitText"/>
              <w:jc w:val="right"/>
              <w:rPr>
                <w:sz w:val="18"/>
                <w:szCs w:val="18"/>
                <w:lang w:val="en-GB" w:eastAsia="en-IN"/>
              </w:rPr>
            </w:pPr>
            <w:r w:rsidRPr="001F64CE">
              <w:rPr>
                <w:sz w:val="18"/>
                <w:szCs w:val="18"/>
                <w:lang w:val="en-GB" w:eastAsia="en-IN"/>
              </w:rPr>
              <w:t>6,812</w:t>
            </w:r>
          </w:p>
        </w:tc>
        <w:tc>
          <w:tcPr>
            <w:tcW w:w="1184" w:type="dxa"/>
            <w:shd w:val="clear" w:color="auto" w:fill="auto"/>
            <w:noWrap/>
            <w:vAlign w:val="bottom"/>
            <w:hideMark/>
          </w:tcPr>
          <w:p w14:paraId="15A6B2E2" w14:textId="77777777" w:rsidR="00DE7981" w:rsidRPr="001F64CE" w:rsidRDefault="00DE7981" w:rsidP="003C0A88">
            <w:pPr>
              <w:pStyle w:val="ExhibitText"/>
              <w:jc w:val="right"/>
              <w:rPr>
                <w:sz w:val="18"/>
                <w:szCs w:val="18"/>
                <w:lang w:val="en-GB" w:eastAsia="en-IN"/>
              </w:rPr>
            </w:pPr>
            <w:r w:rsidRPr="001F64CE">
              <w:rPr>
                <w:sz w:val="18"/>
                <w:szCs w:val="18"/>
                <w:lang w:val="en-GB" w:eastAsia="en-IN"/>
              </w:rPr>
              <w:t>6,702</w:t>
            </w:r>
          </w:p>
        </w:tc>
        <w:tc>
          <w:tcPr>
            <w:tcW w:w="1184" w:type="dxa"/>
            <w:shd w:val="clear" w:color="auto" w:fill="auto"/>
            <w:noWrap/>
            <w:vAlign w:val="bottom"/>
            <w:hideMark/>
          </w:tcPr>
          <w:p w14:paraId="37293C41" w14:textId="77777777" w:rsidR="00DE7981" w:rsidRPr="001F64CE" w:rsidRDefault="00DE7981" w:rsidP="003C0A88">
            <w:pPr>
              <w:pStyle w:val="ExhibitText"/>
              <w:jc w:val="right"/>
              <w:rPr>
                <w:sz w:val="18"/>
                <w:szCs w:val="18"/>
                <w:lang w:val="en-GB" w:eastAsia="en-IN"/>
              </w:rPr>
            </w:pPr>
            <w:r w:rsidRPr="001F64CE">
              <w:rPr>
                <w:sz w:val="18"/>
                <w:szCs w:val="18"/>
                <w:lang w:val="en-GB" w:eastAsia="en-IN"/>
              </w:rPr>
              <w:t>6,316</w:t>
            </w:r>
          </w:p>
        </w:tc>
        <w:tc>
          <w:tcPr>
            <w:tcW w:w="1184" w:type="dxa"/>
            <w:shd w:val="clear" w:color="auto" w:fill="auto"/>
            <w:noWrap/>
            <w:vAlign w:val="bottom"/>
            <w:hideMark/>
          </w:tcPr>
          <w:p w14:paraId="43F94D46" w14:textId="77777777" w:rsidR="00DE7981" w:rsidRPr="001F64CE" w:rsidRDefault="00DE7981" w:rsidP="003C0A88">
            <w:pPr>
              <w:pStyle w:val="ExhibitText"/>
              <w:jc w:val="right"/>
              <w:rPr>
                <w:sz w:val="18"/>
                <w:szCs w:val="18"/>
                <w:lang w:val="en-GB" w:eastAsia="en-IN"/>
              </w:rPr>
            </w:pPr>
            <w:r w:rsidRPr="001F64CE">
              <w:rPr>
                <w:sz w:val="18"/>
                <w:szCs w:val="18"/>
                <w:lang w:val="en-GB" w:eastAsia="en-IN"/>
              </w:rPr>
              <w:t>12,396</w:t>
            </w:r>
          </w:p>
        </w:tc>
      </w:tr>
    </w:tbl>
    <w:p w14:paraId="12FBA99D" w14:textId="77777777" w:rsidR="00D903EB" w:rsidRPr="001F64CE" w:rsidRDefault="00D903EB" w:rsidP="003C0A88">
      <w:pPr>
        <w:pStyle w:val="Footnote"/>
        <w:rPr>
          <w:lang w:val="en-GB"/>
        </w:rPr>
      </w:pPr>
    </w:p>
    <w:p w14:paraId="088C876E" w14:textId="16563C81" w:rsidR="00370907" w:rsidRDefault="00FE3D2E" w:rsidP="003C0A88">
      <w:pPr>
        <w:pStyle w:val="Footnote"/>
        <w:rPr>
          <w:kern w:val="17"/>
        </w:rPr>
      </w:pPr>
      <w:r w:rsidRPr="00370907">
        <w:rPr>
          <w:kern w:val="17"/>
          <w:lang w:val="en-GB"/>
        </w:rPr>
        <w:t xml:space="preserve">Source: Created by the </w:t>
      </w:r>
      <w:r w:rsidR="00370907" w:rsidRPr="00370907">
        <w:rPr>
          <w:kern w:val="17"/>
          <w:lang w:val="en-GB"/>
        </w:rPr>
        <w:t>authors based on “Annual Report 2012</w:t>
      </w:r>
      <w:r w:rsidRPr="00370907">
        <w:rPr>
          <w:kern w:val="17"/>
          <w:lang w:val="en-GB"/>
        </w:rPr>
        <w:t>,” Maruti Suzuki</w:t>
      </w:r>
      <w:r w:rsidR="00ED0932" w:rsidRPr="00370907">
        <w:rPr>
          <w:kern w:val="17"/>
          <w:lang w:val="en-GB"/>
        </w:rPr>
        <w:t xml:space="preserve"> India Limited</w:t>
      </w:r>
      <w:r w:rsidRPr="00370907">
        <w:rPr>
          <w:kern w:val="17"/>
          <w:lang w:val="en-GB"/>
        </w:rPr>
        <w:t xml:space="preserve">, accessed July 13, 2014, </w:t>
      </w:r>
      <w:r w:rsidR="00370907" w:rsidRPr="00370907">
        <w:rPr>
          <w:kern w:val="17"/>
        </w:rPr>
        <w:t>https://marutistorage.blob.core.windows.net/marutisuzukipdf/MARUTI_AR_2012_Deluxe_27-07-12.pdf</w:t>
      </w:r>
      <w:r w:rsidR="00370907" w:rsidRPr="00370907">
        <w:rPr>
          <w:kern w:val="17"/>
          <w:lang w:val="en-GB"/>
        </w:rPr>
        <w:t xml:space="preserve">; “Annual Report 2013,” Maruti Suzuki India Limited, accessed July 13, 2014, </w:t>
      </w:r>
      <w:r w:rsidR="00370907" w:rsidRPr="00370907">
        <w:rPr>
          <w:kern w:val="17"/>
        </w:rPr>
        <w:t>https://marutistorage.blob.core.windows.net/marutisuzukipdf</w:t>
      </w:r>
    </w:p>
    <w:p w14:paraId="20FC8270" w14:textId="123448E7" w:rsidR="00FE3D2E" w:rsidRPr="00370907" w:rsidRDefault="00370907" w:rsidP="003C0A88">
      <w:pPr>
        <w:pStyle w:val="Footnote"/>
        <w:rPr>
          <w:kern w:val="17"/>
          <w:lang w:val="en-GB"/>
        </w:rPr>
      </w:pPr>
      <w:r w:rsidRPr="00370907">
        <w:rPr>
          <w:kern w:val="17"/>
        </w:rPr>
        <w:t>/MarutiSuzukiAnnualReport2012_13.pdf</w:t>
      </w:r>
    </w:p>
    <w:p w14:paraId="181E10DA" w14:textId="77777777" w:rsidR="00DE7981" w:rsidRPr="001F64CE" w:rsidRDefault="00DE7981" w:rsidP="003C0A88">
      <w:pPr>
        <w:pStyle w:val="Footnote"/>
        <w:rPr>
          <w:lang w:val="en-GB"/>
        </w:rPr>
      </w:pPr>
    </w:p>
    <w:p w14:paraId="2F153B3E" w14:textId="77777777" w:rsidR="00222C3C" w:rsidRPr="001F64CE" w:rsidRDefault="00222C3C" w:rsidP="003C0A88">
      <w:pPr>
        <w:pStyle w:val="Footnote"/>
        <w:rPr>
          <w:lang w:val="en-GB"/>
        </w:rPr>
      </w:pPr>
    </w:p>
    <w:p w14:paraId="5479272D" w14:textId="2BC706FE" w:rsidR="00DE7981" w:rsidRPr="001F64CE" w:rsidRDefault="00DE7981" w:rsidP="003C0A88">
      <w:pPr>
        <w:pStyle w:val="ExhibitHeading"/>
        <w:rPr>
          <w:lang w:val="en-GB"/>
        </w:rPr>
      </w:pPr>
      <w:r w:rsidRPr="001F64CE">
        <w:rPr>
          <w:lang w:val="en-GB"/>
        </w:rPr>
        <w:t>Exhibit 3: Total Vehicles Sold in India (2007–2013)</w:t>
      </w:r>
    </w:p>
    <w:p w14:paraId="46E0DB17" w14:textId="6FC494B5" w:rsidR="00DE7981" w:rsidRPr="001F64CE" w:rsidRDefault="00DE7981" w:rsidP="003C0A88">
      <w:pPr>
        <w:pStyle w:val="NormalWeb"/>
        <w:spacing w:before="0" w:beforeAutospacing="0" w:after="0" w:afterAutospacing="0"/>
        <w:ind w:left="144" w:right="144"/>
        <w:jc w:val="both"/>
        <w:textAlignment w:val="top"/>
        <w:rPr>
          <w:sz w:val="22"/>
          <w:szCs w:val="22"/>
          <w:lang w:val="en-GB"/>
        </w:rPr>
      </w:pP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1467"/>
        <w:gridCol w:w="1276"/>
        <w:gridCol w:w="1276"/>
        <w:gridCol w:w="1276"/>
        <w:gridCol w:w="1276"/>
        <w:gridCol w:w="1276"/>
      </w:tblGrid>
      <w:tr w:rsidR="00DE7981" w:rsidRPr="001F64CE" w14:paraId="2D885F1F" w14:textId="77777777" w:rsidTr="002F1F01">
        <w:trPr>
          <w:trHeight w:val="288"/>
          <w:jc w:val="center"/>
        </w:trPr>
        <w:tc>
          <w:tcPr>
            <w:tcW w:w="1530" w:type="dxa"/>
            <w:shd w:val="clear" w:color="auto" w:fill="auto"/>
            <w:noWrap/>
            <w:vAlign w:val="bottom"/>
            <w:hideMark/>
          </w:tcPr>
          <w:p w14:paraId="3B41D0DB" w14:textId="77777777" w:rsidR="00DE7981" w:rsidRPr="002F1F01" w:rsidRDefault="00DE7981" w:rsidP="003C0A88">
            <w:pPr>
              <w:pStyle w:val="ExhibitText"/>
              <w:jc w:val="center"/>
              <w:rPr>
                <w:b/>
                <w:sz w:val="18"/>
                <w:szCs w:val="18"/>
                <w:lang w:val="en-GB"/>
              </w:rPr>
            </w:pPr>
          </w:p>
        </w:tc>
        <w:tc>
          <w:tcPr>
            <w:tcW w:w="1467" w:type="dxa"/>
            <w:shd w:val="clear" w:color="auto" w:fill="auto"/>
            <w:noWrap/>
            <w:vAlign w:val="bottom"/>
            <w:hideMark/>
          </w:tcPr>
          <w:p w14:paraId="66F630AE" w14:textId="0D63F8DF" w:rsidR="00DE7981" w:rsidRPr="002F1F01" w:rsidRDefault="00DE7981" w:rsidP="003C0A88">
            <w:pPr>
              <w:pStyle w:val="ExhibitText"/>
              <w:jc w:val="center"/>
              <w:rPr>
                <w:b/>
                <w:sz w:val="18"/>
                <w:szCs w:val="18"/>
                <w:lang w:val="en-GB"/>
              </w:rPr>
            </w:pPr>
            <w:r w:rsidRPr="002F1F01">
              <w:rPr>
                <w:b/>
                <w:sz w:val="18"/>
                <w:szCs w:val="18"/>
                <w:lang w:val="en-GB"/>
              </w:rPr>
              <w:t>2007</w:t>
            </w:r>
            <w:r w:rsidR="002365FE" w:rsidRPr="002F1F01">
              <w:rPr>
                <w:b/>
                <w:sz w:val="18"/>
                <w:szCs w:val="18"/>
                <w:lang w:val="en-GB"/>
              </w:rPr>
              <w:t>–20</w:t>
            </w:r>
            <w:r w:rsidRPr="002F1F01">
              <w:rPr>
                <w:b/>
                <w:sz w:val="18"/>
                <w:szCs w:val="18"/>
                <w:lang w:val="en-GB"/>
              </w:rPr>
              <w:t>08</w:t>
            </w:r>
          </w:p>
        </w:tc>
        <w:tc>
          <w:tcPr>
            <w:tcW w:w="1276" w:type="dxa"/>
            <w:shd w:val="clear" w:color="auto" w:fill="auto"/>
            <w:noWrap/>
            <w:vAlign w:val="bottom"/>
            <w:hideMark/>
          </w:tcPr>
          <w:p w14:paraId="0DB67C39" w14:textId="4F4F3823" w:rsidR="00DE7981" w:rsidRPr="002F1F01" w:rsidRDefault="00DE7981" w:rsidP="003C0A88">
            <w:pPr>
              <w:pStyle w:val="ExhibitText"/>
              <w:jc w:val="center"/>
              <w:rPr>
                <w:b/>
                <w:sz w:val="18"/>
                <w:szCs w:val="18"/>
                <w:lang w:val="en-GB"/>
              </w:rPr>
            </w:pPr>
            <w:r w:rsidRPr="002F1F01">
              <w:rPr>
                <w:b/>
                <w:sz w:val="18"/>
                <w:szCs w:val="18"/>
                <w:lang w:val="en-GB"/>
              </w:rPr>
              <w:t>2008</w:t>
            </w:r>
            <w:r w:rsidR="002365FE" w:rsidRPr="002F1F01">
              <w:rPr>
                <w:b/>
                <w:sz w:val="18"/>
                <w:szCs w:val="18"/>
                <w:lang w:val="en-GB"/>
              </w:rPr>
              <w:t>–20</w:t>
            </w:r>
            <w:r w:rsidRPr="002F1F01">
              <w:rPr>
                <w:b/>
                <w:sz w:val="18"/>
                <w:szCs w:val="18"/>
                <w:lang w:val="en-GB"/>
              </w:rPr>
              <w:t>09</w:t>
            </w:r>
          </w:p>
        </w:tc>
        <w:tc>
          <w:tcPr>
            <w:tcW w:w="1276" w:type="dxa"/>
            <w:shd w:val="clear" w:color="auto" w:fill="auto"/>
            <w:noWrap/>
            <w:vAlign w:val="bottom"/>
            <w:hideMark/>
          </w:tcPr>
          <w:p w14:paraId="2CC85799" w14:textId="2D29683D" w:rsidR="00DE7981" w:rsidRPr="002F1F01" w:rsidRDefault="00DE7981" w:rsidP="003C0A88">
            <w:pPr>
              <w:pStyle w:val="ExhibitText"/>
              <w:jc w:val="center"/>
              <w:rPr>
                <w:b/>
                <w:sz w:val="18"/>
                <w:szCs w:val="18"/>
                <w:lang w:val="en-GB"/>
              </w:rPr>
            </w:pPr>
            <w:r w:rsidRPr="002F1F01">
              <w:rPr>
                <w:b/>
                <w:sz w:val="18"/>
                <w:szCs w:val="18"/>
                <w:lang w:val="en-GB"/>
              </w:rPr>
              <w:t>2009</w:t>
            </w:r>
            <w:r w:rsidR="002365FE" w:rsidRPr="002F1F01">
              <w:rPr>
                <w:b/>
                <w:sz w:val="18"/>
                <w:szCs w:val="18"/>
                <w:lang w:val="en-GB"/>
              </w:rPr>
              <w:t>–20</w:t>
            </w:r>
            <w:r w:rsidRPr="002F1F01">
              <w:rPr>
                <w:b/>
                <w:sz w:val="18"/>
                <w:szCs w:val="18"/>
                <w:lang w:val="en-GB"/>
              </w:rPr>
              <w:t>10</w:t>
            </w:r>
          </w:p>
        </w:tc>
        <w:tc>
          <w:tcPr>
            <w:tcW w:w="1276" w:type="dxa"/>
            <w:shd w:val="clear" w:color="auto" w:fill="auto"/>
            <w:noWrap/>
            <w:vAlign w:val="bottom"/>
            <w:hideMark/>
          </w:tcPr>
          <w:p w14:paraId="1CD54799" w14:textId="2890B79D" w:rsidR="00DE7981" w:rsidRPr="002F1F01" w:rsidRDefault="00DE7981" w:rsidP="003C0A88">
            <w:pPr>
              <w:pStyle w:val="ExhibitText"/>
              <w:jc w:val="center"/>
              <w:rPr>
                <w:b/>
                <w:sz w:val="18"/>
                <w:szCs w:val="18"/>
                <w:lang w:val="en-GB"/>
              </w:rPr>
            </w:pPr>
            <w:r w:rsidRPr="002F1F01">
              <w:rPr>
                <w:b/>
                <w:sz w:val="18"/>
                <w:szCs w:val="18"/>
                <w:lang w:val="en-GB"/>
              </w:rPr>
              <w:t>2010</w:t>
            </w:r>
            <w:r w:rsidR="002365FE" w:rsidRPr="002F1F01">
              <w:rPr>
                <w:b/>
                <w:sz w:val="18"/>
                <w:szCs w:val="18"/>
                <w:lang w:val="en-GB"/>
              </w:rPr>
              <w:t>–20</w:t>
            </w:r>
            <w:r w:rsidRPr="002F1F01">
              <w:rPr>
                <w:b/>
                <w:sz w:val="18"/>
                <w:szCs w:val="18"/>
                <w:lang w:val="en-GB"/>
              </w:rPr>
              <w:t>11</w:t>
            </w:r>
          </w:p>
        </w:tc>
        <w:tc>
          <w:tcPr>
            <w:tcW w:w="1276" w:type="dxa"/>
            <w:shd w:val="clear" w:color="auto" w:fill="auto"/>
            <w:noWrap/>
            <w:vAlign w:val="bottom"/>
            <w:hideMark/>
          </w:tcPr>
          <w:p w14:paraId="3D288935" w14:textId="52E0D880" w:rsidR="00DE7981" w:rsidRPr="002F1F01" w:rsidRDefault="00DE7981" w:rsidP="003C0A88">
            <w:pPr>
              <w:pStyle w:val="ExhibitText"/>
              <w:jc w:val="center"/>
              <w:rPr>
                <w:b/>
                <w:sz w:val="18"/>
                <w:szCs w:val="18"/>
                <w:lang w:val="en-GB"/>
              </w:rPr>
            </w:pPr>
            <w:r w:rsidRPr="002F1F01">
              <w:rPr>
                <w:b/>
                <w:sz w:val="18"/>
                <w:szCs w:val="18"/>
                <w:lang w:val="en-GB"/>
              </w:rPr>
              <w:t>2011</w:t>
            </w:r>
            <w:r w:rsidR="002365FE" w:rsidRPr="002F1F01">
              <w:rPr>
                <w:b/>
                <w:sz w:val="18"/>
                <w:szCs w:val="18"/>
                <w:lang w:val="en-GB"/>
              </w:rPr>
              <w:t>–20</w:t>
            </w:r>
            <w:r w:rsidRPr="002F1F01">
              <w:rPr>
                <w:b/>
                <w:sz w:val="18"/>
                <w:szCs w:val="18"/>
                <w:lang w:val="en-GB"/>
              </w:rPr>
              <w:t>12</w:t>
            </w:r>
          </w:p>
        </w:tc>
        <w:tc>
          <w:tcPr>
            <w:tcW w:w="1276" w:type="dxa"/>
            <w:shd w:val="clear" w:color="auto" w:fill="auto"/>
            <w:noWrap/>
            <w:vAlign w:val="bottom"/>
            <w:hideMark/>
          </w:tcPr>
          <w:p w14:paraId="57247AD0" w14:textId="16DE97DF" w:rsidR="00DE7981" w:rsidRPr="002F1F01" w:rsidRDefault="00DE7981" w:rsidP="003C0A88">
            <w:pPr>
              <w:pStyle w:val="ExhibitText"/>
              <w:jc w:val="center"/>
              <w:rPr>
                <w:b/>
                <w:sz w:val="18"/>
                <w:szCs w:val="18"/>
                <w:lang w:val="en-GB"/>
              </w:rPr>
            </w:pPr>
            <w:r w:rsidRPr="002F1F01">
              <w:rPr>
                <w:b/>
                <w:sz w:val="18"/>
                <w:szCs w:val="18"/>
                <w:lang w:val="en-GB"/>
              </w:rPr>
              <w:t>2012</w:t>
            </w:r>
            <w:r w:rsidR="002365FE" w:rsidRPr="002F1F01">
              <w:rPr>
                <w:b/>
                <w:sz w:val="18"/>
                <w:szCs w:val="18"/>
                <w:lang w:val="en-GB"/>
              </w:rPr>
              <w:t>–20</w:t>
            </w:r>
            <w:r w:rsidRPr="002F1F01">
              <w:rPr>
                <w:b/>
                <w:sz w:val="18"/>
                <w:szCs w:val="18"/>
                <w:lang w:val="en-GB"/>
              </w:rPr>
              <w:t>13</w:t>
            </w:r>
          </w:p>
        </w:tc>
      </w:tr>
      <w:tr w:rsidR="00DE7981" w:rsidRPr="001F64CE" w14:paraId="4A50B9C9" w14:textId="77777777" w:rsidTr="002F1F01">
        <w:trPr>
          <w:trHeight w:val="288"/>
          <w:jc w:val="center"/>
        </w:trPr>
        <w:tc>
          <w:tcPr>
            <w:tcW w:w="1530" w:type="dxa"/>
            <w:shd w:val="clear" w:color="auto" w:fill="auto"/>
            <w:noWrap/>
            <w:vAlign w:val="bottom"/>
            <w:hideMark/>
          </w:tcPr>
          <w:p w14:paraId="63B5EEC4" w14:textId="77777777" w:rsidR="00DE7981" w:rsidRPr="001F64CE" w:rsidRDefault="00DE7981" w:rsidP="003C0A88">
            <w:pPr>
              <w:pStyle w:val="ExhibitText"/>
              <w:rPr>
                <w:sz w:val="18"/>
                <w:szCs w:val="18"/>
                <w:lang w:val="en-GB"/>
              </w:rPr>
            </w:pPr>
            <w:r w:rsidRPr="001F64CE">
              <w:rPr>
                <w:sz w:val="18"/>
                <w:szCs w:val="18"/>
                <w:lang w:val="en-GB"/>
              </w:rPr>
              <w:t>Passenger Vehicles</w:t>
            </w:r>
          </w:p>
        </w:tc>
        <w:tc>
          <w:tcPr>
            <w:tcW w:w="1467" w:type="dxa"/>
            <w:shd w:val="clear" w:color="auto" w:fill="auto"/>
            <w:noWrap/>
            <w:vAlign w:val="bottom"/>
            <w:hideMark/>
          </w:tcPr>
          <w:p w14:paraId="5595D27B" w14:textId="77777777" w:rsidR="00DE7981" w:rsidRPr="001F64CE" w:rsidRDefault="00DE7981" w:rsidP="003C0A88">
            <w:pPr>
              <w:pStyle w:val="ExhibitText"/>
              <w:jc w:val="right"/>
              <w:rPr>
                <w:sz w:val="18"/>
                <w:szCs w:val="18"/>
                <w:lang w:val="en-GB"/>
              </w:rPr>
            </w:pPr>
            <w:r w:rsidRPr="001F64CE">
              <w:rPr>
                <w:sz w:val="18"/>
                <w:szCs w:val="18"/>
                <w:lang w:val="en-GB"/>
              </w:rPr>
              <w:t>1,549,882</w:t>
            </w:r>
          </w:p>
        </w:tc>
        <w:tc>
          <w:tcPr>
            <w:tcW w:w="1276" w:type="dxa"/>
            <w:shd w:val="clear" w:color="auto" w:fill="auto"/>
            <w:noWrap/>
            <w:vAlign w:val="bottom"/>
            <w:hideMark/>
          </w:tcPr>
          <w:p w14:paraId="6FB8AD7F" w14:textId="77777777" w:rsidR="00DE7981" w:rsidRPr="001F64CE" w:rsidRDefault="00DE7981" w:rsidP="003C0A88">
            <w:pPr>
              <w:pStyle w:val="ExhibitText"/>
              <w:jc w:val="right"/>
              <w:rPr>
                <w:sz w:val="18"/>
                <w:szCs w:val="18"/>
                <w:lang w:val="en-GB"/>
              </w:rPr>
            </w:pPr>
            <w:r w:rsidRPr="001F64CE">
              <w:rPr>
                <w:sz w:val="18"/>
                <w:szCs w:val="18"/>
                <w:lang w:val="en-GB"/>
              </w:rPr>
              <w:t>1,552,703</w:t>
            </w:r>
          </w:p>
        </w:tc>
        <w:tc>
          <w:tcPr>
            <w:tcW w:w="1276" w:type="dxa"/>
            <w:shd w:val="clear" w:color="auto" w:fill="auto"/>
            <w:noWrap/>
            <w:vAlign w:val="bottom"/>
            <w:hideMark/>
          </w:tcPr>
          <w:p w14:paraId="1AE4C1CC" w14:textId="77777777" w:rsidR="00DE7981" w:rsidRPr="001F64CE" w:rsidRDefault="00DE7981" w:rsidP="003C0A88">
            <w:pPr>
              <w:pStyle w:val="ExhibitText"/>
              <w:jc w:val="right"/>
              <w:rPr>
                <w:sz w:val="18"/>
                <w:szCs w:val="18"/>
                <w:lang w:val="en-GB"/>
              </w:rPr>
            </w:pPr>
            <w:r w:rsidRPr="001F64CE">
              <w:rPr>
                <w:sz w:val="18"/>
                <w:szCs w:val="18"/>
                <w:lang w:val="en-GB"/>
              </w:rPr>
              <w:t>1,951,333</w:t>
            </w:r>
          </w:p>
        </w:tc>
        <w:tc>
          <w:tcPr>
            <w:tcW w:w="1276" w:type="dxa"/>
            <w:shd w:val="clear" w:color="auto" w:fill="auto"/>
            <w:noWrap/>
            <w:vAlign w:val="bottom"/>
            <w:hideMark/>
          </w:tcPr>
          <w:p w14:paraId="54EB6EDF" w14:textId="77777777" w:rsidR="00DE7981" w:rsidRPr="001F64CE" w:rsidRDefault="00DE7981" w:rsidP="003C0A88">
            <w:pPr>
              <w:pStyle w:val="ExhibitText"/>
              <w:jc w:val="right"/>
              <w:rPr>
                <w:sz w:val="18"/>
                <w:szCs w:val="18"/>
                <w:lang w:val="en-GB"/>
              </w:rPr>
            </w:pPr>
            <w:r w:rsidRPr="001F64CE">
              <w:rPr>
                <w:sz w:val="18"/>
                <w:szCs w:val="18"/>
                <w:lang w:val="en-GB"/>
              </w:rPr>
              <w:t>2,501,542</w:t>
            </w:r>
          </w:p>
        </w:tc>
        <w:tc>
          <w:tcPr>
            <w:tcW w:w="1276" w:type="dxa"/>
            <w:shd w:val="clear" w:color="auto" w:fill="auto"/>
            <w:noWrap/>
            <w:vAlign w:val="bottom"/>
            <w:hideMark/>
          </w:tcPr>
          <w:p w14:paraId="670950F4" w14:textId="77777777" w:rsidR="00DE7981" w:rsidRPr="001F64CE" w:rsidRDefault="00DE7981" w:rsidP="003C0A88">
            <w:pPr>
              <w:pStyle w:val="ExhibitText"/>
              <w:jc w:val="right"/>
              <w:rPr>
                <w:sz w:val="18"/>
                <w:szCs w:val="18"/>
                <w:lang w:val="en-GB"/>
              </w:rPr>
            </w:pPr>
            <w:r w:rsidRPr="001F64CE">
              <w:rPr>
                <w:sz w:val="18"/>
                <w:szCs w:val="18"/>
                <w:lang w:val="en-GB"/>
              </w:rPr>
              <w:t>2,618,072</w:t>
            </w:r>
          </w:p>
        </w:tc>
        <w:tc>
          <w:tcPr>
            <w:tcW w:w="1276" w:type="dxa"/>
            <w:shd w:val="clear" w:color="auto" w:fill="auto"/>
            <w:noWrap/>
            <w:vAlign w:val="bottom"/>
            <w:hideMark/>
          </w:tcPr>
          <w:p w14:paraId="6B7388B7" w14:textId="77777777" w:rsidR="00DE7981" w:rsidRPr="001F64CE" w:rsidRDefault="00DE7981" w:rsidP="003C0A88">
            <w:pPr>
              <w:pStyle w:val="ExhibitText"/>
              <w:jc w:val="right"/>
              <w:rPr>
                <w:sz w:val="18"/>
                <w:szCs w:val="18"/>
                <w:lang w:val="en-GB"/>
              </w:rPr>
            </w:pPr>
            <w:r w:rsidRPr="001F64CE">
              <w:rPr>
                <w:sz w:val="18"/>
                <w:szCs w:val="18"/>
                <w:lang w:val="en-GB"/>
              </w:rPr>
              <w:t>2,686,429</w:t>
            </w:r>
          </w:p>
        </w:tc>
      </w:tr>
      <w:tr w:rsidR="00DE7981" w:rsidRPr="001F64CE" w14:paraId="55EAACE1" w14:textId="77777777" w:rsidTr="002F1F01">
        <w:trPr>
          <w:trHeight w:val="288"/>
          <w:jc w:val="center"/>
        </w:trPr>
        <w:tc>
          <w:tcPr>
            <w:tcW w:w="1530" w:type="dxa"/>
            <w:shd w:val="clear" w:color="auto" w:fill="auto"/>
            <w:noWrap/>
            <w:vAlign w:val="bottom"/>
            <w:hideMark/>
          </w:tcPr>
          <w:p w14:paraId="15F41DAD" w14:textId="77777777" w:rsidR="00DE7981" w:rsidRPr="001F64CE" w:rsidRDefault="00DE7981" w:rsidP="003C0A88">
            <w:pPr>
              <w:pStyle w:val="ExhibitText"/>
              <w:rPr>
                <w:sz w:val="18"/>
                <w:szCs w:val="18"/>
                <w:lang w:val="en-GB"/>
              </w:rPr>
            </w:pPr>
            <w:r w:rsidRPr="001F64CE">
              <w:rPr>
                <w:sz w:val="18"/>
                <w:szCs w:val="18"/>
                <w:lang w:val="en-GB"/>
              </w:rPr>
              <w:t>Commercial Vehicles</w:t>
            </w:r>
          </w:p>
        </w:tc>
        <w:tc>
          <w:tcPr>
            <w:tcW w:w="1467" w:type="dxa"/>
            <w:shd w:val="clear" w:color="auto" w:fill="auto"/>
            <w:noWrap/>
            <w:vAlign w:val="bottom"/>
            <w:hideMark/>
          </w:tcPr>
          <w:p w14:paraId="51233E87" w14:textId="77777777" w:rsidR="00DE7981" w:rsidRPr="001F64CE" w:rsidRDefault="00DE7981" w:rsidP="003C0A88">
            <w:pPr>
              <w:pStyle w:val="ExhibitText"/>
              <w:jc w:val="right"/>
              <w:rPr>
                <w:sz w:val="18"/>
                <w:szCs w:val="18"/>
                <w:lang w:val="en-GB"/>
              </w:rPr>
            </w:pPr>
            <w:r w:rsidRPr="001F64CE">
              <w:rPr>
                <w:sz w:val="18"/>
                <w:szCs w:val="18"/>
                <w:lang w:val="en-GB"/>
              </w:rPr>
              <w:t>490,494</w:t>
            </w:r>
          </w:p>
        </w:tc>
        <w:tc>
          <w:tcPr>
            <w:tcW w:w="1276" w:type="dxa"/>
            <w:shd w:val="clear" w:color="auto" w:fill="auto"/>
            <w:noWrap/>
            <w:vAlign w:val="bottom"/>
            <w:hideMark/>
          </w:tcPr>
          <w:p w14:paraId="5022A239" w14:textId="77777777" w:rsidR="00DE7981" w:rsidRPr="001F64CE" w:rsidRDefault="00DE7981" w:rsidP="003C0A88">
            <w:pPr>
              <w:pStyle w:val="ExhibitText"/>
              <w:jc w:val="right"/>
              <w:rPr>
                <w:sz w:val="18"/>
                <w:szCs w:val="18"/>
                <w:lang w:val="en-GB"/>
              </w:rPr>
            </w:pPr>
            <w:r w:rsidRPr="001F64CE">
              <w:rPr>
                <w:sz w:val="18"/>
                <w:szCs w:val="18"/>
                <w:lang w:val="en-GB"/>
              </w:rPr>
              <w:t>384,194</w:t>
            </w:r>
          </w:p>
        </w:tc>
        <w:tc>
          <w:tcPr>
            <w:tcW w:w="1276" w:type="dxa"/>
            <w:shd w:val="clear" w:color="auto" w:fill="auto"/>
            <w:noWrap/>
            <w:vAlign w:val="bottom"/>
            <w:hideMark/>
          </w:tcPr>
          <w:p w14:paraId="5BB65519" w14:textId="77777777" w:rsidR="00DE7981" w:rsidRPr="001F64CE" w:rsidRDefault="00DE7981" w:rsidP="003C0A88">
            <w:pPr>
              <w:pStyle w:val="ExhibitText"/>
              <w:jc w:val="right"/>
              <w:rPr>
                <w:sz w:val="18"/>
                <w:szCs w:val="18"/>
                <w:lang w:val="en-GB"/>
              </w:rPr>
            </w:pPr>
            <w:r w:rsidRPr="001F64CE">
              <w:rPr>
                <w:sz w:val="18"/>
                <w:szCs w:val="18"/>
                <w:lang w:val="en-GB"/>
              </w:rPr>
              <w:t>532,721</w:t>
            </w:r>
          </w:p>
        </w:tc>
        <w:tc>
          <w:tcPr>
            <w:tcW w:w="1276" w:type="dxa"/>
            <w:shd w:val="clear" w:color="auto" w:fill="auto"/>
            <w:noWrap/>
            <w:vAlign w:val="bottom"/>
            <w:hideMark/>
          </w:tcPr>
          <w:p w14:paraId="7CEB8B9A" w14:textId="77777777" w:rsidR="00DE7981" w:rsidRPr="001F64CE" w:rsidRDefault="00DE7981" w:rsidP="003C0A88">
            <w:pPr>
              <w:pStyle w:val="ExhibitText"/>
              <w:jc w:val="right"/>
              <w:rPr>
                <w:sz w:val="18"/>
                <w:szCs w:val="18"/>
                <w:lang w:val="en-GB"/>
              </w:rPr>
            </w:pPr>
            <w:r w:rsidRPr="001F64CE">
              <w:rPr>
                <w:sz w:val="18"/>
                <w:szCs w:val="18"/>
                <w:lang w:val="en-GB"/>
              </w:rPr>
              <w:t>684,905</w:t>
            </w:r>
          </w:p>
        </w:tc>
        <w:tc>
          <w:tcPr>
            <w:tcW w:w="1276" w:type="dxa"/>
            <w:shd w:val="clear" w:color="auto" w:fill="auto"/>
            <w:noWrap/>
            <w:vAlign w:val="bottom"/>
            <w:hideMark/>
          </w:tcPr>
          <w:p w14:paraId="735785E2" w14:textId="77777777" w:rsidR="00DE7981" w:rsidRPr="001F64CE" w:rsidRDefault="00DE7981" w:rsidP="003C0A88">
            <w:pPr>
              <w:pStyle w:val="ExhibitText"/>
              <w:jc w:val="right"/>
              <w:rPr>
                <w:sz w:val="18"/>
                <w:szCs w:val="18"/>
                <w:lang w:val="en-GB"/>
              </w:rPr>
            </w:pPr>
            <w:r w:rsidRPr="001F64CE">
              <w:rPr>
                <w:sz w:val="18"/>
                <w:szCs w:val="18"/>
                <w:lang w:val="en-GB"/>
              </w:rPr>
              <w:t>809,532</w:t>
            </w:r>
          </w:p>
        </w:tc>
        <w:tc>
          <w:tcPr>
            <w:tcW w:w="1276" w:type="dxa"/>
            <w:shd w:val="clear" w:color="auto" w:fill="auto"/>
            <w:noWrap/>
            <w:vAlign w:val="bottom"/>
            <w:hideMark/>
          </w:tcPr>
          <w:p w14:paraId="7FB82183" w14:textId="77777777" w:rsidR="00DE7981" w:rsidRPr="001F64CE" w:rsidRDefault="00DE7981" w:rsidP="003C0A88">
            <w:pPr>
              <w:pStyle w:val="ExhibitText"/>
              <w:jc w:val="right"/>
              <w:rPr>
                <w:sz w:val="18"/>
                <w:szCs w:val="18"/>
                <w:lang w:val="en-GB"/>
              </w:rPr>
            </w:pPr>
            <w:r w:rsidRPr="001F64CE">
              <w:rPr>
                <w:sz w:val="18"/>
                <w:szCs w:val="18"/>
                <w:lang w:val="en-GB"/>
              </w:rPr>
              <w:t>793,150</w:t>
            </w:r>
          </w:p>
        </w:tc>
      </w:tr>
      <w:tr w:rsidR="00DE7981" w:rsidRPr="001F64CE" w14:paraId="6C103060" w14:textId="77777777" w:rsidTr="002F1F01">
        <w:trPr>
          <w:trHeight w:val="288"/>
          <w:jc w:val="center"/>
        </w:trPr>
        <w:tc>
          <w:tcPr>
            <w:tcW w:w="1530" w:type="dxa"/>
            <w:shd w:val="clear" w:color="auto" w:fill="auto"/>
            <w:noWrap/>
            <w:vAlign w:val="bottom"/>
            <w:hideMark/>
          </w:tcPr>
          <w:p w14:paraId="26F70B2E" w14:textId="77777777" w:rsidR="00DE7981" w:rsidRPr="001F64CE" w:rsidRDefault="00DE7981" w:rsidP="003C0A88">
            <w:pPr>
              <w:pStyle w:val="ExhibitText"/>
              <w:rPr>
                <w:sz w:val="18"/>
                <w:szCs w:val="18"/>
                <w:lang w:val="en-GB"/>
              </w:rPr>
            </w:pPr>
            <w:r w:rsidRPr="001F64CE">
              <w:rPr>
                <w:sz w:val="18"/>
                <w:szCs w:val="18"/>
                <w:lang w:val="en-GB"/>
              </w:rPr>
              <w:t>Three Wheelers</w:t>
            </w:r>
          </w:p>
        </w:tc>
        <w:tc>
          <w:tcPr>
            <w:tcW w:w="1467" w:type="dxa"/>
            <w:shd w:val="clear" w:color="auto" w:fill="auto"/>
            <w:noWrap/>
            <w:vAlign w:val="bottom"/>
            <w:hideMark/>
          </w:tcPr>
          <w:p w14:paraId="6E74BC93" w14:textId="77777777" w:rsidR="00DE7981" w:rsidRPr="001F64CE" w:rsidRDefault="00DE7981" w:rsidP="003C0A88">
            <w:pPr>
              <w:pStyle w:val="ExhibitText"/>
              <w:jc w:val="right"/>
              <w:rPr>
                <w:sz w:val="18"/>
                <w:szCs w:val="18"/>
                <w:lang w:val="en-GB"/>
              </w:rPr>
            </w:pPr>
            <w:r w:rsidRPr="001F64CE">
              <w:rPr>
                <w:sz w:val="18"/>
                <w:szCs w:val="18"/>
                <w:lang w:val="en-GB"/>
              </w:rPr>
              <w:t>364,781</w:t>
            </w:r>
          </w:p>
        </w:tc>
        <w:tc>
          <w:tcPr>
            <w:tcW w:w="1276" w:type="dxa"/>
            <w:shd w:val="clear" w:color="auto" w:fill="auto"/>
            <w:noWrap/>
            <w:vAlign w:val="bottom"/>
            <w:hideMark/>
          </w:tcPr>
          <w:p w14:paraId="0F733D94" w14:textId="77777777" w:rsidR="00DE7981" w:rsidRPr="001F64CE" w:rsidRDefault="00DE7981" w:rsidP="003C0A88">
            <w:pPr>
              <w:pStyle w:val="ExhibitText"/>
              <w:jc w:val="right"/>
              <w:rPr>
                <w:sz w:val="18"/>
                <w:szCs w:val="18"/>
                <w:lang w:val="en-GB"/>
              </w:rPr>
            </w:pPr>
            <w:r w:rsidRPr="001F64CE">
              <w:rPr>
                <w:sz w:val="18"/>
                <w:szCs w:val="18"/>
                <w:lang w:val="en-GB"/>
              </w:rPr>
              <w:t>349,727</w:t>
            </w:r>
          </w:p>
        </w:tc>
        <w:tc>
          <w:tcPr>
            <w:tcW w:w="1276" w:type="dxa"/>
            <w:shd w:val="clear" w:color="auto" w:fill="auto"/>
            <w:noWrap/>
            <w:vAlign w:val="bottom"/>
            <w:hideMark/>
          </w:tcPr>
          <w:p w14:paraId="530E1914" w14:textId="77777777" w:rsidR="00DE7981" w:rsidRPr="001F64CE" w:rsidRDefault="00DE7981" w:rsidP="003C0A88">
            <w:pPr>
              <w:pStyle w:val="ExhibitText"/>
              <w:jc w:val="right"/>
              <w:rPr>
                <w:sz w:val="18"/>
                <w:szCs w:val="18"/>
                <w:lang w:val="en-GB"/>
              </w:rPr>
            </w:pPr>
            <w:r w:rsidRPr="001F64CE">
              <w:rPr>
                <w:sz w:val="18"/>
                <w:szCs w:val="18"/>
                <w:lang w:val="en-GB"/>
              </w:rPr>
              <w:t>440,392</w:t>
            </w:r>
          </w:p>
        </w:tc>
        <w:tc>
          <w:tcPr>
            <w:tcW w:w="1276" w:type="dxa"/>
            <w:shd w:val="clear" w:color="auto" w:fill="auto"/>
            <w:noWrap/>
            <w:vAlign w:val="bottom"/>
            <w:hideMark/>
          </w:tcPr>
          <w:p w14:paraId="5EE4E496" w14:textId="77777777" w:rsidR="00DE7981" w:rsidRPr="001F64CE" w:rsidRDefault="00DE7981" w:rsidP="003C0A88">
            <w:pPr>
              <w:pStyle w:val="ExhibitText"/>
              <w:jc w:val="right"/>
              <w:rPr>
                <w:sz w:val="18"/>
                <w:szCs w:val="18"/>
                <w:lang w:val="en-GB"/>
              </w:rPr>
            </w:pPr>
            <w:r w:rsidRPr="001F64CE">
              <w:rPr>
                <w:sz w:val="18"/>
                <w:szCs w:val="18"/>
                <w:lang w:val="en-GB"/>
              </w:rPr>
              <w:t>526,024</w:t>
            </w:r>
          </w:p>
        </w:tc>
        <w:tc>
          <w:tcPr>
            <w:tcW w:w="1276" w:type="dxa"/>
            <w:shd w:val="clear" w:color="auto" w:fill="auto"/>
            <w:noWrap/>
            <w:vAlign w:val="bottom"/>
            <w:hideMark/>
          </w:tcPr>
          <w:p w14:paraId="0E2243E8" w14:textId="77777777" w:rsidR="00DE7981" w:rsidRPr="001F64CE" w:rsidRDefault="00DE7981" w:rsidP="003C0A88">
            <w:pPr>
              <w:pStyle w:val="ExhibitText"/>
              <w:jc w:val="right"/>
              <w:rPr>
                <w:sz w:val="18"/>
                <w:szCs w:val="18"/>
                <w:lang w:val="en-GB"/>
              </w:rPr>
            </w:pPr>
            <w:r w:rsidRPr="001F64CE">
              <w:rPr>
                <w:sz w:val="18"/>
                <w:szCs w:val="18"/>
                <w:lang w:val="en-GB"/>
              </w:rPr>
              <w:t>513,251</w:t>
            </w:r>
          </w:p>
        </w:tc>
        <w:tc>
          <w:tcPr>
            <w:tcW w:w="1276" w:type="dxa"/>
            <w:shd w:val="clear" w:color="auto" w:fill="auto"/>
            <w:noWrap/>
            <w:vAlign w:val="bottom"/>
            <w:hideMark/>
          </w:tcPr>
          <w:p w14:paraId="5393E6F5" w14:textId="77777777" w:rsidR="00DE7981" w:rsidRPr="001F64CE" w:rsidRDefault="00DE7981" w:rsidP="003C0A88">
            <w:pPr>
              <w:pStyle w:val="ExhibitText"/>
              <w:jc w:val="right"/>
              <w:rPr>
                <w:sz w:val="18"/>
                <w:szCs w:val="18"/>
                <w:lang w:val="en-GB"/>
              </w:rPr>
            </w:pPr>
            <w:r w:rsidRPr="001F64CE">
              <w:rPr>
                <w:sz w:val="18"/>
                <w:szCs w:val="18"/>
                <w:lang w:val="en-GB"/>
              </w:rPr>
              <w:t>538,291</w:t>
            </w:r>
          </w:p>
        </w:tc>
      </w:tr>
      <w:tr w:rsidR="00DE7981" w:rsidRPr="001F64CE" w14:paraId="2436771D" w14:textId="77777777" w:rsidTr="002F1F01">
        <w:trPr>
          <w:trHeight w:val="288"/>
          <w:jc w:val="center"/>
        </w:trPr>
        <w:tc>
          <w:tcPr>
            <w:tcW w:w="1530" w:type="dxa"/>
            <w:shd w:val="clear" w:color="auto" w:fill="auto"/>
            <w:noWrap/>
            <w:vAlign w:val="bottom"/>
            <w:hideMark/>
          </w:tcPr>
          <w:p w14:paraId="441CB7E1" w14:textId="77777777" w:rsidR="00DE7981" w:rsidRPr="001F64CE" w:rsidRDefault="00DE7981" w:rsidP="003C0A88">
            <w:pPr>
              <w:pStyle w:val="ExhibitText"/>
              <w:rPr>
                <w:sz w:val="18"/>
                <w:szCs w:val="18"/>
                <w:lang w:val="en-GB"/>
              </w:rPr>
            </w:pPr>
            <w:r w:rsidRPr="001F64CE">
              <w:rPr>
                <w:sz w:val="18"/>
                <w:szCs w:val="18"/>
                <w:lang w:val="en-GB"/>
              </w:rPr>
              <w:t>Two Wheelers</w:t>
            </w:r>
          </w:p>
        </w:tc>
        <w:tc>
          <w:tcPr>
            <w:tcW w:w="1467" w:type="dxa"/>
            <w:shd w:val="clear" w:color="auto" w:fill="auto"/>
            <w:noWrap/>
            <w:vAlign w:val="bottom"/>
            <w:hideMark/>
          </w:tcPr>
          <w:p w14:paraId="1CC706E3" w14:textId="77777777" w:rsidR="00DE7981" w:rsidRPr="001F64CE" w:rsidRDefault="00DE7981" w:rsidP="003C0A88">
            <w:pPr>
              <w:pStyle w:val="ExhibitText"/>
              <w:jc w:val="right"/>
              <w:rPr>
                <w:sz w:val="18"/>
                <w:szCs w:val="18"/>
                <w:lang w:val="en-GB"/>
              </w:rPr>
            </w:pPr>
            <w:r w:rsidRPr="001F64CE">
              <w:rPr>
                <w:sz w:val="18"/>
                <w:szCs w:val="18"/>
                <w:lang w:val="en-GB"/>
              </w:rPr>
              <w:t>7,249,278</w:t>
            </w:r>
          </w:p>
        </w:tc>
        <w:tc>
          <w:tcPr>
            <w:tcW w:w="1276" w:type="dxa"/>
            <w:shd w:val="clear" w:color="auto" w:fill="auto"/>
            <w:noWrap/>
            <w:vAlign w:val="bottom"/>
            <w:hideMark/>
          </w:tcPr>
          <w:p w14:paraId="1A5FE545" w14:textId="77777777" w:rsidR="00DE7981" w:rsidRPr="001F64CE" w:rsidRDefault="00DE7981" w:rsidP="003C0A88">
            <w:pPr>
              <w:pStyle w:val="ExhibitText"/>
              <w:jc w:val="right"/>
              <w:rPr>
                <w:sz w:val="18"/>
                <w:szCs w:val="18"/>
                <w:lang w:val="en-GB"/>
              </w:rPr>
            </w:pPr>
            <w:r w:rsidRPr="001F64CE">
              <w:rPr>
                <w:sz w:val="18"/>
                <w:szCs w:val="18"/>
                <w:lang w:val="en-GB"/>
              </w:rPr>
              <w:t>7,437,619</w:t>
            </w:r>
          </w:p>
        </w:tc>
        <w:tc>
          <w:tcPr>
            <w:tcW w:w="1276" w:type="dxa"/>
            <w:shd w:val="clear" w:color="auto" w:fill="auto"/>
            <w:noWrap/>
            <w:vAlign w:val="bottom"/>
            <w:hideMark/>
          </w:tcPr>
          <w:p w14:paraId="6BEB4162" w14:textId="77777777" w:rsidR="00DE7981" w:rsidRPr="001F64CE" w:rsidRDefault="00DE7981" w:rsidP="003C0A88">
            <w:pPr>
              <w:pStyle w:val="ExhibitText"/>
              <w:jc w:val="right"/>
              <w:rPr>
                <w:sz w:val="18"/>
                <w:szCs w:val="18"/>
                <w:lang w:val="en-GB"/>
              </w:rPr>
            </w:pPr>
            <w:r w:rsidRPr="001F64CE">
              <w:rPr>
                <w:sz w:val="18"/>
                <w:szCs w:val="18"/>
                <w:lang w:val="en-GB"/>
              </w:rPr>
              <w:t>9,370,951</w:t>
            </w:r>
          </w:p>
        </w:tc>
        <w:tc>
          <w:tcPr>
            <w:tcW w:w="1276" w:type="dxa"/>
            <w:shd w:val="clear" w:color="auto" w:fill="auto"/>
            <w:noWrap/>
            <w:vAlign w:val="bottom"/>
            <w:hideMark/>
          </w:tcPr>
          <w:p w14:paraId="3B384B15" w14:textId="77777777" w:rsidR="00DE7981" w:rsidRPr="001F64CE" w:rsidRDefault="00DE7981" w:rsidP="003C0A88">
            <w:pPr>
              <w:pStyle w:val="ExhibitText"/>
              <w:jc w:val="right"/>
              <w:rPr>
                <w:sz w:val="18"/>
                <w:szCs w:val="18"/>
                <w:lang w:val="en-GB"/>
              </w:rPr>
            </w:pPr>
            <w:r w:rsidRPr="001F64CE">
              <w:rPr>
                <w:sz w:val="18"/>
                <w:szCs w:val="18"/>
                <w:lang w:val="en-GB"/>
              </w:rPr>
              <w:t>11,768,910</w:t>
            </w:r>
          </w:p>
        </w:tc>
        <w:tc>
          <w:tcPr>
            <w:tcW w:w="1276" w:type="dxa"/>
            <w:shd w:val="clear" w:color="auto" w:fill="auto"/>
            <w:noWrap/>
            <w:vAlign w:val="bottom"/>
            <w:hideMark/>
          </w:tcPr>
          <w:p w14:paraId="79A52F7B" w14:textId="77777777" w:rsidR="00DE7981" w:rsidRPr="001F64CE" w:rsidRDefault="00DE7981" w:rsidP="003C0A88">
            <w:pPr>
              <w:pStyle w:val="ExhibitText"/>
              <w:jc w:val="right"/>
              <w:rPr>
                <w:sz w:val="18"/>
                <w:szCs w:val="18"/>
                <w:lang w:val="en-GB"/>
              </w:rPr>
            </w:pPr>
            <w:r w:rsidRPr="001F64CE">
              <w:rPr>
                <w:sz w:val="18"/>
                <w:szCs w:val="18"/>
                <w:lang w:val="en-GB"/>
              </w:rPr>
              <w:t>13,435,769</w:t>
            </w:r>
          </w:p>
        </w:tc>
        <w:tc>
          <w:tcPr>
            <w:tcW w:w="1276" w:type="dxa"/>
            <w:shd w:val="clear" w:color="auto" w:fill="auto"/>
            <w:noWrap/>
            <w:vAlign w:val="bottom"/>
            <w:hideMark/>
          </w:tcPr>
          <w:p w14:paraId="511B6D21" w14:textId="77777777" w:rsidR="00DE7981" w:rsidRPr="001F64CE" w:rsidRDefault="00DE7981" w:rsidP="003C0A88">
            <w:pPr>
              <w:pStyle w:val="ExhibitText"/>
              <w:jc w:val="right"/>
              <w:rPr>
                <w:sz w:val="18"/>
                <w:szCs w:val="18"/>
                <w:lang w:val="en-GB"/>
              </w:rPr>
            </w:pPr>
            <w:r w:rsidRPr="001F64CE">
              <w:rPr>
                <w:sz w:val="18"/>
                <w:szCs w:val="18"/>
                <w:lang w:val="en-GB"/>
              </w:rPr>
              <w:t>13,797,748</w:t>
            </w:r>
          </w:p>
        </w:tc>
      </w:tr>
      <w:tr w:rsidR="00DE7981" w:rsidRPr="001F64CE" w14:paraId="0B92146D" w14:textId="77777777" w:rsidTr="002F1F01">
        <w:trPr>
          <w:trHeight w:val="288"/>
          <w:jc w:val="center"/>
        </w:trPr>
        <w:tc>
          <w:tcPr>
            <w:tcW w:w="1530" w:type="dxa"/>
            <w:shd w:val="clear" w:color="auto" w:fill="auto"/>
            <w:noWrap/>
            <w:vAlign w:val="bottom"/>
            <w:hideMark/>
          </w:tcPr>
          <w:p w14:paraId="58844B21" w14:textId="77777777" w:rsidR="00DE7981" w:rsidRPr="001F64CE" w:rsidRDefault="00DE7981" w:rsidP="003C0A88">
            <w:pPr>
              <w:pStyle w:val="ExhibitText"/>
              <w:rPr>
                <w:sz w:val="18"/>
                <w:szCs w:val="18"/>
                <w:lang w:val="en-GB"/>
              </w:rPr>
            </w:pPr>
            <w:r w:rsidRPr="001F64CE">
              <w:rPr>
                <w:sz w:val="18"/>
                <w:szCs w:val="18"/>
                <w:lang w:val="en-GB"/>
              </w:rPr>
              <w:t>Total</w:t>
            </w:r>
          </w:p>
        </w:tc>
        <w:tc>
          <w:tcPr>
            <w:tcW w:w="1467" w:type="dxa"/>
            <w:shd w:val="clear" w:color="auto" w:fill="auto"/>
            <w:noWrap/>
            <w:vAlign w:val="bottom"/>
            <w:hideMark/>
          </w:tcPr>
          <w:p w14:paraId="664328A6" w14:textId="77777777" w:rsidR="00DE7981" w:rsidRPr="001F64CE" w:rsidRDefault="00DE7981" w:rsidP="003C0A88">
            <w:pPr>
              <w:pStyle w:val="ExhibitText"/>
              <w:jc w:val="right"/>
              <w:rPr>
                <w:sz w:val="18"/>
                <w:szCs w:val="18"/>
                <w:lang w:val="en-GB"/>
              </w:rPr>
            </w:pPr>
            <w:r w:rsidRPr="001F64CE">
              <w:rPr>
                <w:sz w:val="18"/>
                <w:szCs w:val="18"/>
                <w:lang w:val="en-GB"/>
              </w:rPr>
              <w:t>9,654,435</w:t>
            </w:r>
          </w:p>
        </w:tc>
        <w:tc>
          <w:tcPr>
            <w:tcW w:w="1276" w:type="dxa"/>
            <w:shd w:val="clear" w:color="auto" w:fill="auto"/>
            <w:noWrap/>
            <w:vAlign w:val="bottom"/>
            <w:hideMark/>
          </w:tcPr>
          <w:p w14:paraId="397B4537" w14:textId="77777777" w:rsidR="00DE7981" w:rsidRPr="001F64CE" w:rsidRDefault="00DE7981" w:rsidP="003C0A88">
            <w:pPr>
              <w:pStyle w:val="ExhibitText"/>
              <w:jc w:val="right"/>
              <w:rPr>
                <w:sz w:val="18"/>
                <w:szCs w:val="18"/>
                <w:lang w:val="en-GB"/>
              </w:rPr>
            </w:pPr>
            <w:r w:rsidRPr="001F64CE">
              <w:rPr>
                <w:sz w:val="18"/>
                <w:szCs w:val="18"/>
                <w:lang w:val="en-GB"/>
              </w:rPr>
              <w:t>9,724,243</w:t>
            </w:r>
          </w:p>
        </w:tc>
        <w:tc>
          <w:tcPr>
            <w:tcW w:w="1276" w:type="dxa"/>
            <w:shd w:val="clear" w:color="auto" w:fill="auto"/>
            <w:noWrap/>
            <w:vAlign w:val="bottom"/>
            <w:hideMark/>
          </w:tcPr>
          <w:p w14:paraId="491B31D0" w14:textId="77777777" w:rsidR="00DE7981" w:rsidRPr="001F64CE" w:rsidRDefault="00DE7981" w:rsidP="003C0A88">
            <w:pPr>
              <w:pStyle w:val="ExhibitText"/>
              <w:jc w:val="right"/>
              <w:rPr>
                <w:sz w:val="18"/>
                <w:szCs w:val="18"/>
                <w:lang w:val="en-GB"/>
              </w:rPr>
            </w:pPr>
            <w:r w:rsidRPr="001F64CE">
              <w:rPr>
                <w:sz w:val="18"/>
                <w:szCs w:val="18"/>
                <w:lang w:val="en-GB"/>
              </w:rPr>
              <w:t>12,295,397</w:t>
            </w:r>
          </w:p>
        </w:tc>
        <w:tc>
          <w:tcPr>
            <w:tcW w:w="1276" w:type="dxa"/>
            <w:shd w:val="clear" w:color="auto" w:fill="auto"/>
            <w:noWrap/>
            <w:vAlign w:val="bottom"/>
            <w:hideMark/>
          </w:tcPr>
          <w:p w14:paraId="3352C271" w14:textId="77777777" w:rsidR="00DE7981" w:rsidRPr="001F64CE" w:rsidRDefault="00DE7981" w:rsidP="003C0A88">
            <w:pPr>
              <w:pStyle w:val="ExhibitText"/>
              <w:jc w:val="right"/>
              <w:rPr>
                <w:sz w:val="18"/>
                <w:szCs w:val="18"/>
                <w:lang w:val="en-GB"/>
              </w:rPr>
            </w:pPr>
            <w:r w:rsidRPr="001F64CE">
              <w:rPr>
                <w:sz w:val="18"/>
                <w:szCs w:val="18"/>
                <w:lang w:val="en-GB"/>
              </w:rPr>
              <w:t>15,481,381</w:t>
            </w:r>
          </w:p>
        </w:tc>
        <w:tc>
          <w:tcPr>
            <w:tcW w:w="1276" w:type="dxa"/>
            <w:shd w:val="clear" w:color="auto" w:fill="auto"/>
            <w:noWrap/>
            <w:vAlign w:val="bottom"/>
            <w:hideMark/>
          </w:tcPr>
          <w:p w14:paraId="08FA46A4" w14:textId="77777777" w:rsidR="00DE7981" w:rsidRPr="001F64CE" w:rsidRDefault="00DE7981" w:rsidP="003C0A88">
            <w:pPr>
              <w:pStyle w:val="ExhibitText"/>
              <w:jc w:val="right"/>
              <w:rPr>
                <w:sz w:val="18"/>
                <w:szCs w:val="18"/>
                <w:lang w:val="en-GB"/>
              </w:rPr>
            </w:pPr>
            <w:r w:rsidRPr="001F64CE">
              <w:rPr>
                <w:sz w:val="18"/>
                <w:szCs w:val="18"/>
                <w:lang w:val="en-GB"/>
              </w:rPr>
              <w:t>17,376,624</w:t>
            </w:r>
          </w:p>
        </w:tc>
        <w:tc>
          <w:tcPr>
            <w:tcW w:w="1276" w:type="dxa"/>
            <w:shd w:val="clear" w:color="auto" w:fill="auto"/>
            <w:noWrap/>
            <w:vAlign w:val="bottom"/>
            <w:hideMark/>
          </w:tcPr>
          <w:p w14:paraId="0474B00A" w14:textId="77777777" w:rsidR="00DE7981" w:rsidRPr="001F64CE" w:rsidRDefault="00DE7981" w:rsidP="003C0A88">
            <w:pPr>
              <w:pStyle w:val="ExhibitText"/>
              <w:jc w:val="right"/>
              <w:rPr>
                <w:sz w:val="18"/>
                <w:szCs w:val="18"/>
                <w:lang w:val="en-GB"/>
              </w:rPr>
            </w:pPr>
            <w:r w:rsidRPr="001F64CE">
              <w:rPr>
                <w:sz w:val="18"/>
                <w:szCs w:val="18"/>
                <w:lang w:val="en-GB"/>
              </w:rPr>
              <w:t>17,815,618</w:t>
            </w:r>
          </w:p>
        </w:tc>
      </w:tr>
    </w:tbl>
    <w:p w14:paraId="4CC7F481" w14:textId="77777777" w:rsidR="00D903EB" w:rsidRPr="001F64CE" w:rsidRDefault="00D903EB" w:rsidP="003C0A88">
      <w:pPr>
        <w:pStyle w:val="Footnote"/>
        <w:rPr>
          <w:lang w:val="en-GB"/>
        </w:rPr>
      </w:pPr>
    </w:p>
    <w:p w14:paraId="1F78B74A" w14:textId="680C19D8" w:rsidR="00DE7981" w:rsidRPr="001F64CE" w:rsidRDefault="00DE7981" w:rsidP="003C0A88">
      <w:pPr>
        <w:pStyle w:val="Footnote"/>
        <w:rPr>
          <w:lang w:val="en-GB"/>
        </w:rPr>
      </w:pPr>
      <w:r w:rsidRPr="001F64CE">
        <w:rPr>
          <w:lang w:val="en-GB"/>
        </w:rPr>
        <w:t xml:space="preserve">Source: </w:t>
      </w:r>
      <w:r w:rsidR="00FE3D2E" w:rsidRPr="001F64CE">
        <w:rPr>
          <w:lang w:val="en-GB"/>
        </w:rPr>
        <w:t>Created by the authors based on “</w:t>
      </w:r>
      <w:r w:rsidRPr="001F64CE">
        <w:rPr>
          <w:lang w:val="en-GB"/>
        </w:rPr>
        <w:t>Society of Indian Automobile Manufacturers</w:t>
      </w:r>
      <w:r w:rsidR="00162092" w:rsidRPr="001F64CE">
        <w:rPr>
          <w:lang w:val="en-GB"/>
        </w:rPr>
        <w:t>,</w:t>
      </w:r>
      <w:r w:rsidR="00FE3D2E" w:rsidRPr="001F64CE">
        <w:rPr>
          <w:lang w:val="en-GB"/>
        </w:rPr>
        <w:t>” accessed July 13, 2014,</w:t>
      </w:r>
      <w:r w:rsidRPr="001F64CE">
        <w:rPr>
          <w:lang w:val="en-GB"/>
        </w:rPr>
        <w:t xml:space="preserve"> </w:t>
      </w:r>
      <w:hyperlink r:id="rId13" w:history="1">
        <w:r w:rsidRPr="001F64CE">
          <w:rPr>
            <w:rStyle w:val="Hyperlink"/>
            <w:iCs/>
            <w:color w:val="auto"/>
            <w:u w:val="none"/>
            <w:lang w:val="en-GB"/>
          </w:rPr>
          <w:t>www.siamindia.com</w:t>
        </w:r>
      </w:hyperlink>
      <w:r w:rsidR="00454664" w:rsidRPr="001F64CE">
        <w:rPr>
          <w:lang w:val="en-GB"/>
        </w:rPr>
        <w:t xml:space="preserve">. </w:t>
      </w:r>
    </w:p>
    <w:p w14:paraId="5C8E8EF1" w14:textId="77777777" w:rsidR="00222C3C" w:rsidRPr="001F64CE" w:rsidRDefault="00222C3C" w:rsidP="003C0A88">
      <w:pPr>
        <w:pStyle w:val="Footnote"/>
        <w:rPr>
          <w:lang w:val="en-GB"/>
        </w:rPr>
      </w:pPr>
    </w:p>
    <w:p w14:paraId="5D21381A" w14:textId="77777777" w:rsidR="00DE7981" w:rsidRPr="001F64CE" w:rsidRDefault="00DE7981" w:rsidP="003C0A88">
      <w:pPr>
        <w:pStyle w:val="Footnote"/>
        <w:rPr>
          <w:lang w:val="en-GB"/>
        </w:rPr>
      </w:pPr>
    </w:p>
    <w:p w14:paraId="5E723627" w14:textId="2A33EE8A" w:rsidR="00DE7981" w:rsidRPr="001F64CE" w:rsidRDefault="00DE7981" w:rsidP="003C0A88">
      <w:pPr>
        <w:pStyle w:val="ExhibitHeading"/>
        <w:keepNext/>
        <w:keepLines/>
        <w:rPr>
          <w:lang w:val="en-GB"/>
        </w:rPr>
      </w:pPr>
      <w:r w:rsidRPr="001F64CE">
        <w:rPr>
          <w:lang w:val="en-GB"/>
        </w:rPr>
        <w:lastRenderedPageBreak/>
        <w:t>Exhibit 4</w:t>
      </w:r>
      <w:r w:rsidR="00BF1A36" w:rsidRPr="001F64CE">
        <w:rPr>
          <w:lang w:val="en-GB"/>
        </w:rPr>
        <w:t>:</w:t>
      </w:r>
      <w:r w:rsidR="004573BA" w:rsidRPr="001F64CE">
        <w:rPr>
          <w:lang w:val="en-GB"/>
        </w:rPr>
        <w:t xml:space="preserve"> </w:t>
      </w:r>
      <w:r w:rsidRPr="001F64CE">
        <w:rPr>
          <w:lang w:val="en-GB"/>
        </w:rPr>
        <w:t>Key Ratios for Passenger Car Manufacturing Companies in India, 2013</w:t>
      </w:r>
    </w:p>
    <w:p w14:paraId="5E9467E8" w14:textId="77777777" w:rsidR="00BF1A36" w:rsidRPr="001F64CE" w:rsidRDefault="00BF1A36" w:rsidP="003C0A88">
      <w:pPr>
        <w:pStyle w:val="ExhibitHeading"/>
        <w:keepNext/>
        <w:keepLines/>
        <w:rPr>
          <w:lang w:val="en-GB"/>
        </w:rPr>
      </w:pPr>
    </w:p>
    <w:tbl>
      <w:tblPr>
        <w:tblW w:w="6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976"/>
        <w:gridCol w:w="1136"/>
        <w:gridCol w:w="1282"/>
        <w:gridCol w:w="990"/>
      </w:tblGrid>
      <w:tr w:rsidR="00DE7981" w:rsidRPr="001F64CE" w14:paraId="7135E9C9" w14:textId="77777777" w:rsidTr="002F1F01">
        <w:trPr>
          <w:trHeight w:val="288"/>
          <w:jc w:val="center"/>
        </w:trPr>
        <w:tc>
          <w:tcPr>
            <w:tcW w:w="2276" w:type="dxa"/>
            <w:shd w:val="clear" w:color="auto" w:fill="auto"/>
            <w:noWrap/>
            <w:vAlign w:val="bottom"/>
            <w:hideMark/>
          </w:tcPr>
          <w:p w14:paraId="7E632524" w14:textId="7474F2AB" w:rsidR="00DE7981" w:rsidRPr="002F1F01" w:rsidRDefault="00DE7981" w:rsidP="003C0A88">
            <w:pPr>
              <w:pStyle w:val="ExhibitText"/>
              <w:keepNext/>
              <w:keepLines/>
              <w:jc w:val="center"/>
              <w:rPr>
                <w:b/>
                <w:sz w:val="18"/>
                <w:szCs w:val="18"/>
                <w:lang w:val="en-GB" w:eastAsia="en-IN"/>
              </w:rPr>
            </w:pPr>
            <w:r w:rsidRPr="002F1F01">
              <w:rPr>
                <w:b/>
                <w:sz w:val="18"/>
                <w:szCs w:val="18"/>
                <w:lang w:val="en-GB" w:eastAsia="en-IN"/>
              </w:rPr>
              <w:t>Company</w:t>
            </w:r>
          </w:p>
        </w:tc>
        <w:tc>
          <w:tcPr>
            <w:tcW w:w="976" w:type="dxa"/>
            <w:shd w:val="clear" w:color="auto" w:fill="auto"/>
            <w:noWrap/>
            <w:vAlign w:val="bottom"/>
            <w:hideMark/>
          </w:tcPr>
          <w:p w14:paraId="3C94CB91" w14:textId="0DDD8D2E" w:rsidR="00DE7981" w:rsidRPr="002F1F01" w:rsidRDefault="00DE7981" w:rsidP="003C0A88">
            <w:pPr>
              <w:pStyle w:val="ExhibitText"/>
              <w:keepNext/>
              <w:keepLines/>
              <w:jc w:val="center"/>
              <w:rPr>
                <w:b/>
                <w:sz w:val="18"/>
                <w:szCs w:val="18"/>
                <w:lang w:val="en-GB" w:eastAsia="en-IN"/>
              </w:rPr>
            </w:pPr>
            <w:r w:rsidRPr="002F1F01">
              <w:rPr>
                <w:b/>
                <w:sz w:val="18"/>
                <w:szCs w:val="18"/>
                <w:lang w:val="en-GB" w:eastAsia="en-IN"/>
              </w:rPr>
              <w:t>P</w:t>
            </w:r>
            <w:r w:rsidR="002365FE" w:rsidRPr="002F1F01">
              <w:rPr>
                <w:b/>
                <w:sz w:val="18"/>
                <w:szCs w:val="18"/>
                <w:lang w:val="en-GB" w:eastAsia="en-IN"/>
              </w:rPr>
              <w:t>/</w:t>
            </w:r>
            <w:r w:rsidRPr="002F1F01">
              <w:rPr>
                <w:b/>
                <w:sz w:val="18"/>
                <w:szCs w:val="18"/>
                <w:lang w:val="en-GB" w:eastAsia="en-IN"/>
              </w:rPr>
              <w:t>E Ratio</w:t>
            </w:r>
          </w:p>
        </w:tc>
        <w:tc>
          <w:tcPr>
            <w:tcW w:w="1136" w:type="dxa"/>
            <w:shd w:val="clear" w:color="auto" w:fill="auto"/>
            <w:noWrap/>
            <w:vAlign w:val="bottom"/>
            <w:hideMark/>
          </w:tcPr>
          <w:p w14:paraId="33524C53" w14:textId="458E6DDA" w:rsidR="00DE7981" w:rsidRPr="002F1F01" w:rsidRDefault="00DE7981" w:rsidP="003C0A88">
            <w:pPr>
              <w:pStyle w:val="ExhibitText"/>
              <w:keepNext/>
              <w:keepLines/>
              <w:jc w:val="center"/>
              <w:rPr>
                <w:b/>
                <w:sz w:val="18"/>
                <w:szCs w:val="18"/>
                <w:lang w:val="en-GB" w:eastAsia="en-IN"/>
              </w:rPr>
            </w:pPr>
            <w:r w:rsidRPr="002F1F01">
              <w:rPr>
                <w:b/>
                <w:sz w:val="18"/>
                <w:szCs w:val="18"/>
                <w:lang w:val="en-GB" w:eastAsia="en-IN"/>
              </w:rPr>
              <w:t>P</w:t>
            </w:r>
            <w:r w:rsidR="002365FE" w:rsidRPr="002F1F01">
              <w:rPr>
                <w:b/>
                <w:sz w:val="18"/>
                <w:szCs w:val="18"/>
                <w:lang w:val="en-GB" w:eastAsia="en-IN"/>
              </w:rPr>
              <w:t>/</w:t>
            </w:r>
            <w:r w:rsidRPr="002F1F01">
              <w:rPr>
                <w:b/>
                <w:sz w:val="18"/>
                <w:szCs w:val="18"/>
                <w:lang w:val="en-GB" w:eastAsia="en-IN"/>
              </w:rPr>
              <w:t>BV Ratio</w:t>
            </w:r>
          </w:p>
        </w:tc>
        <w:tc>
          <w:tcPr>
            <w:tcW w:w="1282" w:type="dxa"/>
            <w:shd w:val="clear" w:color="auto" w:fill="auto"/>
            <w:noWrap/>
            <w:vAlign w:val="bottom"/>
            <w:hideMark/>
          </w:tcPr>
          <w:p w14:paraId="7746CD0A" w14:textId="0419150C" w:rsidR="00DE7981" w:rsidRPr="002F1F01" w:rsidRDefault="00DE7981" w:rsidP="003C0A88">
            <w:pPr>
              <w:pStyle w:val="ExhibitText"/>
              <w:keepNext/>
              <w:keepLines/>
              <w:jc w:val="center"/>
              <w:rPr>
                <w:b/>
                <w:sz w:val="18"/>
                <w:szCs w:val="18"/>
                <w:lang w:val="en-GB" w:eastAsia="en-IN"/>
              </w:rPr>
            </w:pPr>
            <w:r w:rsidRPr="002F1F01">
              <w:rPr>
                <w:b/>
                <w:sz w:val="18"/>
                <w:szCs w:val="18"/>
                <w:lang w:val="en-GB" w:eastAsia="en-IN"/>
              </w:rPr>
              <w:t>EV</w:t>
            </w:r>
            <w:r w:rsidR="002365FE" w:rsidRPr="002F1F01">
              <w:rPr>
                <w:b/>
                <w:sz w:val="18"/>
                <w:szCs w:val="18"/>
                <w:lang w:val="en-GB" w:eastAsia="en-IN"/>
              </w:rPr>
              <w:t>/</w:t>
            </w:r>
            <w:r w:rsidRPr="002F1F01">
              <w:rPr>
                <w:b/>
                <w:sz w:val="18"/>
                <w:szCs w:val="18"/>
                <w:lang w:val="en-GB" w:eastAsia="en-IN"/>
              </w:rPr>
              <w:t>EBITDA</w:t>
            </w:r>
            <w:r w:rsidR="0049144A" w:rsidRPr="001F64CE">
              <w:rPr>
                <w:b/>
                <w:sz w:val="18"/>
                <w:szCs w:val="18"/>
                <w:lang w:val="en-GB" w:eastAsia="en-IN"/>
              </w:rPr>
              <w:t xml:space="preserve"> Ratio</w:t>
            </w:r>
          </w:p>
        </w:tc>
        <w:tc>
          <w:tcPr>
            <w:tcW w:w="990" w:type="dxa"/>
            <w:shd w:val="clear" w:color="auto" w:fill="auto"/>
            <w:noWrap/>
            <w:vAlign w:val="bottom"/>
            <w:hideMark/>
          </w:tcPr>
          <w:p w14:paraId="7234DE02" w14:textId="77777777" w:rsidR="00DE7981" w:rsidRPr="002F1F01" w:rsidRDefault="00DE7981" w:rsidP="003C0A88">
            <w:pPr>
              <w:pStyle w:val="ExhibitText"/>
              <w:keepNext/>
              <w:keepLines/>
              <w:jc w:val="center"/>
              <w:rPr>
                <w:b/>
                <w:sz w:val="18"/>
                <w:szCs w:val="18"/>
                <w:lang w:val="en-GB" w:eastAsia="en-IN"/>
              </w:rPr>
            </w:pPr>
            <w:r w:rsidRPr="002F1F01">
              <w:rPr>
                <w:b/>
                <w:sz w:val="18"/>
                <w:szCs w:val="18"/>
                <w:lang w:val="en-GB" w:eastAsia="en-IN"/>
              </w:rPr>
              <w:t>ROE</w:t>
            </w:r>
          </w:p>
        </w:tc>
      </w:tr>
      <w:tr w:rsidR="00DE7981" w:rsidRPr="001F64CE" w14:paraId="144588CB" w14:textId="77777777" w:rsidTr="002F1F01">
        <w:trPr>
          <w:trHeight w:val="288"/>
          <w:jc w:val="center"/>
        </w:trPr>
        <w:tc>
          <w:tcPr>
            <w:tcW w:w="2276" w:type="dxa"/>
            <w:shd w:val="clear" w:color="auto" w:fill="auto"/>
            <w:noWrap/>
            <w:vAlign w:val="bottom"/>
            <w:hideMark/>
          </w:tcPr>
          <w:p w14:paraId="3C56B5FC" w14:textId="77777777" w:rsidR="00DE7981" w:rsidRPr="001F64CE" w:rsidRDefault="00DE7981" w:rsidP="003C0A88">
            <w:pPr>
              <w:pStyle w:val="ExhibitText"/>
              <w:keepNext/>
              <w:keepLines/>
              <w:rPr>
                <w:sz w:val="18"/>
                <w:szCs w:val="18"/>
                <w:lang w:val="en-GB" w:eastAsia="en-IN"/>
              </w:rPr>
            </w:pPr>
            <w:r w:rsidRPr="001F64CE">
              <w:rPr>
                <w:sz w:val="18"/>
                <w:szCs w:val="18"/>
                <w:lang w:val="en-GB" w:eastAsia="en-IN"/>
              </w:rPr>
              <w:t>Maruti Suzuki</w:t>
            </w:r>
          </w:p>
        </w:tc>
        <w:tc>
          <w:tcPr>
            <w:tcW w:w="976" w:type="dxa"/>
            <w:shd w:val="clear" w:color="auto" w:fill="auto"/>
            <w:noWrap/>
            <w:vAlign w:val="bottom"/>
            <w:hideMark/>
          </w:tcPr>
          <w:p w14:paraId="65906906" w14:textId="77777777" w:rsidR="00DE7981" w:rsidRPr="001F64CE" w:rsidRDefault="00DE7981" w:rsidP="003C0A88">
            <w:pPr>
              <w:pStyle w:val="ExhibitText"/>
              <w:keepNext/>
              <w:keepLines/>
              <w:jc w:val="right"/>
              <w:rPr>
                <w:sz w:val="18"/>
                <w:szCs w:val="18"/>
                <w:lang w:val="en-GB" w:eastAsia="en-IN"/>
              </w:rPr>
            </w:pPr>
            <w:r w:rsidRPr="001F64CE">
              <w:rPr>
                <w:sz w:val="18"/>
                <w:szCs w:val="18"/>
                <w:lang w:val="en-GB" w:eastAsia="en-IN"/>
              </w:rPr>
              <w:t>16.44</w:t>
            </w:r>
          </w:p>
        </w:tc>
        <w:tc>
          <w:tcPr>
            <w:tcW w:w="1136" w:type="dxa"/>
            <w:shd w:val="clear" w:color="auto" w:fill="auto"/>
            <w:noWrap/>
            <w:vAlign w:val="bottom"/>
            <w:hideMark/>
          </w:tcPr>
          <w:p w14:paraId="7019FB45" w14:textId="77777777" w:rsidR="00DE7981" w:rsidRPr="001F64CE" w:rsidRDefault="00DE7981" w:rsidP="003C0A88">
            <w:pPr>
              <w:pStyle w:val="ExhibitText"/>
              <w:keepNext/>
              <w:keepLines/>
              <w:jc w:val="right"/>
              <w:rPr>
                <w:sz w:val="18"/>
                <w:szCs w:val="18"/>
                <w:lang w:val="en-GB" w:eastAsia="en-IN"/>
              </w:rPr>
            </w:pPr>
            <w:r w:rsidRPr="001F64CE">
              <w:rPr>
                <w:sz w:val="18"/>
                <w:szCs w:val="18"/>
                <w:lang w:val="en-GB" w:eastAsia="en-IN"/>
              </w:rPr>
              <w:t>2.08</w:t>
            </w:r>
          </w:p>
        </w:tc>
        <w:tc>
          <w:tcPr>
            <w:tcW w:w="1282" w:type="dxa"/>
            <w:shd w:val="clear" w:color="auto" w:fill="auto"/>
            <w:noWrap/>
            <w:vAlign w:val="bottom"/>
            <w:hideMark/>
          </w:tcPr>
          <w:p w14:paraId="2FC97C14" w14:textId="77777777" w:rsidR="00DE7981" w:rsidRPr="001F64CE" w:rsidRDefault="00DE7981" w:rsidP="003C0A88">
            <w:pPr>
              <w:pStyle w:val="ExhibitText"/>
              <w:keepNext/>
              <w:keepLines/>
              <w:jc w:val="right"/>
              <w:rPr>
                <w:sz w:val="18"/>
                <w:szCs w:val="18"/>
                <w:lang w:val="en-GB" w:eastAsia="en-IN"/>
              </w:rPr>
            </w:pPr>
            <w:r w:rsidRPr="001F64CE">
              <w:rPr>
                <w:sz w:val="18"/>
                <w:szCs w:val="18"/>
                <w:lang w:val="en-GB" w:eastAsia="en-IN"/>
              </w:rPr>
              <w:t>7.45</w:t>
            </w:r>
          </w:p>
        </w:tc>
        <w:tc>
          <w:tcPr>
            <w:tcW w:w="990" w:type="dxa"/>
            <w:shd w:val="clear" w:color="auto" w:fill="auto"/>
            <w:noWrap/>
            <w:vAlign w:val="bottom"/>
            <w:hideMark/>
          </w:tcPr>
          <w:p w14:paraId="5FA9E866" w14:textId="77777777" w:rsidR="00DE7981" w:rsidRPr="001F64CE" w:rsidRDefault="00DE7981" w:rsidP="003C0A88">
            <w:pPr>
              <w:pStyle w:val="ExhibitText"/>
              <w:keepNext/>
              <w:keepLines/>
              <w:jc w:val="right"/>
              <w:rPr>
                <w:sz w:val="18"/>
                <w:szCs w:val="18"/>
                <w:lang w:val="en-GB" w:eastAsia="en-IN"/>
              </w:rPr>
            </w:pPr>
            <w:r w:rsidRPr="001F64CE">
              <w:rPr>
                <w:sz w:val="18"/>
                <w:szCs w:val="18"/>
                <w:lang w:val="en-GB" w:eastAsia="en-IN"/>
              </w:rPr>
              <w:t>12.48%</w:t>
            </w:r>
          </w:p>
        </w:tc>
      </w:tr>
      <w:tr w:rsidR="00DE7981" w:rsidRPr="001F64CE" w14:paraId="67CAC5FA" w14:textId="77777777" w:rsidTr="002F1F01">
        <w:trPr>
          <w:trHeight w:val="288"/>
          <w:jc w:val="center"/>
        </w:trPr>
        <w:tc>
          <w:tcPr>
            <w:tcW w:w="2276" w:type="dxa"/>
            <w:shd w:val="clear" w:color="auto" w:fill="auto"/>
            <w:noWrap/>
            <w:vAlign w:val="bottom"/>
            <w:hideMark/>
          </w:tcPr>
          <w:p w14:paraId="4A9D9143" w14:textId="77777777" w:rsidR="00DE7981" w:rsidRPr="001F64CE" w:rsidRDefault="00DE7981" w:rsidP="003C0A88">
            <w:pPr>
              <w:pStyle w:val="ExhibitText"/>
              <w:keepNext/>
              <w:keepLines/>
              <w:rPr>
                <w:sz w:val="18"/>
                <w:szCs w:val="18"/>
                <w:lang w:val="en-GB" w:eastAsia="en-IN"/>
              </w:rPr>
            </w:pPr>
            <w:r w:rsidRPr="001F64CE">
              <w:rPr>
                <w:sz w:val="18"/>
                <w:szCs w:val="18"/>
                <w:lang w:val="en-GB" w:eastAsia="en-IN"/>
              </w:rPr>
              <w:t>Tata Motors</w:t>
            </w:r>
          </w:p>
        </w:tc>
        <w:tc>
          <w:tcPr>
            <w:tcW w:w="976" w:type="dxa"/>
            <w:shd w:val="clear" w:color="auto" w:fill="auto"/>
            <w:noWrap/>
            <w:vAlign w:val="bottom"/>
            <w:hideMark/>
          </w:tcPr>
          <w:p w14:paraId="19DA960D" w14:textId="77777777" w:rsidR="00DE7981" w:rsidRPr="001F64CE" w:rsidRDefault="00DE7981" w:rsidP="003C0A88">
            <w:pPr>
              <w:pStyle w:val="ExhibitText"/>
              <w:keepNext/>
              <w:keepLines/>
              <w:jc w:val="right"/>
              <w:rPr>
                <w:sz w:val="18"/>
                <w:szCs w:val="18"/>
                <w:lang w:val="en-GB" w:eastAsia="en-IN"/>
              </w:rPr>
            </w:pPr>
            <w:r w:rsidRPr="001F64CE">
              <w:rPr>
                <w:sz w:val="18"/>
                <w:szCs w:val="18"/>
                <w:lang w:val="en-GB" w:eastAsia="en-IN"/>
              </w:rPr>
              <w:t>384.71</w:t>
            </w:r>
          </w:p>
        </w:tc>
        <w:tc>
          <w:tcPr>
            <w:tcW w:w="1136" w:type="dxa"/>
            <w:shd w:val="clear" w:color="auto" w:fill="auto"/>
            <w:noWrap/>
            <w:vAlign w:val="bottom"/>
            <w:hideMark/>
          </w:tcPr>
          <w:p w14:paraId="71BB3AF9" w14:textId="77777777" w:rsidR="00DE7981" w:rsidRPr="001F64CE" w:rsidRDefault="00DE7981" w:rsidP="003C0A88">
            <w:pPr>
              <w:pStyle w:val="ExhibitText"/>
              <w:keepNext/>
              <w:keepLines/>
              <w:jc w:val="right"/>
              <w:rPr>
                <w:sz w:val="18"/>
                <w:szCs w:val="18"/>
                <w:lang w:val="en-GB" w:eastAsia="en-IN"/>
              </w:rPr>
            </w:pPr>
            <w:r w:rsidRPr="001F64CE">
              <w:rPr>
                <w:sz w:val="18"/>
                <w:szCs w:val="18"/>
                <w:lang w:val="en-GB" w:eastAsia="en-IN"/>
              </w:rPr>
              <w:t>4.50</w:t>
            </w:r>
          </w:p>
        </w:tc>
        <w:tc>
          <w:tcPr>
            <w:tcW w:w="1282" w:type="dxa"/>
            <w:shd w:val="clear" w:color="auto" w:fill="auto"/>
            <w:noWrap/>
            <w:vAlign w:val="bottom"/>
            <w:hideMark/>
          </w:tcPr>
          <w:p w14:paraId="36D262E3" w14:textId="77777777" w:rsidR="00DE7981" w:rsidRPr="001F64CE" w:rsidRDefault="00DE7981" w:rsidP="003C0A88">
            <w:pPr>
              <w:pStyle w:val="ExhibitText"/>
              <w:keepNext/>
              <w:keepLines/>
              <w:jc w:val="right"/>
              <w:rPr>
                <w:sz w:val="18"/>
                <w:szCs w:val="18"/>
                <w:lang w:val="en-GB" w:eastAsia="en-IN"/>
              </w:rPr>
            </w:pPr>
            <w:r w:rsidRPr="001F64CE">
              <w:rPr>
                <w:sz w:val="18"/>
                <w:szCs w:val="18"/>
                <w:lang w:val="en-GB" w:eastAsia="en-IN"/>
              </w:rPr>
              <w:t>30.25</w:t>
            </w:r>
          </w:p>
        </w:tc>
        <w:tc>
          <w:tcPr>
            <w:tcW w:w="990" w:type="dxa"/>
            <w:shd w:val="clear" w:color="auto" w:fill="auto"/>
            <w:noWrap/>
            <w:vAlign w:val="bottom"/>
            <w:hideMark/>
          </w:tcPr>
          <w:p w14:paraId="40285ED4" w14:textId="77777777" w:rsidR="00DE7981" w:rsidRPr="001F64CE" w:rsidRDefault="00DE7981" w:rsidP="003C0A88">
            <w:pPr>
              <w:pStyle w:val="ExhibitText"/>
              <w:keepNext/>
              <w:keepLines/>
              <w:jc w:val="right"/>
              <w:rPr>
                <w:sz w:val="18"/>
                <w:szCs w:val="18"/>
                <w:lang w:val="en-GB" w:eastAsia="en-IN"/>
              </w:rPr>
            </w:pPr>
            <w:r w:rsidRPr="001F64CE">
              <w:rPr>
                <w:sz w:val="18"/>
                <w:szCs w:val="18"/>
                <w:lang w:val="en-GB" w:eastAsia="en-IN"/>
              </w:rPr>
              <w:t>2.81%</w:t>
            </w:r>
          </w:p>
        </w:tc>
      </w:tr>
      <w:tr w:rsidR="00DE7981" w:rsidRPr="001F64CE" w14:paraId="0E9633B2" w14:textId="77777777" w:rsidTr="002F1F01">
        <w:trPr>
          <w:trHeight w:val="288"/>
          <w:jc w:val="center"/>
        </w:trPr>
        <w:tc>
          <w:tcPr>
            <w:tcW w:w="2276" w:type="dxa"/>
            <w:shd w:val="clear" w:color="auto" w:fill="auto"/>
            <w:noWrap/>
            <w:vAlign w:val="bottom"/>
            <w:hideMark/>
          </w:tcPr>
          <w:p w14:paraId="6919F54A" w14:textId="77777777" w:rsidR="00DE7981" w:rsidRPr="001F64CE" w:rsidRDefault="00DE7981" w:rsidP="003C0A88">
            <w:pPr>
              <w:pStyle w:val="ExhibitText"/>
              <w:keepNext/>
              <w:keepLines/>
              <w:rPr>
                <w:sz w:val="18"/>
                <w:szCs w:val="18"/>
                <w:lang w:val="en-GB" w:eastAsia="en-IN"/>
              </w:rPr>
            </w:pPr>
            <w:r w:rsidRPr="001F64CE">
              <w:rPr>
                <w:sz w:val="18"/>
                <w:szCs w:val="18"/>
                <w:lang w:val="en-GB" w:eastAsia="en-IN"/>
              </w:rPr>
              <w:t>Mahindra &amp; Mahindra</w:t>
            </w:r>
          </w:p>
        </w:tc>
        <w:tc>
          <w:tcPr>
            <w:tcW w:w="976" w:type="dxa"/>
            <w:shd w:val="clear" w:color="auto" w:fill="auto"/>
            <w:noWrap/>
            <w:vAlign w:val="bottom"/>
            <w:hideMark/>
          </w:tcPr>
          <w:p w14:paraId="23E4002F" w14:textId="77777777" w:rsidR="00DE7981" w:rsidRPr="001F64CE" w:rsidRDefault="00DE7981" w:rsidP="003C0A88">
            <w:pPr>
              <w:pStyle w:val="ExhibitText"/>
              <w:keepNext/>
              <w:keepLines/>
              <w:jc w:val="right"/>
              <w:rPr>
                <w:sz w:val="18"/>
                <w:szCs w:val="18"/>
                <w:lang w:val="en-GB" w:eastAsia="en-IN"/>
              </w:rPr>
            </w:pPr>
            <w:r w:rsidRPr="001F64CE">
              <w:rPr>
                <w:sz w:val="18"/>
                <w:szCs w:val="18"/>
                <w:lang w:val="en-GB" w:eastAsia="en-IN"/>
              </w:rPr>
              <w:t>15.59</w:t>
            </w:r>
          </w:p>
        </w:tc>
        <w:tc>
          <w:tcPr>
            <w:tcW w:w="1136" w:type="dxa"/>
            <w:shd w:val="clear" w:color="auto" w:fill="auto"/>
            <w:noWrap/>
            <w:vAlign w:val="bottom"/>
            <w:hideMark/>
          </w:tcPr>
          <w:p w14:paraId="7CE7DEEA" w14:textId="77777777" w:rsidR="00DE7981" w:rsidRPr="001F64CE" w:rsidRDefault="00DE7981" w:rsidP="003C0A88">
            <w:pPr>
              <w:pStyle w:val="ExhibitText"/>
              <w:keepNext/>
              <w:keepLines/>
              <w:jc w:val="right"/>
              <w:rPr>
                <w:sz w:val="18"/>
                <w:szCs w:val="18"/>
                <w:lang w:val="en-GB" w:eastAsia="en-IN"/>
              </w:rPr>
            </w:pPr>
            <w:r w:rsidRPr="001F64CE">
              <w:rPr>
                <w:sz w:val="18"/>
                <w:szCs w:val="18"/>
                <w:lang w:val="en-GB" w:eastAsia="en-IN"/>
              </w:rPr>
              <w:t>3.47</w:t>
            </w:r>
          </w:p>
        </w:tc>
        <w:tc>
          <w:tcPr>
            <w:tcW w:w="1282" w:type="dxa"/>
            <w:shd w:val="clear" w:color="auto" w:fill="auto"/>
            <w:noWrap/>
            <w:vAlign w:val="bottom"/>
            <w:hideMark/>
          </w:tcPr>
          <w:p w14:paraId="665FC106" w14:textId="77777777" w:rsidR="00DE7981" w:rsidRPr="001F64CE" w:rsidRDefault="00DE7981" w:rsidP="003C0A88">
            <w:pPr>
              <w:pStyle w:val="ExhibitText"/>
              <w:keepNext/>
              <w:keepLines/>
              <w:jc w:val="right"/>
              <w:rPr>
                <w:sz w:val="18"/>
                <w:szCs w:val="18"/>
                <w:lang w:val="en-GB" w:eastAsia="en-IN"/>
              </w:rPr>
            </w:pPr>
            <w:r w:rsidRPr="001F64CE">
              <w:rPr>
                <w:sz w:val="18"/>
                <w:szCs w:val="18"/>
                <w:lang w:val="en-GB" w:eastAsia="en-IN"/>
              </w:rPr>
              <w:t>10.20</w:t>
            </w:r>
          </w:p>
        </w:tc>
        <w:tc>
          <w:tcPr>
            <w:tcW w:w="990" w:type="dxa"/>
            <w:shd w:val="clear" w:color="auto" w:fill="auto"/>
            <w:noWrap/>
            <w:vAlign w:val="bottom"/>
            <w:hideMark/>
          </w:tcPr>
          <w:p w14:paraId="027CF380" w14:textId="77777777" w:rsidR="00DE7981" w:rsidRPr="001F64CE" w:rsidRDefault="00DE7981" w:rsidP="003C0A88">
            <w:pPr>
              <w:pStyle w:val="ExhibitText"/>
              <w:keepNext/>
              <w:keepLines/>
              <w:jc w:val="right"/>
              <w:rPr>
                <w:sz w:val="18"/>
                <w:szCs w:val="18"/>
                <w:lang w:val="en-GB" w:eastAsia="en-IN"/>
              </w:rPr>
            </w:pPr>
            <w:r w:rsidRPr="001F64CE">
              <w:rPr>
                <w:sz w:val="18"/>
                <w:szCs w:val="18"/>
                <w:lang w:val="en-GB" w:eastAsia="en-IN"/>
              </w:rPr>
              <w:t>25.08%</w:t>
            </w:r>
          </w:p>
        </w:tc>
      </w:tr>
      <w:tr w:rsidR="00DE7981" w:rsidRPr="001F64CE" w14:paraId="4F23C507" w14:textId="77777777" w:rsidTr="002F1F01">
        <w:trPr>
          <w:trHeight w:val="288"/>
          <w:jc w:val="center"/>
        </w:trPr>
        <w:tc>
          <w:tcPr>
            <w:tcW w:w="2276" w:type="dxa"/>
            <w:shd w:val="clear" w:color="auto" w:fill="auto"/>
            <w:noWrap/>
            <w:vAlign w:val="bottom"/>
            <w:hideMark/>
          </w:tcPr>
          <w:p w14:paraId="3349DE01" w14:textId="51492076" w:rsidR="00DE7981" w:rsidRPr="001F64CE" w:rsidRDefault="00DE7981" w:rsidP="003C0A88">
            <w:pPr>
              <w:pStyle w:val="ExhibitText"/>
              <w:keepNext/>
              <w:keepLines/>
              <w:rPr>
                <w:sz w:val="18"/>
                <w:szCs w:val="18"/>
                <w:lang w:val="en-GB" w:eastAsia="en-IN"/>
              </w:rPr>
            </w:pPr>
            <w:r w:rsidRPr="001F64CE">
              <w:rPr>
                <w:sz w:val="18"/>
                <w:szCs w:val="18"/>
                <w:lang w:val="en-GB" w:eastAsia="en-IN"/>
              </w:rPr>
              <w:t>Hyundai Motor*</w:t>
            </w:r>
          </w:p>
        </w:tc>
        <w:tc>
          <w:tcPr>
            <w:tcW w:w="976" w:type="dxa"/>
            <w:shd w:val="clear" w:color="auto" w:fill="auto"/>
            <w:noWrap/>
            <w:vAlign w:val="bottom"/>
            <w:hideMark/>
          </w:tcPr>
          <w:p w14:paraId="33D68888" w14:textId="34B8D2C1" w:rsidR="00DE7981" w:rsidRPr="001F64CE" w:rsidRDefault="00DE7981" w:rsidP="003C0A88">
            <w:pPr>
              <w:pStyle w:val="ExhibitText"/>
              <w:keepNext/>
              <w:keepLines/>
              <w:jc w:val="right"/>
              <w:rPr>
                <w:sz w:val="18"/>
                <w:szCs w:val="18"/>
                <w:lang w:val="en-GB" w:eastAsia="en-IN"/>
              </w:rPr>
            </w:pPr>
            <w:r w:rsidRPr="001F64CE">
              <w:rPr>
                <w:sz w:val="18"/>
                <w:szCs w:val="18"/>
                <w:lang w:val="en-GB" w:eastAsia="en-IN"/>
              </w:rPr>
              <w:t>N</w:t>
            </w:r>
            <w:r w:rsidR="0049144A" w:rsidRPr="001F64CE">
              <w:rPr>
                <w:sz w:val="18"/>
                <w:szCs w:val="18"/>
                <w:lang w:val="en-GB" w:eastAsia="en-IN"/>
              </w:rPr>
              <w:t>/</w:t>
            </w:r>
            <w:r w:rsidRPr="001F64CE">
              <w:rPr>
                <w:sz w:val="18"/>
                <w:szCs w:val="18"/>
                <w:lang w:val="en-GB" w:eastAsia="en-IN"/>
              </w:rPr>
              <w:t>A</w:t>
            </w:r>
          </w:p>
        </w:tc>
        <w:tc>
          <w:tcPr>
            <w:tcW w:w="1136" w:type="dxa"/>
            <w:shd w:val="clear" w:color="auto" w:fill="auto"/>
            <w:noWrap/>
            <w:vAlign w:val="bottom"/>
            <w:hideMark/>
          </w:tcPr>
          <w:p w14:paraId="48409DC6" w14:textId="3041E928" w:rsidR="00DE7981" w:rsidRPr="001F64CE" w:rsidRDefault="00DE7981" w:rsidP="003C0A88">
            <w:pPr>
              <w:pStyle w:val="ExhibitText"/>
              <w:keepNext/>
              <w:keepLines/>
              <w:jc w:val="right"/>
              <w:rPr>
                <w:sz w:val="18"/>
                <w:szCs w:val="18"/>
                <w:lang w:val="en-GB" w:eastAsia="en-IN"/>
              </w:rPr>
            </w:pPr>
            <w:r w:rsidRPr="001F64CE">
              <w:rPr>
                <w:sz w:val="18"/>
                <w:szCs w:val="18"/>
                <w:lang w:val="en-GB" w:eastAsia="en-IN"/>
              </w:rPr>
              <w:t>N</w:t>
            </w:r>
            <w:r w:rsidR="0049144A" w:rsidRPr="001F64CE">
              <w:rPr>
                <w:sz w:val="18"/>
                <w:szCs w:val="18"/>
                <w:lang w:val="en-GB" w:eastAsia="en-IN"/>
              </w:rPr>
              <w:t>/</w:t>
            </w:r>
            <w:r w:rsidRPr="001F64CE">
              <w:rPr>
                <w:sz w:val="18"/>
                <w:szCs w:val="18"/>
                <w:lang w:val="en-GB" w:eastAsia="en-IN"/>
              </w:rPr>
              <w:t>A</w:t>
            </w:r>
          </w:p>
        </w:tc>
        <w:tc>
          <w:tcPr>
            <w:tcW w:w="1282" w:type="dxa"/>
            <w:shd w:val="clear" w:color="auto" w:fill="auto"/>
            <w:noWrap/>
            <w:vAlign w:val="bottom"/>
            <w:hideMark/>
          </w:tcPr>
          <w:p w14:paraId="71F1A2FF" w14:textId="1F194A96" w:rsidR="00DE7981" w:rsidRPr="001F64CE" w:rsidRDefault="00DE7981" w:rsidP="003C0A88">
            <w:pPr>
              <w:pStyle w:val="ExhibitText"/>
              <w:keepNext/>
              <w:keepLines/>
              <w:jc w:val="right"/>
              <w:rPr>
                <w:sz w:val="18"/>
                <w:szCs w:val="18"/>
                <w:lang w:val="en-GB" w:eastAsia="en-IN"/>
              </w:rPr>
            </w:pPr>
            <w:r w:rsidRPr="001F64CE">
              <w:rPr>
                <w:sz w:val="18"/>
                <w:szCs w:val="18"/>
                <w:lang w:val="en-GB" w:eastAsia="en-IN"/>
              </w:rPr>
              <w:t>N</w:t>
            </w:r>
            <w:r w:rsidR="0049144A" w:rsidRPr="001F64CE">
              <w:rPr>
                <w:sz w:val="18"/>
                <w:szCs w:val="18"/>
                <w:lang w:val="en-GB" w:eastAsia="en-IN"/>
              </w:rPr>
              <w:t>/</w:t>
            </w:r>
            <w:r w:rsidRPr="001F64CE">
              <w:rPr>
                <w:sz w:val="18"/>
                <w:szCs w:val="18"/>
                <w:lang w:val="en-GB" w:eastAsia="en-IN"/>
              </w:rPr>
              <w:t>A</w:t>
            </w:r>
          </w:p>
        </w:tc>
        <w:tc>
          <w:tcPr>
            <w:tcW w:w="990" w:type="dxa"/>
            <w:shd w:val="clear" w:color="auto" w:fill="auto"/>
            <w:noWrap/>
            <w:vAlign w:val="bottom"/>
            <w:hideMark/>
          </w:tcPr>
          <w:p w14:paraId="5E070A52" w14:textId="77777777" w:rsidR="00DE7981" w:rsidRPr="001F64CE" w:rsidRDefault="00DE7981" w:rsidP="003C0A88">
            <w:pPr>
              <w:pStyle w:val="ExhibitText"/>
              <w:keepNext/>
              <w:keepLines/>
              <w:jc w:val="right"/>
              <w:rPr>
                <w:sz w:val="18"/>
                <w:szCs w:val="18"/>
                <w:lang w:val="en-GB" w:eastAsia="en-IN"/>
              </w:rPr>
            </w:pPr>
            <w:r w:rsidRPr="001F64CE">
              <w:rPr>
                <w:sz w:val="18"/>
                <w:szCs w:val="18"/>
                <w:lang w:val="en-GB" w:eastAsia="en-IN"/>
              </w:rPr>
              <w:t>20.53%</w:t>
            </w:r>
          </w:p>
        </w:tc>
      </w:tr>
      <w:tr w:rsidR="00DE7981" w:rsidRPr="001F64CE" w14:paraId="16E323BC" w14:textId="77777777" w:rsidTr="002F1F01">
        <w:trPr>
          <w:trHeight w:val="288"/>
          <w:jc w:val="center"/>
        </w:trPr>
        <w:tc>
          <w:tcPr>
            <w:tcW w:w="2276" w:type="dxa"/>
            <w:shd w:val="clear" w:color="auto" w:fill="auto"/>
            <w:noWrap/>
            <w:vAlign w:val="bottom"/>
            <w:hideMark/>
          </w:tcPr>
          <w:p w14:paraId="2A4A8432" w14:textId="77777777" w:rsidR="00DE7981" w:rsidRPr="001F64CE" w:rsidRDefault="00DE7981" w:rsidP="003C0A88">
            <w:pPr>
              <w:pStyle w:val="ExhibitText"/>
              <w:keepNext/>
              <w:keepLines/>
              <w:rPr>
                <w:sz w:val="18"/>
                <w:szCs w:val="18"/>
                <w:lang w:val="en-GB" w:eastAsia="en-IN"/>
              </w:rPr>
            </w:pPr>
            <w:r w:rsidRPr="001F64CE">
              <w:rPr>
                <w:sz w:val="18"/>
                <w:szCs w:val="18"/>
                <w:lang w:val="en-GB" w:eastAsia="en-IN"/>
              </w:rPr>
              <w:t>Toyota Kirloskar*</w:t>
            </w:r>
          </w:p>
        </w:tc>
        <w:tc>
          <w:tcPr>
            <w:tcW w:w="976" w:type="dxa"/>
            <w:shd w:val="clear" w:color="auto" w:fill="auto"/>
            <w:noWrap/>
            <w:vAlign w:val="bottom"/>
            <w:hideMark/>
          </w:tcPr>
          <w:p w14:paraId="07BE462A" w14:textId="3179FF3F" w:rsidR="00DE7981" w:rsidRPr="001F64CE" w:rsidRDefault="00DE7981" w:rsidP="003C0A88">
            <w:pPr>
              <w:pStyle w:val="ExhibitText"/>
              <w:keepNext/>
              <w:keepLines/>
              <w:jc w:val="right"/>
              <w:rPr>
                <w:sz w:val="18"/>
                <w:szCs w:val="18"/>
                <w:lang w:val="en-GB" w:eastAsia="en-IN"/>
              </w:rPr>
            </w:pPr>
            <w:r w:rsidRPr="001F64CE">
              <w:rPr>
                <w:sz w:val="18"/>
                <w:szCs w:val="18"/>
                <w:lang w:val="en-GB" w:eastAsia="en-IN"/>
              </w:rPr>
              <w:t>N</w:t>
            </w:r>
            <w:r w:rsidR="0049144A" w:rsidRPr="001F64CE">
              <w:rPr>
                <w:sz w:val="18"/>
                <w:szCs w:val="18"/>
                <w:lang w:val="en-GB" w:eastAsia="en-IN"/>
              </w:rPr>
              <w:t>/</w:t>
            </w:r>
            <w:r w:rsidRPr="001F64CE">
              <w:rPr>
                <w:sz w:val="18"/>
                <w:szCs w:val="18"/>
                <w:lang w:val="en-GB" w:eastAsia="en-IN"/>
              </w:rPr>
              <w:t>A</w:t>
            </w:r>
          </w:p>
        </w:tc>
        <w:tc>
          <w:tcPr>
            <w:tcW w:w="1136" w:type="dxa"/>
            <w:shd w:val="clear" w:color="auto" w:fill="auto"/>
            <w:noWrap/>
            <w:vAlign w:val="bottom"/>
            <w:hideMark/>
          </w:tcPr>
          <w:p w14:paraId="29965E20" w14:textId="6B9A7221" w:rsidR="00DE7981" w:rsidRPr="001F64CE" w:rsidRDefault="00DE7981" w:rsidP="003C0A88">
            <w:pPr>
              <w:pStyle w:val="ExhibitText"/>
              <w:keepNext/>
              <w:keepLines/>
              <w:jc w:val="right"/>
              <w:rPr>
                <w:sz w:val="18"/>
                <w:szCs w:val="18"/>
                <w:lang w:val="en-GB" w:eastAsia="en-IN"/>
              </w:rPr>
            </w:pPr>
            <w:r w:rsidRPr="001F64CE">
              <w:rPr>
                <w:sz w:val="18"/>
                <w:szCs w:val="18"/>
                <w:lang w:val="en-GB" w:eastAsia="en-IN"/>
              </w:rPr>
              <w:t>N</w:t>
            </w:r>
            <w:r w:rsidR="0049144A" w:rsidRPr="001F64CE">
              <w:rPr>
                <w:sz w:val="18"/>
                <w:szCs w:val="18"/>
                <w:lang w:val="en-GB" w:eastAsia="en-IN"/>
              </w:rPr>
              <w:t>/</w:t>
            </w:r>
            <w:r w:rsidRPr="001F64CE">
              <w:rPr>
                <w:sz w:val="18"/>
                <w:szCs w:val="18"/>
                <w:lang w:val="en-GB" w:eastAsia="en-IN"/>
              </w:rPr>
              <w:t>A</w:t>
            </w:r>
          </w:p>
        </w:tc>
        <w:tc>
          <w:tcPr>
            <w:tcW w:w="1282" w:type="dxa"/>
            <w:shd w:val="clear" w:color="auto" w:fill="auto"/>
            <w:noWrap/>
            <w:vAlign w:val="bottom"/>
            <w:hideMark/>
          </w:tcPr>
          <w:p w14:paraId="08A5B331" w14:textId="284F13DE" w:rsidR="00DE7981" w:rsidRPr="001F64CE" w:rsidRDefault="00DE7981" w:rsidP="003C0A88">
            <w:pPr>
              <w:pStyle w:val="ExhibitText"/>
              <w:keepNext/>
              <w:keepLines/>
              <w:jc w:val="right"/>
              <w:rPr>
                <w:sz w:val="18"/>
                <w:szCs w:val="18"/>
                <w:lang w:val="en-GB" w:eastAsia="en-IN"/>
              </w:rPr>
            </w:pPr>
            <w:r w:rsidRPr="001F64CE">
              <w:rPr>
                <w:sz w:val="18"/>
                <w:szCs w:val="18"/>
                <w:lang w:val="en-GB" w:eastAsia="en-IN"/>
              </w:rPr>
              <w:t>N</w:t>
            </w:r>
            <w:r w:rsidR="0049144A" w:rsidRPr="001F64CE">
              <w:rPr>
                <w:sz w:val="18"/>
                <w:szCs w:val="18"/>
                <w:lang w:val="en-GB" w:eastAsia="en-IN"/>
              </w:rPr>
              <w:t>/</w:t>
            </w:r>
            <w:r w:rsidRPr="001F64CE">
              <w:rPr>
                <w:sz w:val="18"/>
                <w:szCs w:val="18"/>
                <w:lang w:val="en-GB" w:eastAsia="en-IN"/>
              </w:rPr>
              <w:t>A</w:t>
            </w:r>
          </w:p>
        </w:tc>
        <w:tc>
          <w:tcPr>
            <w:tcW w:w="990" w:type="dxa"/>
            <w:shd w:val="clear" w:color="auto" w:fill="auto"/>
            <w:noWrap/>
            <w:vAlign w:val="bottom"/>
            <w:hideMark/>
          </w:tcPr>
          <w:p w14:paraId="57D80FCE" w14:textId="7D6F240F" w:rsidR="00DE7981" w:rsidRPr="001F64CE" w:rsidRDefault="0049144A" w:rsidP="003C0A88">
            <w:pPr>
              <w:pStyle w:val="ExhibitText"/>
              <w:keepNext/>
              <w:keepLines/>
              <w:jc w:val="right"/>
              <w:rPr>
                <w:sz w:val="18"/>
                <w:szCs w:val="18"/>
                <w:lang w:val="en-GB" w:eastAsia="en-IN"/>
              </w:rPr>
            </w:pPr>
            <w:r w:rsidRPr="001F64CE">
              <w:rPr>
                <w:sz w:val="18"/>
                <w:szCs w:val="18"/>
                <w:lang w:val="en-GB" w:eastAsia="en-IN"/>
              </w:rPr>
              <w:t>−</w:t>
            </w:r>
            <w:r w:rsidR="00DE7981" w:rsidRPr="001F64CE">
              <w:rPr>
                <w:sz w:val="18"/>
                <w:szCs w:val="18"/>
                <w:lang w:val="en-GB" w:eastAsia="en-IN"/>
              </w:rPr>
              <w:t>1.83%</w:t>
            </w:r>
          </w:p>
        </w:tc>
      </w:tr>
      <w:tr w:rsidR="00DE7981" w:rsidRPr="001F64CE" w14:paraId="11C8574F" w14:textId="77777777" w:rsidTr="002F1F01">
        <w:trPr>
          <w:trHeight w:val="288"/>
          <w:jc w:val="center"/>
        </w:trPr>
        <w:tc>
          <w:tcPr>
            <w:tcW w:w="2276" w:type="dxa"/>
            <w:shd w:val="clear" w:color="auto" w:fill="auto"/>
            <w:noWrap/>
            <w:vAlign w:val="bottom"/>
            <w:hideMark/>
          </w:tcPr>
          <w:p w14:paraId="22DEAB3B" w14:textId="77777777" w:rsidR="00DE7981" w:rsidRPr="001F64CE" w:rsidRDefault="00DE7981" w:rsidP="003C0A88">
            <w:pPr>
              <w:pStyle w:val="ExhibitText"/>
              <w:keepNext/>
              <w:keepLines/>
              <w:rPr>
                <w:sz w:val="18"/>
                <w:szCs w:val="18"/>
                <w:lang w:val="en-GB" w:eastAsia="en-IN"/>
              </w:rPr>
            </w:pPr>
            <w:r w:rsidRPr="001F64CE">
              <w:rPr>
                <w:sz w:val="18"/>
                <w:szCs w:val="18"/>
                <w:lang w:val="en-GB" w:eastAsia="en-IN"/>
              </w:rPr>
              <w:t>Hindustan Motors</w:t>
            </w:r>
          </w:p>
        </w:tc>
        <w:tc>
          <w:tcPr>
            <w:tcW w:w="976" w:type="dxa"/>
            <w:shd w:val="clear" w:color="auto" w:fill="auto"/>
            <w:noWrap/>
            <w:vAlign w:val="bottom"/>
            <w:hideMark/>
          </w:tcPr>
          <w:p w14:paraId="535BB84B" w14:textId="2BC74172" w:rsidR="00DE7981" w:rsidRPr="001F64CE" w:rsidRDefault="0049144A" w:rsidP="003C0A88">
            <w:pPr>
              <w:pStyle w:val="ExhibitText"/>
              <w:keepNext/>
              <w:keepLines/>
              <w:jc w:val="right"/>
              <w:rPr>
                <w:sz w:val="18"/>
                <w:szCs w:val="18"/>
                <w:lang w:val="en-GB" w:eastAsia="en-IN"/>
              </w:rPr>
            </w:pPr>
            <w:r w:rsidRPr="001F64CE">
              <w:rPr>
                <w:sz w:val="18"/>
                <w:szCs w:val="18"/>
                <w:lang w:val="en-GB" w:eastAsia="en-IN"/>
              </w:rPr>
              <w:t>&lt; 0</w:t>
            </w:r>
          </w:p>
        </w:tc>
        <w:tc>
          <w:tcPr>
            <w:tcW w:w="1136" w:type="dxa"/>
            <w:shd w:val="clear" w:color="auto" w:fill="auto"/>
            <w:noWrap/>
            <w:vAlign w:val="bottom"/>
            <w:hideMark/>
          </w:tcPr>
          <w:p w14:paraId="00BA087D" w14:textId="16267EC5" w:rsidR="00DE7981" w:rsidRPr="001F64CE" w:rsidRDefault="0049144A" w:rsidP="003C0A88">
            <w:pPr>
              <w:pStyle w:val="ExhibitText"/>
              <w:keepNext/>
              <w:keepLines/>
              <w:jc w:val="right"/>
              <w:rPr>
                <w:sz w:val="18"/>
                <w:szCs w:val="18"/>
                <w:lang w:val="en-GB" w:eastAsia="en-IN"/>
              </w:rPr>
            </w:pPr>
            <w:r w:rsidRPr="001F64CE">
              <w:rPr>
                <w:sz w:val="18"/>
                <w:szCs w:val="18"/>
                <w:lang w:val="en-GB" w:eastAsia="en-IN"/>
              </w:rPr>
              <w:t>&lt; 0</w:t>
            </w:r>
          </w:p>
        </w:tc>
        <w:tc>
          <w:tcPr>
            <w:tcW w:w="1282" w:type="dxa"/>
            <w:shd w:val="clear" w:color="auto" w:fill="auto"/>
            <w:noWrap/>
            <w:vAlign w:val="bottom"/>
            <w:hideMark/>
          </w:tcPr>
          <w:p w14:paraId="7BE464D2" w14:textId="5DDA0290" w:rsidR="00DE7981" w:rsidRPr="001F64CE" w:rsidRDefault="0049144A" w:rsidP="003C0A88">
            <w:pPr>
              <w:pStyle w:val="ExhibitText"/>
              <w:keepNext/>
              <w:keepLines/>
              <w:jc w:val="right"/>
              <w:rPr>
                <w:sz w:val="18"/>
                <w:szCs w:val="18"/>
                <w:lang w:val="en-GB" w:eastAsia="en-IN"/>
              </w:rPr>
            </w:pPr>
            <w:r w:rsidRPr="001F64CE">
              <w:rPr>
                <w:sz w:val="18"/>
                <w:szCs w:val="18"/>
                <w:lang w:val="en-GB" w:eastAsia="en-IN"/>
              </w:rPr>
              <w:t>&lt; 0</w:t>
            </w:r>
          </w:p>
        </w:tc>
        <w:tc>
          <w:tcPr>
            <w:tcW w:w="990" w:type="dxa"/>
            <w:shd w:val="clear" w:color="auto" w:fill="auto"/>
            <w:noWrap/>
            <w:vAlign w:val="bottom"/>
            <w:hideMark/>
          </w:tcPr>
          <w:p w14:paraId="03FCBC16" w14:textId="0FA13498" w:rsidR="00DE7981" w:rsidRPr="001F64CE" w:rsidRDefault="0049144A" w:rsidP="003C0A88">
            <w:pPr>
              <w:pStyle w:val="ExhibitText"/>
              <w:keepNext/>
              <w:keepLines/>
              <w:jc w:val="right"/>
              <w:rPr>
                <w:sz w:val="18"/>
                <w:szCs w:val="18"/>
                <w:lang w:val="en-GB" w:eastAsia="en-IN"/>
              </w:rPr>
            </w:pPr>
            <w:r w:rsidRPr="001F64CE">
              <w:rPr>
                <w:sz w:val="18"/>
                <w:szCs w:val="18"/>
                <w:lang w:val="en-GB" w:eastAsia="en-IN"/>
              </w:rPr>
              <w:t>&lt; 0</w:t>
            </w:r>
          </w:p>
        </w:tc>
      </w:tr>
    </w:tbl>
    <w:p w14:paraId="2DFBDA92" w14:textId="77777777" w:rsidR="00D903EB" w:rsidRPr="001F64CE" w:rsidRDefault="00D903EB" w:rsidP="003C0A88">
      <w:pPr>
        <w:pStyle w:val="Footnote"/>
        <w:keepNext/>
        <w:keepLines/>
        <w:rPr>
          <w:lang w:val="en-GB"/>
        </w:rPr>
      </w:pPr>
    </w:p>
    <w:p w14:paraId="73F2FBDB" w14:textId="1E921019" w:rsidR="00FE3D2E" w:rsidRPr="001F64CE" w:rsidRDefault="00657F1B" w:rsidP="003C0A88">
      <w:pPr>
        <w:pStyle w:val="Footnote"/>
        <w:keepNext/>
        <w:keepLines/>
        <w:rPr>
          <w:lang w:val="en-GB"/>
        </w:rPr>
      </w:pPr>
      <w:r>
        <w:rPr>
          <w:lang w:val="en-GB"/>
        </w:rPr>
        <w:t xml:space="preserve">Note: </w:t>
      </w:r>
      <w:r w:rsidR="0049144A" w:rsidRPr="001F64CE">
        <w:rPr>
          <w:lang w:val="en-GB"/>
        </w:rPr>
        <w:t>P/E ratio = price-earnings ratio; P/BV ratio = price-to-book value ratio; EV/EBITDA ratio = enterprise value</w:t>
      </w:r>
      <w:r>
        <w:rPr>
          <w:lang w:val="en-GB"/>
        </w:rPr>
        <w:t>-</w:t>
      </w:r>
      <w:r w:rsidR="0049144A" w:rsidRPr="001F64CE">
        <w:rPr>
          <w:lang w:val="en-GB"/>
        </w:rPr>
        <w:t>to</w:t>
      </w:r>
      <w:r>
        <w:rPr>
          <w:lang w:val="en-GB"/>
        </w:rPr>
        <w:t>-</w:t>
      </w:r>
      <w:r w:rsidR="0049144A" w:rsidRPr="001F64CE">
        <w:rPr>
          <w:lang w:val="en-GB"/>
        </w:rPr>
        <w:t>earnings before interest, taxes, depreciation</w:t>
      </w:r>
      <w:r w:rsidR="002B21A9">
        <w:rPr>
          <w:lang w:val="en-GB"/>
        </w:rPr>
        <w:t>,</w:t>
      </w:r>
      <w:r w:rsidR="0049144A" w:rsidRPr="001F64CE">
        <w:rPr>
          <w:lang w:val="en-GB"/>
        </w:rPr>
        <w:t xml:space="preserve"> and amort</w:t>
      </w:r>
      <w:r w:rsidR="00370907">
        <w:rPr>
          <w:lang w:val="en-GB"/>
        </w:rPr>
        <w:t xml:space="preserve">ization; ROE = return on equity; </w:t>
      </w:r>
      <w:r w:rsidR="00370907" w:rsidRPr="001F64CE">
        <w:rPr>
          <w:lang w:val="en-GB"/>
        </w:rPr>
        <w:t xml:space="preserve">*Shares of Hyundai Motor and Toyota Kirloskar are not listed </w:t>
      </w:r>
      <w:r w:rsidR="00370907">
        <w:rPr>
          <w:lang w:val="en-GB"/>
        </w:rPr>
        <w:t>o</w:t>
      </w:r>
      <w:r w:rsidR="00370907" w:rsidRPr="001F64CE">
        <w:rPr>
          <w:lang w:val="en-GB"/>
        </w:rPr>
        <w:t>n the stock exchanges</w:t>
      </w:r>
      <w:r w:rsidR="003C4D8C">
        <w:rPr>
          <w:lang w:val="en-GB"/>
        </w:rPr>
        <w:t xml:space="preserve">; </w:t>
      </w:r>
      <w:r w:rsidR="003C4D8C" w:rsidRPr="001F64CE">
        <w:rPr>
          <w:lang w:val="en-GB"/>
        </w:rPr>
        <w:t xml:space="preserve">*Shares of Hyundai Motor and Toyota Kirloskar are not listed </w:t>
      </w:r>
      <w:r w:rsidR="003C4D8C">
        <w:rPr>
          <w:lang w:val="en-GB"/>
        </w:rPr>
        <w:t>o</w:t>
      </w:r>
      <w:r w:rsidR="003C4D8C" w:rsidRPr="001F64CE">
        <w:rPr>
          <w:lang w:val="en-GB"/>
        </w:rPr>
        <w:t>n the stock exchanges</w:t>
      </w:r>
      <w:r w:rsidR="003C4D8C">
        <w:rPr>
          <w:lang w:val="en-GB"/>
        </w:rPr>
        <w:t>.</w:t>
      </w:r>
    </w:p>
    <w:p w14:paraId="61CCC0D1" w14:textId="7E8F82CB" w:rsidR="00DE7981" w:rsidRPr="001F64CE" w:rsidRDefault="00DE7981" w:rsidP="003C0A88">
      <w:pPr>
        <w:pStyle w:val="Footnote"/>
        <w:keepNext/>
        <w:keepLines/>
        <w:rPr>
          <w:lang w:val="en-GB"/>
        </w:rPr>
      </w:pPr>
      <w:r w:rsidRPr="001F64CE">
        <w:rPr>
          <w:lang w:val="en-GB"/>
        </w:rPr>
        <w:t>Source:</w:t>
      </w:r>
      <w:r w:rsidR="00370907">
        <w:rPr>
          <w:lang w:val="en-GB"/>
        </w:rPr>
        <w:t xml:space="preserve"> “Passenger Car Manufacturing Companies in India,”</w:t>
      </w:r>
      <w:r w:rsidRPr="001F64CE">
        <w:rPr>
          <w:lang w:val="en-GB"/>
        </w:rPr>
        <w:t xml:space="preserve"> Capitaline Database</w:t>
      </w:r>
      <w:r w:rsidR="00FE3D2E" w:rsidRPr="001F64CE">
        <w:rPr>
          <w:lang w:val="en-GB"/>
        </w:rPr>
        <w:t xml:space="preserve">, </w:t>
      </w:r>
      <w:r w:rsidR="007D7B78" w:rsidRPr="001F64CE">
        <w:rPr>
          <w:lang w:val="en-GB"/>
        </w:rPr>
        <w:t xml:space="preserve">accessed </w:t>
      </w:r>
      <w:r w:rsidR="00735879" w:rsidRPr="001F64CE">
        <w:rPr>
          <w:lang w:val="en-GB"/>
        </w:rPr>
        <w:t xml:space="preserve">July 13, </w:t>
      </w:r>
      <w:r w:rsidR="007D7B78" w:rsidRPr="001F64CE">
        <w:rPr>
          <w:lang w:val="en-GB"/>
        </w:rPr>
        <w:t>2014</w:t>
      </w:r>
      <w:r w:rsidR="00B82AB7">
        <w:rPr>
          <w:lang w:val="en-GB"/>
        </w:rPr>
        <w:t xml:space="preserve">, </w:t>
      </w:r>
    </w:p>
    <w:p w14:paraId="583273B0" w14:textId="77777777" w:rsidR="002365FE" w:rsidRPr="001F64CE" w:rsidRDefault="002365FE" w:rsidP="003C0A88">
      <w:pPr>
        <w:pStyle w:val="ExhibitHeading"/>
        <w:rPr>
          <w:rFonts w:eastAsia="Batang"/>
          <w:lang w:val="en-GB"/>
        </w:rPr>
      </w:pPr>
    </w:p>
    <w:p w14:paraId="228D0DF7" w14:textId="77777777" w:rsidR="002365FE" w:rsidRPr="001F64CE" w:rsidRDefault="002365FE" w:rsidP="003C0A88">
      <w:pPr>
        <w:pStyle w:val="ExhibitHeading"/>
        <w:rPr>
          <w:rFonts w:eastAsia="Batang"/>
          <w:lang w:val="en-GB"/>
        </w:rPr>
      </w:pPr>
    </w:p>
    <w:p w14:paraId="5DE33E51" w14:textId="7744181C" w:rsidR="00DE7981" w:rsidRPr="001F64CE" w:rsidRDefault="00DE7981" w:rsidP="003C0A88">
      <w:pPr>
        <w:pStyle w:val="ExhibitHeading"/>
        <w:rPr>
          <w:rFonts w:eastAsia="Batang"/>
          <w:lang w:val="en-GB"/>
        </w:rPr>
      </w:pPr>
      <w:r w:rsidRPr="001F64CE">
        <w:rPr>
          <w:rFonts w:eastAsia="Batang"/>
          <w:lang w:val="en-GB"/>
        </w:rPr>
        <w:t>Exhibit 5</w:t>
      </w:r>
      <w:r w:rsidR="00BF1A36" w:rsidRPr="001F64CE">
        <w:rPr>
          <w:rFonts w:eastAsia="Batang"/>
          <w:lang w:val="en-GB"/>
        </w:rPr>
        <w:t>:</w:t>
      </w:r>
      <w:r w:rsidR="00162092" w:rsidRPr="001F64CE">
        <w:rPr>
          <w:rFonts w:eastAsia="Batang"/>
          <w:lang w:val="en-GB"/>
        </w:rPr>
        <w:t xml:space="preserve"> </w:t>
      </w:r>
      <w:r w:rsidRPr="001F64CE">
        <w:rPr>
          <w:rFonts w:eastAsia="Batang"/>
          <w:lang w:val="en-GB"/>
        </w:rPr>
        <w:t xml:space="preserve">Relevant MacroEconomic Data for India </w:t>
      </w:r>
      <w:r w:rsidR="002B21A9">
        <w:rPr>
          <w:rFonts w:eastAsia="Batang"/>
          <w:lang w:val="en-GB"/>
        </w:rPr>
        <w:t>and</w:t>
      </w:r>
      <w:r w:rsidRPr="001F64CE">
        <w:rPr>
          <w:rFonts w:eastAsia="Batang"/>
          <w:lang w:val="en-GB"/>
        </w:rPr>
        <w:t xml:space="preserve"> Japan</w:t>
      </w:r>
    </w:p>
    <w:p w14:paraId="71DA7F5E" w14:textId="77777777" w:rsidR="00DE7981" w:rsidRPr="001F64CE" w:rsidRDefault="00DE7981" w:rsidP="003C0A88">
      <w:pPr>
        <w:ind w:left="144" w:right="144"/>
        <w:jc w:val="both"/>
        <w:rPr>
          <w:rFonts w:ascii="Arial" w:eastAsia="Batang" w:hAnsi="Arial" w:cs="Arial"/>
          <w:lang w:val="en-GB"/>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1170"/>
        <w:gridCol w:w="867"/>
        <w:gridCol w:w="1037"/>
        <w:gridCol w:w="936"/>
        <w:gridCol w:w="846"/>
        <w:gridCol w:w="845"/>
        <w:gridCol w:w="1276"/>
        <w:gridCol w:w="1417"/>
      </w:tblGrid>
      <w:tr w:rsidR="00DE7981" w:rsidRPr="001F64CE" w14:paraId="0F8F7F48" w14:textId="77777777" w:rsidTr="000147BE">
        <w:trPr>
          <w:trHeight w:val="1325"/>
          <w:jc w:val="center"/>
        </w:trPr>
        <w:tc>
          <w:tcPr>
            <w:tcW w:w="673" w:type="dxa"/>
            <w:shd w:val="clear" w:color="auto" w:fill="auto"/>
            <w:vAlign w:val="center"/>
            <w:hideMark/>
          </w:tcPr>
          <w:p w14:paraId="66552019" w14:textId="77777777" w:rsidR="00DE7981" w:rsidRPr="002F1F01" w:rsidRDefault="00DE7981" w:rsidP="003C0A88">
            <w:pPr>
              <w:jc w:val="center"/>
              <w:rPr>
                <w:rFonts w:ascii="Arial" w:hAnsi="Arial" w:cs="Arial"/>
                <w:b/>
                <w:color w:val="000000"/>
                <w:sz w:val="18"/>
                <w:szCs w:val="18"/>
                <w:lang w:val="en-GB" w:eastAsia="en-IN"/>
              </w:rPr>
            </w:pPr>
            <w:r w:rsidRPr="002F1F01">
              <w:rPr>
                <w:rFonts w:ascii="Arial" w:hAnsi="Arial" w:cs="Arial"/>
                <w:b/>
                <w:color w:val="000000"/>
                <w:sz w:val="18"/>
                <w:szCs w:val="18"/>
                <w:lang w:val="en-GB" w:eastAsia="en-IN"/>
              </w:rPr>
              <w:t>Year</w:t>
            </w:r>
          </w:p>
        </w:tc>
        <w:tc>
          <w:tcPr>
            <w:tcW w:w="1170" w:type="dxa"/>
            <w:shd w:val="clear" w:color="auto" w:fill="auto"/>
            <w:vAlign w:val="center"/>
            <w:hideMark/>
          </w:tcPr>
          <w:p w14:paraId="6ABD4F19" w14:textId="5C36A2D7" w:rsidR="00DE7981" w:rsidRPr="002F1F01" w:rsidRDefault="00DE7981" w:rsidP="003C0A88">
            <w:pPr>
              <w:jc w:val="center"/>
              <w:rPr>
                <w:rFonts w:ascii="Arial" w:hAnsi="Arial" w:cs="Arial"/>
                <w:b/>
                <w:color w:val="000000"/>
                <w:sz w:val="18"/>
                <w:szCs w:val="18"/>
                <w:lang w:val="en-GB" w:eastAsia="en-IN"/>
              </w:rPr>
            </w:pPr>
            <w:r w:rsidRPr="002F1F01">
              <w:rPr>
                <w:rFonts w:ascii="Arial" w:hAnsi="Arial" w:cs="Arial"/>
                <w:b/>
                <w:color w:val="000000"/>
                <w:sz w:val="18"/>
                <w:szCs w:val="18"/>
                <w:lang w:val="en-GB" w:eastAsia="en-IN"/>
              </w:rPr>
              <w:t>Exchange Rate (</w:t>
            </w:r>
            <w:r w:rsidR="00222C3C" w:rsidRPr="002F1F01">
              <w:rPr>
                <w:rFonts w:ascii="Arial" w:hAnsi="Arial" w:cs="Arial"/>
                <w:b/>
                <w:bCs/>
                <w:color w:val="000000"/>
                <w:sz w:val="18"/>
                <w:szCs w:val="18"/>
                <w:lang w:val="en-GB" w:eastAsia="en-IN"/>
              </w:rPr>
              <w:t>₹</w:t>
            </w:r>
            <w:r w:rsidR="00135617" w:rsidRPr="001F64CE">
              <w:rPr>
                <w:rFonts w:ascii="Arial" w:hAnsi="Arial" w:cs="Arial"/>
                <w:b/>
                <w:color w:val="000000"/>
                <w:sz w:val="18"/>
                <w:szCs w:val="18"/>
                <w:lang w:val="en-GB" w:eastAsia="en-IN"/>
              </w:rPr>
              <w:t xml:space="preserve"> p</w:t>
            </w:r>
            <w:r w:rsidRPr="002F1F01">
              <w:rPr>
                <w:rFonts w:ascii="Arial" w:hAnsi="Arial" w:cs="Arial"/>
                <w:b/>
                <w:color w:val="000000"/>
                <w:sz w:val="18"/>
                <w:szCs w:val="18"/>
                <w:lang w:val="en-GB" w:eastAsia="en-IN"/>
              </w:rPr>
              <w:t xml:space="preserve">er </w:t>
            </w:r>
            <w:r w:rsidR="00135617" w:rsidRPr="001F64CE">
              <w:rPr>
                <w:rFonts w:ascii="Arial" w:hAnsi="Arial" w:cs="Arial"/>
                <w:b/>
                <w:color w:val="000000"/>
                <w:sz w:val="18"/>
                <w:szCs w:val="18"/>
                <w:lang w:val="en-GB" w:eastAsia="en-IN"/>
              </w:rPr>
              <w:t>¥</w:t>
            </w:r>
            <w:r w:rsidRPr="002F1F01">
              <w:rPr>
                <w:rFonts w:ascii="Arial" w:hAnsi="Arial" w:cs="Arial"/>
                <w:b/>
                <w:color w:val="000000"/>
                <w:sz w:val="18"/>
                <w:szCs w:val="18"/>
                <w:lang w:val="en-GB" w:eastAsia="en-IN"/>
              </w:rPr>
              <w:t>100</w:t>
            </w:r>
            <w:r w:rsidR="00135617" w:rsidRPr="001F64CE">
              <w:rPr>
                <w:rFonts w:ascii="Arial" w:hAnsi="Arial" w:cs="Arial"/>
                <w:b/>
                <w:color w:val="000000"/>
                <w:sz w:val="18"/>
                <w:szCs w:val="18"/>
                <w:lang w:val="en-GB" w:eastAsia="en-IN"/>
              </w:rPr>
              <w:t>.00</w:t>
            </w:r>
            <w:r w:rsidRPr="002F1F01">
              <w:rPr>
                <w:rFonts w:ascii="Arial" w:hAnsi="Arial" w:cs="Arial"/>
                <w:b/>
                <w:color w:val="000000"/>
                <w:sz w:val="18"/>
                <w:szCs w:val="18"/>
                <w:lang w:val="en-GB" w:eastAsia="en-IN"/>
              </w:rPr>
              <w:t>)</w:t>
            </w:r>
          </w:p>
        </w:tc>
        <w:tc>
          <w:tcPr>
            <w:tcW w:w="867" w:type="dxa"/>
            <w:shd w:val="clear" w:color="auto" w:fill="auto"/>
            <w:vAlign w:val="center"/>
            <w:hideMark/>
          </w:tcPr>
          <w:p w14:paraId="7B90611F" w14:textId="3711EF64" w:rsidR="00DE7981" w:rsidRPr="002F1F01" w:rsidRDefault="00DE7981" w:rsidP="003C0A88">
            <w:pPr>
              <w:jc w:val="center"/>
              <w:rPr>
                <w:rFonts w:ascii="Arial" w:hAnsi="Arial" w:cs="Arial"/>
                <w:b/>
                <w:color w:val="000000"/>
                <w:sz w:val="18"/>
                <w:szCs w:val="18"/>
                <w:lang w:val="en-GB" w:eastAsia="en-IN"/>
              </w:rPr>
            </w:pPr>
            <w:r w:rsidRPr="002F1F01">
              <w:rPr>
                <w:rFonts w:ascii="Arial" w:hAnsi="Arial" w:cs="Arial"/>
                <w:b/>
                <w:color w:val="000000"/>
                <w:sz w:val="18"/>
                <w:szCs w:val="18"/>
                <w:lang w:val="en-GB" w:eastAsia="en-IN"/>
              </w:rPr>
              <w:t xml:space="preserve">Indian Interest </w:t>
            </w:r>
            <w:r w:rsidR="00135617" w:rsidRPr="001F64CE">
              <w:rPr>
                <w:rFonts w:ascii="Arial" w:hAnsi="Arial" w:cs="Arial"/>
                <w:b/>
                <w:color w:val="000000"/>
                <w:sz w:val="18"/>
                <w:szCs w:val="18"/>
                <w:lang w:val="en-GB" w:eastAsia="en-IN"/>
              </w:rPr>
              <w:t>R</w:t>
            </w:r>
            <w:r w:rsidR="00135617" w:rsidRPr="002F1F01">
              <w:rPr>
                <w:rFonts w:ascii="Arial" w:hAnsi="Arial" w:cs="Arial"/>
                <w:b/>
                <w:color w:val="000000"/>
                <w:sz w:val="18"/>
                <w:szCs w:val="18"/>
                <w:lang w:val="en-GB" w:eastAsia="en-IN"/>
              </w:rPr>
              <w:t>ate</w:t>
            </w:r>
          </w:p>
        </w:tc>
        <w:tc>
          <w:tcPr>
            <w:tcW w:w="1037" w:type="dxa"/>
            <w:shd w:val="clear" w:color="auto" w:fill="auto"/>
            <w:vAlign w:val="center"/>
            <w:hideMark/>
          </w:tcPr>
          <w:p w14:paraId="6CEAE9CE" w14:textId="77777777" w:rsidR="00DE7981" w:rsidRPr="002F1F01" w:rsidRDefault="00DE7981" w:rsidP="003C0A88">
            <w:pPr>
              <w:jc w:val="center"/>
              <w:rPr>
                <w:rFonts w:ascii="Arial" w:hAnsi="Arial" w:cs="Arial"/>
                <w:b/>
                <w:color w:val="000000"/>
                <w:sz w:val="18"/>
                <w:szCs w:val="18"/>
                <w:lang w:val="en-GB" w:eastAsia="en-IN"/>
              </w:rPr>
            </w:pPr>
            <w:r w:rsidRPr="002F1F01">
              <w:rPr>
                <w:rFonts w:ascii="Arial" w:hAnsi="Arial" w:cs="Arial"/>
                <w:b/>
                <w:color w:val="000000"/>
                <w:sz w:val="18"/>
                <w:szCs w:val="18"/>
                <w:lang w:val="en-GB" w:eastAsia="en-IN"/>
              </w:rPr>
              <w:t>Japanese Interest Rate</w:t>
            </w:r>
          </w:p>
        </w:tc>
        <w:tc>
          <w:tcPr>
            <w:tcW w:w="936" w:type="dxa"/>
            <w:shd w:val="clear" w:color="auto" w:fill="auto"/>
            <w:vAlign w:val="center"/>
            <w:hideMark/>
          </w:tcPr>
          <w:p w14:paraId="0B18744F" w14:textId="77777777" w:rsidR="00DE7981" w:rsidRPr="002F1F01" w:rsidRDefault="00DE7981" w:rsidP="003C0A88">
            <w:pPr>
              <w:jc w:val="center"/>
              <w:rPr>
                <w:rFonts w:ascii="Arial" w:hAnsi="Arial" w:cs="Arial"/>
                <w:b/>
                <w:color w:val="000000"/>
                <w:sz w:val="18"/>
                <w:szCs w:val="18"/>
                <w:lang w:val="en-GB" w:eastAsia="en-IN"/>
              </w:rPr>
            </w:pPr>
            <w:r w:rsidRPr="002F1F01">
              <w:rPr>
                <w:rFonts w:ascii="Arial" w:hAnsi="Arial" w:cs="Arial"/>
                <w:b/>
                <w:color w:val="000000"/>
                <w:sz w:val="18"/>
                <w:szCs w:val="18"/>
                <w:lang w:val="en-GB" w:eastAsia="en-IN"/>
              </w:rPr>
              <w:t>Inflation Rate in India (Change in CPI)</w:t>
            </w:r>
          </w:p>
        </w:tc>
        <w:tc>
          <w:tcPr>
            <w:tcW w:w="846" w:type="dxa"/>
            <w:shd w:val="clear" w:color="auto" w:fill="auto"/>
            <w:vAlign w:val="center"/>
            <w:hideMark/>
          </w:tcPr>
          <w:p w14:paraId="4432A08A" w14:textId="77777777" w:rsidR="00DE7981" w:rsidRPr="002F1F01" w:rsidRDefault="00DE7981" w:rsidP="003C0A88">
            <w:pPr>
              <w:jc w:val="center"/>
              <w:rPr>
                <w:rFonts w:ascii="Arial" w:hAnsi="Arial" w:cs="Arial"/>
                <w:b/>
                <w:color w:val="000000"/>
                <w:sz w:val="18"/>
                <w:szCs w:val="18"/>
                <w:lang w:val="en-GB" w:eastAsia="en-IN"/>
              </w:rPr>
            </w:pPr>
            <w:r w:rsidRPr="002F1F01">
              <w:rPr>
                <w:rFonts w:ascii="Arial" w:hAnsi="Arial" w:cs="Arial"/>
                <w:b/>
                <w:color w:val="000000"/>
                <w:sz w:val="18"/>
                <w:szCs w:val="18"/>
                <w:lang w:val="en-GB" w:eastAsia="en-IN"/>
              </w:rPr>
              <w:t>GDP Growth Rate in India</w:t>
            </w:r>
          </w:p>
        </w:tc>
        <w:tc>
          <w:tcPr>
            <w:tcW w:w="845" w:type="dxa"/>
            <w:shd w:val="clear" w:color="auto" w:fill="auto"/>
            <w:vAlign w:val="center"/>
            <w:hideMark/>
          </w:tcPr>
          <w:p w14:paraId="65459D8E" w14:textId="4619AEA3" w:rsidR="00DE7981" w:rsidRPr="002F1F01" w:rsidRDefault="00DE7981" w:rsidP="003C0A88">
            <w:pPr>
              <w:jc w:val="center"/>
              <w:rPr>
                <w:rFonts w:ascii="Arial" w:hAnsi="Arial" w:cs="Arial"/>
                <w:b/>
                <w:color w:val="000000"/>
                <w:sz w:val="18"/>
                <w:szCs w:val="18"/>
                <w:lang w:val="en-GB" w:eastAsia="en-IN"/>
              </w:rPr>
            </w:pPr>
            <w:r w:rsidRPr="002F1F01">
              <w:rPr>
                <w:rFonts w:ascii="Arial" w:hAnsi="Arial" w:cs="Arial"/>
                <w:b/>
                <w:color w:val="000000"/>
                <w:sz w:val="18"/>
                <w:szCs w:val="18"/>
                <w:lang w:val="en-GB" w:eastAsia="en-IN"/>
              </w:rPr>
              <w:t>Petrol Price (</w:t>
            </w:r>
            <w:r w:rsidR="00222C3C" w:rsidRPr="002F1F01">
              <w:rPr>
                <w:rFonts w:ascii="Arial" w:hAnsi="Arial" w:cs="Arial"/>
                <w:b/>
                <w:bCs/>
                <w:color w:val="000000"/>
                <w:sz w:val="18"/>
                <w:szCs w:val="18"/>
                <w:lang w:val="en-GB" w:eastAsia="en-IN"/>
              </w:rPr>
              <w:t>₹</w:t>
            </w:r>
            <w:r w:rsidRPr="002F1F01">
              <w:rPr>
                <w:rFonts w:ascii="Arial" w:hAnsi="Arial" w:cs="Arial"/>
                <w:b/>
                <w:color w:val="000000"/>
                <w:sz w:val="18"/>
                <w:szCs w:val="18"/>
                <w:lang w:val="en-GB" w:eastAsia="en-IN"/>
              </w:rPr>
              <w:t xml:space="preserve"> </w:t>
            </w:r>
            <w:r w:rsidR="00135617" w:rsidRPr="001F64CE">
              <w:rPr>
                <w:rFonts w:ascii="Arial" w:hAnsi="Arial" w:cs="Arial"/>
                <w:b/>
                <w:color w:val="000000"/>
                <w:sz w:val="18"/>
                <w:szCs w:val="18"/>
                <w:lang w:val="en-GB" w:eastAsia="en-IN"/>
              </w:rPr>
              <w:t>p</w:t>
            </w:r>
            <w:r w:rsidRPr="002F1F01">
              <w:rPr>
                <w:rFonts w:ascii="Arial" w:hAnsi="Arial" w:cs="Arial"/>
                <w:b/>
                <w:color w:val="000000"/>
                <w:sz w:val="18"/>
                <w:szCs w:val="18"/>
                <w:lang w:val="en-GB" w:eastAsia="en-IN"/>
              </w:rPr>
              <w:t>er litre)</w:t>
            </w:r>
          </w:p>
        </w:tc>
        <w:tc>
          <w:tcPr>
            <w:tcW w:w="1276" w:type="dxa"/>
            <w:shd w:val="clear" w:color="auto" w:fill="auto"/>
            <w:vAlign w:val="center"/>
            <w:hideMark/>
          </w:tcPr>
          <w:p w14:paraId="3ABA3F1B" w14:textId="624D7EDA" w:rsidR="00DE7981" w:rsidRPr="002F1F01" w:rsidRDefault="00DE7981" w:rsidP="003C0A88">
            <w:pPr>
              <w:jc w:val="center"/>
              <w:rPr>
                <w:rFonts w:ascii="Arial" w:hAnsi="Arial" w:cs="Arial"/>
                <w:b/>
                <w:color w:val="000000"/>
                <w:sz w:val="18"/>
                <w:szCs w:val="18"/>
                <w:lang w:val="en-GB" w:eastAsia="en-IN"/>
              </w:rPr>
            </w:pPr>
            <w:r w:rsidRPr="002F1F01">
              <w:rPr>
                <w:rFonts w:ascii="Arial" w:hAnsi="Arial" w:cs="Arial"/>
                <w:b/>
                <w:color w:val="000000"/>
                <w:sz w:val="18"/>
                <w:szCs w:val="18"/>
                <w:lang w:val="en-GB" w:eastAsia="en-IN"/>
              </w:rPr>
              <w:t>Diesel Price (</w:t>
            </w:r>
            <w:r w:rsidR="00222C3C" w:rsidRPr="002F1F01">
              <w:rPr>
                <w:rFonts w:ascii="Arial" w:hAnsi="Arial" w:cs="Arial"/>
                <w:b/>
                <w:bCs/>
                <w:color w:val="000000"/>
                <w:sz w:val="18"/>
                <w:szCs w:val="18"/>
                <w:lang w:val="en-GB" w:eastAsia="en-IN"/>
              </w:rPr>
              <w:t>₹</w:t>
            </w:r>
            <w:r w:rsidRPr="002F1F01">
              <w:rPr>
                <w:rFonts w:ascii="Arial" w:hAnsi="Arial" w:cs="Arial"/>
                <w:b/>
                <w:color w:val="000000"/>
                <w:sz w:val="18"/>
                <w:szCs w:val="18"/>
                <w:lang w:val="en-GB" w:eastAsia="en-IN"/>
              </w:rPr>
              <w:t xml:space="preserve"> </w:t>
            </w:r>
            <w:r w:rsidR="00135617" w:rsidRPr="001F64CE">
              <w:rPr>
                <w:rFonts w:ascii="Arial" w:hAnsi="Arial" w:cs="Arial"/>
                <w:b/>
                <w:color w:val="000000"/>
                <w:sz w:val="18"/>
                <w:szCs w:val="18"/>
                <w:lang w:val="en-GB" w:eastAsia="en-IN"/>
              </w:rPr>
              <w:t>p</w:t>
            </w:r>
            <w:r w:rsidRPr="002F1F01">
              <w:rPr>
                <w:rFonts w:ascii="Arial" w:hAnsi="Arial" w:cs="Arial"/>
                <w:b/>
                <w:color w:val="000000"/>
                <w:sz w:val="18"/>
                <w:szCs w:val="18"/>
                <w:lang w:val="en-GB" w:eastAsia="en-IN"/>
              </w:rPr>
              <w:t>er litre)</w:t>
            </w:r>
          </w:p>
        </w:tc>
        <w:tc>
          <w:tcPr>
            <w:tcW w:w="1417" w:type="dxa"/>
            <w:shd w:val="clear" w:color="auto" w:fill="auto"/>
            <w:vAlign w:val="center"/>
            <w:hideMark/>
          </w:tcPr>
          <w:p w14:paraId="1613C594" w14:textId="77777777" w:rsidR="00DE7981" w:rsidRPr="002F1F01" w:rsidRDefault="00DE7981" w:rsidP="003C0A88">
            <w:pPr>
              <w:jc w:val="center"/>
              <w:rPr>
                <w:rFonts w:ascii="Arial" w:hAnsi="Arial" w:cs="Arial"/>
                <w:b/>
                <w:color w:val="000000"/>
                <w:sz w:val="18"/>
                <w:szCs w:val="18"/>
                <w:lang w:val="en-GB" w:eastAsia="en-IN"/>
              </w:rPr>
            </w:pPr>
            <w:r w:rsidRPr="002F1F01">
              <w:rPr>
                <w:rFonts w:ascii="Arial" w:hAnsi="Arial" w:cs="Arial"/>
                <w:b/>
                <w:color w:val="000000"/>
                <w:sz w:val="18"/>
                <w:szCs w:val="18"/>
                <w:lang w:val="en-GB" w:eastAsia="en-IN"/>
              </w:rPr>
              <w:t>Cars Manufactured in India</w:t>
            </w:r>
          </w:p>
        </w:tc>
      </w:tr>
      <w:tr w:rsidR="00DE7981" w:rsidRPr="001F64CE" w14:paraId="33A35F35" w14:textId="77777777" w:rsidTr="000147BE">
        <w:trPr>
          <w:trHeight w:val="265"/>
          <w:jc w:val="center"/>
        </w:trPr>
        <w:tc>
          <w:tcPr>
            <w:tcW w:w="673" w:type="dxa"/>
            <w:shd w:val="clear" w:color="auto" w:fill="auto"/>
            <w:noWrap/>
            <w:vAlign w:val="bottom"/>
            <w:hideMark/>
          </w:tcPr>
          <w:p w14:paraId="0F12AFB2" w14:textId="77777777" w:rsidR="00DE7981" w:rsidRPr="001F64CE" w:rsidRDefault="00DE7981" w:rsidP="003C0A88">
            <w:pPr>
              <w:rPr>
                <w:rFonts w:ascii="Arial" w:hAnsi="Arial" w:cs="Arial"/>
                <w:color w:val="000000"/>
                <w:sz w:val="18"/>
                <w:szCs w:val="18"/>
                <w:lang w:val="en-GB" w:eastAsia="en-IN"/>
              </w:rPr>
            </w:pPr>
            <w:r w:rsidRPr="001F64CE">
              <w:rPr>
                <w:rFonts w:ascii="Arial" w:hAnsi="Arial" w:cs="Arial"/>
                <w:color w:val="000000"/>
                <w:sz w:val="18"/>
                <w:szCs w:val="18"/>
                <w:lang w:val="en-GB" w:eastAsia="en-IN"/>
              </w:rPr>
              <w:t>2000</w:t>
            </w:r>
          </w:p>
        </w:tc>
        <w:tc>
          <w:tcPr>
            <w:tcW w:w="1170" w:type="dxa"/>
            <w:shd w:val="clear" w:color="auto" w:fill="auto"/>
            <w:noWrap/>
            <w:vAlign w:val="bottom"/>
            <w:hideMark/>
          </w:tcPr>
          <w:p w14:paraId="5AEAFE87"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41.7258</w:t>
            </w:r>
          </w:p>
        </w:tc>
        <w:tc>
          <w:tcPr>
            <w:tcW w:w="867" w:type="dxa"/>
            <w:shd w:val="clear" w:color="auto" w:fill="auto"/>
            <w:noWrap/>
            <w:vAlign w:val="bottom"/>
            <w:hideMark/>
          </w:tcPr>
          <w:p w14:paraId="04336A19"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8.74%</w:t>
            </w:r>
          </w:p>
        </w:tc>
        <w:tc>
          <w:tcPr>
            <w:tcW w:w="1037" w:type="dxa"/>
            <w:shd w:val="clear" w:color="auto" w:fill="auto"/>
            <w:noWrap/>
            <w:vAlign w:val="bottom"/>
            <w:hideMark/>
          </w:tcPr>
          <w:p w14:paraId="4379E785"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0.25%</w:t>
            </w:r>
          </w:p>
        </w:tc>
        <w:tc>
          <w:tcPr>
            <w:tcW w:w="936" w:type="dxa"/>
            <w:shd w:val="clear" w:color="auto" w:fill="auto"/>
            <w:noWrap/>
            <w:vAlign w:val="bottom"/>
            <w:hideMark/>
          </w:tcPr>
          <w:p w14:paraId="36B3BA20"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4.44%</w:t>
            </w:r>
          </w:p>
        </w:tc>
        <w:tc>
          <w:tcPr>
            <w:tcW w:w="846" w:type="dxa"/>
            <w:shd w:val="clear" w:color="auto" w:fill="auto"/>
            <w:noWrap/>
            <w:vAlign w:val="bottom"/>
            <w:hideMark/>
          </w:tcPr>
          <w:p w14:paraId="27F82B2D"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8.00%</w:t>
            </w:r>
          </w:p>
        </w:tc>
        <w:tc>
          <w:tcPr>
            <w:tcW w:w="845" w:type="dxa"/>
            <w:shd w:val="clear" w:color="auto" w:fill="auto"/>
            <w:noWrap/>
            <w:vAlign w:val="bottom"/>
            <w:hideMark/>
          </w:tcPr>
          <w:p w14:paraId="769D371C"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25.94</w:t>
            </w:r>
          </w:p>
        </w:tc>
        <w:tc>
          <w:tcPr>
            <w:tcW w:w="1276" w:type="dxa"/>
            <w:shd w:val="clear" w:color="auto" w:fill="auto"/>
            <w:noWrap/>
            <w:vAlign w:val="bottom"/>
            <w:hideMark/>
          </w:tcPr>
          <w:p w14:paraId="08581E3E"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14.04</w:t>
            </w:r>
          </w:p>
        </w:tc>
        <w:tc>
          <w:tcPr>
            <w:tcW w:w="1417" w:type="dxa"/>
            <w:shd w:val="clear" w:color="auto" w:fill="auto"/>
            <w:noWrap/>
            <w:vAlign w:val="bottom"/>
            <w:hideMark/>
          </w:tcPr>
          <w:p w14:paraId="378CE7BF"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517,957</w:t>
            </w:r>
          </w:p>
        </w:tc>
      </w:tr>
      <w:tr w:rsidR="00DE7981" w:rsidRPr="001F64CE" w14:paraId="58CA2937" w14:textId="77777777" w:rsidTr="000147BE">
        <w:trPr>
          <w:trHeight w:val="265"/>
          <w:jc w:val="center"/>
        </w:trPr>
        <w:tc>
          <w:tcPr>
            <w:tcW w:w="673" w:type="dxa"/>
            <w:shd w:val="clear" w:color="auto" w:fill="auto"/>
            <w:noWrap/>
            <w:vAlign w:val="bottom"/>
            <w:hideMark/>
          </w:tcPr>
          <w:p w14:paraId="1D883F69" w14:textId="77777777" w:rsidR="00DE7981" w:rsidRPr="001F64CE" w:rsidRDefault="00DE7981" w:rsidP="003C0A88">
            <w:pPr>
              <w:rPr>
                <w:rFonts w:ascii="Arial" w:hAnsi="Arial" w:cs="Arial"/>
                <w:color w:val="000000"/>
                <w:sz w:val="18"/>
                <w:szCs w:val="18"/>
                <w:lang w:val="en-GB" w:eastAsia="en-IN"/>
              </w:rPr>
            </w:pPr>
            <w:r w:rsidRPr="001F64CE">
              <w:rPr>
                <w:rFonts w:ascii="Arial" w:hAnsi="Arial" w:cs="Arial"/>
                <w:color w:val="000000"/>
                <w:sz w:val="18"/>
                <w:szCs w:val="18"/>
                <w:lang w:val="en-GB" w:eastAsia="en-IN"/>
              </w:rPr>
              <w:t>2001</w:t>
            </w:r>
          </w:p>
        </w:tc>
        <w:tc>
          <w:tcPr>
            <w:tcW w:w="1170" w:type="dxa"/>
            <w:shd w:val="clear" w:color="auto" w:fill="auto"/>
            <w:noWrap/>
            <w:vAlign w:val="bottom"/>
            <w:hideMark/>
          </w:tcPr>
          <w:p w14:paraId="0EF559BE"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38.8674</w:t>
            </w:r>
          </w:p>
        </w:tc>
        <w:tc>
          <w:tcPr>
            <w:tcW w:w="867" w:type="dxa"/>
            <w:shd w:val="clear" w:color="auto" w:fill="auto"/>
            <w:noWrap/>
            <w:vAlign w:val="bottom"/>
            <w:hideMark/>
          </w:tcPr>
          <w:p w14:paraId="75808325"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9.88%</w:t>
            </w:r>
          </w:p>
        </w:tc>
        <w:tc>
          <w:tcPr>
            <w:tcW w:w="1037" w:type="dxa"/>
            <w:shd w:val="clear" w:color="auto" w:fill="auto"/>
            <w:noWrap/>
            <w:vAlign w:val="bottom"/>
            <w:hideMark/>
          </w:tcPr>
          <w:p w14:paraId="5E341A53"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0.15%</w:t>
            </w:r>
          </w:p>
        </w:tc>
        <w:tc>
          <w:tcPr>
            <w:tcW w:w="936" w:type="dxa"/>
            <w:shd w:val="clear" w:color="auto" w:fill="auto"/>
            <w:noWrap/>
            <w:vAlign w:val="bottom"/>
            <w:hideMark/>
          </w:tcPr>
          <w:p w14:paraId="0FE2D3F9" w14:textId="520850A7" w:rsidR="00DE7981" w:rsidRPr="001F64CE" w:rsidRDefault="00135617"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w:t>
            </w:r>
            <w:r w:rsidR="00DE7981" w:rsidRPr="001F64CE">
              <w:rPr>
                <w:rFonts w:ascii="Arial" w:hAnsi="Arial" w:cs="Arial"/>
                <w:color w:val="000000"/>
                <w:sz w:val="18"/>
                <w:szCs w:val="18"/>
                <w:lang w:val="en-GB" w:eastAsia="en-IN"/>
              </w:rPr>
              <w:t>0.33%</w:t>
            </w:r>
          </w:p>
        </w:tc>
        <w:tc>
          <w:tcPr>
            <w:tcW w:w="846" w:type="dxa"/>
            <w:shd w:val="clear" w:color="auto" w:fill="auto"/>
            <w:noWrap/>
            <w:vAlign w:val="bottom"/>
            <w:hideMark/>
          </w:tcPr>
          <w:p w14:paraId="0BEAA791"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4.15%</w:t>
            </w:r>
          </w:p>
        </w:tc>
        <w:tc>
          <w:tcPr>
            <w:tcW w:w="845" w:type="dxa"/>
            <w:shd w:val="clear" w:color="auto" w:fill="auto"/>
            <w:noWrap/>
            <w:vAlign w:val="bottom"/>
            <w:hideMark/>
          </w:tcPr>
          <w:p w14:paraId="442B0A51"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28.44</w:t>
            </w:r>
          </w:p>
        </w:tc>
        <w:tc>
          <w:tcPr>
            <w:tcW w:w="1276" w:type="dxa"/>
            <w:shd w:val="clear" w:color="auto" w:fill="auto"/>
            <w:noWrap/>
            <w:vAlign w:val="bottom"/>
            <w:hideMark/>
          </w:tcPr>
          <w:p w14:paraId="42379872"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17.09</w:t>
            </w:r>
          </w:p>
        </w:tc>
        <w:tc>
          <w:tcPr>
            <w:tcW w:w="1417" w:type="dxa"/>
            <w:shd w:val="clear" w:color="auto" w:fill="auto"/>
            <w:noWrap/>
            <w:vAlign w:val="bottom"/>
            <w:hideMark/>
          </w:tcPr>
          <w:p w14:paraId="69E03124"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654,557</w:t>
            </w:r>
          </w:p>
        </w:tc>
      </w:tr>
      <w:tr w:rsidR="00DE7981" w:rsidRPr="001F64CE" w14:paraId="51D832A8" w14:textId="77777777" w:rsidTr="000147BE">
        <w:trPr>
          <w:trHeight w:val="265"/>
          <w:jc w:val="center"/>
        </w:trPr>
        <w:tc>
          <w:tcPr>
            <w:tcW w:w="673" w:type="dxa"/>
            <w:shd w:val="clear" w:color="auto" w:fill="auto"/>
            <w:noWrap/>
            <w:vAlign w:val="bottom"/>
            <w:hideMark/>
          </w:tcPr>
          <w:p w14:paraId="5E9BF57A" w14:textId="77777777" w:rsidR="00DE7981" w:rsidRPr="001F64CE" w:rsidRDefault="00DE7981" w:rsidP="003C0A88">
            <w:pPr>
              <w:rPr>
                <w:rFonts w:ascii="Arial" w:hAnsi="Arial" w:cs="Arial"/>
                <w:color w:val="000000"/>
                <w:sz w:val="18"/>
                <w:szCs w:val="18"/>
                <w:lang w:val="en-GB" w:eastAsia="en-IN"/>
              </w:rPr>
            </w:pPr>
            <w:r w:rsidRPr="001F64CE">
              <w:rPr>
                <w:rFonts w:ascii="Arial" w:hAnsi="Arial" w:cs="Arial"/>
                <w:color w:val="000000"/>
                <w:sz w:val="18"/>
                <w:szCs w:val="18"/>
                <w:lang w:val="en-GB" w:eastAsia="en-IN"/>
              </w:rPr>
              <w:t>2002</w:t>
            </w:r>
          </w:p>
        </w:tc>
        <w:tc>
          <w:tcPr>
            <w:tcW w:w="1170" w:type="dxa"/>
            <w:shd w:val="clear" w:color="auto" w:fill="auto"/>
            <w:noWrap/>
            <w:vAlign w:val="bottom"/>
            <w:hideMark/>
          </w:tcPr>
          <w:p w14:paraId="202522A3"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38.8722</w:t>
            </w:r>
          </w:p>
        </w:tc>
        <w:tc>
          <w:tcPr>
            <w:tcW w:w="867" w:type="dxa"/>
            <w:shd w:val="clear" w:color="auto" w:fill="auto"/>
            <w:noWrap/>
            <w:vAlign w:val="bottom"/>
            <w:hideMark/>
          </w:tcPr>
          <w:p w14:paraId="4BAE8E79"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7.24%</w:t>
            </w:r>
          </w:p>
        </w:tc>
        <w:tc>
          <w:tcPr>
            <w:tcW w:w="1037" w:type="dxa"/>
            <w:shd w:val="clear" w:color="auto" w:fill="auto"/>
            <w:noWrap/>
            <w:vAlign w:val="bottom"/>
            <w:hideMark/>
          </w:tcPr>
          <w:p w14:paraId="029C87D6"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0.00%</w:t>
            </w:r>
          </w:p>
        </w:tc>
        <w:tc>
          <w:tcPr>
            <w:tcW w:w="936" w:type="dxa"/>
            <w:shd w:val="clear" w:color="auto" w:fill="auto"/>
            <w:noWrap/>
            <w:vAlign w:val="bottom"/>
            <w:hideMark/>
          </w:tcPr>
          <w:p w14:paraId="4A13C1FB"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1.31%</w:t>
            </w:r>
          </w:p>
        </w:tc>
        <w:tc>
          <w:tcPr>
            <w:tcW w:w="846" w:type="dxa"/>
            <w:shd w:val="clear" w:color="auto" w:fill="auto"/>
            <w:noWrap/>
            <w:vAlign w:val="bottom"/>
            <w:hideMark/>
          </w:tcPr>
          <w:p w14:paraId="73059E96"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5.39%</w:t>
            </w:r>
          </w:p>
        </w:tc>
        <w:tc>
          <w:tcPr>
            <w:tcW w:w="845" w:type="dxa"/>
            <w:shd w:val="clear" w:color="auto" w:fill="auto"/>
            <w:noWrap/>
            <w:vAlign w:val="bottom"/>
            <w:hideMark/>
          </w:tcPr>
          <w:p w14:paraId="39A1E09F"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27.54</w:t>
            </w:r>
          </w:p>
        </w:tc>
        <w:tc>
          <w:tcPr>
            <w:tcW w:w="1276" w:type="dxa"/>
            <w:shd w:val="clear" w:color="auto" w:fill="auto"/>
            <w:noWrap/>
            <w:vAlign w:val="bottom"/>
            <w:hideMark/>
          </w:tcPr>
          <w:p w14:paraId="1232FE9E"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16.55</w:t>
            </w:r>
          </w:p>
        </w:tc>
        <w:tc>
          <w:tcPr>
            <w:tcW w:w="1417" w:type="dxa"/>
            <w:shd w:val="clear" w:color="auto" w:fill="auto"/>
            <w:noWrap/>
            <w:vAlign w:val="bottom"/>
            <w:hideMark/>
          </w:tcPr>
          <w:p w14:paraId="495EB87B"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703,948</w:t>
            </w:r>
          </w:p>
        </w:tc>
      </w:tr>
      <w:tr w:rsidR="00DE7981" w:rsidRPr="001F64CE" w14:paraId="191E2A06" w14:textId="77777777" w:rsidTr="000147BE">
        <w:trPr>
          <w:trHeight w:val="265"/>
          <w:jc w:val="center"/>
        </w:trPr>
        <w:tc>
          <w:tcPr>
            <w:tcW w:w="673" w:type="dxa"/>
            <w:shd w:val="clear" w:color="auto" w:fill="auto"/>
            <w:noWrap/>
            <w:vAlign w:val="bottom"/>
            <w:hideMark/>
          </w:tcPr>
          <w:p w14:paraId="6E1C270D" w14:textId="77777777" w:rsidR="00DE7981" w:rsidRPr="001F64CE" w:rsidRDefault="00DE7981" w:rsidP="003C0A88">
            <w:pPr>
              <w:rPr>
                <w:rFonts w:ascii="Arial" w:hAnsi="Arial" w:cs="Arial"/>
                <w:color w:val="000000"/>
                <w:sz w:val="18"/>
                <w:szCs w:val="18"/>
                <w:lang w:val="en-GB" w:eastAsia="en-IN"/>
              </w:rPr>
            </w:pPr>
            <w:r w:rsidRPr="001F64CE">
              <w:rPr>
                <w:rFonts w:ascii="Arial" w:hAnsi="Arial" w:cs="Arial"/>
                <w:color w:val="000000"/>
                <w:sz w:val="18"/>
                <w:szCs w:val="18"/>
                <w:lang w:val="en-GB" w:eastAsia="en-IN"/>
              </w:rPr>
              <w:t>2003</w:t>
            </w:r>
          </w:p>
        </w:tc>
        <w:tc>
          <w:tcPr>
            <w:tcW w:w="1170" w:type="dxa"/>
            <w:shd w:val="clear" w:color="auto" w:fill="auto"/>
            <w:noWrap/>
            <w:vAlign w:val="bottom"/>
            <w:hideMark/>
          </w:tcPr>
          <w:p w14:paraId="49131DA0"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40.2047</w:t>
            </w:r>
          </w:p>
        </w:tc>
        <w:tc>
          <w:tcPr>
            <w:tcW w:w="867" w:type="dxa"/>
            <w:shd w:val="clear" w:color="auto" w:fill="auto"/>
            <w:noWrap/>
            <w:vAlign w:val="bottom"/>
            <w:hideMark/>
          </w:tcPr>
          <w:p w14:paraId="7D645F5C"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5.97%</w:t>
            </w:r>
          </w:p>
        </w:tc>
        <w:tc>
          <w:tcPr>
            <w:tcW w:w="1037" w:type="dxa"/>
            <w:shd w:val="clear" w:color="auto" w:fill="auto"/>
            <w:noWrap/>
            <w:vAlign w:val="bottom"/>
            <w:hideMark/>
          </w:tcPr>
          <w:p w14:paraId="0EAB3D44"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0.00%</w:t>
            </w:r>
          </w:p>
        </w:tc>
        <w:tc>
          <w:tcPr>
            <w:tcW w:w="936" w:type="dxa"/>
            <w:shd w:val="clear" w:color="auto" w:fill="auto"/>
            <w:noWrap/>
            <w:vAlign w:val="bottom"/>
            <w:hideMark/>
          </w:tcPr>
          <w:p w14:paraId="5A5A2275"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3.24%</w:t>
            </w:r>
          </w:p>
        </w:tc>
        <w:tc>
          <w:tcPr>
            <w:tcW w:w="846" w:type="dxa"/>
            <w:shd w:val="clear" w:color="auto" w:fill="auto"/>
            <w:noWrap/>
            <w:vAlign w:val="bottom"/>
            <w:hideMark/>
          </w:tcPr>
          <w:p w14:paraId="4EE8CAA7"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3.88%</w:t>
            </w:r>
          </w:p>
        </w:tc>
        <w:tc>
          <w:tcPr>
            <w:tcW w:w="845" w:type="dxa"/>
            <w:shd w:val="clear" w:color="auto" w:fill="auto"/>
            <w:noWrap/>
            <w:vAlign w:val="bottom"/>
            <w:hideMark/>
          </w:tcPr>
          <w:p w14:paraId="53B354F0"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29.93</w:t>
            </w:r>
          </w:p>
        </w:tc>
        <w:tc>
          <w:tcPr>
            <w:tcW w:w="1276" w:type="dxa"/>
            <w:shd w:val="clear" w:color="auto" w:fill="auto"/>
            <w:noWrap/>
            <w:vAlign w:val="bottom"/>
            <w:hideMark/>
          </w:tcPr>
          <w:p w14:paraId="21CE6716"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19.07</w:t>
            </w:r>
          </w:p>
        </w:tc>
        <w:tc>
          <w:tcPr>
            <w:tcW w:w="1417" w:type="dxa"/>
            <w:shd w:val="clear" w:color="auto" w:fill="auto"/>
            <w:noWrap/>
            <w:vAlign w:val="bottom"/>
            <w:hideMark/>
          </w:tcPr>
          <w:p w14:paraId="0655800D"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907,968</w:t>
            </w:r>
          </w:p>
        </w:tc>
      </w:tr>
      <w:tr w:rsidR="00DE7981" w:rsidRPr="001F64CE" w14:paraId="3ACBD9E2" w14:textId="77777777" w:rsidTr="000147BE">
        <w:trPr>
          <w:trHeight w:val="265"/>
          <w:jc w:val="center"/>
        </w:trPr>
        <w:tc>
          <w:tcPr>
            <w:tcW w:w="673" w:type="dxa"/>
            <w:shd w:val="clear" w:color="auto" w:fill="auto"/>
            <w:noWrap/>
            <w:vAlign w:val="bottom"/>
            <w:hideMark/>
          </w:tcPr>
          <w:p w14:paraId="353EDD9B" w14:textId="77777777" w:rsidR="00DE7981" w:rsidRPr="001F64CE" w:rsidRDefault="00DE7981" w:rsidP="003C0A88">
            <w:pPr>
              <w:rPr>
                <w:rFonts w:ascii="Arial" w:hAnsi="Arial" w:cs="Arial"/>
                <w:color w:val="000000"/>
                <w:sz w:val="18"/>
                <w:szCs w:val="18"/>
                <w:lang w:val="en-GB" w:eastAsia="en-IN"/>
              </w:rPr>
            </w:pPr>
            <w:r w:rsidRPr="001F64CE">
              <w:rPr>
                <w:rFonts w:ascii="Arial" w:hAnsi="Arial" w:cs="Arial"/>
                <w:color w:val="000000"/>
                <w:sz w:val="18"/>
                <w:szCs w:val="18"/>
                <w:lang w:val="en-GB" w:eastAsia="en-IN"/>
              </w:rPr>
              <w:t>2004</w:t>
            </w:r>
          </w:p>
        </w:tc>
        <w:tc>
          <w:tcPr>
            <w:tcW w:w="1170" w:type="dxa"/>
            <w:shd w:val="clear" w:color="auto" w:fill="auto"/>
            <w:noWrap/>
            <w:vAlign w:val="bottom"/>
            <w:hideMark/>
          </w:tcPr>
          <w:p w14:paraId="47C84A57"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41.8941</w:t>
            </w:r>
          </w:p>
        </w:tc>
        <w:tc>
          <w:tcPr>
            <w:tcW w:w="867" w:type="dxa"/>
            <w:shd w:val="clear" w:color="auto" w:fill="auto"/>
            <w:noWrap/>
            <w:vAlign w:val="bottom"/>
            <w:hideMark/>
          </w:tcPr>
          <w:p w14:paraId="69D8CCEF"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4.71%</w:t>
            </w:r>
          </w:p>
        </w:tc>
        <w:tc>
          <w:tcPr>
            <w:tcW w:w="1037" w:type="dxa"/>
            <w:shd w:val="clear" w:color="auto" w:fill="auto"/>
            <w:noWrap/>
            <w:vAlign w:val="bottom"/>
            <w:hideMark/>
          </w:tcPr>
          <w:p w14:paraId="3D3AEB27"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0.00%</w:t>
            </w:r>
          </w:p>
        </w:tc>
        <w:tc>
          <w:tcPr>
            <w:tcW w:w="936" w:type="dxa"/>
            <w:shd w:val="clear" w:color="auto" w:fill="auto"/>
            <w:noWrap/>
            <w:vAlign w:val="bottom"/>
            <w:hideMark/>
          </w:tcPr>
          <w:p w14:paraId="185C1A73"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3.76%</w:t>
            </w:r>
          </w:p>
        </w:tc>
        <w:tc>
          <w:tcPr>
            <w:tcW w:w="846" w:type="dxa"/>
            <w:shd w:val="clear" w:color="auto" w:fill="auto"/>
            <w:noWrap/>
            <w:vAlign w:val="bottom"/>
            <w:hideMark/>
          </w:tcPr>
          <w:p w14:paraId="206F7B1B"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7.97%</w:t>
            </w:r>
          </w:p>
        </w:tc>
        <w:tc>
          <w:tcPr>
            <w:tcW w:w="845" w:type="dxa"/>
            <w:shd w:val="clear" w:color="auto" w:fill="auto"/>
            <w:noWrap/>
            <w:vAlign w:val="bottom"/>
            <w:hideMark/>
          </w:tcPr>
          <w:p w14:paraId="6FD27FAA" w14:textId="45AA9A25"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33.7</w:t>
            </w:r>
            <w:r w:rsidR="00135617" w:rsidRPr="001F64CE">
              <w:rPr>
                <w:rFonts w:ascii="Arial" w:hAnsi="Arial" w:cs="Arial"/>
                <w:color w:val="000000"/>
                <w:sz w:val="18"/>
                <w:szCs w:val="18"/>
                <w:lang w:val="en-GB" w:eastAsia="en-IN"/>
              </w:rPr>
              <w:t>0</w:t>
            </w:r>
          </w:p>
        </w:tc>
        <w:tc>
          <w:tcPr>
            <w:tcW w:w="1276" w:type="dxa"/>
            <w:shd w:val="clear" w:color="auto" w:fill="auto"/>
            <w:noWrap/>
            <w:vAlign w:val="bottom"/>
            <w:hideMark/>
          </w:tcPr>
          <w:p w14:paraId="79789A2F"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21.73</w:t>
            </w:r>
          </w:p>
        </w:tc>
        <w:tc>
          <w:tcPr>
            <w:tcW w:w="1417" w:type="dxa"/>
            <w:shd w:val="clear" w:color="auto" w:fill="auto"/>
            <w:noWrap/>
            <w:vAlign w:val="bottom"/>
            <w:hideMark/>
          </w:tcPr>
          <w:p w14:paraId="22BFFFFA"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1,178,354</w:t>
            </w:r>
          </w:p>
        </w:tc>
      </w:tr>
      <w:tr w:rsidR="00DE7981" w:rsidRPr="001F64CE" w14:paraId="60EC0C30" w14:textId="77777777" w:rsidTr="000147BE">
        <w:trPr>
          <w:trHeight w:val="265"/>
          <w:jc w:val="center"/>
        </w:trPr>
        <w:tc>
          <w:tcPr>
            <w:tcW w:w="673" w:type="dxa"/>
            <w:shd w:val="clear" w:color="auto" w:fill="auto"/>
            <w:noWrap/>
            <w:vAlign w:val="bottom"/>
            <w:hideMark/>
          </w:tcPr>
          <w:p w14:paraId="3972988E" w14:textId="77777777" w:rsidR="00DE7981" w:rsidRPr="001F64CE" w:rsidRDefault="00DE7981" w:rsidP="003C0A88">
            <w:pPr>
              <w:rPr>
                <w:rFonts w:ascii="Arial" w:hAnsi="Arial" w:cs="Arial"/>
                <w:color w:val="000000"/>
                <w:sz w:val="18"/>
                <w:szCs w:val="18"/>
                <w:lang w:val="en-GB" w:eastAsia="en-IN"/>
              </w:rPr>
            </w:pPr>
            <w:r w:rsidRPr="001F64CE">
              <w:rPr>
                <w:rFonts w:ascii="Arial" w:hAnsi="Arial" w:cs="Arial"/>
                <w:color w:val="000000"/>
                <w:sz w:val="18"/>
                <w:szCs w:val="18"/>
                <w:lang w:val="en-GB" w:eastAsia="en-IN"/>
              </w:rPr>
              <w:t>2005</w:t>
            </w:r>
          </w:p>
        </w:tc>
        <w:tc>
          <w:tcPr>
            <w:tcW w:w="1170" w:type="dxa"/>
            <w:shd w:val="clear" w:color="auto" w:fill="auto"/>
            <w:noWrap/>
            <w:vAlign w:val="bottom"/>
            <w:hideMark/>
          </w:tcPr>
          <w:p w14:paraId="7C53572C"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40.1020</w:t>
            </w:r>
          </w:p>
        </w:tc>
        <w:tc>
          <w:tcPr>
            <w:tcW w:w="867" w:type="dxa"/>
            <w:shd w:val="clear" w:color="auto" w:fill="auto"/>
            <w:noWrap/>
            <w:vAlign w:val="bottom"/>
            <w:hideMark/>
          </w:tcPr>
          <w:p w14:paraId="24444027"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5.29%</w:t>
            </w:r>
          </w:p>
        </w:tc>
        <w:tc>
          <w:tcPr>
            <w:tcW w:w="1037" w:type="dxa"/>
            <w:shd w:val="clear" w:color="auto" w:fill="auto"/>
            <w:noWrap/>
            <w:vAlign w:val="bottom"/>
            <w:hideMark/>
          </w:tcPr>
          <w:p w14:paraId="695DD3BC"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0.00%</w:t>
            </w:r>
          </w:p>
        </w:tc>
        <w:tc>
          <w:tcPr>
            <w:tcW w:w="936" w:type="dxa"/>
            <w:shd w:val="clear" w:color="auto" w:fill="auto"/>
            <w:noWrap/>
            <w:vAlign w:val="bottom"/>
            <w:hideMark/>
          </w:tcPr>
          <w:p w14:paraId="4F90BCA5"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2.72%</w:t>
            </w:r>
          </w:p>
        </w:tc>
        <w:tc>
          <w:tcPr>
            <w:tcW w:w="846" w:type="dxa"/>
            <w:shd w:val="clear" w:color="auto" w:fill="auto"/>
            <w:noWrap/>
            <w:vAlign w:val="bottom"/>
            <w:hideMark/>
          </w:tcPr>
          <w:p w14:paraId="7EA1EE9D"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7.05%</w:t>
            </w:r>
          </w:p>
        </w:tc>
        <w:tc>
          <w:tcPr>
            <w:tcW w:w="845" w:type="dxa"/>
            <w:shd w:val="clear" w:color="auto" w:fill="auto"/>
            <w:noWrap/>
            <w:vAlign w:val="bottom"/>
            <w:hideMark/>
          </w:tcPr>
          <w:p w14:paraId="254BF3B9"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40.49</w:t>
            </w:r>
          </w:p>
        </w:tc>
        <w:tc>
          <w:tcPr>
            <w:tcW w:w="1276" w:type="dxa"/>
            <w:shd w:val="clear" w:color="auto" w:fill="auto"/>
            <w:noWrap/>
            <w:vAlign w:val="bottom"/>
            <w:hideMark/>
          </w:tcPr>
          <w:p w14:paraId="6DD1CF41"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28.45</w:t>
            </w:r>
          </w:p>
        </w:tc>
        <w:tc>
          <w:tcPr>
            <w:tcW w:w="1417" w:type="dxa"/>
            <w:shd w:val="clear" w:color="auto" w:fill="auto"/>
            <w:noWrap/>
            <w:vAlign w:val="bottom"/>
            <w:hideMark/>
          </w:tcPr>
          <w:p w14:paraId="2508E2A8"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1,264,000</w:t>
            </w:r>
          </w:p>
        </w:tc>
      </w:tr>
      <w:tr w:rsidR="00DE7981" w:rsidRPr="001F64CE" w14:paraId="6ABC7D9B" w14:textId="77777777" w:rsidTr="000147BE">
        <w:trPr>
          <w:trHeight w:val="265"/>
          <w:jc w:val="center"/>
        </w:trPr>
        <w:tc>
          <w:tcPr>
            <w:tcW w:w="673" w:type="dxa"/>
            <w:shd w:val="clear" w:color="auto" w:fill="auto"/>
            <w:noWrap/>
            <w:vAlign w:val="bottom"/>
            <w:hideMark/>
          </w:tcPr>
          <w:p w14:paraId="5A9C8060" w14:textId="77777777" w:rsidR="00DE7981" w:rsidRPr="001F64CE" w:rsidRDefault="00DE7981" w:rsidP="003C0A88">
            <w:pPr>
              <w:rPr>
                <w:rFonts w:ascii="Arial" w:hAnsi="Arial" w:cs="Arial"/>
                <w:color w:val="000000"/>
                <w:sz w:val="18"/>
                <w:szCs w:val="18"/>
                <w:lang w:val="en-GB" w:eastAsia="en-IN"/>
              </w:rPr>
            </w:pPr>
            <w:r w:rsidRPr="001F64CE">
              <w:rPr>
                <w:rFonts w:ascii="Arial" w:hAnsi="Arial" w:cs="Arial"/>
                <w:color w:val="000000"/>
                <w:sz w:val="18"/>
                <w:szCs w:val="18"/>
                <w:lang w:val="en-GB" w:eastAsia="en-IN"/>
              </w:rPr>
              <w:t>2006</w:t>
            </w:r>
          </w:p>
        </w:tc>
        <w:tc>
          <w:tcPr>
            <w:tcW w:w="1170" w:type="dxa"/>
            <w:shd w:val="clear" w:color="auto" w:fill="auto"/>
            <w:noWrap/>
            <w:vAlign w:val="bottom"/>
            <w:hideMark/>
          </w:tcPr>
          <w:p w14:paraId="40F5D524"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38.9752</w:t>
            </w:r>
          </w:p>
        </w:tc>
        <w:tc>
          <w:tcPr>
            <w:tcW w:w="867" w:type="dxa"/>
            <w:shd w:val="clear" w:color="auto" w:fill="auto"/>
            <w:noWrap/>
            <w:vAlign w:val="bottom"/>
            <w:hideMark/>
          </w:tcPr>
          <w:p w14:paraId="31FE9FFE"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6.07%</w:t>
            </w:r>
          </w:p>
        </w:tc>
        <w:tc>
          <w:tcPr>
            <w:tcW w:w="1037" w:type="dxa"/>
            <w:shd w:val="clear" w:color="auto" w:fill="auto"/>
            <w:noWrap/>
            <w:vAlign w:val="bottom"/>
            <w:hideMark/>
          </w:tcPr>
          <w:p w14:paraId="104CABEB"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0.25%</w:t>
            </w:r>
          </w:p>
        </w:tc>
        <w:tc>
          <w:tcPr>
            <w:tcW w:w="936" w:type="dxa"/>
            <w:shd w:val="clear" w:color="auto" w:fill="auto"/>
            <w:noWrap/>
            <w:vAlign w:val="bottom"/>
            <w:hideMark/>
          </w:tcPr>
          <w:p w14:paraId="686C0546"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3.82%</w:t>
            </w:r>
          </w:p>
        </w:tc>
        <w:tc>
          <w:tcPr>
            <w:tcW w:w="846" w:type="dxa"/>
            <w:shd w:val="clear" w:color="auto" w:fill="auto"/>
            <w:noWrap/>
            <w:vAlign w:val="bottom"/>
            <w:hideMark/>
          </w:tcPr>
          <w:p w14:paraId="13134365"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9.48%</w:t>
            </w:r>
          </w:p>
        </w:tc>
        <w:tc>
          <w:tcPr>
            <w:tcW w:w="845" w:type="dxa"/>
            <w:shd w:val="clear" w:color="auto" w:fill="auto"/>
            <w:noWrap/>
            <w:vAlign w:val="bottom"/>
            <w:hideMark/>
          </w:tcPr>
          <w:p w14:paraId="650D41EC"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43.51</w:t>
            </w:r>
          </w:p>
        </w:tc>
        <w:tc>
          <w:tcPr>
            <w:tcW w:w="1276" w:type="dxa"/>
            <w:shd w:val="clear" w:color="auto" w:fill="auto"/>
            <w:noWrap/>
            <w:vAlign w:val="bottom"/>
            <w:hideMark/>
          </w:tcPr>
          <w:p w14:paraId="48A6D878"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30.47</w:t>
            </w:r>
          </w:p>
        </w:tc>
        <w:tc>
          <w:tcPr>
            <w:tcW w:w="1417" w:type="dxa"/>
            <w:shd w:val="clear" w:color="auto" w:fill="auto"/>
            <w:noWrap/>
            <w:vAlign w:val="bottom"/>
            <w:hideMark/>
          </w:tcPr>
          <w:p w14:paraId="43CB5659"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1,473,000</w:t>
            </w:r>
          </w:p>
        </w:tc>
      </w:tr>
      <w:tr w:rsidR="00DE7981" w:rsidRPr="001F64CE" w14:paraId="69F1DE25" w14:textId="77777777" w:rsidTr="000147BE">
        <w:trPr>
          <w:trHeight w:val="265"/>
          <w:jc w:val="center"/>
        </w:trPr>
        <w:tc>
          <w:tcPr>
            <w:tcW w:w="673" w:type="dxa"/>
            <w:shd w:val="clear" w:color="auto" w:fill="auto"/>
            <w:noWrap/>
            <w:vAlign w:val="bottom"/>
            <w:hideMark/>
          </w:tcPr>
          <w:p w14:paraId="5C2B8504" w14:textId="77777777" w:rsidR="00DE7981" w:rsidRPr="001F64CE" w:rsidRDefault="00DE7981" w:rsidP="003C0A88">
            <w:pPr>
              <w:rPr>
                <w:rFonts w:ascii="Arial" w:hAnsi="Arial" w:cs="Arial"/>
                <w:color w:val="000000"/>
                <w:sz w:val="18"/>
                <w:szCs w:val="18"/>
                <w:lang w:val="en-GB" w:eastAsia="en-IN"/>
              </w:rPr>
            </w:pPr>
            <w:r w:rsidRPr="001F64CE">
              <w:rPr>
                <w:rFonts w:ascii="Arial" w:hAnsi="Arial" w:cs="Arial"/>
                <w:color w:val="000000"/>
                <w:sz w:val="18"/>
                <w:szCs w:val="18"/>
                <w:lang w:val="en-GB" w:eastAsia="en-IN"/>
              </w:rPr>
              <w:t>2007</w:t>
            </w:r>
          </w:p>
        </w:tc>
        <w:tc>
          <w:tcPr>
            <w:tcW w:w="1170" w:type="dxa"/>
            <w:shd w:val="clear" w:color="auto" w:fill="auto"/>
            <w:noWrap/>
            <w:vAlign w:val="bottom"/>
            <w:hideMark/>
          </w:tcPr>
          <w:p w14:paraId="0C9ABEE7"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35.1348</w:t>
            </w:r>
          </w:p>
        </w:tc>
        <w:tc>
          <w:tcPr>
            <w:tcW w:w="867" w:type="dxa"/>
            <w:shd w:val="clear" w:color="auto" w:fill="auto"/>
            <w:noWrap/>
            <w:vAlign w:val="bottom"/>
            <w:hideMark/>
          </w:tcPr>
          <w:p w14:paraId="279A4C3B"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7.06%</w:t>
            </w:r>
          </w:p>
        </w:tc>
        <w:tc>
          <w:tcPr>
            <w:tcW w:w="1037" w:type="dxa"/>
            <w:shd w:val="clear" w:color="auto" w:fill="auto"/>
            <w:noWrap/>
            <w:vAlign w:val="bottom"/>
            <w:hideMark/>
          </w:tcPr>
          <w:p w14:paraId="656B42A1"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0.50%</w:t>
            </w:r>
          </w:p>
        </w:tc>
        <w:tc>
          <w:tcPr>
            <w:tcW w:w="936" w:type="dxa"/>
            <w:shd w:val="clear" w:color="auto" w:fill="auto"/>
            <w:noWrap/>
            <w:vAlign w:val="bottom"/>
            <w:hideMark/>
          </w:tcPr>
          <w:p w14:paraId="5EE81A77"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7.65%</w:t>
            </w:r>
          </w:p>
        </w:tc>
        <w:tc>
          <w:tcPr>
            <w:tcW w:w="846" w:type="dxa"/>
            <w:shd w:val="clear" w:color="auto" w:fill="auto"/>
            <w:noWrap/>
            <w:vAlign w:val="bottom"/>
            <w:hideMark/>
          </w:tcPr>
          <w:p w14:paraId="094C2A5D"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9.57%</w:t>
            </w:r>
          </w:p>
        </w:tc>
        <w:tc>
          <w:tcPr>
            <w:tcW w:w="845" w:type="dxa"/>
            <w:shd w:val="clear" w:color="auto" w:fill="auto"/>
            <w:noWrap/>
            <w:vAlign w:val="bottom"/>
            <w:hideMark/>
          </w:tcPr>
          <w:p w14:paraId="4A01F12D"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42.85</w:t>
            </w:r>
          </w:p>
        </w:tc>
        <w:tc>
          <w:tcPr>
            <w:tcW w:w="1276" w:type="dxa"/>
            <w:shd w:val="clear" w:color="auto" w:fill="auto"/>
            <w:noWrap/>
            <w:vAlign w:val="bottom"/>
            <w:hideMark/>
          </w:tcPr>
          <w:p w14:paraId="478E1873"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30.25</w:t>
            </w:r>
          </w:p>
        </w:tc>
        <w:tc>
          <w:tcPr>
            <w:tcW w:w="1417" w:type="dxa"/>
            <w:shd w:val="clear" w:color="auto" w:fill="auto"/>
            <w:noWrap/>
            <w:vAlign w:val="bottom"/>
            <w:hideMark/>
          </w:tcPr>
          <w:p w14:paraId="314CCA19"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1,713,479</w:t>
            </w:r>
          </w:p>
        </w:tc>
      </w:tr>
      <w:tr w:rsidR="00DE7981" w:rsidRPr="001F64CE" w14:paraId="286EF5AA" w14:textId="77777777" w:rsidTr="000147BE">
        <w:trPr>
          <w:trHeight w:val="265"/>
          <w:jc w:val="center"/>
        </w:trPr>
        <w:tc>
          <w:tcPr>
            <w:tcW w:w="673" w:type="dxa"/>
            <w:shd w:val="clear" w:color="auto" w:fill="auto"/>
            <w:noWrap/>
            <w:vAlign w:val="bottom"/>
            <w:hideMark/>
          </w:tcPr>
          <w:p w14:paraId="7EE43310" w14:textId="77777777" w:rsidR="00DE7981" w:rsidRPr="001F64CE" w:rsidRDefault="00DE7981" w:rsidP="003C0A88">
            <w:pPr>
              <w:rPr>
                <w:rFonts w:ascii="Arial" w:hAnsi="Arial" w:cs="Arial"/>
                <w:color w:val="000000"/>
                <w:sz w:val="18"/>
                <w:szCs w:val="18"/>
                <w:lang w:val="en-GB" w:eastAsia="en-IN"/>
              </w:rPr>
            </w:pPr>
            <w:r w:rsidRPr="001F64CE">
              <w:rPr>
                <w:rFonts w:ascii="Arial" w:hAnsi="Arial" w:cs="Arial"/>
                <w:color w:val="000000"/>
                <w:sz w:val="18"/>
                <w:szCs w:val="18"/>
                <w:lang w:val="en-GB" w:eastAsia="en-IN"/>
              </w:rPr>
              <w:t>2008</w:t>
            </w:r>
          </w:p>
        </w:tc>
        <w:tc>
          <w:tcPr>
            <w:tcW w:w="1170" w:type="dxa"/>
            <w:shd w:val="clear" w:color="auto" w:fill="auto"/>
            <w:noWrap/>
            <w:vAlign w:val="bottom"/>
            <w:hideMark/>
          </w:tcPr>
          <w:p w14:paraId="1387F629"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42.3079</w:t>
            </w:r>
          </w:p>
        </w:tc>
        <w:tc>
          <w:tcPr>
            <w:tcW w:w="867" w:type="dxa"/>
            <w:shd w:val="clear" w:color="auto" w:fill="auto"/>
            <w:noWrap/>
            <w:vAlign w:val="bottom"/>
            <w:hideMark/>
          </w:tcPr>
          <w:p w14:paraId="61FB346C"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7.60%</w:t>
            </w:r>
          </w:p>
        </w:tc>
        <w:tc>
          <w:tcPr>
            <w:tcW w:w="1037" w:type="dxa"/>
            <w:shd w:val="clear" w:color="auto" w:fill="auto"/>
            <w:noWrap/>
            <w:vAlign w:val="bottom"/>
            <w:hideMark/>
          </w:tcPr>
          <w:p w14:paraId="7D16EF8B"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0.30%</w:t>
            </w:r>
          </w:p>
        </w:tc>
        <w:tc>
          <w:tcPr>
            <w:tcW w:w="936" w:type="dxa"/>
            <w:shd w:val="clear" w:color="auto" w:fill="auto"/>
            <w:noWrap/>
            <w:vAlign w:val="bottom"/>
            <w:hideMark/>
          </w:tcPr>
          <w:p w14:paraId="73F09F4E"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7.63%</w:t>
            </w:r>
          </w:p>
        </w:tc>
        <w:tc>
          <w:tcPr>
            <w:tcW w:w="846" w:type="dxa"/>
            <w:shd w:val="clear" w:color="auto" w:fill="auto"/>
            <w:noWrap/>
            <w:vAlign w:val="bottom"/>
            <w:hideMark/>
          </w:tcPr>
          <w:p w14:paraId="711C5E42"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9.32%</w:t>
            </w:r>
          </w:p>
        </w:tc>
        <w:tc>
          <w:tcPr>
            <w:tcW w:w="845" w:type="dxa"/>
            <w:shd w:val="clear" w:color="auto" w:fill="auto"/>
            <w:noWrap/>
            <w:vAlign w:val="bottom"/>
            <w:hideMark/>
          </w:tcPr>
          <w:p w14:paraId="6858EB9B"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45.52</w:t>
            </w:r>
          </w:p>
        </w:tc>
        <w:tc>
          <w:tcPr>
            <w:tcW w:w="1276" w:type="dxa"/>
            <w:shd w:val="clear" w:color="auto" w:fill="auto"/>
            <w:noWrap/>
            <w:vAlign w:val="bottom"/>
            <w:hideMark/>
          </w:tcPr>
          <w:p w14:paraId="36538D39"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31.76</w:t>
            </w:r>
          </w:p>
        </w:tc>
        <w:tc>
          <w:tcPr>
            <w:tcW w:w="1417" w:type="dxa"/>
            <w:shd w:val="clear" w:color="auto" w:fill="auto"/>
            <w:noWrap/>
            <w:vAlign w:val="bottom"/>
            <w:hideMark/>
          </w:tcPr>
          <w:p w14:paraId="3E5D9D79"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1,846,051</w:t>
            </w:r>
          </w:p>
        </w:tc>
      </w:tr>
      <w:tr w:rsidR="00DE7981" w:rsidRPr="001F64CE" w14:paraId="1255AB45" w14:textId="77777777" w:rsidTr="000147BE">
        <w:trPr>
          <w:trHeight w:val="265"/>
          <w:jc w:val="center"/>
        </w:trPr>
        <w:tc>
          <w:tcPr>
            <w:tcW w:w="673" w:type="dxa"/>
            <w:shd w:val="clear" w:color="auto" w:fill="auto"/>
            <w:noWrap/>
            <w:vAlign w:val="bottom"/>
            <w:hideMark/>
          </w:tcPr>
          <w:p w14:paraId="43D331E8" w14:textId="77777777" w:rsidR="00DE7981" w:rsidRPr="001F64CE" w:rsidRDefault="00DE7981" w:rsidP="003C0A88">
            <w:pPr>
              <w:rPr>
                <w:rFonts w:ascii="Arial" w:hAnsi="Arial" w:cs="Arial"/>
                <w:color w:val="000000"/>
                <w:sz w:val="18"/>
                <w:szCs w:val="18"/>
                <w:lang w:val="en-GB" w:eastAsia="en-IN"/>
              </w:rPr>
            </w:pPr>
            <w:r w:rsidRPr="001F64CE">
              <w:rPr>
                <w:rFonts w:ascii="Arial" w:hAnsi="Arial" w:cs="Arial"/>
                <w:color w:val="000000"/>
                <w:sz w:val="18"/>
                <w:szCs w:val="18"/>
                <w:lang w:val="en-GB" w:eastAsia="en-IN"/>
              </w:rPr>
              <w:t>2009</w:t>
            </w:r>
          </w:p>
        </w:tc>
        <w:tc>
          <w:tcPr>
            <w:tcW w:w="1170" w:type="dxa"/>
            <w:shd w:val="clear" w:color="auto" w:fill="auto"/>
            <w:noWrap/>
            <w:vAlign w:val="bottom"/>
            <w:hideMark/>
          </w:tcPr>
          <w:p w14:paraId="182E5F22"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51.8119</w:t>
            </w:r>
          </w:p>
        </w:tc>
        <w:tc>
          <w:tcPr>
            <w:tcW w:w="867" w:type="dxa"/>
            <w:shd w:val="clear" w:color="auto" w:fill="auto"/>
            <w:noWrap/>
            <w:vAlign w:val="bottom"/>
            <w:hideMark/>
          </w:tcPr>
          <w:p w14:paraId="46046AA0"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7.15%</w:t>
            </w:r>
          </w:p>
        </w:tc>
        <w:tc>
          <w:tcPr>
            <w:tcW w:w="1037" w:type="dxa"/>
            <w:shd w:val="clear" w:color="auto" w:fill="auto"/>
            <w:noWrap/>
            <w:vAlign w:val="bottom"/>
            <w:hideMark/>
          </w:tcPr>
          <w:p w14:paraId="327B5CB5"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0.10%</w:t>
            </w:r>
          </w:p>
        </w:tc>
        <w:tc>
          <w:tcPr>
            <w:tcW w:w="936" w:type="dxa"/>
            <w:shd w:val="clear" w:color="auto" w:fill="auto"/>
            <w:noWrap/>
            <w:vAlign w:val="bottom"/>
            <w:hideMark/>
          </w:tcPr>
          <w:p w14:paraId="41A06AC3"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10.02%</w:t>
            </w:r>
          </w:p>
        </w:tc>
        <w:tc>
          <w:tcPr>
            <w:tcW w:w="846" w:type="dxa"/>
            <w:shd w:val="clear" w:color="auto" w:fill="auto"/>
            <w:noWrap/>
            <w:vAlign w:val="bottom"/>
            <w:hideMark/>
          </w:tcPr>
          <w:p w14:paraId="422CA0F8"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6.72%</w:t>
            </w:r>
          </w:p>
        </w:tc>
        <w:tc>
          <w:tcPr>
            <w:tcW w:w="845" w:type="dxa"/>
            <w:shd w:val="clear" w:color="auto" w:fill="auto"/>
            <w:noWrap/>
            <w:vAlign w:val="bottom"/>
            <w:hideMark/>
          </w:tcPr>
          <w:p w14:paraId="452813AC"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40.62</w:t>
            </w:r>
          </w:p>
        </w:tc>
        <w:tc>
          <w:tcPr>
            <w:tcW w:w="1276" w:type="dxa"/>
            <w:shd w:val="clear" w:color="auto" w:fill="auto"/>
            <w:noWrap/>
            <w:vAlign w:val="bottom"/>
            <w:hideMark/>
          </w:tcPr>
          <w:p w14:paraId="2D879590"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30.86</w:t>
            </w:r>
          </w:p>
        </w:tc>
        <w:tc>
          <w:tcPr>
            <w:tcW w:w="1417" w:type="dxa"/>
            <w:shd w:val="clear" w:color="auto" w:fill="auto"/>
            <w:noWrap/>
            <w:vAlign w:val="bottom"/>
            <w:hideMark/>
          </w:tcPr>
          <w:p w14:paraId="45817441"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2,175,220</w:t>
            </w:r>
          </w:p>
        </w:tc>
      </w:tr>
      <w:tr w:rsidR="00DE7981" w:rsidRPr="001F64CE" w14:paraId="528FEB4B" w14:textId="77777777" w:rsidTr="000147BE">
        <w:trPr>
          <w:trHeight w:val="265"/>
          <w:jc w:val="center"/>
        </w:trPr>
        <w:tc>
          <w:tcPr>
            <w:tcW w:w="673" w:type="dxa"/>
            <w:shd w:val="clear" w:color="auto" w:fill="auto"/>
            <w:noWrap/>
            <w:vAlign w:val="bottom"/>
            <w:hideMark/>
          </w:tcPr>
          <w:p w14:paraId="7B983EBE" w14:textId="77777777" w:rsidR="00DE7981" w:rsidRPr="001F64CE" w:rsidRDefault="00DE7981" w:rsidP="003C0A88">
            <w:pPr>
              <w:rPr>
                <w:rFonts w:ascii="Arial" w:hAnsi="Arial" w:cs="Arial"/>
                <w:color w:val="000000"/>
                <w:sz w:val="18"/>
                <w:szCs w:val="18"/>
                <w:lang w:val="en-GB" w:eastAsia="en-IN"/>
              </w:rPr>
            </w:pPr>
            <w:r w:rsidRPr="001F64CE">
              <w:rPr>
                <w:rFonts w:ascii="Arial" w:hAnsi="Arial" w:cs="Arial"/>
                <w:color w:val="000000"/>
                <w:sz w:val="18"/>
                <w:szCs w:val="18"/>
                <w:lang w:val="en-GB" w:eastAsia="en-IN"/>
              </w:rPr>
              <w:t>2010</w:t>
            </w:r>
          </w:p>
        </w:tc>
        <w:tc>
          <w:tcPr>
            <w:tcW w:w="1170" w:type="dxa"/>
            <w:shd w:val="clear" w:color="auto" w:fill="auto"/>
            <w:noWrap/>
            <w:vAlign w:val="bottom"/>
            <w:hideMark/>
          </w:tcPr>
          <w:p w14:paraId="1AAC0692"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52.1669</w:t>
            </w:r>
          </w:p>
        </w:tc>
        <w:tc>
          <w:tcPr>
            <w:tcW w:w="867" w:type="dxa"/>
            <w:shd w:val="clear" w:color="auto" w:fill="auto"/>
            <w:noWrap/>
            <w:vAlign w:val="bottom"/>
            <w:hideMark/>
          </w:tcPr>
          <w:p w14:paraId="5484D924"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4.68%</w:t>
            </w:r>
          </w:p>
        </w:tc>
        <w:tc>
          <w:tcPr>
            <w:tcW w:w="1037" w:type="dxa"/>
            <w:shd w:val="clear" w:color="auto" w:fill="auto"/>
            <w:noWrap/>
            <w:vAlign w:val="bottom"/>
            <w:hideMark/>
          </w:tcPr>
          <w:p w14:paraId="078B2C93"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0.10%</w:t>
            </w:r>
          </w:p>
        </w:tc>
        <w:tc>
          <w:tcPr>
            <w:tcW w:w="936" w:type="dxa"/>
            <w:shd w:val="clear" w:color="auto" w:fill="auto"/>
            <w:noWrap/>
            <w:vAlign w:val="bottom"/>
            <w:hideMark/>
          </w:tcPr>
          <w:p w14:paraId="0139A580"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14.00%</w:t>
            </w:r>
          </w:p>
        </w:tc>
        <w:tc>
          <w:tcPr>
            <w:tcW w:w="846" w:type="dxa"/>
            <w:shd w:val="clear" w:color="auto" w:fill="auto"/>
            <w:noWrap/>
            <w:vAlign w:val="bottom"/>
            <w:hideMark/>
          </w:tcPr>
          <w:p w14:paraId="1B8EC56B"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8.59%</w:t>
            </w:r>
          </w:p>
        </w:tc>
        <w:tc>
          <w:tcPr>
            <w:tcW w:w="845" w:type="dxa"/>
            <w:shd w:val="clear" w:color="auto" w:fill="auto"/>
            <w:noWrap/>
            <w:vAlign w:val="bottom"/>
            <w:hideMark/>
          </w:tcPr>
          <w:p w14:paraId="4F3849E7"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47.43</w:t>
            </w:r>
          </w:p>
        </w:tc>
        <w:tc>
          <w:tcPr>
            <w:tcW w:w="1276" w:type="dxa"/>
            <w:shd w:val="clear" w:color="auto" w:fill="auto"/>
            <w:noWrap/>
            <w:vAlign w:val="bottom"/>
            <w:hideMark/>
          </w:tcPr>
          <w:p w14:paraId="3D77F274"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35.47</w:t>
            </w:r>
          </w:p>
        </w:tc>
        <w:tc>
          <w:tcPr>
            <w:tcW w:w="1417" w:type="dxa"/>
            <w:shd w:val="clear" w:color="auto" w:fill="auto"/>
            <w:noWrap/>
            <w:vAlign w:val="bottom"/>
            <w:hideMark/>
          </w:tcPr>
          <w:p w14:paraId="3D9D31E5"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2,831,542</w:t>
            </w:r>
          </w:p>
        </w:tc>
      </w:tr>
      <w:tr w:rsidR="00DE7981" w:rsidRPr="001F64CE" w14:paraId="2037405B" w14:textId="77777777" w:rsidTr="000147BE">
        <w:trPr>
          <w:trHeight w:val="265"/>
          <w:jc w:val="center"/>
        </w:trPr>
        <w:tc>
          <w:tcPr>
            <w:tcW w:w="673" w:type="dxa"/>
            <w:shd w:val="clear" w:color="auto" w:fill="auto"/>
            <w:noWrap/>
            <w:vAlign w:val="bottom"/>
            <w:hideMark/>
          </w:tcPr>
          <w:p w14:paraId="7642728F" w14:textId="77777777" w:rsidR="00DE7981" w:rsidRPr="001F64CE" w:rsidRDefault="00DE7981" w:rsidP="003C0A88">
            <w:pPr>
              <w:rPr>
                <w:rFonts w:ascii="Arial" w:hAnsi="Arial" w:cs="Arial"/>
                <w:color w:val="000000"/>
                <w:sz w:val="18"/>
                <w:szCs w:val="18"/>
                <w:lang w:val="en-GB" w:eastAsia="en-IN"/>
              </w:rPr>
            </w:pPr>
            <w:r w:rsidRPr="001F64CE">
              <w:rPr>
                <w:rFonts w:ascii="Arial" w:hAnsi="Arial" w:cs="Arial"/>
                <w:color w:val="000000"/>
                <w:sz w:val="18"/>
                <w:szCs w:val="18"/>
                <w:lang w:val="en-GB" w:eastAsia="en-IN"/>
              </w:rPr>
              <w:t>2011</w:t>
            </w:r>
          </w:p>
        </w:tc>
        <w:tc>
          <w:tcPr>
            <w:tcW w:w="1170" w:type="dxa"/>
            <w:shd w:val="clear" w:color="auto" w:fill="auto"/>
            <w:noWrap/>
            <w:vAlign w:val="bottom"/>
            <w:hideMark/>
          </w:tcPr>
          <w:p w14:paraId="6E31E1BD"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58.6244</w:t>
            </w:r>
          </w:p>
        </w:tc>
        <w:tc>
          <w:tcPr>
            <w:tcW w:w="867" w:type="dxa"/>
            <w:shd w:val="clear" w:color="auto" w:fill="auto"/>
            <w:noWrap/>
            <w:vAlign w:val="bottom"/>
            <w:hideMark/>
          </w:tcPr>
          <w:p w14:paraId="0AAE115D"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6.58%</w:t>
            </w:r>
          </w:p>
        </w:tc>
        <w:tc>
          <w:tcPr>
            <w:tcW w:w="1037" w:type="dxa"/>
            <w:shd w:val="clear" w:color="auto" w:fill="auto"/>
            <w:noWrap/>
            <w:vAlign w:val="bottom"/>
            <w:hideMark/>
          </w:tcPr>
          <w:p w14:paraId="52DCE072"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0.10%</w:t>
            </w:r>
          </w:p>
        </w:tc>
        <w:tc>
          <w:tcPr>
            <w:tcW w:w="936" w:type="dxa"/>
            <w:shd w:val="clear" w:color="auto" w:fill="auto"/>
            <w:noWrap/>
            <w:vAlign w:val="bottom"/>
            <w:hideMark/>
          </w:tcPr>
          <w:p w14:paraId="7E9B5013"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9.94%</w:t>
            </w:r>
          </w:p>
        </w:tc>
        <w:tc>
          <w:tcPr>
            <w:tcW w:w="846" w:type="dxa"/>
            <w:shd w:val="clear" w:color="auto" w:fill="auto"/>
            <w:noWrap/>
            <w:vAlign w:val="bottom"/>
            <w:hideMark/>
          </w:tcPr>
          <w:p w14:paraId="275BE0DD"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9.32%</w:t>
            </w:r>
          </w:p>
        </w:tc>
        <w:tc>
          <w:tcPr>
            <w:tcW w:w="845" w:type="dxa"/>
            <w:shd w:val="clear" w:color="auto" w:fill="auto"/>
            <w:noWrap/>
            <w:vAlign w:val="bottom"/>
            <w:hideMark/>
          </w:tcPr>
          <w:p w14:paraId="0ACE50C9"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58.37</w:t>
            </w:r>
          </w:p>
        </w:tc>
        <w:tc>
          <w:tcPr>
            <w:tcW w:w="1276" w:type="dxa"/>
            <w:shd w:val="clear" w:color="auto" w:fill="auto"/>
            <w:noWrap/>
            <w:vAlign w:val="bottom"/>
            <w:hideMark/>
          </w:tcPr>
          <w:p w14:paraId="27FDE1F9"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37.75</w:t>
            </w:r>
          </w:p>
        </w:tc>
        <w:tc>
          <w:tcPr>
            <w:tcW w:w="1417" w:type="dxa"/>
            <w:shd w:val="clear" w:color="auto" w:fill="auto"/>
            <w:noWrap/>
            <w:vAlign w:val="bottom"/>
            <w:hideMark/>
          </w:tcPr>
          <w:p w14:paraId="51D2D4B7"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3,040,144</w:t>
            </w:r>
          </w:p>
        </w:tc>
      </w:tr>
      <w:tr w:rsidR="00DE7981" w:rsidRPr="001F64CE" w14:paraId="664EA1DA" w14:textId="77777777" w:rsidTr="000147BE">
        <w:trPr>
          <w:trHeight w:val="265"/>
          <w:jc w:val="center"/>
        </w:trPr>
        <w:tc>
          <w:tcPr>
            <w:tcW w:w="673" w:type="dxa"/>
            <w:shd w:val="clear" w:color="auto" w:fill="auto"/>
            <w:noWrap/>
            <w:vAlign w:val="bottom"/>
            <w:hideMark/>
          </w:tcPr>
          <w:p w14:paraId="02ACAEAA" w14:textId="77777777" w:rsidR="00DE7981" w:rsidRPr="001F64CE" w:rsidRDefault="00DE7981" w:rsidP="003C0A88">
            <w:pPr>
              <w:rPr>
                <w:rFonts w:ascii="Arial" w:hAnsi="Arial" w:cs="Arial"/>
                <w:color w:val="000000"/>
                <w:sz w:val="18"/>
                <w:szCs w:val="18"/>
                <w:lang w:val="en-GB" w:eastAsia="en-IN"/>
              </w:rPr>
            </w:pPr>
            <w:r w:rsidRPr="001F64CE">
              <w:rPr>
                <w:rFonts w:ascii="Arial" w:hAnsi="Arial" w:cs="Arial"/>
                <w:color w:val="000000"/>
                <w:sz w:val="18"/>
                <w:szCs w:val="18"/>
                <w:lang w:val="en-GB" w:eastAsia="en-IN"/>
              </w:rPr>
              <w:t>2012</w:t>
            </w:r>
          </w:p>
        </w:tc>
        <w:tc>
          <w:tcPr>
            <w:tcW w:w="1170" w:type="dxa"/>
            <w:shd w:val="clear" w:color="auto" w:fill="auto"/>
            <w:noWrap/>
            <w:vAlign w:val="bottom"/>
            <w:hideMark/>
          </w:tcPr>
          <w:p w14:paraId="35B56DCD"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67.0289</w:t>
            </w:r>
          </w:p>
        </w:tc>
        <w:tc>
          <w:tcPr>
            <w:tcW w:w="867" w:type="dxa"/>
            <w:shd w:val="clear" w:color="auto" w:fill="auto"/>
            <w:noWrap/>
            <w:vAlign w:val="bottom"/>
            <w:hideMark/>
          </w:tcPr>
          <w:p w14:paraId="0C42143D"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8.25%</w:t>
            </w:r>
          </w:p>
        </w:tc>
        <w:tc>
          <w:tcPr>
            <w:tcW w:w="1037" w:type="dxa"/>
            <w:shd w:val="clear" w:color="auto" w:fill="auto"/>
            <w:noWrap/>
            <w:vAlign w:val="bottom"/>
            <w:hideMark/>
          </w:tcPr>
          <w:p w14:paraId="5E0F2C91"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0.10%</w:t>
            </w:r>
          </w:p>
        </w:tc>
        <w:tc>
          <w:tcPr>
            <w:tcW w:w="936" w:type="dxa"/>
            <w:shd w:val="clear" w:color="auto" w:fill="auto"/>
            <w:noWrap/>
            <w:vAlign w:val="bottom"/>
            <w:hideMark/>
          </w:tcPr>
          <w:p w14:paraId="072DB0AA"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8.33%</w:t>
            </w:r>
          </w:p>
        </w:tc>
        <w:tc>
          <w:tcPr>
            <w:tcW w:w="846" w:type="dxa"/>
            <w:shd w:val="clear" w:color="auto" w:fill="auto"/>
            <w:noWrap/>
            <w:vAlign w:val="bottom"/>
            <w:hideMark/>
          </w:tcPr>
          <w:p w14:paraId="7EDF1224"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6.21%</w:t>
            </w:r>
          </w:p>
        </w:tc>
        <w:tc>
          <w:tcPr>
            <w:tcW w:w="845" w:type="dxa"/>
            <w:shd w:val="clear" w:color="auto" w:fill="auto"/>
            <w:noWrap/>
            <w:vAlign w:val="bottom"/>
            <w:hideMark/>
          </w:tcPr>
          <w:p w14:paraId="4EC7EB9C" w14:textId="3CE85209"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60.7</w:t>
            </w:r>
            <w:r w:rsidR="00135617" w:rsidRPr="001F64CE">
              <w:rPr>
                <w:rFonts w:ascii="Arial" w:hAnsi="Arial" w:cs="Arial"/>
                <w:color w:val="000000"/>
                <w:sz w:val="18"/>
                <w:szCs w:val="18"/>
                <w:lang w:val="en-GB" w:eastAsia="en-IN"/>
              </w:rPr>
              <w:t>0</w:t>
            </w:r>
          </w:p>
        </w:tc>
        <w:tc>
          <w:tcPr>
            <w:tcW w:w="1276" w:type="dxa"/>
            <w:shd w:val="clear" w:color="auto" w:fill="auto"/>
            <w:noWrap/>
            <w:vAlign w:val="bottom"/>
            <w:hideMark/>
          </w:tcPr>
          <w:p w14:paraId="66A69550"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41.28</w:t>
            </w:r>
          </w:p>
        </w:tc>
        <w:tc>
          <w:tcPr>
            <w:tcW w:w="1417" w:type="dxa"/>
            <w:shd w:val="clear" w:color="auto" w:fill="auto"/>
            <w:noWrap/>
            <w:vAlign w:val="bottom"/>
            <w:hideMark/>
          </w:tcPr>
          <w:p w14:paraId="1FBB0F82"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3,285,496</w:t>
            </w:r>
          </w:p>
        </w:tc>
      </w:tr>
      <w:tr w:rsidR="00DE7981" w:rsidRPr="001F64CE" w14:paraId="232CD8FA" w14:textId="77777777" w:rsidTr="000147BE">
        <w:trPr>
          <w:trHeight w:val="265"/>
          <w:jc w:val="center"/>
        </w:trPr>
        <w:tc>
          <w:tcPr>
            <w:tcW w:w="673" w:type="dxa"/>
            <w:shd w:val="clear" w:color="auto" w:fill="auto"/>
            <w:noWrap/>
            <w:vAlign w:val="bottom"/>
            <w:hideMark/>
          </w:tcPr>
          <w:p w14:paraId="71A407CD" w14:textId="77777777" w:rsidR="00DE7981" w:rsidRPr="001F64CE" w:rsidRDefault="00DE7981" w:rsidP="003C0A88">
            <w:pPr>
              <w:rPr>
                <w:rFonts w:ascii="Arial" w:hAnsi="Arial" w:cs="Arial"/>
                <w:color w:val="000000"/>
                <w:sz w:val="18"/>
                <w:szCs w:val="18"/>
                <w:lang w:val="en-GB" w:eastAsia="en-IN"/>
              </w:rPr>
            </w:pPr>
            <w:r w:rsidRPr="001F64CE">
              <w:rPr>
                <w:rFonts w:ascii="Arial" w:hAnsi="Arial" w:cs="Arial"/>
                <w:color w:val="000000"/>
                <w:sz w:val="18"/>
                <w:szCs w:val="18"/>
                <w:lang w:val="en-GB" w:eastAsia="en-IN"/>
              </w:rPr>
              <w:t>2013</w:t>
            </w:r>
          </w:p>
        </w:tc>
        <w:tc>
          <w:tcPr>
            <w:tcW w:w="1170" w:type="dxa"/>
            <w:shd w:val="clear" w:color="auto" w:fill="auto"/>
            <w:noWrap/>
            <w:vAlign w:val="bottom"/>
            <w:hideMark/>
          </w:tcPr>
          <w:p w14:paraId="3CCC3AFC"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65.5738</w:t>
            </w:r>
          </w:p>
        </w:tc>
        <w:tc>
          <w:tcPr>
            <w:tcW w:w="867" w:type="dxa"/>
            <w:shd w:val="clear" w:color="auto" w:fill="auto"/>
            <w:noWrap/>
            <w:vAlign w:val="bottom"/>
            <w:hideMark/>
          </w:tcPr>
          <w:p w14:paraId="01FFA49A"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7.95%</w:t>
            </w:r>
          </w:p>
        </w:tc>
        <w:tc>
          <w:tcPr>
            <w:tcW w:w="1037" w:type="dxa"/>
            <w:shd w:val="clear" w:color="auto" w:fill="auto"/>
            <w:noWrap/>
            <w:vAlign w:val="bottom"/>
            <w:hideMark/>
          </w:tcPr>
          <w:p w14:paraId="475A4D42"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0.10%</w:t>
            </w:r>
          </w:p>
        </w:tc>
        <w:tc>
          <w:tcPr>
            <w:tcW w:w="936" w:type="dxa"/>
            <w:shd w:val="clear" w:color="auto" w:fill="auto"/>
            <w:noWrap/>
            <w:vAlign w:val="bottom"/>
            <w:hideMark/>
          </w:tcPr>
          <w:p w14:paraId="6E52C859"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9.98%</w:t>
            </w:r>
          </w:p>
        </w:tc>
        <w:tc>
          <w:tcPr>
            <w:tcW w:w="846" w:type="dxa"/>
            <w:shd w:val="clear" w:color="auto" w:fill="auto"/>
            <w:noWrap/>
            <w:vAlign w:val="bottom"/>
            <w:hideMark/>
          </w:tcPr>
          <w:p w14:paraId="78DCFA56"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4.99%</w:t>
            </w:r>
          </w:p>
        </w:tc>
        <w:tc>
          <w:tcPr>
            <w:tcW w:w="845" w:type="dxa"/>
            <w:shd w:val="clear" w:color="auto" w:fill="auto"/>
            <w:noWrap/>
            <w:vAlign w:val="bottom"/>
            <w:hideMark/>
          </w:tcPr>
          <w:p w14:paraId="507CA6C2"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66.35</w:t>
            </w:r>
          </w:p>
        </w:tc>
        <w:tc>
          <w:tcPr>
            <w:tcW w:w="1276" w:type="dxa"/>
            <w:shd w:val="clear" w:color="auto" w:fill="auto"/>
            <w:noWrap/>
            <w:vAlign w:val="bottom"/>
            <w:hideMark/>
          </w:tcPr>
          <w:p w14:paraId="59164182"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47.65</w:t>
            </w:r>
          </w:p>
        </w:tc>
        <w:tc>
          <w:tcPr>
            <w:tcW w:w="1417" w:type="dxa"/>
            <w:shd w:val="clear" w:color="auto" w:fill="auto"/>
            <w:noWrap/>
            <w:vAlign w:val="bottom"/>
            <w:hideMark/>
          </w:tcPr>
          <w:p w14:paraId="45DBFAAF" w14:textId="77777777" w:rsidR="00DE7981" w:rsidRPr="001F64CE" w:rsidRDefault="00DE7981" w:rsidP="003C0A88">
            <w:pPr>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3,138,988</w:t>
            </w:r>
          </w:p>
        </w:tc>
      </w:tr>
    </w:tbl>
    <w:p w14:paraId="31FCE77C" w14:textId="77777777" w:rsidR="00D903EB" w:rsidRPr="000147BE" w:rsidRDefault="00D903EB" w:rsidP="003C0A88">
      <w:pPr>
        <w:pStyle w:val="Footnote"/>
        <w:rPr>
          <w:rFonts w:eastAsia="Batang"/>
          <w:spacing w:val="-6"/>
          <w:kern w:val="17"/>
          <w:lang w:val="en-GB"/>
        </w:rPr>
      </w:pPr>
    </w:p>
    <w:p w14:paraId="45A765C1" w14:textId="5F143272" w:rsidR="003C4D8C" w:rsidRPr="003C4D8C" w:rsidRDefault="00DE7981" w:rsidP="003C0A88">
      <w:pPr>
        <w:pStyle w:val="Footnote"/>
        <w:rPr>
          <w:spacing w:val="-8"/>
          <w:kern w:val="17"/>
        </w:rPr>
      </w:pPr>
      <w:r w:rsidRPr="003C4D8C">
        <w:rPr>
          <w:spacing w:val="-8"/>
          <w:kern w:val="17"/>
          <w:lang w:val="en-GB"/>
        </w:rPr>
        <w:t>Source:</w:t>
      </w:r>
      <w:r w:rsidR="00FE3D2E" w:rsidRPr="003C4D8C">
        <w:rPr>
          <w:spacing w:val="-8"/>
          <w:kern w:val="17"/>
          <w:lang w:val="en-GB"/>
        </w:rPr>
        <w:t xml:space="preserve"> Created by the </w:t>
      </w:r>
      <w:r w:rsidR="00657F1B" w:rsidRPr="003C4D8C">
        <w:rPr>
          <w:spacing w:val="-8"/>
          <w:kern w:val="17"/>
          <w:lang w:val="en-GB"/>
        </w:rPr>
        <w:t xml:space="preserve">case </w:t>
      </w:r>
      <w:r w:rsidR="00FE3D2E" w:rsidRPr="003C4D8C">
        <w:rPr>
          <w:spacing w:val="-8"/>
          <w:kern w:val="17"/>
          <w:lang w:val="en-GB"/>
        </w:rPr>
        <w:t>authors based on</w:t>
      </w:r>
      <w:r w:rsidRPr="003C4D8C">
        <w:rPr>
          <w:spacing w:val="-8"/>
          <w:kern w:val="17"/>
          <w:lang w:val="en-GB"/>
        </w:rPr>
        <w:t xml:space="preserve"> </w:t>
      </w:r>
      <w:r w:rsidR="00FE3D2E" w:rsidRPr="003C4D8C">
        <w:rPr>
          <w:spacing w:val="-8"/>
          <w:kern w:val="17"/>
          <w:lang w:val="en-GB"/>
        </w:rPr>
        <w:t>t</w:t>
      </w:r>
      <w:r w:rsidRPr="003C4D8C">
        <w:rPr>
          <w:spacing w:val="-8"/>
          <w:kern w:val="17"/>
          <w:lang w:val="en-GB"/>
        </w:rPr>
        <w:t xml:space="preserve">ables 2, 40, 74, 146, </w:t>
      </w:r>
      <w:r w:rsidR="00BF1A36" w:rsidRPr="003C4D8C">
        <w:rPr>
          <w:spacing w:val="-8"/>
          <w:kern w:val="17"/>
          <w:lang w:val="en-GB"/>
        </w:rPr>
        <w:t xml:space="preserve">and </w:t>
      </w:r>
      <w:r w:rsidRPr="003C4D8C">
        <w:rPr>
          <w:spacing w:val="-8"/>
          <w:kern w:val="17"/>
          <w:lang w:val="en-GB"/>
        </w:rPr>
        <w:t>183 of</w:t>
      </w:r>
      <w:r w:rsidR="00135617" w:rsidRPr="003C4D8C">
        <w:rPr>
          <w:i/>
          <w:spacing w:val="-8"/>
          <w:kern w:val="17"/>
          <w:lang w:val="en-GB"/>
        </w:rPr>
        <w:t xml:space="preserve"> </w:t>
      </w:r>
      <w:r w:rsidR="00625096" w:rsidRPr="003C4D8C">
        <w:rPr>
          <w:spacing w:val="-8"/>
          <w:kern w:val="17"/>
          <w:lang w:val="en-GB"/>
        </w:rPr>
        <w:t>“</w:t>
      </w:r>
      <w:r w:rsidRPr="003C4D8C">
        <w:rPr>
          <w:spacing w:val="-8"/>
          <w:kern w:val="17"/>
          <w:lang w:val="en-GB"/>
        </w:rPr>
        <w:t xml:space="preserve">Handbook of </w:t>
      </w:r>
      <w:r w:rsidR="00625096" w:rsidRPr="003C4D8C">
        <w:rPr>
          <w:spacing w:val="-8"/>
          <w:kern w:val="17"/>
          <w:lang w:val="en-GB"/>
        </w:rPr>
        <w:t xml:space="preserve">Statistics on </w:t>
      </w:r>
      <w:r w:rsidRPr="003C4D8C">
        <w:rPr>
          <w:spacing w:val="-8"/>
          <w:kern w:val="17"/>
          <w:lang w:val="en-GB"/>
        </w:rPr>
        <w:t xml:space="preserve">Indian </w:t>
      </w:r>
      <w:r w:rsidR="00625096" w:rsidRPr="003C4D8C">
        <w:rPr>
          <w:spacing w:val="-8"/>
          <w:kern w:val="17"/>
          <w:lang w:val="en-GB"/>
        </w:rPr>
        <w:t xml:space="preserve">Economy,” </w:t>
      </w:r>
      <w:r w:rsidR="00527F4C" w:rsidRPr="003C4D8C">
        <w:rPr>
          <w:spacing w:val="-8"/>
          <w:kern w:val="17"/>
          <w:lang w:val="en-GB"/>
        </w:rPr>
        <w:t>Reserve Bank of Indi</w:t>
      </w:r>
      <w:r w:rsidR="00625096" w:rsidRPr="003C4D8C">
        <w:rPr>
          <w:spacing w:val="-8"/>
          <w:kern w:val="17"/>
          <w:lang w:val="en-GB"/>
        </w:rPr>
        <w:t>a</w:t>
      </w:r>
      <w:r w:rsidR="00527F4C" w:rsidRPr="003C4D8C">
        <w:rPr>
          <w:spacing w:val="-8"/>
          <w:kern w:val="17"/>
          <w:lang w:val="en-GB"/>
        </w:rPr>
        <w:t xml:space="preserve">, accessed July 13, 2014, </w:t>
      </w:r>
      <w:r w:rsidR="003C4D8C" w:rsidRPr="003C4D8C">
        <w:rPr>
          <w:spacing w:val="-8"/>
          <w:kern w:val="17"/>
        </w:rPr>
        <w:t>https://rbi.org.in/Scripts/AnnualPublications.aspx?head=Handbook%20of%20Statistics%20on%20Indian</w:t>
      </w:r>
    </w:p>
    <w:p w14:paraId="6E3D98FB" w14:textId="41F77C6C" w:rsidR="00DE7981" w:rsidRPr="000147BE" w:rsidRDefault="00AF6098" w:rsidP="003C0A88">
      <w:pPr>
        <w:pStyle w:val="Footnote"/>
        <w:rPr>
          <w:spacing w:val="-6"/>
          <w:kern w:val="17"/>
          <w:lang w:val="en-GB"/>
        </w:rPr>
      </w:pPr>
      <w:r w:rsidRPr="003C4D8C">
        <w:rPr>
          <w:spacing w:val="-4"/>
          <w:kern w:val="17"/>
        </w:rPr>
        <w:t>%20Economy</w:t>
      </w:r>
      <w:r w:rsidR="00625096" w:rsidRPr="003C4D8C">
        <w:rPr>
          <w:spacing w:val="-4"/>
          <w:kern w:val="17"/>
        </w:rPr>
        <w:t xml:space="preserve">; </w:t>
      </w:r>
      <w:r w:rsidR="00624B3E" w:rsidRPr="000147BE">
        <w:rPr>
          <w:spacing w:val="-6"/>
          <w:kern w:val="17"/>
        </w:rPr>
        <w:t>“Charts: Historic BoJ Rates</w:t>
      </w:r>
      <w:r w:rsidR="00B2558D" w:rsidRPr="000147BE">
        <w:rPr>
          <w:spacing w:val="-6"/>
          <w:kern w:val="17"/>
        </w:rPr>
        <w:t>,</w:t>
      </w:r>
      <w:r w:rsidR="00624B3E" w:rsidRPr="000147BE">
        <w:rPr>
          <w:spacing w:val="-6"/>
          <w:kern w:val="17"/>
        </w:rPr>
        <w:t>” Global-rates</w:t>
      </w:r>
      <w:r w:rsidR="00625096" w:rsidRPr="000147BE">
        <w:rPr>
          <w:spacing w:val="-6"/>
          <w:kern w:val="17"/>
        </w:rPr>
        <w:t>.com</w:t>
      </w:r>
      <w:r w:rsidR="00624B3E" w:rsidRPr="000147BE">
        <w:rPr>
          <w:spacing w:val="-6"/>
          <w:kern w:val="17"/>
        </w:rPr>
        <w:t xml:space="preserve">, accessed </w:t>
      </w:r>
      <w:r w:rsidR="00077DE0" w:rsidRPr="000147BE">
        <w:rPr>
          <w:spacing w:val="-6"/>
          <w:kern w:val="17"/>
        </w:rPr>
        <w:t>July</w:t>
      </w:r>
      <w:r w:rsidR="00624B3E" w:rsidRPr="000147BE">
        <w:rPr>
          <w:spacing w:val="-6"/>
          <w:kern w:val="17"/>
        </w:rPr>
        <w:t xml:space="preserve"> 13, 2014, </w:t>
      </w:r>
      <w:hyperlink r:id="rId14" w:history="1">
        <w:r w:rsidR="00D84FAA" w:rsidRPr="000147BE">
          <w:rPr>
            <w:spacing w:val="-6"/>
            <w:kern w:val="17"/>
          </w:rPr>
          <w:t>www.global-rates.com/interest-rates/central-banks/central-bank-japan/boj-interest-rate.aspx</w:t>
        </w:r>
      </w:hyperlink>
      <w:r w:rsidR="00BF1A36" w:rsidRPr="000147BE">
        <w:rPr>
          <w:spacing w:val="-6"/>
          <w:kern w:val="17"/>
        </w:rPr>
        <w:t>;</w:t>
      </w:r>
      <w:r w:rsidR="00BF1A36" w:rsidRPr="000147BE">
        <w:rPr>
          <w:spacing w:val="-6"/>
          <w:kern w:val="17"/>
          <w:lang w:val="en-GB"/>
        </w:rPr>
        <w:t xml:space="preserve"> </w:t>
      </w:r>
      <w:r w:rsidR="00625096" w:rsidRPr="000147BE">
        <w:rPr>
          <w:spacing w:val="-6"/>
          <w:kern w:val="17"/>
        </w:rPr>
        <w:t>“</w:t>
      </w:r>
      <w:r w:rsidR="00BB40DF" w:rsidRPr="000147BE">
        <w:rPr>
          <w:spacing w:val="-6"/>
          <w:kern w:val="17"/>
        </w:rPr>
        <w:t>Indian Rupee (INR) to Japanese Yen (JPY) History</w:t>
      </w:r>
      <w:r w:rsidR="00625096" w:rsidRPr="000147BE">
        <w:rPr>
          <w:spacing w:val="-6"/>
          <w:kern w:val="17"/>
        </w:rPr>
        <w:t>,</w:t>
      </w:r>
      <w:r w:rsidR="00BB40DF" w:rsidRPr="000147BE">
        <w:rPr>
          <w:spacing w:val="-6"/>
          <w:kern w:val="17"/>
        </w:rPr>
        <w:t xml:space="preserve">” inr.fx-exchange, accessed July 13, 2014, </w:t>
      </w:r>
      <w:hyperlink r:id="rId15" w:history="1">
        <w:r w:rsidR="00BF1A36" w:rsidRPr="000147BE">
          <w:rPr>
            <w:spacing w:val="-6"/>
            <w:kern w:val="17"/>
            <w:lang w:val="en-GB"/>
          </w:rPr>
          <w:t>http://inr.fx-exchange.com/jpy/exchange-rates-history.html</w:t>
        </w:r>
      </w:hyperlink>
      <w:r w:rsidR="00BF1A36" w:rsidRPr="000147BE">
        <w:rPr>
          <w:spacing w:val="-6"/>
          <w:kern w:val="17"/>
          <w:lang w:val="en-GB"/>
        </w:rPr>
        <w:t xml:space="preserve">; </w:t>
      </w:r>
      <w:r w:rsidR="00D84FAA" w:rsidRPr="000147BE">
        <w:rPr>
          <w:spacing w:val="-6"/>
          <w:kern w:val="17"/>
          <w:lang w:val="en-GB"/>
        </w:rPr>
        <w:t xml:space="preserve">“Petrol </w:t>
      </w:r>
      <w:r w:rsidR="00625096" w:rsidRPr="000147BE">
        <w:rPr>
          <w:spacing w:val="-6"/>
          <w:kern w:val="17"/>
          <w:lang w:val="en-GB"/>
        </w:rPr>
        <w:t>P</w:t>
      </w:r>
      <w:r w:rsidR="00D84FAA" w:rsidRPr="000147BE">
        <w:rPr>
          <w:spacing w:val="-6"/>
          <w:kern w:val="17"/>
          <w:lang w:val="en-GB"/>
        </w:rPr>
        <w:t xml:space="preserve">rice </w:t>
      </w:r>
      <w:r w:rsidR="00625096" w:rsidRPr="000147BE">
        <w:rPr>
          <w:spacing w:val="-6"/>
          <w:kern w:val="17"/>
          <w:lang w:val="en-GB"/>
        </w:rPr>
        <w:t>C</w:t>
      </w:r>
      <w:r w:rsidR="00D84FAA" w:rsidRPr="000147BE">
        <w:rPr>
          <w:spacing w:val="-6"/>
          <w:kern w:val="17"/>
          <w:lang w:val="en-GB"/>
        </w:rPr>
        <w:t>alculator</w:t>
      </w:r>
      <w:r w:rsidR="00625096" w:rsidRPr="000147BE">
        <w:rPr>
          <w:spacing w:val="-6"/>
          <w:kern w:val="17"/>
          <w:lang w:val="en-GB"/>
        </w:rPr>
        <w:t>,</w:t>
      </w:r>
      <w:r w:rsidR="00D84FAA" w:rsidRPr="000147BE">
        <w:rPr>
          <w:spacing w:val="-6"/>
          <w:kern w:val="17"/>
          <w:lang w:val="en-GB"/>
        </w:rPr>
        <w:t xml:space="preserve">” </w:t>
      </w:r>
      <w:r w:rsidR="00625096" w:rsidRPr="000147BE">
        <w:rPr>
          <w:spacing w:val="-6"/>
          <w:kern w:val="17"/>
          <w:lang w:val="en-GB"/>
        </w:rPr>
        <w:t>M</w:t>
      </w:r>
      <w:r w:rsidR="00D84FAA" w:rsidRPr="000147BE">
        <w:rPr>
          <w:spacing w:val="-6"/>
          <w:kern w:val="17"/>
          <w:lang w:val="en-GB"/>
        </w:rPr>
        <w:t>ypetroprice</w:t>
      </w:r>
      <w:r w:rsidR="00625096" w:rsidRPr="000147BE">
        <w:rPr>
          <w:spacing w:val="-6"/>
          <w:kern w:val="17"/>
          <w:lang w:val="en-GB"/>
        </w:rPr>
        <w:t>.com</w:t>
      </w:r>
      <w:r w:rsidR="00D84FAA" w:rsidRPr="000147BE">
        <w:rPr>
          <w:spacing w:val="-6"/>
          <w:kern w:val="17"/>
          <w:lang w:val="en-GB"/>
        </w:rPr>
        <w:t xml:space="preserve">, accessed July 13, 2014, </w:t>
      </w:r>
      <w:hyperlink r:id="rId16" w:history="1">
        <w:r w:rsidR="00FE3D2E" w:rsidRPr="000147BE">
          <w:rPr>
            <w:spacing w:val="-6"/>
            <w:kern w:val="17"/>
            <w:lang w:val="en-GB"/>
          </w:rPr>
          <w:t>www.mypetrolprice.com/ChartImg.axd?i=charts_2/chart_2_8.png&amp;g=26f5a991d0924518becb692dc0dad1d2</w:t>
        </w:r>
      </w:hyperlink>
      <w:r w:rsidR="00BF1A36" w:rsidRPr="000147BE">
        <w:rPr>
          <w:spacing w:val="-6"/>
          <w:kern w:val="17"/>
          <w:lang w:val="en-GB"/>
        </w:rPr>
        <w:t xml:space="preserve">; </w:t>
      </w:r>
      <w:r w:rsidR="00F037C0" w:rsidRPr="000147BE">
        <w:rPr>
          <w:spacing w:val="-6"/>
          <w:kern w:val="17"/>
          <w:lang w:val="en-GB"/>
        </w:rPr>
        <w:t>“</w:t>
      </w:r>
      <w:r w:rsidR="005A44CC" w:rsidRPr="000147BE">
        <w:rPr>
          <w:spacing w:val="-6"/>
          <w:kern w:val="17"/>
          <w:lang w:val="en-GB"/>
        </w:rPr>
        <w:t>Production Statistics</w:t>
      </w:r>
      <w:r w:rsidR="00C26087" w:rsidRPr="000147BE">
        <w:rPr>
          <w:spacing w:val="-6"/>
          <w:kern w:val="17"/>
          <w:lang w:val="en-GB"/>
        </w:rPr>
        <w:t>,</w:t>
      </w:r>
      <w:r w:rsidR="005A44CC" w:rsidRPr="000147BE">
        <w:rPr>
          <w:spacing w:val="-6"/>
          <w:kern w:val="17"/>
          <w:lang w:val="en-GB"/>
        </w:rPr>
        <w:t>”</w:t>
      </w:r>
      <w:r w:rsidR="00C26087" w:rsidRPr="000147BE">
        <w:rPr>
          <w:spacing w:val="-6"/>
          <w:kern w:val="17"/>
          <w:lang w:val="en-GB"/>
        </w:rPr>
        <w:t xml:space="preserve"> </w:t>
      </w:r>
      <w:r w:rsidR="005A44CC" w:rsidRPr="000147BE">
        <w:rPr>
          <w:spacing w:val="-6"/>
          <w:kern w:val="17"/>
          <w:lang w:val="en-GB"/>
        </w:rPr>
        <w:t xml:space="preserve">OICA, accessed July 13, 2014, </w:t>
      </w:r>
      <w:hyperlink r:id="rId17" w:history="1">
        <w:r w:rsidR="005C6CD1" w:rsidRPr="000147BE">
          <w:rPr>
            <w:spacing w:val="-6"/>
            <w:kern w:val="17"/>
            <w:lang w:val="en-GB"/>
          </w:rPr>
          <w:t>www.oica.net/category/production-statistics/</w:t>
        </w:r>
      </w:hyperlink>
      <w:r w:rsidR="00657F1B" w:rsidRPr="000147BE">
        <w:rPr>
          <w:rFonts w:eastAsia="Batang"/>
          <w:spacing w:val="-6"/>
          <w:kern w:val="17"/>
          <w:lang w:val="en-GB"/>
        </w:rPr>
        <w:t>.</w:t>
      </w:r>
      <w:r w:rsidR="003E044B" w:rsidRPr="000147BE">
        <w:rPr>
          <w:rFonts w:eastAsia="Batang"/>
          <w:spacing w:val="-6"/>
          <w:kern w:val="17"/>
          <w:lang w:val="en-GB"/>
        </w:rPr>
        <w:t xml:space="preserve"> </w:t>
      </w:r>
    </w:p>
    <w:p w14:paraId="41CD573F" w14:textId="77777777" w:rsidR="005C6CD1" w:rsidRPr="001F64CE" w:rsidRDefault="005C6CD1" w:rsidP="003C0A88">
      <w:pPr>
        <w:pStyle w:val="Footnote"/>
        <w:rPr>
          <w:rFonts w:eastAsia="Batang"/>
          <w:lang w:val="en-GB"/>
        </w:rPr>
      </w:pPr>
    </w:p>
    <w:p w14:paraId="75C5A2F0" w14:textId="2E1F3077" w:rsidR="000147BE" w:rsidRDefault="000147BE" w:rsidP="003C0A88">
      <w:pPr>
        <w:spacing w:after="200" w:line="276" w:lineRule="auto"/>
        <w:rPr>
          <w:rFonts w:ascii="Arial" w:eastAsia="Batang" w:hAnsi="Arial" w:cs="Arial"/>
          <w:sz w:val="17"/>
          <w:szCs w:val="17"/>
          <w:lang w:val="en-GB"/>
        </w:rPr>
      </w:pPr>
      <w:r>
        <w:rPr>
          <w:rFonts w:eastAsia="Batang"/>
          <w:lang w:val="en-GB"/>
        </w:rPr>
        <w:br w:type="page"/>
      </w:r>
    </w:p>
    <w:p w14:paraId="4C22CDAB" w14:textId="77777777" w:rsidR="00DE7981" w:rsidRPr="001F64CE" w:rsidRDefault="00DE7981" w:rsidP="003C0A88">
      <w:pPr>
        <w:pStyle w:val="ExhibitHeading"/>
        <w:keepNext/>
        <w:keepLines/>
        <w:rPr>
          <w:rFonts w:eastAsia="Batang"/>
          <w:lang w:val="en-GB"/>
        </w:rPr>
      </w:pPr>
      <w:r w:rsidRPr="001F64CE">
        <w:rPr>
          <w:rFonts w:eastAsia="Batang"/>
          <w:lang w:val="en-GB"/>
        </w:rPr>
        <w:lastRenderedPageBreak/>
        <w:t>Exhibit 6: Arrangements under the new proposal</w:t>
      </w:r>
    </w:p>
    <w:p w14:paraId="1A4093DE" w14:textId="77EC2B00" w:rsidR="00DE7981" w:rsidRPr="001F64CE" w:rsidRDefault="00DE7981" w:rsidP="003C0A88">
      <w:pPr>
        <w:pStyle w:val="ExhibitHeading"/>
        <w:rPr>
          <w:rFonts w:eastAsia="Batang"/>
          <w:lang w:val="en-GB"/>
        </w:rPr>
      </w:pPr>
    </w:p>
    <w:p w14:paraId="4AE790DB" w14:textId="349FC248" w:rsidR="002D15F0" w:rsidRPr="001F64CE" w:rsidRDefault="00B63DE7" w:rsidP="003C0A88">
      <w:pPr>
        <w:pStyle w:val="Footnote"/>
        <w:keepNext/>
        <w:keepLines/>
        <w:jc w:val="center"/>
        <w:rPr>
          <w:lang w:val="en-GB"/>
        </w:rPr>
      </w:pPr>
      <w:r w:rsidRPr="00B37BC5">
        <w:rPr>
          <w:noProof/>
          <w:bdr w:val="single" w:sz="4" w:space="0" w:color="auto"/>
          <w:lang w:val="en-GB" w:eastAsia="en-GB"/>
        </w:rPr>
        <w:drawing>
          <wp:inline distT="0" distB="0" distL="0" distR="0" wp14:anchorId="0C1A2190" wp14:editId="740914E4">
            <wp:extent cx="4884420" cy="283572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grayscl/>
                      <a:extLst>
                        <a:ext uri="{28A0092B-C50C-407E-A947-70E740481C1C}">
                          <a14:useLocalDpi xmlns:a14="http://schemas.microsoft.com/office/drawing/2010/main" val="0"/>
                        </a:ext>
                      </a:extLst>
                    </a:blip>
                    <a:srcRect/>
                    <a:stretch>
                      <a:fillRect/>
                    </a:stretch>
                  </pic:blipFill>
                  <pic:spPr bwMode="auto">
                    <a:xfrm>
                      <a:off x="0" y="0"/>
                      <a:ext cx="4904650" cy="2847468"/>
                    </a:xfrm>
                    <a:prstGeom prst="rect">
                      <a:avLst/>
                    </a:prstGeom>
                    <a:noFill/>
                  </pic:spPr>
                </pic:pic>
              </a:graphicData>
            </a:graphic>
          </wp:inline>
        </w:drawing>
      </w:r>
    </w:p>
    <w:p w14:paraId="2C1E6989" w14:textId="77777777" w:rsidR="00541D85" w:rsidRDefault="00541D85" w:rsidP="003C0A88">
      <w:pPr>
        <w:pStyle w:val="Footnote"/>
        <w:keepNext/>
        <w:keepLines/>
        <w:rPr>
          <w:lang w:val="en-GB"/>
        </w:rPr>
      </w:pPr>
    </w:p>
    <w:p w14:paraId="3D8EB006" w14:textId="54E9DFEC" w:rsidR="00D82BE5" w:rsidRPr="001F64CE" w:rsidRDefault="00D82BE5" w:rsidP="003C0A88">
      <w:pPr>
        <w:pStyle w:val="Footnote"/>
        <w:keepNext/>
        <w:keepLines/>
        <w:rPr>
          <w:lang w:val="en-GB"/>
        </w:rPr>
      </w:pPr>
      <w:r w:rsidRPr="001F64CE">
        <w:rPr>
          <w:lang w:val="en-GB"/>
        </w:rPr>
        <w:t xml:space="preserve">Source: </w:t>
      </w:r>
      <w:r w:rsidR="00780C73" w:rsidRPr="001F64CE">
        <w:rPr>
          <w:lang w:val="en-GB"/>
        </w:rPr>
        <w:t>Created by the case author</w:t>
      </w:r>
      <w:r w:rsidR="00D903EB">
        <w:rPr>
          <w:lang w:val="en-GB"/>
        </w:rPr>
        <w:t>s</w:t>
      </w:r>
      <w:r w:rsidRPr="001F64CE">
        <w:rPr>
          <w:lang w:val="en-GB"/>
        </w:rPr>
        <w:t xml:space="preserve">. </w:t>
      </w:r>
    </w:p>
    <w:p w14:paraId="0FA165DD" w14:textId="77777777" w:rsidR="003B1E62" w:rsidRPr="001F64CE" w:rsidRDefault="003B1E62" w:rsidP="003C0A88">
      <w:pPr>
        <w:pStyle w:val="Footnote"/>
        <w:rPr>
          <w:lang w:val="en-GB"/>
        </w:rPr>
      </w:pPr>
    </w:p>
    <w:p w14:paraId="3DCD8E13" w14:textId="77777777" w:rsidR="003B1E62" w:rsidRPr="001F64CE" w:rsidRDefault="003B1E62" w:rsidP="003C0A88">
      <w:pPr>
        <w:pStyle w:val="Footnote"/>
        <w:rPr>
          <w:lang w:val="en-GB"/>
        </w:rPr>
      </w:pPr>
    </w:p>
    <w:p w14:paraId="47CE7242" w14:textId="26B2D79E" w:rsidR="00DE7981" w:rsidRPr="001F64CE" w:rsidRDefault="00DE7981" w:rsidP="003C0A88">
      <w:pPr>
        <w:pStyle w:val="ExhibitHeading"/>
        <w:rPr>
          <w:rFonts w:eastAsia="Batang"/>
          <w:lang w:val="en-GB"/>
        </w:rPr>
      </w:pPr>
      <w:r w:rsidRPr="001F64CE">
        <w:rPr>
          <w:rFonts w:eastAsia="Batang"/>
          <w:lang w:val="en-GB"/>
        </w:rPr>
        <w:t>Exhibit 7</w:t>
      </w:r>
      <w:r w:rsidR="00BF1A36" w:rsidRPr="001F64CE">
        <w:rPr>
          <w:rFonts w:eastAsia="Batang"/>
          <w:lang w:val="en-GB"/>
        </w:rPr>
        <w:t xml:space="preserve">: </w:t>
      </w:r>
      <w:r w:rsidR="00780C73" w:rsidRPr="001F64CE">
        <w:rPr>
          <w:rFonts w:eastAsia="Batang"/>
          <w:lang w:val="en-GB"/>
        </w:rPr>
        <w:t xml:space="preserve">movement of </w:t>
      </w:r>
      <w:r w:rsidRPr="001F64CE">
        <w:rPr>
          <w:rFonts w:eastAsia="Batang"/>
          <w:lang w:val="en-GB"/>
        </w:rPr>
        <w:t xml:space="preserve">Stock prices </w:t>
      </w:r>
      <w:r w:rsidR="00780C73" w:rsidRPr="001F64CE">
        <w:rPr>
          <w:rFonts w:eastAsia="Batang"/>
          <w:lang w:val="en-GB"/>
        </w:rPr>
        <w:t xml:space="preserve">for </w:t>
      </w:r>
      <w:r w:rsidRPr="001F64CE">
        <w:rPr>
          <w:rFonts w:eastAsia="Batang"/>
          <w:lang w:val="en-GB"/>
        </w:rPr>
        <w:t>MSIL, Tata Motors</w:t>
      </w:r>
      <w:r w:rsidR="00780C73" w:rsidRPr="001F64CE">
        <w:rPr>
          <w:rFonts w:eastAsia="Batang"/>
          <w:lang w:val="en-GB"/>
        </w:rPr>
        <w:t>,</w:t>
      </w:r>
      <w:r w:rsidRPr="001F64CE">
        <w:rPr>
          <w:rFonts w:eastAsia="Batang"/>
          <w:lang w:val="en-GB"/>
        </w:rPr>
        <w:t xml:space="preserve"> and </w:t>
      </w:r>
      <w:r w:rsidR="00780C73" w:rsidRPr="001F64CE">
        <w:rPr>
          <w:rFonts w:eastAsia="Batang"/>
          <w:lang w:val="en-GB"/>
        </w:rPr>
        <w:t>Sensex</w:t>
      </w:r>
      <w:r w:rsidR="00780C73" w:rsidRPr="001F64CE">
        <w:rPr>
          <w:rFonts w:eastAsia="Batang"/>
          <w:lang w:val="en-GB"/>
        </w:rPr>
        <w:br/>
      </w:r>
      <w:r w:rsidRPr="001F64CE">
        <w:rPr>
          <w:rFonts w:eastAsia="Batang"/>
          <w:lang w:val="en-GB"/>
        </w:rPr>
        <w:t>(Jan</w:t>
      </w:r>
      <w:r w:rsidR="00780C73" w:rsidRPr="001F64CE">
        <w:rPr>
          <w:rFonts w:eastAsia="Batang"/>
          <w:lang w:val="en-GB"/>
        </w:rPr>
        <w:t>uary</w:t>
      </w:r>
      <w:r w:rsidRPr="001F64CE">
        <w:rPr>
          <w:rFonts w:eastAsia="Batang"/>
          <w:lang w:val="en-GB"/>
        </w:rPr>
        <w:t xml:space="preserve"> </w:t>
      </w:r>
      <w:r w:rsidR="00780C73" w:rsidRPr="001F64CE">
        <w:rPr>
          <w:rFonts w:eastAsia="Batang"/>
          <w:lang w:val="en-GB"/>
        </w:rPr>
        <w:t xml:space="preserve">1, </w:t>
      </w:r>
      <w:r w:rsidRPr="001F64CE">
        <w:rPr>
          <w:rFonts w:eastAsia="Batang"/>
          <w:lang w:val="en-GB"/>
        </w:rPr>
        <w:t xml:space="preserve">2014 </w:t>
      </w:r>
      <w:r w:rsidR="000147BE">
        <w:rPr>
          <w:rFonts w:eastAsia="Batang"/>
          <w:lang w:val="en-GB"/>
        </w:rPr>
        <w:t xml:space="preserve">to </w:t>
      </w:r>
      <w:r w:rsidRPr="001F64CE">
        <w:rPr>
          <w:rFonts w:eastAsia="Batang"/>
          <w:lang w:val="en-GB"/>
        </w:rPr>
        <w:t xml:space="preserve">March </w:t>
      </w:r>
      <w:r w:rsidR="00780C73" w:rsidRPr="001F64CE">
        <w:rPr>
          <w:rFonts w:eastAsia="Batang"/>
          <w:lang w:val="en-GB"/>
        </w:rPr>
        <w:t xml:space="preserve">15, </w:t>
      </w:r>
      <w:r w:rsidRPr="001F64CE">
        <w:rPr>
          <w:rFonts w:eastAsia="Batang"/>
          <w:lang w:val="en-GB"/>
        </w:rPr>
        <w:t>2014)</w:t>
      </w:r>
    </w:p>
    <w:p w14:paraId="56021E13" w14:textId="77777777" w:rsidR="00BF1A36" w:rsidRPr="001F64CE" w:rsidRDefault="00BF1A36" w:rsidP="003C0A88">
      <w:pPr>
        <w:pStyle w:val="ExhibitHeading"/>
        <w:rPr>
          <w:rFonts w:eastAsia="Batang"/>
          <w:lang w:val="en-GB"/>
        </w:rPr>
      </w:pPr>
    </w:p>
    <w:p w14:paraId="2A489F69" w14:textId="77777777" w:rsidR="00DE7981" w:rsidRPr="001F64CE" w:rsidRDefault="00DE7981" w:rsidP="003C0A88">
      <w:pPr>
        <w:ind w:left="144" w:right="144"/>
        <w:jc w:val="center"/>
        <w:rPr>
          <w:lang w:val="en-GB"/>
        </w:rPr>
      </w:pPr>
      <w:r w:rsidRPr="001F64CE">
        <w:rPr>
          <w:noProof/>
          <w:lang w:val="en-GB" w:eastAsia="en-GB"/>
        </w:rPr>
        <w:drawing>
          <wp:inline distT="0" distB="0" distL="0" distR="0" wp14:anchorId="13C4828C" wp14:editId="006F91B0">
            <wp:extent cx="4373593" cy="2629002"/>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grayscl/>
                      <a:extLst>
                        <a:ext uri="{28A0092B-C50C-407E-A947-70E740481C1C}">
                          <a14:useLocalDpi xmlns:a14="http://schemas.microsoft.com/office/drawing/2010/main" val="0"/>
                        </a:ext>
                      </a:extLst>
                    </a:blip>
                    <a:srcRect/>
                    <a:stretch>
                      <a:fillRect/>
                    </a:stretch>
                  </pic:blipFill>
                  <pic:spPr bwMode="auto">
                    <a:xfrm>
                      <a:off x="0" y="0"/>
                      <a:ext cx="4382151" cy="2634146"/>
                    </a:xfrm>
                    <a:prstGeom prst="rect">
                      <a:avLst/>
                    </a:prstGeom>
                    <a:noFill/>
                  </pic:spPr>
                </pic:pic>
              </a:graphicData>
            </a:graphic>
          </wp:inline>
        </w:drawing>
      </w:r>
    </w:p>
    <w:p w14:paraId="3F185730" w14:textId="77777777" w:rsidR="00BF1A36" w:rsidRPr="001F64CE" w:rsidRDefault="00BF1A36" w:rsidP="003C0A88">
      <w:pPr>
        <w:pStyle w:val="Footnote"/>
        <w:rPr>
          <w:lang w:val="en-GB"/>
        </w:rPr>
      </w:pPr>
    </w:p>
    <w:p w14:paraId="19F75BFC" w14:textId="769234A6" w:rsidR="00B4542A" w:rsidRPr="001F64CE" w:rsidRDefault="00B4542A" w:rsidP="003C0A88">
      <w:pPr>
        <w:pStyle w:val="Footnote"/>
        <w:rPr>
          <w:lang w:val="en-GB"/>
        </w:rPr>
      </w:pPr>
      <w:r w:rsidRPr="001F64CE">
        <w:rPr>
          <w:lang w:val="en-GB"/>
        </w:rPr>
        <w:t xml:space="preserve">Note: The </w:t>
      </w:r>
      <w:r w:rsidR="00780C73" w:rsidRPr="001F64CE">
        <w:rPr>
          <w:lang w:val="en-GB"/>
        </w:rPr>
        <w:t>first-</w:t>
      </w:r>
      <w:r w:rsidRPr="001F64CE">
        <w:rPr>
          <w:lang w:val="en-GB"/>
        </w:rPr>
        <w:t>day price has been initialized to 100.</w:t>
      </w:r>
    </w:p>
    <w:p w14:paraId="23D59053" w14:textId="398C2774" w:rsidR="00DE7981" w:rsidRPr="001F64CE" w:rsidRDefault="00DE7981" w:rsidP="003C0A88">
      <w:pPr>
        <w:pStyle w:val="Footnote"/>
        <w:rPr>
          <w:lang w:val="en-GB"/>
        </w:rPr>
      </w:pPr>
      <w:r w:rsidRPr="001F64CE">
        <w:rPr>
          <w:lang w:val="en-GB"/>
        </w:rPr>
        <w:t xml:space="preserve">Source: </w:t>
      </w:r>
      <w:r w:rsidR="000147BE">
        <w:rPr>
          <w:lang w:val="en-GB"/>
        </w:rPr>
        <w:t xml:space="preserve">“Tata Motors Limited (TTM): Historical Data,” Yahoo! Finance, accessed July 18, 2017, </w:t>
      </w:r>
      <w:r w:rsidR="000147BE" w:rsidRPr="000147BE">
        <w:rPr>
          <w:lang w:val="en-GB"/>
        </w:rPr>
        <w:t>https://finance.yahoo.com/quote/TTM/history?p=TTM</w:t>
      </w:r>
      <w:r w:rsidR="000147BE">
        <w:rPr>
          <w:lang w:val="en-GB"/>
        </w:rPr>
        <w:t xml:space="preserve">; “BSE SENSEX (^BSESN),” Yahoo! Finance, accessed July 18, 2017, </w:t>
      </w:r>
      <w:r w:rsidR="000147BE" w:rsidRPr="000147BE">
        <w:rPr>
          <w:lang w:val="en-GB"/>
        </w:rPr>
        <w:t>https://in.finance.yahoo.com/quote/%5EBSESN/history?p=%5EBSESN</w:t>
      </w:r>
      <w:r w:rsidR="000147BE">
        <w:rPr>
          <w:lang w:val="en-GB"/>
        </w:rPr>
        <w:t xml:space="preserve">; “Maruti Suzuki India Limited (MARUTI.NS),” Yahoo! Finance, accessed July 18, 2017, </w:t>
      </w:r>
      <w:r w:rsidR="000147BE" w:rsidRPr="000147BE">
        <w:rPr>
          <w:lang w:val="en-GB"/>
        </w:rPr>
        <w:t>https://in.finance.yahoo.com/quote/MARUTI.NS/history?p=MARUTI.NS</w:t>
      </w:r>
      <w:r w:rsidR="000147BE">
        <w:rPr>
          <w:lang w:val="en-GB"/>
        </w:rPr>
        <w:t>.</w:t>
      </w:r>
    </w:p>
    <w:p w14:paraId="530E895B" w14:textId="77777777" w:rsidR="00DE7981" w:rsidRPr="001F64CE" w:rsidRDefault="00DE7981" w:rsidP="003C0A88">
      <w:pPr>
        <w:pStyle w:val="Footnote"/>
        <w:rPr>
          <w:lang w:val="en-GB"/>
        </w:rPr>
      </w:pPr>
    </w:p>
    <w:p w14:paraId="0D6E2794" w14:textId="77777777" w:rsidR="00DE7981" w:rsidRPr="001F64CE" w:rsidRDefault="00DE7981" w:rsidP="003C0A88">
      <w:pPr>
        <w:pStyle w:val="ExhibitHeading"/>
        <w:keepNext/>
        <w:keepLines/>
        <w:rPr>
          <w:rFonts w:eastAsia="Batang"/>
          <w:lang w:val="en-GB"/>
        </w:rPr>
      </w:pPr>
      <w:r w:rsidRPr="001F64CE">
        <w:rPr>
          <w:rFonts w:eastAsia="Batang"/>
          <w:lang w:val="en-GB"/>
        </w:rPr>
        <w:lastRenderedPageBreak/>
        <w:t>Exhibit 8</w:t>
      </w:r>
      <w:r w:rsidR="00BF1A36" w:rsidRPr="001F64CE">
        <w:rPr>
          <w:rFonts w:eastAsia="Batang"/>
          <w:lang w:val="en-GB"/>
        </w:rPr>
        <w:t xml:space="preserve">: </w:t>
      </w:r>
      <w:r w:rsidRPr="001F64CE">
        <w:rPr>
          <w:rFonts w:eastAsia="Batang"/>
          <w:lang w:val="en-GB"/>
        </w:rPr>
        <w:t>Some Valuation Parameters</w:t>
      </w:r>
    </w:p>
    <w:p w14:paraId="55F1209F" w14:textId="77777777" w:rsidR="00DE7981" w:rsidRPr="001F64CE" w:rsidRDefault="00DE7981" w:rsidP="003C0A88">
      <w:pPr>
        <w:keepNext/>
        <w:keepLines/>
        <w:ind w:left="144" w:right="144"/>
        <w:jc w:val="both"/>
        <w:rPr>
          <w:rFonts w:eastAsia="Batang"/>
          <w:lang w:val="en-GB"/>
        </w:rPr>
      </w:pPr>
    </w:p>
    <w:tbl>
      <w:tblPr>
        <w:tblW w:w="51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6"/>
        <w:gridCol w:w="1096"/>
      </w:tblGrid>
      <w:tr w:rsidR="00DE7981" w:rsidRPr="001F64CE" w14:paraId="55A21FF6" w14:textId="77777777" w:rsidTr="002F1F01">
        <w:trPr>
          <w:trHeight w:val="288"/>
          <w:jc w:val="center"/>
        </w:trPr>
        <w:tc>
          <w:tcPr>
            <w:tcW w:w="4016" w:type="dxa"/>
            <w:shd w:val="clear" w:color="auto" w:fill="auto"/>
            <w:noWrap/>
            <w:vAlign w:val="bottom"/>
            <w:hideMark/>
          </w:tcPr>
          <w:p w14:paraId="1E7D5505" w14:textId="77777777" w:rsidR="00DE7981" w:rsidRPr="001F64CE" w:rsidRDefault="00DE7981" w:rsidP="003C0A88">
            <w:pPr>
              <w:keepNext/>
              <w:keepLines/>
              <w:jc w:val="center"/>
              <w:rPr>
                <w:rFonts w:ascii="Arial" w:hAnsi="Arial" w:cs="Arial"/>
                <w:b/>
                <w:color w:val="000000"/>
                <w:sz w:val="18"/>
                <w:szCs w:val="18"/>
                <w:lang w:val="en-GB" w:eastAsia="en-IN"/>
              </w:rPr>
            </w:pPr>
            <w:r w:rsidRPr="001F64CE">
              <w:rPr>
                <w:rFonts w:ascii="Arial" w:hAnsi="Arial" w:cs="Arial"/>
                <w:b/>
                <w:color w:val="000000"/>
                <w:sz w:val="18"/>
                <w:szCs w:val="18"/>
                <w:lang w:val="en-GB" w:eastAsia="en-IN"/>
              </w:rPr>
              <w:t>Variables</w:t>
            </w:r>
          </w:p>
        </w:tc>
        <w:tc>
          <w:tcPr>
            <w:tcW w:w="1096" w:type="dxa"/>
            <w:shd w:val="clear" w:color="auto" w:fill="auto"/>
            <w:noWrap/>
            <w:vAlign w:val="bottom"/>
            <w:hideMark/>
          </w:tcPr>
          <w:p w14:paraId="493371D0" w14:textId="77777777" w:rsidR="00DE7981" w:rsidRPr="001F64CE" w:rsidRDefault="00DE7981" w:rsidP="003C0A88">
            <w:pPr>
              <w:keepNext/>
              <w:keepLines/>
              <w:jc w:val="center"/>
              <w:rPr>
                <w:rFonts w:ascii="Arial" w:hAnsi="Arial" w:cs="Arial"/>
                <w:b/>
                <w:color w:val="000000"/>
                <w:sz w:val="18"/>
                <w:szCs w:val="18"/>
                <w:lang w:val="en-GB" w:eastAsia="en-IN"/>
              </w:rPr>
            </w:pPr>
            <w:r w:rsidRPr="001F64CE">
              <w:rPr>
                <w:rFonts w:ascii="Arial" w:hAnsi="Arial" w:cs="Arial"/>
                <w:b/>
                <w:color w:val="000000"/>
                <w:sz w:val="18"/>
                <w:szCs w:val="18"/>
                <w:lang w:val="en-GB" w:eastAsia="en-IN"/>
              </w:rPr>
              <w:t>Value</w:t>
            </w:r>
          </w:p>
        </w:tc>
      </w:tr>
      <w:tr w:rsidR="00DE7981" w:rsidRPr="001F64CE" w14:paraId="7491C44F" w14:textId="77777777" w:rsidTr="002F1F01">
        <w:trPr>
          <w:trHeight w:val="288"/>
          <w:jc w:val="center"/>
        </w:trPr>
        <w:tc>
          <w:tcPr>
            <w:tcW w:w="4016" w:type="dxa"/>
            <w:shd w:val="clear" w:color="auto" w:fill="auto"/>
            <w:noWrap/>
            <w:vAlign w:val="bottom"/>
            <w:hideMark/>
          </w:tcPr>
          <w:p w14:paraId="47B113AF" w14:textId="38794647" w:rsidR="00DE7981" w:rsidRPr="001F64CE" w:rsidRDefault="00DE7981" w:rsidP="003C0A88">
            <w:pPr>
              <w:keepNext/>
              <w:keepLines/>
              <w:rPr>
                <w:rFonts w:ascii="Arial" w:hAnsi="Arial" w:cs="Arial"/>
                <w:color w:val="000000"/>
                <w:sz w:val="18"/>
                <w:szCs w:val="18"/>
                <w:lang w:val="en-GB" w:eastAsia="en-IN"/>
              </w:rPr>
            </w:pPr>
            <w:r w:rsidRPr="001F64CE">
              <w:rPr>
                <w:rFonts w:ascii="Arial" w:hAnsi="Arial" w:cs="Arial"/>
                <w:color w:val="000000"/>
                <w:sz w:val="18"/>
                <w:szCs w:val="18"/>
                <w:lang w:val="en-GB" w:eastAsia="en-IN"/>
              </w:rPr>
              <w:t xml:space="preserve">Yield on </w:t>
            </w:r>
            <w:r w:rsidR="00780C73" w:rsidRPr="001F64CE">
              <w:rPr>
                <w:rFonts w:ascii="Arial" w:hAnsi="Arial" w:cs="Arial"/>
                <w:color w:val="000000"/>
                <w:sz w:val="18"/>
                <w:szCs w:val="18"/>
                <w:lang w:val="en-GB" w:eastAsia="en-IN"/>
              </w:rPr>
              <w:t xml:space="preserve">91-Day </w:t>
            </w:r>
            <w:r w:rsidRPr="001F64CE">
              <w:rPr>
                <w:rFonts w:ascii="Arial" w:hAnsi="Arial" w:cs="Arial"/>
                <w:color w:val="000000"/>
                <w:sz w:val="18"/>
                <w:szCs w:val="18"/>
                <w:lang w:val="en-GB" w:eastAsia="en-IN"/>
              </w:rPr>
              <w:t>T-</w:t>
            </w:r>
            <w:r w:rsidR="00780C73" w:rsidRPr="001F64CE">
              <w:rPr>
                <w:rFonts w:ascii="Arial" w:hAnsi="Arial" w:cs="Arial"/>
                <w:color w:val="000000"/>
                <w:sz w:val="18"/>
                <w:szCs w:val="18"/>
                <w:lang w:val="en-GB" w:eastAsia="en-IN"/>
              </w:rPr>
              <w:t>Bill</w:t>
            </w:r>
          </w:p>
        </w:tc>
        <w:tc>
          <w:tcPr>
            <w:tcW w:w="1096" w:type="dxa"/>
            <w:shd w:val="clear" w:color="auto" w:fill="auto"/>
            <w:noWrap/>
            <w:vAlign w:val="bottom"/>
            <w:hideMark/>
          </w:tcPr>
          <w:p w14:paraId="6F4CE8F4" w14:textId="77777777" w:rsidR="00DE7981" w:rsidRPr="001F64CE" w:rsidRDefault="00DE7981" w:rsidP="003C0A88">
            <w:pPr>
              <w:keepNext/>
              <w:keepLines/>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8.66%</w:t>
            </w:r>
          </w:p>
        </w:tc>
      </w:tr>
      <w:tr w:rsidR="00DE7981" w:rsidRPr="001F64CE" w14:paraId="4F12AA06" w14:textId="77777777" w:rsidTr="002F1F01">
        <w:trPr>
          <w:trHeight w:val="288"/>
          <w:jc w:val="center"/>
        </w:trPr>
        <w:tc>
          <w:tcPr>
            <w:tcW w:w="4016" w:type="dxa"/>
            <w:shd w:val="clear" w:color="auto" w:fill="auto"/>
            <w:noWrap/>
            <w:vAlign w:val="bottom"/>
            <w:hideMark/>
          </w:tcPr>
          <w:p w14:paraId="17250BA7" w14:textId="77777777" w:rsidR="00DE7981" w:rsidRPr="001F64CE" w:rsidRDefault="00DE7981" w:rsidP="003C0A88">
            <w:pPr>
              <w:keepNext/>
              <w:keepLines/>
              <w:rPr>
                <w:rFonts w:ascii="Arial" w:hAnsi="Arial" w:cs="Arial"/>
                <w:color w:val="000000"/>
                <w:sz w:val="18"/>
                <w:szCs w:val="18"/>
                <w:lang w:val="en-GB" w:eastAsia="en-IN"/>
              </w:rPr>
            </w:pPr>
            <w:r w:rsidRPr="001F64CE">
              <w:rPr>
                <w:rFonts w:ascii="Arial" w:hAnsi="Arial" w:cs="Arial"/>
                <w:color w:val="000000"/>
                <w:sz w:val="18"/>
                <w:szCs w:val="18"/>
                <w:lang w:val="en-GB" w:eastAsia="en-IN"/>
              </w:rPr>
              <w:t>Yield on 1-Year Government Securities</w:t>
            </w:r>
          </w:p>
        </w:tc>
        <w:tc>
          <w:tcPr>
            <w:tcW w:w="1096" w:type="dxa"/>
            <w:shd w:val="clear" w:color="auto" w:fill="auto"/>
            <w:noWrap/>
            <w:vAlign w:val="bottom"/>
            <w:hideMark/>
          </w:tcPr>
          <w:p w14:paraId="033CD060" w14:textId="77777777" w:rsidR="00DE7981" w:rsidRPr="001F64CE" w:rsidRDefault="00DE7981" w:rsidP="003C0A88">
            <w:pPr>
              <w:keepNext/>
              <w:keepLines/>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8.71%</w:t>
            </w:r>
          </w:p>
        </w:tc>
      </w:tr>
      <w:tr w:rsidR="00DE7981" w:rsidRPr="001F64CE" w14:paraId="6CBC9D97" w14:textId="77777777" w:rsidTr="002F1F01">
        <w:trPr>
          <w:trHeight w:val="288"/>
          <w:jc w:val="center"/>
        </w:trPr>
        <w:tc>
          <w:tcPr>
            <w:tcW w:w="4016" w:type="dxa"/>
            <w:shd w:val="clear" w:color="auto" w:fill="auto"/>
            <w:noWrap/>
            <w:vAlign w:val="bottom"/>
            <w:hideMark/>
          </w:tcPr>
          <w:p w14:paraId="1A117609" w14:textId="77777777" w:rsidR="00DE7981" w:rsidRPr="001F64CE" w:rsidRDefault="00DE7981" w:rsidP="003C0A88">
            <w:pPr>
              <w:keepNext/>
              <w:keepLines/>
              <w:rPr>
                <w:rFonts w:ascii="Arial" w:hAnsi="Arial" w:cs="Arial"/>
                <w:color w:val="000000"/>
                <w:sz w:val="18"/>
                <w:szCs w:val="18"/>
                <w:lang w:val="en-GB" w:eastAsia="en-IN"/>
              </w:rPr>
            </w:pPr>
            <w:r w:rsidRPr="001F64CE">
              <w:rPr>
                <w:rFonts w:ascii="Arial" w:hAnsi="Arial" w:cs="Arial"/>
                <w:color w:val="000000"/>
                <w:sz w:val="18"/>
                <w:szCs w:val="18"/>
                <w:lang w:val="en-GB" w:eastAsia="en-IN"/>
              </w:rPr>
              <w:t>Yield on 10-Year Government Securities</w:t>
            </w:r>
          </w:p>
        </w:tc>
        <w:tc>
          <w:tcPr>
            <w:tcW w:w="1096" w:type="dxa"/>
            <w:shd w:val="clear" w:color="auto" w:fill="auto"/>
            <w:noWrap/>
            <w:vAlign w:val="bottom"/>
            <w:hideMark/>
          </w:tcPr>
          <w:p w14:paraId="2AE9F72F" w14:textId="77777777" w:rsidR="00DE7981" w:rsidRPr="001F64CE" w:rsidRDefault="00DE7981" w:rsidP="003C0A88">
            <w:pPr>
              <w:keepNext/>
              <w:keepLines/>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8.76%</w:t>
            </w:r>
          </w:p>
        </w:tc>
      </w:tr>
      <w:tr w:rsidR="00DE7981" w:rsidRPr="001F64CE" w14:paraId="326E54C2" w14:textId="77777777" w:rsidTr="002F1F01">
        <w:trPr>
          <w:trHeight w:val="288"/>
          <w:jc w:val="center"/>
        </w:trPr>
        <w:tc>
          <w:tcPr>
            <w:tcW w:w="4016" w:type="dxa"/>
            <w:shd w:val="clear" w:color="auto" w:fill="auto"/>
            <w:noWrap/>
            <w:vAlign w:val="bottom"/>
            <w:hideMark/>
          </w:tcPr>
          <w:p w14:paraId="1AF689B1" w14:textId="77777777" w:rsidR="00DE7981" w:rsidRPr="001F64CE" w:rsidRDefault="00DE7981" w:rsidP="003C0A88">
            <w:pPr>
              <w:keepNext/>
              <w:keepLines/>
              <w:rPr>
                <w:rFonts w:ascii="Arial" w:hAnsi="Arial" w:cs="Arial"/>
                <w:color w:val="000000"/>
                <w:sz w:val="18"/>
                <w:szCs w:val="18"/>
                <w:lang w:val="en-GB" w:eastAsia="en-IN"/>
              </w:rPr>
            </w:pPr>
            <w:r w:rsidRPr="001F64CE">
              <w:rPr>
                <w:rFonts w:ascii="Arial" w:hAnsi="Arial" w:cs="Arial"/>
                <w:color w:val="000000"/>
                <w:sz w:val="18"/>
                <w:szCs w:val="18"/>
                <w:lang w:val="en-GB" w:eastAsia="en-IN"/>
              </w:rPr>
              <w:t>Yield on 20-Year Government Securities</w:t>
            </w:r>
          </w:p>
        </w:tc>
        <w:tc>
          <w:tcPr>
            <w:tcW w:w="1096" w:type="dxa"/>
            <w:shd w:val="clear" w:color="auto" w:fill="auto"/>
            <w:noWrap/>
            <w:vAlign w:val="bottom"/>
            <w:hideMark/>
          </w:tcPr>
          <w:p w14:paraId="7F0D0B10" w14:textId="77777777" w:rsidR="00DE7981" w:rsidRPr="001F64CE" w:rsidRDefault="00DE7981" w:rsidP="003C0A88">
            <w:pPr>
              <w:keepNext/>
              <w:keepLines/>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9.18%</w:t>
            </w:r>
          </w:p>
        </w:tc>
      </w:tr>
      <w:tr w:rsidR="00DE7981" w:rsidRPr="001F64CE" w14:paraId="14692C76" w14:textId="77777777" w:rsidTr="002F1F01">
        <w:trPr>
          <w:trHeight w:val="288"/>
          <w:jc w:val="center"/>
        </w:trPr>
        <w:tc>
          <w:tcPr>
            <w:tcW w:w="4016" w:type="dxa"/>
            <w:shd w:val="clear" w:color="auto" w:fill="auto"/>
            <w:noWrap/>
            <w:vAlign w:val="bottom"/>
            <w:hideMark/>
          </w:tcPr>
          <w:p w14:paraId="4DB65857" w14:textId="77777777" w:rsidR="00DE7981" w:rsidRPr="001F64CE" w:rsidRDefault="00DE7981" w:rsidP="003C0A88">
            <w:pPr>
              <w:keepNext/>
              <w:keepLines/>
              <w:rPr>
                <w:rFonts w:ascii="Arial" w:hAnsi="Arial" w:cs="Arial"/>
                <w:color w:val="000000"/>
                <w:sz w:val="18"/>
                <w:szCs w:val="18"/>
                <w:lang w:val="en-GB" w:eastAsia="en-IN"/>
              </w:rPr>
            </w:pPr>
            <w:r w:rsidRPr="001F64CE">
              <w:rPr>
                <w:rFonts w:ascii="Arial" w:hAnsi="Arial" w:cs="Arial"/>
                <w:color w:val="000000"/>
                <w:sz w:val="18"/>
                <w:szCs w:val="18"/>
                <w:lang w:val="en-GB" w:eastAsia="en-IN"/>
              </w:rPr>
              <w:t>Market Risk Premium in India</w:t>
            </w:r>
          </w:p>
        </w:tc>
        <w:tc>
          <w:tcPr>
            <w:tcW w:w="1096" w:type="dxa"/>
            <w:shd w:val="clear" w:color="auto" w:fill="auto"/>
            <w:noWrap/>
            <w:vAlign w:val="bottom"/>
            <w:hideMark/>
          </w:tcPr>
          <w:p w14:paraId="6767CE7B" w14:textId="77777777" w:rsidR="00DE7981" w:rsidRPr="001F64CE" w:rsidRDefault="00DE7981" w:rsidP="003C0A88">
            <w:pPr>
              <w:keepNext/>
              <w:keepLines/>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7.13%</w:t>
            </w:r>
          </w:p>
        </w:tc>
      </w:tr>
      <w:tr w:rsidR="00DE7981" w:rsidRPr="001F64CE" w14:paraId="31F7C9EF" w14:textId="77777777" w:rsidTr="002F1F01">
        <w:trPr>
          <w:trHeight w:val="288"/>
          <w:jc w:val="center"/>
        </w:trPr>
        <w:tc>
          <w:tcPr>
            <w:tcW w:w="4016" w:type="dxa"/>
            <w:shd w:val="clear" w:color="auto" w:fill="auto"/>
            <w:noWrap/>
            <w:vAlign w:val="bottom"/>
            <w:hideMark/>
          </w:tcPr>
          <w:p w14:paraId="21DB744D" w14:textId="77777777" w:rsidR="00DE7981" w:rsidRPr="001F64CE" w:rsidRDefault="00DE7981" w:rsidP="003C0A88">
            <w:pPr>
              <w:keepNext/>
              <w:keepLines/>
              <w:rPr>
                <w:rFonts w:ascii="Arial" w:hAnsi="Arial" w:cs="Arial"/>
                <w:color w:val="000000"/>
                <w:sz w:val="18"/>
                <w:szCs w:val="18"/>
                <w:lang w:val="en-GB" w:eastAsia="en-IN"/>
              </w:rPr>
            </w:pPr>
            <w:r w:rsidRPr="001F64CE">
              <w:rPr>
                <w:rFonts w:ascii="Arial" w:hAnsi="Arial" w:cs="Arial"/>
                <w:color w:val="000000"/>
                <w:sz w:val="18"/>
                <w:szCs w:val="18"/>
                <w:lang w:val="en-GB" w:eastAsia="en-IN"/>
              </w:rPr>
              <w:t>Beta of MSIL</w:t>
            </w:r>
          </w:p>
        </w:tc>
        <w:tc>
          <w:tcPr>
            <w:tcW w:w="1096" w:type="dxa"/>
            <w:shd w:val="clear" w:color="auto" w:fill="auto"/>
            <w:noWrap/>
            <w:vAlign w:val="bottom"/>
            <w:hideMark/>
          </w:tcPr>
          <w:p w14:paraId="7B0961BF" w14:textId="77777777" w:rsidR="00DE7981" w:rsidRPr="001F64CE" w:rsidRDefault="00DE7981" w:rsidP="003C0A88">
            <w:pPr>
              <w:keepNext/>
              <w:keepLines/>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1.05</w:t>
            </w:r>
          </w:p>
        </w:tc>
      </w:tr>
      <w:tr w:rsidR="00DE7981" w:rsidRPr="001F64CE" w14:paraId="002253D9" w14:textId="77777777" w:rsidTr="002F1F01">
        <w:trPr>
          <w:trHeight w:val="288"/>
          <w:jc w:val="center"/>
        </w:trPr>
        <w:tc>
          <w:tcPr>
            <w:tcW w:w="4016" w:type="dxa"/>
            <w:shd w:val="clear" w:color="auto" w:fill="auto"/>
            <w:noWrap/>
            <w:vAlign w:val="bottom"/>
            <w:hideMark/>
          </w:tcPr>
          <w:p w14:paraId="0A0A9EE2" w14:textId="1F89F41A" w:rsidR="00DE7981" w:rsidRPr="001F64CE" w:rsidRDefault="00DE7981" w:rsidP="003C0A88">
            <w:pPr>
              <w:keepNext/>
              <w:keepLines/>
              <w:rPr>
                <w:rFonts w:ascii="Arial" w:hAnsi="Arial" w:cs="Arial"/>
                <w:color w:val="000000"/>
                <w:sz w:val="18"/>
                <w:szCs w:val="18"/>
                <w:lang w:val="en-GB" w:eastAsia="en-IN"/>
              </w:rPr>
            </w:pPr>
            <w:r w:rsidRPr="001F64CE">
              <w:rPr>
                <w:rFonts w:ascii="Arial" w:hAnsi="Arial" w:cs="Arial"/>
                <w:color w:val="000000"/>
                <w:sz w:val="18"/>
                <w:szCs w:val="18"/>
                <w:lang w:val="en-GB" w:eastAsia="en-IN"/>
              </w:rPr>
              <w:t>Long-</w:t>
            </w:r>
            <w:r w:rsidR="00780C73" w:rsidRPr="001F64CE">
              <w:rPr>
                <w:rFonts w:ascii="Arial" w:hAnsi="Arial" w:cs="Arial"/>
                <w:color w:val="000000"/>
                <w:sz w:val="18"/>
                <w:szCs w:val="18"/>
                <w:lang w:val="en-GB" w:eastAsia="en-IN"/>
              </w:rPr>
              <w:t xml:space="preserve">Term </w:t>
            </w:r>
            <w:r w:rsidRPr="001F64CE">
              <w:rPr>
                <w:rFonts w:ascii="Arial" w:hAnsi="Arial" w:cs="Arial"/>
                <w:color w:val="000000"/>
                <w:sz w:val="18"/>
                <w:szCs w:val="18"/>
                <w:lang w:val="en-GB" w:eastAsia="en-IN"/>
              </w:rPr>
              <w:t>Growth Rate for MSIL</w:t>
            </w:r>
          </w:p>
        </w:tc>
        <w:tc>
          <w:tcPr>
            <w:tcW w:w="1096" w:type="dxa"/>
            <w:shd w:val="clear" w:color="auto" w:fill="auto"/>
            <w:noWrap/>
            <w:vAlign w:val="bottom"/>
            <w:hideMark/>
          </w:tcPr>
          <w:p w14:paraId="547DFB66" w14:textId="77777777" w:rsidR="00DE7981" w:rsidRPr="001F64CE" w:rsidRDefault="00DE7981" w:rsidP="003C0A88">
            <w:pPr>
              <w:keepNext/>
              <w:keepLines/>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24.65%</w:t>
            </w:r>
          </w:p>
        </w:tc>
      </w:tr>
      <w:tr w:rsidR="00DE7981" w:rsidRPr="001F64CE" w14:paraId="3852F0BB" w14:textId="77777777" w:rsidTr="002F1F01">
        <w:trPr>
          <w:trHeight w:val="288"/>
          <w:jc w:val="center"/>
        </w:trPr>
        <w:tc>
          <w:tcPr>
            <w:tcW w:w="4016" w:type="dxa"/>
            <w:shd w:val="clear" w:color="auto" w:fill="auto"/>
            <w:noWrap/>
            <w:vAlign w:val="bottom"/>
            <w:hideMark/>
          </w:tcPr>
          <w:p w14:paraId="3FF74C80" w14:textId="77777777" w:rsidR="00DE7981" w:rsidRPr="001F64CE" w:rsidRDefault="00DE7981" w:rsidP="003C0A88">
            <w:pPr>
              <w:keepNext/>
              <w:keepLines/>
              <w:rPr>
                <w:rFonts w:ascii="Arial" w:hAnsi="Arial" w:cs="Arial"/>
                <w:color w:val="000000"/>
                <w:sz w:val="18"/>
                <w:szCs w:val="18"/>
                <w:lang w:val="en-GB" w:eastAsia="en-IN"/>
              </w:rPr>
            </w:pPr>
            <w:r w:rsidRPr="001F64CE">
              <w:rPr>
                <w:rFonts w:ascii="Arial" w:hAnsi="Arial" w:cs="Arial"/>
                <w:color w:val="000000"/>
                <w:sz w:val="18"/>
                <w:szCs w:val="18"/>
                <w:lang w:val="en-GB" w:eastAsia="en-IN"/>
              </w:rPr>
              <w:t>Credit Rating</w:t>
            </w:r>
          </w:p>
        </w:tc>
        <w:tc>
          <w:tcPr>
            <w:tcW w:w="1096" w:type="dxa"/>
            <w:shd w:val="clear" w:color="auto" w:fill="auto"/>
            <w:noWrap/>
            <w:vAlign w:val="bottom"/>
            <w:hideMark/>
          </w:tcPr>
          <w:p w14:paraId="0D3EABD6" w14:textId="77777777" w:rsidR="00DE7981" w:rsidRPr="001F64CE" w:rsidRDefault="00DE7981" w:rsidP="003C4D8C">
            <w:pPr>
              <w:keepNext/>
              <w:keepLines/>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AAA</w:t>
            </w:r>
          </w:p>
        </w:tc>
      </w:tr>
      <w:tr w:rsidR="00DE7981" w:rsidRPr="001F64CE" w14:paraId="1307C28F" w14:textId="77777777" w:rsidTr="002F1F01">
        <w:trPr>
          <w:trHeight w:val="288"/>
          <w:jc w:val="center"/>
        </w:trPr>
        <w:tc>
          <w:tcPr>
            <w:tcW w:w="4016" w:type="dxa"/>
            <w:shd w:val="clear" w:color="auto" w:fill="auto"/>
            <w:noWrap/>
            <w:vAlign w:val="bottom"/>
            <w:hideMark/>
          </w:tcPr>
          <w:p w14:paraId="60EA146B" w14:textId="77777777" w:rsidR="00DE7981" w:rsidRPr="001F64CE" w:rsidRDefault="00DE7981" w:rsidP="003C0A88">
            <w:pPr>
              <w:keepNext/>
              <w:keepLines/>
              <w:rPr>
                <w:rFonts w:ascii="Arial" w:hAnsi="Arial" w:cs="Arial"/>
                <w:color w:val="000000"/>
                <w:sz w:val="18"/>
                <w:szCs w:val="18"/>
                <w:lang w:val="en-GB" w:eastAsia="en-IN"/>
              </w:rPr>
            </w:pPr>
            <w:r w:rsidRPr="001F64CE">
              <w:rPr>
                <w:rFonts w:ascii="Arial" w:hAnsi="Arial" w:cs="Arial"/>
                <w:color w:val="000000"/>
                <w:sz w:val="18"/>
                <w:szCs w:val="18"/>
                <w:lang w:val="en-GB" w:eastAsia="en-IN"/>
              </w:rPr>
              <w:t>Credit Spread for AAA Bond</w:t>
            </w:r>
          </w:p>
        </w:tc>
        <w:tc>
          <w:tcPr>
            <w:tcW w:w="1096" w:type="dxa"/>
            <w:shd w:val="clear" w:color="auto" w:fill="auto"/>
            <w:noWrap/>
            <w:vAlign w:val="bottom"/>
            <w:hideMark/>
          </w:tcPr>
          <w:p w14:paraId="0F1E2896" w14:textId="77777777" w:rsidR="00DE7981" w:rsidRPr="001F64CE" w:rsidRDefault="00DE7981" w:rsidP="003C0A88">
            <w:pPr>
              <w:keepNext/>
              <w:keepLines/>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0.43%</w:t>
            </w:r>
          </w:p>
        </w:tc>
      </w:tr>
      <w:tr w:rsidR="00DE7981" w:rsidRPr="001F64CE" w14:paraId="00FA2B83" w14:textId="77777777" w:rsidTr="002F1F01">
        <w:trPr>
          <w:trHeight w:val="288"/>
          <w:jc w:val="center"/>
        </w:trPr>
        <w:tc>
          <w:tcPr>
            <w:tcW w:w="4016" w:type="dxa"/>
            <w:shd w:val="clear" w:color="auto" w:fill="auto"/>
            <w:noWrap/>
            <w:vAlign w:val="bottom"/>
            <w:hideMark/>
          </w:tcPr>
          <w:p w14:paraId="2BBFA70A" w14:textId="77777777" w:rsidR="00DE7981" w:rsidRPr="001F64CE" w:rsidRDefault="00DE7981" w:rsidP="003C0A88">
            <w:pPr>
              <w:keepNext/>
              <w:keepLines/>
              <w:jc w:val="center"/>
              <w:rPr>
                <w:rFonts w:ascii="Arial" w:hAnsi="Arial" w:cs="Arial"/>
                <w:b/>
                <w:bCs/>
                <w:color w:val="000000"/>
                <w:sz w:val="18"/>
                <w:szCs w:val="18"/>
                <w:lang w:val="en-GB" w:eastAsia="en-IN"/>
              </w:rPr>
            </w:pPr>
            <w:r w:rsidRPr="001F64CE">
              <w:rPr>
                <w:rFonts w:ascii="Arial" w:hAnsi="Arial" w:cs="Arial"/>
                <w:b/>
                <w:bCs/>
                <w:color w:val="000000"/>
                <w:sz w:val="18"/>
                <w:szCs w:val="18"/>
                <w:lang w:val="en-GB" w:eastAsia="en-IN"/>
              </w:rPr>
              <w:t>Volume Growth Rates for MSIL</w:t>
            </w:r>
          </w:p>
        </w:tc>
        <w:tc>
          <w:tcPr>
            <w:tcW w:w="1096" w:type="dxa"/>
            <w:shd w:val="clear" w:color="auto" w:fill="auto"/>
            <w:noWrap/>
            <w:vAlign w:val="bottom"/>
            <w:hideMark/>
          </w:tcPr>
          <w:p w14:paraId="72780239" w14:textId="77777777" w:rsidR="00DE7981" w:rsidRPr="001F64CE" w:rsidRDefault="00DE7981" w:rsidP="003C0A88">
            <w:pPr>
              <w:keepNext/>
              <w:keepLines/>
              <w:jc w:val="center"/>
              <w:rPr>
                <w:rFonts w:ascii="Arial" w:hAnsi="Arial" w:cs="Arial"/>
                <w:b/>
                <w:bCs/>
                <w:color w:val="000000"/>
                <w:sz w:val="18"/>
                <w:szCs w:val="18"/>
                <w:lang w:val="en-GB" w:eastAsia="en-IN"/>
              </w:rPr>
            </w:pPr>
          </w:p>
        </w:tc>
      </w:tr>
      <w:tr w:rsidR="00DE7981" w:rsidRPr="001F64CE" w14:paraId="3AE372EA" w14:textId="77777777" w:rsidTr="002F1F01">
        <w:trPr>
          <w:trHeight w:val="288"/>
          <w:jc w:val="center"/>
        </w:trPr>
        <w:tc>
          <w:tcPr>
            <w:tcW w:w="4016" w:type="dxa"/>
            <w:shd w:val="clear" w:color="auto" w:fill="auto"/>
            <w:noWrap/>
            <w:vAlign w:val="bottom"/>
            <w:hideMark/>
          </w:tcPr>
          <w:p w14:paraId="1863FC29" w14:textId="77777777" w:rsidR="00DE7981" w:rsidRPr="001F64CE" w:rsidRDefault="00DE7981" w:rsidP="003C0A88">
            <w:pPr>
              <w:keepNext/>
              <w:keepLines/>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2015</w:t>
            </w:r>
          </w:p>
        </w:tc>
        <w:tc>
          <w:tcPr>
            <w:tcW w:w="1096" w:type="dxa"/>
            <w:shd w:val="clear" w:color="auto" w:fill="auto"/>
            <w:noWrap/>
            <w:vAlign w:val="bottom"/>
            <w:hideMark/>
          </w:tcPr>
          <w:p w14:paraId="4ECD73E2" w14:textId="03D0F310" w:rsidR="00DE7981" w:rsidRPr="001F64CE" w:rsidRDefault="00DE7981" w:rsidP="003C0A88">
            <w:pPr>
              <w:keepNext/>
              <w:keepLines/>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1</w:t>
            </w:r>
            <w:r w:rsidR="00780C73" w:rsidRPr="001F64CE">
              <w:rPr>
                <w:rFonts w:ascii="Arial" w:hAnsi="Arial" w:cs="Arial"/>
                <w:color w:val="000000"/>
                <w:sz w:val="18"/>
                <w:szCs w:val="18"/>
                <w:lang w:val="en-GB" w:eastAsia="en-IN"/>
              </w:rPr>
              <w:t>.00</w:t>
            </w:r>
            <w:r w:rsidRPr="001F64CE">
              <w:rPr>
                <w:rFonts w:ascii="Arial" w:hAnsi="Arial" w:cs="Arial"/>
                <w:color w:val="000000"/>
                <w:sz w:val="18"/>
                <w:szCs w:val="18"/>
                <w:lang w:val="en-GB" w:eastAsia="en-IN"/>
              </w:rPr>
              <w:t>%</w:t>
            </w:r>
          </w:p>
        </w:tc>
      </w:tr>
      <w:tr w:rsidR="00DE7981" w:rsidRPr="001F64CE" w14:paraId="0A38EAB6" w14:textId="77777777" w:rsidTr="002F1F01">
        <w:trPr>
          <w:trHeight w:val="288"/>
          <w:jc w:val="center"/>
        </w:trPr>
        <w:tc>
          <w:tcPr>
            <w:tcW w:w="4016" w:type="dxa"/>
            <w:shd w:val="clear" w:color="auto" w:fill="auto"/>
            <w:noWrap/>
            <w:vAlign w:val="bottom"/>
            <w:hideMark/>
          </w:tcPr>
          <w:p w14:paraId="42BC5A04" w14:textId="77777777" w:rsidR="00DE7981" w:rsidRPr="001F64CE" w:rsidRDefault="00DE7981" w:rsidP="003C0A88">
            <w:pPr>
              <w:keepNext/>
              <w:keepLines/>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2016</w:t>
            </w:r>
          </w:p>
        </w:tc>
        <w:tc>
          <w:tcPr>
            <w:tcW w:w="1096" w:type="dxa"/>
            <w:shd w:val="clear" w:color="auto" w:fill="auto"/>
            <w:noWrap/>
            <w:vAlign w:val="bottom"/>
            <w:hideMark/>
          </w:tcPr>
          <w:p w14:paraId="4ED63194" w14:textId="02095DF8" w:rsidR="00DE7981" w:rsidRPr="001F64CE" w:rsidRDefault="00DE7981" w:rsidP="003C0A88">
            <w:pPr>
              <w:keepNext/>
              <w:keepLines/>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6</w:t>
            </w:r>
            <w:r w:rsidR="00780C73" w:rsidRPr="001F64CE">
              <w:rPr>
                <w:rFonts w:ascii="Arial" w:hAnsi="Arial" w:cs="Arial"/>
                <w:color w:val="000000"/>
                <w:sz w:val="18"/>
                <w:szCs w:val="18"/>
                <w:lang w:val="en-GB" w:eastAsia="en-IN"/>
              </w:rPr>
              <w:t>.00</w:t>
            </w:r>
            <w:r w:rsidRPr="001F64CE">
              <w:rPr>
                <w:rFonts w:ascii="Arial" w:hAnsi="Arial" w:cs="Arial"/>
                <w:color w:val="000000"/>
                <w:sz w:val="18"/>
                <w:szCs w:val="18"/>
                <w:lang w:val="en-GB" w:eastAsia="en-IN"/>
              </w:rPr>
              <w:t>%</w:t>
            </w:r>
          </w:p>
        </w:tc>
      </w:tr>
      <w:tr w:rsidR="00DE7981" w:rsidRPr="001F64CE" w14:paraId="3C13E672" w14:textId="77777777" w:rsidTr="002F1F01">
        <w:trPr>
          <w:trHeight w:val="288"/>
          <w:jc w:val="center"/>
        </w:trPr>
        <w:tc>
          <w:tcPr>
            <w:tcW w:w="4016" w:type="dxa"/>
            <w:shd w:val="clear" w:color="auto" w:fill="auto"/>
            <w:noWrap/>
            <w:vAlign w:val="bottom"/>
            <w:hideMark/>
          </w:tcPr>
          <w:p w14:paraId="449109D4" w14:textId="0A6648EA" w:rsidR="00DE7981" w:rsidRPr="001F64CE" w:rsidRDefault="00DE7981" w:rsidP="003C0A88">
            <w:pPr>
              <w:keepNext/>
              <w:keepLines/>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Afterward</w:t>
            </w:r>
          </w:p>
        </w:tc>
        <w:tc>
          <w:tcPr>
            <w:tcW w:w="1096" w:type="dxa"/>
            <w:shd w:val="clear" w:color="auto" w:fill="auto"/>
            <w:noWrap/>
            <w:vAlign w:val="bottom"/>
            <w:hideMark/>
          </w:tcPr>
          <w:p w14:paraId="0B32EF52" w14:textId="3C66AC90" w:rsidR="00DE7981" w:rsidRPr="001F64CE" w:rsidRDefault="00DE7981" w:rsidP="003C0A88">
            <w:pPr>
              <w:keepNext/>
              <w:keepLines/>
              <w:jc w:val="right"/>
              <w:rPr>
                <w:rFonts w:ascii="Arial" w:hAnsi="Arial" w:cs="Arial"/>
                <w:color w:val="000000"/>
                <w:sz w:val="18"/>
                <w:szCs w:val="18"/>
                <w:lang w:val="en-GB" w:eastAsia="en-IN"/>
              </w:rPr>
            </w:pPr>
            <w:r w:rsidRPr="001F64CE">
              <w:rPr>
                <w:rFonts w:ascii="Arial" w:hAnsi="Arial" w:cs="Arial"/>
                <w:color w:val="000000"/>
                <w:sz w:val="18"/>
                <w:szCs w:val="18"/>
                <w:lang w:val="en-GB" w:eastAsia="en-IN"/>
              </w:rPr>
              <w:t>12</w:t>
            </w:r>
            <w:r w:rsidR="00780C73" w:rsidRPr="001F64CE">
              <w:rPr>
                <w:rFonts w:ascii="Arial" w:hAnsi="Arial" w:cs="Arial"/>
                <w:color w:val="000000"/>
                <w:sz w:val="18"/>
                <w:szCs w:val="18"/>
                <w:lang w:val="en-GB" w:eastAsia="en-IN"/>
              </w:rPr>
              <w:t>.00</w:t>
            </w:r>
            <w:r w:rsidRPr="001F64CE">
              <w:rPr>
                <w:rFonts w:ascii="Arial" w:hAnsi="Arial" w:cs="Arial"/>
                <w:color w:val="000000"/>
                <w:sz w:val="18"/>
                <w:szCs w:val="18"/>
                <w:lang w:val="en-GB" w:eastAsia="en-IN"/>
              </w:rPr>
              <w:t>%</w:t>
            </w:r>
          </w:p>
        </w:tc>
      </w:tr>
    </w:tbl>
    <w:p w14:paraId="627C6C18" w14:textId="77777777" w:rsidR="00DE7981" w:rsidRPr="001F64CE" w:rsidRDefault="00DE7981" w:rsidP="003C0A88">
      <w:pPr>
        <w:pStyle w:val="Footnote"/>
        <w:keepNext/>
        <w:keepLines/>
        <w:rPr>
          <w:rFonts w:eastAsia="Batang"/>
          <w:lang w:val="en-GB"/>
        </w:rPr>
      </w:pPr>
    </w:p>
    <w:p w14:paraId="258E28F3" w14:textId="38181542" w:rsidR="00DE7981" w:rsidRPr="001F64CE" w:rsidRDefault="00DE7981" w:rsidP="003C0A88">
      <w:pPr>
        <w:pStyle w:val="Footnote"/>
        <w:keepNext/>
        <w:keepLines/>
        <w:rPr>
          <w:sz w:val="22"/>
          <w:szCs w:val="22"/>
          <w:lang w:val="en-GB"/>
        </w:rPr>
      </w:pPr>
      <w:r w:rsidRPr="001F64CE">
        <w:rPr>
          <w:rFonts w:eastAsia="Batang"/>
          <w:lang w:val="en-GB"/>
        </w:rPr>
        <w:t xml:space="preserve">Source: </w:t>
      </w:r>
      <w:r w:rsidR="000A0588">
        <w:rPr>
          <w:rFonts w:eastAsia="Batang"/>
          <w:lang w:val="en-GB"/>
        </w:rPr>
        <w:t xml:space="preserve">Case authors; </w:t>
      </w:r>
      <w:r w:rsidR="00D51C58">
        <w:rPr>
          <w:rFonts w:eastAsia="Batang"/>
          <w:lang w:val="en-GB"/>
        </w:rPr>
        <w:t>“Archives of Daily/Monthly Reports (Debt)</w:t>
      </w:r>
      <w:r w:rsidR="00610028">
        <w:rPr>
          <w:rFonts w:eastAsia="Batang"/>
          <w:lang w:val="en-GB"/>
        </w:rPr>
        <w:t>,</w:t>
      </w:r>
      <w:r w:rsidR="00D51C58">
        <w:rPr>
          <w:rFonts w:eastAsia="Batang"/>
          <w:lang w:val="en-GB"/>
        </w:rPr>
        <w:t>” N</w:t>
      </w:r>
      <w:r w:rsidR="00610028">
        <w:rPr>
          <w:rFonts w:eastAsia="Batang"/>
          <w:lang w:val="en-GB"/>
        </w:rPr>
        <w:t>ational Stock Exchange of India,</w:t>
      </w:r>
      <w:r w:rsidR="00F011E2">
        <w:rPr>
          <w:rFonts w:eastAsia="Batang"/>
          <w:lang w:val="en-GB"/>
        </w:rPr>
        <w:t xml:space="preserve"> accessed July 14, 2014,</w:t>
      </w:r>
      <w:r w:rsidR="00D51C58">
        <w:rPr>
          <w:rFonts w:eastAsia="Batang"/>
          <w:lang w:val="en-GB"/>
        </w:rPr>
        <w:t xml:space="preserve"> </w:t>
      </w:r>
      <w:hyperlink r:id="rId20" w:history="1">
        <w:r w:rsidR="00D51C58" w:rsidRPr="00B37BC5">
          <w:rPr>
            <w:rFonts w:eastAsia="Batang"/>
          </w:rPr>
          <w:t>https://nseindia.com/products/content/debt/wdm/archieve_debt.htm</w:t>
        </w:r>
      </w:hyperlink>
      <w:r w:rsidR="00610028">
        <w:rPr>
          <w:rFonts w:eastAsia="Batang"/>
        </w:rPr>
        <w:t xml:space="preserve">; </w:t>
      </w:r>
      <w:r w:rsidR="000A0588">
        <w:t>“Maruti Suzuki Limited,”</w:t>
      </w:r>
      <w:r w:rsidRPr="001F64CE">
        <w:rPr>
          <w:lang w:val="en-GB"/>
        </w:rPr>
        <w:t xml:space="preserve"> Capital</w:t>
      </w:r>
      <w:r w:rsidR="00F176E0" w:rsidRPr="001F64CE">
        <w:rPr>
          <w:lang w:val="en-GB"/>
        </w:rPr>
        <w:t>i</w:t>
      </w:r>
      <w:r w:rsidRPr="001F64CE">
        <w:rPr>
          <w:lang w:val="en-GB"/>
        </w:rPr>
        <w:t>ne Database</w:t>
      </w:r>
      <w:r w:rsidR="00F176E0" w:rsidRPr="001F64CE">
        <w:rPr>
          <w:lang w:val="en-GB"/>
        </w:rPr>
        <w:t>,</w:t>
      </w:r>
      <w:r w:rsidRPr="001F64CE">
        <w:rPr>
          <w:lang w:val="en-GB"/>
        </w:rPr>
        <w:t xml:space="preserve"> </w:t>
      </w:r>
      <w:r w:rsidR="006F5181">
        <w:rPr>
          <w:lang w:val="en-GB"/>
        </w:rPr>
        <w:t>accessed July 14, 2</w:t>
      </w:r>
      <w:r w:rsidR="00F011E2">
        <w:rPr>
          <w:lang w:val="en-GB"/>
        </w:rPr>
        <w:t xml:space="preserve">014, </w:t>
      </w:r>
      <w:hyperlink r:id="rId21" w:history="1">
        <w:r w:rsidRPr="001F64CE">
          <w:rPr>
            <w:lang w:val="en-GB"/>
          </w:rPr>
          <w:t>www.capitaline.com</w:t>
        </w:r>
      </w:hyperlink>
      <w:r w:rsidR="00610028">
        <w:rPr>
          <w:lang w:val="en-GB"/>
        </w:rPr>
        <w:t xml:space="preserve">; </w:t>
      </w:r>
      <w:r w:rsidR="00B24E5D">
        <w:rPr>
          <w:lang w:val="en-GB"/>
        </w:rPr>
        <w:t>“Maruti Suzuki India Limited: Consensus Estimates Analysis</w:t>
      </w:r>
      <w:r w:rsidR="00610028">
        <w:rPr>
          <w:lang w:val="en-GB"/>
        </w:rPr>
        <w:t>,</w:t>
      </w:r>
      <w:r w:rsidR="00B24E5D">
        <w:rPr>
          <w:lang w:val="en-GB"/>
        </w:rPr>
        <w:t>” Reuters</w:t>
      </w:r>
      <w:r w:rsidR="00610028">
        <w:rPr>
          <w:lang w:val="en-GB"/>
        </w:rPr>
        <w:t xml:space="preserve"> India</w:t>
      </w:r>
      <w:r w:rsidR="00B24E5D">
        <w:rPr>
          <w:lang w:val="en-GB"/>
        </w:rPr>
        <w:t xml:space="preserve">, </w:t>
      </w:r>
      <w:r w:rsidR="00F011E2">
        <w:rPr>
          <w:lang w:val="en-GB"/>
        </w:rPr>
        <w:t xml:space="preserve">accessed July 14, 1014, </w:t>
      </w:r>
      <w:hyperlink r:id="rId22" w:history="1">
        <w:r w:rsidRPr="001F64CE">
          <w:rPr>
            <w:lang w:val="en-GB"/>
          </w:rPr>
          <w:t>http://in.reuters.com/finance/stocks/analyst?symbol=MRTI.NS</w:t>
        </w:r>
      </w:hyperlink>
      <w:r w:rsidR="00F011E2">
        <w:rPr>
          <w:lang w:val="en-GB"/>
        </w:rPr>
        <w:t xml:space="preserve">. </w:t>
      </w:r>
      <w:r w:rsidRPr="001F64CE">
        <w:rPr>
          <w:lang w:val="en-GB"/>
        </w:rPr>
        <w:t xml:space="preserve"> </w:t>
      </w:r>
      <w:r w:rsidRPr="001F64CE">
        <w:rPr>
          <w:lang w:val="en-GB"/>
        </w:rPr>
        <w:br w:type="page"/>
      </w:r>
    </w:p>
    <w:p w14:paraId="59C5B76F" w14:textId="77777777" w:rsidR="00DE7981" w:rsidRPr="001F64CE" w:rsidRDefault="00DE7981" w:rsidP="003C0A88">
      <w:pPr>
        <w:pStyle w:val="Casehead1"/>
        <w:rPr>
          <w:lang w:val="en-GB"/>
        </w:rPr>
      </w:pPr>
      <w:r w:rsidRPr="001F64CE">
        <w:rPr>
          <w:lang w:val="en-GB"/>
        </w:rPr>
        <w:lastRenderedPageBreak/>
        <w:t>endnotes</w:t>
      </w:r>
    </w:p>
    <w:sectPr w:rsidR="00DE7981" w:rsidRPr="001F64CE" w:rsidSect="00EB5410">
      <w:headerReference w:type="default" r:id="rId23"/>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3F61BB" w14:textId="77777777" w:rsidR="00014C38" w:rsidRDefault="00014C38" w:rsidP="00D75295">
      <w:r>
        <w:separator/>
      </w:r>
    </w:p>
  </w:endnote>
  <w:endnote w:type="continuationSeparator" w:id="0">
    <w:p w14:paraId="5838D837" w14:textId="77777777" w:rsidR="00014C38" w:rsidRDefault="00014C38" w:rsidP="00D75295">
      <w:r>
        <w:continuationSeparator/>
      </w:r>
    </w:p>
  </w:endnote>
  <w:endnote w:id="1">
    <w:p w14:paraId="38A3659F" w14:textId="0FDE4122" w:rsidR="00A47140" w:rsidRPr="00A47140" w:rsidRDefault="00A47140" w:rsidP="00A47140">
      <w:pPr>
        <w:pStyle w:val="Footnote"/>
        <w:rPr>
          <w:lang w:val="en-GB"/>
        </w:rPr>
      </w:pPr>
      <w:r>
        <w:rPr>
          <w:rStyle w:val="EndnoteReference"/>
        </w:rPr>
        <w:endnoteRef/>
      </w:r>
      <w:r>
        <w:t xml:space="preserve"> </w:t>
      </w:r>
      <w:r>
        <w:t>This case is the first prize winner in the overall category of the ISB-Ivey Global Case Competition 2016. The prize has been sponsored by Indian School of Business</w:t>
      </w:r>
      <w:r>
        <w:t>.</w:t>
      </w:r>
      <w:bookmarkStart w:id="0" w:name="_GoBack"/>
      <w:bookmarkEnd w:id="0"/>
    </w:p>
  </w:endnote>
  <w:endnote w:id="2">
    <w:p w14:paraId="616F5F44" w14:textId="654D36AB" w:rsidR="00014C38" w:rsidRPr="00B848C2" w:rsidRDefault="00014C38" w:rsidP="00422F81">
      <w:pPr>
        <w:pStyle w:val="Footnote"/>
      </w:pPr>
      <w:r w:rsidRPr="00B848C2">
        <w:rPr>
          <w:rStyle w:val="EndnoteReference"/>
          <w:iCs/>
        </w:rPr>
        <w:endnoteRef/>
      </w:r>
      <w:r w:rsidRPr="00B848C2">
        <w:rPr>
          <w:iCs/>
        </w:rPr>
        <w:t xml:space="preserve"> </w:t>
      </w:r>
      <w:r w:rsidRPr="00B848C2">
        <w:rPr>
          <w:shd w:val="clear" w:color="auto" w:fill="FFFFFF"/>
          <w:lang w:val="en-GB"/>
        </w:rPr>
        <w:t xml:space="preserve">₹ = INR = </w:t>
      </w:r>
      <w:r w:rsidRPr="00B848C2">
        <w:rPr>
          <w:iCs/>
          <w:lang w:val="en-IN"/>
        </w:rPr>
        <w:t>Indian rupee;</w:t>
      </w:r>
      <w:r w:rsidRPr="00B848C2">
        <w:rPr>
          <w:shd w:val="clear" w:color="auto" w:fill="FFFFFF"/>
          <w:lang w:val="en-GB"/>
        </w:rPr>
        <w:t xml:space="preserve"> </w:t>
      </w:r>
      <w:r w:rsidRPr="00B848C2">
        <w:t>₹</w:t>
      </w:r>
      <w:r>
        <w:t>1 = US$0.02</w:t>
      </w:r>
      <w:r w:rsidRPr="00B848C2">
        <w:t xml:space="preserve"> on January 28, 2014; all currency amounts are in ₹ unless otherwise specified. </w:t>
      </w:r>
    </w:p>
  </w:endnote>
  <w:endnote w:id="3">
    <w:p w14:paraId="08A6A90B" w14:textId="2C028C88" w:rsidR="00014C38" w:rsidRPr="00B848C2" w:rsidRDefault="00014C38" w:rsidP="00422F81">
      <w:pPr>
        <w:pStyle w:val="Footnote"/>
        <w:rPr>
          <w:iCs/>
        </w:rPr>
      </w:pPr>
      <w:r w:rsidRPr="00B848C2">
        <w:rPr>
          <w:rStyle w:val="EndnoteReference"/>
        </w:rPr>
        <w:endnoteRef/>
      </w:r>
      <w:r w:rsidRPr="00B848C2">
        <w:t xml:space="preserve"> “Maruti Plant Stand-off: Will Minority Shareholders Matter?” Money Control, March 5, 2014, accessed July 11, 2014, </w:t>
      </w:r>
      <w:hyperlink r:id="rId1" w:history="1">
        <w:r w:rsidRPr="00B848C2">
          <w:rPr>
            <w:rStyle w:val="Hyperlink"/>
            <w:color w:val="auto"/>
            <w:u w:val="none"/>
          </w:rPr>
          <w:t>www.moneycontrol.com/news/business/maruti-plant-stand-off-will-minority-shareholders-matter_1050741.html?utm_source=MC_Mail_Stock_watch</w:t>
        </w:r>
      </w:hyperlink>
      <w:r w:rsidRPr="00B848C2">
        <w:t>.</w:t>
      </w:r>
    </w:p>
  </w:endnote>
  <w:endnote w:id="4">
    <w:p w14:paraId="034E0283" w14:textId="30E6C0DB" w:rsidR="00014C38" w:rsidRPr="00014C38" w:rsidRDefault="00014C38" w:rsidP="00014C38">
      <w:pPr>
        <w:pStyle w:val="Footnote"/>
      </w:pPr>
      <w:r>
        <w:rPr>
          <w:rStyle w:val="EndnoteReference"/>
        </w:rPr>
        <w:endnoteRef/>
      </w:r>
      <w:r>
        <w:t xml:space="preserve"> </w:t>
      </w:r>
      <w:r w:rsidRPr="00B848C2">
        <w:rPr>
          <w:shd w:val="clear" w:color="auto" w:fill="FFFFFF"/>
          <w:lang w:val="en-GB"/>
        </w:rPr>
        <w:t>₹</w:t>
      </w:r>
      <w:r>
        <w:rPr>
          <w:shd w:val="clear" w:color="auto" w:fill="FFFFFF"/>
          <w:lang w:val="en-GB"/>
        </w:rPr>
        <w:t xml:space="preserve">1 = CN¥0.10 on September 30, 2014. </w:t>
      </w:r>
    </w:p>
  </w:endnote>
  <w:endnote w:id="5">
    <w:p w14:paraId="7CAFCFB4" w14:textId="56DD8CF3" w:rsidR="00014C38" w:rsidRPr="00B848C2" w:rsidRDefault="00014C38" w:rsidP="00222C3C">
      <w:pPr>
        <w:pStyle w:val="Footnote"/>
        <w:rPr>
          <w:iCs/>
        </w:rPr>
      </w:pPr>
      <w:r w:rsidRPr="00B848C2">
        <w:rPr>
          <w:rStyle w:val="EndnoteReference"/>
          <w:i/>
          <w:iCs/>
        </w:rPr>
        <w:endnoteRef/>
      </w:r>
      <w:r w:rsidRPr="00B848C2">
        <w:rPr>
          <w:iCs/>
        </w:rPr>
        <w:t xml:space="preserve"> Dion Global Solutions Limited, </w:t>
      </w:r>
      <w:r w:rsidRPr="00B848C2">
        <w:rPr>
          <w:i/>
          <w:iCs/>
        </w:rPr>
        <w:t>Equity Research Report,</w:t>
      </w:r>
      <w:r w:rsidRPr="00B848C2">
        <w:rPr>
          <w:iCs/>
        </w:rPr>
        <w:t xml:space="preserve"> Bloomberg, accessed July 11, 2014.</w:t>
      </w:r>
    </w:p>
  </w:endnote>
  <w:endnote w:id="6">
    <w:p w14:paraId="7FC01BE1" w14:textId="78D5FD64" w:rsidR="00014C38" w:rsidRPr="00B848C2" w:rsidRDefault="00014C38" w:rsidP="00422F81">
      <w:pPr>
        <w:pStyle w:val="Footnote"/>
      </w:pPr>
      <w:r w:rsidRPr="00B848C2">
        <w:rPr>
          <w:rStyle w:val="EndnoteReference"/>
          <w:iCs/>
        </w:rPr>
        <w:endnoteRef/>
      </w:r>
      <w:r w:rsidRPr="00B848C2">
        <w:t xml:space="preserve"> ET Bureau, “Maruti Top Execs Meet Fund Houses,” </w:t>
      </w:r>
      <w:r w:rsidRPr="00B848C2">
        <w:rPr>
          <w:i/>
        </w:rPr>
        <w:t>Economic Times,</w:t>
      </w:r>
      <w:r w:rsidRPr="00B848C2">
        <w:t xml:space="preserve"> March 3, 2014, accessed July 13, 2014, http://economictimes.indiatimes.com/automobiles/maruti-suzuki-executives-meet-fund-houses-miffed-over-gujarat-plant/articleshow/31305168.cms.</w:t>
      </w:r>
    </w:p>
  </w:endnote>
  <w:endnote w:id="7">
    <w:p w14:paraId="07FA91BC" w14:textId="3F159381" w:rsidR="00014C38" w:rsidRPr="00B848C2" w:rsidRDefault="00014C38" w:rsidP="00422F81">
      <w:pPr>
        <w:pStyle w:val="Footnote"/>
      </w:pPr>
      <w:r w:rsidRPr="00B848C2">
        <w:rPr>
          <w:rStyle w:val="EndnoteReference"/>
        </w:rPr>
        <w:endnoteRef/>
      </w:r>
      <w:r w:rsidRPr="00B848C2">
        <w:t xml:space="preserve"> “Maruti-Investors Fight Reaches New Round but Co Unfazed,” Money Control, March 12, 2014, accessed July 11, 2014, </w:t>
      </w:r>
      <w:hyperlink r:id="rId2" w:history="1">
        <w:r w:rsidRPr="00B848C2">
          <w:rPr>
            <w:rStyle w:val="Hyperlink"/>
            <w:color w:val="auto"/>
            <w:u w:val="none"/>
          </w:rPr>
          <w:t>www.moneycontrol.com/news/business/maruti-investors-fight-reaches-new-roundco-unwary_1052901.html</w:t>
        </w:r>
      </w:hyperlink>
      <w:r w:rsidRPr="00B848C2">
        <w:t xml:space="preserve">. </w:t>
      </w:r>
    </w:p>
  </w:endnote>
  <w:endnote w:id="8">
    <w:p w14:paraId="32B58AAD" w14:textId="64487A11" w:rsidR="00014C38" w:rsidRPr="00B848C2" w:rsidRDefault="00014C38" w:rsidP="00222C3C">
      <w:pPr>
        <w:pStyle w:val="Footnote"/>
        <w:rPr>
          <w:iCs/>
        </w:rPr>
      </w:pPr>
      <w:r w:rsidRPr="00B848C2">
        <w:rPr>
          <w:rStyle w:val="EndnoteReference"/>
          <w:iCs/>
        </w:rPr>
        <w:endnoteRef/>
      </w:r>
      <w:r w:rsidRPr="00B848C2">
        <w:rPr>
          <w:iCs/>
        </w:rPr>
        <w:t xml:space="preserve"> EMIS and Bloomberg, </w:t>
      </w:r>
      <w:r w:rsidRPr="00B848C2">
        <w:rPr>
          <w:i/>
          <w:iCs/>
        </w:rPr>
        <w:t>Equity Research Reports</w:t>
      </w:r>
      <w:r w:rsidRPr="00B848C2">
        <w:rPr>
          <w:iCs/>
        </w:rPr>
        <w:t xml:space="preserve">, accessed July 11, 2014. </w:t>
      </w:r>
    </w:p>
  </w:endnote>
  <w:endnote w:id="9">
    <w:p w14:paraId="7995DD38" w14:textId="4B7FBA90" w:rsidR="00014C38" w:rsidRPr="00B848C2" w:rsidRDefault="00014C38" w:rsidP="00422F81">
      <w:pPr>
        <w:pStyle w:val="Footnote"/>
      </w:pPr>
      <w:r w:rsidRPr="00B848C2">
        <w:rPr>
          <w:rStyle w:val="EndnoteReference"/>
          <w:i/>
          <w:iCs/>
        </w:rPr>
        <w:endnoteRef/>
      </w:r>
      <w:r w:rsidRPr="00B848C2">
        <w:rPr>
          <w:iCs/>
        </w:rPr>
        <w:t xml:space="preserve"> “Fund Managers Keen on Big Returns, Not Corporate Governance,” Money Control, March 11, 2014, accessed July 11, 2014, </w:t>
      </w:r>
      <w:hyperlink r:id="rId3" w:history="1">
        <w:r w:rsidRPr="00B848C2">
          <w:rPr>
            <w:rStyle w:val="Hyperlink"/>
            <w:color w:val="auto"/>
            <w:u w:val="none"/>
          </w:rPr>
          <w:t>www.moneycontrol.com/news/market-edge/fund-managers-keenbig-returns-not-corporate-governance_1052156.html</w:t>
        </w:r>
      </w:hyperlink>
      <w:r w:rsidRPr="00B848C2">
        <w:t xml:space="preserve">. </w:t>
      </w:r>
    </w:p>
  </w:endnote>
  <w:endnote w:id="10">
    <w:p w14:paraId="0554AD66" w14:textId="395FAA82" w:rsidR="00014C38" w:rsidRPr="00B848C2" w:rsidRDefault="00014C38" w:rsidP="00B37BC5">
      <w:pPr>
        <w:pStyle w:val="Footnote"/>
        <w:jc w:val="left"/>
        <w:rPr>
          <w:iCs/>
        </w:rPr>
      </w:pPr>
      <w:r w:rsidRPr="00B848C2">
        <w:rPr>
          <w:rStyle w:val="EndnoteReference"/>
        </w:rPr>
        <w:endnoteRef/>
      </w:r>
      <w:r w:rsidRPr="00B848C2">
        <w:rPr>
          <w:vertAlign w:val="superscript"/>
        </w:rPr>
        <w:t xml:space="preserve"> “</w:t>
      </w:r>
      <w:r w:rsidRPr="00B848C2">
        <w:t xml:space="preserve">Maruti Suzuki India Limited: History,” NDTV Profit, accessed June 6, 2017, </w:t>
      </w:r>
      <w:hyperlink r:id="rId4" w:history="1">
        <w:r w:rsidRPr="00B848C2">
          <w:t>http://profit.ndtv.com/stock/maruti-suzuki-india-ltd_maruti/reports</w:t>
        </w:r>
      </w:hyperlink>
      <w:r w:rsidRPr="00B848C2">
        <w:t xml:space="preserve">. </w:t>
      </w:r>
    </w:p>
  </w:endnote>
  <w:endnote w:id="11">
    <w:p w14:paraId="1C8CE5DE" w14:textId="464F8A3C" w:rsidR="00014C38" w:rsidRPr="00B848C2" w:rsidRDefault="00014C38" w:rsidP="00222C3C">
      <w:pPr>
        <w:pStyle w:val="Footnote"/>
        <w:rPr>
          <w:iCs/>
        </w:rPr>
      </w:pPr>
      <w:r w:rsidRPr="00B848C2">
        <w:rPr>
          <w:rStyle w:val="EndnoteReference"/>
          <w:iCs/>
        </w:rPr>
        <w:endnoteRef/>
      </w:r>
      <w:r w:rsidRPr="00B848C2">
        <w:rPr>
          <w:iCs/>
        </w:rPr>
        <w:t xml:space="preserve"> “Maruti Suzuki Sales in December 2013,” Maruti Suzuki India Limited, accessed July 11, 2014, </w:t>
      </w:r>
      <w:hyperlink r:id="rId5" w:history="1">
        <w:r w:rsidRPr="00B848C2">
          <w:t>www.marutisuzuki.com/press-releases-jan2014.aspx</w:t>
        </w:r>
      </w:hyperlink>
      <w:r w:rsidRPr="00B848C2">
        <w:t>.</w:t>
      </w:r>
    </w:p>
  </w:endnote>
  <w:endnote w:id="12">
    <w:p w14:paraId="645B37E2" w14:textId="5B28F563" w:rsidR="00014C38" w:rsidRPr="00B848C2" w:rsidRDefault="00014C38" w:rsidP="00222C3C">
      <w:pPr>
        <w:pStyle w:val="Footnote"/>
        <w:rPr>
          <w:iCs/>
        </w:rPr>
      </w:pPr>
      <w:r w:rsidRPr="00B848C2">
        <w:rPr>
          <w:rStyle w:val="EndnoteReference"/>
          <w:iCs/>
        </w:rPr>
        <w:endnoteRef/>
      </w:r>
      <w:r w:rsidRPr="00B848C2">
        <w:rPr>
          <w:iCs/>
        </w:rPr>
        <w:t xml:space="preserve"> “Maruti Udyog Limited,” Department of Investment and Public Asset Management, May 14, 2002, </w:t>
      </w:r>
      <w:r w:rsidRPr="00B848C2">
        <w:t xml:space="preserve">accessed July 11, 2014, </w:t>
      </w:r>
      <w:hyperlink r:id="rId6" w:history="1">
        <w:r w:rsidRPr="00B848C2">
          <w:t>http://dipam.gov.in/maruti-udyog-ltd</w:t>
        </w:r>
      </w:hyperlink>
      <w:r w:rsidRPr="00B848C2">
        <w:t>.</w:t>
      </w:r>
      <w:r w:rsidRPr="00B848C2">
        <w:rPr>
          <w:iCs/>
        </w:rPr>
        <w:t xml:space="preserve"> </w:t>
      </w:r>
    </w:p>
  </w:endnote>
  <w:endnote w:id="13">
    <w:p w14:paraId="1A7BC8D2" w14:textId="784404F3" w:rsidR="00014C38" w:rsidRPr="00B848C2" w:rsidRDefault="00014C38" w:rsidP="00222C3C">
      <w:pPr>
        <w:pStyle w:val="Footnote"/>
        <w:rPr>
          <w:iCs/>
        </w:rPr>
      </w:pPr>
      <w:r w:rsidRPr="00B848C2">
        <w:rPr>
          <w:rStyle w:val="EndnoteReference"/>
          <w:iCs/>
        </w:rPr>
        <w:endnoteRef/>
      </w:r>
      <w:r w:rsidRPr="00B848C2">
        <w:rPr>
          <w:iCs/>
        </w:rPr>
        <w:t xml:space="preserve"> “Company at a Glance,” Maruti Suzuki India Limited, accessed July 11, 2014, </w:t>
      </w:r>
      <w:hyperlink r:id="rId7" w:history="1">
        <w:r w:rsidRPr="00B848C2">
          <w:t>www.marutisuzuki.com/company-profile.aspx</w:t>
        </w:r>
      </w:hyperlink>
      <w:r w:rsidRPr="00B848C2">
        <w:t>.</w:t>
      </w:r>
      <w:r w:rsidRPr="00B848C2">
        <w:rPr>
          <w:iCs/>
        </w:rPr>
        <w:t xml:space="preserve"> </w:t>
      </w:r>
    </w:p>
  </w:endnote>
  <w:endnote w:id="14">
    <w:p w14:paraId="19D3F376" w14:textId="6F3BA842" w:rsidR="00014C38" w:rsidRPr="00B848C2" w:rsidRDefault="00014C38" w:rsidP="00222C3C">
      <w:pPr>
        <w:pStyle w:val="Footnote"/>
        <w:rPr>
          <w:iCs/>
        </w:rPr>
      </w:pPr>
      <w:r w:rsidRPr="00B848C2">
        <w:rPr>
          <w:rStyle w:val="EndnoteReference"/>
          <w:iCs/>
        </w:rPr>
        <w:endnoteRef/>
      </w:r>
      <w:r w:rsidRPr="00B848C2">
        <w:rPr>
          <w:iCs/>
        </w:rPr>
        <w:t xml:space="preserve"> Nandini Sen Gupta, “Maruti Regains 50 Per Cent Market Share,” </w:t>
      </w:r>
      <w:r w:rsidRPr="00B848C2">
        <w:rPr>
          <w:i/>
          <w:iCs/>
        </w:rPr>
        <w:t>Times of India</w:t>
      </w:r>
      <w:r w:rsidRPr="00B848C2">
        <w:rPr>
          <w:iCs/>
        </w:rPr>
        <w:t>, March 24, 2014, accessed July 11, 2014, http://timesofindia.indiatimes.com/business/india-business/Maruti-regains-50-market-share/articleshow/32577532.cms.</w:t>
      </w:r>
    </w:p>
  </w:endnote>
  <w:endnote w:id="15">
    <w:p w14:paraId="732FC12B" w14:textId="46F304BB" w:rsidR="00014C38" w:rsidRPr="00B848C2" w:rsidRDefault="00014C38" w:rsidP="00222C3C">
      <w:pPr>
        <w:pStyle w:val="Footnote"/>
      </w:pPr>
      <w:r w:rsidRPr="00B848C2">
        <w:rPr>
          <w:rStyle w:val="EndnoteReference"/>
          <w:iCs/>
        </w:rPr>
        <w:endnoteRef/>
      </w:r>
      <w:r w:rsidR="003C4D8C">
        <w:rPr>
          <w:iCs/>
        </w:rPr>
        <w:t xml:space="preserve"> “Company at a G</w:t>
      </w:r>
      <w:r w:rsidRPr="00B848C2">
        <w:rPr>
          <w:iCs/>
        </w:rPr>
        <w:t>lance,” Maruti Suzuki, op. cit.</w:t>
      </w:r>
    </w:p>
  </w:endnote>
  <w:endnote w:id="16">
    <w:p w14:paraId="0A127D85" w14:textId="6E60807A" w:rsidR="00014C38" w:rsidRPr="00B848C2" w:rsidRDefault="00014C38" w:rsidP="00222C3C">
      <w:pPr>
        <w:pStyle w:val="Footnote"/>
        <w:rPr>
          <w:iCs/>
        </w:rPr>
      </w:pPr>
      <w:r w:rsidRPr="00B848C2">
        <w:rPr>
          <w:rStyle w:val="EndnoteReference"/>
          <w:iCs/>
        </w:rPr>
        <w:endnoteRef/>
      </w:r>
      <w:r w:rsidRPr="00B848C2">
        <w:rPr>
          <w:iCs/>
        </w:rPr>
        <w:t xml:space="preserve"> </w:t>
      </w:r>
      <w:r w:rsidRPr="00B848C2">
        <w:t>Ibid.</w:t>
      </w:r>
    </w:p>
  </w:endnote>
  <w:endnote w:id="17">
    <w:p w14:paraId="02660434" w14:textId="08254155" w:rsidR="00014C38" w:rsidRPr="00B848C2" w:rsidRDefault="00014C38" w:rsidP="00222C3C">
      <w:pPr>
        <w:pStyle w:val="Footnote"/>
      </w:pPr>
      <w:r w:rsidRPr="00B848C2">
        <w:rPr>
          <w:rStyle w:val="EndnoteReference"/>
          <w:iCs/>
        </w:rPr>
        <w:endnoteRef/>
      </w:r>
      <w:r w:rsidRPr="00B848C2">
        <w:rPr>
          <w:iCs/>
        </w:rPr>
        <w:t xml:space="preserve"> “2014: Production Statistics,” International Organization of Motor Vehicle Manufacturers, </w:t>
      </w:r>
      <w:r w:rsidRPr="00B848C2">
        <w:t>a</w:t>
      </w:r>
      <w:r w:rsidRPr="00B848C2">
        <w:rPr>
          <w:iCs/>
        </w:rPr>
        <w:t xml:space="preserve">ccessed July 11, 2014, </w:t>
      </w:r>
      <w:hyperlink r:id="rId8" w:history="1">
        <w:r w:rsidRPr="00B848C2">
          <w:t>www.oica.net/2014-q2-production-statistics/</w:t>
        </w:r>
      </w:hyperlink>
      <w:r w:rsidRPr="00B848C2">
        <w:t>.</w:t>
      </w:r>
    </w:p>
  </w:endnote>
  <w:endnote w:id="18">
    <w:p w14:paraId="1EBBEACD" w14:textId="184814D0" w:rsidR="00014C38" w:rsidRPr="00B848C2" w:rsidRDefault="00014C38" w:rsidP="00222C3C">
      <w:pPr>
        <w:pStyle w:val="Footnote"/>
        <w:rPr>
          <w:iCs/>
        </w:rPr>
      </w:pPr>
      <w:r w:rsidRPr="00B848C2">
        <w:rPr>
          <w:rStyle w:val="EndnoteReference"/>
          <w:iCs/>
        </w:rPr>
        <w:endnoteRef/>
      </w:r>
      <w:r w:rsidRPr="00B848C2">
        <w:rPr>
          <w:iCs/>
        </w:rPr>
        <w:t xml:space="preserve"> “Maruti Suzuki’s Market Rises to Highest in Three Years,” </w:t>
      </w:r>
      <w:r w:rsidRPr="00B848C2">
        <w:t xml:space="preserve">Livemint.com, </w:t>
      </w:r>
      <w:r w:rsidRPr="00B848C2">
        <w:rPr>
          <w:iCs/>
        </w:rPr>
        <w:t xml:space="preserve">January 13, 2014, </w:t>
      </w:r>
      <w:r w:rsidRPr="00B848C2">
        <w:t xml:space="preserve">accessed </w:t>
      </w:r>
      <w:r w:rsidRPr="00B848C2">
        <w:rPr>
          <w:iCs/>
        </w:rPr>
        <w:t xml:space="preserve">July 11, 2014, </w:t>
      </w:r>
      <w:r w:rsidRPr="00B848C2">
        <w:t>www.livemint.com/Companies/z2zcAjzlyOe1IlqMiRfkwJ/Maruti-Suzukis-market-share-rises-to-highest-in-three-years.html.</w:t>
      </w:r>
    </w:p>
  </w:endnote>
  <w:endnote w:id="19">
    <w:p w14:paraId="2A2B7EE3" w14:textId="205330DD" w:rsidR="00014C38" w:rsidRPr="00B848C2" w:rsidRDefault="00014C38" w:rsidP="00222C3C">
      <w:pPr>
        <w:pStyle w:val="Footnote"/>
        <w:rPr>
          <w:iCs/>
        </w:rPr>
      </w:pPr>
      <w:r w:rsidRPr="00B848C2">
        <w:rPr>
          <w:rStyle w:val="EndnoteReference"/>
          <w:iCs/>
        </w:rPr>
        <w:endnoteRef/>
      </w:r>
      <w:r w:rsidRPr="00B848C2">
        <w:rPr>
          <w:iCs/>
        </w:rPr>
        <w:t xml:space="preserve"> Rachit Vats, “Mahindra and Mahindra to Lose Steam in Revved-Up Utility Vehicle Market,” </w:t>
      </w:r>
      <w:r w:rsidRPr="00B848C2">
        <w:rPr>
          <w:i/>
          <w:iCs/>
        </w:rPr>
        <w:t>Financial Express</w:t>
      </w:r>
      <w:r w:rsidRPr="00B848C2">
        <w:rPr>
          <w:iCs/>
        </w:rPr>
        <w:t>, April 27, 2014, accessed July 11, 2014, www.financialexpress.com/archive/mahindra-mahindra-to-lose-steam-in-revved-up-utility-vehicle-market/1244478/.</w:t>
      </w:r>
    </w:p>
  </w:endnote>
  <w:endnote w:id="20">
    <w:p w14:paraId="61AF8EB9" w14:textId="2397F359" w:rsidR="00014C38" w:rsidRPr="00B848C2" w:rsidRDefault="00014C38" w:rsidP="00222C3C">
      <w:pPr>
        <w:pStyle w:val="Footnote"/>
        <w:rPr>
          <w:iCs/>
        </w:rPr>
      </w:pPr>
      <w:r w:rsidRPr="00B848C2">
        <w:rPr>
          <w:rStyle w:val="EndnoteReference"/>
          <w:iCs/>
        </w:rPr>
        <w:endnoteRef/>
      </w:r>
      <w:r w:rsidR="003C4D8C">
        <w:rPr>
          <w:iCs/>
        </w:rPr>
        <w:t xml:space="preserve"> “Diesel or P</w:t>
      </w:r>
      <w:r w:rsidRPr="00B848C2">
        <w:rPr>
          <w:iCs/>
        </w:rPr>
        <w:t>etrol: Which Car to Buy?” Rediff.com, December 6, 2013, accessed July 11, 2014,</w:t>
      </w:r>
      <w:r w:rsidRPr="00B848C2">
        <w:t xml:space="preserve"> </w:t>
      </w:r>
      <w:hyperlink r:id="rId9" w:anchor="1" w:history="1">
        <w:r w:rsidRPr="00B848C2">
          <w:t>www.rediff.com/business/slide-show/slide-show-1-auto-do-petrol-cars-beat-diesel-in-the-long-term-find-out/20131206.htm#1</w:t>
        </w:r>
      </w:hyperlink>
      <w:r w:rsidRPr="00B848C2">
        <w:t>.</w:t>
      </w:r>
    </w:p>
  </w:endnote>
  <w:endnote w:id="21">
    <w:p w14:paraId="27033B41" w14:textId="62046BA3" w:rsidR="00014C38" w:rsidRPr="00B848C2" w:rsidRDefault="00014C38" w:rsidP="00222C3C">
      <w:pPr>
        <w:pStyle w:val="Footnote"/>
        <w:rPr>
          <w:iCs/>
        </w:rPr>
      </w:pPr>
      <w:r w:rsidRPr="00B848C2">
        <w:rPr>
          <w:rStyle w:val="EndnoteReference"/>
          <w:iCs/>
        </w:rPr>
        <w:endnoteRef/>
      </w:r>
      <w:r w:rsidRPr="00B848C2">
        <w:rPr>
          <w:iCs/>
        </w:rPr>
        <w:t xml:space="preserve"> Shiney Jacob, “Complete Diesel Price Decontrol Unlikely,” </w:t>
      </w:r>
      <w:r w:rsidRPr="00B848C2">
        <w:rPr>
          <w:i/>
          <w:iCs/>
        </w:rPr>
        <w:t>Business Standard</w:t>
      </w:r>
      <w:r w:rsidRPr="00B848C2">
        <w:rPr>
          <w:iCs/>
        </w:rPr>
        <w:t xml:space="preserve">, June 5, 2014, accessed July 11, 2014, www.business-standard.com/article/economy-policy/complete-diesel-price-decontrol-unlikely-114060500255_1.html. </w:t>
      </w:r>
    </w:p>
  </w:endnote>
  <w:endnote w:id="22">
    <w:p w14:paraId="4205039B" w14:textId="2501254D" w:rsidR="00014C38" w:rsidRPr="00B848C2" w:rsidRDefault="00014C38" w:rsidP="00222C3C">
      <w:pPr>
        <w:pStyle w:val="Footnote"/>
        <w:rPr>
          <w:iCs/>
        </w:rPr>
      </w:pPr>
      <w:r w:rsidRPr="00B848C2">
        <w:rPr>
          <w:rStyle w:val="EndnoteReference"/>
          <w:iCs/>
        </w:rPr>
        <w:endnoteRef/>
      </w:r>
      <w:r w:rsidRPr="00B848C2">
        <w:rPr>
          <w:iCs/>
        </w:rPr>
        <w:t xml:space="preserve"> “Indian Passenger Vehicle Industry,” ICRA Research Services, accessed July 11, 2014, </w:t>
      </w:r>
      <w:hyperlink r:id="rId10" w:history="1">
        <w:r w:rsidRPr="00B848C2">
          <w:t>www.icra.in</w:t>
        </w:r>
      </w:hyperlink>
      <w:r w:rsidRPr="00B848C2">
        <w:rPr>
          <w:iCs/>
        </w:rPr>
        <w:t xml:space="preserve">. </w:t>
      </w:r>
    </w:p>
  </w:endnote>
  <w:endnote w:id="23">
    <w:p w14:paraId="556826BA" w14:textId="69419789" w:rsidR="00014C38" w:rsidRPr="00B848C2" w:rsidRDefault="00014C38" w:rsidP="00222C3C">
      <w:pPr>
        <w:pStyle w:val="Footnote"/>
      </w:pPr>
      <w:r w:rsidRPr="00B848C2">
        <w:rPr>
          <w:rStyle w:val="EndnoteReference"/>
          <w:iCs/>
        </w:rPr>
        <w:endnoteRef/>
      </w:r>
      <w:r w:rsidRPr="00B848C2">
        <w:rPr>
          <w:iCs/>
        </w:rPr>
        <w:t xml:space="preserve"> Amrit Raj, “Maruti Shelves Diesel Engine Plant Unit,” </w:t>
      </w:r>
      <w:hyperlink r:id="rId11" w:history="1">
        <w:r w:rsidRPr="00B848C2">
          <w:t>Livemint.com</w:t>
        </w:r>
      </w:hyperlink>
      <w:r w:rsidRPr="00B848C2">
        <w:t xml:space="preserve">, </w:t>
      </w:r>
      <w:r w:rsidRPr="00B848C2">
        <w:rPr>
          <w:iCs/>
        </w:rPr>
        <w:t xml:space="preserve">October 25, 2013, </w:t>
      </w:r>
      <w:r w:rsidRPr="00B848C2">
        <w:t>a</w:t>
      </w:r>
      <w:r w:rsidRPr="00B848C2">
        <w:rPr>
          <w:iCs/>
        </w:rPr>
        <w:t xml:space="preserve">ccessed July 11, 2014, </w:t>
      </w:r>
      <w:r w:rsidRPr="00B848C2">
        <w:t xml:space="preserve">www.livemint.com/Industry/X0TlivIubqtSPglHOncRlI/Maruti-shelves-diesel-engine-plant-expansion.html. </w:t>
      </w:r>
    </w:p>
  </w:endnote>
  <w:endnote w:id="24">
    <w:p w14:paraId="17A28A1C" w14:textId="4004D75A" w:rsidR="00014C38" w:rsidRPr="00B848C2" w:rsidRDefault="00014C38" w:rsidP="00222C3C">
      <w:pPr>
        <w:pStyle w:val="Footnote"/>
        <w:rPr>
          <w:iCs/>
        </w:rPr>
      </w:pPr>
      <w:r w:rsidRPr="00B848C2">
        <w:rPr>
          <w:rStyle w:val="EndnoteReference"/>
          <w:iCs/>
        </w:rPr>
        <w:endnoteRef/>
      </w:r>
      <w:r w:rsidRPr="00B848C2">
        <w:rPr>
          <w:iCs/>
        </w:rPr>
        <w:t xml:space="preserve"> Murali Gopalan, “Diesel Car Sales Lose Momentum </w:t>
      </w:r>
      <w:r w:rsidR="003C4D8C" w:rsidRPr="00B848C2">
        <w:rPr>
          <w:iCs/>
        </w:rPr>
        <w:t>as</w:t>
      </w:r>
      <w:r w:rsidRPr="00B848C2">
        <w:rPr>
          <w:iCs/>
        </w:rPr>
        <w:t xml:space="preserve"> Steady Rise in Fuel Price Hits Demand,” </w:t>
      </w:r>
      <w:r w:rsidRPr="00B848C2">
        <w:rPr>
          <w:i/>
          <w:iCs/>
        </w:rPr>
        <w:t>Business Line</w:t>
      </w:r>
      <w:r w:rsidRPr="00B848C2">
        <w:rPr>
          <w:iCs/>
        </w:rPr>
        <w:t>, March 10, 2014, accessed July 11, 2014, www.thehindubusinessline.com/economy/diesel-car-sales-lose-momentum-as-steady-rise-in-fuel-price-hits-demand/article5770974.ece.</w:t>
      </w:r>
    </w:p>
  </w:endnote>
  <w:endnote w:id="25">
    <w:p w14:paraId="51991429" w14:textId="17ADE3E3" w:rsidR="00014C38" w:rsidRPr="00B848C2" w:rsidRDefault="00014C38" w:rsidP="00222C3C">
      <w:pPr>
        <w:pStyle w:val="Footnote"/>
        <w:rPr>
          <w:iCs/>
        </w:rPr>
      </w:pPr>
      <w:r w:rsidRPr="00B848C2">
        <w:rPr>
          <w:rStyle w:val="EndnoteReference"/>
          <w:iCs/>
        </w:rPr>
        <w:endnoteRef/>
      </w:r>
      <w:r w:rsidRPr="00B848C2">
        <w:rPr>
          <w:iCs/>
        </w:rPr>
        <w:t xml:space="preserve"> “India’s November Car Sales Slump,”</w:t>
      </w:r>
      <w:hyperlink w:history="1"/>
      <w:r w:rsidRPr="00B848C2">
        <w:rPr>
          <w:iCs/>
        </w:rPr>
        <w:t xml:space="preserve"> Reuters, December 10, 2012, accessed July 11, 2014,</w:t>
      </w:r>
      <w:r w:rsidRPr="00B848C2">
        <w:t xml:space="preserve"> </w:t>
      </w:r>
      <w:hyperlink r:id="rId12" w:history="1">
        <w:r w:rsidRPr="00B848C2">
          <w:t>www.cnbc.com/id/100294010</w:t>
        </w:r>
      </w:hyperlink>
      <w:r w:rsidRPr="00B848C2">
        <w:t>.</w:t>
      </w:r>
    </w:p>
  </w:endnote>
  <w:endnote w:id="26">
    <w:p w14:paraId="78A74760" w14:textId="050C2EA5" w:rsidR="00014C38" w:rsidRPr="00B848C2" w:rsidRDefault="00014C38" w:rsidP="00222C3C">
      <w:pPr>
        <w:pStyle w:val="Footnote"/>
        <w:rPr>
          <w:iCs/>
        </w:rPr>
      </w:pPr>
      <w:r w:rsidRPr="00B848C2">
        <w:rPr>
          <w:rStyle w:val="EndnoteReference"/>
          <w:iCs/>
        </w:rPr>
        <w:endnoteRef/>
      </w:r>
      <w:r w:rsidRPr="00B848C2">
        <w:rPr>
          <w:iCs/>
        </w:rPr>
        <w:t xml:space="preserve"> PTI, “Auto Sector Outlook Remains Stable to Negative: India Rating,” </w:t>
      </w:r>
      <w:r w:rsidRPr="00B848C2">
        <w:rPr>
          <w:i/>
          <w:iCs/>
        </w:rPr>
        <w:t>Economic Times,</w:t>
      </w:r>
      <w:r w:rsidRPr="00B848C2">
        <w:rPr>
          <w:iCs/>
        </w:rPr>
        <w:t xml:space="preserve"> January 16, 2014, accessed July 11, 2014, http://economictimes.indiatimes.com/industry/auto/news/industry/auto-sector-outlook-remains-stable-to-negative-india-ratings/articleshow/28896492.cms.</w:t>
      </w:r>
    </w:p>
  </w:endnote>
  <w:endnote w:id="27">
    <w:p w14:paraId="446A2FF3" w14:textId="05185A82" w:rsidR="00014C38" w:rsidRPr="00B848C2" w:rsidRDefault="00014C38" w:rsidP="00222C3C">
      <w:pPr>
        <w:pStyle w:val="Footnote"/>
        <w:rPr>
          <w:iCs/>
        </w:rPr>
      </w:pPr>
      <w:r w:rsidRPr="00B848C2">
        <w:rPr>
          <w:rStyle w:val="EndnoteReference"/>
          <w:iCs/>
        </w:rPr>
        <w:endnoteRef/>
      </w:r>
      <w:r w:rsidRPr="00B848C2">
        <w:rPr>
          <w:iCs/>
        </w:rPr>
        <w:t xml:space="preserve"> HDFC Securities, </w:t>
      </w:r>
      <w:r w:rsidRPr="00B848C2">
        <w:rPr>
          <w:i/>
          <w:iCs/>
        </w:rPr>
        <w:t>Equity Research Report on MSIL</w:t>
      </w:r>
      <w:r w:rsidRPr="00B848C2">
        <w:rPr>
          <w:iCs/>
        </w:rPr>
        <w:t xml:space="preserve">, January 31, 2014; Dion Global Solutions India, </w:t>
      </w:r>
      <w:r w:rsidRPr="00B848C2">
        <w:rPr>
          <w:i/>
          <w:iCs/>
        </w:rPr>
        <w:t>Equity Research Report</w:t>
      </w:r>
      <w:r w:rsidRPr="00B848C2">
        <w:rPr>
          <w:iCs/>
        </w:rPr>
        <w:t xml:space="preserve">, February 21, 2014. </w:t>
      </w:r>
    </w:p>
  </w:endnote>
  <w:endnote w:id="28">
    <w:p w14:paraId="38BE63B5" w14:textId="1254DEAF" w:rsidR="00014C38" w:rsidRPr="00B848C2" w:rsidRDefault="00014C38" w:rsidP="00222C3C">
      <w:pPr>
        <w:pStyle w:val="Footnote"/>
        <w:rPr>
          <w:iCs/>
        </w:rPr>
      </w:pPr>
      <w:r w:rsidRPr="00B848C2">
        <w:rPr>
          <w:rStyle w:val="EndnoteReference"/>
          <w:iCs/>
        </w:rPr>
        <w:endnoteRef/>
      </w:r>
      <w:r w:rsidRPr="00B848C2">
        <w:rPr>
          <w:iCs/>
        </w:rPr>
        <w:t xml:space="preserve"> Ernst &amp; Young, </w:t>
      </w:r>
      <w:r w:rsidRPr="00B848C2">
        <w:rPr>
          <w:i/>
          <w:iCs/>
        </w:rPr>
        <w:t>Mega Trends Shaping Indian Passenger Vehicle Industry</w:t>
      </w:r>
      <w:r w:rsidRPr="00B848C2">
        <w:rPr>
          <w:iCs/>
        </w:rPr>
        <w:t xml:space="preserve">, Ernst &amp; Young Industry Research Report. </w:t>
      </w:r>
    </w:p>
  </w:endnote>
  <w:endnote w:id="29">
    <w:p w14:paraId="7B03D5D7" w14:textId="3F6625BE" w:rsidR="00014C38" w:rsidRPr="00B848C2" w:rsidRDefault="00014C38" w:rsidP="00222C3C">
      <w:pPr>
        <w:pStyle w:val="Footnote"/>
        <w:rPr>
          <w:iCs/>
        </w:rPr>
      </w:pPr>
      <w:r w:rsidRPr="00B848C2">
        <w:rPr>
          <w:rStyle w:val="EndnoteReference"/>
          <w:iCs/>
        </w:rPr>
        <w:endnoteRef/>
      </w:r>
      <w:r w:rsidRPr="00B848C2">
        <w:rPr>
          <w:iCs/>
        </w:rPr>
        <w:t xml:space="preserve"> “Suzuki Motors to Own Gujarat Plant, Make Vehicles Exclusively for Maruti,” </w:t>
      </w:r>
      <w:r w:rsidRPr="00B848C2">
        <w:rPr>
          <w:i/>
          <w:iCs/>
        </w:rPr>
        <w:t>Indian Express</w:t>
      </w:r>
      <w:r w:rsidRPr="00B848C2">
        <w:rPr>
          <w:iCs/>
        </w:rPr>
        <w:t>, January 29, 2014, accessed July 11, 2014, http://indianexpress.com/article/business/business-others/suzuki-motor-to-own-gujarat-plant-make-vehicles-exclusively-for-maruti/.</w:t>
      </w:r>
    </w:p>
  </w:endnote>
  <w:endnote w:id="30">
    <w:p w14:paraId="5D2F970F" w14:textId="63882D7F" w:rsidR="00014C38" w:rsidRPr="00B848C2" w:rsidRDefault="00014C38" w:rsidP="00222C3C">
      <w:pPr>
        <w:pStyle w:val="Footnote"/>
        <w:rPr>
          <w:iCs/>
        </w:rPr>
      </w:pPr>
      <w:r w:rsidRPr="00B848C2">
        <w:rPr>
          <w:rStyle w:val="EndnoteReference"/>
          <w:iCs/>
        </w:rPr>
        <w:endnoteRef/>
      </w:r>
      <w:r w:rsidRPr="00B848C2">
        <w:rPr>
          <w:iCs/>
        </w:rPr>
        <w:t xml:space="preserve"> “Maruti Suzuki Board Decision on Gujarat Project,” October 29, 2014, accessed January 13, 2015, </w:t>
      </w:r>
      <w:r w:rsidRPr="00B848C2">
        <w:t>www.marutisuzuki.com/press-release-gujrat.aspx.</w:t>
      </w:r>
    </w:p>
  </w:endnote>
  <w:endnote w:id="31">
    <w:p w14:paraId="05C30154" w14:textId="13096D51" w:rsidR="00014C38" w:rsidRPr="00B848C2" w:rsidRDefault="00014C38" w:rsidP="00222C3C">
      <w:pPr>
        <w:pStyle w:val="Footnote"/>
        <w:rPr>
          <w:iCs/>
        </w:rPr>
      </w:pPr>
      <w:r w:rsidRPr="00B848C2">
        <w:rPr>
          <w:rStyle w:val="EndnoteReference"/>
          <w:iCs/>
        </w:rPr>
        <w:endnoteRef/>
      </w:r>
      <w:r w:rsidRPr="00B848C2">
        <w:t xml:space="preserve"> Ibid.</w:t>
      </w:r>
    </w:p>
  </w:endnote>
  <w:endnote w:id="32">
    <w:p w14:paraId="2516B60E" w14:textId="287B30E6" w:rsidR="00014C38" w:rsidRPr="00B848C2" w:rsidRDefault="00014C38" w:rsidP="00222C3C">
      <w:pPr>
        <w:pStyle w:val="Footnote"/>
        <w:rPr>
          <w:iCs/>
        </w:rPr>
      </w:pPr>
      <w:r w:rsidRPr="00B848C2">
        <w:rPr>
          <w:rStyle w:val="EndnoteReference"/>
          <w:iCs/>
        </w:rPr>
        <w:endnoteRef/>
      </w:r>
      <w:r w:rsidRPr="00B848C2">
        <w:t xml:space="preserve"> Ibid.</w:t>
      </w:r>
    </w:p>
  </w:endnote>
  <w:endnote w:id="33">
    <w:p w14:paraId="7352F5F3" w14:textId="6C191EDA" w:rsidR="00014C38" w:rsidRPr="00B848C2" w:rsidRDefault="00014C38" w:rsidP="00222C3C">
      <w:pPr>
        <w:pStyle w:val="Footnote"/>
        <w:rPr>
          <w:iCs/>
        </w:rPr>
      </w:pPr>
      <w:r w:rsidRPr="00B848C2">
        <w:rPr>
          <w:rStyle w:val="EndnoteReference"/>
          <w:iCs/>
        </w:rPr>
        <w:endnoteRef/>
      </w:r>
      <w:r w:rsidRPr="00B848C2">
        <w:rPr>
          <w:iCs/>
        </w:rPr>
        <w:t xml:space="preserve"> Dion Global Solutions, </w:t>
      </w:r>
      <w:r w:rsidRPr="00B848C2">
        <w:rPr>
          <w:i/>
          <w:iCs/>
        </w:rPr>
        <w:t>Equity Research Report.</w:t>
      </w:r>
    </w:p>
  </w:endnote>
  <w:endnote w:id="34">
    <w:p w14:paraId="50B25453" w14:textId="5D50B89C" w:rsidR="00014C38" w:rsidRPr="00B848C2" w:rsidRDefault="00014C38" w:rsidP="00222C3C">
      <w:pPr>
        <w:pStyle w:val="Footnote"/>
        <w:rPr>
          <w:iCs/>
        </w:rPr>
      </w:pPr>
      <w:r w:rsidRPr="00B848C2">
        <w:rPr>
          <w:rStyle w:val="EndnoteReference"/>
          <w:iCs/>
        </w:rPr>
        <w:endnoteRef/>
      </w:r>
      <w:r w:rsidRPr="00B848C2">
        <w:rPr>
          <w:iCs/>
        </w:rPr>
        <w:t xml:space="preserve"> Kotak Institutional Equity Research, </w:t>
      </w:r>
      <w:r w:rsidRPr="00B848C2">
        <w:rPr>
          <w:i/>
          <w:iCs/>
        </w:rPr>
        <w:t>Equity Research Report</w:t>
      </w:r>
      <w:r w:rsidRPr="00B848C2">
        <w:rPr>
          <w:iCs/>
        </w:rPr>
        <w:t xml:space="preserve">, March 3, 2014; Deutsche Bank Market Research, </w:t>
      </w:r>
      <w:r w:rsidRPr="00B848C2">
        <w:rPr>
          <w:i/>
          <w:iCs/>
        </w:rPr>
        <w:t>Equity Research Report</w:t>
      </w:r>
      <w:r w:rsidRPr="00B848C2">
        <w:rPr>
          <w:iCs/>
        </w:rPr>
        <w:t xml:space="preserve">, February 27, 2014. </w:t>
      </w:r>
    </w:p>
  </w:endnote>
  <w:endnote w:id="35">
    <w:p w14:paraId="6459E777" w14:textId="77777777" w:rsidR="00014C38" w:rsidRPr="00B848C2" w:rsidRDefault="00014C38" w:rsidP="00222C3C">
      <w:pPr>
        <w:pStyle w:val="Footnote"/>
        <w:rPr>
          <w:iCs/>
        </w:rPr>
      </w:pPr>
      <w:r w:rsidRPr="00B848C2">
        <w:rPr>
          <w:rStyle w:val="EndnoteReference"/>
          <w:iCs/>
        </w:rPr>
        <w:endnoteRef/>
      </w:r>
      <w:r w:rsidRPr="00B848C2">
        <w:rPr>
          <w:iCs/>
        </w:rPr>
        <w:t xml:space="preserve"> Capitalization rate is the ratio of the annual rental income and the market value of the property. </w:t>
      </w:r>
    </w:p>
  </w:endnote>
  <w:endnote w:id="36">
    <w:p w14:paraId="6811AEF9" w14:textId="7264468A" w:rsidR="00014C38" w:rsidRPr="00B848C2" w:rsidRDefault="00014C38" w:rsidP="00222C3C">
      <w:pPr>
        <w:pStyle w:val="Footnote"/>
        <w:rPr>
          <w:iCs/>
        </w:rPr>
      </w:pPr>
      <w:r w:rsidRPr="00B848C2">
        <w:rPr>
          <w:rStyle w:val="EndnoteReference"/>
          <w:iCs/>
        </w:rPr>
        <w:endnoteRef/>
      </w:r>
      <w:r w:rsidRPr="00B848C2">
        <w:rPr>
          <w:iCs/>
        </w:rPr>
        <w:t xml:space="preserve"> “Maruti Tanks: Did Street Misread Suzuki Gujarat Move?” Money Control, January 28, 2014, </w:t>
      </w:r>
      <w:r w:rsidRPr="00B848C2">
        <w:t>a</w:t>
      </w:r>
      <w:r w:rsidRPr="00B848C2">
        <w:rPr>
          <w:iCs/>
        </w:rPr>
        <w:t>ccessed July 11</w:t>
      </w:r>
      <w:r w:rsidRPr="00B848C2">
        <w:t xml:space="preserve">, 2014, </w:t>
      </w:r>
      <w:hyperlink r:id="rId13" w:history="1">
        <w:r w:rsidRPr="00B848C2">
          <w:t>www.moneycontrol.com/news/stocks-views/maruti-tanks-did-street-misread-suzuki-gujarat-move_1032954.html</w:t>
        </w:r>
      </w:hyperlink>
      <w:r w:rsidRPr="00B848C2">
        <w:t>.</w:t>
      </w:r>
    </w:p>
  </w:endnote>
  <w:endnote w:id="37">
    <w:p w14:paraId="6BAC6DA3" w14:textId="165851D6" w:rsidR="00014C38" w:rsidRPr="00B848C2" w:rsidRDefault="00014C38" w:rsidP="002F1F01">
      <w:pPr>
        <w:pStyle w:val="Footnote"/>
        <w:rPr>
          <w:lang w:val="en-CA"/>
        </w:rPr>
      </w:pPr>
      <w:r w:rsidRPr="00B848C2">
        <w:rPr>
          <w:rStyle w:val="EndnoteReference"/>
        </w:rPr>
        <w:endnoteRef/>
      </w:r>
      <w:r w:rsidRPr="00B848C2">
        <w:t xml:space="preserve"> ¥1.00 = ₹0.60 on January 28, 2014.</w:t>
      </w:r>
    </w:p>
  </w:endnote>
  <w:endnote w:id="38">
    <w:p w14:paraId="09727222" w14:textId="05C44153" w:rsidR="00014C38" w:rsidRPr="00B848C2" w:rsidRDefault="00014C38" w:rsidP="00422F81">
      <w:pPr>
        <w:pStyle w:val="Footnote"/>
        <w:rPr>
          <w:iCs/>
        </w:rPr>
      </w:pPr>
      <w:r w:rsidRPr="00B848C2">
        <w:rPr>
          <w:rStyle w:val="EndnoteReference"/>
          <w:iCs/>
        </w:rPr>
        <w:endnoteRef/>
      </w:r>
      <w:r w:rsidRPr="00B848C2">
        <w:rPr>
          <w:iCs/>
        </w:rPr>
        <w:t xml:space="preserve"> “Suzuki’s Move to Run Gujarat Plant Faces </w:t>
      </w:r>
      <w:r w:rsidRPr="00B848C2">
        <w:t xml:space="preserve">a Storm,” </w:t>
      </w:r>
      <w:r w:rsidRPr="00B848C2">
        <w:rPr>
          <w:i/>
        </w:rPr>
        <w:t>Business Standard,</w:t>
      </w:r>
      <w:r w:rsidRPr="00B848C2">
        <w:t xml:space="preserve"> January 29, 2014, accessed July 11, 2014, www.business-standard.com/article/companies/suzuki-s-move-to-run-gujarat-plant-faces-a-storm-114012800966_1.html.</w:t>
      </w:r>
    </w:p>
  </w:endnote>
  <w:endnote w:id="39">
    <w:p w14:paraId="0BE4B687" w14:textId="312EC8AB" w:rsidR="00014C38" w:rsidRPr="00B848C2" w:rsidRDefault="00014C38" w:rsidP="00222C3C">
      <w:pPr>
        <w:pStyle w:val="Footnote"/>
        <w:rPr>
          <w:i/>
          <w:iCs/>
        </w:rPr>
      </w:pPr>
      <w:r w:rsidRPr="00B848C2">
        <w:rPr>
          <w:rStyle w:val="EndnoteReference"/>
          <w:iCs/>
        </w:rPr>
        <w:endnoteRef/>
      </w:r>
      <w:r w:rsidRPr="00B848C2">
        <w:rPr>
          <w:iCs/>
        </w:rPr>
        <w:t xml:space="preserve"> EMIS and Bloomberg, </w:t>
      </w:r>
      <w:r w:rsidRPr="00B848C2">
        <w:rPr>
          <w:i/>
          <w:iCs/>
        </w:rPr>
        <w:t xml:space="preserve">Equity Research Reports, </w:t>
      </w:r>
      <w:r w:rsidRPr="00B848C2">
        <w:rPr>
          <w:iCs/>
        </w:rPr>
        <w:t xml:space="preserve">op. cit. </w:t>
      </w:r>
    </w:p>
  </w:endnote>
  <w:endnote w:id="40">
    <w:p w14:paraId="603B0D57" w14:textId="30FA5670" w:rsidR="00014C38" w:rsidRPr="00B848C2" w:rsidRDefault="00014C38" w:rsidP="00222C3C">
      <w:pPr>
        <w:pStyle w:val="Footnote"/>
        <w:rPr>
          <w:iCs/>
        </w:rPr>
      </w:pPr>
      <w:r w:rsidRPr="00B848C2">
        <w:rPr>
          <w:rStyle w:val="EndnoteReference"/>
          <w:iCs/>
        </w:rPr>
        <w:endnoteRef/>
      </w:r>
      <w:r w:rsidRPr="00B848C2">
        <w:rPr>
          <w:iCs/>
        </w:rPr>
        <w:t xml:space="preserve"> HDFC Securities, </w:t>
      </w:r>
      <w:r w:rsidRPr="00B848C2">
        <w:rPr>
          <w:i/>
          <w:iCs/>
        </w:rPr>
        <w:t>Equity Research Report</w:t>
      </w:r>
      <w:r w:rsidRPr="00B848C2">
        <w:rPr>
          <w:iCs/>
        </w:rPr>
        <w:t xml:space="preserve">, January 31, 2014. </w:t>
      </w:r>
    </w:p>
  </w:endnote>
  <w:endnote w:id="41">
    <w:p w14:paraId="547BBA91" w14:textId="6173D961" w:rsidR="00014C38" w:rsidRPr="00B848C2" w:rsidRDefault="00014C38" w:rsidP="00222C3C">
      <w:pPr>
        <w:pStyle w:val="Footnote"/>
        <w:rPr>
          <w:iCs/>
        </w:rPr>
      </w:pPr>
      <w:r w:rsidRPr="00B848C2">
        <w:rPr>
          <w:rStyle w:val="EndnoteReference"/>
          <w:iCs/>
        </w:rPr>
        <w:endnoteRef/>
      </w:r>
      <w:r w:rsidRPr="00B848C2">
        <w:rPr>
          <w:iCs/>
        </w:rPr>
        <w:t xml:space="preserve"> Authors’ own estimates. </w:t>
      </w:r>
    </w:p>
  </w:endnote>
  <w:endnote w:id="42">
    <w:p w14:paraId="29B11F19" w14:textId="3D07316F" w:rsidR="00014C38" w:rsidRPr="00B848C2" w:rsidRDefault="00014C38" w:rsidP="00222C3C">
      <w:pPr>
        <w:pStyle w:val="Footnote"/>
        <w:rPr>
          <w:iCs/>
        </w:rPr>
      </w:pPr>
      <w:r w:rsidRPr="00B848C2">
        <w:rPr>
          <w:rStyle w:val="EndnoteReference"/>
          <w:iCs/>
        </w:rPr>
        <w:endnoteRef/>
      </w:r>
      <w:r w:rsidRPr="00B848C2">
        <w:rPr>
          <w:iCs/>
        </w:rPr>
        <w:t xml:space="preserve"> “Maruti Shares Rebound; Proxy Advisor Firms Wary,” Money Control, January 29, 2014, accessed July 11, 201</w:t>
      </w:r>
      <w:r w:rsidRPr="00B848C2">
        <w:t xml:space="preserve">4, </w:t>
      </w:r>
      <w:hyperlink r:id="rId14" w:history="1">
        <w:r w:rsidRPr="00B848C2">
          <w:t>www.moneycontrol.com/news/result-analysis/maruti-shares-rebound-proxy-advisory-firms-wary_1033359.html</w:t>
        </w:r>
      </w:hyperlink>
      <w:r w:rsidRPr="00B848C2">
        <w:t>.</w:t>
      </w:r>
    </w:p>
  </w:endnote>
  <w:endnote w:id="43">
    <w:p w14:paraId="0B02D46F" w14:textId="2CDB644C" w:rsidR="00014C38" w:rsidRPr="00B848C2" w:rsidRDefault="00014C38" w:rsidP="00222C3C">
      <w:pPr>
        <w:pStyle w:val="Footnote"/>
        <w:rPr>
          <w:iCs/>
        </w:rPr>
      </w:pPr>
      <w:r w:rsidRPr="00B848C2">
        <w:rPr>
          <w:rStyle w:val="EndnoteReference"/>
          <w:iCs/>
        </w:rPr>
        <w:endnoteRef/>
      </w:r>
      <w:r w:rsidRPr="00B848C2">
        <w:t xml:space="preserve"> Ibid.</w:t>
      </w:r>
      <w:r w:rsidRPr="00B848C2">
        <w:rPr>
          <w:iCs/>
        </w:rPr>
        <w:t xml:space="preserve"> </w:t>
      </w:r>
    </w:p>
  </w:endnote>
  <w:endnote w:id="44">
    <w:p w14:paraId="069C4B58" w14:textId="573E0F66" w:rsidR="00014C38" w:rsidRPr="00B848C2" w:rsidRDefault="00014C38" w:rsidP="00422F81">
      <w:pPr>
        <w:pStyle w:val="Footnote"/>
      </w:pPr>
      <w:r w:rsidRPr="00B848C2">
        <w:rPr>
          <w:rStyle w:val="EndnoteReference"/>
          <w:iCs/>
        </w:rPr>
        <w:endnoteRef/>
      </w:r>
      <w:r w:rsidRPr="00B848C2">
        <w:rPr>
          <w:iCs/>
        </w:rPr>
        <w:t xml:space="preserve"> Ingovern, </w:t>
      </w:r>
      <w:r w:rsidRPr="00B848C2">
        <w:rPr>
          <w:i/>
          <w:iCs/>
        </w:rPr>
        <w:t>Corporate Governance Alert: Maruti Suzuki Limited,</w:t>
      </w:r>
      <w:r w:rsidRPr="00B848C2">
        <w:rPr>
          <w:iCs/>
        </w:rPr>
        <w:t xml:space="preserve"> accessed July 11, 2014, </w:t>
      </w:r>
      <w:hyperlink r:id="rId15" w:history="1">
        <w:r w:rsidRPr="00B848C2">
          <w:rPr>
            <w:rStyle w:val="Hyperlink"/>
            <w:color w:val="auto"/>
            <w:u w:val="none"/>
          </w:rPr>
          <w:t>www.ingovern.com/wp-content/uploads/2014/01/CG-Alert-Maruti-Suzuki.pdf</w:t>
        </w:r>
      </w:hyperlink>
      <w:r w:rsidRPr="00B848C2">
        <w:t>.</w:t>
      </w:r>
    </w:p>
  </w:endnote>
  <w:endnote w:id="45">
    <w:p w14:paraId="3503181B" w14:textId="16098BC1" w:rsidR="00014C38" w:rsidRPr="00B848C2" w:rsidRDefault="00014C38" w:rsidP="00422F81">
      <w:pPr>
        <w:pStyle w:val="Footnote"/>
        <w:rPr>
          <w:iCs/>
        </w:rPr>
      </w:pPr>
      <w:r w:rsidRPr="00B848C2">
        <w:rPr>
          <w:rStyle w:val="EndnoteReference"/>
        </w:rPr>
        <w:endnoteRef/>
      </w:r>
      <w:r w:rsidRPr="00B848C2">
        <w:rPr>
          <w:vertAlign w:val="superscript"/>
        </w:rPr>
        <w:t xml:space="preserve"> </w:t>
      </w:r>
      <w:r w:rsidRPr="00B848C2">
        <w:t>“The Companies Act 2013,”</w:t>
      </w:r>
      <w:r w:rsidRPr="00B848C2">
        <w:rPr>
          <w:vertAlign w:val="superscript"/>
        </w:rPr>
        <w:t xml:space="preserve"> </w:t>
      </w:r>
      <w:r w:rsidRPr="00B848C2">
        <w:t>Ministry of Corporate Affairs, accessed July 11, 2014, www.mca.gov.in/MinistryV2/companiesact2013.html.</w:t>
      </w:r>
    </w:p>
  </w:endnote>
  <w:endnote w:id="46">
    <w:p w14:paraId="52C092EF" w14:textId="074327E2" w:rsidR="00014C38" w:rsidRPr="00B848C2" w:rsidRDefault="00014C38" w:rsidP="00222C3C">
      <w:pPr>
        <w:pStyle w:val="Footnote"/>
        <w:rPr>
          <w:iCs/>
        </w:rPr>
      </w:pPr>
      <w:r w:rsidRPr="00B848C2">
        <w:rPr>
          <w:rStyle w:val="EndnoteReference"/>
          <w:iCs/>
        </w:rPr>
        <w:endnoteRef/>
      </w:r>
      <w:r w:rsidRPr="00B848C2">
        <w:rPr>
          <w:iCs/>
        </w:rPr>
        <w:t xml:space="preserve"> Samie Modak, “Timing of Gujarat Manoeuvre May Help Suzuki Steer Clear of Shareholder Scrutiny,” </w:t>
      </w:r>
      <w:r w:rsidRPr="00B848C2">
        <w:rPr>
          <w:i/>
          <w:iCs/>
        </w:rPr>
        <w:t>Business Standard</w:t>
      </w:r>
      <w:r w:rsidRPr="00B848C2">
        <w:rPr>
          <w:iCs/>
        </w:rPr>
        <w:t>, February 1, 2014, accessed July 11, 2014, www.business-standard.com/article/companies/timing-of-gujarat-manoeuvre-may-help-suzuki-steer-clear-of-shareholder-scrutiny-114013101233_1.html.</w:t>
      </w:r>
    </w:p>
  </w:endnote>
  <w:endnote w:id="47">
    <w:p w14:paraId="40D1AD78" w14:textId="3C0E6264" w:rsidR="00014C38" w:rsidRPr="00B848C2" w:rsidRDefault="00014C38" w:rsidP="00222C3C">
      <w:pPr>
        <w:pStyle w:val="Footnote"/>
        <w:rPr>
          <w:iCs/>
        </w:rPr>
      </w:pPr>
      <w:r w:rsidRPr="00B848C2">
        <w:rPr>
          <w:rStyle w:val="EndnoteReference"/>
          <w:iCs/>
        </w:rPr>
        <w:endnoteRef/>
      </w:r>
      <w:r w:rsidRPr="00B848C2">
        <w:t xml:space="preserve"> “Maruti Plant Stand-Off: Will Minority Shareholders Matter,” op. cit.</w:t>
      </w:r>
    </w:p>
  </w:endnote>
  <w:endnote w:id="48">
    <w:p w14:paraId="46F8BBD8" w14:textId="20122260" w:rsidR="00014C38" w:rsidRPr="00B848C2" w:rsidRDefault="00014C38" w:rsidP="00222C3C">
      <w:pPr>
        <w:pStyle w:val="Footnote"/>
        <w:rPr>
          <w:iCs/>
        </w:rPr>
      </w:pPr>
      <w:r w:rsidRPr="00B848C2">
        <w:rPr>
          <w:rStyle w:val="EndnoteReference"/>
          <w:iCs/>
        </w:rPr>
        <w:endnoteRef/>
      </w:r>
      <w:r w:rsidRPr="00B848C2">
        <w:rPr>
          <w:iCs/>
        </w:rPr>
        <w:t xml:space="preserve"> “Maruti Tanks: Did Street Misread Suzuki Gujarat Move?” op. cit</w:t>
      </w:r>
      <w:r w:rsidRPr="00B848C2">
        <w:t>.</w:t>
      </w:r>
    </w:p>
  </w:endnote>
  <w:endnote w:id="49">
    <w:p w14:paraId="4F4B32D9" w14:textId="7B82262A" w:rsidR="00014C38" w:rsidRPr="00B848C2" w:rsidRDefault="00014C38" w:rsidP="00222C3C">
      <w:pPr>
        <w:pStyle w:val="Footnote"/>
        <w:rPr>
          <w:iCs/>
        </w:rPr>
      </w:pPr>
      <w:r w:rsidRPr="00B848C2">
        <w:rPr>
          <w:rStyle w:val="EndnoteReference"/>
          <w:iCs/>
        </w:rPr>
        <w:endnoteRef/>
      </w:r>
      <w:r w:rsidRPr="00B848C2">
        <w:rPr>
          <w:iCs/>
        </w:rPr>
        <w:t xml:space="preserve"> ET Bureau, “Maruti Suzuki Executives Meet Fund Houses Miffed over Gujarat Plant,” </w:t>
      </w:r>
      <w:r w:rsidRPr="00B848C2">
        <w:rPr>
          <w:i/>
          <w:iCs/>
        </w:rPr>
        <w:t>Economic Times</w:t>
      </w:r>
      <w:r w:rsidRPr="00B848C2">
        <w:rPr>
          <w:iCs/>
        </w:rPr>
        <w:t>, March 3, 2014, accessed July 11, 2014, economictimes.indiatimes.com/automobiles/maruti-suzuki-executives-meet-fund-houses-miffed-over-gujarat-plant/articleshow/31305168.cms.</w:t>
      </w:r>
    </w:p>
  </w:endnote>
  <w:endnote w:id="50">
    <w:p w14:paraId="12EA7F75" w14:textId="38D98618" w:rsidR="00014C38" w:rsidRPr="00B848C2" w:rsidRDefault="00014C38" w:rsidP="00222C3C">
      <w:pPr>
        <w:pStyle w:val="Footnote"/>
      </w:pPr>
      <w:r w:rsidRPr="00B848C2">
        <w:rPr>
          <w:rStyle w:val="EndnoteReference"/>
          <w:iCs/>
        </w:rPr>
        <w:endnoteRef/>
      </w:r>
      <w:r w:rsidRPr="00B848C2">
        <w:rPr>
          <w:iCs/>
        </w:rPr>
        <w:t xml:space="preserve"> “Information on Gujarat Project,” Maruti Suzuki India Limited, accessed July 11, 2014, </w:t>
      </w:r>
      <w:hyperlink r:id="rId16" w:history="1">
        <w:r w:rsidRPr="00B848C2">
          <w:t>www.marutisuzuki.com/press-release-gujrat2014.aspx</w:t>
        </w:r>
      </w:hyperlink>
      <w:r w:rsidRPr="00B848C2">
        <w:t>.</w:t>
      </w:r>
    </w:p>
  </w:endnote>
  <w:endnote w:id="51">
    <w:p w14:paraId="49287010" w14:textId="4F84F362" w:rsidR="00014C38" w:rsidRPr="00B848C2" w:rsidRDefault="00014C38" w:rsidP="00222C3C">
      <w:pPr>
        <w:pStyle w:val="Footnote"/>
        <w:rPr>
          <w:iCs/>
        </w:rPr>
      </w:pPr>
      <w:r w:rsidRPr="00B848C2">
        <w:rPr>
          <w:rStyle w:val="EndnoteReference"/>
          <w:iCs/>
        </w:rPr>
        <w:endnoteRef/>
      </w:r>
      <w:r w:rsidRPr="00B848C2">
        <w:rPr>
          <w:iCs/>
        </w:rPr>
        <w:t xml:space="preserve"> Ibid.</w:t>
      </w:r>
    </w:p>
  </w:endnote>
  <w:endnote w:id="52">
    <w:p w14:paraId="2F5FF75F" w14:textId="13E44231" w:rsidR="00014C38" w:rsidRPr="00B848C2" w:rsidRDefault="00014C38" w:rsidP="00222C3C">
      <w:pPr>
        <w:pStyle w:val="Footnote"/>
        <w:rPr>
          <w:iCs/>
        </w:rPr>
      </w:pPr>
      <w:r w:rsidRPr="00B848C2">
        <w:rPr>
          <w:rStyle w:val="EndnoteReference"/>
          <w:iCs/>
        </w:rPr>
        <w:endnoteRef/>
      </w:r>
      <w:r w:rsidRPr="00B848C2">
        <w:rPr>
          <w:iCs/>
        </w:rPr>
        <w:t xml:space="preserve"> IDFC, </w:t>
      </w:r>
      <w:r w:rsidRPr="00B848C2">
        <w:rPr>
          <w:i/>
          <w:iCs/>
        </w:rPr>
        <w:t>Equity Research Report,</w:t>
      </w:r>
      <w:r w:rsidRPr="00B848C2">
        <w:rPr>
          <w:iCs/>
        </w:rPr>
        <w:t xml:space="preserve"> February 28, 2014. </w:t>
      </w:r>
    </w:p>
  </w:endnote>
  <w:endnote w:id="53">
    <w:p w14:paraId="0FA1BE06" w14:textId="175AED21" w:rsidR="00014C38" w:rsidRPr="00B848C2" w:rsidRDefault="00014C38" w:rsidP="00222C3C">
      <w:pPr>
        <w:pStyle w:val="Footnote"/>
        <w:rPr>
          <w:iCs/>
        </w:rPr>
      </w:pPr>
      <w:r w:rsidRPr="00B848C2">
        <w:rPr>
          <w:rStyle w:val="EndnoteReference"/>
          <w:iCs/>
        </w:rPr>
        <w:endnoteRef/>
      </w:r>
      <w:r w:rsidRPr="00B848C2">
        <w:rPr>
          <w:iCs/>
        </w:rPr>
        <w:t xml:space="preserve"> “Suzuki’s Behavior Is Completely Anti-Minority Shareholder,” </w:t>
      </w:r>
      <w:r w:rsidRPr="00B848C2">
        <w:rPr>
          <w:i/>
          <w:iCs/>
        </w:rPr>
        <w:t>Economic Times</w:t>
      </w:r>
      <w:r w:rsidRPr="00B848C2">
        <w:rPr>
          <w:iCs/>
        </w:rPr>
        <w:t>, February 3, 2014</w:t>
      </w:r>
      <w:r w:rsidRPr="00B848C2">
        <w:rPr>
          <w:rFonts w:eastAsia="Batang"/>
          <w:iCs/>
        </w:rPr>
        <w:t xml:space="preserve">. </w:t>
      </w:r>
    </w:p>
  </w:endnote>
  <w:endnote w:id="54">
    <w:p w14:paraId="4B039CBC" w14:textId="7FDABA35" w:rsidR="00014C38" w:rsidRPr="00B848C2" w:rsidRDefault="00014C38" w:rsidP="00222C3C">
      <w:pPr>
        <w:pStyle w:val="Footnote"/>
        <w:rPr>
          <w:iCs/>
        </w:rPr>
      </w:pPr>
      <w:r w:rsidRPr="00B848C2">
        <w:rPr>
          <w:rStyle w:val="EndnoteReference"/>
          <w:iCs/>
        </w:rPr>
        <w:endnoteRef/>
      </w:r>
      <w:r w:rsidRPr="00B848C2">
        <w:rPr>
          <w:iCs/>
        </w:rPr>
        <w:t xml:space="preserve"> “Scrap Gujarat Unit Deal with Suzuki: Domestic MFs to Maruti,” Money Control, March 11, 2014, accessed July 1</w:t>
      </w:r>
      <w:r w:rsidRPr="00B848C2">
        <w:t xml:space="preserve">1, 2014, </w:t>
      </w:r>
      <w:hyperlink r:id="rId17" w:history="1">
        <w:r w:rsidRPr="00B848C2">
          <w:t>www.moneycontrol.com/news/business/scrap-gujarat-plant-dealsuzuki-domestic-mfs-to-maruti_1052721.html</w:t>
        </w:r>
      </w:hyperlink>
      <w:r w:rsidRPr="00B848C2">
        <w:t>.</w:t>
      </w:r>
    </w:p>
  </w:endnote>
  <w:endnote w:id="55">
    <w:p w14:paraId="64A0A6BF" w14:textId="21C57203" w:rsidR="00014C38" w:rsidRPr="00B848C2" w:rsidRDefault="00014C38" w:rsidP="00222C3C">
      <w:pPr>
        <w:pStyle w:val="Footnote"/>
        <w:rPr>
          <w:iCs/>
        </w:rPr>
      </w:pPr>
      <w:r w:rsidRPr="00B848C2">
        <w:rPr>
          <w:rStyle w:val="EndnoteReference"/>
          <w:iCs/>
        </w:rPr>
        <w:endnoteRef/>
      </w:r>
      <w:r w:rsidRPr="00B848C2">
        <w:rPr>
          <w:iCs/>
        </w:rPr>
        <w:t xml:space="preserve"> “Maruti Suzuki Skids over 4 Per Cent as SEBI Explores Legal Options over Gujarat Plant,” </w:t>
      </w:r>
      <w:r w:rsidRPr="00B848C2">
        <w:rPr>
          <w:i/>
          <w:iCs/>
        </w:rPr>
        <w:t>Economic Times</w:t>
      </w:r>
      <w:r w:rsidRPr="00B848C2">
        <w:rPr>
          <w:iCs/>
        </w:rPr>
        <w:t>, March 12, 2014, accessed July 11, 2014, http://economictimes.indiatimes.com/markets/stocks/news/maruti-suzuki-skids-over-4-as-sebi-explores-legal-options-over-gujarat-plant/articleshow/31880563.cms.</w:t>
      </w:r>
    </w:p>
  </w:endnote>
  <w:endnote w:id="56">
    <w:p w14:paraId="0229CE0C" w14:textId="1BDF2579" w:rsidR="00014C38" w:rsidRPr="00B848C2" w:rsidRDefault="00014C38" w:rsidP="00222C3C">
      <w:pPr>
        <w:pStyle w:val="Footnote"/>
        <w:rPr>
          <w:iCs/>
        </w:rPr>
      </w:pPr>
      <w:r w:rsidRPr="00B848C2">
        <w:rPr>
          <w:rStyle w:val="EndnoteReference"/>
          <w:iCs/>
        </w:rPr>
        <w:endnoteRef/>
      </w:r>
      <w:r w:rsidRPr="00B848C2">
        <w:rPr>
          <w:iCs/>
        </w:rPr>
        <w:t xml:space="preserve"> “Maruti Suzuki India Slips as FII Investments Reach Trigger Limit,” </w:t>
      </w:r>
      <w:r w:rsidRPr="00B848C2">
        <w:rPr>
          <w:i/>
          <w:iCs/>
        </w:rPr>
        <w:t>Business Standard</w:t>
      </w:r>
      <w:r w:rsidRPr="00B848C2">
        <w:rPr>
          <w:iCs/>
        </w:rPr>
        <w:t>, March 4, 2014, accessed July 18, 2017, www.indiainfoline.com/article/capital-market-hot-pursuit/maruti-suzuki-india-slips-as-fii-investments-reach-trigger-limit-114030400015_1.html.</w:t>
      </w:r>
    </w:p>
  </w:endnote>
  <w:endnote w:id="57">
    <w:p w14:paraId="18D261FA" w14:textId="3E0DAAB0" w:rsidR="00014C38" w:rsidRPr="00B848C2" w:rsidRDefault="00014C38" w:rsidP="00222C3C">
      <w:pPr>
        <w:pStyle w:val="Footnote"/>
        <w:rPr>
          <w:iCs/>
          <w:spacing w:val="-8"/>
          <w:kern w:val="17"/>
        </w:rPr>
      </w:pPr>
      <w:r w:rsidRPr="00B848C2">
        <w:rPr>
          <w:rStyle w:val="EndnoteReference"/>
          <w:iCs/>
          <w:spacing w:val="-8"/>
          <w:kern w:val="17"/>
        </w:rPr>
        <w:endnoteRef/>
      </w:r>
      <w:r w:rsidRPr="00B848C2">
        <w:rPr>
          <w:iCs/>
          <w:spacing w:val="-8"/>
          <w:kern w:val="17"/>
        </w:rPr>
        <w:t xml:space="preserve"> Subhro Niyogii, “Maruti Working on Diesel Engines for Entire Range,” </w:t>
      </w:r>
      <w:r w:rsidRPr="00B848C2">
        <w:rPr>
          <w:i/>
          <w:iCs/>
          <w:spacing w:val="-8"/>
          <w:kern w:val="17"/>
        </w:rPr>
        <w:t>Times of India</w:t>
      </w:r>
      <w:r w:rsidRPr="00B848C2">
        <w:rPr>
          <w:iCs/>
          <w:spacing w:val="-8"/>
          <w:kern w:val="17"/>
        </w:rPr>
        <w:t>, February 10, 2014, accessed July 11, 2014, http://timesofindia.indiatimes.com/business/india-business/Maruti-working-on-diesel-engines-for-entire-range/articleshow/30160536.cms.</w:t>
      </w:r>
    </w:p>
  </w:endnote>
  <w:endnote w:id="58">
    <w:p w14:paraId="5A056F77" w14:textId="4974E624" w:rsidR="00014C38" w:rsidRPr="00B848C2" w:rsidRDefault="00014C38" w:rsidP="00222C3C">
      <w:pPr>
        <w:pStyle w:val="Footnote"/>
        <w:rPr>
          <w:iCs/>
        </w:rPr>
      </w:pPr>
      <w:r w:rsidRPr="00B848C2">
        <w:rPr>
          <w:rStyle w:val="EndnoteReference"/>
          <w:iCs/>
        </w:rPr>
        <w:endnoteRef/>
      </w:r>
      <w:r w:rsidRPr="00B848C2">
        <w:rPr>
          <w:iCs/>
        </w:rPr>
        <w:t xml:space="preserve"> “Waiting Period for Maruti Celerio AMT Goes Up</w:t>
      </w:r>
      <w:r w:rsidRPr="00B848C2">
        <w:t xml:space="preserve">,” April 28, 2014, accessed July 11, 2014, </w:t>
      </w:r>
      <w:hyperlink r:id="rId18" w:history="1">
        <w:r w:rsidRPr="00B848C2">
          <w:t>www.autocarindia.com/auto-news/waiting-period-for-maruti-celerio-amt-goes-up-383948.aspx</w:t>
        </w:r>
      </w:hyperlink>
      <w:r w:rsidRPr="00B848C2">
        <w:t>.</w:t>
      </w:r>
    </w:p>
  </w:endnote>
  <w:endnote w:id="59">
    <w:p w14:paraId="067751EE" w14:textId="6B932569" w:rsidR="00014C38" w:rsidRPr="00B848C2" w:rsidRDefault="00014C38" w:rsidP="00222C3C">
      <w:pPr>
        <w:pStyle w:val="Footnote"/>
      </w:pPr>
      <w:r w:rsidRPr="00B848C2">
        <w:rPr>
          <w:rStyle w:val="EndnoteReference"/>
          <w:iCs/>
        </w:rPr>
        <w:endnoteRef/>
      </w:r>
      <w:r w:rsidR="003C4D8C">
        <w:rPr>
          <w:iCs/>
        </w:rPr>
        <w:t xml:space="preserve"> “GDP Annual Growth Rate—</w:t>
      </w:r>
      <w:r w:rsidRPr="00B848C2">
        <w:rPr>
          <w:iCs/>
        </w:rPr>
        <w:t xml:space="preserve">Forecast,” Trading Economics, </w:t>
      </w:r>
      <w:r w:rsidRPr="00B848C2">
        <w:t>a</w:t>
      </w:r>
      <w:r w:rsidRPr="00B848C2">
        <w:rPr>
          <w:iCs/>
        </w:rPr>
        <w:t xml:space="preserve">ccessed July 11, 2014, </w:t>
      </w:r>
      <w:hyperlink r:id="rId19" w:history="1">
        <w:r w:rsidRPr="00B848C2">
          <w:t>www.tradingeconomics.com/forecast/gdp-annual-growth-rate</w:t>
        </w:r>
      </w:hyperlink>
      <w:r w:rsidRPr="00B848C2">
        <w:t xml:space="preserve">; “Global Economic Outlook 2017,” The Conference Board, accessed July 11, 2014, </w:t>
      </w:r>
      <w:hyperlink r:id="rId20" w:history="1">
        <w:r w:rsidRPr="00B848C2">
          <w:rPr>
            <w:rStyle w:val="Hyperlink"/>
            <w:color w:val="auto"/>
            <w:u w:val="none"/>
          </w:rPr>
          <w:t>https://www.conference-board.org/data/globaloutlook.cfm</w:t>
        </w:r>
      </w:hyperlink>
      <w:r w:rsidRPr="00B848C2">
        <w:rPr>
          <w:iCs/>
        </w:rPr>
        <w:t>.</w:t>
      </w:r>
    </w:p>
  </w:endnote>
  <w:endnote w:id="60">
    <w:p w14:paraId="2A8EC29F" w14:textId="13B3CA67" w:rsidR="00014C38" w:rsidRPr="00B848C2" w:rsidRDefault="00014C38" w:rsidP="00222C3C">
      <w:pPr>
        <w:pStyle w:val="Footnote"/>
        <w:rPr>
          <w:iCs/>
        </w:rPr>
      </w:pPr>
      <w:r w:rsidRPr="00B848C2">
        <w:rPr>
          <w:rStyle w:val="EndnoteReference"/>
          <w:iCs/>
        </w:rPr>
        <w:endnoteRef/>
      </w:r>
      <w:r w:rsidRPr="00B848C2">
        <w:rPr>
          <w:iCs/>
        </w:rPr>
        <w:t xml:space="preserve"> Deutsche, </w:t>
      </w:r>
      <w:r w:rsidRPr="00B848C2">
        <w:rPr>
          <w:i/>
          <w:iCs/>
        </w:rPr>
        <w:t>Equity Research Report,</w:t>
      </w:r>
      <w:r w:rsidRPr="00B848C2">
        <w:rPr>
          <w:iCs/>
        </w:rPr>
        <w:t xml:space="preserve"> January 29, 2014.</w:t>
      </w:r>
    </w:p>
  </w:endnote>
  <w:endnote w:id="61">
    <w:p w14:paraId="41CD1937" w14:textId="6C4C2D3C" w:rsidR="00014C38" w:rsidRPr="00B848C2" w:rsidRDefault="00014C38" w:rsidP="00222C3C">
      <w:pPr>
        <w:pStyle w:val="Footnote"/>
        <w:rPr>
          <w:iCs/>
        </w:rPr>
      </w:pPr>
      <w:r w:rsidRPr="00B848C2">
        <w:rPr>
          <w:rStyle w:val="EndnoteReference"/>
          <w:iCs/>
        </w:rPr>
        <w:endnoteRef/>
      </w:r>
      <w:r w:rsidRPr="00B848C2">
        <w:rPr>
          <w:iCs/>
        </w:rPr>
        <w:t xml:space="preserve"> R. C. Bhargava, “Chapter 6: Back on Track,” in </w:t>
      </w:r>
      <w:r w:rsidRPr="00B848C2">
        <w:rPr>
          <w:i/>
          <w:iCs/>
        </w:rPr>
        <w:t>The Maruti Story: How a Public Sector Company Put India on Wheels</w:t>
      </w:r>
      <w:r w:rsidRPr="00B848C2">
        <w:rPr>
          <w:iCs/>
        </w:rPr>
        <w:t xml:space="preserve"> (Noida: HarperCollins Publishers India, 2010). </w:t>
      </w:r>
    </w:p>
  </w:endnote>
  <w:endnote w:id="62">
    <w:p w14:paraId="744D2972" w14:textId="29E2B258" w:rsidR="00014C38" w:rsidRPr="00B848C2" w:rsidRDefault="00014C38" w:rsidP="00222C3C">
      <w:pPr>
        <w:pStyle w:val="Footnote"/>
        <w:rPr>
          <w:iCs/>
        </w:rPr>
      </w:pPr>
      <w:r w:rsidRPr="00B848C2">
        <w:rPr>
          <w:rStyle w:val="EndnoteReference"/>
          <w:iCs/>
        </w:rPr>
        <w:endnoteRef/>
      </w:r>
      <w:r w:rsidRPr="00B848C2">
        <w:rPr>
          <w:iCs/>
        </w:rPr>
        <w:t xml:space="preserve"> Credit Suisse, </w:t>
      </w:r>
      <w:r w:rsidRPr="00B848C2">
        <w:rPr>
          <w:i/>
          <w:iCs/>
        </w:rPr>
        <w:t>Equity Research Report,</w:t>
      </w:r>
      <w:r w:rsidRPr="00B848C2">
        <w:rPr>
          <w:iCs/>
        </w:rPr>
        <w:t xml:space="preserve"> January 28, 2014.</w:t>
      </w:r>
    </w:p>
  </w:endnote>
  <w:endnote w:id="63">
    <w:p w14:paraId="4F3BEBC8" w14:textId="7D228922" w:rsidR="00014C38" w:rsidRPr="00B848C2" w:rsidRDefault="00014C38" w:rsidP="00222C3C">
      <w:pPr>
        <w:pStyle w:val="Footnote"/>
        <w:rPr>
          <w:iCs/>
        </w:rPr>
      </w:pPr>
      <w:r w:rsidRPr="00B848C2">
        <w:rPr>
          <w:rStyle w:val="EndnoteReference"/>
          <w:iCs/>
        </w:rPr>
        <w:endnoteRef/>
      </w:r>
      <w:r w:rsidRPr="00B848C2">
        <w:rPr>
          <w:iCs/>
        </w:rPr>
        <w:t xml:space="preserve"> HDFC Securities, </w:t>
      </w:r>
      <w:r w:rsidRPr="00B848C2">
        <w:rPr>
          <w:i/>
          <w:iCs/>
        </w:rPr>
        <w:t>Equity Research Report,</w:t>
      </w:r>
      <w:r w:rsidRPr="00B848C2">
        <w:rPr>
          <w:iCs/>
        </w:rPr>
        <w:t xml:space="preserve"> accessed July 11, 2014, Bloomberg; ICICI Securities,</w:t>
      </w:r>
      <w:r w:rsidRPr="00B848C2">
        <w:t xml:space="preserve"> </w:t>
      </w:r>
      <w:r w:rsidRPr="00B848C2">
        <w:rPr>
          <w:i/>
          <w:iCs/>
        </w:rPr>
        <w:t>Equity Research Report,</w:t>
      </w:r>
      <w:r w:rsidRPr="00B848C2">
        <w:rPr>
          <w:iCs/>
        </w:rPr>
        <w:t xml:space="preserve"> accessed July 11, 2014, Bloomberg.</w:t>
      </w:r>
    </w:p>
  </w:endnote>
  <w:endnote w:id="64">
    <w:p w14:paraId="48D12AC0" w14:textId="0906FE94" w:rsidR="00014C38" w:rsidRPr="00B848C2" w:rsidRDefault="00014C38" w:rsidP="00222C3C">
      <w:pPr>
        <w:pStyle w:val="Footnote"/>
        <w:rPr>
          <w:iCs/>
        </w:rPr>
      </w:pPr>
      <w:r w:rsidRPr="00B848C2">
        <w:rPr>
          <w:rStyle w:val="EndnoteReference"/>
          <w:iCs/>
        </w:rPr>
        <w:endnoteRef/>
      </w:r>
      <w:r w:rsidRPr="00B848C2">
        <w:rPr>
          <w:iCs/>
        </w:rPr>
        <w:t xml:space="preserve"> “Maruti Suzuki India Limited: Consensus Estimates Analysis,” Reuters, </w:t>
      </w:r>
      <w:r w:rsidRPr="00B848C2">
        <w:t>accessed</w:t>
      </w:r>
      <w:r w:rsidRPr="00B848C2">
        <w:rPr>
          <w:iCs/>
        </w:rPr>
        <w:t xml:space="preserve"> July 11, 2014, </w:t>
      </w:r>
      <w:hyperlink r:id="rId21" w:history="1">
        <w:r w:rsidRPr="00B848C2">
          <w:t>http://in.reuters.com/finance/stocks/analyst?symbol=MRTI.NS</w:t>
        </w:r>
      </w:hyperlink>
      <w:r w:rsidRPr="00B848C2">
        <w:rPr>
          <w:iCs/>
        </w:rPr>
        <w:t>.</w:t>
      </w:r>
    </w:p>
  </w:endnote>
  <w:endnote w:id="65">
    <w:p w14:paraId="1B61F273" w14:textId="58D98D11" w:rsidR="00014C38" w:rsidRPr="00B848C2" w:rsidRDefault="00014C38" w:rsidP="00222C3C">
      <w:pPr>
        <w:pStyle w:val="Footnote"/>
        <w:rPr>
          <w:rFonts w:ascii="Times New Roman" w:hAnsi="Times New Roman" w:cs="Times New Roman"/>
          <w:sz w:val="22"/>
          <w:szCs w:val="22"/>
        </w:rPr>
      </w:pPr>
      <w:r w:rsidRPr="00B848C2">
        <w:rPr>
          <w:rStyle w:val="EndnoteReference"/>
          <w:iCs/>
        </w:rPr>
        <w:endnoteRef/>
      </w:r>
      <w:r w:rsidRPr="00B848C2">
        <w:rPr>
          <w:iCs/>
        </w:rPr>
        <w:t xml:space="preserve"> “Fund Managers Keen on Big Returns, not Corporate Governance,” Money Control, March 11, 2014, accessed July 11, 2014,</w:t>
      </w:r>
      <w:r w:rsidRPr="00B848C2">
        <w:t xml:space="preserve"> </w:t>
      </w:r>
      <w:hyperlink r:id="rId22" w:history="1">
        <w:r w:rsidRPr="00B848C2">
          <w:t>www.moneycontrol.com/news/market-edge/fund-managers-keenbig-returns-not-corporate-governance_1052156.html</w:t>
        </w:r>
      </w:hyperlink>
      <w:r w:rsidRPr="00B848C2">
        <w:t>.</w:t>
      </w:r>
    </w:p>
  </w:endnote>
  <w:endnote w:id="66">
    <w:p w14:paraId="179EF26F" w14:textId="227EB36B" w:rsidR="00014C38" w:rsidRPr="00393CF3" w:rsidRDefault="00014C38" w:rsidP="00222C3C">
      <w:pPr>
        <w:pStyle w:val="Footnote"/>
        <w:rPr>
          <w:iCs/>
        </w:rPr>
      </w:pPr>
      <w:r w:rsidRPr="00B848C2">
        <w:rPr>
          <w:rStyle w:val="EndnoteReference"/>
          <w:iCs/>
        </w:rPr>
        <w:endnoteRef/>
      </w:r>
      <w:r w:rsidRPr="00B848C2">
        <w:t xml:space="preserve"> Ibid.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IveyVHWLogos">
    <w:altName w:val="Courier New"/>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40A3F3" w14:textId="77777777" w:rsidR="00014C38" w:rsidRDefault="00014C38" w:rsidP="00D75295">
      <w:r>
        <w:separator/>
      </w:r>
    </w:p>
  </w:footnote>
  <w:footnote w:type="continuationSeparator" w:id="0">
    <w:p w14:paraId="184BB4E9" w14:textId="77777777" w:rsidR="00014C38" w:rsidRDefault="00014C38"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460E9" w14:textId="04AEF7B5" w:rsidR="00014C38" w:rsidRDefault="00014C38"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47140">
      <w:rPr>
        <w:rFonts w:ascii="Arial" w:hAnsi="Arial"/>
        <w:b/>
        <w:noProof/>
      </w:rPr>
      <w:t>2</w:t>
    </w:r>
    <w:r>
      <w:rPr>
        <w:rFonts w:ascii="Arial" w:hAnsi="Arial"/>
        <w:b/>
      </w:rPr>
      <w:fldChar w:fldCharType="end"/>
    </w:r>
    <w:r>
      <w:rPr>
        <w:rFonts w:ascii="Arial" w:hAnsi="Arial"/>
        <w:b/>
      </w:rPr>
      <w:tab/>
      <w:t>9B17N014</w:t>
    </w:r>
  </w:p>
  <w:p w14:paraId="3E36A04A" w14:textId="77777777" w:rsidR="00014C38" w:rsidRPr="00C92CC4" w:rsidRDefault="00014C38">
    <w:pPr>
      <w:pStyle w:val="Header"/>
      <w:rPr>
        <w:sz w:val="18"/>
        <w:szCs w:val="18"/>
      </w:rPr>
    </w:pPr>
  </w:p>
  <w:p w14:paraId="50B001F6" w14:textId="77777777" w:rsidR="00014C38" w:rsidRPr="00C92CC4" w:rsidRDefault="00014C38">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7D6040"/>
    <w:multiLevelType w:val="hybridMultilevel"/>
    <w:tmpl w:val="A03A6C1A"/>
    <w:lvl w:ilvl="0" w:tplc="800E28AC">
      <w:start w:val="1"/>
      <w:numFmt w:val="lowerRoman"/>
      <w:lvlText w:val="%1)"/>
      <w:lvlJc w:val="left"/>
      <w:pPr>
        <w:ind w:left="1080" w:hanging="720"/>
      </w:pPr>
      <w:rPr>
        <w:rFonts w:asciiTheme="minorHAnsi" w:eastAsia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5247453"/>
    <w:multiLevelType w:val="hybridMultilevel"/>
    <w:tmpl w:val="CB5E7B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5"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2"/>
  </w:num>
  <w:num w:numId="17">
    <w:abstractNumId w:val="15"/>
  </w:num>
  <w:num w:numId="18">
    <w:abstractNumId w:val="24"/>
  </w:num>
  <w:num w:numId="19">
    <w:abstractNumId w:val="11"/>
  </w:num>
  <w:num w:numId="20">
    <w:abstractNumId w:val="10"/>
  </w:num>
  <w:num w:numId="21">
    <w:abstractNumId w:val="25"/>
  </w:num>
  <w:num w:numId="22">
    <w:abstractNumId w:val="17"/>
  </w:num>
  <w:num w:numId="23">
    <w:abstractNumId w:val="26"/>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6"/>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6"/>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 w:numId="28">
    <w:abstractNumId w:val="21"/>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48C"/>
    <w:rsid w:val="0000085A"/>
    <w:rsid w:val="00004A60"/>
    <w:rsid w:val="00012D90"/>
    <w:rsid w:val="00013360"/>
    <w:rsid w:val="000147BE"/>
    <w:rsid w:val="00014C38"/>
    <w:rsid w:val="000216CE"/>
    <w:rsid w:val="00023182"/>
    <w:rsid w:val="00025DC7"/>
    <w:rsid w:val="00026486"/>
    <w:rsid w:val="00033186"/>
    <w:rsid w:val="00033CBB"/>
    <w:rsid w:val="00043213"/>
    <w:rsid w:val="00044ECC"/>
    <w:rsid w:val="000531D3"/>
    <w:rsid w:val="0005646B"/>
    <w:rsid w:val="00062125"/>
    <w:rsid w:val="00065D7B"/>
    <w:rsid w:val="00071AF7"/>
    <w:rsid w:val="000735E0"/>
    <w:rsid w:val="00077CEB"/>
    <w:rsid w:val="00077DE0"/>
    <w:rsid w:val="0008102D"/>
    <w:rsid w:val="0008704D"/>
    <w:rsid w:val="000919A3"/>
    <w:rsid w:val="000927A0"/>
    <w:rsid w:val="00094C0E"/>
    <w:rsid w:val="000A0588"/>
    <w:rsid w:val="000A288C"/>
    <w:rsid w:val="000B0B94"/>
    <w:rsid w:val="000B5D72"/>
    <w:rsid w:val="000B766B"/>
    <w:rsid w:val="000C3A8D"/>
    <w:rsid w:val="000C404E"/>
    <w:rsid w:val="000D6798"/>
    <w:rsid w:val="000E26E8"/>
    <w:rsid w:val="000E3671"/>
    <w:rsid w:val="000E3D82"/>
    <w:rsid w:val="000E460B"/>
    <w:rsid w:val="000F0C22"/>
    <w:rsid w:val="000F5BB0"/>
    <w:rsid w:val="000F6470"/>
    <w:rsid w:val="000F6B09"/>
    <w:rsid w:val="000F6FDC"/>
    <w:rsid w:val="00104567"/>
    <w:rsid w:val="00106BFC"/>
    <w:rsid w:val="00117A4B"/>
    <w:rsid w:val="00122379"/>
    <w:rsid w:val="001264BF"/>
    <w:rsid w:val="0012732D"/>
    <w:rsid w:val="001314F9"/>
    <w:rsid w:val="00135617"/>
    <w:rsid w:val="00154FC9"/>
    <w:rsid w:val="001608DD"/>
    <w:rsid w:val="00162092"/>
    <w:rsid w:val="00165BFD"/>
    <w:rsid w:val="0017638B"/>
    <w:rsid w:val="001842C6"/>
    <w:rsid w:val="0018457A"/>
    <w:rsid w:val="00191A40"/>
    <w:rsid w:val="001922A1"/>
    <w:rsid w:val="0019241A"/>
    <w:rsid w:val="001A52D3"/>
    <w:rsid w:val="001A5335"/>
    <w:rsid w:val="001A5727"/>
    <w:rsid w:val="001A752D"/>
    <w:rsid w:val="001B22C9"/>
    <w:rsid w:val="001B3AF3"/>
    <w:rsid w:val="001B42F2"/>
    <w:rsid w:val="001C630E"/>
    <w:rsid w:val="001C7667"/>
    <w:rsid w:val="001F2A89"/>
    <w:rsid w:val="001F64CE"/>
    <w:rsid w:val="001F6E14"/>
    <w:rsid w:val="001F772A"/>
    <w:rsid w:val="002027B0"/>
    <w:rsid w:val="00203AA1"/>
    <w:rsid w:val="00205BF8"/>
    <w:rsid w:val="00207B4D"/>
    <w:rsid w:val="002127BD"/>
    <w:rsid w:val="00213E98"/>
    <w:rsid w:val="00222C3C"/>
    <w:rsid w:val="002243BA"/>
    <w:rsid w:val="002310BD"/>
    <w:rsid w:val="00231E29"/>
    <w:rsid w:val="00232B6D"/>
    <w:rsid w:val="002365FE"/>
    <w:rsid w:val="00236798"/>
    <w:rsid w:val="00253777"/>
    <w:rsid w:val="00255CD9"/>
    <w:rsid w:val="0026311B"/>
    <w:rsid w:val="00270DAD"/>
    <w:rsid w:val="0029159B"/>
    <w:rsid w:val="0029205B"/>
    <w:rsid w:val="002925A9"/>
    <w:rsid w:val="00293011"/>
    <w:rsid w:val="002952C9"/>
    <w:rsid w:val="00295559"/>
    <w:rsid w:val="00295AD8"/>
    <w:rsid w:val="002A561B"/>
    <w:rsid w:val="002B21A9"/>
    <w:rsid w:val="002B52D9"/>
    <w:rsid w:val="002B57B3"/>
    <w:rsid w:val="002C06DB"/>
    <w:rsid w:val="002C4ADF"/>
    <w:rsid w:val="002C56A5"/>
    <w:rsid w:val="002D15F0"/>
    <w:rsid w:val="002E1358"/>
    <w:rsid w:val="002E32F0"/>
    <w:rsid w:val="002E3E20"/>
    <w:rsid w:val="002E4E86"/>
    <w:rsid w:val="002F0C44"/>
    <w:rsid w:val="002F1F01"/>
    <w:rsid w:val="002F3D17"/>
    <w:rsid w:val="002F460C"/>
    <w:rsid w:val="002F476B"/>
    <w:rsid w:val="002F48D6"/>
    <w:rsid w:val="002F587E"/>
    <w:rsid w:val="00306BD9"/>
    <w:rsid w:val="00310187"/>
    <w:rsid w:val="00343565"/>
    <w:rsid w:val="00350DC5"/>
    <w:rsid w:val="00354899"/>
    <w:rsid w:val="00355FD6"/>
    <w:rsid w:val="00360D05"/>
    <w:rsid w:val="00361C8E"/>
    <w:rsid w:val="003641A6"/>
    <w:rsid w:val="00364A5C"/>
    <w:rsid w:val="00364E05"/>
    <w:rsid w:val="0036732D"/>
    <w:rsid w:val="0037065E"/>
    <w:rsid w:val="00370907"/>
    <w:rsid w:val="00373FB1"/>
    <w:rsid w:val="003A2138"/>
    <w:rsid w:val="003A2383"/>
    <w:rsid w:val="003A5C51"/>
    <w:rsid w:val="003A6D73"/>
    <w:rsid w:val="003B020D"/>
    <w:rsid w:val="003B174C"/>
    <w:rsid w:val="003B1E62"/>
    <w:rsid w:val="003B30D8"/>
    <w:rsid w:val="003B4BEE"/>
    <w:rsid w:val="003B7798"/>
    <w:rsid w:val="003B7EF2"/>
    <w:rsid w:val="003C0A88"/>
    <w:rsid w:val="003C3FA4"/>
    <w:rsid w:val="003C4D8C"/>
    <w:rsid w:val="003C656D"/>
    <w:rsid w:val="003D06A9"/>
    <w:rsid w:val="003D261D"/>
    <w:rsid w:val="003D3C29"/>
    <w:rsid w:val="003E044B"/>
    <w:rsid w:val="003F2B0C"/>
    <w:rsid w:val="003F6804"/>
    <w:rsid w:val="00403051"/>
    <w:rsid w:val="00403A35"/>
    <w:rsid w:val="00403C6F"/>
    <w:rsid w:val="00404DAB"/>
    <w:rsid w:val="00407DD3"/>
    <w:rsid w:val="004146A1"/>
    <w:rsid w:val="00417AC7"/>
    <w:rsid w:val="004221E4"/>
    <w:rsid w:val="00422F81"/>
    <w:rsid w:val="00444CB9"/>
    <w:rsid w:val="00444D7C"/>
    <w:rsid w:val="00454664"/>
    <w:rsid w:val="004573BA"/>
    <w:rsid w:val="004676F1"/>
    <w:rsid w:val="00470F14"/>
    <w:rsid w:val="00471088"/>
    <w:rsid w:val="00483451"/>
    <w:rsid w:val="00483AF9"/>
    <w:rsid w:val="0049144A"/>
    <w:rsid w:val="00492F2F"/>
    <w:rsid w:val="00495E79"/>
    <w:rsid w:val="004A053C"/>
    <w:rsid w:val="004A1FA9"/>
    <w:rsid w:val="004A3B0D"/>
    <w:rsid w:val="004B1CCB"/>
    <w:rsid w:val="004C386B"/>
    <w:rsid w:val="004D3C0A"/>
    <w:rsid w:val="004D73A5"/>
    <w:rsid w:val="004E46B5"/>
    <w:rsid w:val="004E5B93"/>
    <w:rsid w:val="004F75B6"/>
    <w:rsid w:val="0050084D"/>
    <w:rsid w:val="0050405C"/>
    <w:rsid w:val="00506417"/>
    <w:rsid w:val="00511118"/>
    <w:rsid w:val="005118CC"/>
    <w:rsid w:val="00520106"/>
    <w:rsid w:val="00520BBC"/>
    <w:rsid w:val="00525852"/>
    <w:rsid w:val="00525D19"/>
    <w:rsid w:val="005269B1"/>
    <w:rsid w:val="00527F4C"/>
    <w:rsid w:val="00532326"/>
    <w:rsid w:val="00532CF5"/>
    <w:rsid w:val="005355FC"/>
    <w:rsid w:val="005414B4"/>
    <w:rsid w:val="00541D85"/>
    <w:rsid w:val="00543428"/>
    <w:rsid w:val="00545E5C"/>
    <w:rsid w:val="00545F75"/>
    <w:rsid w:val="00546959"/>
    <w:rsid w:val="00550580"/>
    <w:rsid w:val="005528CB"/>
    <w:rsid w:val="00560AAA"/>
    <w:rsid w:val="00566771"/>
    <w:rsid w:val="00571567"/>
    <w:rsid w:val="00573044"/>
    <w:rsid w:val="00577282"/>
    <w:rsid w:val="00581E17"/>
    <w:rsid w:val="00581E2E"/>
    <w:rsid w:val="00584F15"/>
    <w:rsid w:val="00590563"/>
    <w:rsid w:val="005913C8"/>
    <w:rsid w:val="00597D15"/>
    <w:rsid w:val="005A44CC"/>
    <w:rsid w:val="005C4CF3"/>
    <w:rsid w:val="005C6CD1"/>
    <w:rsid w:val="005D3011"/>
    <w:rsid w:val="005E4EC7"/>
    <w:rsid w:val="005E5E99"/>
    <w:rsid w:val="005F46B1"/>
    <w:rsid w:val="005F5F89"/>
    <w:rsid w:val="00607138"/>
    <w:rsid w:val="00607683"/>
    <w:rsid w:val="00607BE9"/>
    <w:rsid w:val="00610028"/>
    <w:rsid w:val="00612557"/>
    <w:rsid w:val="0061463D"/>
    <w:rsid w:val="006163F7"/>
    <w:rsid w:val="006219AE"/>
    <w:rsid w:val="006227F1"/>
    <w:rsid w:val="00624B3E"/>
    <w:rsid w:val="00625096"/>
    <w:rsid w:val="00640516"/>
    <w:rsid w:val="00641D94"/>
    <w:rsid w:val="006513DB"/>
    <w:rsid w:val="00652606"/>
    <w:rsid w:val="00654CDA"/>
    <w:rsid w:val="00657873"/>
    <w:rsid w:val="00657F1B"/>
    <w:rsid w:val="00664756"/>
    <w:rsid w:val="006652C0"/>
    <w:rsid w:val="006742D9"/>
    <w:rsid w:val="00682754"/>
    <w:rsid w:val="006828D4"/>
    <w:rsid w:val="006902B9"/>
    <w:rsid w:val="006917A2"/>
    <w:rsid w:val="00697F21"/>
    <w:rsid w:val="006A58A9"/>
    <w:rsid w:val="006A606D"/>
    <w:rsid w:val="006A74D8"/>
    <w:rsid w:val="006A75C4"/>
    <w:rsid w:val="006B48F5"/>
    <w:rsid w:val="006B60C3"/>
    <w:rsid w:val="006B7F7A"/>
    <w:rsid w:val="006C0371"/>
    <w:rsid w:val="006C08B6"/>
    <w:rsid w:val="006C0B1A"/>
    <w:rsid w:val="006C270C"/>
    <w:rsid w:val="006C4384"/>
    <w:rsid w:val="006C6065"/>
    <w:rsid w:val="006C6C2A"/>
    <w:rsid w:val="006C7B0A"/>
    <w:rsid w:val="006C7F9F"/>
    <w:rsid w:val="006E2F6D"/>
    <w:rsid w:val="006E3E66"/>
    <w:rsid w:val="006E53B0"/>
    <w:rsid w:val="006E58F6"/>
    <w:rsid w:val="006E765E"/>
    <w:rsid w:val="006E77E1"/>
    <w:rsid w:val="006F08DD"/>
    <w:rsid w:val="006F131D"/>
    <w:rsid w:val="006F4CD0"/>
    <w:rsid w:val="006F5181"/>
    <w:rsid w:val="00701AF2"/>
    <w:rsid w:val="00703C3C"/>
    <w:rsid w:val="0071791F"/>
    <w:rsid w:val="007201CC"/>
    <w:rsid w:val="00723C2F"/>
    <w:rsid w:val="0073353F"/>
    <w:rsid w:val="007355D5"/>
    <w:rsid w:val="00735879"/>
    <w:rsid w:val="00742E0F"/>
    <w:rsid w:val="00752BCD"/>
    <w:rsid w:val="00757701"/>
    <w:rsid w:val="00763AD0"/>
    <w:rsid w:val="00766DA1"/>
    <w:rsid w:val="00775EC8"/>
    <w:rsid w:val="0078034A"/>
    <w:rsid w:val="00780C73"/>
    <w:rsid w:val="007866A6"/>
    <w:rsid w:val="0079172D"/>
    <w:rsid w:val="007A130D"/>
    <w:rsid w:val="007B09C4"/>
    <w:rsid w:val="007B16FA"/>
    <w:rsid w:val="007B3DF8"/>
    <w:rsid w:val="007B59BF"/>
    <w:rsid w:val="007C56F3"/>
    <w:rsid w:val="007D4102"/>
    <w:rsid w:val="007D4D29"/>
    <w:rsid w:val="007D7B78"/>
    <w:rsid w:val="007D7C8E"/>
    <w:rsid w:val="007E5921"/>
    <w:rsid w:val="007E7D08"/>
    <w:rsid w:val="007F511B"/>
    <w:rsid w:val="007F71FD"/>
    <w:rsid w:val="007F7235"/>
    <w:rsid w:val="008058B7"/>
    <w:rsid w:val="00811678"/>
    <w:rsid w:val="00812F38"/>
    <w:rsid w:val="00821FFC"/>
    <w:rsid w:val="008227A3"/>
    <w:rsid w:val="0082581B"/>
    <w:rsid w:val="008271CA"/>
    <w:rsid w:val="00827BA9"/>
    <w:rsid w:val="008464F6"/>
    <w:rsid w:val="008467D5"/>
    <w:rsid w:val="00851CB0"/>
    <w:rsid w:val="00856D9F"/>
    <w:rsid w:val="008575B3"/>
    <w:rsid w:val="0086202F"/>
    <w:rsid w:val="00864133"/>
    <w:rsid w:val="00866F6D"/>
    <w:rsid w:val="00876913"/>
    <w:rsid w:val="008873FE"/>
    <w:rsid w:val="008953C3"/>
    <w:rsid w:val="00896949"/>
    <w:rsid w:val="008A4DC4"/>
    <w:rsid w:val="008B0D5A"/>
    <w:rsid w:val="008B1937"/>
    <w:rsid w:val="008B2B96"/>
    <w:rsid w:val="008B4217"/>
    <w:rsid w:val="008B78A6"/>
    <w:rsid w:val="008C7D08"/>
    <w:rsid w:val="008D09FD"/>
    <w:rsid w:val="008E08DF"/>
    <w:rsid w:val="008E0CAD"/>
    <w:rsid w:val="008E3509"/>
    <w:rsid w:val="008F1ABB"/>
    <w:rsid w:val="008F1CC9"/>
    <w:rsid w:val="009067A4"/>
    <w:rsid w:val="0090722E"/>
    <w:rsid w:val="0091676D"/>
    <w:rsid w:val="009220D9"/>
    <w:rsid w:val="009279AD"/>
    <w:rsid w:val="009340DB"/>
    <w:rsid w:val="00934100"/>
    <w:rsid w:val="009443F9"/>
    <w:rsid w:val="009525BD"/>
    <w:rsid w:val="00955D44"/>
    <w:rsid w:val="00955E7F"/>
    <w:rsid w:val="00960009"/>
    <w:rsid w:val="00961DE1"/>
    <w:rsid w:val="00972498"/>
    <w:rsid w:val="00973666"/>
    <w:rsid w:val="00974CC6"/>
    <w:rsid w:val="00976AD4"/>
    <w:rsid w:val="00980AEE"/>
    <w:rsid w:val="009870D6"/>
    <w:rsid w:val="00990032"/>
    <w:rsid w:val="009A312F"/>
    <w:rsid w:val="009A5348"/>
    <w:rsid w:val="009A615E"/>
    <w:rsid w:val="009A67BB"/>
    <w:rsid w:val="009C053A"/>
    <w:rsid w:val="009C76D5"/>
    <w:rsid w:val="009E5CAB"/>
    <w:rsid w:val="009E63C5"/>
    <w:rsid w:val="009F0957"/>
    <w:rsid w:val="009F7AA4"/>
    <w:rsid w:val="00A07F0F"/>
    <w:rsid w:val="00A10124"/>
    <w:rsid w:val="00A128CD"/>
    <w:rsid w:val="00A1542F"/>
    <w:rsid w:val="00A23484"/>
    <w:rsid w:val="00A249E4"/>
    <w:rsid w:val="00A275C4"/>
    <w:rsid w:val="00A4037F"/>
    <w:rsid w:val="00A41430"/>
    <w:rsid w:val="00A46115"/>
    <w:rsid w:val="00A47140"/>
    <w:rsid w:val="00A54E5C"/>
    <w:rsid w:val="00A559DB"/>
    <w:rsid w:val="00A65879"/>
    <w:rsid w:val="00A65F8D"/>
    <w:rsid w:val="00A67BDE"/>
    <w:rsid w:val="00A759D7"/>
    <w:rsid w:val="00A838C5"/>
    <w:rsid w:val="00AA3000"/>
    <w:rsid w:val="00AA5443"/>
    <w:rsid w:val="00AB32B0"/>
    <w:rsid w:val="00AB732C"/>
    <w:rsid w:val="00AD4B59"/>
    <w:rsid w:val="00AD783D"/>
    <w:rsid w:val="00AF35FC"/>
    <w:rsid w:val="00AF6098"/>
    <w:rsid w:val="00B03639"/>
    <w:rsid w:val="00B0652A"/>
    <w:rsid w:val="00B216E4"/>
    <w:rsid w:val="00B24E5D"/>
    <w:rsid w:val="00B2558D"/>
    <w:rsid w:val="00B35FAB"/>
    <w:rsid w:val="00B3757D"/>
    <w:rsid w:val="00B37BC5"/>
    <w:rsid w:val="00B40937"/>
    <w:rsid w:val="00B423EF"/>
    <w:rsid w:val="00B453DE"/>
    <w:rsid w:val="00B4542A"/>
    <w:rsid w:val="00B4742F"/>
    <w:rsid w:val="00B53F02"/>
    <w:rsid w:val="00B62355"/>
    <w:rsid w:val="00B63DE7"/>
    <w:rsid w:val="00B6538D"/>
    <w:rsid w:val="00B65F0F"/>
    <w:rsid w:val="00B7335A"/>
    <w:rsid w:val="00B82AB7"/>
    <w:rsid w:val="00B848C2"/>
    <w:rsid w:val="00B901F9"/>
    <w:rsid w:val="00BA01F4"/>
    <w:rsid w:val="00BA105A"/>
    <w:rsid w:val="00BA4154"/>
    <w:rsid w:val="00BA452A"/>
    <w:rsid w:val="00BA5026"/>
    <w:rsid w:val="00BB38C4"/>
    <w:rsid w:val="00BB40DF"/>
    <w:rsid w:val="00BB4847"/>
    <w:rsid w:val="00BC2756"/>
    <w:rsid w:val="00BD6EFB"/>
    <w:rsid w:val="00BE11DA"/>
    <w:rsid w:val="00BF1A36"/>
    <w:rsid w:val="00C07C76"/>
    <w:rsid w:val="00C13080"/>
    <w:rsid w:val="00C15BE2"/>
    <w:rsid w:val="00C22219"/>
    <w:rsid w:val="00C26087"/>
    <w:rsid w:val="00C26D40"/>
    <w:rsid w:val="00C32D45"/>
    <w:rsid w:val="00C3447F"/>
    <w:rsid w:val="00C37ED2"/>
    <w:rsid w:val="00C44928"/>
    <w:rsid w:val="00C77597"/>
    <w:rsid w:val="00C81491"/>
    <w:rsid w:val="00C81676"/>
    <w:rsid w:val="00C92CC4"/>
    <w:rsid w:val="00C939F2"/>
    <w:rsid w:val="00CA0AFB"/>
    <w:rsid w:val="00CA2CE1"/>
    <w:rsid w:val="00CA3976"/>
    <w:rsid w:val="00CA757B"/>
    <w:rsid w:val="00CB07D4"/>
    <w:rsid w:val="00CB4358"/>
    <w:rsid w:val="00CC1787"/>
    <w:rsid w:val="00CC182C"/>
    <w:rsid w:val="00CC4248"/>
    <w:rsid w:val="00CC5BB4"/>
    <w:rsid w:val="00CC62A0"/>
    <w:rsid w:val="00CD0824"/>
    <w:rsid w:val="00CD2908"/>
    <w:rsid w:val="00CD46D3"/>
    <w:rsid w:val="00CE05AC"/>
    <w:rsid w:val="00CE0F2E"/>
    <w:rsid w:val="00CE5A09"/>
    <w:rsid w:val="00CE79CD"/>
    <w:rsid w:val="00CE7D36"/>
    <w:rsid w:val="00CF0F1E"/>
    <w:rsid w:val="00CF78DD"/>
    <w:rsid w:val="00D03A82"/>
    <w:rsid w:val="00D10408"/>
    <w:rsid w:val="00D12024"/>
    <w:rsid w:val="00D15344"/>
    <w:rsid w:val="00D21C20"/>
    <w:rsid w:val="00D23B6B"/>
    <w:rsid w:val="00D2723F"/>
    <w:rsid w:val="00D31BEC"/>
    <w:rsid w:val="00D329CF"/>
    <w:rsid w:val="00D32F62"/>
    <w:rsid w:val="00D36A52"/>
    <w:rsid w:val="00D36E30"/>
    <w:rsid w:val="00D40B29"/>
    <w:rsid w:val="00D51C58"/>
    <w:rsid w:val="00D63150"/>
    <w:rsid w:val="00D648CB"/>
    <w:rsid w:val="00D64A32"/>
    <w:rsid w:val="00D64EFC"/>
    <w:rsid w:val="00D704A9"/>
    <w:rsid w:val="00D71891"/>
    <w:rsid w:val="00D75295"/>
    <w:rsid w:val="00D76CE9"/>
    <w:rsid w:val="00D82BE5"/>
    <w:rsid w:val="00D84FAA"/>
    <w:rsid w:val="00D903EB"/>
    <w:rsid w:val="00D97F12"/>
    <w:rsid w:val="00DB42E7"/>
    <w:rsid w:val="00DC5517"/>
    <w:rsid w:val="00DC646E"/>
    <w:rsid w:val="00DC6A2C"/>
    <w:rsid w:val="00DE07B4"/>
    <w:rsid w:val="00DE12DE"/>
    <w:rsid w:val="00DE1CFD"/>
    <w:rsid w:val="00DE7981"/>
    <w:rsid w:val="00DF1569"/>
    <w:rsid w:val="00DF29AC"/>
    <w:rsid w:val="00DF32C2"/>
    <w:rsid w:val="00E04A7C"/>
    <w:rsid w:val="00E06205"/>
    <w:rsid w:val="00E161AB"/>
    <w:rsid w:val="00E17EF5"/>
    <w:rsid w:val="00E471A7"/>
    <w:rsid w:val="00E61ACA"/>
    <w:rsid w:val="00E635CF"/>
    <w:rsid w:val="00E66B02"/>
    <w:rsid w:val="00E76889"/>
    <w:rsid w:val="00E778BE"/>
    <w:rsid w:val="00E8539F"/>
    <w:rsid w:val="00E87F10"/>
    <w:rsid w:val="00E910FC"/>
    <w:rsid w:val="00E92437"/>
    <w:rsid w:val="00EA03A9"/>
    <w:rsid w:val="00EA63A6"/>
    <w:rsid w:val="00EB0064"/>
    <w:rsid w:val="00EB5410"/>
    <w:rsid w:val="00EB6683"/>
    <w:rsid w:val="00EC6E0A"/>
    <w:rsid w:val="00ED0932"/>
    <w:rsid w:val="00ED4E18"/>
    <w:rsid w:val="00ED545D"/>
    <w:rsid w:val="00EE1F37"/>
    <w:rsid w:val="00EE2DAD"/>
    <w:rsid w:val="00EF1B92"/>
    <w:rsid w:val="00F011E2"/>
    <w:rsid w:val="00F01481"/>
    <w:rsid w:val="00F0159C"/>
    <w:rsid w:val="00F037C0"/>
    <w:rsid w:val="00F105B7"/>
    <w:rsid w:val="00F16AF3"/>
    <w:rsid w:val="00F176E0"/>
    <w:rsid w:val="00F17A21"/>
    <w:rsid w:val="00F23375"/>
    <w:rsid w:val="00F2599F"/>
    <w:rsid w:val="00F3310B"/>
    <w:rsid w:val="00F3422B"/>
    <w:rsid w:val="00F45F9A"/>
    <w:rsid w:val="00F50E91"/>
    <w:rsid w:val="00F57CA2"/>
    <w:rsid w:val="00F57D29"/>
    <w:rsid w:val="00F6328A"/>
    <w:rsid w:val="00F63A62"/>
    <w:rsid w:val="00F64C1B"/>
    <w:rsid w:val="00F64CC3"/>
    <w:rsid w:val="00F67A44"/>
    <w:rsid w:val="00F85A3D"/>
    <w:rsid w:val="00F9174A"/>
    <w:rsid w:val="00F92A99"/>
    <w:rsid w:val="00F95FAA"/>
    <w:rsid w:val="00F96201"/>
    <w:rsid w:val="00FB2288"/>
    <w:rsid w:val="00FB3D01"/>
    <w:rsid w:val="00FC06E4"/>
    <w:rsid w:val="00FC30E9"/>
    <w:rsid w:val="00FD0B18"/>
    <w:rsid w:val="00FD0F82"/>
    <w:rsid w:val="00FD2195"/>
    <w:rsid w:val="00FD4CAE"/>
    <w:rsid w:val="00FD58F5"/>
    <w:rsid w:val="00FD74EA"/>
    <w:rsid w:val="00FE246D"/>
    <w:rsid w:val="00FE3D2E"/>
    <w:rsid w:val="00FE714F"/>
    <w:rsid w:val="00FF0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32159AF"/>
  <w15:docId w15:val="{D9408DD4-54BC-48AD-8D57-9F947C0D4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22"/>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styleId="FollowedHyperlink">
    <w:name w:val="FollowedHyperlink"/>
    <w:basedOn w:val="DefaultParagraphFont"/>
    <w:uiPriority w:val="99"/>
    <w:semiHidden/>
    <w:unhideWhenUsed/>
    <w:rsid w:val="00DE798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iamindia.com"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hyperlink" Target="http://www.capitaline.com" TargetMode="Externa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hyperlink" Target="http://www.oica.net/category/production-statistic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ypetrolprice.com/ChartImg.axd?i=charts_2/chart_2_8.png&amp;g=26f5a991d0924518becb692dc0dad1d2" TargetMode="External"/><Relationship Id="rId20" Type="http://schemas.openxmlformats.org/officeDocument/2006/relationships/hyperlink" Target="https://nseindia.com/products/content/debt/wdm/archieve_debt.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nr.fx-exchange.com/jpy/exchange-rates-history.html" TargetMode="External"/><Relationship Id="rId23" Type="http://schemas.openxmlformats.org/officeDocument/2006/relationships/header" Target="header1.xml"/><Relationship Id="rId10" Type="http://schemas.openxmlformats.org/officeDocument/2006/relationships/hyperlink" Target="mailto:cases@ivey.ca"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global-rates.com/interest-rates/central-banks/central-bank-japan/boj-interest-rate.aspx" TargetMode="External"/><Relationship Id="rId22" Type="http://schemas.openxmlformats.org/officeDocument/2006/relationships/hyperlink" Target="http://in.reuters.com/finance/stocks/analyst?symbol=MRTI.NS" TargetMode="External"/></Relationships>
</file>

<file path=word/_rels/endnotes.xml.rels><?xml version="1.0" encoding="UTF-8" standalone="yes"?>
<Relationships xmlns="http://schemas.openxmlformats.org/package/2006/relationships"><Relationship Id="rId8" Type="http://schemas.openxmlformats.org/officeDocument/2006/relationships/hyperlink" Target="http://www.oica.net/2014-q2-production-statistics/" TargetMode="External"/><Relationship Id="rId13" Type="http://schemas.openxmlformats.org/officeDocument/2006/relationships/hyperlink" Target="http://www.moneycontrol.com/news/stocks-views/maruti-tanks-did-street-misread-suzuki-gujarat-move_1032954.html" TargetMode="External"/><Relationship Id="rId18" Type="http://schemas.openxmlformats.org/officeDocument/2006/relationships/hyperlink" Target="http://www.autocarindia.com/auto-news/waiting-period-for-maruti-celerio-amt-goes-up-383948.aspx" TargetMode="External"/><Relationship Id="rId3" Type="http://schemas.openxmlformats.org/officeDocument/2006/relationships/hyperlink" Target="http://www.moneycontrol.com/news/market-edge/fund-managers-keenbig-returns-not-corporate-governance_1052156.html" TargetMode="External"/><Relationship Id="rId21" Type="http://schemas.openxmlformats.org/officeDocument/2006/relationships/hyperlink" Target="http://in.reuters.com/finance/stocks/analyst?symbol=MRTI.NS" TargetMode="External"/><Relationship Id="rId7" Type="http://schemas.openxmlformats.org/officeDocument/2006/relationships/hyperlink" Target="http://www.marutisuzuki.com/company-profile.aspx" TargetMode="External"/><Relationship Id="rId12" Type="http://schemas.openxmlformats.org/officeDocument/2006/relationships/hyperlink" Target="http://www.cnbc.com/id/100294010" TargetMode="External"/><Relationship Id="rId17" Type="http://schemas.openxmlformats.org/officeDocument/2006/relationships/hyperlink" Target="http://www.moneycontrol.com/news/business/scrap-gujarat-plant-dealsuzuki-domestic-mfs-to-maruti_1052721.html" TargetMode="External"/><Relationship Id="rId2" Type="http://schemas.openxmlformats.org/officeDocument/2006/relationships/hyperlink" Target="http://www.moneycontrol.com/news/business/maruti-investors-fight-reaches-new-roundco-unwary_1052901.html" TargetMode="External"/><Relationship Id="rId16" Type="http://schemas.openxmlformats.org/officeDocument/2006/relationships/hyperlink" Target="http://www.marutisuzuki.com/press-release-gujrat2014.aspx" TargetMode="External"/><Relationship Id="rId20" Type="http://schemas.openxmlformats.org/officeDocument/2006/relationships/hyperlink" Target="https://www.conference-board.org/data/globaloutlook.cfm" TargetMode="External"/><Relationship Id="rId1" Type="http://schemas.openxmlformats.org/officeDocument/2006/relationships/hyperlink" Target="http://www.moneycontrol.com/news/business/maruti-plant-stand-off-will-minority-shareholders-matter_1050741.html?utm_source=MC_Mail_Stock_watch" TargetMode="External"/><Relationship Id="rId6" Type="http://schemas.openxmlformats.org/officeDocument/2006/relationships/hyperlink" Target="http://dipam.gov.in/maruti-udyog-ltd" TargetMode="External"/><Relationship Id="rId11" Type="http://schemas.openxmlformats.org/officeDocument/2006/relationships/hyperlink" Target="http://www.livemint.com" TargetMode="External"/><Relationship Id="rId5" Type="http://schemas.openxmlformats.org/officeDocument/2006/relationships/hyperlink" Target="http://www.marutisuzuki.com/press-releases-jan2014.aspx" TargetMode="External"/><Relationship Id="rId15" Type="http://schemas.openxmlformats.org/officeDocument/2006/relationships/hyperlink" Target="http://www.ingovern.com/wp-content/uploads/2014/01/CG-Alert-Maruti-Suzuki.pdf" TargetMode="External"/><Relationship Id="rId10" Type="http://schemas.openxmlformats.org/officeDocument/2006/relationships/hyperlink" Target="http://www.icra.in" TargetMode="External"/><Relationship Id="rId19" Type="http://schemas.openxmlformats.org/officeDocument/2006/relationships/hyperlink" Target="http://www.tradingeconomics.com/forecast/gdp-annual-growth-rate" TargetMode="External"/><Relationship Id="rId4" Type="http://schemas.openxmlformats.org/officeDocument/2006/relationships/hyperlink" Target="http://profit.ndtv.com/stock/maruti-suzuki-india-ltd_maruti/reports" TargetMode="External"/><Relationship Id="rId9" Type="http://schemas.openxmlformats.org/officeDocument/2006/relationships/hyperlink" Target="http://www.rediff.com/business/slide-show/slide-show-1-auto-do-petrol-cars-beat-diesel-in-the-long-term-find-out/20131206.htm" TargetMode="External"/><Relationship Id="rId14" Type="http://schemas.openxmlformats.org/officeDocument/2006/relationships/hyperlink" Target="http://www.moneycontrol.com/news/result-analysis/maruti-shares-rebound-proxy-advisory-firms-wary_1033359.html" TargetMode="External"/><Relationship Id="rId22" Type="http://schemas.openxmlformats.org/officeDocument/2006/relationships/hyperlink" Target="http://www.moneycontrol.com/news/market-edge/fund-managers-keenbig-returns-not-corporate-governance_105215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C4E7691-AE9D-4D59-9150-FC6022274707}">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AB25FDC-AA5C-4221-A04D-EE529C5BF2BF}">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77119-7FF1-4AF1-AB1E-6ED7A5CB4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16</Pages>
  <Words>5192</Words>
  <Characters>29598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34721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6</cp:revision>
  <cp:lastPrinted>2017-07-18T13:38:00Z</cp:lastPrinted>
  <dcterms:created xsi:type="dcterms:W3CDTF">2017-07-18T13:31:00Z</dcterms:created>
  <dcterms:modified xsi:type="dcterms:W3CDTF">2017-08-01T16:05:00Z</dcterms:modified>
</cp:coreProperties>
</file>