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00EBE" w14:textId="4346AF9D" w:rsidR="008467D5" w:rsidRPr="006D732D" w:rsidRDefault="008A0865" w:rsidP="00013360">
      <w:pPr>
        <w:tabs>
          <w:tab w:val="left" w:pos="-1440"/>
          <w:tab w:val="left" w:pos="-720"/>
          <w:tab w:val="left" w:pos="1"/>
          <w:tab w:val="right" w:pos="9360"/>
        </w:tabs>
        <w:jc w:val="both"/>
        <w:rPr>
          <w:rFonts w:ascii="Arial" w:hAnsi="Arial"/>
          <w:sz w:val="24"/>
          <w:lang w:val="en-GB"/>
        </w:rPr>
      </w:pPr>
      <w:r w:rsidRPr="006D732D">
        <w:rPr>
          <w:rFonts w:ascii="Arial" w:hAnsi="Arial"/>
          <w:b/>
          <w:noProof/>
          <w:sz w:val="24"/>
          <w:lang w:val="en-GB" w:eastAsia="en-GB"/>
        </w:rPr>
        <w:drawing>
          <wp:inline distT="0" distB="0" distL="0" distR="0" wp14:anchorId="09CC015D" wp14:editId="725D12C4">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907CB62" w14:textId="77777777" w:rsidR="00856D9F" w:rsidRPr="006D732D"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2B122B12" w14:textId="656564B1" w:rsidR="00D75295" w:rsidRPr="006D732D" w:rsidRDefault="00C015B9" w:rsidP="00F105B7">
      <w:pPr>
        <w:pStyle w:val="ProductNumber"/>
        <w:rPr>
          <w:lang w:val="en-GB"/>
        </w:rPr>
      </w:pPr>
      <w:r w:rsidRPr="006D732D">
        <w:rPr>
          <w:lang w:val="en-GB"/>
        </w:rPr>
        <w:t>9B17N</w:t>
      </w:r>
      <w:r>
        <w:rPr>
          <w:lang w:val="en-GB"/>
        </w:rPr>
        <w:t>016</w:t>
      </w:r>
    </w:p>
    <w:p w14:paraId="730B26EB" w14:textId="77777777" w:rsidR="00D75295" w:rsidRPr="006D732D" w:rsidRDefault="00D75295" w:rsidP="00D75295">
      <w:pPr>
        <w:jc w:val="right"/>
        <w:rPr>
          <w:rFonts w:ascii="Arial" w:hAnsi="Arial"/>
          <w:b/>
          <w:sz w:val="28"/>
          <w:szCs w:val="28"/>
          <w:lang w:val="en-GB"/>
        </w:rPr>
      </w:pPr>
    </w:p>
    <w:p w14:paraId="0DE0F19C" w14:textId="77777777" w:rsidR="00866F6D" w:rsidRPr="006D732D" w:rsidRDefault="00866F6D" w:rsidP="00D75295">
      <w:pPr>
        <w:jc w:val="right"/>
        <w:rPr>
          <w:rFonts w:ascii="Arial" w:hAnsi="Arial"/>
          <w:b/>
          <w:sz w:val="28"/>
          <w:szCs w:val="28"/>
          <w:lang w:val="en-GB"/>
        </w:rPr>
      </w:pPr>
    </w:p>
    <w:p w14:paraId="09A19CA8" w14:textId="47807DEF" w:rsidR="00013360" w:rsidRPr="006D732D" w:rsidRDefault="00F060E7" w:rsidP="00013360">
      <w:pPr>
        <w:pStyle w:val="CaseTitle"/>
        <w:spacing w:after="0" w:line="240" w:lineRule="auto"/>
        <w:rPr>
          <w:lang w:val="en-GB"/>
        </w:rPr>
      </w:pPr>
      <w:r w:rsidRPr="006D732D">
        <w:rPr>
          <w:lang w:val="en-GB"/>
        </w:rPr>
        <w:t xml:space="preserve">TIME VALUE OF MONEY: </w:t>
      </w:r>
      <w:r w:rsidR="005B473A">
        <w:rPr>
          <w:lang w:val="en-GB"/>
        </w:rPr>
        <w:t xml:space="preserve">A HOME </w:t>
      </w:r>
      <w:r w:rsidRPr="006D732D">
        <w:rPr>
          <w:lang w:val="en-GB"/>
        </w:rPr>
        <w:t>INVESTMENT DECISION DILEMMA</w:t>
      </w:r>
    </w:p>
    <w:p w14:paraId="1803883D" w14:textId="77777777" w:rsidR="00013360" w:rsidRPr="006D732D" w:rsidRDefault="00013360" w:rsidP="00013360">
      <w:pPr>
        <w:pStyle w:val="CaseTitle"/>
        <w:spacing w:after="0" w:line="240" w:lineRule="auto"/>
        <w:rPr>
          <w:sz w:val="20"/>
          <w:szCs w:val="20"/>
          <w:lang w:val="en-GB"/>
        </w:rPr>
      </w:pPr>
    </w:p>
    <w:p w14:paraId="5A8E5045" w14:textId="77777777" w:rsidR="00CA3976" w:rsidRPr="006D732D" w:rsidRDefault="00CA3976" w:rsidP="00013360">
      <w:pPr>
        <w:pStyle w:val="CaseTitle"/>
        <w:spacing w:after="0" w:line="240" w:lineRule="auto"/>
        <w:rPr>
          <w:sz w:val="20"/>
          <w:szCs w:val="20"/>
          <w:lang w:val="en-GB"/>
        </w:rPr>
      </w:pPr>
    </w:p>
    <w:p w14:paraId="20AA452E" w14:textId="77777777" w:rsidR="00013360" w:rsidRPr="006D732D" w:rsidRDefault="00013360" w:rsidP="00013360">
      <w:pPr>
        <w:pStyle w:val="CaseTitle"/>
        <w:spacing w:after="0" w:line="240" w:lineRule="auto"/>
        <w:rPr>
          <w:sz w:val="20"/>
          <w:szCs w:val="20"/>
          <w:lang w:val="en-GB"/>
        </w:rPr>
      </w:pPr>
    </w:p>
    <w:p w14:paraId="30325ECD" w14:textId="7DD4BA35" w:rsidR="00013360" w:rsidRPr="006D732D" w:rsidRDefault="007D50EC" w:rsidP="00104567">
      <w:pPr>
        <w:pStyle w:val="StyleCopyrightStatementAfter0ptBottomSinglesolidline1"/>
        <w:rPr>
          <w:lang w:val="en-GB"/>
        </w:rPr>
      </w:pPr>
      <w:r w:rsidRPr="006D732D">
        <w:rPr>
          <w:lang w:val="en-GB"/>
        </w:rPr>
        <w:t>Varun Dawar</w:t>
      </w:r>
      <w:r w:rsidR="00945560" w:rsidRPr="006D732D">
        <w:rPr>
          <w:lang w:val="en-GB"/>
        </w:rPr>
        <w:t>,</w:t>
      </w:r>
      <w:r w:rsidR="006D732D" w:rsidRPr="006D732D">
        <w:rPr>
          <w:lang w:val="en-GB"/>
        </w:rPr>
        <w:t xml:space="preserve"> </w:t>
      </w:r>
      <w:r w:rsidR="000F5787" w:rsidRPr="006D732D">
        <w:rPr>
          <w:lang w:val="en-GB"/>
        </w:rPr>
        <w:t>Arit Chaudhury</w:t>
      </w:r>
      <w:r w:rsidR="006D732D" w:rsidRPr="006D732D">
        <w:rPr>
          <w:lang w:val="en-GB"/>
        </w:rPr>
        <w:t>,</w:t>
      </w:r>
      <w:r w:rsidR="007E5921" w:rsidRPr="006D732D">
        <w:rPr>
          <w:lang w:val="en-GB"/>
        </w:rPr>
        <w:t xml:space="preserve"> </w:t>
      </w:r>
      <w:r w:rsidR="00945560" w:rsidRPr="006D732D">
        <w:rPr>
          <w:lang w:val="en-GB"/>
        </w:rPr>
        <w:t xml:space="preserve">and Rakesh Arrawatia </w:t>
      </w:r>
      <w:r w:rsidR="007E5921" w:rsidRPr="006D732D">
        <w:rPr>
          <w:lang w:val="en-GB"/>
        </w:rPr>
        <w:t>wrote this case sol</w:t>
      </w:r>
      <w:r w:rsidR="00D75295" w:rsidRPr="006D732D">
        <w:rPr>
          <w:lang w:val="en-GB"/>
        </w:rPr>
        <w:t>ely to provide material for class discussion. The author</w:t>
      </w:r>
      <w:r w:rsidR="00495D74" w:rsidRPr="006D732D">
        <w:rPr>
          <w:lang w:val="en-GB"/>
        </w:rPr>
        <w:t>s</w:t>
      </w:r>
      <w:r w:rsidR="00D75295" w:rsidRPr="006D732D">
        <w:rPr>
          <w:lang w:val="en-GB"/>
        </w:rPr>
        <w:t xml:space="preserve"> do not intend to illustrate either effective or ineffective handling of a managerial situation. The authors may have disguised certain names and other identifying information to protect confidentiality.</w:t>
      </w:r>
    </w:p>
    <w:p w14:paraId="176B9BB1" w14:textId="77777777" w:rsidR="00013360" w:rsidRPr="006D732D" w:rsidRDefault="00013360" w:rsidP="00104567">
      <w:pPr>
        <w:pStyle w:val="StyleCopyrightStatementAfter0ptBottomSinglesolidline1"/>
        <w:rPr>
          <w:lang w:val="en-GB"/>
        </w:rPr>
      </w:pPr>
    </w:p>
    <w:p w14:paraId="38E00C83" w14:textId="77777777" w:rsidR="008A0865" w:rsidRPr="006D732D" w:rsidRDefault="008A0865" w:rsidP="003C25FF">
      <w:pPr>
        <w:jc w:val="both"/>
        <w:rPr>
          <w:rFonts w:ascii="Arial" w:hAnsi="Arial" w:cs="Arial"/>
          <w:i/>
          <w:iCs/>
          <w:sz w:val="16"/>
          <w:szCs w:val="16"/>
          <w:lang w:val="en-GB"/>
        </w:rPr>
      </w:pPr>
      <w:r w:rsidRPr="006D732D">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6D732D">
          <w:rPr>
            <w:rFonts w:ascii="Arial" w:hAnsi="Arial" w:cs="Arial"/>
            <w:i/>
            <w:iCs/>
            <w:sz w:val="16"/>
            <w:szCs w:val="16"/>
            <w:lang w:val="en-GB"/>
          </w:rPr>
          <w:t>cases@ivey.ca</w:t>
        </w:r>
      </w:hyperlink>
      <w:r w:rsidRPr="006D732D">
        <w:rPr>
          <w:rFonts w:ascii="Arial" w:hAnsi="Arial" w:cs="Arial"/>
          <w:i/>
          <w:iCs/>
          <w:sz w:val="16"/>
          <w:szCs w:val="16"/>
          <w:lang w:val="en-GB"/>
        </w:rPr>
        <w:t xml:space="preserve">; </w:t>
      </w:r>
      <w:hyperlink r:id="rId10" w:history="1">
        <w:r w:rsidRPr="006D732D">
          <w:rPr>
            <w:rFonts w:ascii="Arial" w:hAnsi="Arial" w:cs="Arial"/>
            <w:i/>
            <w:iCs/>
            <w:sz w:val="16"/>
            <w:szCs w:val="16"/>
            <w:lang w:val="en-GB"/>
          </w:rPr>
          <w:t>www.iveycases.com</w:t>
        </w:r>
      </w:hyperlink>
      <w:r w:rsidRPr="006D732D">
        <w:rPr>
          <w:rFonts w:ascii="Arial" w:hAnsi="Arial" w:cs="Arial"/>
          <w:i/>
          <w:iCs/>
          <w:sz w:val="16"/>
          <w:szCs w:val="16"/>
          <w:lang w:val="en-GB"/>
        </w:rPr>
        <w:t>.</w:t>
      </w:r>
    </w:p>
    <w:p w14:paraId="064CD230" w14:textId="77777777" w:rsidR="008A0865" w:rsidRPr="006D732D" w:rsidRDefault="008A0865" w:rsidP="003C25FF">
      <w:pPr>
        <w:pStyle w:val="StyleCopyrightStatementAfter0ptBottomSinglesolidline1"/>
        <w:pBdr>
          <w:top w:val="none" w:sz="0" w:space="0" w:color="auto"/>
        </w:pBdr>
        <w:rPr>
          <w:lang w:val="en-GB"/>
        </w:rPr>
      </w:pPr>
    </w:p>
    <w:p w14:paraId="53B24D0E" w14:textId="7266E39E" w:rsidR="003B7EF2" w:rsidRPr="006D732D" w:rsidRDefault="008A0865" w:rsidP="003B7EF2">
      <w:pPr>
        <w:pStyle w:val="StyleStyleCopyrightStatementAfter0ptBottomSinglesolid"/>
        <w:rPr>
          <w:lang w:val="en-GB"/>
        </w:rPr>
      </w:pPr>
      <w:r w:rsidRPr="006D732D">
        <w:rPr>
          <w:lang w:val="en-GB"/>
        </w:rPr>
        <w:t>Copyright © 2017, Richard Ivey School of Business Foundation</w:t>
      </w:r>
      <w:r w:rsidR="003B7EF2" w:rsidRPr="006D732D">
        <w:rPr>
          <w:lang w:val="en-GB"/>
        </w:rPr>
        <w:tab/>
        <w:t xml:space="preserve">Version: </w:t>
      </w:r>
      <w:r w:rsidR="00361C8E" w:rsidRPr="006D732D">
        <w:rPr>
          <w:lang w:val="en-GB"/>
        </w:rPr>
        <w:t>201</w:t>
      </w:r>
      <w:r w:rsidR="00DC15D4" w:rsidRPr="006D732D">
        <w:rPr>
          <w:lang w:val="en-GB"/>
        </w:rPr>
        <w:t>7</w:t>
      </w:r>
      <w:r w:rsidR="00361C8E" w:rsidRPr="006D732D">
        <w:rPr>
          <w:lang w:val="en-GB"/>
        </w:rPr>
        <w:t>-</w:t>
      </w:r>
      <w:r w:rsidR="006B282D">
        <w:rPr>
          <w:lang w:val="en-GB"/>
        </w:rPr>
        <w:t>07-26</w:t>
      </w:r>
      <w:bookmarkStart w:id="0" w:name="_GoBack"/>
      <w:bookmarkEnd w:id="0"/>
    </w:p>
    <w:p w14:paraId="7A42F357" w14:textId="77777777" w:rsidR="003B7EF2" w:rsidRPr="006D732D" w:rsidRDefault="003B7EF2" w:rsidP="00104567">
      <w:pPr>
        <w:pStyle w:val="StyleCopyrightStatementAfter0ptBottomSinglesolidline1"/>
        <w:rPr>
          <w:rFonts w:ascii="Times New Roman" w:hAnsi="Times New Roman"/>
          <w:sz w:val="20"/>
          <w:lang w:val="en-GB"/>
        </w:rPr>
      </w:pPr>
    </w:p>
    <w:p w14:paraId="757E47F7" w14:textId="77777777" w:rsidR="008146CF" w:rsidRPr="006D732D" w:rsidRDefault="008146CF" w:rsidP="008146CF">
      <w:pPr>
        <w:pStyle w:val="BodyTextMain"/>
        <w:rPr>
          <w:lang w:val="en-GB"/>
        </w:rPr>
      </w:pPr>
    </w:p>
    <w:p w14:paraId="089BB636" w14:textId="6D774A56" w:rsidR="008146CF" w:rsidRPr="006D732D" w:rsidRDefault="008146CF" w:rsidP="008146CF">
      <w:pPr>
        <w:pStyle w:val="BodyTextMain"/>
        <w:rPr>
          <w:lang w:val="en-GB"/>
        </w:rPr>
      </w:pPr>
      <w:r w:rsidRPr="006D732D">
        <w:rPr>
          <w:lang w:val="en-GB"/>
        </w:rPr>
        <w:t>In early 2016, Naresh Jain, a tax consultant based out of North West Delhi, India</w:t>
      </w:r>
      <w:r w:rsidR="002D79C9" w:rsidRPr="006D732D">
        <w:rPr>
          <w:lang w:val="en-GB"/>
        </w:rPr>
        <w:t>,</w:t>
      </w:r>
      <w:r w:rsidRPr="006D732D">
        <w:rPr>
          <w:lang w:val="en-GB"/>
        </w:rPr>
        <w:t xml:space="preserve"> was hurriedly looking at rental properties </w:t>
      </w:r>
      <w:r w:rsidR="007C42D3" w:rsidRPr="006D732D">
        <w:rPr>
          <w:lang w:val="en-GB"/>
        </w:rPr>
        <w:t>on</w:t>
      </w:r>
      <w:r w:rsidRPr="006D732D">
        <w:rPr>
          <w:lang w:val="en-GB"/>
        </w:rPr>
        <w:t xml:space="preserve"> a popular real estate listing website. His rental agreement with </w:t>
      </w:r>
      <w:r w:rsidR="007C42D3" w:rsidRPr="006D732D">
        <w:rPr>
          <w:lang w:val="en-GB"/>
        </w:rPr>
        <w:t>his</w:t>
      </w:r>
      <w:r w:rsidRPr="006D732D">
        <w:rPr>
          <w:lang w:val="en-GB"/>
        </w:rPr>
        <w:t xml:space="preserve"> landlord had ended </w:t>
      </w:r>
      <w:r w:rsidR="007C42D3" w:rsidRPr="006D732D">
        <w:rPr>
          <w:lang w:val="en-GB"/>
        </w:rPr>
        <w:t>the day before,</w:t>
      </w:r>
      <w:r w:rsidRPr="006D732D">
        <w:rPr>
          <w:lang w:val="en-GB"/>
        </w:rPr>
        <w:t xml:space="preserve"> leaving him </w:t>
      </w:r>
      <w:r w:rsidR="007C42D3" w:rsidRPr="006D732D">
        <w:rPr>
          <w:lang w:val="en-GB"/>
        </w:rPr>
        <w:t>30</w:t>
      </w:r>
      <w:r w:rsidRPr="006D732D">
        <w:rPr>
          <w:lang w:val="en-GB"/>
        </w:rPr>
        <w:t xml:space="preserve"> days to </w:t>
      </w:r>
      <w:r w:rsidR="007C42D3" w:rsidRPr="006D732D">
        <w:rPr>
          <w:lang w:val="en-GB"/>
        </w:rPr>
        <w:t xml:space="preserve">prepare to </w:t>
      </w:r>
      <w:r w:rsidRPr="006D732D">
        <w:rPr>
          <w:lang w:val="en-GB"/>
        </w:rPr>
        <w:t xml:space="preserve">vacate the </w:t>
      </w:r>
      <w:r w:rsidR="007C42D3" w:rsidRPr="006D732D">
        <w:rPr>
          <w:lang w:val="en-GB"/>
        </w:rPr>
        <w:t>apartment</w:t>
      </w:r>
      <w:r w:rsidRPr="006D732D">
        <w:rPr>
          <w:lang w:val="en-GB"/>
        </w:rPr>
        <w:t xml:space="preserve"> and look for a new one. </w:t>
      </w:r>
      <w:r w:rsidR="007C42D3" w:rsidRPr="006D732D">
        <w:rPr>
          <w:lang w:val="en-GB"/>
        </w:rPr>
        <w:t>Jain</w:t>
      </w:r>
      <w:r w:rsidRPr="006D732D">
        <w:rPr>
          <w:lang w:val="en-GB"/>
        </w:rPr>
        <w:t xml:space="preserve"> had lived in th</w:t>
      </w:r>
      <w:r w:rsidR="007C42D3" w:rsidRPr="006D732D">
        <w:rPr>
          <w:lang w:val="en-GB"/>
        </w:rPr>
        <w:t>e</w:t>
      </w:r>
      <w:r w:rsidRPr="006D732D">
        <w:rPr>
          <w:lang w:val="en-GB"/>
        </w:rPr>
        <w:t xml:space="preserve"> spacious, two-bedroom apartment in North West Delhi for the past five years as it was within </w:t>
      </w:r>
      <w:r w:rsidR="007C42D3" w:rsidRPr="006D732D">
        <w:rPr>
          <w:lang w:val="en-GB"/>
        </w:rPr>
        <w:t>a reasonable</w:t>
      </w:r>
      <w:r w:rsidRPr="006D732D">
        <w:rPr>
          <w:lang w:val="en-GB"/>
        </w:rPr>
        <w:t xml:space="preserve"> commuting distance to his workplace. However, </w:t>
      </w:r>
      <w:r w:rsidR="007C42D3" w:rsidRPr="006D732D">
        <w:rPr>
          <w:lang w:val="en-GB"/>
        </w:rPr>
        <w:t>because</w:t>
      </w:r>
      <w:r w:rsidRPr="006D732D">
        <w:rPr>
          <w:lang w:val="en-GB"/>
        </w:rPr>
        <w:t xml:space="preserve"> of</w:t>
      </w:r>
      <w:r w:rsidR="007C42D3" w:rsidRPr="006D732D">
        <w:rPr>
          <w:lang w:val="en-GB"/>
        </w:rPr>
        <w:t xml:space="preserve"> a</w:t>
      </w:r>
      <w:r w:rsidRPr="006D732D">
        <w:rPr>
          <w:lang w:val="en-GB"/>
        </w:rPr>
        <w:t xml:space="preserve"> sudden downturn in business conditions and </w:t>
      </w:r>
      <w:r w:rsidR="007C42D3" w:rsidRPr="006D732D">
        <w:rPr>
          <w:lang w:val="en-GB"/>
        </w:rPr>
        <w:t xml:space="preserve">an </w:t>
      </w:r>
      <w:r w:rsidRPr="006D732D">
        <w:rPr>
          <w:lang w:val="en-GB"/>
        </w:rPr>
        <w:t xml:space="preserve">immediate need for money, his landlord wanted to sell the property and </w:t>
      </w:r>
      <w:r w:rsidR="007C42D3" w:rsidRPr="006D732D">
        <w:rPr>
          <w:lang w:val="en-GB"/>
        </w:rPr>
        <w:t>therefore</w:t>
      </w:r>
      <w:r w:rsidR="00FA193D" w:rsidRPr="006D732D">
        <w:rPr>
          <w:lang w:val="en-GB"/>
        </w:rPr>
        <w:t xml:space="preserve"> had</w:t>
      </w:r>
      <w:r w:rsidR="007C42D3" w:rsidRPr="006D732D">
        <w:rPr>
          <w:lang w:val="en-GB"/>
        </w:rPr>
        <w:t xml:space="preserve"> </w:t>
      </w:r>
      <w:r w:rsidRPr="006D732D">
        <w:rPr>
          <w:lang w:val="en-GB"/>
        </w:rPr>
        <w:t xml:space="preserve">asked </w:t>
      </w:r>
      <w:r w:rsidR="007C42D3" w:rsidRPr="006D732D">
        <w:rPr>
          <w:lang w:val="en-GB"/>
        </w:rPr>
        <w:t>Jain</w:t>
      </w:r>
      <w:r w:rsidRPr="006D732D">
        <w:rPr>
          <w:lang w:val="en-GB"/>
        </w:rPr>
        <w:t xml:space="preserve"> to vacate the premises. </w:t>
      </w:r>
    </w:p>
    <w:p w14:paraId="58A9E33F" w14:textId="77777777" w:rsidR="008146CF" w:rsidRPr="006D732D" w:rsidRDefault="008146CF" w:rsidP="008146CF">
      <w:pPr>
        <w:pStyle w:val="BodyTextMain"/>
        <w:rPr>
          <w:lang w:val="en-GB"/>
        </w:rPr>
      </w:pPr>
    </w:p>
    <w:p w14:paraId="087FD97B" w14:textId="1E827406" w:rsidR="008146CF" w:rsidRPr="006D732D" w:rsidRDefault="008146CF" w:rsidP="008146CF">
      <w:pPr>
        <w:pStyle w:val="BodyTextMain"/>
        <w:rPr>
          <w:lang w:val="en-GB"/>
        </w:rPr>
      </w:pPr>
      <w:r w:rsidRPr="006D732D">
        <w:rPr>
          <w:lang w:val="en-GB"/>
        </w:rPr>
        <w:t xml:space="preserve">After a busy day looking </w:t>
      </w:r>
      <w:r w:rsidR="009E5DF1" w:rsidRPr="006D732D">
        <w:rPr>
          <w:lang w:val="en-GB"/>
        </w:rPr>
        <w:t xml:space="preserve">online </w:t>
      </w:r>
      <w:r w:rsidRPr="006D732D">
        <w:rPr>
          <w:lang w:val="en-GB"/>
        </w:rPr>
        <w:t xml:space="preserve">at various rental properties, </w:t>
      </w:r>
      <w:r w:rsidR="007C42D3" w:rsidRPr="006D732D">
        <w:rPr>
          <w:lang w:val="en-GB"/>
        </w:rPr>
        <w:t>Jain</w:t>
      </w:r>
      <w:r w:rsidRPr="006D732D">
        <w:rPr>
          <w:lang w:val="en-GB"/>
        </w:rPr>
        <w:t xml:space="preserve"> had come across a furnished </w:t>
      </w:r>
      <w:r w:rsidR="009E5DF1" w:rsidRPr="006D732D">
        <w:rPr>
          <w:lang w:val="en-GB"/>
        </w:rPr>
        <w:t>apartment</w:t>
      </w:r>
      <w:r w:rsidRPr="006D732D">
        <w:rPr>
          <w:lang w:val="en-GB"/>
        </w:rPr>
        <w:t xml:space="preserve"> next door</w:t>
      </w:r>
      <w:r w:rsidR="009E5DF1" w:rsidRPr="006D732D">
        <w:rPr>
          <w:lang w:val="en-GB"/>
        </w:rPr>
        <w:t xml:space="preserve"> that was identical to his</w:t>
      </w:r>
      <w:r w:rsidRPr="006D732D">
        <w:rPr>
          <w:lang w:val="en-GB"/>
        </w:rPr>
        <w:t xml:space="preserve">. </w:t>
      </w:r>
      <w:r w:rsidR="009E5DF1" w:rsidRPr="006D732D">
        <w:rPr>
          <w:lang w:val="en-GB"/>
        </w:rPr>
        <w:t xml:space="preserve">Like </w:t>
      </w:r>
      <w:r w:rsidR="00AD3E81" w:rsidRPr="006D732D">
        <w:rPr>
          <w:lang w:val="en-GB"/>
        </w:rPr>
        <w:t>his</w:t>
      </w:r>
      <w:r w:rsidR="009E5DF1" w:rsidRPr="006D732D">
        <w:rPr>
          <w:lang w:val="en-GB"/>
        </w:rPr>
        <w:t xml:space="preserve"> apartment, i</w:t>
      </w:r>
      <w:r w:rsidRPr="006D732D">
        <w:rPr>
          <w:lang w:val="en-GB"/>
        </w:rPr>
        <w:t>t had two bedrooms, two bathrooms, a spacious hall</w:t>
      </w:r>
      <w:r w:rsidR="009E5DF1" w:rsidRPr="006D732D">
        <w:rPr>
          <w:lang w:val="en-GB"/>
        </w:rPr>
        <w:t>,</w:t>
      </w:r>
      <w:r w:rsidRPr="006D732D">
        <w:rPr>
          <w:lang w:val="en-GB"/>
        </w:rPr>
        <w:t xml:space="preserve"> and </w:t>
      </w:r>
      <w:r w:rsidR="009E5DF1" w:rsidRPr="006D732D">
        <w:rPr>
          <w:lang w:val="en-GB"/>
        </w:rPr>
        <w:t xml:space="preserve">a </w:t>
      </w:r>
      <w:r w:rsidRPr="006D732D">
        <w:rPr>
          <w:lang w:val="en-GB"/>
        </w:rPr>
        <w:t>state</w:t>
      </w:r>
      <w:r w:rsidR="009E5DF1" w:rsidRPr="006D732D">
        <w:rPr>
          <w:lang w:val="en-GB"/>
        </w:rPr>
        <w:t>-</w:t>
      </w:r>
      <w:r w:rsidRPr="006D732D">
        <w:rPr>
          <w:lang w:val="en-GB"/>
        </w:rPr>
        <w:t>of</w:t>
      </w:r>
      <w:r w:rsidR="009E5DF1" w:rsidRPr="006D732D">
        <w:rPr>
          <w:lang w:val="en-GB"/>
        </w:rPr>
        <w:t>-</w:t>
      </w:r>
      <w:r w:rsidRPr="006D732D">
        <w:rPr>
          <w:lang w:val="en-GB"/>
        </w:rPr>
        <w:t>the</w:t>
      </w:r>
      <w:r w:rsidR="009E5DF1" w:rsidRPr="006D732D">
        <w:rPr>
          <w:lang w:val="en-GB"/>
        </w:rPr>
        <w:t>-</w:t>
      </w:r>
      <w:r w:rsidRPr="006D732D">
        <w:rPr>
          <w:lang w:val="en-GB"/>
        </w:rPr>
        <w:t xml:space="preserve">art kitchen. </w:t>
      </w:r>
      <w:r w:rsidR="00E027F0" w:rsidRPr="006D732D">
        <w:rPr>
          <w:lang w:val="en-GB"/>
        </w:rPr>
        <w:t>Jain’s i</w:t>
      </w:r>
      <w:r w:rsidRPr="006D732D">
        <w:rPr>
          <w:lang w:val="en-GB"/>
        </w:rPr>
        <w:t xml:space="preserve">nitial enquiries </w:t>
      </w:r>
      <w:r w:rsidR="00E027F0" w:rsidRPr="006D732D">
        <w:rPr>
          <w:lang w:val="en-GB"/>
        </w:rPr>
        <w:t>to</w:t>
      </w:r>
      <w:r w:rsidRPr="006D732D">
        <w:rPr>
          <w:lang w:val="en-GB"/>
        </w:rPr>
        <w:t xml:space="preserve"> the property broker revealed that it would likely be rented at around </w:t>
      </w:r>
      <w:r w:rsidR="007C42D3" w:rsidRPr="005B473A">
        <w:rPr>
          <w:rFonts w:ascii="Arial" w:hAnsi="Arial" w:cs="Arial"/>
          <w:color w:val="222222"/>
          <w:lang w:val="en-GB"/>
        </w:rPr>
        <w:t>₹</w:t>
      </w:r>
      <w:r w:rsidRPr="006D732D">
        <w:rPr>
          <w:lang w:val="en-GB"/>
        </w:rPr>
        <w:t>30,000</w:t>
      </w:r>
      <w:r w:rsidR="00E027F0" w:rsidRPr="006D732D">
        <w:rPr>
          <w:rStyle w:val="FootnoteReference"/>
          <w:lang w:val="en-GB"/>
        </w:rPr>
        <w:footnoteReference w:id="1"/>
      </w:r>
      <w:r w:rsidRPr="006D732D">
        <w:rPr>
          <w:lang w:val="en-GB"/>
        </w:rPr>
        <w:t xml:space="preserve"> per month</w:t>
      </w:r>
      <w:r w:rsidR="009E5DF1" w:rsidRPr="006D732D">
        <w:rPr>
          <w:lang w:val="en-GB"/>
        </w:rPr>
        <w:t>,</w:t>
      </w:r>
      <w:r w:rsidRPr="006D732D">
        <w:rPr>
          <w:lang w:val="en-GB"/>
        </w:rPr>
        <w:t xml:space="preserve"> including parking facilities. This was well in line with </w:t>
      </w:r>
      <w:r w:rsidR="00E027F0" w:rsidRPr="006D732D">
        <w:rPr>
          <w:lang w:val="en-GB"/>
        </w:rPr>
        <w:t>the</w:t>
      </w:r>
      <w:r w:rsidRPr="006D732D">
        <w:rPr>
          <w:lang w:val="en-GB"/>
        </w:rPr>
        <w:t xml:space="preserve"> rent </w:t>
      </w:r>
      <w:r w:rsidR="00E027F0" w:rsidRPr="006D732D">
        <w:rPr>
          <w:lang w:val="en-GB"/>
        </w:rPr>
        <w:t xml:space="preserve">he </w:t>
      </w:r>
      <w:r w:rsidR="00AD3E81" w:rsidRPr="006D732D">
        <w:rPr>
          <w:lang w:val="en-GB"/>
        </w:rPr>
        <w:t>was currently paying</w:t>
      </w:r>
      <w:r w:rsidR="00E027F0" w:rsidRPr="006D732D">
        <w:rPr>
          <w:lang w:val="en-GB"/>
        </w:rPr>
        <w:t>,</w:t>
      </w:r>
      <w:r w:rsidRPr="006D732D">
        <w:rPr>
          <w:lang w:val="en-GB"/>
        </w:rPr>
        <w:t xml:space="preserve"> and </w:t>
      </w:r>
      <w:r w:rsidR="007C42D3" w:rsidRPr="006D732D">
        <w:rPr>
          <w:lang w:val="en-GB"/>
        </w:rPr>
        <w:t>Jain</w:t>
      </w:r>
      <w:r w:rsidRPr="006D732D">
        <w:rPr>
          <w:lang w:val="en-GB"/>
        </w:rPr>
        <w:t xml:space="preserve"> decided to go ahead and meet the broker. During his meeting with the broker, </w:t>
      </w:r>
      <w:r w:rsidR="00AD3E81" w:rsidRPr="006D732D">
        <w:rPr>
          <w:lang w:val="en-GB"/>
        </w:rPr>
        <w:t>Jain learned</w:t>
      </w:r>
      <w:r w:rsidRPr="006D732D">
        <w:rPr>
          <w:lang w:val="en-GB"/>
        </w:rPr>
        <w:t xml:space="preserve"> that an identical </w:t>
      </w:r>
      <w:r w:rsidR="00CF25DD" w:rsidRPr="006D732D">
        <w:rPr>
          <w:lang w:val="en-GB"/>
        </w:rPr>
        <w:t>apartment</w:t>
      </w:r>
      <w:r w:rsidRPr="006D732D">
        <w:rPr>
          <w:lang w:val="en-GB"/>
        </w:rPr>
        <w:t xml:space="preserve"> in an adjoining </w:t>
      </w:r>
      <w:r w:rsidR="00634983" w:rsidRPr="006D732D">
        <w:rPr>
          <w:lang w:val="en-GB"/>
        </w:rPr>
        <w:t xml:space="preserve">locality </w:t>
      </w:r>
      <w:r w:rsidRPr="006D732D">
        <w:rPr>
          <w:lang w:val="en-GB"/>
        </w:rPr>
        <w:t xml:space="preserve">was for sale for </w:t>
      </w:r>
      <w:r w:rsidR="007C42D3" w:rsidRPr="006D732D">
        <w:rPr>
          <w:rFonts w:ascii="Arial" w:hAnsi="Arial" w:cs="Arial"/>
          <w:color w:val="222222"/>
          <w:shd w:val="clear" w:color="auto" w:fill="FFFFFF"/>
          <w:lang w:val="en-GB"/>
        </w:rPr>
        <w:t>₹</w:t>
      </w:r>
      <w:r w:rsidRPr="006D732D">
        <w:rPr>
          <w:lang w:val="en-GB"/>
        </w:rPr>
        <w:t xml:space="preserve">12.5 million. The flat was very well furnished and had all the amenities that </w:t>
      </w:r>
      <w:r w:rsidR="007C42D3" w:rsidRPr="006D732D">
        <w:rPr>
          <w:lang w:val="en-GB"/>
        </w:rPr>
        <w:t>Jain</w:t>
      </w:r>
      <w:r w:rsidRPr="006D732D">
        <w:rPr>
          <w:lang w:val="en-GB"/>
        </w:rPr>
        <w:t xml:space="preserve"> was looking for. </w:t>
      </w:r>
      <w:r w:rsidR="007C42D3" w:rsidRPr="006D732D">
        <w:rPr>
          <w:lang w:val="en-GB"/>
        </w:rPr>
        <w:t>Jain</w:t>
      </w:r>
      <w:r w:rsidRPr="006D732D">
        <w:rPr>
          <w:lang w:val="en-GB"/>
        </w:rPr>
        <w:t xml:space="preserve"> had a lot of quantitative thinking to do as he considered the alternatives of renting versus buying an apartment. How would he finance the ho</w:t>
      </w:r>
      <w:r w:rsidR="00CF25DD" w:rsidRPr="006D732D">
        <w:rPr>
          <w:lang w:val="en-GB"/>
        </w:rPr>
        <w:t>me</w:t>
      </w:r>
      <w:r w:rsidRPr="006D732D">
        <w:rPr>
          <w:lang w:val="en-GB"/>
        </w:rPr>
        <w:t xml:space="preserve"> in</w:t>
      </w:r>
      <w:r w:rsidR="00AD3E81" w:rsidRPr="006D732D">
        <w:rPr>
          <w:lang w:val="en-GB"/>
        </w:rPr>
        <w:t xml:space="preserve"> the</w:t>
      </w:r>
      <w:r w:rsidRPr="006D732D">
        <w:rPr>
          <w:lang w:val="en-GB"/>
        </w:rPr>
        <w:t xml:space="preserve"> case </w:t>
      </w:r>
      <w:r w:rsidR="00AD3E81" w:rsidRPr="006D732D">
        <w:rPr>
          <w:lang w:val="en-GB"/>
        </w:rPr>
        <w:t xml:space="preserve">that </w:t>
      </w:r>
      <w:r w:rsidRPr="006D732D">
        <w:rPr>
          <w:lang w:val="en-GB"/>
        </w:rPr>
        <w:t xml:space="preserve">he </w:t>
      </w:r>
      <w:r w:rsidR="00AD3E81" w:rsidRPr="006D732D">
        <w:rPr>
          <w:lang w:val="en-GB"/>
        </w:rPr>
        <w:t>decided to</w:t>
      </w:r>
      <w:r w:rsidRPr="006D732D">
        <w:rPr>
          <w:lang w:val="en-GB"/>
        </w:rPr>
        <w:t xml:space="preserve"> buy? What would the monthly mortgage payments</w:t>
      </w:r>
      <w:r w:rsidR="00CF25DD" w:rsidRPr="006D732D">
        <w:rPr>
          <w:lang w:val="en-GB"/>
        </w:rPr>
        <w:t xml:space="preserve"> be</w:t>
      </w:r>
      <w:r w:rsidRPr="006D732D">
        <w:rPr>
          <w:lang w:val="en-GB"/>
        </w:rPr>
        <w:t xml:space="preserve"> (in </w:t>
      </w:r>
      <w:r w:rsidR="00AD3E81" w:rsidRPr="006D732D">
        <w:rPr>
          <w:lang w:val="en-GB"/>
        </w:rPr>
        <w:t xml:space="preserve">the </w:t>
      </w:r>
      <w:r w:rsidRPr="006D732D">
        <w:rPr>
          <w:lang w:val="en-GB"/>
        </w:rPr>
        <w:t xml:space="preserve">case </w:t>
      </w:r>
      <w:r w:rsidR="00AD3E81" w:rsidRPr="006D732D">
        <w:rPr>
          <w:lang w:val="en-GB"/>
        </w:rPr>
        <w:t xml:space="preserve">that </w:t>
      </w:r>
      <w:r w:rsidRPr="006D732D">
        <w:rPr>
          <w:lang w:val="en-GB"/>
        </w:rPr>
        <w:t>he t</w:t>
      </w:r>
      <w:r w:rsidR="00AD3E81" w:rsidRPr="006D732D">
        <w:rPr>
          <w:lang w:val="en-GB"/>
        </w:rPr>
        <w:t>ook</w:t>
      </w:r>
      <w:r w:rsidRPr="006D732D">
        <w:rPr>
          <w:lang w:val="en-GB"/>
        </w:rPr>
        <w:t xml:space="preserve"> </w:t>
      </w:r>
      <w:r w:rsidR="00CF25DD" w:rsidRPr="006D732D">
        <w:rPr>
          <w:lang w:val="en-GB"/>
        </w:rPr>
        <w:t xml:space="preserve">out </w:t>
      </w:r>
      <w:r w:rsidRPr="006D732D">
        <w:rPr>
          <w:lang w:val="en-GB"/>
        </w:rPr>
        <w:t xml:space="preserve">a loan to buy the </w:t>
      </w:r>
      <w:r w:rsidR="00CF25DD" w:rsidRPr="006D732D">
        <w:rPr>
          <w:lang w:val="en-GB"/>
        </w:rPr>
        <w:t>home</w:t>
      </w:r>
      <w:r w:rsidRPr="006D732D">
        <w:rPr>
          <w:lang w:val="en-GB"/>
        </w:rPr>
        <w:t>) to buy the apartment</w:t>
      </w:r>
      <w:r w:rsidR="00FA193D" w:rsidRPr="006D732D">
        <w:rPr>
          <w:lang w:val="en-GB"/>
        </w:rPr>
        <w:t>,</w:t>
      </w:r>
      <w:r w:rsidRPr="006D732D">
        <w:rPr>
          <w:lang w:val="en-GB"/>
        </w:rPr>
        <w:t xml:space="preserve"> </w:t>
      </w:r>
      <w:r w:rsidR="00FA193D" w:rsidRPr="006D732D">
        <w:rPr>
          <w:lang w:val="en-GB"/>
        </w:rPr>
        <w:t>compared</w:t>
      </w:r>
      <w:r w:rsidR="00897A7E" w:rsidRPr="006D732D">
        <w:rPr>
          <w:lang w:val="en-GB"/>
        </w:rPr>
        <w:t xml:space="preserve"> to</w:t>
      </w:r>
      <w:r w:rsidRPr="006D732D">
        <w:rPr>
          <w:lang w:val="en-GB"/>
        </w:rPr>
        <w:t xml:space="preserve"> renting </w:t>
      </w:r>
      <w:r w:rsidR="00FA193D" w:rsidRPr="006D732D">
        <w:rPr>
          <w:lang w:val="en-GB"/>
        </w:rPr>
        <w:t>it</w:t>
      </w:r>
      <w:r w:rsidRPr="006D732D">
        <w:rPr>
          <w:lang w:val="en-GB"/>
        </w:rPr>
        <w:t>? How would he incorporate the opportunity cost and taxation aspect in his calculation</w:t>
      </w:r>
      <w:r w:rsidR="00CF25DD" w:rsidRPr="006D732D">
        <w:rPr>
          <w:lang w:val="en-GB"/>
        </w:rPr>
        <w:t>s</w:t>
      </w:r>
      <w:r w:rsidRPr="006D732D">
        <w:rPr>
          <w:lang w:val="en-GB"/>
        </w:rPr>
        <w:t xml:space="preserve">? Most importantly, given the state of </w:t>
      </w:r>
      <w:r w:rsidR="00CF25DD" w:rsidRPr="006D732D">
        <w:rPr>
          <w:lang w:val="en-GB"/>
        </w:rPr>
        <w:t xml:space="preserve">the </w:t>
      </w:r>
      <w:r w:rsidRPr="006D732D">
        <w:rPr>
          <w:lang w:val="en-GB"/>
        </w:rPr>
        <w:t>real estate market in India, what kind of capital gain</w:t>
      </w:r>
      <w:r w:rsidR="00CF25DD" w:rsidRPr="006D732D">
        <w:rPr>
          <w:lang w:val="en-GB"/>
        </w:rPr>
        <w:t xml:space="preserve">s or </w:t>
      </w:r>
      <w:r w:rsidRPr="006D732D">
        <w:rPr>
          <w:lang w:val="en-GB"/>
        </w:rPr>
        <w:t>loss</w:t>
      </w:r>
      <w:r w:rsidR="00CF25DD" w:rsidRPr="006D732D">
        <w:rPr>
          <w:lang w:val="en-GB"/>
        </w:rPr>
        <w:t>es</w:t>
      </w:r>
      <w:r w:rsidRPr="006D732D">
        <w:rPr>
          <w:lang w:val="en-GB"/>
        </w:rPr>
        <w:t xml:space="preserve"> </w:t>
      </w:r>
      <w:r w:rsidR="00CF25DD" w:rsidRPr="006D732D">
        <w:rPr>
          <w:lang w:val="en-GB"/>
        </w:rPr>
        <w:t xml:space="preserve">could </w:t>
      </w:r>
      <w:r w:rsidRPr="006D732D">
        <w:rPr>
          <w:lang w:val="en-GB"/>
        </w:rPr>
        <w:t xml:space="preserve">he expect over time in </w:t>
      </w:r>
      <w:r w:rsidR="00CF25DD" w:rsidRPr="006D732D">
        <w:rPr>
          <w:lang w:val="en-GB"/>
        </w:rPr>
        <w:t xml:space="preserve">the </w:t>
      </w:r>
      <w:r w:rsidRPr="006D732D">
        <w:rPr>
          <w:lang w:val="en-GB"/>
        </w:rPr>
        <w:t xml:space="preserve">case </w:t>
      </w:r>
      <w:r w:rsidR="00CF25DD" w:rsidRPr="006D732D">
        <w:rPr>
          <w:lang w:val="en-GB"/>
        </w:rPr>
        <w:t xml:space="preserve">that </w:t>
      </w:r>
      <w:r w:rsidRPr="006D732D">
        <w:rPr>
          <w:lang w:val="en-GB"/>
        </w:rPr>
        <w:t>he chose to buy the apartment</w:t>
      </w:r>
      <w:r w:rsidR="00CF25DD" w:rsidRPr="006D732D">
        <w:rPr>
          <w:lang w:val="en-GB"/>
        </w:rPr>
        <w:t>?</w:t>
      </w:r>
    </w:p>
    <w:p w14:paraId="2BC7053F" w14:textId="77777777" w:rsidR="008146CF" w:rsidRPr="006D732D" w:rsidRDefault="008146CF" w:rsidP="008146CF">
      <w:pPr>
        <w:pStyle w:val="BodyTextMain"/>
        <w:rPr>
          <w:lang w:val="en-GB"/>
        </w:rPr>
      </w:pPr>
    </w:p>
    <w:p w14:paraId="0D211942" w14:textId="5CC826CE" w:rsidR="008146CF" w:rsidRPr="006D732D" w:rsidRDefault="007C42D3" w:rsidP="008146CF">
      <w:pPr>
        <w:pStyle w:val="BodyTextMain"/>
        <w:rPr>
          <w:lang w:val="en-GB"/>
        </w:rPr>
      </w:pPr>
      <w:r w:rsidRPr="006D732D">
        <w:rPr>
          <w:lang w:val="en-GB"/>
        </w:rPr>
        <w:t>Jain</w:t>
      </w:r>
      <w:r w:rsidR="008146CF" w:rsidRPr="006D732D">
        <w:rPr>
          <w:lang w:val="en-GB"/>
        </w:rPr>
        <w:t xml:space="preserve"> realized that he </w:t>
      </w:r>
      <w:r w:rsidR="00CF25DD" w:rsidRPr="006D732D">
        <w:rPr>
          <w:lang w:val="en-GB"/>
        </w:rPr>
        <w:t>had</w:t>
      </w:r>
      <w:r w:rsidR="008146CF" w:rsidRPr="006D732D">
        <w:rPr>
          <w:lang w:val="en-GB"/>
        </w:rPr>
        <w:t xml:space="preserve"> to make a quantitative finance decision of buy versus rent in order to arrive at the right option given his current financial conditions and </w:t>
      </w:r>
      <w:r w:rsidR="00FA193D" w:rsidRPr="006D732D">
        <w:rPr>
          <w:lang w:val="en-GB"/>
        </w:rPr>
        <w:t xml:space="preserve">the </w:t>
      </w:r>
      <w:r w:rsidR="00CF25DD" w:rsidRPr="006D732D">
        <w:rPr>
          <w:lang w:val="en-GB"/>
        </w:rPr>
        <w:t xml:space="preserve">potential </w:t>
      </w:r>
      <w:r w:rsidR="008146CF" w:rsidRPr="006D732D">
        <w:rPr>
          <w:lang w:val="en-GB"/>
        </w:rPr>
        <w:t>future benefits.</w:t>
      </w:r>
    </w:p>
    <w:p w14:paraId="49D2A482" w14:textId="77777777" w:rsidR="008146CF" w:rsidRPr="006D732D" w:rsidRDefault="008146CF" w:rsidP="008146CF">
      <w:pPr>
        <w:pStyle w:val="BodyTextMain"/>
        <w:rPr>
          <w:lang w:val="en-GB"/>
        </w:rPr>
      </w:pPr>
    </w:p>
    <w:p w14:paraId="30FDFD86" w14:textId="77777777" w:rsidR="008146CF" w:rsidRPr="006D732D" w:rsidRDefault="008146CF" w:rsidP="008146CF">
      <w:pPr>
        <w:pStyle w:val="BodyTextMain"/>
        <w:rPr>
          <w:lang w:val="en-GB"/>
        </w:rPr>
      </w:pPr>
    </w:p>
    <w:p w14:paraId="1AF3BF8B" w14:textId="77777777" w:rsidR="008146CF" w:rsidRPr="006D732D" w:rsidRDefault="008146CF" w:rsidP="009C65AC">
      <w:pPr>
        <w:pStyle w:val="Casehead1"/>
        <w:keepNext/>
        <w:rPr>
          <w:lang w:val="en-GB"/>
        </w:rPr>
      </w:pPr>
      <w:r w:rsidRPr="006D732D">
        <w:rPr>
          <w:lang w:val="en-GB"/>
        </w:rPr>
        <w:lastRenderedPageBreak/>
        <w:t>REAL ESTATE PRICES IN INDIA</w:t>
      </w:r>
    </w:p>
    <w:p w14:paraId="14080460" w14:textId="77777777" w:rsidR="008146CF" w:rsidRPr="006D732D" w:rsidRDefault="008146CF" w:rsidP="009C65AC">
      <w:pPr>
        <w:pStyle w:val="BodyTextMain"/>
        <w:keepNext/>
        <w:rPr>
          <w:lang w:val="en-GB"/>
        </w:rPr>
      </w:pPr>
    </w:p>
    <w:p w14:paraId="129C984A" w14:textId="6D4EC04D" w:rsidR="008146CF" w:rsidRPr="006D732D" w:rsidRDefault="008146CF" w:rsidP="009C65AC">
      <w:pPr>
        <w:pStyle w:val="BodyTextMain"/>
        <w:keepNext/>
        <w:rPr>
          <w:lang w:val="en-GB" w:bidi="hi-IN"/>
        </w:rPr>
      </w:pPr>
      <w:r w:rsidRPr="006D732D">
        <w:rPr>
          <w:lang w:val="en-GB"/>
        </w:rPr>
        <w:t xml:space="preserve">Given the backdrop of </w:t>
      </w:r>
      <w:r w:rsidR="005C68D5" w:rsidRPr="006D732D">
        <w:rPr>
          <w:lang w:val="en-GB"/>
        </w:rPr>
        <w:t xml:space="preserve">the country’s </w:t>
      </w:r>
      <w:r w:rsidRPr="006D732D">
        <w:rPr>
          <w:lang w:val="en-GB"/>
        </w:rPr>
        <w:t>increasing population levels, accelerating economic growth</w:t>
      </w:r>
      <w:r w:rsidR="005C68D5" w:rsidRPr="006D732D">
        <w:rPr>
          <w:lang w:val="en-GB"/>
        </w:rPr>
        <w:t>,</w:t>
      </w:r>
      <w:r w:rsidRPr="006D732D">
        <w:rPr>
          <w:lang w:val="en-GB"/>
        </w:rPr>
        <w:t xml:space="preserve"> and rising urbanization, real estate prices in India had witnessed stellar growth</w:t>
      </w:r>
      <w:r w:rsidR="005C68D5" w:rsidRPr="006D732D">
        <w:rPr>
          <w:lang w:val="en-GB"/>
        </w:rPr>
        <w:t>,</w:t>
      </w:r>
      <w:r w:rsidRPr="006D732D">
        <w:rPr>
          <w:lang w:val="en-GB"/>
        </w:rPr>
        <w:t xml:space="preserve"> especially in the residential housing segment</w:t>
      </w:r>
      <w:r w:rsidR="00475CFF">
        <w:rPr>
          <w:lang w:val="en-GB"/>
        </w:rPr>
        <w:t>.</w:t>
      </w:r>
      <w:r w:rsidR="00475CFF" w:rsidRPr="006D732D">
        <w:rPr>
          <w:lang w:val="en-GB"/>
        </w:rPr>
        <w:t xml:space="preserve"> </w:t>
      </w:r>
      <w:r w:rsidRPr="006D732D">
        <w:rPr>
          <w:lang w:val="en-GB"/>
        </w:rPr>
        <w:t xml:space="preserve">As per the </w:t>
      </w:r>
      <w:r w:rsidR="00B818F3" w:rsidRPr="006D732D">
        <w:rPr>
          <w:lang w:val="en-GB"/>
        </w:rPr>
        <w:t xml:space="preserve">residential property price index </w:t>
      </w:r>
      <w:r w:rsidRPr="006D732D">
        <w:rPr>
          <w:lang w:val="en-GB"/>
        </w:rPr>
        <w:t xml:space="preserve">compiled by </w:t>
      </w:r>
      <w:r w:rsidR="005C68D5" w:rsidRPr="006D732D">
        <w:rPr>
          <w:lang w:val="en-GB"/>
        </w:rPr>
        <w:t xml:space="preserve">the </w:t>
      </w:r>
      <w:r w:rsidRPr="006D732D">
        <w:rPr>
          <w:lang w:val="en-GB"/>
        </w:rPr>
        <w:t xml:space="preserve">Reserve Bank of India at an </w:t>
      </w:r>
      <w:r w:rsidR="00495D74" w:rsidRPr="006D732D">
        <w:rPr>
          <w:lang w:val="en-GB"/>
        </w:rPr>
        <w:t>all</w:t>
      </w:r>
      <w:r w:rsidRPr="006D732D">
        <w:rPr>
          <w:lang w:val="en-GB"/>
        </w:rPr>
        <w:t>-India level, housing prices in India had risen by almost 72</w:t>
      </w:r>
      <w:r w:rsidR="0074761D" w:rsidRPr="006D732D">
        <w:rPr>
          <w:lang w:val="en-GB"/>
        </w:rPr>
        <w:t xml:space="preserve"> per cent</w:t>
      </w:r>
      <w:r w:rsidRPr="006D732D">
        <w:rPr>
          <w:lang w:val="en-GB"/>
        </w:rPr>
        <w:t xml:space="preserve"> between 2010</w:t>
      </w:r>
      <w:r w:rsidR="005C68D5" w:rsidRPr="006D732D">
        <w:rPr>
          <w:lang w:val="en-GB"/>
        </w:rPr>
        <w:t>–20</w:t>
      </w:r>
      <w:r w:rsidRPr="006D732D">
        <w:rPr>
          <w:lang w:val="en-GB"/>
        </w:rPr>
        <w:t>11 and 2014</w:t>
      </w:r>
      <w:r w:rsidR="005C68D5" w:rsidRPr="006D732D">
        <w:rPr>
          <w:lang w:val="en-GB"/>
        </w:rPr>
        <w:t>–20</w:t>
      </w:r>
      <w:r w:rsidRPr="006D732D">
        <w:rPr>
          <w:lang w:val="en-GB"/>
        </w:rPr>
        <w:t>15</w:t>
      </w:r>
      <w:r w:rsidR="005C68D5" w:rsidRPr="006D732D">
        <w:rPr>
          <w:lang w:val="en-GB"/>
        </w:rPr>
        <w:t>.</w:t>
      </w:r>
      <w:r w:rsidRPr="006D732D">
        <w:rPr>
          <w:rStyle w:val="FootnoteReference"/>
          <w:lang w:val="en-GB"/>
        </w:rPr>
        <w:footnoteReference w:id="2"/>
      </w:r>
      <w:r w:rsidRPr="006D732D">
        <w:rPr>
          <w:lang w:val="en-GB"/>
        </w:rPr>
        <w:t xml:space="preserve"> While the highest growth was recorded in </w:t>
      </w:r>
      <w:r w:rsidR="005C68D5" w:rsidRPr="006D732D">
        <w:rPr>
          <w:lang w:val="en-GB"/>
        </w:rPr>
        <w:t xml:space="preserve">the City of </w:t>
      </w:r>
      <w:r w:rsidRPr="006D732D">
        <w:rPr>
          <w:lang w:val="en-GB"/>
        </w:rPr>
        <w:t>Lucknow</w:t>
      </w:r>
      <w:r w:rsidR="005C68D5" w:rsidRPr="006D732D">
        <w:rPr>
          <w:lang w:val="en-GB"/>
        </w:rPr>
        <w:t>,</w:t>
      </w:r>
      <w:r w:rsidRPr="006D732D">
        <w:rPr>
          <w:lang w:val="en-GB"/>
        </w:rPr>
        <w:t xml:space="preserve"> at around 115</w:t>
      </w:r>
      <w:r w:rsidR="0074761D" w:rsidRPr="006D732D">
        <w:rPr>
          <w:lang w:val="en-GB"/>
        </w:rPr>
        <w:t xml:space="preserve"> per cent</w:t>
      </w:r>
      <w:r w:rsidRPr="006D732D">
        <w:rPr>
          <w:lang w:val="en-GB"/>
        </w:rPr>
        <w:t xml:space="preserve">, cities </w:t>
      </w:r>
      <w:r w:rsidR="005C68D5" w:rsidRPr="006D732D">
        <w:rPr>
          <w:lang w:val="en-GB"/>
        </w:rPr>
        <w:t>such as</w:t>
      </w:r>
      <w:r w:rsidRPr="006D732D">
        <w:rPr>
          <w:lang w:val="en-GB"/>
        </w:rPr>
        <w:t xml:space="preserve"> Delhi and Greater Mumbai recorded impressive increase</w:t>
      </w:r>
      <w:r w:rsidR="00B818F3" w:rsidRPr="006D732D">
        <w:rPr>
          <w:lang w:val="en-GB"/>
        </w:rPr>
        <w:t>s</w:t>
      </w:r>
      <w:r w:rsidRPr="006D732D">
        <w:rPr>
          <w:lang w:val="en-GB"/>
        </w:rPr>
        <w:t xml:space="preserve"> of 64</w:t>
      </w:r>
      <w:r w:rsidR="0074761D" w:rsidRPr="006D732D">
        <w:rPr>
          <w:lang w:val="en-GB"/>
        </w:rPr>
        <w:t xml:space="preserve"> per cent</w:t>
      </w:r>
      <w:r w:rsidRPr="006D732D">
        <w:rPr>
          <w:lang w:val="en-GB"/>
        </w:rPr>
        <w:t xml:space="preserve"> and 82</w:t>
      </w:r>
      <w:r w:rsidR="0074761D" w:rsidRPr="006D732D">
        <w:rPr>
          <w:lang w:val="en-GB"/>
        </w:rPr>
        <w:t xml:space="preserve"> per cent</w:t>
      </w:r>
      <w:r w:rsidR="005C68D5" w:rsidRPr="006D732D">
        <w:rPr>
          <w:lang w:val="en-GB"/>
        </w:rPr>
        <w:t>,</w:t>
      </w:r>
      <w:r w:rsidRPr="006D732D">
        <w:rPr>
          <w:rStyle w:val="FootnoteReference"/>
          <w:lang w:val="en-GB"/>
        </w:rPr>
        <w:footnoteReference w:id="3"/>
      </w:r>
      <w:r w:rsidRPr="006D732D">
        <w:rPr>
          <w:lang w:val="en-GB"/>
        </w:rPr>
        <w:t xml:space="preserve"> respectively. According to Knight Frank, a leading </w:t>
      </w:r>
      <w:r w:rsidR="005C68D5" w:rsidRPr="006D732D">
        <w:rPr>
          <w:lang w:val="en-GB"/>
        </w:rPr>
        <w:t>i</w:t>
      </w:r>
      <w:r w:rsidRPr="006D732D">
        <w:rPr>
          <w:lang w:val="en-GB"/>
        </w:rPr>
        <w:t xml:space="preserve">nternational </w:t>
      </w:r>
      <w:r w:rsidR="005C68D5" w:rsidRPr="006D732D">
        <w:rPr>
          <w:lang w:val="en-GB"/>
        </w:rPr>
        <w:t>p</w:t>
      </w:r>
      <w:r w:rsidRPr="006D732D">
        <w:rPr>
          <w:lang w:val="en-GB"/>
        </w:rPr>
        <w:t xml:space="preserve">roperty </w:t>
      </w:r>
      <w:r w:rsidR="005C68D5" w:rsidRPr="006D732D">
        <w:rPr>
          <w:lang w:val="en-GB"/>
        </w:rPr>
        <w:t>c</w:t>
      </w:r>
      <w:r w:rsidRPr="006D732D">
        <w:rPr>
          <w:lang w:val="en-GB"/>
        </w:rPr>
        <w:t>onsultan</w:t>
      </w:r>
      <w:r w:rsidR="005C68D5" w:rsidRPr="006D732D">
        <w:rPr>
          <w:lang w:val="en-GB"/>
        </w:rPr>
        <w:t>cy</w:t>
      </w:r>
      <w:r w:rsidRPr="006D732D">
        <w:rPr>
          <w:lang w:val="en-GB"/>
        </w:rPr>
        <w:t>, price growth in the residential market had generally been a function of employment generation and infrastructure development</w:t>
      </w:r>
      <w:r w:rsidR="005C68D5" w:rsidRPr="006D732D">
        <w:rPr>
          <w:lang w:val="en-GB"/>
        </w:rPr>
        <w:t>.</w:t>
      </w:r>
      <w:r w:rsidRPr="006D732D">
        <w:rPr>
          <w:rStyle w:val="FootnoteReference"/>
          <w:lang w:val="en-GB"/>
        </w:rPr>
        <w:footnoteReference w:id="4"/>
      </w:r>
      <w:r w:rsidRPr="006D732D">
        <w:rPr>
          <w:lang w:val="en-GB"/>
        </w:rPr>
        <w:t xml:space="preserve"> Consequently</w:t>
      </w:r>
      <w:r w:rsidR="005C68D5" w:rsidRPr="006D732D">
        <w:rPr>
          <w:lang w:val="en-GB"/>
        </w:rPr>
        <w:t>,</w:t>
      </w:r>
      <w:r w:rsidRPr="006D732D">
        <w:rPr>
          <w:lang w:val="en-GB"/>
        </w:rPr>
        <w:t xml:space="preserve"> factors such as </w:t>
      </w:r>
      <w:r w:rsidR="00261122" w:rsidRPr="006D732D">
        <w:rPr>
          <w:lang w:val="en-GB"/>
        </w:rPr>
        <w:t xml:space="preserve">a property’s </w:t>
      </w:r>
      <w:r w:rsidRPr="006D732D">
        <w:rPr>
          <w:lang w:val="en-GB"/>
        </w:rPr>
        <w:t xml:space="preserve">proximity to premium office markets, </w:t>
      </w:r>
      <w:r w:rsidR="00261122" w:rsidRPr="006D732D">
        <w:rPr>
          <w:lang w:val="en-GB"/>
        </w:rPr>
        <w:t xml:space="preserve">its </w:t>
      </w:r>
      <w:r w:rsidRPr="006D732D">
        <w:rPr>
          <w:lang w:val="en-GB" w:bidi="hi-IN"/>
        </w:rPr>
        <w:t xml:space="preserve">connectivity with important locations, </w:t>
      </w:r>
      <w:r w:rsidR="005C68D5" w:rsidRPr="006D732D">
        <w:rPr>
          <w:lang w:val="en-GB" w:bidi="hi-IN"/>
        </w:rPr>
        <w:t xml:space="preserve">and the </w:t>
      </w:r>
      <w:r w:rsidRPr="006D732D">
        <w:rPr>
          <w:lang w:val="en-GB" w:bidi="hi-IN"/>
        </w:rPr>
        <w:t>social and physical infrastructure facilities available would determine future price growth in the residential property market.</w:t>
      </w:r>
    </w:p>
    <w:p w14:paraId="1C8B1851" w14:textId="77777777" w:rsidR="008146CF" w:rsidRPr="006D732D" w:rsidRDefault="008146CF" w:rsidP="008146CF">
      <w:pPr>
        <w:pStyle w:val="BodyTextMain"/>
        <w:rPr>
          <w:lang w:val="en-GB"/>
        </w:rPr>
      </w:pPr>
    </w:p>
    <w:p w14:paraId="1F308F34" w14:textId="77777777" w:rsidR="008146CF" w:rsidRPr="006D732D" w:rsidRDefault="008146CF" w:rsidP="008146CF">
      <w:pPr>
        <w:pStyle w:val="BodyTextMain"/>
        <w:rPr>
          <w:lang w:val="en-GB"/>
        </w:rPr>
      </w:pPr>
    </w:p>
    <w:p w14:paraId="24F28513" w14:textId="77777777" w:rsidR="008146CF" w:rsidRPr="006D732D" w:rsidRDefault="008146CF" w:rsidP="008146CF">
      <w:pPr>
        <w:pStyle w:val="Casehead1"/>
        <w:rPr>
          <w:lang w:val="en-GB"/>
        </w:rPr>
      </w:pPr>
      <w:r w:rsidRPr="006D732D">
        <w:rPr>
          <w:lang w:val="en-GB"/>
        </w:rPr>
        <w:t>FINANCIAL DETAILS</w:t>
      </w:r>
    </w:p>
    <w:p w14:paraId="06E7F2D0" w14:textId="77777777" w:rsidR="008146CF" w:rsidRPr="006D732D" w:rsidRDefault="008146CF" w:rsidP="008146CF">
      <w:pPr>
        <w:pStyle w:val="BodyTextMain"/>
        <w:rPr>
          <w:lang w:val="en-GB"/>
        </w:rPr>
      </w:pPr>
    </w:p>
    <w:p w14:paraId="0B5ABEED" w14:textId="5FC95673" w:rsidR="008146CF" w:rsidRPr="006D732D" w:rsidRDefault="00DF3106" w:rsidP="008146CF">
      <w:pPr>
        <w:pStyle w:val="BodyTextMain"/>
        <w:rPr>
          <w:lang w:val="en-GB"/>
        </w:rPr>
      </w:pPr>
      <w:r w:rsidRPr="006D732D">
        <w:rPr>
          <w:lang w:val="en-GB"/>
        </w:rPr>
        <w:t>Jain collected all of the necessary information f</w:t>
      </w:r>
      <w:r w:rsidR="008146CF" w:rsidRPr="006D732D">
        <w:rPr>
          <w:lang w:val="en-GB"/>
        </w:rPr>
        <w:t>o</w:t>
      </w:r>
      <w:r w:rsidRPr="006D732D">
        <w:rPr>
          <w:lang w:val="en-GB"/>
        </w:rPr>
        <w:t>r</w:t>
      </w:r>
      <w:r w:rsidR="008146CF" w:rsidRPr="006D732D">
        <w:rPr>
          <w:lang w:val="en-GB"/>
        </w:rPr>
        <w:t xml:space="preserve"> conduct</w:t>
      </w:r>
      <w:r w:rsidRPr="006D732D">
        <w:rPr>
          <w:lang w:val="en-GB"/>
        </w:rPr>
        <w:t>ing</w:t>
      </w:r>
      <w:r w:rsidR="008146CF" w:rsidRPr="006D732D">
        <w:rPr>
          <w:lang w:val="en-GB"/>
        </w:rPr>
        <w:t xml:space="preserve"> </w:t>
      </w:r>
      <w:r w:rsidRPr="006D732D">
        <w:rPr>
          <w:lang w:val="en-GB"/>
        </w:rPr>
        <w:t>a</w:t>
      </w:r>
      <w:r w:rsidR="008146CF" w:rsidRPr="006D732D">
        <w:rPr>
          <w:lang w:val="en-GB"/>
        </w:rPr>
        <w:t xml:space="preserve"> financial analysis with regard to buying </w:t>
      </w:r>
      <w:r w:rsidRPr="006D732D">
        <w:rPr>
          <w:lang w:val="en-GB"/>
        </w:rPr>
        <w:t>versus</w:t>
      </w:r>
      <w:r w:rsidR="008146CF" w:rsidRPr="006D732D">
        <w:rPr>
          <w:lang w:val="en-GB"/>
        </w:rPr>
        <w:t xml:space="preserve"> renting an apartment. In </w:t>
      </w:r>
      <w:r w:rsidRPr="006D732D">
        <w:rPr>
          <w:lang w:val="en-GB"/>
        </w:rPr>
        <w:t xml:space="preserve">the </w:t>
      </w:r>
      <w:r w:rsidR="008146CF" w:rsidRPr="006D732D">
        <w:rPr>
          <w:lang w:val="en-GB"/>
        </w:rPr>
        <w:t xml:space="preserve">case </w:t>
      </w:r>
      <w:r w:rsidRPr="006D732D">
        <w:rPr>
          <w:lang w:val="en-GB"/>
        </w:rPr>
        <w:t xml:space="preserve">that </w:t>
      </w:r>
      <w:r w:rsidR="007C42D3" w:rsidRPr="006D732D">
        <w:rPr>
          <w:lang w:val="en-GB"/>
        </w:rPr>
        <w:t>Jain</w:t>
      </w:r>
      <w:r w:rsidR="008146CF" w:rsidRPr="006D732D">
        <w:rPr>
          <w:lang w:val="en-GB"/>
        </w:rPr>
        <w:t xml:space="preserve"> decided to buy the apartment, he needed to take care of the following </w:t>
      </w:r>
      <w:r w:rsidRPr="006D732D">
        <w:rPr>
          <w:lang w:val="en-GB"/>
        </w:rPr>
        <w:t xml:space="preserve">home ownership </w:t>
      </w:r>
      <w:r w:rsidR="008146CF" w:rsidRPr="006D732D">
        <w:rPr>
          <w:lang w:val="en-GB"/>
        </w:rPr>
        <w:t>costs:</w:t>
      </w:r>
    </w:p>
    <w:p w14:paraId="335B47C4" w14:textId="77777777" w:rsidR="008146CF" w:rsidRPr="006D732D" w:rsidRDefault="008146CF" w:rsidP="008146CF">
      <w:pPr>
        <w:pStyle w:val="BodyTextMain"/>
        <w:rPr>
          <w:lang w:val="en-GB"/>
        </w:rPr>
      </w:pPr>
    </w:p>
    <w:p w14:paraId="4FDCF07C" w14:textId="013430DA" w:rsidR="007315DF" w:rsidRPr="006D732D" w:rsidRDefault="008146CF" w:rsidP="008146CF">
      <w:pPr>
        <w:pStyle w:val="BodyTextMain"/>
        <w:rPr>
          <w:lang w:val="en-GB"/>
        </w:rPr>
      </w:pPr>
      <w:r w:rsidRPr="006D732D">
        <w:rPr>
          <w:b/>
          <w:lang w:val="en-GB"/>
        </w:rPr>
        <w:t xml:space="preserve">Down </w:t>
      </w:r>
      <w:r w:rsidR="00B818F3" w:rsidRPr="006D732D">
        <w:rPr>
          <w:b/>
          <w:lang w:val="en-GB"/>
        </w:rPr>
        <w:t>Payment</w:t>
      </w:r>
      <w:r w:rsidRPr="006D732D">
        <w:rPr>
          <w:lang w:val="en-GB"/>
        </w:rPr>
        <w:t xml:space="preserve">: </w:t>
      </w:r>
      <w:r w:rsidR="007C42D3" w:rsidRPr="006D732D">
        <w:rPr>
          <w:lang w:val="en-GB"/>
        </w:rPr>
        <w:t>Jain</w:t>
      </w:r>
      <w:r w:rsidRPr="006D732D">
        <w:rPr>
          <w:lang w:val="en-GB"/>
        </w:rPr>
        <w:t xml:space="preserve"> was required to make a down payment of 20</w:t>
      </w:r>
      <w:r w:rsidR="0074761D" w:rsidRPr="006D732D">
        <w:rPr>
          <w:lang w:val="en-GB"/>
        </w:rPr>
        <w:t xml:space="preserve"> per cent</w:t>
      </w:r>
      <w:r w:rsidRPr="006D732D">
        <w:rPr>
          <w:lang w:val="en-GB"/>
        </w:rPr>
        <w:t xml:space="preserve"> of the purchase price. He decided </w:t>
      </w:r>
      <w:r w:rsidR="009F020A" w:rsidRPr="006D732D">
        <w:rPr>
          <w:lang w:val="en-GB"/>
        </w:rPr>
        <w:t>he would</w:t>
      </w:r>
      <w:r w:rsidRPr="006D732D">
        <w:rPr>
          <w:lang w:val="en-GB"/>
        </w:rPr>
        <w:t xml:space="preserve"> finance the down payment by moneti</w:t>
      </w:r>
      <w:r w:rsidR="00DF3106" w:rsidRPr="006D732D">
        <w:rPr>
          <w:lang w:val="en-GB"/>
        </w:rPr>
        <w:t>z</w:t>
      </w:r>
      <w:r w:rsidRPr="006D732D">
        <w:rPr>
          <w:lang w:val="en-GB"/>
        </w:rPr>
        <w:t>ing his fixed deposits and savings with several banks</w:t>
      </w:r>
      <w:r w:rsidR="00DF3106" w:rsidRPr="006D732D">
        <w:rPr>
          <w:lang w:val="en-GB"/>
        </w:rPr>
        <w:t>,</w:t>
      </w:r>
      <w:r w:rsidRPr="006D732D">
        <w:rPr>
          <w:lang w:val="en-GB"/>
        </w:rPr>
        <w:t xml:space="preserve"> which were currently earning around 7</w:t>
      </w:r>
      <w:r w:rsidR="0074761D" w:rsidRPr="006D732D">
        <w:rPr>
          <w:lang w:val="en-GB"/>
        </w:rPr>
        <w:t xml:space="preserve"> per cent</w:t>
      </w:r>
      <w:r w:rsidRPr="006D732D">
        <w:rPr>
          <w:lang w:val="en-GB"/>
        </w:rPr>
        <w:t xml:space="preserve"> </w:t>
      </w:r>
      <w:r w:rsidR="007315DF" w:rsidRPr="006D732D">
        <w:rPr>
          <w:lang w:val="en-GB"/>
        </w:rPr>
        <w:t xml:space="preserve">per </w:t>
      </w:r>
      <w:r w:rsidR="009F020A" w:rsidRPr="006D732D">
        <w:rPr>
          <w:lang w:val="en-GB"/>
        </w:rPr>
        <w:t>year,</w:t>
      </w:r>
      <w:r w:rsidR="007315DF" w:rsidRPr="006D732D">
        <w:rPr>
          <w:lang w:val="en-GB"/>
        </w:rPr>
        <w:t xml:space="preserve"> </w:t>
      </w:r>
      <w:r w:rsidRPr="006D732D">
        <w:rPr>
          <w:lang w:val="en-GB"/>
        </w:rPr>
        <w:t>on average</w:t>
      </w:r>
      <w:r w:rsidR="009F020A" w:rsidRPr="006D732D">
        <w:rPr>
          <w:lang w:val="en-GB"/>
        </w:rPr>
        <w:t>,</w:t>
      </w:r>
      <w:r w:rsidRPr="006D732D">
        <w:rPr>
          <w:lang w:val="en-GB"/>
        </w:rPr>
        <w:t xml:space="preserve"> on a pre-tax basis. </w:t>
      </w:r>
      <w:r w:rsidR="007C42D3" w:rsidRPr="006D732D">
        <w:rPr>
          <w:lang w:val="en-GB"/>
        </w:rPr>
        <w:t>Jain</w:t>
      </w:r>
      <w:r w:rsidR="007315DF" w:rsidRPr="006D732D">
        <w:rPr>
          <w:lang w:val="en-GB"/>
        </w:rPr>
        <w:t xml:space="preserve"> decided </w:t>
      </w:r>
      <w:r w:rsidR="009F020A" w:rsidRPr="006D732D">
        <w:rPr>
          <w:lang w:val="en-GB"/>
        </w:rPr>
        <w:t>he would</w:t>
      </w:r>
      <w:r w:rsidR="007315DF" w:rsidRPr="006D732D">
        <w:rPr>
          <w:lang w:val="en-GB"/>
        </w:rPr>
        <w:t xml:space="preserve"> use this </w:t>
      </w:r>
      <w:r w:rsidR="009F020A" w:rsidRPr="006D732D">
        <w:rPr>
          <w:lang w:val="en-GB"/>
        </w:rPr>
        <w:t xml:space="preserve">annual </w:t>
      </w:r>
      <w:r w:rsidR="007315DF" w:rsidRPr="006D732D">
        <w:rPr>
          <w:lang w:val="en-GB"/>
        </w:rPr>
        <w:t>rate of 7 per cent as his opportunity cost of the down payment.</w:t>
      </w:r>
      <w:r w:rsidR="006B5940" w:rsidRPr="006D732D">
        <w:rPr>
          <w:lang w:val="en-GB"/>
        </w:rPr>
        <w:t xml:space="preserve"> </w:t>
      </w:r>
    </w:p>
    <w:p w14:paraId="6A02AD6B" w14:textId="77777777" w:rsidR="00DD3C0E" w:rsidRPr="006D732D" w:rsidRDefault="00DD3C0E" w:rsidP="008146CF">
      <w:pPr>
        <w:pStyle w:val="BodyTextMain"/>
        <w:rPr>
          <w:lang w:val="en-GB"/>
        </w:rPr>
      </w:pPr>
    </w:p>
    <w:p w14:paraId="03C3E30D" w14:textId="208D0DD0" w:rsidR="008146CF" w:rsidRPr="006D732D" w:rsidRDefault="0049408C" w:rsidP="008146CF">
      <w:pPr>
        <w:pStyle w:val="BodyTextMain"/>
        <w:rPr>
          <w:lang w:val="en-GB"/>
        </w:rPr>
      </w:pPr>
      <w:r w:rsidRPr="006D732D">
        <w:rPr>
          <w:lang w:val="en-GB"/>
        </w:rPr>
        <w:t>To</w:t>
      </w:r>
      <w:r w:rsidR="008146CF" w:rsidRPr="006D732D">
        <w:rPr>
          <w:lang w:val="en-GB"/>
        </w:rPr>
        <w:t xml:space="preserve"> financ</w:t>
      </w:r>
      <w:r w:rsidRPr="006D732D">
        <w:rPr>
          <w:lang w:val="en-GB"/>
        </w:rPr>
        <w:t>e</w:t>
      </w:r>
      <w:r w:rsidR="008146CF" w:rsidRPr="006D732D">
        <w:rPr>
          <w:lang w:val="en-GB"/>
        </w:rPr>
        <w:t xml:space="preserve"> the remain</w:t>
      </w:r>
      <w:r w:rsidR="009F020A" w:rsidRPr="006D732D">
        <w:rPr>
          <w:lang w:val="en-GB"/>
        </w:rPr>
        <w:t>ing</w:t>
      </w:r>
      <w:r w:rsidR="008146CF" w:rsidRPr="006D732D">
        <w:rPr>
          <w:lang w:val="en-GB"/>
        </w:rPr>
        <w:t xml:space="preserve"> 80</w:t>
      </w:r>
      <w:r w:rsidR="0074761D" w:rsidRPr="006D732D">
        <w:rPr>
          <w:lang w:val="en-GB"/>
        </w:rPr>
        <w:t xml:space="preserve"> per cent</w:t>
      </w:r>
      <w:r w:rsidR="008146CF" w:rsidRPr="006D732D">
        <w:rPr>
          <w:lang w:val="en-GB"/>
        </w:rPr>
        <w:t xml:space="preserve">, </w:t>
      </w:r>
      <w:r w:rsidR="007C42D3" w:rsidRPr="006D732D">
        <w:rPr>
          <w:lang w:val="en-GB"/>
        </w:rPr>
        <w:t>Jain</w:t>
      </w:r>
      <w:r w:rsidR="008146CF" w:rsidRPr="006D732D">
        <w:rPr>
          <w:lang w:val="en-GB"/>
        </w:rPr>
        <w:t xml:space="preserve"> decided </w:t>
      </w:r>
      <w:r w:rsidR="009F020A" w:rsidRPr="006D732D">
        <w:rPr>
          <w:lang w:val="en-GB"/>
        </w:rPr>
        <w:t>he would opt</w:t>
      </w:r>
      <w:r w:rsidR="008146CF" w:rsidRPr="006D732D">
        <w:rPr>
          <w:lang w:val="en-GB"/>
        </w:rPr>
        <w:t xml:space="preserve"> for a full tenor </w:t>
      </w:r>
      <w:r w:rsidR="009F020A" w:rsidRPr="006D732D">
        <w:rPr>
          <w:lang w:val="en-GB"/>
        </w:rPr>
        <w:t>f</w:t>
      </w:r>
      <w:r w:rsidR="008146CF" w:rsidRPr="006D732D">
        <w:rPr>
          <w:lang w:val="en-GB"/>
        </w:rPr>
        <w:t>ixed</w:t>
      </w:r>
      <w:r w:rsidR="009F020A" w:rsidRPr="006D732D">
        <w:rPr>
          <w:lang w:val="en-GB"/>
        </w:rPr>
        <w:t>-i</w:t>
      </w:r>
      <w:r w:rsidR="008146CF" w:rsidRPr="006D732D">
        <w:rPr>
          <w:lang w:val="en-GB"/>
        </w:rPr>
        <w:t xml:space="preserve">nterest </w:t>
      </w:r>
      <w:r w:rsidR="009F020A" w:rsidRPr="006D732D">
        <w:rPr>
          <w:lang w:val="en-GB"/>
        </w:rPr>
        <w:t>r</w:t>
      </w:r>
      <w:r w:rsidR="008146CF" w:rsidRPr="006D732D">
        <w:rPr>
          <w:lang w:val="en-GB"/>
        </w:rPr>
        <w:t>ate loan at 10.25</w:t>
      </w:r>
      <w:r w:rsidR="0074761D" w:rsidRPr="006D732D">
        <w:rPr>
          <w:lang w:val="en-GB"/>
        </w:rPr>
        <w:t xml:space="preserve"> per cent</w:t>
      </w:r>
      <w:r w:rsidR="008146CF" w:rsidRPr="006D732D">
        <w:rPr>
          <w:lang w:val="en-GB"/>
        </w:rPr>
        <w:t xml:space="preserve"> per </w:t>
      </w:r>
      <w:r w:rsidR="009F020A" w:rsidRPr="006D732D">
        <w:rPr>
          <w:lang w:val="en-GB"/>
        </w:rPr>
        <w:t>year</w:t>
      </w:r>
      <w:r w:rsidR="008146CF" w:rsidRPr="006D732D">
        <w:rPr>
          <w:lang w:val="en-GB"/>
        </w:rPr>
        <w:t xml:space="preserve"> </w:t>
      </w:r>
      <w:r w:rsidR="00A340D7" w:rsidRPr="006D732D">
        <w:rPr>
          <w:lang w:val="en-GB"/>
        </w:rPr>
        <w:t xml:space="preserve">(based on monthly compounding) </w:t>
      </w:r>
      <w:r w:rsidR="008146CF" w:rsidRPr="006D732D">
        <w:rPr>
          <w:lang w:val="en-GB"/>
        </w:rPr>
        <w:t xml:space="preserve">for a period of 20 years (see </w:t>
      </w:r>
      <w:r w:rsidR="009F020A" w:rsidRPr="006D732D">
        <w:rPr>
          <w:lang w:val="en-GB"/>
        </w:rPr>
        <w:t>E</w:t>
      </w:r>
      <w:r w:rsidR="008146CF" w:rsidRPr="006D732D">
        <w:rPr>
          <w:lang w:val="en-GB"/>
        </w:rPr>
        <w:t>xhibit 1).</w:t>
      </w:r>
      <w:r w:rsidR="00A340D7" w:rsidRPr="006D732D">
        <w:rPr>
          <w:lang w:val="en-GB"/>
        </w:rPr>
        <w:t xml:space="preserve"> </w:t>
      </w:r>
    </w:p>
    <w:p w14:paraId="0CEA22E5" w14:textId="77777777" w:rsidR="008146CF" w:rsidRPr="006D732D" w:rsidRDefault="008146CF" w:rsidP="008146CF">
      <w:pPr>
        <w:pStyle w:val="BodyTextMain"/>
        <w:rPr>
          <w:lang w:val="en-GB"/>
        </w:rPr>
      </w:pPr>
    </w:p>
    <w:p w14:paraId="0D497560" w14:textId="4D25BB38" w:rsidR="008146CF" w:rsidRPr="006D732D" w:rsidRDefault="008146CF" w:rsidP="008146CF">
      <w:pPr>
        <w:pStyle w:val="BodyTextMain"/>
        <w:rPr>
          <w:lang w:val="en-GB"/>
        </w:rPr>
      </w:pPr>
      <w:r w:rsidRPr="006D732D">
        <w:rPr>
          <w:b/>
          <w:lang w:val="en-GB"/>
        </w:rPr>
        <w:t>Stamp Duty and Other Charges</w:t>
      </w:r>
      <w:r w:rsidRPr="006D732D">
        <w:rPr>
          <w:lang w:val="en-GB"/>
        </w:rPr>
        <w:t xml:space="preserve">: </w:t>
      </w:r>
      <w:r w:rsidR="007C42D3" w:rsidRPr="006D732D">
        <w:rPr>
          <w:lang w:val="en-GB"/>
        </w:rPr>
        <w:t>Jain</w:t>
      </w:r>
      <w:r w:rsidRPr="006D732D">
        <w:rPr>
          <w:lang w:val="en-GB"/>
        </w:rPr>
        <w:t xml:space="preserve"> estimated that purchasing the property </w:t>
      </w:r>
      <w:r w:rsidR="0049408C" w:rsidRPr="006D732D">
        <w:rPr>
          <w:lang w:val="en-GB"/>
        </w:rPr>
        <w:t xml:space="preserve">would </w:t>
      </w:r>
      <w:r w:rsidRPr="006D732D">
        <w:rPr>
          <w:lang w:val="en-GB"/>
        </w:rPr>
        <w:t xml:space="preserve">involve paying a stamp duty and transfer duty </w:t>
      </w:r>
      <w:r w:rsidR="0049408C" w:rsidRPr="006D732D">
        <w:rPr>
          <w:lang w:val="en-GB"/>
        </w:rPr>
        <w:t>at</w:t>
      </w:r>
      <w:r w:rsidRPr="006D732D">
        <w:rPr>
          <w:lang w:val="en-GB"/>
        </w:rPr>
        <w:t xml:space="preserve"> 6</w:t>
      </w:r>
      <w:r w:rsidR="0074761D" w:rsidRPr="006D732D">
        <w:rPr>
          <w:lang w:val="en-GB"/>
        </w:rPr>
        <w:t xml:space="preserve"> per cent</w:t>
      </w:r>
      <w:r w:rsidRPr="006D732D">
        <w:rPr>
          <w:lang w:val="en-GB"/>
        </w:rPr>
        <w:t xml:space="preserve"> and registration fees </w:t>
      </w:r>
      <w:r w:rsidR="0049408C" w:rsidRPr="006D732D">
        <w:rPr>
          <w:lang w:val="en-GB"/>
        </w:rPr>
        <w:t xml:space="preserve">at </w:t>
      </w:r>
      <w:r w:rsidRPr="006D732D">
        <w:rPr>
          <w:lang w:val="en-GB"/>
        </w:rPr>
        <w:t>1</w:t>
      </w:r>
      <w:r w:rsidR="0074761D" w:rsidRPr="006D732D">
        <w:rPr>
          <w:lang w:val="en-GB"/>
        </w:rPr>
        <w:t xml:space="preserve"> per cent</w:t>
      </w:r>
      <w:r w:rsidRPr="006D732D">
        <w:rPr>
          <w:lang w:val="en-GB"/>
        </w:rPr>
        <w:t xml:space="preserve"> of the </w:t>
      </w:r>
      <w:r w:rsidR="0049408C" w:rsidRPr="006D732D">
        <w:rPr>
          <w:lang w:val="en-GB"/>
        </w:rPr>
        <w:t xml:space="preserve">sale deed’s </w:t>
      </w:r>
      <w:r w:rsidRPr="006D732D">
        <w:rPr>
          <w:lang w:val="en-GB"/>
        </w:rPr>
        <w:t>total value.</w:t>
      </w:r>
    </w:p>
    <w:p w14:paraId="5628909B" w14:textId="77777777" w:rsidR="008146CF" w:rsidRPr="006D732D" w:rsidRDefault="008146CF" w:rsidP="008146CF">
      <w:pPr>
        <w:pStyle w:val="BodyTextMain"/>
        <w:rPr>
          <w:lang w:val="en-GB"/>
        </w:rPr>
      </w:pPr>
    </w:p>
    <w:p w14:paraId="6D407501" w14:textId="45236BD2" w:rsidR="008146CF" w:rsidRPr="006D732D" w:rsidRDefault="008146CF" w:rsidP="008146CF">
      <w:pPr>
        <w:pStyle w:val="BodyTextMain"/>
        <w:rPr>
          <w:lang w:val="en-GB"/>
        </w:rPr>
      </w:pPr>
      <w:r w:rsidRPr="006D732D">
        <w:rPr>
          <w:b/>
          <w:lang w:val="en-GB"/>
        </w:rPr>
        <w:t>Property Taxes</w:t>
      </w:r>
      <w:r w:rsidRPr="006D732D">
        <w:rPr>
          <w:lang w:val="en-GB"/>
        </w:rPr>
        <w:t xml:space="preserve">: </w:t>
      </w:r>
      <w:r w:rsidR="007C42D3" w:rsidRPr="006D732D">
        <w:rPr>
          <w:lang w:val="en-GB"/>
        </w:rPr>
        <w:t>Jain</w:t>
      </w:r>
      <w:r w:rsidRPr="006D732D">
        <w:rPr>
          <w:lang w:val="en-GB"/>
        </w:rPr>
        <w:t xml:space="preserve"> estimated </w:t>
      </w:r>
      <w:r w:rsidR="0049408C" w:rsidRPr="006D732D">
        <w:rPr>
          <w:lang w:val="en-GB"/>
        </w:rPr>
        <w:t xml:space="preserve">that he would have to pay </w:t>
      </w:r>
      <w:r w:rsidRPr="006D732D">
        <w:rPr>
          <w:lang w:val="en-GB"/>
        </w:rPr>
        <w:t xml:space="preserve">property taxes of </w:t>
      </w:r>
      <w:r w:rsidR="0049408C" w:rsidRPr="006D732D">
        <w:rPr>
          <w:rFonts w:ascii="Arial" w:hAnsi="Arial" w:cs="Arial"/>
          <w:color w:val="222222"/>
          <w:shd w:val="clear" w:color="auto" w:fill="FFFFFF"/>
          <w:lang w:val="en-GB"/>
        </w:rPr>
        <w:t>₹</w:t>
      </w:r>
      <w:r w:rsidRPr="006D732D">
        <w:rPr>
          <w:lang w:val="en-GB"/>
        </w:rPr>
        <w:t>10,000 on the purchased property on an annual basis.</w:t>
      </w:r>
    </w:p>
    <w:p w14:paraId="5CD59A60" w14:textId="77777777" w:rsidR="008146CF" w:rsidRPr="006D732D" w:rsidRDefault="008146CF" w:rsidP="008146CF">
      <w:pPr>
        <w:pStyle w:val="BodyTextMain"/>
        <w:rPr>
          <w:lang w:val="en-GB"/>
        </w:rPr>
      </w:pPr>
    </w:p>
    <w:p w14:paraId="09904E30" w14:textId="3C656020" w:rsidR="008146CF" w:rsidRPr="006D732D" w:rsidRDefault="008146CF" w:rsidP="008146CF">
      <w:pPr>
        <w:pStyle w:val="BodyTextMain"/>
        <w:rPr>
          <w:lang w:val="en-GB"/>
        </w:rPr>
      </w:pPr>
      <w:r w:rsidRPr="006D732D">
        <w:rPr>
          <w:b/>
          <w:lang w:val="en-GB"/>
        </w:rPr>
        <w:t>Other Charges</w:t>
      </w:r>
      <w:r w:rsidRPr="006D732D">
        <w:rPr>
          <w:lang w:val="en-GB"/>
        </w:rPr>
        <w:t xml:space="preserve">: </w:t>
      </w:r>
      <w:r w:rsidR="007C42D3" w:rsidRPr="006D732D">
        <w:rPr>
          <w:lang w:val="en-GB"/>
        </w:rPr>
        <w:t>Jain</w:t>
      </w:r>
      <w:r w:rsidRPr="006D732D">
        <w:rPr>
          <w:lang w:val="en-GB"/>
        </w:rPr>
        <w:t xml:space="preserve"> w</w:t>
      </w:r>
      <w:r w:rsidR="0049408C" w:rsidRPr="006D732D">
        <w:rPr>
          <w:lang w:val="en-GB"/>
        </w:rPr>
        <w:t>ould</w:t>
      </w:r>
      <w:r w:rsidRPr="006D732D">
        <w:rPr>
          <w:lang w:val="en-GB"/>
        </w:rPr>
        <w:t xml:space="preserve"> </w:t>
      </w:r>
      <w:r w:rsidR="0049408C" w:rsidRPr="006D732D">
        <w:rPr>
          <w:lang w:val="en-GB"/>
        </w:rPr>
        <w:t>be</w:t>
      </w:r>
      <w:r w:rsidRPr="006D732D">
        <w:rPr>
          <w:lang w:val="en-GB"/>
        </w:rPr>
        <w:t xml:space="preserve"> required to pay brokerage </w:t>
      </w:r>
      <w:r w:rsidR="009E2BBF" w:rsidRPr="006D732D">
        <w:rPr>
          <w:lang w:val="en-GB"/>
        </w:rPr>
        <w:t xml:space="preserve">expenses </w:t>
      </w:r>
      <w:r w:rsidR="0049408C" w:rsidRPr="006D732D">
        <w:rPr>
          <w:lang w:val="en-GB"/>
        </w:rPr>
        <w:t xml:space="preserve">at </w:t>
      </w:r>
      <w:r w:rsidRPr="006D732D">
        <w:rPr>
          <w:lang w:val="en-GB"/>
        </w:rPr>
        <w:t>1</w:t>
      </w:r>
      <w:r w:rsidR="0074761D" w:rsidRPr="006D732D">
        <w:rPr>
          <w:lang w:val="en-GB"/>
        </w:rPr>
        <w:t xml:space="preserve"> per cent</w:t>
      </w:r>
      <w:r w:rsidRPr="006D732D">
        <w:rPr>
          <w:lang w:val="en-GB"/>
        </w:rPr>
        <w:t xml:space="preserve"> of the value of the property for </w:t>
      </w:r>
      <w:r w:rsidR="0049408C" w:rsidRPr="006D732D">
        <w:rPr>
          <w:lang w:val="en-GB"/>
        </w:rPr>
        <w:t xml:space="preserve">the </w:t>
      </w:r>
      <w:r w:rsidRPr="006D732D">
        <w:rPr>
          <w:lang w:val="en-GB"/>
        </w:rPr>
        <w:t xml:space="preserve">arranging and executing </w:t>
      </w:r>
      <w:r w:rsidR="0049408C" w:rsidRPr="006D732D">
        <w:rPr>
          <w:lang w:val="en-GB"/>
        </w:rPr>
        <w:t xml:space="preserve">of </w:t>
      </w:r>
      <w:r w:rsidRPr="006D732D">
        <w:rPr>
          <w:lang w:val="en-GB"/>
        </w:rPr>
        <w:t>the purchase of the property by his broker. Further, the</w:t>
      </w:r>
      <w:r w:rsidR="0049408C" w:rsidRPr="006D732D">
        <w:rPr>
          <w:lang w:val="en-GB"/>
        </w:rPr>
        <w:t xml:space="preserve"> homeowner</w:t>
      </w:r>
      <w:r w:rsidRPr="006D732D">
        <w:rPr>
          <w:lang w:val="en-GB"/>
        </w:rPr>
        <w:t xml:space="preserve"> </w:t>
      </w:r>
      <w:r w:rsidR="0049408C" w:rsidRPr="006D732D">
        <w:rPr>
          <w:lang w:val="en-GB"/>
        </w:rPr>
        <w:t>would incur</w:t>
      </w:r>
      <w:r w:rsidRPr="006D732D">
        <w:rPr>
          <w:lang w:val="en-GB"/>
        </w:rPr>
        <w:t xml:space="preserve"> </w:t>
      </w:r>
      <w:r w:rsidR="0049408C" w:rsidRPr="006D732D">
        <w:rPr>
          <w:lang w:val="en-GB"/>
        </w:rPr>
        <w:t xml:space="preserve">a </w:t>
      </w:r>
      <w:r w:rsidRPr="006D732D">
        <w:rPr>
          <w:lang w:val="en-GB"/>
        </w:rPr>
        <w:t>recurring society charge</w:t>
      </w:r>
      <w:r w:rsidR="00634983" w:rsidRPr="006D732D">
        <w:rPr>
          <w:rStyle w:val="FootnoteReference"/>
          <w:lang w:val="en-GB"/>
        </w:rPr>
        <w:footnoteReference w:id="5"/>
      </w:r>
      <w:r w:rsidRPr="006D732D">
        <w:rPr>
          <w:lang w:val="en-GB"/>
        </w:rPr>
        <w:t xml:space="preserve"> </w:t>
      </w:r>
      <w:r w:rsidR="0049408C" w:rsidRPr="006D732D">
        <w:rPr>
          <w:lang w:val="en-GB"/>
        </w:rPr>
        <w:t>of about</w:t>
      </w:r>
      <w:r w:rsidRPr="006D732D">
        <w:rPr>
          <w:lang w:val="en-GB"/>
        </w:rPr>
        <w:t xml:space="preserve"> </w:t>
      </w:r>
      <w:r w:rsidR="0049408C" w:rsidRPr="006D732D">
        <w:rPr>
          <w:rFonts w:ascii="Arial" w:hAnsi="Arial" w:cs="Arial"/>
          <w:color w:val="222222"/>
          <w:shd w:val="clear" w:color="auto" w:fill="FFFFFF"/>
          <w:lang w:val="en-GB"/>
        </w:rPr>
        <w:t>₹</w:t>
      </w:r>
      <w:r w:rsidRPr="006D732D">
        <w:rPr>
          <w:lang w:val="en-GB"/>
        </w:rPr>
        <w:t xml:space="preserve">1,000 per month (including the use of parking facilities). </w:t>
      </w:r>
    </w:p>
    <w:p w14:paraId="00143DD7" w14:textId="77777777" w:rsidR="008146CF" w:rsidRPr="006D732D" w:rsidRDefault="008146CF" w:rsidP="008146CF">
      <w:pPr>
        <w:pStyle w:val="BodyTextMain"/>
        <w:rPr>
          <w:lang w:val="en-GB"/>
        </w:rPr>
      </w:pPr>
    </w:p>
    <w:p w14:paraId="23950FA3" w14:textId="716A0451" w:rsidR="008146CF" w:rsidRPr="006D732D" w:rsidRDefault="008146CF" w:rsidP="008146CF">
      <w:pPr>
        <w:pStyle w:val="BodyTextMain"/>
        <w:rPr>
          <w:lang w:val="en-GB"/>
        </w:rPr>
      </w:pPr>
      <w:r w:rsidRPr="006D732D">
        <w:rPr>
          <w:lang w:val="en-GB"/>
        </w:rPr>
        <w:t xml:space="preserve">In </w:t>
      </w:r>
      <w:r w:rsidR="00E34971" w:rsidRPr="006D732D">
        <w:rPr>
          <w:lang w:val="en-GB"/>
        </w:rPr>
        <w:t xml:space="preserve">the </w:t>
      </w:r>
      <w:r w:rsidRPr="006D732D">
        <w:rPr>
          <w:lang w:val="en-GB"/>
        </w:rPr>
        <w:t xml:space="preserve">case </w:t>
      </w:r>
      <w:r w:rsidR="007C42D3" w:rsidRPr="006D732D">
        <w:rPr>
          <w:lang w:val="en-GB"/>
        </w:rPr>
        <w:t>Jain</w:t>
      </w:r>
      <w:r w:rsidRPr="006D732D">
        <w:rPr>
          <w:lang w:val="en-GB"/>
        </w:rPr>
        <w:t xml:space="preserve"> decided to rent the apartment</w:t>
      </w:r>
      <w:r w:rsidR="00E34971" w:rsidRPr="006D732D">
        <w:rPr>
          <w:lang w:val="en-GB"/>
        </w:rPr>
        <w:t>,</w:t>
      </w:r>
      <w:r w:rsidRPr="006D732D">
        <w:rPr>
          <w:lang w:val="en-GB"/>
        </w:rPr>
        <w:t xml:space="preserve"> </w:t>
      </w:r>
      <w:r w:rsidR="00E34971" w:rsidRPr="006D732D">
        <w:rPr>
          <w:lang w:val="en-GB"/>
        </w:rPr>
        <w:t>the</w:t>
      </w:r>
      <w:r w:rsidRPr="006D732D">
        <w:rPr>
          <w:lang w:val="en-GB"/>
        </w:rPr>
        <w:t xml:space="preserve"> </w:t>
      </w:r>
      <w:r w:rsidR="00E34971" w:rsidRPr="006D732D">
        <w:rPr>
          <w:lang w:val="en-GB"/>
        </w:rPr>
        <w:t>initial</w:t>
      </w:r>
      <w:r w:rsidRPr="006D732D">
        <w:rPr>
          <w:lang w:val="en-GB"/>
        </w:rPr>
        <w:t xml:space="preserve"> option</w:t>
      </w:r>
      <w:r w:rsidR="00E34971" w:rsidRPr="006D732D">
        <w:rPr>
          <w:lang w:val="en-GB"/>
        </w:rPr>
        <w:t xml:space="preserve"> he had considered</w:t>
      </w:r>
      <w:r w:rsidRPr="006D732D">
        <w:rPr>
          <w:lang w:val="en-GB"/>
        </w:rPr>
        <w:t xml:space="preserve">, he </w:t>
      </w:r>
      <w:r w:rsidR="00695CEC" w:rsidRPr="006D732D">
        <w:rPr>
          <w:lang w:val="en-GB"/>
        </w:rPr>
        <w:t>would</w:t>
      </w:r>
      <w:r w:rsidRPr="006D732D">
        <w:rPr>
          <w:lang w:val="en-GB"/>
        </w:rPr>
        <w:t xml:space="preserve"> incur additional expenses related to society charges</w:t>
      </w:r>
      <w:r w:rsidR="00695CEC" w:rsidRPr="006D732D">
        <w:rPr>
          <w:lang w:val="en-GB"/>
        </w:rPr>
        <w:t xml:space="preserve">—about </w:t>
      </w:r>
      <w:r w:rsidR="0049408C" w:rsidRPr="006D732D">
        <w:rPr>
          <w:rFonts w:ascii="Arial" w:hAnsi="Arial" w:cs="Arial"/>
          <w:color w:val="222222"/>
          <w:shd w:val="clear" w:color="auto" w:fill="FFFFFF"/>
          <w:lang w:val="en-GB"/>
        </w:rPr>
        <w:t>₹</w:t>
      </w:r>
      <w:r w:rsidRPr="006D732D">
        <w:rPr>
          <w:lang w:val="en-GB"/>
        </w:rPr>
        <w:t xml:space="preserve">1,000 per month. </w:t>
      </w:r>
      <w:r w:rsidR="00695CEC" w:rsidRPr="006D732D">
        <w:rPr>
          <w:lang w:val="en-GB"/>
        </w:rPr>
        <w:t>In that case, he would a</w:t>
      </w:r>
      <w:r w:rsidRPr="006D732D">
        <w:rPr>
          <w:lang w:val="en-GB"/>
        </w:rPr>
        <w:t xml:space="preserve">lso </w:t>
      </w:r>
      <w:r w:rsidR="00695CEC" w:rsidRPr="006D732D">
        <w:rPr>
          <w:lang w:val="en-GB"/>
        </w:rPr>
        <w:t>have</w:t>
      </w:r>
      <w:r w:rsidRPr="006D732D">
        <w:rPr>
          <w:lang w:val="en-GB"/>
        </w:rPr>
        <w:t xml:space="preserve"> to </w:t>
      </w:r>
      <w:r w:rsidR="00695CEC" w:rsidRPr="006D732D">
        <w:rPr>
          <w:lang w:val="en-GB"/>
        </w:rPr>
        <w:t>pay</w:t>
      </w:r>
      <w:r w:rsidRPr="006D732D">
        <w:rPr>
          <w:lang w:val="en-GB"/>
        </w:rPr>
        <w:t xml:space="preserve"> </w:t>
      </w:r>
      <w:r w:rsidR="004C1B4C" w:rsidRPr="006D732D">
        <w:rPr>
          <w:lang w:val="en-GB"/>
        </w:rPr>
        <w:t xml:space="preserve">expenses </w:t>
      </w:r>
      <w:r w:rsidRPr="006D732D">
        <w:rPr>
          <w:lang w:val="en-GB"/>
        </w:rPr>
        <w:t xml:space="preserve">amounting to </w:t>
      </w:r>
      <w:r w:rsidR="0049408C" w:rsidRPr="006D732D">
        <w:rPr>
          <w:rFonts w:ascii="Arial" w:hAnsi="Arial" w:cs="Arial"/>
          <w:color w:val="222222"/>
          <w:shd w:val="clear" w:color="auto" w:fill="FFFFFF"/>
          <w:lang w:val="en-GB"/>
        </w:rPr>
        <w:t>₹</w:t>
      </w:r>
      <w:r w:rsidRPr="006D732D">
        <w:rPr>
          <w:lang w:val="en-GB"/>
        </w:rPr>
        <w:t xml:space="preserve">25,000 to his broker for arranging the </w:t>
      </w:r>
      <w:r w:rsidR="00695CEC" w:rsidRPr="006D732D">
        <w:rPr>
          <w:lang w:val="en-GB"/>
        </w:rPr>
        <w:t>rental</w:t>
      </w:r>
      <w:r w:rsidRPr="006D732D">
        <w:rPr>
          <w:lang w:val="en-GB"/>
        </w:rPr>
        <w:t xml:space="preserve"> and executing the 11</w:t>
      </w:r>
      <w:r w:rsidR="00695CEC" w:rsidRPr="006D732D">
        <w:rPr>
          <w:lang w:val="en-GB"/>
        </w:rPr>
        <w:t>-</w:t>
      </w:r>
      <w:r w:rsidRPr="006D732D">
        <w:rPr>
          <w:lang w:val="en-GB"/>
        </w:rPr>
        <w:t>month rent</w:t>
      </w:r>
      <w:r w:rsidR="00695CEC" w:rsidRPr="006D732D">
        <w:rPr>
          <w:lang w:val="en-GB"/>
        </w:rPr>
        <w:t>al</w:t>
      </w:r>
      <w:r w:rsidRPr="006D732D">
        <w:rPr>
          <w:lang w:val="en-GB"/>
        </w:rPr>
        <w:t xml:space="preserve"> agreement. </w:t>
      </w:r>
    </w:p>
    <w:p w14:paraId="2885B257" w14:textId="77777777" w:rsidR="008146CF" w:rsidRPr="006D732D" w:rsidRDefault="008146CF" w:rsidP="008146CF">
      <w:pPr>
        <w:pStyle w:val="BodyTextMain"/>
        <w:rPr>
          <w:lang w:val="en-GB"/>
        </w:rPr>
      </w:pPr>
    </w:p>
    <w:p w14:paraId="1B588598" w14:textId="77777777" w:rsidR="008146CF" w:rsidRPr="006D732D" w:rsidRDefault="008146CF" w:rsidP="00A274A3">
      <w:pPr>
        <w:pStyle w:val="Casehead1"/>
        <w:keepNext/>
        <w:rPr>
          <w:lang w:val="en-GB"/>
        </w:rPr>
      </w:pPr>
      <w:r w:rsidRPr="006D732D">
        <w:rPr>
          <w:lang w:val="en-GB"/>
        </w:rPr>
        <w:lastRenderedPageBreak/>
        <w:t>TAX CONSIDERATIONS</w:t>
      </w:r>
    </w:p>
    <w:p w14:paraId="2E09D117" w14:textId="77777777" w:rsidR="008146CF" w:rsidRPr="006D732D" w:rsidRDefault="008146CF" w:rsidP="00A274A3">
      <w:pPr>
        <w:pStyle w:val="BodyTextMain"/>
        <w:keepNext/>
        <w:rPr>
          <w:lang w:val="en-GB"/>
        </w:rPr>
      </w:pPr>
    </w:p>
    <w:p w14:paraId="49A73406" w14:textId="4833AC70" w:rsidR="008146CF" w:rsidRPr="006D732D" w:rsidRDefault="008146CF" w:rsidP="00A274A3">
      <w:pPr>
        <w:pStyle w:val="BodyTextMain"/>
        <w:keepNext/>
        <w:rPr>
          <w:lang w:val="en-GB"/>
        </w:rPr>
      </w:pPr>
      <w:r w:rsidRPr="006D732D">
        <w:rPr>
          <w:lang w:val="en-GB"/>
        </w:rPr>
        <w:t xml:space="preserve">Besides the above considerations, </w:t>
      </w:r>
      <w:r w:rsidR="007C42D3" w:rsidRPr="006D732D">
        <w:rPr>
          <w:lang w:val="en-GB"/>
        </w:rPr>
        <w:t>Jain</w:t>
      </w:r>
      <w:r w:rsidRPr="006D732D">
        <w:rPr>
          <w:lang w:val="en-GB"/>
        </w:rPr>
        <w:t xml:space="preserve"> also </w:t>
      </w:r>
      <w:r w:rsidR="00695CEC" w:rsidRPr="006D732D">
        <w:rPr>
          <w:lang w:val="en-GB"/>
        </w:rPr>
        <w:t>took</w:t>
      </w:r>
      <w:r w:rsidRPr="006D732D">
        <w:rPr>
          <w:lang w:val="en-GB"/>
        </w:rPr>
        <w:t xml:space="preserve"> into account the tax benefits on </w:t>
      </w:r>
      <w:r w:rsidR="00695CEC" w:rsidRPr="006D732D">
        <w:rPr>
          <w:lang w:val="en-GB"/>
        </w:rPr>
        <w:t xml:space="preserve">a </w:t>
      </w:r>
      <w:r w:rsidRPr="006D732D">
        <w:rPr>
          <w:lang w:val="en-GB"/>
        </w:rPr>
        <w:t xml:space="preserve">home loan provided under </w:t>
      </w:r>
      <w:r w:rsidR="00265984" w:rsidRPr="006D732D">
        <w:rPr>
          <w:lang w:val="en-GB"/>
        </w:rPr>
        <w:t>India’s</w:t>
      </w:r>
      <w:r w:rsidRPr="006D732D">
        <w:rPr>
          <w:lang w:val="en-GB"/>
        </w:rPr>
        <w:t xml:space="preserve"> </w:t>
      </w:r>
      <w:r w:rsidRPr="006A6755">
        <w:rPr>
          <w:i/>
          <w:lang w:val="en-GB"/>
        </w:rPr>
        <w:t xml:space="preserve">Income </w:t>
      </w:r>
      <w:r w:rsidR="00265984" w:rsidRPr="006A6755">
        <w:rPr>
          <w:i/>
          <w:lang w:val="en-GB"/>
        </w:rPr>
        <w:t>T</w:t>
      </w:r>
      <w:r w:rsidRPr="006A6755">
        <w:rPr>
          <w:i/>
          <w:lang w:val="en-GB"/>
        </w:rPr>
        <w:t xml:space="preserve">ax </w:t>
      </w:r>
      <w:r w:rsidR="00265984" w:rsidRPr="006A6755">
        <w:rPr>
          <w:i/>
          <w:lang w:val="en-GB"/>
        </w:rPr>
        <w:t>Act</w:t>
      </w:r>
      <w:r w:rsidRPr="006D732D">
        <w:rPr>
          <w:lang w:val="en-GB"/>
        </w:rPr>
        <w:t xml:space="preserve">. Under Section 24 of the </w:t>
      </w:r>
      <w:r w:rsidR="004F6651" w:rsidRPr="006A6755">
        <w:rPr>
          <w:i/>
          <w:lang w:val="en-GB"/>
        </w:rPr>
        <w:t>A</w:t>
      </w:r>
      <w:r w:rsidR="00265984" w:rsidRPr="006A6755">
        <w:rPr>
          <w:i/>
          <w:lang w:val="en-GB"/>
        </w:rPr>
        <w:t>ct</w:t>
      </w:r>
      <w:r w:rsidRPr="006D732D">
        <w:rPr>
          <w:lang w:val="en-GB"/>
        </w:rPr>
        <w:t xml:space="preserve">, a deduction of up to </w:t>
      </w:r>
      <w:r w:rsidR="00695CEC" w:rsidRPr="006D732D">
        <w:rPr>
          <w:rFonts w:ascii="Arial" w:hAnsi="Arial" w:cs="Arial"/>
          <w:color w:val="222222"/>
          <w:shd w:val="clear" w:color="auto" w:fill="FFFFFF"/>
          <w:lang w:val="en-GB"/>
        </w:rPr>
        <w:t>₹</w:t>
      </w:r>
      <w:r w:rsidR="004F6651" w:rsidRPr="006D732D">
        <w:rPr>
          <w:color w:val="222222"/>
          <w:shd w:val="clear" w:color="auto" w:fill="FFFFFF"/>
          <w:lang w:val="en-GB"/>
        </w:rPr>
        <w:t>200,000</w:t>
      </w:r>
      <w:r w:rsidRPr="006D732D">
        <w:rPr>
          <w:lang w:val="en-GB"/>
        </w:rPr>
        <w:t xml:space="preserve"> for </w:t>
      </w:r>
      <w:r w:rsidR="00D41573" w:rsidRPr="006D732D">
        <w:rPr>
          <w:lang w:val="en-GB"/>
        </w:rPr>
        <w:t xml:space="preserve">the </w:t>
      </w:r>
      <w:r w:rsidRPr="006D732D">
        <w:rPr>
          <w:lang w:val="en-GB"/>
        </w:rPr>
        <w:t xml:space="preserve">payment of interest on a housing loan was allowed in a financial year. Similarly, under Section 80C, a tax deduction of up to </w:t>
      </w:r>
      <w:r w:rsidR="00695CEC" w:rsidRPr="006D732D">
        <w:rPr>
          <w:rFonts w:ascii="Arial" w:hAnsi="Arial" w:cs="Arial"/>
          <w:color w:val="222222"/>
          <w:shd w:val="clear" w:color="auto" w:fill="FFFFFF"/>
          <w:lang w:val="en-GB"/>
        </w:rPr>
        <w:t>₹</w:t>
      </w:r>
      <w:r w:rsidR="004F6651" w:rsidRPr="006D732D">
        <w:rPr>
          <w:color w:val="222222"/>
          <w:shd w:val="clear" w:color="auto" w:fill="FFFFFF"/>
          <w:lang w:val="en-GB"/>
        </w:rPr>
        <w:t>150,000</w:t>
      </w:r>
      <w:r w:rsidRPr="006D732D">
        <w:rPr>
          <w:lang w:val="en-GB"/>
        </w:rPr>
        <w:t xml:space="preserve"> was allowed </w:t>
      </w:r>
      <w:r w:rsidR="00D41573" w:rsidRPr="006D732D">
        <w:rPr>
          <w:lang w:val="en-GB"/>
        </w:rPr>
        <w:t xml:space="preserve">in a financial year </w:t>
      </w:r>
      <w:r w:rsidRPr="006D732D">
        <w:rPr>
          <w:lang w:val="en-GB"/>
        </w:rPr>
        <w:t>for principal repayment on a housing loan</w:t>
      </w:r>
      <w:r w:rsidR="00695CEC" w:rsidRPr="006D732D">
        <w:rPr>
          <w:lang w:val="en-GB"/>
        </w:rPr>
        <w:t>.</w:t>
      </w:r>
      <w:r w:rsidRPr="006D732D">
        <w:rPr>
          <w:rStyle w:val="FootnoteReference"/>
          <w:lang w:val="en-GB"/>
        </w:rPr>
        <w:footnoteReference w:id="6"/>
      </w:r>
      <w:r w:rsidRPr="006D732D">
        <w:rPr>
          <w:lang w:val="en-GB"/>
        </w:rPr>
        <w:t xml:space="preserve"> This would have entailed substantial benefits for </w:t>
      </w:r>
      <w:r w:rsidR="007C42D3" w:rsidRPr="006D732D">
        <w:rPr>
          <w:lang w:val="en-GB"/>
        </w:rPr>
        <w:t>Jain</w:t>
      </w:r>
      <w:r w:rsidR="004F6651" w:rsidRPr="006D732D">
        <w:rPr>
          <w:lang w:val="en-GB"/>
        </w:rPr>
        <w:t>,</w:t>
      </w:r>
      <w:r w:rsidRPr="006D732D">
        <w:rPr>
          <w:lang w:val="en-GB"/>
        </w:rPr>
        <w:t xml:space="preserve"> given his marginal tax rate bracket of 30</w:t>
      </w:r>
      <w:r w:rsidR="0074761D" w:rsidRPr="006D732D">
        <w:rPr>
          <w:lang w:val="en-GB"/>
        </w:rPr>
        <w:t xml:space="preserve"> per cent</w:t>
      </w:r>
      <w:r w:rsidRPr="006D732D">
        <w:rPr>
          <w:lang w:val="en-GB"/>
        </w:rPr>
        <w:t>.</w:t>
      </w:r>
      <w:r w:rsidRPr="006D732D">
        <w:rPr>
          <w:lang w:val="en-GB"/>
        </w:rPr>
        <w:cr/>
      </w:r>
    </w:p>
    <w:p w14:paraId="2E83ADC3" w14:textId="77777777" w:rsidR="008146CF" w:rsidRPr="006D732D" w:rsidRDefault="008146CF" w:rsidP="008146CF">
      <w:pPr>
        <w:pStyle w:val="BodyTextMain"/>
        <w:rPr>
          <w:lang w:val="en-GB"/>
        </w:rPr>
      </w:pPr>
    </w:p>
    <w:p w14:paraId="0CADD4AE" w14:textId="77777777" w:rsidR="008146CF" w:rsidRPr="006D732D" w:rsidRDefault="008146CF" w:rsidP="008146CF">
      <w:pPr>
        <w:pStyle w:val="Casehead1"/>
        <w:rPr>
          <w:lang w:val="en-GB"/>
        </w:rPr>
      </w:pPr>
      <w:r w:rsidRPr="006D732D">
        <w:rPr>
          <w:lang w:val="en-GB"/>
        </w:rPr>
        <w:t>FINANCIAL INVESTMENT DECISION</w:t>
      </w:r>
    </w:p>
    <w:p w14:paraId="03C4CB97" w14:textId="77777777" w:rsidR="008146CF" w:rsidRPr="006D732D" w:rsidRDefault="008146CF" w:rsidP="008146CF">
      <w:pPr>
        <w:pStyle w:val="BodyTextMain"/>
        <w:rPr>
          <w:lang w:val="en-GB"/>
        </w:rPr>
      </w:pPr>
    </w:p>
    <w:p w14:paraId="2FC3120F" w14:textId="5E950134" w:rsidR="008146CF" w:rsidRPr="006D732D" w:rsidRDefault="008146CF" w:rsidP="008146CF">
      <w:pPr>
        <w:pStyle w:val="BodyTextMain"/>
        <w:rPr>
          <w:lang w:val="en-GB"/>
        </w:rPr>
      </w:pPr>
      <w:r w:rsidRPr="006D732D">
        <w:rPr>
          <w:lang w:val="en-GB"/>
        </w:rPr>
        <w:t xml:space="preserve">With the above information in hand, </w:t>
      </w:r>
      <w:r w:rsidR="007C42D3" w:rsidRPr="006D732D">
        <w:rPr>
          <w:lang w:val="en-GB"/>
        </w:rPr>
        <w:t>Jain</w:t>
      </w:r>
      <w:r w:rsidRPr="006D732D">
        <w:rPr>
          <w:lang w:val="en-GB"/>
        </w:rPr>
        <w:t xml:space="preserve"> conduct</w:t>
      </w:r>
      <w:r w:rsidR="00D41573" w:rsidRPr="006D732D">
        <w:rPr>
          <w:lang w:val="en-GB"/>
        </w:rPr>
        <w:t>ed</w:t>
      </w:r>
      <w:r w:rsidRPr="006D732D">
        <w:rPr>
          <w:lang w:val="en-GB"/>
        </w:rPr>
        <w:t xml:space="preserve"> a quantitative analysis using time value techniques</w:t>
      </w:r>
      <w:r w:rsidR="005677E8" w:rsidRPr="006D732D">
        <w:rPr>
          <w:lang w:val="en-GB"/>
        </w:rPr>
        <w:t>,</w:t>
      </w:r>
      <w:r w:rsidRPr="006D732D">
        <w:rPr>
          <w:lang w:val="en-GB"/>
        </w:rPr>
        <w:t xml:space="preserve"> and compare</w:t>
      </w:r>
      <w:r w:rsidR="00D41573" w:rsidRPr="006D732D">
        <w:rPr>
          <w:lang w:val="en-GB"/>
        </w:rPr>
        <w:t>d</w:t>
      </w:r>
      <w:r w:rsidRPr="006D732D">
        <w:rPr>
          <w:lang w:val="en-GB"/>
        </w:rPr>
        <w:t xml:space="preserve"> the monthly payments required to buy the apartment </w:t>
      </w:r>
      <w:r w:rsidR="005677E8" w:rsidRPr="006D732D">
        <w:rPr>
          <w:lang w:val="en-GB"/>
        </w:rPr>
        <w:t>with those required to rent</w:t>
      </w:r>
      <w:r w:rsidRPr="006D732D">
        <w:rPr>
          <w:lang w:val="en-GB"/>
        </w:rPr>
        <w:t xml:space="preserve"> the </w:t>
      </w:r>
      <w:r w:rsidR="00D41573" w:rsidRPr="006D732D">
        <w:rPr>
          <w:lang w:val="en-GB"/>
        </w:rPr>
        <w:t>apartment,</w:t>
      </w:r>
      <w:r w:rsidRPr="006D732D">
        <w:rPr>
          <w:lang w:val="en-GB"/>
        </w:rPr>
        <w:t xml:space="preserve"> taking into account taxation and opportunity cost considerations. For opportunity costs, </w:t>
      </w:r>
      <w:r w:rsidR="007C42D3" w:rsidRPr="006D732D">
        <w:rPr>
          <w:lang w:val="en-GB"/>
        </w:rPr>
        <w:t>Jain</w:t>
      </w:r>
      <w:r w:rsidRPr="006D732D">
        <w:rPr>
          <w:lang w:val="en-GB"/>
        </w:rPr>
        <w:t xml:space="preserve"> assume</w:t>
      </w:r>
      <w:r w:rsidR="00D41EE9" w:rsidRPr="006D732D">
        <w:rPr>
          <w:lang w:val="en-GB"/>
        </w:rPr>
        <w:t>d a rate of</w:t>
      </w:r>
      <w:r w:rsidRPr="006D732D">
        <w:rPr>
          <w:lang w:val="en-GB"/>
        </w:rPr>
        <w:t xml:space="preserve"> </w:t>
      </w:r>
      <w:r w:rsidR="00DD3C0E" w:rsidRPr="006D732D">
        <w:rPr>
          <w:lang w:val="en-GB"/>
        </w:rPr>
        <w:t>7</w:t>
      </w:r>
      <w:r w:rsidR="0074761D" w:rsidRPr="006D732D">
        <w:rPr>
          <w:lang w:val="en-GB"/>
        </w:rPr>
        <w:t xml:space="preserve"> per cent</w:t>
      </w:r>
      <w:r w:rsidRPr="006D732D">
        <w:rPr>
          <w:lang w:val="en-GB"/>
        </w:rPr>
        <w:t xml:space="preserve"> per </w:t>
      </w:r>
      <w:r w:rsidR="00D41EE9" w:rsidRPr="006D732D">
        <w:rPr>
          <w:lang w:val="en-GB"/>
        </w:rPr>
        <w:t>year</w:t>
      </w:r>
      <w:r w:rsidRPr="006D732D">
        <w:rPr>
          <w:lang w:val="en-GB"/>
        </w:rPr>
        <w:t xml:space="preserve"> </w:t>
      </w:r>
      <w:r w:rsidR="00DD3C0E" w:rsidRPr="006D732D">
        <w:rPr>
          <w:lang w:val="en-GB"/>
        </w:rPr>
        <w:t>(</w:t>
      </w:r>
      <w:r w:rsidR="00E57868" w:rsidRPr="006D732D">
        <w:rPr>
          <w:lang w:val="en-GB"/>
        </w:rPr>
        <w:t xml:space="preserve">as previously discussed) </w:t>
      </w:r>
      <w:r w:rsidRPr="006D732D">
        <w:rPr>
          <w:lang w:val="en-GB"/>
        </w:rPr>
        <w:t xml:space="preserve">on his existing fixed deposit as a proxy. </w:t>
      </w:r>
      <w:r w:rsidR="007C42D3" w:rsidRPr="006D732D">
        <w:rPr>
          <w:lang w:val="en-GB"/>
        </w:rPr>
        <w:t>Jain</w:t>
      </w:r>
      <w:r w:rsidRPr="006D732D">
        <w:rPr>
          <w:lang w:val="en-GB"/>
        </w:rPr>
        <w:t xml:space="preserve"> also wanted to determine the future capital gain</w:t>
      </w:r>
      <w:r w:rsidR="00D41EE9" w:rsidRPr="006D732D">
        <w:rPr>
          <w:lang w:val="en-GB"/>
        </w:rPr>
        <w:t xml:space="preserve">s and </w:t>
      </w:r>
      <w:r w:rsidRPr="006D732D">
        <w:rPr>
          <w:lang w:val="en-GB"/>
        </w:rPr>
        <w:t>loss</w:t>
      </w:r>
      <w:r w:rsidR="00D41EE9" w:rsidRPr="006D732D">
        <w:rPr>
          <w:lang w:val="en-GB"/>
        </w:rPr>
        <w:t>es</w:t>
      </w:r>
      <w:r w:rsidRPr="006D732D">
        <w:rPr>
          <w:lang w:val="en-GB"/>
        </w:rPr>
        <w:t xml:space="preserve"> in </w:t>
      </w:r>
      <w:r w:rsidR="00D41EE9" w:rsidRPr="006D732D">
        <w:rPr>
          <w:lang w:val="en-GB"/>
        </w:rPr>
        <w:t xml:space="preserve">the </w:t>
      </w:r>
      <w:r w:rsidRPr="006D732D">
        <w:rPr>
          <w:lang w:val="en-GB"/>
        </w:rPr>
        <w:t xml:space="preserve">case </w:t>
      </w:r>
      <w:r w:rsidR="00D41EE9" w:rsidRPr="006D732D">
        <w:rPr>
          <w:lang w:val="en-GB"/>
        </w:rPr>
        <w:t xml:space="preserve">that </w:t>
      </w:r>
      <w:r w:rsidRPr="006D732D">
        <w:rPr>
          <w:lang w:val="en-GB"/>
        </w:rPr>
        <w:t xml:space="preserve">he decided to sell his house 20 years </w:t>
      </w:r>
      <w:r w:rsidR="005677E8" w:rsidRPr="006D732D">
        <w:rPr>
          <w:lang w:val="en-GB"/>
        </w:rPr>
        <w:t>into the future</w:t>
      </w:r>
      <w:r w:rsidRPr="006D732D">
        <w:rPr>
          <w:lang w:val="en-GB"/>
        </w:rPr>
        <w:t xml:space="preserve"> (after</w:t>
      </w:r>
      <w:r w:rsidR="00D41EE9" w:rsidRPr="006D732D">
        <w:rPr>
          <w:lang w:val="en-GB"/>
        </w:rPr>
        <w:t xml:space="preserve"> completing</w:t>
      </w:r>
      <w:r w:rsidRPr="006D732D">
        <w:rPr>
          <w:lang w:val="en-GB"/>
        </w:rPr>
        <w:t xml:space="preserve"> his loan payments). For this</w:t>
      </w:r>
      <w:r w:rsidR="00D41EE9" w:rsidRPr="006D732D">
        <w:rPr>
          <w:lang w:val="en-GB"/>
        </w:rPr>
        <w:t>,</w:t>
      </w:r>
      <w:r w:rsidRPr="006D732D">
        <w:rPr>
          <w:lang w:val="en-GB"/>
        </w:rPr>
        <w:t xml:space="preserve"> he needed to model the selling price of the house at a future date. Given his understanding of the real estate market in India and past data on prices </w:t>
      </w:r>
      <w:r w:rsidR="005677E8" w:rsidRPr="006D732D">
        <w:rPr>
          <w:lang w:val="en-GB"/>
        </w:rPr>
        <w:t>in the</w:t>
      </w:r>
      <w:r w:rsidRPr="006D732D">
        <w:rPr>
          <w:lang w:val="en-GB"/>
        </w:rPr>
        <w:t xml:space="preserve"> residential housing market, </w:t>
      </w:r>
      <w:r w:rsidR="005677E8" w:rsidRPr="006D732D">
        <w:rPr>
          <w:lang w:val="en-GB"/>
        </w:rPr>
        <w:t>Jain</w:t>
      </w:r>
      <w:r w:rsidRPr="006D732D">
        <w:rPr>
          <w:lang w:val="en-GB"/>
        </w:rPr>
        <w:t xml:space="preserve"> decided to model a conservative 7</w:t>
      </w:r>
      <w:r w:rsidR="0074761D" w:rsidRPr="006D732D">
        <w:rPr>
          <w:lang w:val="en-GB"/>
        </w:rPr>
        <w:t xml:space="preserve"> per cent</w:t>
      </w:r>
      <w:r w:rsidRPr="006D732D">
        <w:rPr>
          <w:lang w:val="en-GB"/>
        </w:rPr>
        <w:t xml:space="preserve"> per </w:t>
      </w:r>
      <w:r w:rsidR="00FC4576" w:rsidRPr="006D732D">
        <w:rPr>
          <w:lang w:val="en-GB"/>
        </w:rPr>
        <w:t>year</w:t>
      </w:r>
      <w:r w:rsidRPr="006D732D">
        <w:rPr>
          <w:lang w:val="en-GB"/>
        </w:rPr>
        <w:t xml:space="preserve"> appreciation in housing prices over </w:t>
      </w:r>
      <w:r w:rsidR="005677E8" w:rsidRPr="006D732D">
        <w:rPr>
          <w:lang w:val="en-GB"/>
        </w:rPr>
        <w:t>the</w:t>
      </w:r>
      <w:r w:rsidRPr="006D732D">
        <w:rPr>
          <w:lang w:val="en-GB"/>
        </w:rPr>
        <w:t xml:space="preserve"> next 20 years in his base case scenario. </w:t>
      </w:r>
    </w:p>
    <w:p w14:paraId="699897BF" w14:textId="77777777" w:rsidR="00F060E7" w:rsidRPr="006D732D" w:rsidRDefault="00F060E7" w:rsidP="006F1D9E">
      <w:pPr>
        <w:pStyle w:val="Footnote"/>
        <w:rPr>
          <w:lang w:val="en-GB"/>
        </w:rPr>
      </w:pPr>
    </w:p>
    <w:p w14:paraId="1E027379" w14:textId="77777777" w:rsidR="00716130" w:rsidRPr="006D732D" w:rsidRDefault="00716130">
      <w:pPr>
        <w:spacing w:after="200" w:line="276" w:lineRule="auto"/>
        <w:rPr>
          <w:rFonts w:ascii="Arial" w:hAnsi="Arial" w:cs="Arial"/>
          <w:sz w:val="17"/>
          <w:szCs w:val="17"/>
          <w:lang w:val="en-GB"/>
        </w:rPr>
      </w:pPr>
      <w:r w:rsidRPr="006D732D">
        <w:rPr>
          <w:lang w:val="en-GB"/>
        </w:rPr>
        <w:br w:type="page"/>
      </w:r>
    </w:p>
    <w:p w14:paraId="5F14B0D0" w14:textId="77777777" w:rsidR="00716130" w:rsidRPr="006D732D" w:rsidRDefault="00716130" w:rsidP="00716130">
      <w:pPr>
        <w:pStyle w:val="ExhibitHeading"/>
        <w:rPr>
          <w:lang w:val="en-GB"/>
        </w:rPr>
      </w:pPr>
      <w:r w:rsidRPr="006D732D">
        <w:rPr>
          <w:lang w:val="en-GB"/>
        </w:rPr>
        <w:lastRenderedPageBreak/>
        <w:t>EXHIBIT 1: ANNUAL LOAN AMORTIZATION SCHEDULE</w:t>
      </w:r>
    </w:p>
    <w:p w14:paraId="37CFFCD2" w14:textId="77777777" w:rsidR="00716130" w:rsidRPr="006D732D" w:rsidRDefault="00716130" w:rsidP="00716130">
      <w:pPr>
        <w:pStyle w:val="ExhibitHeading"/>
        <w:rPr>
          <w:lang w:val="en-GB"/>
        </w:rPr>
      </w:pPr>
    </w:p>
    <w:tbl>
      <w:tblPr>
        <w:tblW w:w="30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1"/>
        <w:gridCol w:w="2915"/>
      </w:tblGrid>
      <w:tr w:rsidR="00716130" w:rsidRPr="006D732D" w14:paraId="435D82B0" w14:textId="77777777" w:rsidTr="00BE6725">
        <w:trPr>
          <w:trHeight w:val="315"/>
          <w:jc w:val="center"/>
        </w:trPr>
        <w:tc>
          <w:tcPr>
            <w:tcW w:w="2428" w:type="pct"/>
            <w:shd w:val="clear" w:color="auto" w:fill="auto"/>
            <w:noWrap/>
            <w:vAlign w:val="bottom"/>
            <w:hideMark/>
          </w:tcPr>
          <w:p w14:paraId="4122D549" w14:textId="77777777" w:rsidR="00716130" w:rsidRPr="006D732D" w:rsidRDefault="00716130" w:rsidP="00695CEC">
            <w:pPr>
              <w:rPr>
                <w:rFonts w:ascii="Arial" w:hAnsi="Arial" w:cs="Arial"/>
                <w:color w:val="000000"/>
                <w:lang w:val="en-GB" w:bidi="hi-IN"/>
              </w:rPr>
            </w:pPr>
            <w:r w:rsidRPr="006D732D">
              <w:rPr>
                <w:rFonts w:ascii="Arial" w:hAnsi="Arial" w:cs="Arial"/>
                <w:color w:val="000000"/>
                <w:lang w:val="en-GB" w:bidi="hi-IN"/>
              </w:rPr>
              <w:t>Loan Amount</w:t>
            </w:r>
          </w:p>
        </w:tc>
        <w:tc>
          <w:tcPr>
            <w:tcW w:w="2572" w:type="pct"/>
            <w:shd w:val="clear" w:color="auto" w:fill="auto"/>
            <w:noWrap/>
            <w:vAlign w:val="bottom"/>
            <w:hideMark/>
          </w:tcPr>
          <w:p w14:paraId="705D38EB" w14:textId="49CDE145" w:rsidR="00716130" w:rsidRPr="006D732D" w:rsidRDefault="00B4788B" w:rsidP="00695CEC">
            <w:pPr>
              <w:jc w:val="center"/>
              <w:rPr>
                <w:rFonts w:ascii="Arial" w:hAnsi="Arial" w:cs="Arial"/>
                <w:color w:val="000000"/>
                <w:lang w:val="en-GB" w:bidi="hi-IN"/>
              </w:rPr>
            </w:pPr>
            <w:r w:rsidRPr="006D732D">
              <w:rPr>
                <w:rFonts w:ascii="Arial" w:hAnsi="Arial" w:cs="Arial"/>
                <w:color w:val="222222"/>
                <w:shd w:val="clear" w:color="auto" w:fill="FFFFFF"/>
                <w:lang w:val="en-GB"/>
              </w:rPr>
              <w:t>₹</w:t>
            </w:r>
            <w:r w:rsidR="00716130" w:rsidRPr="006D732D">
              <w:rPr>
                <w:rFonts w:ascii="Arial" w:hAnsi="Arial" w:cs="Arial"/>
                <w:color w:val="000000"/>
                <w:lang w:val="en-GB" w:bidi="hi-IN"/>
              </w:rPr>
              <w:t>10,000,000</w:t>
            </w:r>
          </w:p>
        </w:tc>
      </w:tr>
      <w:tr w:rsidR="00716130" w:rsidRPr="006D732D" w14:paraId="305568A3" w14:textId="77777777" w:rsidTr="00BE6725">
        <w:trPr>
          <w:trHeight w:val="315"/>
          <w:jc w:val="center"/>
        </w:trPr>
        <w:tc>
          <w:tcPr>
            <w:tcW w:w="2428" w:type="pct"/>
            <w:shd w:val="clear" w:color="auto" w:fill="auto"/>
            <w:noWrap/>
            <w:vAlign w:val="bottom"/>
            <w:hideMark/>
          </w:tcPr>
          <w:p w14:paraId="756B6264" w14:textId="155C1956" w:rsidR="00716130" w:rsidRPr="006D732D" w:rsidRDefault="00716130" w:rsidP="00B4788B">
            <w:pPr>
              <w:rPr>
                <w:rFonts w:ascii="Arial" w:hAnsi="Arial" w:cs="Arial"/>
                <w:color w:val="000000"/>
                <w:lang w:val="en-GB" w:bidi="hi-IN"/>
              </w:rPr>
            </w:pPr>
            <w:r w:rsidRPr="006D732D">
              <w:rPr>
                <w:rFonts w:ascii="Arial" w:hAnsi="Arial" w:cs="Arial"/>
                <w:color w:val="000000"/>
                <w:lang w:val="en-GB" w:bidi="hi-IN"/>
              </w:rPr>
              <w:t xml:space="preserve">Interest </w:t>
            </w:r>
            <w:r w:rsidR="00B4788B" w:rsidRPr="006D732D">
              <w:rPr>
                <w:rFonts w:ascii="Arial" w:hAnsi="Arial" w:cs="Arial"/>
                <w:color w:val="000000"/>
                <w:lang w:val="en-GB" w:bidi="hi-IN"/>
              </w:rPr>
              <w:t>R</w:t>
            </w:r>
            <w:r w:rsidRPr="006D732D">
              <w:rPr>
                <w:rFonts w:ascii="Arial" w:hAnsi="Arial" w:cs="Arial"/>
                <w:color w:val="000000"/>
                <w:lang w:val="en-GB" w:bidi="hi-IN"/>
              </w:rPr>
              <w:t>ate</w:t>
            </w:r>
          </w:p>
        </w:tc>
        <w:tc>
          <w:tcPr>
            <w:tcW w:w="2572" w:type="pct"/>
            <w:shd w:val="clear" w:color="auto" w:fill="auto"/>
            <w:noWrap/>
            <w:vAlign w:val="bottom"/>
            <w:hideMark/>
          </w:tcPr>
          <w:p w14:paraId="33AA88F8" w14:textId="77777777" w:rsidR="00716130" w:rsidRPr="006D732D" w:rsidRDefault="00716130" w:rsidP="00695CEC">
            <w:pPr>
              <w:jc w:val="center"/>
              <w:rPr>
                <w:rFonts w:ascii="Arial" w:hAnsi="Arial" w:cs="Arial"/>
                <w:color w:val="000000"/>
                <w:lang w:val="en-GB" w:bidi="hi-IN"/>
              </w:rPr>
            </w:pPr>
            <w:r w:rsidRPr="006D732D">
              <w:rPr>
                <w:rFonts w:ascii="Arial" w:hAnsi="Arial" w:cs="Arial"/>
                <w:color w:val="000000"/>
                <w:lang w:val="en-GB" w:bidi="hi-IN"/>
              </w:rPr>
              <w:t>10.25</w:t>
            </w:r>
            <w:r w:rsidR="0074761D" w:rsidRPr="006D732D">
              <w:rPr>
                <w:rFonts w:ascii="Arial" w:hAnsi="Arial" w:cs="Arial"/>
                <w:color w:val="000000"/>
                <w:lang w:val="en-GB" w:bidi="hi-IN"/>
              </w:rPr>
              <w:t xml:space="preserve"> per cent</w:t>
            </w:r>
          </w:p>
        </w:tc>
      </w:tr>
      <w:tr w:rsidR="00716130" w:rsidRPr="006D732D" w14:paraId="1D0A4659" w14:textId="77777777" w:rsidTr="00BE6725">
        <w:trPr>
          <w:trHeight w:val="315"/>
          <w:jc w:val="center"/>
        </w:trPr>
        <w:tc>
          <w:tcPr>
            <w:tcW w:w="2428" w:type="pct"/>
            <w:shd w:val="clear" w:color="auto" w:fill="auto"/>
            <w:noWrap/>
            <w:vAlign w:val="bottom"/>
            <w:hideMark/>
          </w:tcPr>
          <w:p w14:paraId="579C072F" w14:textId="0944ABDF" w:rsidR="00716130" w:rsidRPr="006D732D" w:rsidRDefault="00716130" w:rsidP="00B4788B">
            <w:pPr>
              <w:rPr>
                <w:rFonts w:ascii="Arial" w:hAnsi="Arial" w:cs="Arial"/>
                <w:color w:val="000000"/>
                <w:lang w:val="en-GB" w:bidi="hi-IN"/>
              </w:rPr>
            </w:pPr>
            <w:r w:rsidRPr="006D732D">
              <w:rPr>
                <w:rFonts w:ascii="Arial" w:hAnsi="Arial" w:cs="Arial"/>
                <w:color w:val="000000"/>
                <w:lang w:val="en-GB" w:bidi="hi-IN"/>
              </w:rPr>
              <w:t xml:space="preserve">Loan </w:t>
            </w:r>
            <w:r w:rsidR="00B4788B" w:rsidRPr="006D732D">
              <w:rPr>
                <w:rFonts w:ascii="Arial" w:hAnsi="Arial" w:cs="Arial"/>
                <w:color w:val="000000"/>
                <w:lang w:val="en-GB" w:bidi="hi-IN"/>
              </w:rPr>
              <w:t>T</w:t>
            </w:r>
            <w:r w:rsidRPr="006D732D">
              <w:rPr>
                <w:rFonts w:ascii="Arial" w:hAnsi="Arial" w:cs="Arial"/>
                <w:color w:val="000000"/>
                <w:lang w:val="en-GB" w:bidi="hi-IN"/>
              </w:rPr>
              <w:t>erm</w:t>
            </w:r>
          </w:p>
        </w:tc>
        <w:tc>
          <w:tcPr>
            <w:tcW w:w="2572" w:type="pct"/>
            <w:shd w:val="clear" w:color="auto" w:fill="auto"/>
            <w:noWrap/>
            <w:vAlign w:val="bottom"/>
            <w:hideMark/>
          </w:tcPr>
          <w:p w14:paraId="17CC8B57" w14:textId="77777777" w:rsidR="00716130" w:rsidRPr="006D732D" w:rsidRDefault="00716130" w:rsidP="00695CEC">
            <w:pPr>
              <w:jc w:val="center"/>
              <w:rPr>
                <w:rFonts w:ascii="Arial" w:hAnsi="Arial" w:cs="Arial"/>
                <w:color w:val="000000"/>
                <w:lang w:val="en-GB" w:bidi="hi-IN"/>
              </w:rPr>
            </w:pPr>
            <w:r w:rsidRPr="006D732D">
              <w:rPr>
                <w:rFonts w:ascii="Arial" w:hAnsi="Arial" w:cs="Arial"/>
                <w:color w:val="000000"/>
                <w:lang w:val="en-GB" w:bidi="hi-IN"/>
              </w:rPr>
              <w:t>20 Years</w:t>
            </w:r>
          </w:p>
        </w:tc>
      </w:tr>
    </w:tbl>
    <w:p w14:paraId="2E399196" w14:textId="77777777" w:rsidR="00716130" w:rsidRPr="006D732D" w:rsidRDefault="00716130" w:rsidP="00716130">
      <w:pPr>
        <w:rPr>
          <w:rFonts w:ascii="Arial" w:hAnsi="Arial" w:cs="Arial"/>
          <w:b/>
          <w:bCs/>
          <w:color w:val="000000"/>
          <w:lang w:val="en-GB"/>
        </w:rPr>
      </w:pPr>
    </w:p>
    <w:tbl>
      <w:tblPr>
        <w:tblW w:w="3367" w:type="pct"/>
        <w:jc w:val="center"/>
        <w:tblLook w:val="04A0" w:firstRow="1" w:lastRow="0" w:firstColumn="1" w:lastColumn="0" w:noHBand="0" w:noVBand="1"/>
      </w:tblPr>
      <w:tblGrid>
        <w:gridCol w:w="1277"/>
        <w:gridCol w:w="1507"/>
        <w:gridCol w:w="1621"/>
        <w:gridCol w:w="1891"/>
      </w:tblGrid>
      <w:tr w:rsidR="00716130" w:rsidRPr="006D732D" w14:paraId="2B76BBCA" w14:textId="77777777" w:rsidTr="00BE6725">
        <w:trPr>
          <w:trHeight w:val="33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192E561" w14:textId="77777777" w:rsidR="00716130" w:rsidRPr="006D732D" w:rsidRDefault="00716130" w:rsidP="00695CEC">
            <w:pPr>
              <w:jc w:val="center"/>
              <w:rPr>
                <w:rFonts w:ascii="Arial" w:hAnsi="Arial" w:cs="Arial"/>
                <w:b/>
                <w:bCs/>
                <w:color w:val="000000"/>
                <w:lang w:val="en-GB" w:bidi="hi-IN"/>
              </w:rPr>
            </w:pPr>
            <w:r w:rsidRPr="006D732D">
              <w:rPr>
                <w:rFonts w:ascii="Arial" w:hAnsi="Arial" w:cs="Arial"/>
                <w:b/>
                <w:bCs/>
                <w:color w:val="000000"/>
                <w:lang w:val="en-GB" w:bidi="hi-IN"/>
              </w:rPr>
              <w:t>Annual Loan Amortization Schedule</w:t>
            </w:r>
          </w:p>
        </w:tc>
      </w:tr>
      <w:tr w:rsidR="00716130" w:rsidRPr="006D732D" w14:paraId="52D1174D" w14:textId="77777777" w:rsidTr="00BE6725">
        <w:trPr>
          <w:trHeight w:val="330"/>
          <w:jc w:val="center"/>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0F1079" w14:textId="77777777" w:rsidR="00716130" w:rsidRPr="006D732D" w:rsidRDefault="00716130" w:rsidP="00695CEC">
            <w:pPr>
              <w:jc w:val="center"/>
              <w:rPr>
                <w:rFonts w:ascii="Arial" w:hAnsi="Arial" w:cs="Arial"/>
                <w:b/>
                <w:bCs/>
                <w:color w:val="000000"/>
                <w:lang w:val="en-GB" w:bidi="hi-IN"/>
              </w:rPr>
            </w:pPr>
            <w:r w:rsidRPr="006D732D">
              <w:rPr>
                <w:rFonts w:ascii="Arial" w:hAnsi="Arial" w:cs="Arial"/>
                <w:b/>
                <w:bCs/>
                <w:color w:val="000000"/>
                <w:lang w:val="en-GB" w:bidi="hi-IN"/>
              </w:rPr>
              <w:t>Year</w:t>
            </w:r>
          </w:p>
        </w:tc>
        <w:tc>
          <w:tcPr>
            <w:tcW w:w="11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F7AE80" w14:textId="2AC4DB51" w:rsidR="00716130" w:rsidRPr="006D732D" w:rsidRDefault="00716130" w:rsidP="00695CEC">
            <w:pPr>
              <w:jc w:val="center"/>
              <w:rPr>
                <w:rFonts w:ascii="Arial" w:hAnsi="Arial" w:cs="Arial"/>
                <w:b/>
                <w:bCs/>
                <w:color w:val="000000"/>
                <w:lang w:val="en-GB" w:bidi="hi-IN"/>
              </w:rPr>
            </w:pPr>
            <w:r w:rsidRPr="006D732D">
              <w:rPr>
                <w:rFonts w:ascii="Arial" w:hAnsi="Arial" w:cs="Arial"/>
                <w:b/>
                <w:bCs/>
                <w:color w:val="000000"/>
                <w:lang w:val="en-GB" w:bidi="hi-IN"/>
              </w:rPr>
              <w:t xml:space="preserve">Principal </w:t>
            </w:r>
            <w:r w:rsidR="00B4788B" w:rsidRPr="006D732D">
              <w:rPr>
                <w:rFonts w:ascii="Arial" w:hAnsi="Arial" w:cs="Arial"/>
                <w:b/>
                <w:bCs/>
                <w:color w:val="000000"/>
                <w:lang w:val="en-GB" w:bidi="hi-IN"/>
              </w:rPr>
              <w:t>(</w:t>
            </w:r>
            <w:r w:rsidR="00B4788B" w:rsidRPr="006D732D">
              <w:rPr>
                <w:rFonts w:ascii="Arial" w:hAnsi="Arial" w:cs="Arial"/>
                <w:b/>
                <w:color w:val="222222"/>
                <w:shd w:val="clear" w:color="auto" w:fill="FFFFFF"/>
                <w:lang w:val="en-GB"/>
              </w:rPr>
              <w:t>₹)</w:t>
            </w:r>
          </w:p>
        </w:tc>
        <w:tc>
          <w:tcPr>
            <w:tcW w:w="12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EE355A" w14:textId="5A08097E" w:rsidR="00716130" w:rsidRPr="006D732D" w:rsidRDefault="00716130" w:rsidP="00695CEC">
            <w:pPr>
              <w:jc w:val="center"/>
              <w:rPr>
                <w:rFonts w:ascii="Arial" w:hAnsi="Arial" w:cs="Arial"/>
                <w:b/>
                <w:bCs/>
                <w:color w:val="000000"/>
                <w:lang w:val="en-GB" w:bidi="hi-IN"/>
              </w:rPr>
            </w:pPr>
            <w:r w:rsidRPr="006D732D">
              <w:rPr>
                <w:rFonts w:ascii="Arial" w:hAnsi="Arial" w:cs="Arial"/>
                <w:b/>
                <w:bCs/>
                <w:color w:val="000000"/>
                <w:lang w:val="en-GB" w:bidi="hi-IN"/>
              </w:rPr>
              <w:t xml:space="preserve">Interest </w:t>
            </w:r>
            <w:r w:rsidR="00B4788B" w:rsidRPr="006D732D">
              <w:rPr>
                <w:rFonts w:ascii="Arial" w:hAnsi="Arial" w:cs="Arial"/>
                <w:b/>
                <w:bCs/>
                <w:color w:val="000000"/>
                <w:lang w:val="en-GB" w:bidi="hi-IN"/>
              </w:rPr>
              <w:t>(</w:t>
            </w:r>
            <w:r w:rsidR="00B4788B" w:rsidRPr="006D732D">
              <w:rPr>
                <w:rFonts w:ascii="Arial" w:hAnsi="Arial" w:cs="Arial"/>
                <w:b/>
                <w:color w:val="222222"/>
                <w:shd w:val="clear" w:color="auto" w:fill="FFFFFF"/>
                <w:lang w:val="en-GB"/>
              </w:rPr>
              <w:t>₹)</w:t>
            </w:r>
          </w:p>
        </w:tc>
        <w:tc>
          <w:tcPr>
            <w:tcW w:w="15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8170CB" w14:textId="6E5EA060" w:rsidR="00716130" w:rsidRPr="006D732D" w:rsidRDefault="00716130" w:rsidP="00695CEC">
            <w:pPr>
              <w:jc w:val="center"/>
              <w:rPr>
                <w:rFonts w:ascii="Arial" w:hAnsi="Arial" w:cs="Arial"/>
                <w:b/>
                <w:bCs/>
                <w:color w:val="000000"/>
                <w:lang w:val="en-GB" w:bidi="hi-IN"/>
              </w:rPr>
            </w:pPr>
            <w:r w:rsidRPr="006D732D">
              <w:rPr>
                <w:rFonts w:ascii="Arial" w:hAnsi="Arial" w:cs="Arial"/>
                <w:b/>
                <w:bCs/>
                <w:color w:val="000000"/>
                <w:lang w:val="en-GB" w:bidi="hi-IN"/>
              </w:rPr>
              <w:t>Balance</w:t>
            </w:r>
            <w:r w:rsidR="00B4788B" w:rsidRPr="006D732D">
              <w:rPr>
                <w:rFonts w:ascii="Arial" w:hAnsi="Arial" w:cs="Arial"/>
                <w:b/>
                <w:bCs/>
                <w:color w:val="000000"/>
                <w:lang w:val="en-GB" w:bidi="hi-IN"/>
              </w:rPr>
              <w:t xml:space="preserve"> (</w:t>
            </w:r>
            <w:r w:rsidR="00B4788B" w:rsidRPr="006D732D">
              <w:rPr>
                <w:rFonts w:ascii="Arial" w:hAnsi="Arial" w:cs="Arial"/>
                <w:b/>
                <w:color w:val="222222"/>
                <w:shd w:val="clear" w:color="auto" w:fill="FFFFFF"/>
                <w:lang w:val="en-GB"/>
              </w:rPr>
              <w:t>₹)</w:t>
            </w:r>
          </w:p>
        </w:tc>
      </w:tr>
      <w:tr w:rsidR="00716130" w:rsidRPr="006D732D" w14:paraId="497FEC24" w14:textId="77777777" w:rsidTr="00BE6725">
        <w:trPr>
          <w:trHeight w:val="315"/>
          <w:jc w:val="center"/>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77D30B" w14:textId="77777777" w:rsidR="00716130" w:rsidRPr="006D732D" w:rsidRDefault="00716130" w:rsidP="00695CEC">
            <w:pPr>
              <w:jc w:val="center"/>
              <w:rPr>
                <w:rFonts w:ascii="Arial" w:hAnsi="Arial" w:cs="Arial"/>
                <w:color w:val="000000"/>
                <w:lang w:val="en-GB" w:bidi="hi-IN"/>
              </w:rPr>
            </w:pPr>
            <w:r w:rsidRPr="006D732D">
              <w:rPr>
                <w:rFonts w:ascii="Arial" w:hAnsi="Arial" w:cs="Arial"/>
                <w:color w:val="000000"/>
                <w:lang w:val="en-GB" w:bidi="hi-IN"/>
              </w:rPr>
              <w:t>1</w:t>
            </w:r>
          </w:p>
        </w:tc>
        <w:tc>
          <w:tcPr>
            <w:tcW w:w="1197" w:type="pct"/>
            <w:tcBorders>
              <w:top w:val="single" w:sz="4" w:space="0" w:color="auto"/>
              <w:left w:val="single" w:sz="4" w:space="0" w:color="auto"/>
              <w:bottom w:val="single" w:sz="4" w:space="0" w:color="auto"/>
              <w:right w:val="single" w:sz="4" w:space="0" w:color="auto"/>
            </w:tcBorders>
            <w:shd w:val="clear" w:color="auto" w:fill="auto"/>
            <w:hideMark/>
          </w:tcPr>
          <w:p w14:paraId="21E82052"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160,367</w:t>
            </w:r>
          </w:p>
        </w:tc>
        <w:tc>
          <w:tcPr>
            <w:tcW w:w="1287" w:type="pct"/>
            <w:tcBorders>
              <w:top w:val="single" w:sz="4" w:space="0" w:color="auto"/>
              <w:left w:val="single" w:sz="4" w:space="0" w:color="auto"/>
              <w:bottom w:val="single" w:sz="4" w:space="0" w:color="auto"/>
              <w:right w:val="single" w:sz="4" w:space="0" w:color="auto"/>
            </w:tcBorders>
            <w:shd w:val="clear" w:color="auto" w:fill="auto"/>
            <w:hideMark/>
          </w:tcPr>
          <w:p w14:paraId="612C9CAA"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1,017,605</w:t>
            </w:r>
          </w:p>
        </w:tc>
        <w:tc>
          <w:tcPr>
            <w:tcW w:w="1502" w:type="pct"/>
            <w:tcBorders>
              <w:top w:val="single" w:sz="4" w:space="0" w:color="auto"/>
              <w:left w:val="single" w:sz="4" w:space="0" w:color="auto"/>
              <w:bottom w:val="single" w:sz="4" w:space="0" w:color="auto"/>
              <w:right w:val="single" w:sz="4" w:space="0" w:color="auto"/>
            </w:tcBorders>
            <w:shd w:val="clear" w:color="auto" w:fill="auto"/>
            <w:hideMark/>
          </w:tcPr>
          <w:p w14:paraId="07830C6A"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9,839,633</w:t>
            </w:r>
          </w:p>
        </w:tc>
      </w:tr>
      <w:tr w:rsidR="00716130" w:rsidRPr="006D732D" w14:paraId="44A3A8AD" w14:textId="77777777" w:rsidTr="00BE6725">
        <w:trPr>
          <w:trHeight w:val="315"/>
          <w:jc w:val="center"/>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92EC4E" w14:textId="77777777" w:rsidR="00716130" w:rsidRPr="006D732D" w:rsidRDefault="00716130" w:rsidP="00695CEC">
            <w:pPr>
              <w:jc w:val="center"/>
              <w:rPr>
                <w:rFonts w:ascii="Arial" w:hAnsi="Arial" w:cs="Arial"/>
                <w:color w:val="000000"/>
                <w:lang w:val="en-GB" w:bidi="hi-IN"/>
              </w:rPr>
            </w:pPr>
            <w:r w:rsidRPr="006D732D">
              <w:rPr>
                <w:rFonts w:ascii="Arial" w:hAnsi="Arial" w:cs="Arial"/>
                <w:color w:val="000000"/>
                <w:lang w:val="en-GB" w:bidi="hi-IN"/>
              </w:rPr>
              <w:t>2</w:t>
            </w:r>
          </w:p>
        </w:tc>
        <w:tc>
          <w:tcPr>
            <w:tcW w:w="1197" w:type="pct"/>
            <w:tcBorders>
              <w:top w:val="single" w:sz="4" w:space="0" w:color="auto"/>
              <w:left w:val="single" w:sz="4" w:space="0" w:color="auto"/>
              <w:bottom w:val="single" w:sz="4" w:space="0" w:color="auto"/>
              <w:right w:val="single" w:sz="4" w:space="0" w:color="auto"/>
            </w:tcBorders>
            <w:shd w:val="clear" w:color="auto" w:fill="auto"/>
            <w:hideMark/>
          </w:tcPr>
          <w:p w14:paraId="5E805443"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177,599</w:t>
            </w:r>
          </w:p>
        </w:tc>
        <w:tc>
          <w:tcPr>
            <w:tcW w:w="1287" w:type="pct"/>
            <w:tcBorders>
              <w:top w:val="single" w:sz="4" w:space="0" w:color="auto"/>
              <w:left w:val="single" w:sz="4" w:space="0" w:color="auto"/>
              <w:bottom w:val="single" w:sz="4" w:space="0" w:color="auto"/>
              <w:right w:val="single" w:sz="4" w:space="0" w:color="auto"/>
            </w:tcBorders>
            <w:shd w:val="clear" w:color="auto" w:fill="auto"/>
            <w:hideMark/>
          </w:tcPr>
          <w:p w14:paraId="7C2D65B4"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1,000,373</w:t>
            </w:r>
          </w:p>
        </w:tc>
        <w:tc>
          <w:tcPr>
            <w:tcW w:w="1502" w:type="pct"/>
            <w:tcBorders>
              <w:top w:val="single" w:sz="4" w:space="0" w:color="auto"/>
              <w:left w:val="single" w:sz="4" w:space="0" w:color="auto"/>
              <w:bottom w:val="single" w:sz="4" w:space="0" w:color="auto"/>
              <w:right w:val="single" w:sz="4" w:space="0" w:color="auto"/>
            </w:tcBorders>
            <w:shd w:val="clear" w:color="auto" w:fill="auto"/>
            <w:hideMark/>
          </w:tcPr>
          <w:p w14:paraId="74A3A2A6"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9,662,033</w:t>
            </w:r>
          </w:p>
        </w:tc>
      </w:tr>
      <w:tr w:rsidR="00716130" w:rsidRPr="006D732D" w14:paraId="23D1BAFF" w14:textId="77777777" w:rsidTr="00BE6725">
        <w:trPr>
          <w:trHeight w:val="315"/>
          <w:jc w:val="center"/>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8ABDC0" w14:textId="77777777" w:rsidR="00716130" w:rsidRPr="006D732D" w:rsidRDefault="00716130" w:rsidP="00695CEC">
            <w:pPr>
              <w:jc w:val="center"/>
              <w:rPr>
                <w:rFonts w:ascii="Arial" w:hAnsi="Arial" w:cs="Arial"/>
                <w:color w:val="000000"/>
                <w:lang w:val="en-GB" w:bidi="hi-IN"/>
              </w:rPr>
            </w:pPr>
            <w:r w:rsidRPr="006D732D">
              <w:rPr>
                <w:rFonts w:ascii="Arial" w:hAnsi="Arial" w:cs="Arial"/>
                <w:color w:val="000000"/>
                <w:lang w:val="en-GB" w:bidi="hi-IN"/>
              </w:rPr>
              <w:t>3</w:t>
            </w:r>
          </w:p>
        </w:tc>
        <w:tc>
          <w:tcPr>
            <w:tcW w:w="1197" w:type="pct"/>
            <w:tcBorders>
              <w:top w:val="single" w:sz="4" w:space="0" w:color="auto"/>
              <w:left w:val="single" w:sz="4" w:space="0" w:color="auto"/>
              <w:bottom w:val="single" w:sz="4" w:space="0" w:color="auto"/>
              <w:right w:val="single" w:sz="4" w:space="0" w:color="auto"/>
            </w:tcBorders>
            <w:shd w:val="clear" w:color="auto" w:fill="auto"/>
            <w:hideMark/>
          </w:tcPr>
          <w:p w14:paraId="469E64D6"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196,683</w:t>
            </w:r>
          </w:p>
        </w:tc>
        <w:tc>
          <w:tcPr>
            <w:tcW w:w="1287" w:type="pct"/>
            <w:tcBorders>
              <w:top w:val="single" w:sz="4" w:space="0" w:color="auto"/>
              <w:left w:val="single" w:sz="4" w:space="0" w:color="auto"/>
              <w:bottom w:val="single" w:sz="4" w:space="0" w:color="auto"/>
              <w:right w:val="single" w:sz="4" w:space="0" w:color="auto"/>
            </w:tcBorders>
            <w:shd w:val="clear" w:color="auto" w:fill="auto"/>
            <w:hideMark/>
          </w:tcPr>
          <w:p w14:paraId="458F49C5"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981,289</w:t>
            </w:r>
          </w:p>
        </w:tc>
        <w:tc>
          <w:tcPr>
            <w:tcW w:w="1502" w:type="pct"/>
            <w:tcBorders>
              <w:top w:val="single" w:sz="4" w:space="0" w:color="auto"/>
              <w:left w:val="single" w:sz="4" w:space="0" w:color="auto"/>
              <w:bottom w:val="single" w:sz="4" w:space="0" w:color="auto"/>
              <w:right w:val="single" w:sz="4" w:space="0" w:color="auto"/>
            </w:tcBorders>
            <w:shd w:val="clear" w:color="auto" w:fill="auto"/>
            <w:hideMark/>
          </w:tcPr>
          <w:p w14:paraId="250DF737"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9,465,350</w:t>
            </w:r>
          </w:p>
        </w:tc>
      </w:tr>
      <w:tr w:rsidR="00716130" w:rsidRPr="006D732D" w14:paraId="4B233D3F" w14:textId="77777777" w:rsidTr="00BE6725">
        <w:trPr>
          <w:trHeight w:val="315"/>
          <w:jc w:val="center"/>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FF7D16" w14:textId="77777777" w:rsidR="00716130" w:rsidRPr="006D732D" w:rsidRDefault="00716130" w:rsidP="00695CEC">
            <w:pPr>
              <w:jc w:val="center"/>
              <w:rPr>
                <w:rFonts w:ascii="Arial" w:hAnsi="Arial" w:cs="Arial"/>
                <w:color w:val="000000"/>
                <w:lang w:val="en-GB" w:bidi="hi-IN"/>
              </w:rPr>
            </w:pPr>
            <w:r w:rsidRPr="006D732D">
              <w:rPr>
                <w:rFonts w:ascii="Arial" w:hAnsi="Arial" w:cs="Arial"/>
                <w:color w:val="000000"/>
                <w:lang w:val="en-GB" w:bidi="hi-IN"/>
              </w:rPr>
              <w:t>4</w:t>
            </w:r>
          </w:p>
        </w:tc>
        <w:tc>
          <w:tcPr>
            <w:tcW w:w="1197" w:type="pct"/>
            <w:tcBorders>
              <w:top w:val="single" w:sz="4" w:space="0" w:color="auto"/>
              <w:left w:val="single" w:sz="4" w:space="0" w:color="auto"/>
              <w:bottom w:val="single" w:sz="4" w:space="0" w:color="auto"/>
              <w:right w:val="single" w:sz="4" w:space="0" w:color="auto"/>
            </w:tcBorders>
            <w:shd w:val="clear" w:color="auto" w:fill="auto"/>
            <w:hideMark/>
          </w:tcPr>
          <w:p w14:paraId="476E9487"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217,818</w:t>
            </w:r>
          </w:p>
        </w:tc>
        <w:tc>
          <w:tcPr>
            <w:tcW w:w="1287" w:type="pct"/>
            <w:tcBorders>
              <w:top w:val="single" w:sz="4" w:space="0" w:color="auto"/>
              <w:left w:val="single" w:sz="4" w:space="0" w:color="auto"/>
              <w:bottom w:val="single" w:sz="4" w:space="0" w:color="auto"/>
              <w:right w:val="single" w:sz="4" w:space="0" w:color="auto"/>
            </w:tcBorders>
            <w:shd w:val="clear" w:color="auto" w:fill="auto"/>
            <w:hideMark/>
          </w:tcPr>
          <w:p w14:paraId="7844C938"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960,154</w:t>
            </w:r>
          </w:p>
        </w:tc>
        <w:tc>
          <w:tcPr>
            <w:tcW w:w="1502" w:type="pct"/>
            <w:tcBorders>
              <w:top w:val="single" w:sz="4" w:space="0" w:color="auto"/>
              <w:left w:val="single" w:sz="4" w:space="0" w:color="auto"/>
              <w:bottom w:val="single" w:sz="4" w:space="0" w:color="auto"/>
              <w:right w:val="single" w:sz="4" w:space="0" w:color="auto"/>
            </w:tcBorders>
            <w:shd w:val="clear" w:color="auto" w:fill="auto"/>
            <w:hideMark/>
          </w:tcPr>
          <w:p w14:paraId="01E862CE"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9,247,532</w:t>
            </w:r>
          </w:p>
        </w:tc>
      </w:tr>
      <w:tr w:rsidR="00716130" w:rsidRPr="006D732D" w14:paraId="0EA1FA2D" w14:textId="77777777" w:rsidTr="00BE6725">
        <w:trPr>
          <w:trHeight w:val="315"/>
          <w:jc w:val="center"/>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F16D83" w14:textId="77777777" w:rsidR="00716130" w:rsidRPr="006D732D" w:rsidRDefault="00716130" w:rsidP="00695CEC">
            <w:pPr>
              <w:jc w:val="center"/>
              <w:rPr>
                <w:rFonts w:ascii="Arial" w:hAnsi="Arial" w:cs="Arial"/>
                <w:color w:val="000000"/>
                <w:lang w:val="en-GB" w:bidi="hi-IN"/>
              </w:rPr>
            </w:pPr>
            <w:r w:rsidRPr="006D732D">
              <w:rPr>
                <w:rFonts w:ascii="Arial" w:hAnsi="Arial" w:cs="Arial"/>
                <w:color w:val="000000"/>
                <w:lang w:val="en-GB" w:bidi="hi-IN"/>
              </w:rPr>
              <w:t>5</w:t>
            </w:r>
          </w:p>
        </w:tc>
        <w:tc>
          <w:tcPr>
            <w:tcW w:w="1197" w:type="pct"/>
            <w:tcBorders>
              <w:top w:val="single" w:sz="4" w:space="0" w:color="auto"/>
              <w:left w:val="single" w:sz="4" w:space="0" w:color="auto"/>
              <w:bottom w:val="single" w:sz="4" w:space="0" w:color="auto"/>
              <w:right w:val="single" w:sz="4" w:space="0" w:color="auto"/>
            </w:tcBorders>
            <w:shd w:val="clear" w:color="auto" w:fill="auto"/>
            <w:hideMark/>
          </w:tcPr>
          <w:p w14:paraId="4602F9FB"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241,224</w:t>
            </w:r>
          </w:p>
        </w:tc>
        <w:tc>
          <w:tcPr>
            <w:tcW w:w="1287" w:type="pct"/>
            <w:tcBorders>
              <w:top w:val="single" w:sz="4" w:space="0" w:color="auto"/>
              <w:left w:val="single" w:sz="4" w:space="0" w:color="auto"/>
              <w:bottom w:val="single" w:sz="4" w:space="0" w:color="auto"/>
              <w:right w:val="single" w:sz="4" w:space="0" w:color="auto"/>
            </w:tcBorders>
            <w:shd w:val="clear" w:color="auto" w:fill="auto"/>
            <w:hideMark/>
          </w:tcPr>
          <w:p w14:paraId="7B3CDF48"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936,748</w:t>
            </w:r>
          </w:p>
        </w:tc>
        <w:tc>
          <w:tcPr>
            <w:tcW w:w="1502" w:type="pct"/>
            <w:tcBorders>
              <w:top w:val="single" w:sz="4" w:space="0" w:color="auto"/>
              <w:left w:val="single" w:sz="4" w:space="0" w:color="auto"/>
              <w:bottom w:val="single" w:sz="4" w:space="0" w:color="auto"/>
              <w:right w:val="single" w:sz="4" w:space="0" w:color="auto"/>
            </w:tcBorders>
            <w:shd w:val="clear" w:color="auto" w:fill="auto"/>
            <w:hideMark/>
          </w:tcPr>
          <w:p w14:paraId="694EC9D6"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9,006,308</w:t>
            </w:r>
          </w:p>
        </w:tc>
      </w:tr>
      <w:tr w:rsidR="00716130" w:rsidRPr="006D732D" w14:paraId="51A5D8BB" w14:textId="77777777" w:rsidTr="00BE6725">
        <w:trPr>
          <w:trHeight w:val="315"/>
          <w:jc w:val="center"/>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07453E" w14:textId="77777777" w:rsidR="00716130" w:rsidRPr="006D732D" w:rsidRDefault="00716130" w:rsidP="00695CEC">
            <w:pPr>
              <w:jc w:val="center"/>
              <w:rPr>
                <w:rFonts w:ascii="Arial" w:hAnsi="Arial" w:cs="Arial"/>
                <w:color w:val="000000"/>
                <w:lang w:val="en-GB" w:bidi="hi-IN"/>
              </w:rPr>
            </w:pPr>
            <w:r w:rsidRPr="006D732D">
              <w:rPr>
                <w:rFonts w:ascii="Arial" w:hAnsi="Arial" w:cs="Arial"/>
                <w:color w:val="000000"/>
                <w:lang w:val="en-GB" w:bidi="hi-IN"/>
              </w:rPr>
              <w:t>6</w:t>
            </w:r>
          </w:p>
        </w:tc>
        <w:tc>
          <w:tcPr>
            <w:tcW w:w="1197" w:type="pct"/>
            <w:tcBorders>
              <w:top w:val="single" w:sz="4" w:space="0" w:color="auto"/>
              <w:left w:val="single" w:sz="4" w:space="0" w:color="auto"/>
              <w:bottom w:val="single" w:sz="4" w:space="0" w:color="auto"/>
              <w:right w:val="single" w:sz="4" w:space="0" w:color="auto"/>
            </w:tcBorders>
            <w:shd w:val="clear" w:color="auto" w:fill="auto"/>
            <w:hideMark/>
          </w:tcPr>
          <w:p w14:paraId="6CF864DD"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267,144</w:t>
            </w:r>
          </w:p>
        </w:tc>
        <w:tc>
          <w:tcPr>
            <w:tcW w:w="1287" w:type="pct"/>
            <w:tcBorders>
              <w:top w:val="single" w:sz="4" w:space="0" w:color="auto"/>
              <w:left w:val="single" w:sz="4" w:space="0" w:color="auto"/>
              <w:bottom w:val="single" w:sz="4" w:space="0" w:color="auto"/>
              <w:right w:val="single" w:sz="4" w:space="0" w:color="auto"/>
            </w:tcBorders>
            <w:shd w:val="clear" w:color="auto" w:fill="auto"/>
            <w:hideMark/>
          </w:tcPr>
          <w:p w14:paraId="1042708B"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910,828</w:t>
            </w:r>
          </w:p>
        </w:tc>
        <w:tc>
          <w:tcPr>
            <w:tcW w:w="1502" w:type="pct"/>
            <w:tcBorders>
              <w:top w:val="single" w:sz="4" w:space="0" w:color="auto"/>
              <w:left w:val="single" w:sz="4" w:space="0" w:color="auto"/>
              <w:bottom w:val="single" w:sz="4" w:space="0" w:color="auto"/>
              <w:right w:val="single" w:sz="4" w:space="0" w:color="auto"/>
            </w:tcBorders>
            <w:shd w:val="clear" w:color="auto" w:fill="auto"/>
            <w:hideMark/>
          </w:tcPr>
          <w:p w14:paraId="5FE43A85"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8,739,164</w:t>
            </w:r>
          </w:p>
        </w:tc>
      </w:tr>
      <w:tr w:rsidR="00716130" w:rsidRPr="006D732D" w14:paraId="4FB554D0" w14:textId="77777777" w:rsidTr="00BE6725">
        <w:trPr>
          <w:trHeight w:val="315"/>
          <w:jc w:val="center"/>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7864A9" w14:textId="77777777" w:rsidR="00716130" w:rsidRPr="006D732D" w:rsidRDefault="00716130" w:rsidP="00695CEC">
            <w:pPr>
              <w:jc w:val="center"/>
              <w:rPr>
                <w:rFonts w:ascii="Arial" w:hAnsi="Arial" w:cs="Arial"/>
                <w:color w:val="000000"/>
                <w:lang w:val="en-GB" w:bidi="hi-IN"/>
              </w:rPr>
            </w:pPr>
            <w:r w:rsidRPr="006D732D">
              <w:rPr>
                <w:rFonts w:ascii="Arial" w:hAnsi="Arial" w:cs="Arial"/>
                <w:color w:val="000000"/>
                <w:lang w:val="en-GB" w:bidi="hi-IN"/>
              </w:rPr>
              <w:t>7</w:t>
            </w:r>
          </w:p>
        </w:tc>
        <w:tc>
          <w:tcPr>
            <w:tcW w:w="1197" w:type="pct"/>
            <w:tcBorders>
              <w:top w:val="single" w:sz="4" w:space="0" w:color="auto"/>
              <w:left w:val="single" w:sz="4" w:space="0" w:color="auto"/>
              <w:bottom w:val="single" w:sz="4" w:space="0" w:color="auto"/>
              <w:right w:val="single" w:sz="4" w:space="0" w:color="auto"/>
            </w:tcBorders>
            <w:shd w:val="clear" w:color="auto" w:fill="auto"/>
            <w:hideMark/>
          </w:tcPr>
          <w:p w14:paraId="3FBA825C"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295,851</w:t>
            </w:r>
          </w:p>
        </w:tc>
        <w:tc>
          <w:tcPr>
            <w:tcW w:w="1287" w:type="pct"/>
            <w:tcBorders>
              <w:top w:val="single" w:sz="4" w:space="0" w:color="auto"/>
              <w:left w:val="single" w:sz="4" w:space="0" w:color="auto"/>
              <w:bottom w:val="single" w:sz="4" w:space="0" w:color="auto"/>
              <w:right w:val="single" w:sz="4" w:space="0" w:color="auto"/>
            </w:tcBorders>
            <w:shd w:val="clear" w:color="auto" w:fill="auto"/>
            <w:hideMark/>
          </w:tcPr>
          <w:p w14:paraId="7127CA87"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882,122</w:t>
            </w:r>
          </w:p>
        </w:tc>
        <w:tc>
          <w:tcPr>
            <w:tcW w:w="1502" w:type="pct"/>
            <w:tcBorders>
              <w:top w:val="single" w:sz="4" w:space="0" w:color="auto"/>
              <w:left w:val="single" w:sz="4" w:space="0" w:color="auto"/>
              <w:bottom w:val="single" w:sz="4" w:space="0" w:color="auto"/>
              <w:right w:val="single" w:sz="4" w:space="0" w:color="auto"/>
            </w:tcBorders>
            <w:shd w:val="clear" w:color="auto" w:fill="auto"/>
            <w:hideMark/>
          </w:tcPr>
          <w:p w14:paraId="1E918558"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8,443,313</w:t>
            </w:r>
          </w:p>
        </w:tc>
      </w:tr>
      <w:tr w:rsidR="00716130" w:rsidRPr="006D732D" w14:paraId="6CF48C04" w14:textId="77777777" w:rsidTr="00BE6725">
        <w:trPr>
          <w:trHeight w:val="315"/>
          <w:jc w:val="center"/>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839337" w14:textId="77777777" w:rsidR="00716130" w:rsidRPr="006D732D" w:rsidRDefault="00716130" w:rsidP="00695CEC">
            <w:pPr>
              <w:jc w:val="center"/>
              <w:rPr>
                <w:rFonts w:ascii="Arial" w:hAnsi="Arial" w:cs="Arial"/>
                <w:color w:val="000000"/>
                <w:lang w:val="en-GB" w:bidi="hi-IN"/>
              </w:rPr>
            </w:pPr>
            <w:r w:rsidRPr="006D732D">
              <w:rPr>
                <w:rFonts w:ascii="Arial" w:hAnsi="Arial" w:cs="Arial"/>
                <w:color w:val="000000"/>
                <w:lang w:val="en-GB" w:bidi="hi-IN"/>
              </w:rPr>
              <w:t>8</w:t>
            </w:r>
          </w:p>
        </w:tc>
        <w:tc>
          <w:tcPr>
            <w:tcW w:w="1197" w:type="pct"/>
            <w:tcBorders>
              <w:top w:val="single" w:sz="4" w:space="0" w:color="auto"/>
              <w:left w:val="single" w:sz="4" w:space="0" w:color="auto"/>
              <w:bottom w:val="single" w:sz="4" w:space="0" w:color="auto"/>
              <w:right w:val="single" w:sz="4" w:space="0" w:color="auto"/>
            </w:tcBorders>
            <w:shd w:val="clear" w:color="auto" w:fill="auto"/>
            <w:hideMark/>
          </w:tcPr>
          <w:p w14:paraId="24B39526"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327,641</w:t>
            </w:r>
          </w:p>
        </w:tc>
        <w:tc>
          <w:tcPr>
            <w:tcW w:w="1287" w:type="pct"/>
            <w:tcBorders>
              <w:top w:val="single" w:sz="4" w:space="0" w:color="auto"/>
              <w:left w:val="single" w:sz="4" w:space="0" w:color="auto"/>
              <w:bottom w:val="single" w:sz="4" w:space="0" w:color="auto"/>
              <w:right w:val="single" w:sz="4" w:space="0" w:color="auto"/>
            </w:tcBorders>
            <w:shd w:val="clear" w:color="auto" w:fill="auto"/>
            <w:hideMark/>
          </w:tcPr>
          <w:p w14:paraId="186DA980"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850,331</w:t>
            </w:r>
          </w:p>
        </w:tc>
        <w:tc>
          <w:tcPr>
            <w:tcW w:w="1502" w:type="pct"/>
            <w:tcBorders>
              <w:top w:val="single" w:sz="4" w:space="0" w:color="auto"/>
              <w:left w:val="single" w:sz="4" w:space="0" w:color="auto"/>
              <w:bottom w:val="single" w:sz="4" w:space="0" w:color="auto"/>
              <w:right w:val="single" w:sz="4" w:space="0" w:color="auto"/>
            </w:tcBorders>
            <w:shd w:val="clear" w:color="auto" w:fill="auto"/>
            <w:hideMark/>
          </w:tcPr>
          <w:p w14:paraId="420C4D0C"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8,115,672</w:t>
            </w:r>
          </w:p>
        </w:tc>
      </w:tr>
      <w:tr w:rsidR="00716130" w:rsidRPr="006D732D" w14:paraId="1705CD57" w14:textId="77777777" w:rsidTr="00BE6725">
        <w:trPr>
          <w:trHeight w:val="315"/>
          <w:jc w:val="center"/>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AC5A4E" w14:textId="77777777" w:rsidR="00716130" w:rsidRPr="006D732D" w:rsidRDefault="00716130" w:rsidP="00695CEC">
            <w:pPr>
              <w:jc w:val="center"/>
              <w:rPr>
                <w:rFonts w:ascii="Arial" w:hAnsi="Arial" w:cs="Arial"/>
                <w:color w:val="000000"/>
                <w:lang w:val="en-GB" w:bidi="hi-IN"/>
              </w:rPr>
            </w:pPr>
            <w:r w:rsidRPr="006D732D">
              <w:rPr>
                <w:rFonts w:ascii="Arial" w:hAnsi="Arial" w:cs="Arial"/>
                <w:color w:val="000000"/>
                <w:lang w:val="en-GB" w:bidi="hi-IN"/>
              </w:rPr>
              <w:t>9</w:t>
            </w:r>
          </w:p>
        </w:tc>
        <w:tc>
          <w:tcPr>
            <w:tcW w:w="1197" w:type="pct"/>
            <w:tcBorders>
              <w:top w:val="single" w:sz="4" w:space="0" w:color="auto"/>
              <w:left w:val="single" w:sz="4" w:space="0" w:color="auto"/>
              <w:bottom w:val="single" w:sz="4" w:space="0" w:color="auto"/>
              <w:right w:val="single" w:sz="4" w:space="0" w:color="auto"/>
            </w:tcBorders>
            <w:shd w:val="clear" w:color="auto" w:fill="auto"/>
            <w:hideMark/>
          </w:tcPr>
          <w:p w14:paraId="7B114F0E"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362,848</w:t>
            </w:r>
          </w:p>
        </w:tc>
        <w:tc>
          <w:tcPr>
            <w:tcW w:w="1287" w:type="pct"/>
            <w:tcBorders>
              <w:top w:val="single" w:sz="4" w:space="0" w:color="auto"/>
              <w:left w:val="single" w:sz="4" w:space="0" w:color="auto"/>
              <w:bottom w:val="single" w:sz="4" w:space="0" w:color="auto"/>
              <w:right w:val="single" w:sz="4" w:space="0" w:color="auto"/>
            </w:tcBorders>
            <w:shd w:val="clear" w:color="auto" w:fill="auto"/>
            <w:hideMark/>
          </w:tcPr>
          <w:p w14:paraId="6212BB81"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815,124</w:t>
            </w:r>
          </w:p>
        </w:tc>
        <w:tc>
          <w:tcPr>
            <w:tcW w:w="1502" w:type="pct"/>
            <w:tcBorders>
              <w:top w:val="single" w:sz="4" w:space="0" w:color="auto"/>
              <w:left w:val="single" w:sz="4" w:space="0" w:color="auto"/>
              <w:bottom w:val="single" w:sz="4" w:space="0" w:color="auto"/>
              <w:right w:val="single" w:sz="4" w:space="0" w:color="auto"/>
            </w:tcBorders>
            <w:shd w:val="clear" w:color="auto" w:fill="auto"/>
            <w:hideMark/>
          </w:tcPr>
          <w:p w14:paraId="03B0219A"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7,752,824</w:t>
            </w:r>
          </w:p>
        </w:tc>
      </w:tr>
      <w:tr w:rsidR="00716130" w:rsidRPr="006D732D" w14:paraId="7EE336DA" w14:textId="77777777" w:rsidTr="00BE6725">
        <w:trPr>
          <w:trHeight w:val="315"/>
          <w:jc w:val="center"/>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A34584" w14:textId="77777777" w:rsidR="00716130" w:rsidRPr="006D732D" w:rsidRDefault="00716130" w:rsidP="00695CEC">
            <w:pPr>
              <w:jc w:val="center"/>
              <w:rPr>
                <w:rFonts w:ascii="Arial" w:hAnsi="Arial" w:cs="Arial"/>
                <w:color w:val="000000"/>
                <w:lang w:val="en-GB" w:bidi="hi-IN"/>
              </w:rPr>
            </w:pPr>
            <w:r w:rsidRPr="006D732D">
              <w:rPr>
                <w:rFonts w:ascii="Arial" w:hAnsi="Arial" w:cs="Arial"/>
                <w:color w:val="000000"/>
                <w:lang w:val="en-GB" w:bidi="hi-IN"/>
              </w:rPr>
              <w:t>10</w:t>
            </w:r>
          </w:p>
        </w:tc>
        <w:tc>
          <w:tcPr>
            <w:tcW w:w="1197" w:type="pct"/>
            <w:tcBorders>
              <w:top w:val="single" w:sz="4" w:space="0" w:color="auto"/>
              <w:left w:val="single" w:sz="4" w:space="0" w:color="auto"/>
              <w:bottom w:val="single" w:sz="4" w:space="0" w:color="auto"/>
              <w:right w:val="single" w:sz="4" w:space="0" w:color="auto"/>
            </w:tcBorders>
            <w:shd w:val="clear" w:color="auto" w:fill="auto"/>
            <w:hideMark/>
          </w:tcPr>
          <w:p w14:paraId="16AEBAAA"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401,838</w:t>
            </w:r>
          </w:p>
        </w:tc>
        <w:tc>
          <w:tcPr>
            <w:tcW w:w="1287" w:type="pct"/>
            <w:tcBorders>
              <w:top w:val="single" w:sz="4" w:space="0" w:color="auto"/>
              <w:left w:val="single" w:sz="4" w:space="0" w:color="auto"/>
              <w:bottom w:val="single" w:sz="4" w:space="0" w:color="auto"/>
              <w:right w:val="single" w:sz="4" w:space="0" w:color="auto"/>
            </w:tcBorders>
            <w:shd w:val="clear" w:color="auto" w:fill="auto"/>
            <w:hideMark/>
          </w:tcPr>
          <w:p w14:paraId="483BB9D7"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776,134</w:t>
            </w:r>
          </w:p>
        </w:tc>
        <w:tc>
          <w:tcPr>
            <w:tcW w:w="1502" w:type="pct"/>
            <w:tcBorders>
              <w:top w:val="single" w:sz="4" w:space="0" w:color="auto"/>
              <w:left w:val="single" w:sz="4" w:space="0" w:color="auto"/>
              <w:bottom w:val="single" w:sz="4" w:space="0" w:color="auto"/>
              <w:right w:val="single" w:sz="4" w:space="0" w:color="auto"/>
            </w:tcBorders>
            <w:shd w:val="clear" w:color="auto" w:fill="auto"/>
            <w:hideMark/>
          </w:tcPr>
          <w:p w14:paraId="36553BC8"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7,350,986</w:t>
            </w:r>
          </w:p>
        </w:tc>
      </w:tr>
      <w:tr w:rsidR="00716130" w:rsidRPr="006D732D" w14:paraId="42BB08B3" w14:textId="77777777" w:rsidTr="00BE6725">
        <w:trPr>
          <w:trHeight w:val="315"/>
          <w:jc w:val="center"/>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BC492C" w14:textId="77777777" w:rsidR="00716130" w:rsidRPr="006D732D" w:rsidRDefault="00716130" w:rsidP="00695CEC">
            <w:pPr>
              <w:jc w:val="center"/>
              <w:rPr>
                <w:rFonts w:ascii="Arial" w:hAnsi="Arial" w:cs="Arial"/>
                <w:color w:val="000000"/>
                <w:lang w:val="en-GB" w:bidi="hi-IN"/>
              </w:rPr>
            </w:pPr>
            <w:r w:rsidRPr="006D732D">
              <w:rPr>
                <w:rFonts w:ascii="Arial" w:hAnsi="Arial" w:cs="Arial"/>
                <w:color w:val="000000"/>
                <w:lang w:val="en-GB" w:bidi="hi-IN"/>
              </w:rPr>
              <w:t>11</w:t>
            </w:r>
          </w:p>
        </w:tc>
        <w:tc>
          <w:tcPr>
            <w:tcW w:w="1197" w:type="pct"/>
            <w:tcBorders>
              <w:top w:val="single" w:sz="4" w:space="0" w:color="auto"/>
              <w:left w:val="single" w:sz="4" w:space="0" w:color="auto"/>
              <w:bottom w:val="single" w:sz="4" w:space="0" w:color="auto"/>
              <w:right w:val="single" w:sz="4" w:space="0" w:color="auto"/>
            </w:tcBorders>
            <w:shd w:val="clear" w:color="auto" w:fill="auto"/>
            <w:hideMark/>
          </w:tcPr>
          <w:p w14:paraId="6B50001D"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445,017</w:t>
            </w:r>
          </w:p>
        </w:tc>
        <w:tc>
          <w:tcPr>
            <w:tcW w:w="1287" w:type="pct"/>
            <w:tcBorders>
              <w:top w:val="single" w:sz="4" w:space="0" w:color="auto"/>
              <w:left w:val="single" w:sz="4" w:space="0" w:color="auto"/>
              <w:bottom w:val="single" w:sz="4" w:space="0" w:color="auto"/>
              <w:right w:val="single" w:sz="4" w:space="0" w:color="auto"/>
            </w:tcBorders>
            <w:shd w:val="clear" w:color="auto" w:fill="auto"/>
            <w:hideMark/>
          </w:tcPr>
          <w:p w14:paraId="77213E5C"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732,955</w:t>
            </w:r>
          </w:p>
        </w:tc>
        <w:tc>
          <w:tcPr>
            <w:tcW w:w="1502" w:type="pct"/>
            <w:tcBorders>
              <w:top w:val="single" w:sz="4" w:space="0" w:color="auto"/>
              <w:left w:val="single" w:sz="4" w:space="0" w:color="auto"/>
              <w:bottom w:val="single" w:sz="4" w:space="0" w:color="auto"/>
              <w:right w:val="single" w:sz="4" w:space="0" w:color="auto"/>
            </w:tcBorders>
            <w:shd w:val="clear" w:color="auto" w:fill="auto"/>
            <w:hideMark/>
          </w:tcPr>
          <w:p w14:paraId="516249EE"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6,905,969</w:t>
            </w:r>
          </w:p>
        </w:tc>
      </w:tr>
      <w:tr w:rsidR="00716130" w:rsidRPr="006D732D" w14:paraId="1B7C061E" w14:textId="77777777" w:rsidTr="00BE6725">
        <w:trPr>
          <w:trHeight w:val="315"/>
          <w:jc w:val="center"/>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49A1AE" w14:textId="77777777" w:rsidR="00716130" w:rsidRPr="006D732D" w:rsidRDefault="00716130" w:rsidP="00695CEC">
            <w:pPr>
              <w:jc w:val="center"/>
              <w:rPr>
                <w:rFonts w:ascii="Arial" w:hAnsi="Arial" w:cs="Arial"/>
                <w:color w:val="000000"/>
                <w:lang w:val="en-GB" w:bidi="hi-IN"/>
              </w:rPr>
            </w:pPr>
            <w:r w:rsidRPr="006D732D">
              <w:rPr>
                <w:rFonts w:ascii="Arial" w:hAnsi="Arial" w:cs="Arial"/>
                <w:color w:val="000000"/>
                <w:lang w:val="en-GB" w:bidi="hi-IN"/>
              </w:rPr>
              <w:t>12</w:t>
            </w:r>
          </w:p>
        </w:tc>
        <w:tc>
          <w:tcPr>
            <w:tcW w:w="1197" w:type="pct"/>
            <w:tcBorders>
              <w:top w:val="single" w:sz="4" w:space="0" w:color="auto"/>
              <w:left w:val="single" w:sz="4" w:space="0" w:color="auto"/>
              <w:bottom w:val="single" w:sz="4" w:space="0" w:color="auto"/>
              <w:right w:val="single" w:sz="4" w:space="0" w:color="auto"/>
            </w:tcBorders>
            <w:shd w:val="clear" w:color="auto" w:fill="auto"/>
            <w:hideMark/>
          </w:tcPr>
          <w:p w14:paraId="4FCC6434"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492,837</w:t>
            </w:r>
          </w:p>
        </w:tc>
        <w:tc>
          <w:tcPr>
            <w:tcW w:w="1287" w:type="pct"/>
            <w:tcBorders>
              <w:top w:val="single" w:sz="4" w:space="0" w:color="auto"/>
              <w:left w:val="single" w:sz="4" w:space="0" w:color="auto"/>
              <w:bottom w:val="single" w:sz="4" w:space="0" w:color="auto"/>
              <w:right w:val="single" w:sz="4" w:space="0" w:color="auto"/>
            </w:tcBorders>
            <w:shd w:val="clear" w:color="auto" w:fill="auto"/>
            <w:hideMark/>
          </w:tcPr>
          <w:p w14:paraId="6F2D107B"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685,135</w:t>
            </w:r>
          </w:p>
        </w:tc>
        <w:tc>
          <w:tcPr>
            <w:tcW w:w="1502" w:type="pct"/>
            <w:tcBorders>
              <w:top w:val="single" w:sz="4" w:space="0" w:color="auto"/>
              <w:left w:val="single" w:sz="4" w:space="0" w:color="auto"/>
              <w:bottom w:val="single" w:sz="4" w:space="0" w:color="auto"/>
              <w:right w:val="single" w:sz="4" w:space="0" w:color="auto"/>
            </w:tcBorders>
            <w:shd w:val="clear" w:color="auto" w:fill="auto"/>
            <w:hideMark/>
          </w:tcPr>
          <w:p w14:paraId="2EDE269C"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6,413,132</w:t>
            </w:r>
          </w:p>
        </w:tc>
      </w:tr>
      <w:tr w:rsidR="00716130" w:rsidRPr="006D732D" w14:paraId="66C4056A" w14:textId="77777777" w:rsidTr="00BE6725">
        <w:trPr>
          <w:trHeight w:val="315"/>
          <w:jc w:val="center"/>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035F68" w14:textId="77777777" w:rsidR="00716130" w:rsidRPr="006D732D" w:rsidRDefault="00716130" w:rsidP="00695CEC">
            <w:pPr>
              <w:jc w:val="center"/>
              <w:rPr>
                <w:rFonts w:ascii="Arial" w:hAnsi="Arial" w:cs="Arial"/>
                <w:color w:val="000000"/>
                <w:lang w:val="en-GB" w:bidi="hi-IN"/>
              </w:rPr>
            </w:pPr>
            <w:r w:rsidRPr="006D732D">
              <w:rPr>
                <w:rFonts w:ascii="Arial" w:hAnsi="Arial" w:cs="Arial"/>
                <w:color w:val="000000"/>
                <w:lang w:val="en-GB" w:bidi="hi-IN"/>
              </w:rPr>
              <w:t>13</w:t>
            </w:r>
          </w:p>
        </w:tc>
        <w:tc>
          <w:tcPr>
            <w:tcW w:w="1197" w:type="pct"/>
            <w:tcBorders>
              <w:top w:val="single" w:sz="4" w:space="0" w:color="auto"/>
              <w:left w:val="single" w:sz="4" w:space="0" w:color="auto"/>
              <w:bottom w:val="single" w:sz="4" w:space="0" w:color="auto"/>
              <w:right w:val="single" w:sz="4" w:space="0" w:color="auto"/>
            </w:tcBorders>
            <w:shd w:val="clear" w:color="auto" w:fill="auto"/>
            <w:hideMark/>
          </w:tcPr>
          <w:p w14:paraId="1C6FB63B"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545,795</w:t>
            </w:r>
          </w:p>
        </w:tc>
        <w:tc>
          <w:tcPr>
            <w:tcW w:w="1287" w:type="pct"/>
            <w:tcBorders>
              <w:top w:val="single" w:sz="4" w:space="0" w:color="auto"/>
              <w:left w:val="single" w:sz="4" w:space="0" w:color="auto"/>
              <w:bottom w:val="single" w:sz="4" w:space="0" w:color="auto"/>
              <w:right w:val="single" w:sz="4" w:space="0" w:color="auto"/>
            </w:tcBorders>
            <w:shd w:val="clear" w:color="auto" w:fill="auto"/>
            <w:hideMark/>
          </w:tcPr>
          <w:p w14:paraId="04AEB7AD"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632,178</w:t>
            </w:r>
          </w:p>
        </w:tc>
        <w:tc>
          <w:tcPr>
            <w:tcW w:w="1502" w:type="pct"/>
            <w:tcBorders>
              <w:top w:val="single" w:sz="4" w:space="0" w:color="auto"/>
              <w:left w:val="single" w:sz="4" w:space="0" w:color="auto"/>
              <w:bottom w:val="single" w:sz="4" w:space="0" w:color="auto"/>
              <w:right w:val="single" w:sz="4" w:space="0" w:color="auto"/>
            </w:tcBorders>
            <w:shd w:val="clear" w:color="auto" w:fill="auto"/>
            <w:hideMark/>
          </w:tcPr>
          <w:p w14:paraId="3DC918AA"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5,867,338</w:t>
            </w:r>
          </w:p>
        </w:tc>
      </w:tr>
      <w:tr w:rsidR="00716130" w:rsidRPr="006D732D" w14:paraId="62B8E98D" w14:textId="77777777" w:rsidTr="00BE6725">
        <w:trPr>
          <w:trHeight w:val="315"/>
          <w:jc w:val="center"/>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1098F7" w14:textId="77777777" w:rsidR="00716130" w:rsidRPr="006D732D" w:rsidRDefault="00716130" w:rsidP="00695CEC">
            <w:pPr>
              <w:jc w:val="center"/>
              <w:rPr>
                <w:rFonts w:ascii="Arial" w:hAnsi="Arial" w:cs="Arial"/>
                <w:color w:val="000000"/>
                <w:lang w:val="en-GB" w:bidi="hi-IN"/>
              </w:rPr>
            </w:pPr>
            <w:r w:rsidRPr="006D732D">
              <w:rPr>
                <w:rFonts w:ascii="Arial" w:hAnsi="Arial" w:cs="Arial"/>
                <w:color w:val="000000"/>
                <w:lang w:val="en-GB" w:bidi="hi-IN"/>
              </w:rPr>
              <w:t>14</w:t>
            </w:r>
          </w:p>
        </w:tc>
        <w:tc>
          <w:tcPr>
            <w:tcW w:w="1197" w:type="pct"/>
            <w:tcBorders>
              <w:top w:val="single" w:sz="4" w:space="0" w:color="auto"/>
              <w:left w:val="single" w:sz="4" w:space="0" w:color="auto"/>
              <w:bottom w:val="single" w:sz="4" w:space="0" w:color="auto"/>
              <w:right w:val="single" w:sz="4" w:space="0" w:color="auto"/>
            </w:tcBorders>
            <w:shd w:val="clear" w:color="auto" w:fill="auto"/>
            <w:hideMark/>
          </w:tcPr>
          <w:p w14:paraId="5CC8ECF5"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604,443</w:t>
            </w:r>
          </w:p>
        </w:tc>
        <w:tc>
          <w:tcPr>
            <w:tcW w:w="1287" w:type="pct"/>
            <w:tcBorders>
              <w:top w:val="single" w:sz="4" w:space="0" w:color="auto"/>
              <w:left w:val="single" w:sz="4" w:space="0" w:color="auto"/>
              <w:bottom w:val="single" w:sz="4" w:space="0" w:color="auto"/>
              <w:right w:val="single" w:sz="4" w:space="0" w:color="auto"/>
            </w:tcBorders>
            <w:shd w:val="clear" w:color="auto" w:fill="auto"/>
            <w:hideMark/>
          </w:tcPr>
          <w:p w14:paraId="233759CF"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573,529</w:t>
            </w:r>
          </w:p>
        </w:tc>
        <w:tc>
          <w:tcPr>
            <w:tcW w:w="1502" w:type="pct"/>
            <w:tcBorders>
              <w:top w:val="single" w:sz="4" w:space="0" w:color="auto"/>
              <w:left w:val="single" w:sz="4" w:space="0" w:color="auto"/>
              <w:bottom w:val="single" w:sz="4" w:space="0" w:color="auto"/>
              <w:right w:val="single" w:sz="4" w:space="0" w:color="auto"/>
            </w:tcBorders>
            <w:shd w:val="clear" w:color="auto" w:fill="auto"/>
            <w:hideMark/>
          </w:tcPr>
          <w:p w14:paraId="1D7D15C5"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5,262,895</w:t>
            </w:r>
          </w:p>
        </w:tc>
      </w:tr>
      <w:tr w:rsidR="00716130" w:rsidRPr="006D732D" w14:paraId="0BC7FED3" w14:textId="77777777" w:rsidTr="00BE6725">
        <w:trPr>
          <w:trHeight w:val="315"/>
          <w:jc w:val="center"/>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E4AEE5" w14:textId="77777777" w:rsidR="00716130" w:rsidRPr="006D732D" w:rsidRDefault="00716130" w:rsidP="00695CEC">
            <w:pPr>
              <w:jc w:val="center"/>
              <w:rPr>
                <w:rFonts w:ascii="Arial" w:hAnsi="Arial" w:cs="Arial"/>
                <w:color w:val="000000"/>
                <w:lang w:val="en-GB" w:bidi="hi-IN"/>
              </w:rPr>
            </w:pPr>
            <w:r w:rsidRPr="006D732D">
              <w:rPr>
                <w:rFonts w:ascii="Arial" w:hAnsi="Arial" w:cs="Arial"/>
                <w:color w:val="000000"/>
                <w:lang w:val="en-GB" w:bidi="hi-IN"/>
              </w:rPr>
              <w:t>15</w:t>
            </w:r>
          </w:p>
        </w:tc>
        <w:tc>
          <w:tcPr>
            <w:tcW w:w="1197" w:type="pct"/>
            <w:tcBorders>
              <w:top w:val="single" w:sz="4" w:space="0" w:color="auto"/>
              <w:left w:val="single" w:sz="4" w:space="0" w:color="auto"/>
              <w:bottom w:val="single" w:sz="4" w:space="0" w:color="auto"/>
              <w:right w:val="single" w:sz="4" w:space="0" w:color="auto"/>
            </w:tcBorders>
            <w:shd w:val="clear" w:color="auto" w:fill="auto"/>
            <w:hideMark/>
          </w:tcPr>
          <w:p w14:paraId="62167DE0"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669,393</w:t>
            </w:r>
          </w:p>
        </w:tc>
        <w:tc>
          <w:tcPr>
            <w:tcW w:w="1287" w:type="pct"/>
            <w:tcBorders>
              <w:top w:val="single" w:sz="4" w:space="0" w:color="auto"/>
              <w:left w:val="single" w:sz="4" w:space="0" w:color="auto"/>
              <w:bottom w:val="single" w:sz="4" w:space="0" w:color="auto"/>
              <w:right w:val="single" w:sz="4" w:space="0" w:color="auto"/>
            </w:tcBorders>
            <w:shd w:val="clear" w:color="auto" w:fill="auto"/>
            <w:hideMark/>
          </w:tcPr>
          <w:p w14:paraId="13E7EFCA"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508,579</w:t>
            </w:r>
          </w:p>
        </w:tc>
        <w:tc>
          <w:tcPr>
            <w:tcW w:w="1502" w:type="pct"/>
            <w:tcBorders>
              <w:top w:val="single" w:sz="4" w:space="0" w:color="auto"/>
              <w:left w:val="single" w:sz="4" w:space="0" w:color="auto"/>
              <w:bottom w:val="single" w:sz="4" w:space="0" w:color="auto"/>
              <w:right w:val="single" w:sz="4" w:space="0" w:color="auto"/>
            </w:tcBorders>
            <w:shd w:val="clear" w:color="auto" w:fill="auto"/>
            <w:hideMark/>
          </w:tcPr>
          <w:p w14:paraId="43E6E40F"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4,593,501</w:t>
            </w:r>
          </w:p>
        </w:tc>
      </w:tr>
      <w:tr w:rsidR="00716130" w:rsidRPr="006D732D" w14:paraId="577FE25C" w14:textId="77777777" w:rsidTr="00BE6725">
        <w:trPr>
          <w:trHeight w:val="315"/>
          <w:jc w:val="center"/>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87A34C" w14:textId="77777777" w:rsidR="00716130" w:rsidRPr="006D732D" w:rsidRDefault="00716130" w:rsidP="00695CEC">
            <w:pPr>
              <w:jc w:val="center"/>
              <w:rPr>
                <w:rFonts w:ascii="Arial" w:hAnsi="Arial" w:cs="Arial"/>
                <w:color w:val="000000"/>
                <w:lang w:val="en-GB" w:bidi="hi-IN"/>
              </w:rPr>
            </w:pPr>
            <w:r w:rsidRPr="006D732D">
              <w:rPr>
                <w:rFonts w:ascii="Arial" w:hAnsi="Arial" w:cs="Arial"/>
                <w:color w:val="000000"/>
                <w:lang w:val="en-GB" w:bidi="hi-IN"/>
              </w:rPr>
              <w:t>16</w:t>
            </w:r>
          </w:p>
        </w:tc>
        <w:tc>
          <w:tcPr>
            <w:tcW w:w="1197" w:type="pct"/>
            <w:tcBorders>
              <w:top w:val="single" w:sz="4" w:space="0" w:color="auto"/>
              <w:left w:val="single" w:sz="4" w:space="0" w:color="auto"/>
              <w:bottom w:val="single" w:sz="4" w:space="0" w:color="auto"/>
              <w:right w:val="single" w:sz="4" w:space="0" w:color="auto"/>
            </w:tcBorders>
            <w:shd w:val="clear" w:color="auto" w:fill="auto"/>
            <w:hideMark/>
          </w:tcPr>
          <w:p w14:paraId="78904863"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741,323</w:t>
            </w:r>
          </w:p>
        </w:tc>
        <w:tc>
          <w:tcPr>
            <w:tcW w:w="1287" w:type="pct"/>
            <w:tcBorders>
              <w:top w:val="single" w:sz="4" w:space="0" w:color="auto"/>
              <w:left w:val="single" w:sz="4" w:space="0" w:color="auto"/>
              <w:bottom w:val="single" w:sz="4" w:space="0" w:color="auto"/>
              <w:right w:val="single" w:sz="4" w:space="0" w:color="auto"/>
            </w:tcBorders>
            <w:shd w:val="clear" w:color="auto" w:fill="auto"/>
            <w:hideMark/>
          </w:tcPr>
          <w:p w14:paraId="5235FD7E"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436,649</w:t>
            </w:r>
          </w:p>
        </w:tc>
        <w:tc>
          <w:tcPr>
            <w:tcW w:w="1502" w:type="pct"/>
            <w:tcBorders>
              <w:top w:val="single" w:sz="4" w:space="0" w:color="auto"/>
              <w:left w:val="single" w:sz="4" w:space="0" w:color="auto"/>
              <w:bottom w:val="single" w:sz="4" w:space="0" w:color="auto"/>
              <w:right w:val="single" w:sz="4" w:space="0" w:color="auto"/>
            </w:tcBorders>
            <w:shd w:val="clear" w:color="auto" w:fill="auto"/>
            <w:hideMark/>
          </w:tcPr>
          <w:p w14:paraId="7C4AAA9A"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3,852,178</w:t>
            </w:r>
          </w:p>
        </w:tc>
      </w:tr>
      <w:tr w:rsidR="00716130" w:rsidRPr="006D732D" w14:paraId="1A2B66AD" w14:textId="77777777" w:rsidTr="00BE6725">
        <w:trPr>
          <w:trHeight w:val="315"/>
          <w:jc w:val="center"/>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1BCC8B" w14:textId="77777777" w:rsidR="00716130" w:rsidRPr="006D732D" w:rsidRDefault="00716130" w:rsidP="00695CEC">
            <w:pPr>
              <w:jc w:val="center"/>
              <w:rPr>
                <w:rFonts w:ascii="Arial" w:hAnsi="Arial" w:cs="Arial"/>
                <w:color w:val="000000"/>
                <w:lang w:val="en-GB" w:bidi="hi-IN"/>
              </w:rPr>
            </w:pPr>
            <w:r w:rsidRPr="006D732D">
              <w:rPr>
                <w:rFonts w:ascii="Arial" w:hAnsi="Arial" w:cs="Arial"/>
                <w:color w:val="000000"/>
                <w:lang w:val="en-GB" w:bidi="hi-IN"/>
              </w:rPr>
              <w:t>17</w:t>
            </w:r>
          </w:p>
        </w:tc>
        <w:tc>
          <w:tcPr>
            <w:tcW w:w="1197" w:type="pct"/>
            <w:tcBorders>
              <w:top w:val="single" w:sz="4" w:space="0" w:color="auto"/>
              <w:left w:val="single" w:sz="4" w:space="0" w:color="auto"/>
              <w:bottom w:val="single" w:sz="4" w:space="0" w:color="auto"/>
              <w:right w:val="single" w:sz="4" w:space="0" w:color="auto"/>
            </w:tcBorders>
            <w:shd w:val="clear" w:color="auto" w:fill="auto"/>
            <w:hideMark/>
          </w:tcPr>
          <w:p w14:paraId="2582EAA2"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820,982</w:t>
            </w:r>
          </w:p>
        </w:tc>
        <w:tc>
          <w:tcPr>
            <w:tcW w:w="1287" w:type="pct"/>
            <w:tcBorders>
              <w:top w:val="single" w:sz="4" w:space="0" w:color="auto"/>
              <w:left w:val="single" w:sz="4" w:space="0" w:color="auto"/>
              <w:bottom w:val="single" w:sz="4" w:space="0" w:color="auto"/>
              <w:right w:val="single" w:sz="4" w:space="0" w:color="auto"/>
            </w:tcBorders>
            <w:shd w:val="clear" w:color="auto" w:fill="auto"/>
            <w:hideMark/>
          </w:tcPr>
          <w:p w14:paraId="2A6FFF2D"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356,990</w:t>
            </w:r>
          </w:p>
        </w:tc>
        <w:tc>
          <w:tcPr>
            <w:tcW w:w="1502" w:type="pct"/>
            <w:tcBorders>
              <w:top w:val="single" w:sz="4" w:space="0" w:color="auto"/>
              <w:left w:val="single" w:sz="4" w:space="0" w:color="auto"/>
              <w:bottom w:val="single" w:sz="4" w:space="0" w:color="auto"/>
              <w:right w:val="single" w:sz="4" w:space="0" w:color="auto"/>
            </w:tcBorders>
            <w:shd w:val="clear" w:color="auto" w:fill="auto"/>
            <w:hideMark/>
          </w:tcPr>
          <w:p w14:paraId="259D2F46"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3,031,196</w:t>
            </w:r>
          </w:p>
        </w:tc>
      </w:tr>
      <w:tr w:rsidR="00716130" w:rsidRPr="006D732D" w14:paraId="26517774" w14:textId="77777777" w:rsidTr="00BE6725">
        <w:trPr>
          <w:trHeight w:val="315"/>
          <w:jc w:val="center"/>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0EB0F3" w14:textId="77777777" w:rsidR="00716130" w:rsidRPr="006D732D" w:rsidRDefault="00716130" w:rsidP="00695CEC">
            <w:pPr>
              <w:jc w:val="center"/>
              <w:rPr>
                <w:rFonts w:ascii="Arial" w:hAnsi="Arial" w:cs="Arial"/>
                <w:color w:val="000000"/>
                <w:lang w:val="en-GB" w:bidi="hi-IN"/>
              </w:rPr>
            </w:pPr>
            <w:r w:rsidRPr="006D732D">
              <w:rPr>
                <w:rFonts w:ascii="Arial" w:hAnsi="Arial" w:cs="Arial"/>
                <w:color w:val="000000"/>
                <w:lang w:val="en-GB" w:bidi="hi-IN"/>
              </w:rPr>
              <w:t>18</w:t>
            </w:r>
          </w:p>
        </w:tc>
        <w:tc>
          <w:tcPr>
            <w:tcW w:w="1197" w:type="pct"/>
            <w:tcBorders>
              <w:top w:val="single" w:sz="4" w:space="0" w:color="auto"/>
              <w:left w:val="single" w:sz="4" w:space="0" w:color="auto"/>
              <w:bottom w:val="single" w:sz="4" w:space="0" w:color="auto"/>
              <w:right w:val="single" w:sz="4" w:space="0" w:color="auto"/>
            </w:tcBorders>
            <w:shd w:val="clear" w:color="auto" w:fill="auto"/>
            <w:hideMark/>
          </w:tcPr>
          <w:p w14:paraId="64A7134C"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909,201</w:t>
            </w:r>
          </w:p>
        </w:tc>
        <w:tc>
          <w:tcPr>
            <w:tcW w:w="1287" w:type="pct"/>
            <w:tcBorders>
              <w:top w:val="single" w:sz="4" w:space="0" w:color="auto"/>
              <w:left w:val="single" w:sz="4" w:space="0" w:color="auto"/>
              <w:bottom w:val="single" w:sz="4" w:space="0" w:color="auto"/>
              <w:right w:val="single" w:sz="4" w:space="0" w:color="auto"/>
            </w:tcBorders>
            <w:shd w:val="clear" w:color="auto" w:fill="auto"/>
            <w:hideMark/>
          </w:tcPr>
          <w:p w14:paraId="789C2D36"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268,771</w:t>
            </w:r>
          </w:p>
        </w:tc>
        <w:tc>
          <w:tcPr>
            <w:tcW w:w="1502" w:type="pct"/>
            <w:tcBorders>
              <w:top w:val="single" w:sz="4" w:space="0" w:color="auto"/>
              <w:left w:val="single" w:sz="4" w:space="0" w:color="auto"/>
              <w:bottom w:val="single" w:sz="4" w:space="0" w:color="auto"/>
              <w:right w:val="single" w:sz="4" w:space="0" w:color="auto"/>
            </w:tcBorders>
            <w:shd w:val="clear" w:color="auto" w:fill="auto"/>
            <w:hideMark/>
          </w:tcPr>
          <w:p w14:paraId="1A7F7252"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2,121,995</w:t>
            </w:r>
          </w:p>
        </w:tc>
      </w:tr>
      <w:tr w:rsidR="00716130" w:rsidRPr="006D732D" w14:paraId="290EF2C0" w14:textId="77777777" w:rsidTr="00BE6725">
        <w:trPr>
          <w:trHeight w:val="315"/>
          <w:jc w:val="center"/>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605171" w14:textId="77777777" w:rsidR="00716130" w:rsidRPr="006D732D" w:rsidRDefault="00716130" w:rsidP="00695CEC">
            <w:pPr>
              <w:jc w:val="center"/>
              <w:rPr>
                <w:rFonts w:ascii="Arial" w:hAnsi="Arial" w:cs="Arial"/>
                <w:color w:val="000000"/>
                <w:lang w:val="en-GB" w:bidi="hi-IN"/>
              </w:rPr>
            </w:pPr>
            <w:r w:rsidRPr="006D732D">
              <w:rPr>
                <w:rFonts w:ascii="Arial" w:hAnsi="Arial" w:cs="Arial"/>
                <w:color w:val="000000"/>
                <w:lang w:val="en-GB" w:bidi="hi-IN"/>
              </w:rPr>
              <w:t>19</w:t>
            </w:r>
          </w:p>
        </w:tc>
        <w:tc>
          <w:tcPr>
            <w:tcW w:w="1197" w:type="pct"/>
            <w:tcBorders>
              <w:top w:val="single" w:sz="4" w:space="0" w:color="auto"/>
              <w:left w:val="single" w:sz="4" w:space="0" w:color="auto"/>
              <w:bottom w:val="single" w:sz="4" w:space="0" w:color="auto"/>
              <w:right w:val="single" w:sz="4" w:space="0" w:color="auto"/>
            </w:tcBorders>
            <w:shd w:val="clear" w:color="auto" w:fill="auto"/>
            <w:hideMark/>
          </w:tcPr>
          <w:p w14:paraId="70212DA5"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1,006,899</w:t>
            </w:r>
          </w:p>
        </w:tc>
        <w:tc>
          <w:tcPr>
            <w:tcW w:w="1287" w:type="pct"/>
            <w:tcBorders>
              <w:top w:val="single" w:sz="4" w:space="0" w:color="auto"/>
              <w:left w:val="single" w:sz="4" w:space="0" w:color="auto"/>
              <w:bottom w:val="single" w:sz="4" w:space="0" w:color="auto"/>
              <w:right w:val="single" w:sz="4" w:space="0" w:color="auto"/>
            </w:tcBorders>
            <w:shd w:val="clear" w:color="auto" w:fill="auto"/>
            <w:hideMark/>
          </w:tcPr>
          <w:p w14:paraId="43E10BBA"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171,073</w:t>
            </w:r>
          </w:p>
        </w:tc>
        <w:tc>
          <w:tcPr>
            <w:tcW w:w="1502" w:type="pct"/>
            <w:tcBorders>
              <w:top w:val="single" w:sz="4" w:space="0" w:color="auto"/>
              <w:left w:val="single" w:sz="4" w:space="0" w:color="auto"/>
              <w:bottom w:val="single" w:sz="4" w:space="0" w:color="auto"/>
              <w:right w:val="single" w:sz="4" w:space="0" w:color="auto"/>
            </w:tcBorders>
            <w:shd w:val="clear" w:color="auto" w:fill="auto"/>
            <w:hideMark/>
          </w:tcPr>
          <w:p w14:paraId="2B8BB0EB"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1,115,096</w:t>
            </w:r>
          </w:p>
        </w:tc>
      </w:tr>
      <w:tr w:rsidR="00716130" w:rsidRPr="006D732D" w14:paraId="58C22AEC" w14:textId="77777777" w:rsidTr="00BE6725">
        <w:trPr>
          <w:trHeight w:val="330"/>
          <w:jc w:val="center"/>
        </w:trPr>
        <w:tc>
          <w:tcPr>
            <w:tcW w:w="10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837F40" w14:textId="77777777" w:rsidR="00716130" w:rsidRPr="006D732D" w:rsidRDefault="00716130" w:rsidP="00695CEC">
            <w:pPr>
              <w:jc w:val="center"/>
              <w:rPr>
                <w:rFonts w:ascii="Arial" w:hAnsi="Arial" w:cs="Arial"/>
                <w:color w:val="000000"/>
                <w:lang w:val="en-GB" w:bidi="hi-IN"/>
              </w:rPr>
            </w:pPr>
            <w:r w:rsidRPr="006D732D">
              <w:rPr>
                <w:rFonts w:ascii="Arial" w:hAnsi="Arial" w:cs="Arial"/>
                <w:color w:val="000000"/>
                <w:lang w:val="en-GB" w:bidi="hi-IN"/>
              </w:rPr>
              <w:t>20</w:t>
            </w:r>
          </w:p>
        </w:tc>
        <w:tc>
          <w:tcPr>
            <w:tcW w:w="1197" w:type="pct"/>
            <w:tcBorders>
              <w:top w:val="single" w:sz="4" w:space="0" w:color="auto"/>
              <w:left w:val="single" w:sz="4" w:space="0" w:color="auto"/>
              <w:bottom w:val="single" w:sz="4" w:space="0" w:color="auto"/>
              <w:right w:val="single" w:sz="4" w:space="0" w:color="auto"/>
            </w:tcBorders>
            <w:shd w:val="clear" w:color="auto" w:fill="auto"/>
            <w:hideMark/>
          </w:tcPr>
          <w:p w14:paraId="78B5895F"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1,115,096</w:t>
            </w:r>
          </w:p>
        </w:tc>
        <w:tc>
          <w:tcPr>
            <w:tcW w:w="1287" w:type="pct"/>
            <w:tcBorders>
              <w:top w:val="single" w:sz="4" w:space="0" w:color="auto"/>
              <w:left w:val="single" w:sz="4" w:space="0" w:color="auto"/>
              <w:bottom w:val="single" w:sz="4" w:space="0" w:color="auto"/>
              <w:right w:val="single" w:sz="4" w:space="0" w:color="auto"/>
            </w:tcBorders>
            <w:shd w:val="clear" w:color="auto" w:fill="auto"/>
            <w:hideMark/>
          </w:tcPr>
          <w:p w14:paraId="6763FA85"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62,876</w:t>
            </w:r>
          </w:p>
        </w:tc>
        <w:tc>
          <w:tcPr>
            <w:tcW w:w="1502" w:type="pct"/>
            <w:tcBorders>
              <w:top w:val="single" w:sz="4" w:space="0" w:color="auto"/>
              <w:left w:val="single" w:sz="4" w:space="0" w:color="auto"/>
              <w:bottom w:val="single" w:sz="4" w:space="0" w:color="auto"/>
              <w:right w:val="single" w:sz="4" w:space="0" w:color="auto"/>
            </w:tcBorders>
            <w:shd w:val="clear" w:color="auto" w:fill="auto"/>
            <w:hideMark/>
          </w:tcPr>
          <w:p w14:paraId="018EA7A6" w14:textId="77777777" w:rsidR="00716130" w:rsidRPr="006D732D" w:rsidRDefault="00716130" w:rsidP="009A2543">
            <w:pPr>
              <w:jc w:val="right"/>
              <w:rPr>
                <w:rFonts w:ascii="Arial" w:hAnsi="Arial" w:cs="Arial"/>
                <w:color w:val="000000"/>
                <w:lang w:val="en-GB" w:bidi="hi-IN"/>
              </w:rPr>
            </w:pPr>
            <w:r w:rsidRPr="006D732D">
              <w:rPr>
                <w:rFonts w:ascii="Arial" w:hAnsi="Arial" w:cs="Arial"/>
                <w:color w:val="000000"/>
                <w:lang w:val="en-GB" w:bidi="hi-IN"/>
              </w:rPr>
              <w:t>0</w:t>
            </w:r>
          </w:p>
        </w:tc>
      </w:tr>
    </w:tbl>
    <w:p w14:paraId="2BF5929A" w14:textId="77777777" w:rsidR="00AA7332" w:rsidRPr="006D732D" w:rsidRDefault="00AA7332" w:rsidP="00AA7332">
      <w:pPr>
        <w:pStyle w:val="Footnote"/>
        <w:rPr>
          <w:lang w:val="en-GB"/>
        </w:rPr>
      </w:pPr>
    </w:p>
    <w:p w14:paraId="0705EE59" w14:textId="2BCECD86" w:rsidR="00716130" w:rsidRPr="006D732D" w:rsidRDefault="00716130" w:rsidP="00AA7332">
      <w:pPr>
        <w:pStyle w:val="Footnote"/>
        <w:rPr>
          <w:lang w:val="en-GB"/>
        </w:rPr>
      </w:pPr>
      <w:r w:rsidRPr="006D732D">
        <w:rPr>
          <w:lang w:val="en-GB"/>
        </w:rPr>
        <w:t xml:space="preserve">Source: HDFC, </w:t>
      </w:r>
      <w:r w:rsidR="00B4788B" w:rsidRPr="006D732D">
        <w:rPr>
          <w:lang w:val="en-GB"/>
        </w:rPr>
        <w:t>“H</w:t>
      </w:r>
      <w:r w:rsidRPr="006D732D">
        <w:rPr>
          <w:lang w:val="en-GB"/>
        </w:rPr>
        <w:t>ome</w:t>
      </w:r>
      <w:r w:rsidR="00B4788B" w:rsidRPr="006D732D">
        <w:rPr>
          <w:lang w:val="en-GB"/>
        </w:rPr>
        <w:t xml:space="preserve"> L</w:t>
      </w:r>
      <w:r w:rsidRPr="006D732D">
        <w:rPr>
          <w:lang w:val="en-GB"/>
        </w:rPr>
        <w:t>oan</w:t>
      </w:r>
      <w:r w:rsidR="00B4788B" w:rsidRPr="006D732D">
        <w:rPr>
          <w:lang w:val="en-GB"/>
        </w:rPr>
        <w:t xml:space="preserve"> EMI C</w:t>
      </w:r>
      <w:r w:rsidRPr="006D732D">
        <w:rPr>
          <w:lang w:val="en-GB"/>
        </w:rPr>
        <w:t>alculator,</w:t>
      </w:r>
      <w:r w:rsidR="00B4788B" w:rsidRPr="006D732D">
        <w:rPr>
          <w:lang w:val="en-GB"/>
        </w:rPr>
        <w:t>”</w:t>
      </w:r>
      <w:r w:rsidRPr="006D732D">
        <w:rPr>
          <w:lang w:val="en-GB"/>
        </w:rPr>
        <w:t xml:space="preserve"> accessed Dec</w:t>
      </w:r>
      <w:r w:rsidR="00B4788B" w:rsidRPr="006D732D">
        <w:rPr>
          <w:lang w:val="en-GB"/>
        </w:rPr>
        <w:t>ember</w:t>
      </w:r>
      <w:r w:rsidRPr="006D732D">
        <w:rPr>
          <w:lang w:val="en-GB"/>
        </w:rPr>
        <w:t xml:space="preserve"> 20, 2016, https://www.hdfc.com/home-loan-emi-calculator</w:t>
      </w:r>
      <w:r w:rsidR="00AA7332" w:rsidRPr="006D732D">
        <w:rPr>
          <w:lang w:val="en-GB"/>
        </w:rPr>
        <w:t>.</w:t>
      </w:r>
    </w:p>
    <w:sectPr w:rsidR="00716130" w:rsidRPr="006D732D"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5A9D0" w14:textId="77777777" w:rsidR="00673730" w:rsidRDefault="00673730" w:rsidP="00D75295">
      <w:r>
        <w:separator/>
      </w:r>
    </w:p>
  </w:endnote>
  <w:endnote w:type="continuationSeparator" w:id="0">
    <w:p w14:paraId="4E9DA4F9" w14:textId="77777777" w:rsidR="00673730" w:rsidRDefault="0067373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F2E82" w14:textId="77777777" w:rsidR="00673730" w:rsidRDefault="00673730" w:rsidP="00D75295">
      <w:r>
        <w:separator/>
      </w:r>
    </w:p>
  </w:footnote>
  <w:footnote w:type="continuationSeparator" w:id="0">
    <w:p w14:paraId="1427CD05" w14:textId="77777777" w:rsidR="00673730" w:rsidRDefault="00673730" w:rsidP="00D75295">
      <w:r>
        <w:continuationSeparator/>
      </w:r>
    </w:p>
  </w:footnote>
  <w:footnote w:id="1">
    <w:p w14:paraId="442AC91C" w14:textId="3983EDB5" w:rsidR="00695CEC" w:rsidRPr="009A2543" w:rsidRDefault="00695CEC" w:rsidP="005B473A">
      <w:pPr>
        <w:pStyle w:val="Footnote"/>
        <w:rPr>
          <w:lang w:val="en-CA"/>
        </w:rPr>
      </w:pPr>
      <w:r>
        <w:rPr>
          <w:rStyle w:val="FootnoteReference"/>
        </w:rPr>
        <w:footnoteRef/>
      </w:r>
      <w:r>
        <w:t xml:space="preserve"> </w:t>
      </w:r>
      <w:r>
        <w:rPr>
          <w:shd w:val="clear" w:color="auto" w:fill="FFFFFF"/>
        </w:rPr>
        <w:t>₹ = INR = Indian rupee;</w:t>
      </w:r>
      <w:r w:rsidR="005B473A">
        <w:rPr>
          <w:shd w:val="clear" w:color="auto" w:fill="FFFFFF"/>
        </w:rPr>
        <w:t xml:space="preserve"> All currency amounts are in INR unless otherwise specified;</w:t>
      </w:r>
      <w:r>
        <w:rPr>
          <w:shd w:val="clear" w:color="auto" w:fill="FFFFFF"/>
        </w:rPr>
        <w:t xml:space="preserve"> </w:t>
      </w:r>
      <w:r w:rsidR="005B473A">
        <w:rPr>
          <w:shd w:val="clear" w:color="auto" w:fill="FFFFFF"/>
        </w:rPr>
        <w:t>₹</w:t>
      </w:r>
      <w:r w:rsidR="005B473A">
        <w:rPr>
          <w:shd w:val="clear" w:color="auto" w:fill="FFFFFF"/>
        </w:rPr>
        <w:t xml:space="preserve">1 = US$0.02 </w:t>
      </w:r>
      <w:r>
        <w:rPr>
          <w:shd w:val="clear" w:color="auto" w:fill="FFFFFF"/>
        </w:rPr>
        <w:t>on January 31, 2016.</w:t>
      </w:r>
    </w:p>
  </w:footnote>
  <w:footnote w:id="2">
    <w:p w14:paraId="5A751E68" w14:textId="0C9279B4" w:rsidR="00695CEC" w:rsidRPr="00322B81" w:rsidRDefault="00695CEC" w:rsidP="005B473A">
      <w:pPr>
        <w:pStyle w:val="FootnoteText"/>
        <w:contextualSpacing/>
        <w:jc w:val="both"/>
        <w:rPr>
          <w:rFonts w:ascii="Arial" w:hAnsi="Arial" w:cs="Arial"/>
          <w:color w:val="000000" w:themeColor="text1"/>
          <w:sz w:val="17"/>
          <w:szCs w:val="17"/>
        </w:rPr>
      </w:pPr>
      <w:r w:rsidRPr="00322B81">
        <w:rPr>
          <w:rStyle w:val="FootnoteReference"/>
          <w:rFonts w:ascii="Arial" w:hAnsi="Arial" w:cs="Arial"/>
          <w:sz w:val="17"/>
          <w:szCs w:val="17"/>
        </w:rPr>
        <w:footnoteRef/>
      </w:r>
      <w:r w:rsidRPr="00322B81">
        <w:rPr>
          <w:rFonts w:ascii="Arial" w:hAnsi="Arial" w:cs="Arial"/>
          <w:sz w:val="17"/>
          <w:szCs w:val="17"/>
        </w:rPr>
        <w:t xml:space="preserve"> </w:t>
      </w:r>
      <w:r w:rsidRPr="0020487B">
        <w:rPr>
          <w:rFonts w:ascii="Arial" w:hAnsi="Arial" w:cs="Arial"/>
          <w:color w:val="000000" w:themeColor="text1"/>
          <w:sz w:val="17"/>
          <w:szCs w:val="17"/>
        </w:rPr>
        <w:t xml:space="preserve">Reserve Bank of India, </w:t>
      </w:r>
      <w:r w:rsidR="0020487B" w:rsidRPr="006A6755">
        <w:rPr>
          <w:rFonts w:ascii="Arial" w:hAnsi="Arial" w:cs="Arial"/>
          <w:i/>
          <w:color w:val="000000" w:themeColor="text1"/>
          <w:sz w:val="17"/>
          <w:szCs w:val="17"/>
        </w:rPr>
        <w:t>Recent Trends in Residential Property Prices in India: An Exploration Using Housing Loan Data</w:t>
      </w:r>
      <w:r w:rsidR="0020487B">
        <w:rPr>
          <w:rFonts w:ascii="Arial" w:hAnsi="Arial" w:cs="Arial"/>
          <w:color w:val="000000" w:themeColor="text1"/>
          <w:sz w:val="17"/>
          <w:szCs w:val="17"/>
        </w:rPr>
        <w:t>, May 17, 2015,</w:t>
      </w:r>
      <w:r w:rsidR="005B473A">
        <w:rPr>
          <w:rFonts w:ascii="Arial" w:hAnsi="Arial" w:cs="Arial"/>
          <w:color w:val="000000" w:themeColor="text1"/>
          <w:sz w:val="17"/>
          <w:szCs w:val="17"/>
        </w:rPr>
        <w:t xml:space="preserve"> 15,</w:t>
      </w:r>
      <w:r w:rsidR="0020487B">
        <w:rPr>
          <w:rFonts w:ascii="Arial" w:hAnsi="Arial" w:cs="Arial"/>
          <w:color w:val="000000" w:themeColor="text1"/>
          <w:sz w:val="17"/>
          <w:szCs w:val="17"/>
        </w:rPr>
        <w:t xml:space="preserve"> </w:t>
      </w:r>
      <w:r w:rsidRPr="0020487B">
        <w:rPr>
          <w:rFonts w:ascii="Arial" w:hAnsi="Arial" w:cs="Arial"/>
          <w:color w:val="000000" w:themeColor="text1"/>
          <w:sz w:val="17"/>
          <w:szCs w:val="17"/>
        </w:rPr>
        <w:t>accessed Dec</w:t>
      </w:r>
      <w:r w:rsidR="0020487B">
        <w:rPr>
          <w:rFonts w:ascii="Arial" w:hAnsi="Arial" w:cs="Arial"/>
          <w:color w:val="000000" w:themeColor="text1"/>
          <w:sz w:val="17"/>
          <w:szCs w:val="17"/>
        </w:rPr>
        <w:t>ember</w:t>
      </w:r>
      <w:r w:rsidRPr="0020487B">
        <w:rPr>
          <w:rFonts w:ascii="Arial" w:hAnsi="Arial" w:cs="Arial"/>
          <w:color w:val="000000" w:themeColor="text1"/>
          <w:sz w:val="17"/>
          <w:szCs w:val="17"/>
        </w:rPr>
        <w:t xml:space="preserve"> 20, 2016, </w:t>
      </w:r>
      <w:r w:rsidRPr="0020487B">
        <w:rPr>
          <w:rFonts w:ascii="Arial" w:hAnsi="Arial" w:cs="Arial"/>
          <w:sz w:val="17"/>
          <w:szCs w:val="17"/>
        </w:rPr>
        <w:t>https://rbi.org.in/scripts/PublicationsView.aspx?id=16223</w:t>
      </w:r>
      <w:r w:rsidR="005B473A">
        <w:rPr>
          <w:rFonts w:ascii="Arial" w:hAnsi="Arial" w:cs="Arial"/>
          <w:color w:val="000000" w:themeColor="text1"/>
          <w:sz w:val="17"/>
          <w:szCs w:val="17"/>
        </w:rPr>
        <w:t>.</w:t>
      </w:r>
    </w:p>
  </w:footnote>
  <w:footnote w:id="3">
    <w:p w14:paraId="5A1C72D8" w14:textId="7C20A6E7" w:rsidR="00695CEC" w:rsidRPr="00322B81" w:rsidRDefault="00695CEC" w:rsidP="005B473A">
      <w:pPr>
        <w:pStyle w:val="FootnoteText"/>
        <w:contextualSpacing/>
        <w:jc w:val="both"/>
        <w:rPr>
          <w:rFonts w:ascii="Arial" w:hAnsi="Arial" w:cs="Arial"/>
          <w:sz w:val="17"/>
          <w:szCs w:val="17"/>
        </w:rPr>
      </w:pPr>
      <w:r w:rsidRPr="00322B81">
        <w:rPr>
          <w:rStyle w:val="FootnoteReference"/>
          <w:rFonts w:ascii="Arial" w:hAnsi="Arial" w:cs="Arial"/>
          <w:sz w:val="17"/>
          <w:szCs w:val="17"/>
        </w:rPr>
        <w:footnoteRef/>
      </w:r>
      <w:r w:rsidRPr="00322B81">
        <w:rPr>
          <w:rFonts w:ascii="Arial" w:hAnsi="Arial" w:cs="Arial"/>
          <w:sz w:val="17"/>
          <w:szCs w:val="17"/>
        </w:rPr>
        <w:t xml:space="preserve"> </w:t>
      </w:r>
      <w:r w:rsidR="00B818F3">
        <w:rPr>
          <w:rFonts w:ascii="Arial" w:hAnsi="Arial" w:cs="Arial"/>
          <w:color w:val="000000" w:themeColor="text1"/>
          <w:sz w:val="17"/>
          <w:szCs w:val="17"/>
        </w:rPr>
        <w:t>Ibid</w:t>
      </w:r>
      <w:r w:rsidR="0020487B" w:rsidRPr="00671867">
        <w:rPr>
          <w:rFonts w:ascii="Arial" w:hAnsi="Arial" w:cs="Arial"/>
          <w:color w:val="000000" w:themeColor="text1"/>
          <w:sz w:val="17"/>
          <w:szCs w:val="17"/>
        </w:rPr>
        <w:t>.</w:t>
      </w:r>
    </w:p>
  </w:footnote>
  <w:footnote w:id="4">
    <w:p w14:paraId="106EAB01" w14:textId="7C11ECDA" w:rsidR="00695CEC" w:rsidRPr="00322B81" w:rsidRDefault="00695CEC" w:rsidP="005B473A">
      <w:pPr>
        <w:pStyle w:val="FootnoteText"/>
        <w:contextualSpacing/>
        <w:jc w:val="both"/>
        <w:rPr>
          <w:rFonts w:ascii="Arial" w:hAnsi="Arial" w:cs="Arial"/>
          <w:sz w:val="17"/>
          <w:szCs w:val="17"/>
        </w:rPr>
      </w:pPr>
      <w:r w:rsidRPr="00322B81">
        <w:rPr>
          <w:rStyle w:val="FootnoteReference"/>
          <w:rFonts w:ascii="Arial" w:hAnsi="Arial" w:cs="Arial"/>
          <w:sz w:val="17"/>
          <w:szCs w:val="17"/>
        </w:rPr>
        <w:footnoteRef/>
      </w:r>
      <w:r w:rsidRPr="00322B81">
        <w:rPr>
          <w:rFonts w:ascii="Arial" w:hAnsi="Arial" w:cs="Arial"/>
          <w:sz w:val="17"/>
          <w:szCs w:val="17"/>
        </w:rPr>
        <w:t xml:space="preserve"> </w:t>
      </w:r>
      <w:r w:rsidRPr="008A0865">
        <w:rPr>
          <w:rStyle w:val="FootnoteChar"/>
        </w:rPr>
        <w:t xml:space="preserve">Knight Frank, </w:t>
      </w:r>
      <w:r w:rsidR="0020487B" w:rsidRPr="006A6755">
        <w:rPr>
          <w:rStyle w:val="FootnoteChar"/>
          <w:i/>
        </w:rPr>
        <w:t>India Residential Investment Advisory</w:t>
      </w:r>
      <w:r w:rsidR="005B473A">
        <w:rPr>
          <w:rStyle w:val="FootnoteChar"/>
          <w:i/>
        </w:rPr>
        <w:t>—</w:t>
      </w:r>
      <w:r w:rsidR="0020487B" w:rsidRPr="006A6755">
        <w:rPr>
          <w:rStyle w:val="FootnoteChar"/>
          <w:i/>
        </w:rPr>
        <w:t>Report 2016</w:t>
      </w:r>
      <w:r w:rsidR="0020487B" w:rsidRPr="008A0865">
        <w:rPr>
          <w:rStyle w:val="FootnoteChar"/>
        </w:rPr>
        <w:t>,</w:t>
      </w:r>
      <w:r w:rsidR="005B473A">
        <w:rPr>
          <w:rStyle w:val="FootnoteChar"/>
        </w:rPr>
        <w:t xml:space="preserve"> </w:t>
      </w:r>
      <w:r w:rsidR="005B473A" w:rsidRPr="008A0865">
        <w:rPr>
          <w:rStyle w:val="FootnoteChar"/>
        </w:rPr>
        <w:t>6</w:t>
      </w:r>
      <w:r w:rsidR="005B473A">
        <w:rPr>
          <w:rStyle w:val="FootnoteChar"/>
        </w:rPr>
        <w:t>,</w:t>
      </w:r>
      <w:r w:rsidR="0020487B" w:rsidRPr="008A0865">
        <w:rPr>
          <w:rStyle w:val="FootnoteChar"/>
        </w:rPr>
        <w:t xml:space="preserve"> </w:t>
      </w:r>
      <w:r w:rsidRPr="008A0865">
        <w:rPr>
          <w:rStyle w:val="FootnoteChar"/>
        </w:rPr>
        <w:t>accessed Dec</w:t>
      </w:r>
      <w:r w:rsidR="0020487B" w:rsidRPr="008A0865">
        <w:rPr>
          <w:rStyle w:val="FootnoteChar"/>
        </w:rPr>
        <w:t>ember</w:t>
      </w:r>
      <w:r w:rsidRPr="008A0865">
        <w:rPr>
          <w:rStyle w:val="FootnoteChar"/>
        </w:rPr>
        <w:t xml:space="preserve"> 20, 2016, www.knightfrank.co.in/research/india-residential-investment-advisory-report-2016-3583.aspx</w:t>
      </w:r>
      <w:r w:rsidR="005B473A">
        <w:rPr>
          <w:rStyle w:val="FootnoteChar"/>
        </w:rPr>
        <w:t>.</w:t>
      </w:r>
    </w:p>
  </w:footnote>
  <w:footnote w:id="5">
    <w:p w14:paraId="115206E5" w14:textId="5BD59771" w:rsidR="00634983" w:rsidRPr="008A0865" w:rsidRDefault="00634983" w:rsidP="005B473A">
      <w:pPr>
        <w:pStyle w:val="FootnoteText"/>
        <w:contextualSpacing/>
        <w:jc w:val="both"/>
        <w:rPr>
          <w:rFonts w:ascii="Arial" w:hAnsi="Arial" w:cs="Arial"/>
          <w:sz w:val="17"/>
          <w:szCs w:val="17"/>
        </w:rPr>
      </w:pPr>
      <w:r w:rsidRPr="008A0865">
        <w:rPr>
          <w:rStyle w:val="FootnoteChar"/>
          <w:vertAlign w:val="superscript"/>
        </w:rPr>
        <w:footnoteRef/>
      </w:r>
      <w:r w:rsidRPr="008A0865">
        <w:rPr>
          <w:rStyle w:val="FootnoteChar"/>
        </w:rPr>
        <w:t xml:space="preserve"> Society charges </w:t>
      </w:r>
      <w:r w:rsidR="00B818F3">
        <w:rPr>
          <w:rStyle w:val="FootnoteChar"/>
        </w:rPr>
        <w:t>were</w:t>
      </w:r>
      <w:r w:rsidRPr="008A0865">
        <w:rPr>
          <w:rStyle w:val="FootnoteChar"/>
        </w:rPr>
        <w:t xml:space="preserve"> </w:t>
      </w:r>
      <w:r w:rsidR="008A0865">
        <w:rPr>
          <w:rStyle w:val="FootnoteChar"/>
        </w:rPr>
        <w:t xml:space="preserve">monthly maintenance </w:t>
      </w:r>
      <w:r w:rsidRPr="008A0865">
        <w:rPr>
          <w:rStyle w:val="FootnoteChar"/>
        </w:rPr>
        <w:t>fee</w:t>
      </w:r>
      <w:r w:rsidR="00B818F3">
        <w:rPr>
          <w:rStyle w:val="FootnoteChar"/>
        </w:rPr>
        <w:t>s</w:t>
      </w:r>
      <w:r w:rsidR="008A0865">
        <w:rPr>
          <w:rStyle w:val="FootnoteChar"/>
        </w:rPr>
        <w:t xml:space="preserve"> for the </w:t>
      </w:r>
      <w:r w:rsidRPr="008A0865">
        <w:rPr>
          <w:rStyle w:val="FootnoteChar"/>
        </w:rPr>
        <w:t xml:space="preserve">apartment for services such as </w:t>
      </w:r>
      <w:r w:rsidR="004C1B4C" w:rsidRPr="008A0865">
        <w:rPr>
          <w:rStyle w:val="FootnoteChar"/>
        </w:rPr>
        <w:t>parking, lifts, gardens</w:t>
      </w:r>
      <w:r w:rsidR="00B818F3">
        <w:rPr>
          <w:rStyle w:val="FootnoteChar"/>
        </w:rPr>
        <w:t>,</w:t>
      </w:r>
      <w:r w:rsidR="004C1B4C" w:rsidRPr="008A0865">
        <w:rPr>
          <w:rStyle w:val="FootnoteChar"/>
        </w:rPr>
        <w:t xml:space="preserve"> etc.</w:t>
      </w:r>
    </w:p>
  </w:footnote>
  <w:footnote w:id="6">
    <w:p w14:paraId="00A2F360" w14:textId="2AA040D4" w:rsidR="00695CEC" w:rsidRPr="00322B81" w:rsidRDefault="00695CEC" w:rsidP="005B473A">
      <w:pPr>
        <w:pStyle w:val="FootnoteText"/>
        <w:jc w:val="both"/>
        <w:rPr>
          <w:rFonts w:ascii="Arial" w:hAnsi="Arial" w:cs="Arial"/>
          <w:sz w:val="17"/>
          <w:szCs w:val="17"/>
        </w:rPr>
      </w:pPr>
      <w:r w:rsidRPr="005B473A">
        <w:rPr>
          <w:rStyle w:val="FootnoteChar"/>
          <w:vertAlign w:val="superscript"/>
        </w:rPr>
        <w:footnoteRef/>
      </w:r>
      <w:r w:rsidRPr="006A20BD">
        <w:rPr>
          <w:color w:val="000000" w:themeColor="text1"/>
        </w:rPr>
        <w:t xml:space="preserve"> </w:t>
      </w:r>
      <w:r w:rsidR="00B4788B">
        <w:rPr>
          <w:rFonts w:ascii="Arial" w:hAnsi="Arial" w:cs="Arial"/>
          <w:sz w:val="17"/>
          <w:szCs w:val="17"/>
        </w:rPr>
        <w:t>“</w:t>
      </w:r>
      <w:r w:rsidRPr="00322B81">
        <w:rPr>
          <w:rFonts w:ascii="Arial" w:hAnsi="Arial" w:cs="Arial"/>
          <w:sz w:val="17"/>
          <w:szCs w:val="17"/>
        </w:rPr>
        <w:t xml:space="preserve">Decoding </w:t>
      </w:r>
      <w:r w:rsidR="00B4788B">
        <w:rPr>
          <w:rFonts w:ascii="Arial" w:hAnsi="Arial" w:cs="Arial"/>
          <w:sz w:val="17"/>
          <w:szCs w:val="17"/>
        </w:rPr>
        <w:t>T</w:t>
      </w:r>
      <w:r w:rsidRPr="00322B81">
        <w:rPr>
          <w:rFonts w:ascii="Arial" w:hAnsi="Arial" w:cs="Arial"/>
          <w:sz w:val="17"/>
          <w:szCs w:val="17"/>
        </w:rPr>
        <w:t xml:space="preserve">ax </w:t>
      </w:r>
      <w:r w:rsidR="00B4788B">
        <w:rPr>
          <w:rFonts w:ascii="Arial" w:hAnsi="Arial" w:cs="Arial"/>
          <w:sz w:val="17"/>
          <w:szCs w:val="17"/>
        </w:rPr>
        <w:t>B</w:t>
      </w:r>
      <w:r w:rsidRPr="00322B81">
        <w:rPr>
          <w:rFonts w:ascii="Arial" w:hAnsi="Arial" w:cs="Arial"/>
          <w:sz w:val="17"/>
          <w:szCs w:val="17"/>
        </w:rPr>
        <w:t xml:space="preserve">enefits on </w:t>
      </w:r>
      <w:r w:rsidR="00B4788B">
        <w:rPr>
          <w:rFonts w:ascii="Arial" w:hAnsi="Arial" w:cs="Arial"/>
          <w:sz w:val="17"/>
          <w:szCs w:val="17"/>
        </w:rPr>
        <w:t>I</w:t>
      </w:r>
      <w:r w:rsidRPr="00322B81">
        <w:rPr>
          <w:rFonts w:ascii="Arial" w:hAnsi="Arial" w:cs="Arial"/>
          <w:sz w:val="17"/>
          <w:szCs w:val="17"/>
        </w:rPr>
        <w:t>nterest on Home Loan,</w:t>
      </w:r>
      <w:r w:rsidR="00B4788B">
        <w:rPr>
          <w:rFonts w:ascii="Arial" w:hAnsi="Arial" w:cs="Arial"/>
          <w:sz w:val="17"/>
          <w:szCs w:val="17"/>
        </w:rPr>
        <w:t>”</w:t>
      </w:r>
      <w:r w:rsidRPr="00322B81">
        <w:rPr>
          <w:rFonts w:ascii="Arial" w:hAnsi="Arial" w:cs="Arial"/>
          <w:sz w:val="17"/>
          <w:szCs w:val="17"/>
        </w:rPr>
        <w:t xml:space="preserve"> </w:t>
      </w:r>
      <w:r w:rsidR="0020487B">
        <w:rPr>
          <w:rFonts w:ascii="Arial" w:hAnsi="Arial" w:cs="Arial"/>
          <w:sz w:val="17"/>
          <w:szCs w:val="17"/>
        </w:rPr>
        <w:t>Firstpost</w:t>
      </w:r>
      <w:r w:rsidR="00B818F3">
        <w:rPr>
          <w:rFonts w:ascii="Arial" w:hAnsi="Arial" w:cs="Arial"/>
          <w:sz w:val="17"/>
          <w:szCs w:val="17"/>
        </w:rPr>
        <w:t xml:space="preserve"> blog post</w:t>
      </w:r>
      <w:r w:rsidR="0020487B">
        <w:rPr>
          <w:rFonts w:ascii="Arial" w:hAnsi="Arial" w:cs="Arial"/>
          <w:sz w:val="17"/>
          <w:szCs w:val="17"/>
        </w:rPr>
        <w:t xml:space="preserve">, </w:t>
      </w:r>
      <w:r w:rsidRPr="00322B81">
        <w:rPr>
          <w:rFonts w:ascii="Arial" w:hAnsi="Arial" w:cs="Arial"/>
          <w:sz w:val="17"/>
          <w:szCs w:val="17"/>
        </w:rPr>
        <w:t>July 21, 2015, accessed Dec</w:t>
      </w:r>
      <w:r w:rsidR="0020487B">
        <w:rPr>
          <w:rFonts w:ascii="Arial" w:hAnsi="Arial" w:cs="Arial"/>
          <w:sz w:val="17"/>
          <w:szCs w:val="17"/>
        </w:rPr>
        <w:t>ember</w:t>
      </w:r>
      <w:r w:rsidRPr="00322B81">
        <w:rPr>
          <w:rFonts w:ascii="Arial" w:hAnsi="Arial" w:cs="Arial"/>
          <w:sz w:val="17"/>
          <w:szCs w:val="17"/>
        </w:rPr>
        <w:t xml:space="preserve"> 20, 2016, www.firstpost.com/blogs/decoding-tax-benefits-interest-home-loan-2345838.html.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62DA8" w14:textId="276BB1B5" w:rsidR="00695CEC" w:rsidRDefault="00695CEC"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B282D">
      <w:rPr>
        <w:rFonts w:ascii="Arial" w:hAnsi="Arial"/>
        <w:b/>
        <w:noProof/>
      </w:rPr>
      <w:t>4</w:t>
    </w:r>
    <w:r>
      <w:rPr>
        <w:rFonts w:ascii="Arial" w:hAnsi="Arial"/>
        <w:b/>
      </w:rPr>
      <w:fldChar w:fldCharType="end"/>
    </w:r>
    <w:r>
      <w:rPr>
        <w:rFonts w:ascii="Arial" w:hAnsi="Arial"/>
        <w:b/>
      </w:rPr>
      <w:tab/>
    </w:r>
    <w:r w:rsidR="008A0865">
      <w:rPr>
        <w:rFonts w:ascii="Arial" w:hAnsi="Arial"/>
        <w:b/>
      </w:rPr>
      <w:t>9B17N</w:t>
    </w:r>
    <w:r w:rsidR="006A6755">
      <w:rPr>
        <w:rFonts w:ascii="Arial" w:hAnsi="Arial"/>
        <w:b/>
      </w:rPr>
      <w:t>016</w:t>
    </w:r>
  </w:p>
  <w:p w14:paraId="5AC24053" w14:textId="77777777" w:rsidR="00695CEC" w:rsidRPr="00C92CC4" w:rsidRDefault="00695CEC">
    <w:pPr>
      <w:pStyle w:val="Header"/>
      <w:rPr>
        <w:sz w:val="18"/>
        <w:szCs w:val="18"/>
      </w:rPr>
    </w:pPr>
  </w:p>
  <w:p w14:paraId="692A9621" w14:textId="77777777" w:rsidR="00695CEC" w:rsidRPr="00C92CC4" w:rsidRDefault="00695CEC">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44ECC"/>
    <w:rsid w:val="000531D3"/>
    <w:rsid w:val="0005646B"/>
    <w:rsid w:val="0008102D"/>
    <w:rsid w:val="00094C0E"/>
    <w:rsid w:val="000C629B"/>
    <w:rsid w:val="000F0C22"/>
    <w:rsid w:val="000F5787"/>
    <w:rsid w:val="000F6B09"/>
    <w:rsid w:val="000F6FDC"/>
    <w:rsid w:val="00104567"/>
    <w:rsid w:val="0012732D"/>
    <w:rsid w:val="00154FC9"/>
    <w:rsid w:val="00180440"/>
    <w:rsid w:val="0019241A"/>
    <w:rsid w:val="001A5335"/>
    <w:rsid w:val="001A752D"/>
    <w:rsid w:val="00203AA1"/>
    <w:rsid w:val="0020487B"/>
    <w:rsid w:val="00213E98"/>
    <w:rsid w:val="00261122"/>
    <w:rsid w:val="00265984"/>
    <w:rsid w:val="002D79C9"/>
    <w:rsid w:val="002E32F0"/>
    <w:rsid w:val="002F460C"/>
    <w:rsid w:val="002F48D6"/>
    <w:rsid w:val="00354899"/>
    <w:rsid w:val="00355FD6"/>
    <w:rsid w:val="00361C8E"/>
    <w:rsid w:val="00364A5C"/>
    <w:rsid w:val="00373FB1"/>
    <w:rsid w:val="00393517"/>
    <w:rsid w:val="003B30D8"/>
    <w:rsid w:val="003B3D71"/>
    <w:rsid w:val="003B7EF2"/>
    <w:rsid w:val="003C3FA4"/>
    <w:rsid w:val="003F2B0C"/>
    <w:rsid w:val="004221E4"/>
    <w:rsid w:val="00471088"/>
    <w:rsid w:val="00475CFF"/>
    <w:rsid w:val="00483AF9"/>
    <w:rsid w:val="0049408C"/>
    <w:rsid w:val="00495D74"/>
    <w:rsid w:val="004B1CCB"/>
    <w:rsid w:val="004C1B4C"/>
    <w:rsid w:val="004D73A5"/>
    <w:rsid w:val="004F6651"/>
    <w:rsid w:val="004F79FF"/>
    <w:rsid w:val="005276E5"/>
    <w:rsid w:val="00532CF5"/>
    <w:rsid w:val="005528CB"/>
    <w:rsid w:val="00566771"/>
    <w:rsid w:val="005677E8"/>
    <w:rsid w:val="005770B7"/>
    <w:rsid w:val="00581E2E"/>
    <w:rsid w:val="00584F15"/>
    <w:rsid w:val="005A33D3"/>
    <w:rsid w:val="005B473A"/>
    <w:rsid w:val="005C68D5"/>
    <w:rsid w:val="006163F7"/>
    <w:rsid w:val="00634983"/>
    <w:rsid w:val="00652606"/>
    <w:rsid w:val="00673730"/>
    <w:rsid w:val="00682754"/>
    <w:rsid w:val="00695CEC"/>
    <w:rsid w:val="006A58A9"/>
    <w:rsid w:val="006A606D"/>
    <w:rsid w:val="006A6755"/>
    <w:rsid w:val="006B282D"/>
    <w:rsid w:val="006B5940"/>
    <w:rsid w:val="006B7F7A"/>
    <w:rsid w:val="006C0371"/>
    <w:rsid w:val="006C08B6"/>
    <w:rsid w:val="006C0B1A"/>
    <w:rsid w:val="006C3B3C"/>
    <w:rsid w:val="006C4384"/>
    <w:rsid w:val="006C6065"/>
    <w:rsid w:val="006C7F9F"/>
    <w:rsid w:val="006D732D"/>
    <w:rsid w:val="006E2F6D"/>
    <w:rsid w:val="006E58F6"/>
    <w:rsid w:val="006E77E1"/>
    <w:rsid w:val="006F131D"/>
    <w:rsid w:val="006F1D9E"/>
    <w:rsid w:val="00716130"/>
    <w:rsid w:val="00717F21"/>
    <w:rsid w:val="007315DF"/>
    <w:rsid w:val="0074761D"/>
    <w:rsid w:val="00752BCD"/>
    <w:rsid w:val="00766DA1"/>
    <w:rsid w:val="007866A6"/>
    <w:rsid w:val="0079428B"/>
    <w:rsid w:val="007A130D"/>
    <w:rsid w:val="007C42D3"/>
    <w:rsid w:val="007D4102"/>
    <w:rsid w:val="007D50EC"/>
    <w:rsid w:val="007E5921"/>
    <w:rsid w:val="008146CF"/>
    <w:rsid w:val="00821FFC"/>
    <w:rsid w:val="008271CA"/>
    <w:rsid w:val="008467D5"/>
    <w:rsid w:val="00856D9F"/>
    <w:rsid w:val="00866F6D"/>
    <w:rsid w:val="00882687"/>
    <w:rsid w:val="00884B2A"/>
    <w:rsid w:val="0089536C"/>
    <w:rsid w:val="00897A7E"/>
    <w:rsid w:val="008A0865"/>
    <w:rsid w:val="008A4DC4"/>
    <w:rsid w:val="009067A4"/>
    <w:rsid w:val="0090722E"/>
    <w:rsid w:val="009340DB"/>
    <w:rsid w:val="00945560"/>
    <w:rsid w:val="00945F9E"/>
    <w:rsid w:val="00972498"/>
    <w:rsid w:val="00974CC6"/>
    <w:rsid w:val="00976AD4"/>
    <w:rsid w:val="00996F35"/>
    <w:rsid w:val="009A2543"/>
    <w:rsid w:val="009A312F"/>
    <w:rsid w:val="009A5348"/>
    <w:rsid w:val="009A67BB"/>
    <w:rsid w:val="009C65AC"/>
    <w:rsid w:val="009C76D5"/>
    <w:rsid w:val="009E2BBF"/>
    <w:rsid w:val="009E5DF1"/>
    <w:rsid w:val="009F020A"/>
    <w:rsid w:val="009F4F96"/>
    <w:rsid w:val="009F7AA4"/>
    <w:rsid w:val="00A131E9"/>
    <w:rsid w:val="00A274A3"/>
    <w:rsid w:val="00A340D7"/>
    <w:rsid w:val="00A559DB"/>
    <w:rsid w:val="00A811B6"/>
    <w:rsid w:val="00AA3C9D"/>
    <w:rsid w:val="00AA7332"/>
    <w:rsid w:val="00AD3E81"/>
    <w:rsid w:val="00AF35FC"/>
    <w:rsid w:val="00B03639"/>
    <w:rsid w:val="00B0652A"/>
    <w:rsid w:val="00B224F0"/>
    <w:rsid w:val="00B3757D"/>
    <w:rsid w:val="00B40937"/>
    <w:rsid w:val="00B423EF"/>
    <w:rsid w:val="00B453DE"/>
    <w:rsid w:val="00B4742F"/>
    <w:rsid w:val="00B4788B"/>
    <w:rsid w:val="00B71C61"/>
    <w:rsid w:val="00B818F3"/>
    <w:rsid w:val="00B901F9"/>
    <w:rsid w:val="00BD6EFB"/>
    <w:rsid w:val="00BE6725"/>
    <w:rsid w:val="00C015B9"/>
    <w:rsid w:val="00C15BE2"/>
    <w:rsid w:val="00C22219"/>
    <w:rsid w:val="00C32075"/>
    <w:rsid w:val="00C3447F"/>
    <w:rsid w:val="00C81491"/>
    <w:rsid w:val="00C81676"/>
    <w:rsid w:val="00C92CC4"/>
    <w:rsid w:val="00CA0AFB"/>
    <w:rsid w:val="00CA2CE1"/>
    <w:rsid w:val="00CA3976"/>
    <w:rsid w:val="00CA757B"/>
    <w:rsid w:val="00CB6B09"/>
    <w:rsid w:val="00CC1787"/>
    <w:rsid w:val="00CC182C"/>
    <w:rsid w:val="00CD0824"/>
    <w:rsid w:val="00CD16C0"/>
    <w:rsid w:val="00CD2908"/>
    <w:rsid w:val="00CF25DD"/>
    <w:rsid w:val="00CF3236"/>
    <w:rsid w:val="00CF4FE6"/>
    <w:rsid w:val="00D03A82"/>
    <w:rsid w:val="00D15344"/>
    <w:rsid w:val="00D15458"/>
    <w:rsid w:val="00D31BEC"/>
    <w:rsid w:val="00D41573"/>
    <w:rsid w:val="00D41EE9"/>
    <w:rsid w:val="00D63150"/>
    <w:rsid w:val="00D64A32"/>
    <w:rsid w:val="00D64EFC"/>
    <w:rsid w:val="00D75295"/>
    <w:rsid w:val="00D76CE9"/>
    <w:rsid w:val="00D97F12"/>
    <w:rsid w:val="00DB42E7"/>
    <w:rsid w:val="00DC15D4"/>
    <w:rsid w:val="00DC3AE5"/>
    <w:rsid w:val="00DC70D5"/>
    <w:rsid w:val="00DD3C0E"/>
    <w:rsid w:val="00DF3106"/>
    <w:rsid w:val="00DF32C2"/>
    <w:rsid w:val="00E027F0"/>
    <w:rsid w:val="00E06E84"/>
    <w:rsid w:val="00E23242"/>
    <w:rsid w:val="00E34971"/>
    <w:rsid w:val="00E471A7"/>
    <w:rsid w:val="00E57868"/>
    <w:rsid w:val="00E635CF"/>
    <w:rsid w:val="00EB5410"/>
    <w:rsid w:val="00EC6E0A"/>
    <w:rsid w:val="00ED4E18"/>
    <w:rsid w:val="00EE1F37"/>
    <w:rsid w:val="00F0159C"/>
    <w:rsid w:val="00F060E7"/>
    <w:rsid w:val="00F0639A"/>
    <w:rsid w:val="00F105B7"/>
    <w:rsid w:val="00F158C8"/>
    <w:rsid w:val="00F17A21"/>
    <w:rsid w:val="00F50E91"/>
    <w:rsid w:val="00F57D29"/>
    <w:rsid w:val="00F8292B"/>
    <w:rsid w:val="00F92A99"/>
    <w:rsid w:val="00F96201"/>
    <w:rsid w:val="00FA193D"/>
    <w:rsid w:val="00FC30E9"/>
    <w:rsid w:val="00FC4576"/>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3A50F94"/>
  <w15:docId w15:val="{66015DB6-5D0D-4CA2-8419-F007A78A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E031929-6388-4725-9A57-4B4BC10AAA74}">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8E3F3B1-CB68-43F5-9EC0-8779024E4931}">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E19E0-8F42-4E3E-9D2C-D43A0D21C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4</cp:revision>
  <cp:lastPrinted>2017-07-26T14:31:00Z</cp:lastPrinted>
  <dcterms:created xsi:type="dcterms:W3CDTF">2017-07-19T15:45:00Z</dcterms:created>
  <dcterms:modified xsi:type="dcterms:W3CDTF">2017-07-26T14:32:00Z</dcterms:modified>
</cp:coreProperties>
</file>