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A48E1" w14:textId="3BBF2FF1" w:rsidR="008467D5" w:rsidRPr="003519B9" w:rsidRDefault="00F83DEA" w:rsidP="00013360">
      <w:pPr>
        <w:tabs>
          <w:tab w:val="left" w:pos="-1440"/>
          <w:tab w:val="left" w:pos="-720"/>
          <w:tab w:val="left" w:pos="1"/>
          <w:tab w:val="right" w:pos="9360"/>
        </w:tabs>
        <w:jc w:val="both"/>
        <w:rPr>
          <w:rFonts w:ascii="Arial" w:hAnsi="Arial"/>
          <w:sz w:val="24"/>
          <w:lang w:val="en-GB"/>
        </w:rPr>
      </w:pPr>
      <w:r w:rsidRPr="00A569EA">
        <w:rPr>
          <w:rFonts w:ascii="Arial" w:hAnsi="Arial"/>
          <w:b/>
          <w:noProof/>
          <w:sz w:val="24"/>
        </w:rPr>
        <w:drawing>
          <wp:inline distT="0" distB="0" distL="0" distR="0" wp14:anchorId="309EF9AF" wp14:editId="5DDD6CD7">
            <wp:extent cx="2613804" cy="551245"/>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BB296BE" w14:textId="77777777" w:rsidR="00856D9F" w:rsidRPr="003519B9"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4D4DC6AC" w14:textId="4AEEC10F" w:rsidR="00D75295" w:rsidRPr="003519B9" w:rsidRDefault="00381B2D" w:rsidP="00F105B7">
      <w:pPr>
        <w:pStyle w:val="ProductNumber"/>
        <w:rPr>
          <w:lang w:val="en-GB"/>
        </w:rPr>
      </w:pPr>
      <w:r w:rsidRPr="003519B9">
        <w:rPr>
          <w:lang w:val="en-GB"/>
        </w:rPr>
        <w:t>9B17N</w:t>
      </w:r>
      <w:r w:rsidR="008C1264">
        <w:rPr>
          <w:lang w:val="en-GB"/>
        </w:rPr>
        <w:t>017</w:t>
      </w:r>
    </w:p>
    <w:p w14:paraId="3BCB918C" w14:textId="77777777" w:rsidR="00D75295" w:rsidRPr="003519B9" w:rsidRDefault="00D75295" w:rsidP="00D75295">
      <w:pPr>
        <w:jc w:val="right"/>
        <w:rPr>
          <w:rFonts w:ascii="Arial" w:hAnsi="Arial"/>
          <w:b/>
          <w:sz w:val="28"/>
          <w:szCs w:val="28"/>
          <w:lang w:val="en-GB"/>
        </w:rPr>
      </w:pPr>
    </w:p>
    <w:p w14:paraId="0B9B7244" w14:textId="77777777" w:rsidR="00866F6D" w:rsidRPr="003519B9" w:rsidRDefault="00866F6D" w:rsidP="00D75295">
      <w:pPr>
        <w:jc w:val="right"/>
        <w:rPr>
          <w:rFonts w:ascii="Arial" w:hAnsi="Arial"/>
          <w:b/>
          <w:sz w:val="28"/>
          <w:szCs w:val="28"/>
          <w:lang w:val="en-GB"/>
        </w:rPr>
      </w:pPr>
    </w:p>
    <w:p w14:paraId="657B5C57" w14:textId="77777777" w:rsidR="00013360" w:rsidRPr="003519B9" w:rsidRDefault="002235D2" w:rsidP="00013360">
      <w:pPr>
        <w:pStyle w:val="CaseTitle"/>
        <w:spacing w:after="0" w:line="240" w:lineRule="auto"/>
        <w:rPr>
          <w:lang w:val="en-GB"/>
        </w:rPr>
      </w:pPr>
      <w:r w:rsidRPr="003519B9">
        <w:rPr>
          <w:lang w:val="en-GB"/>
        </w:rPr>
        <w:t>NAVA BHARAT: ENERGY SOLUTIONS FOR INDIA</w:t>
      </w:r>
    </w:p>
    <w:p w14:paraId="489253F1" w14:textId="77777777" w:rsidR="00013360" w:rsidRPr="003519B9" w:rsidRDefault="00013360" w:rsidP="00013360">
      <w:pPr>
        <w:pStyle w:val="CaseTitle"/>
        <w:spacing w:after="0" w:line="240" w:lineRule="auto"/>
        <w:rPr>
          <w:sz w:val="20"/>
          <w:szCs w:val="20"/>
          <w:lang w:val="en-GB"/>
        </w:rPr>
      </w:pPr>
    </w:p>
    <w:p w14:paraId="30AB1254" w14:textId="77777777" w:rsidR="00CA3976" w:rsidRPr="003519B9" w:rsidRDefault="00CA3976" w:rsidP="00013360">
      <w:pPr>
        <w:pStyle w:val="CaseTitle"/>
        <w:spacing w:after="0" w:line="240" w:lineRule="auto"/>
        <w:rPr>
          <w:sz w:val="20"/>
          <w:szCs w:val="20"/>
          <w:lang w:val="en-GB"/>
        </w:rPr>
      </w:pPr>
    </w:p>
    <w:p w14:paraId="2DEAE8D3" w14:textId="77777777" w:rsidR="00013360" w:rsidRPr="003519B9" w:rsidRDefault="00013360" w:rsidP="00013360">
      <w:pPr>
        <w:pStyle w:val="CaseTitle"/>
        <w:spacing w:after="0" w:line="240" w:lineRule="auto"/>
        <w:rPr>
          <w:sz w:val="20"/>
          <w:szCs w:val="20"/>
          <w:lang w:val="en-GB"/>
        </w:rPr>
      </w:pPr>
    </w:p>
    <w:p w14:paraId="27F2A4FF" w14:textId="3B423903" w:rsidR="00013360" w:rsidRPr="003519B9" w:rsidRDefault="002235D2" w:rsidP="00104567">
      <w:pPr>
        <w:pStyle w:val="StyleCopyrightStatementAfter0ptBottomSinglesolidline1"/>
        <w:rPr>
          <w:lang w:val="en-GB"/>
        </w:rPr>
      </w:pPr>
      <w:r w:rsidRPr="003519B9">
        <w:rPr>
          <w:lang w:val="en-GB"/>
        </w:rPr>
        <w:t>Maram Srikanth and Palanisamy Saravanan</w:t>
      </w:r>
      <w:r w:rsidR="00D15F5A" w:rsidRPr="003519B9">
        <w:rPr>
          <w:lang w:val="en-GB"/>
        </w:rPr>
        <w:t xml:space="preserve"> </w:t>
      </w:r>
      <w:r w:rsidR="007E5921" w:rsidRPr="003519B9">
        <w:rPr>
          <w:lang w:val="en-GB"/>
        </w:rPr>
        <w:t>wrote this case sol</w:t>
      </w:r>
      <w:r w:rsidR="00D75295" w:rsidRPr="003519B9">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22B082E9" w14:textId="77777777" w:rsidR="00013360" w:rsidRDefault="00013360" w:rsidP="00104567">
      <w:pPr>
        <w:pStyle w:val="StyleCopyrightStatementAfter0ptBottomSinglesolidline1"/>
        <w:rPr>
          <w:lang w:val="en-GB"/>
        </w:rPr>
      </w:pPr>
    </w:p>
    <w:p w14:paraId="508C6C26" w14:textId="77777777" w:rsidR="00F83DEA" w:rsidRPr="00F83DEA" w:rsidRDefault="00F83DEA" w:rsidP="00F83DEA">
      <w:pPr>
        <w:pStyle w:val="StyleStyleCopyrightStatementAfter0ptBottomSinglesolid"/>
        <w:rPr>
          <w:lang w:val="en-GB"/>
        </w:rPr>
      </w:pPr>
      <w:r w:rsidRPr="00F83DEA">
        <w:rPr>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14:paraId="361DDE33" w14:textId="77777777" w:rsidR="00F83DEA" w:rsidRPr="00F83DEA" w:rsidRDefault="00F83DEA" w:rsidP="00F83DEA">
      <w:pPr>
        <w:pStyle w:val="StyleStyleCopyrightStatementAfter0ptBottomSinglesolid"/>
        <w:rPr>
          <w:lang w:val="en-GB"/>
        </w:rPr>
      </w:pPr>
    </w:p>
    <w:p w14:paraId="5BC7F2F6" w14:textId="570C506F" w:rsidR="003B7EF2" w:rsidRPr="003519B9" w:rsidRDefault="00F83DEA" w:rsidP="00F83DEA">
      <w:pPr>
        <w:pStyle w:val="StyleStyleCopyrightStatementAfter0ptBottomSinglesolid"/>
        <w:rPr>
          <w:lang w:val="en-GB"/>
        </w:rPr>
      </w:pPr>
      <w:r w:rsidRPr="00F83DEA">
        <w:rPr>
          <w:lang w:val="en-GB"/>
        </w:rPr>
        <w:t>Copyright © 2017, Richard Ivey School of Business Foundation</w:t>
      </w:r>
      <w:r w:rsidRPr="00F83DEA">
        <w:rPr>
          <w:lang w:val="en-GB"/>
        </w:rPr>
        <w:tab/>
        <w:t xml:space="preserve">Version: </w:t>
      </w:r>
      <w:r w:rsidR="00AB28B6">
        <w:rPr>
          <w:lang w:val="en-GB"/>
        </w:rPr>
        <w:t>2017-07-</w:t>
      </w:r>
      <w:r w:rsidR="00D143CE">
        <w:rPr>
          <w:lang w:val="en-GB"/>
        </w:rPr>
        <w:t>31</w:t>
      </w:r>
    </w:p>
    <w:p w14:paraId="20C0B3DE" w14:textId="77777777" w:rsidR="003B7EF2" w:rsidRPr="003519B9" w:rsidRDefault="003B7EF2" w:rsidP="00104567">
      <w:pPr>
        <w:pStyle w:val="StyleCopyrightStatementAfter0ptBottomSinglesolidline1"/>
        <w:rPr>
          <w:rFonts w:ascii="Times New Roman" w:hAnsi="Times New Roman"/>
          <w:sz w:val="20"/>
          <w:lang w:val="en-GB"/>
        </w:rPr>
      </w:pPr>
    </w:p>
    <w:p w14:paraId="1BC0FFBA" w14:textId="77777777" w:rsidR="003B7EF2" w:rsidRPr="003519B9" w:rsidRDefault="003B7EF2" w:rsidP="006F1D9E">
      <w:pPr>
        <w:pStyle w:val="Footnote"/>
        <w:rPr>
          <w:lang w:val="en-GB"/>
        </w:rPr>
      </w:pPr>
    </w:p>
    <w:p w14:paraId="561F3F43" w14:textId="77777777" w:rsidR="00AC75C1" w:rsidRPr="003519B9" w:rsidRDefault="00242175" w:rsidP="00242175">
      <w:pPr>
        <w:pStyle w:val="BodyTextMain"/>
        <w:rPr>
          <w:lang w:val="en-GB"/>
        </w:rPr>
      </w:pPr>
      <w:r w:rsidRPr="003519B9">
        <w:rPr>
          <w:lang w:val="en-GB"/>
        </w:rPr>
        <w:t>On June 30, 2009, Nava Bharat Energy India Limited (NBEIL) proposed t</w:t>
      </w:r>
      <w:r w:rsidR="00F862ED" w:rsidRPr="003519B9">
        <w:rPr>
          <w:lang w:val="en-GB"/>
        </w:rPr>
        <w:t>he</w:t>
      </w:r>
      <w:r w:rsidRPr="003519B9">
        <w:rPr>
          <w:lang w:val="en-GB"/>
        </w:rPr>
        <w:t xml:space="preserve"> setup </w:t>
      </w:r>
      <w:r w:rsidR="00F862ED" w:rsidRPr="003519B9">
        <w:rPr>
          <w:lang w:val="en-GB"/>
        </w:rPr>
        <w:t xml:space="preserve">of </w:t>
      </w:r>
      <w:r w:rsidRPr="003519B9">
        <w:rPr>
          <w:lang w:val="en-GB"/>
        </w:rPr>
        <w:t>two coal-fired power projects: one in Paloncha, Khammam District (150 megawatts)</w:t>
      </w:r>
      <w:r w:rsidR="00A00264" w:rsidRPr="003519B9">
        <w:rPr>
          <w:lang w:val="en-GB"/>
        </w:rPr>
        <w:t>,</w:t>
      </w:r>
      <w:r w:rsidRPr="003519B9">
        <w:rPr>
          <w:lang w:val="en-GB"/>
        </w:rPr>
        <w:t xml:space="preserve"> and another in Dharmavaram, East Godavari District (150 megawatts), Andhra Pradesh. </w:t>
      </w:r>
      <w:r w:rsidR="00A00264" w:rsidRPr="003519B9">
        <w:rPr>
          <w:lang w:val="en-GB"/>
        </w:rPr>
        <w:t>The s</w:t>
      </w:r>
      <w:r w:rsidRPr="003519B9">
        <w:rPr>
          <w:lang w:val="en-GB"/>
        </w:rPr>
        <w:t xml:space="preserve">ites of these projects were located adjacent to the existing power plants of Nava Bharat Ventures Limited (NBVL), parent company of NBEIL, a renowned industrial group based in South India. </w:t>
      </w:r>
    </w:p>
    <w:p w14:paraId="07CACC21" w14:textId="77777777" w:rsidR="00AC75C1" w:rsidRPr="003519B9" w:rsidRDefault="00AC75C1" w:rsidP="00242175">
      <w:pPr>
        <w:pStyle w:val="BodyTextMain"/>
        <w:rPr>
          <w:lang w:val="en-GB"/>
        </w:rPr>
      </w:pPr>
    </w:p>
    <w:p w14:paraId="0A05B8DA" w14:textId="575235DA" w:rsidR="0028127C" w:rsidRPr="003519B9" w:rsidRDefault="00242175" w:rsidP="00242175">
      <w:pPr>
        <w:pStyle w:val="BodyTextMain"/>
        <w:rPr>
          <w:rFonts w:eastAsia="Calibri"/>
          <w:lang w:val="en-GB"/>
        </w:rPr>
      </w:pPr>
      <w:r w:rsidRPr="003519B9">
        <w:rPr>
          <w:rFonts w:eastAsia="Calibri"/>
          <w:lang w:val="en-GB"/>
        </w:rPr>
        <w:t xml:space="preserve">NBEIL approached Srinivasan Sridhar, </w:t>
      </w:r>
      <w:r w:rsidR="00A00264" w:rsidRPr="003519B9">
        <w:rPr>
          <w:rFonts w:eastAsia="Calibri"/>
          <w:lang w:val="en-GB"/>
        </w:rPr>
        <w:t>p</w:t>
      </w:r>
      <w:r w:rsidRPr="003519B9">
        <w:rPr>
          <w:rFonts w:eastAsia="Calibri"/>
          <w:lang w:val="en-GB"/>
        </w:rPr>
        <w:t>resident</w:t>
      </w:r>
      <w:r w:rsidR="00575A61" w:rsidRPr="003519B9">
        <w:rPr>
          <w:rFonts w:eastAsia="Calibri"/>
          <w:lang w:val="en-GB"/>
        </w:rPr>
        <w:t xml:space="preserve"> of </w:t>
      </w:r>
      <w:r w:rsidRPr="003519B9">
        <w:rPr>
          <w:rFonts w:eastAsia="Calibri"/>
          <w:lang w:val="en-GB"/>
        </w:rPr>
        <w:t>Development Bank Limited</w:t>
      </w:r>
      <w:r w:rsidR="00A00264" w:rsidRPr="003519B9">
        <w:rPr>
          <w:rFonts w:eastAsia="Calibri"/>
          <w:lang w:val="en-GB"/>
        </w:rPr>
        <w:t>,</w:t>
      </w:r>
      <w:r w:rsidRPr="003519B9">
        <w:rPr>
          <w:rFonts w:eastAsia="Calibri"/>
          <w:lang w:val="en-GB"/>
        </w:rPr>
        <w:t xml:space="preserve"> to arrange a term loan of </w:t>
      </w:r>
      <w:r w:rsidRPr="003519B9">
        <w:rPr>
          <w:rFonts w:ascii="Tahoma" w:hAnsi="Tahoma" w:cs="Tahoma"/>
          <w:sz w:val="20"/>
          <w:szCs w:val="20"/>
          <w:lang w:val="en-GB"/>
        </w:rPr>
        <w:t>₹</w:t>
      </w:r>
      <w:r w:rsidRPr="003519B9">
        <w:rPr>
          <w:rFonts w:eastAsia="Calibri"/>
          <w:lang w:val="en-GB"/>
        </w:rPr>
        <w:t>9.70 billion</w:t>
      </w:r>
      <w:r w:rsidR="0028127C" w:rsidRPr="003519B9">
        <w:rPr>
          <w:rStyle w:val="FootnoteReference"/>
          <w:rFonts w:eastAsia="Calibri"/>
          <w:lang w:val="en-GB"/>
        </w:rPr>
        <w:footnoteReference w:id="1"/>
      </w:r>
      <w:r w:rsidR="00575A61" w:rsidRPr="003519B9">
        <w:rPr>
          <w:rFonts w:eastAsia="Calibri"/>
          <w:lang w:val="en-GB"/>
        </w:rPr>
        <w:t xml:space="preserve"> </w:t>
      </w:r>
      <w:r w:rsidR="0028127C" w:rsidRPr="003519B9">
        <w:rPr>
          <w:rFonts w:eastAsia="Calibri"/>
          <w:lang w:val="en-GB"/>
        </w:rPr>
        <w:t>through</w:t>
      </w:r>
      <w:r w:rsidR="00D15F5A" w:rsidRPr="003519B9">
        <w:rPr>
          <w:rFonts w:eastAsia="Calibri"/>
          <w:lang w:val="en-GB"/>
        </w:rPr>
        <w:t xml:space="preserve"> </w:t>
      </w:r>
      <w:r w:rsidR="0028127C" w:rsidRPr="003519B9">
        <w:rPr>
          <w:rFonts w:eastAsia="Calibri"/>
          <w:lang w:val="en-GB"/>
        </w:rPr>
        <w:t xml:space="preserve">project financing under </w:t>
      </w:r>
      <w:r w:rsidR="00A00264" w:rsidRPr="003519B9">
        <w:rPr>
          <w:rFonts w:eastAsia="Calibri"/>
          <w:lang w:val="en-GB"/>
        </w:rPr>
        <w:t xml:space="preserve">a </w:t>
      </w:r>
      <w:r w:rsidR="0028127C" w:rsidRPr="003519B9">
        <w:rPr>
          <w:rFonts w:eastAsia="Calibri"/>
          <w:lang w:val="en-GB"/>
        </w:rPr>
        <w:t xml:space="preserve">syndication </w:t>
      </w:r>
      <w:r w:rsidR="00503318" w:rsidRPr="003519B9">
        <w:rPr>
          <w:rFonts w:eastAsia="Calibri"/>
          <w:lang w:val="en-GB"/>
        </w:rPr>
        <w:t>strategy</w:t>
      </w:r>
      <w:r w:rsidR="00A00264" w:rsidRPr="003519B9">
        <w:rPr>
          <w:rFonts w:eastAsia="Calibri"/>
          <w:lang w:val="en-GB"/>
        </w:rPr>
        <w:t>.</w:t>
      </w:r>
      <w:r w:rsidR="0028127C" w:rsidRPr="003519B9">
        <w:rPr>
          <w:rStyle w:val="FootnoteReference"/>
          <w:rFonts w:eastAsia="Calibri"/>
          <w:lang w:val="en-GB"/>
        </w:rPr>
        <w:footnoteReference w:id="2"/>
      </w:r>
      <w:r w:rsidR="00575A61" w:rsidRPr="003519B9">
        <w:rPr>
          <w:rFonts w:eastAsia="Calibri"/>
          <w:lang w:val="en-GB"/>
        </w:rPr>
        <w:t xml:space="preserve"> </w:t>
      </w:r>
      <w:r w:rsidR="00D7325B" w:rsidRPr="003519B9">
        <w:rPr>
          <w:rFonts w:eastAsia="Calibri"/>
          <w:lang w:val="en-GB"/>
        </w:rPr>
        <w:t>T</w:t>
      </w:r>
      <w:r w:rsidR="00A17606" w:rsidRPr="003519B9">
        <w:rPr>
          <w:rFonts w:eastAsia="Calibri"/>
          <w:lang w:val="en-GB"/>
        </w:rPr>
        <w:t xml:space="preserve">he banker would have to evaluate whether </w:t>
      </w:r>
      <w:r w:rsidR="0028127C" w:rsidRPr="003519B9">
        <w:rPr>
          <w:rFonts w:eastAsia="Calibri"/>
          <w:lang w:val="en-GB"/>
        </w:rPr>
        <w:t xml:space="preserve">project financing </w:t>
      </w:r>
      <w:r w:rsidR="00A17606" w:rsidRPr="003519B9">
        <w:rPr>
          <w:rFonts w:eastAsia="Calibri"/>
          <w:lang w:val="en-GB"/>
        </w:rPr>
        <w:t xml:space="preserve">would be </w:t>
      </w:r>
      <w:r w:rsidR="00575A61" w:rsidRPr="003519B9">
        <w:rPr>
          <w:rFonts w:eastAsia="Calibri"/>
          <w:lang w:val="en-GB"/>
        </w:rPr>
        <w:t xml:space="preserve">a </w:t>
      </w:r>
      <w:r w:rsidR="00A17606" w:rsidRPr="003519B9">
        <w:rPr>
          <w:rFonts w:eastAsia="Calibri"/>
          <w:lang w:val="en-GB"/>
        </w:rPr>
        <w:t xml:space="preserve">suitable lending instrument </w:t>
      </w:r>
      <w:r w:rsidR="0028127C" w:rsidRPr="003519B9">
        <w:rPr>
          <w:rFonts w:eastAsia="Calibri"/>
          <w:lang w:val="en-GB"/>
        </w:rPr>
        <w:t>for these projects</w:t>
      </w:r>
      <w:r w:rsidR="00A17606" w:rsidRPr="003519B9">
        <w:rPr>
          <w:rFonts w:eastAsia="Calibri"/>
          <w:lang w:val="en-GB"/>
        </w:rPr>
        <w:t>, and i</w:t>
      </w:r>
      <w:r w:rsidR="0028127C" w:rsidRPr="003519B9">
        <w:rPr>
          <w:rFonts w:eastAsia="Calibri"/>
          <w:lang w:val="en-GB"/>
        </w:rPr>
        <w:t xml:space="preserve">f so, what </w:t>
      </w:r>
      <w:r w:rsidR="00F862ED" w:rsidRPr="003519B9">
        <w:rPr>
          <w:rFonts w:eastAsia="Calibri"/>
          <w:lang w:val="en-GB"/>
        </w:rPr>
        <w:t>w</w:t>
      </w:r>
      <w:r w:rsidR="0028127C" w:rsidRPr="003519B9">
        <w:rPr>
          <w:rFonts w:eastAsia="Calibri"/>
          <w:lang w:val="en-GB"/>
        </w:rPr>
        <w:t xml:space="preserve">ould be the </w:t>
      </w:r>
      <w:r w:rsidR="00F862ED" w:rsidRPr="003519B9">
        <w:rPr>
          <w:rFonts w:eastAsia="Calibri"/>
          <w:lang w:val="en-GB"/>
        </w:rPr>
        <w:t>potential</w:t>
      </w:r>
      <w:r w:rsidR="00D15F5A" w:rsidRPr="003519B9">
        <w:rPr>
          <w:rFonts w:eastAsia="Calibri"/>
          <w:lang w:val="en-GB"/>
        </w:rPr>
        <w:t xml:space="preserve"> </w:t>
      </w:r>
      <w:r w:rsidR="0028127C" w:rsidRPr="003519B9">
        <w:rPr>
          <w:rFonts w:eastAsia="Calibri"/>
          <w:lang w:val="en-GB"/>
        </w:rPr>
        <w:t xml:space="preserve">implications to </w:t>
      </w:r>
      <w:r w:rsidR="00A17606" w:rsidRPr="003519B9">
        <w:rPr>
          <w:rFonts w:eastAsia="Calibri"/>
          <w:lang w:val="en-GB"/>
        </w:rPr>
        <w:t xml:space="preserve">both </w:t>
      </w:r>
      <w:r w:rsidR="0028127C" w:rsidRPr="003519B9">
        <w:rPr>
          <w:rFonts w:eastAsia="Calibri"/>
          <w:lang w:val="en-GB"/>
        </w:rPr>
        <w:t xml:space="preserve">the lenders and </w:t>
      </w:r>
      <w:r w:rsidR="00A17606" w:rsidRPr="003519B9">
        <w:rPr>
          <w:rFonts w:eastAsia="Calibri"/>
          <w:lang w:val="en-GB"/>
        </w:rPr>
        <w:t>project owners</w:t>
      </w:r>
      <w:r w:rsidR="0028127C" w:rsidRPr="003519B9">
        <w:rPr>
          <w:rFonts w:eastAsia="Calibri"/>
          <w:lang w:val="en-GB"/>
        </w:rPr>
        <w:t>? Would it be wise to proceed to syndicate the term loan for the coal-fired power plants?</w:t>
      </w:r>
    </w:p>
    <w:p w14:paraId="189132C7" w14:textId="77777777" w:rsidR="0028127C" w:rsidRPr="003519B9" w:rsidRDefault="0028127C" w:rsidP="00242175">
      <w:pPr>
        <w:pStyle w:val="BodyTextMain"/>
        <w:rPr>
          <w:lang w:val="en-GB"/>
        </w:rPr>
      </w:pPr>
    </w:p>
    <w:p w14:paraId="1555BCE2" w14:textId="77777777" w:rsidR="0028127C" w:rsidRPr="003519B9" w:rsidRDefault="0028127C" w:rsidP="00242175">
      <w:pPr>
        <w:pStyle w:val="BodyTextMain"/>
        <w:rPr>
          <w:rFonts w:eastAsia="Calibri"/>
          <w:lang w:val="en-GB"/>
        </w:rPr>
      </w:pPr>
    </w:p>
    <w:p w14:paraId="153BF39C" w14:textId="77777777" w:rsidR="0028127C" w:rsidRPr="003519B9" w:rsidRDefault="008E6E36" w:rsidP="008A3BA2">
      <w:pPr>
        <w:pStyle w:val="Casehead1"/>
        <w:rPr>
          <w:lang w:val="en-GB"/>
        </w:rPr>
      </w:pPr>
      <w:r w:rsidRPr="003519B9">
        <w:rPr>
          <w:lang w:val="en-GB"/>
        </w:rPr>
        <w:t xml:space="preserve">Nava Bharat Ventures LImited: </w:t>
      </w:r>
      <w:r w:rsidR="00A00264" w:rsidRPr="003519B9">
        <w:rPr>
          <w:lang w:val="en-GB"/>
        </w:rPr>
        <w:t>company</w:t>
      </w:r>
      <w:r w:rsidR="0028127C" w:rsidRPr="003519B9">
        <w:rPr>
          <w:lang w:val="en-GB"/>
        </w:rPr>
        <w:t xml:space="preserve"> BACKGROUND</w:t>
      </w:r>
    </w:p>
    <w:p w14:paraId="37FD626B" w14:textId="77777777" w:rsidR="0028127C" w:rsidRPr="003519B9" w:rsidRDefault="0028127C" w:rsidP="00242175">
      <w:pPr>
        <w:pStyle w:val="BodyTextMain"/>
        <w:rPr>
          <w:lang w:val="en-GB"/>
        </w:rPr>
      </w:pPr>
    </w:p>
    <w:p w14:paraId="0EB565EF" w14:textId="75727F7E" w:rsidR="0028127C" w:rsidRPr="003519B9" w:rsidRDefault="0028127C" w:rsidP="00242175">
      <w:pPr>
        <w:pStyle w:val="BodyTextMain"/>
        <w:rPr>
          <w:lang w:val="en-GB"/>
        </w:rPr>
      </w:pPr>
      <w:r w:rsidRPr="003519B9">
        <w:rPr>
          <w:lang w:val="en-GB"/>
        </w:rPr>
        <w:t xml:space="preserve">NBVL was </w:t>
      </w:r>
      <w:r w:rsidR="00B1213B" w:rsidRPr="003519B9">
        <w:rPr>
          <w:lang w:val="en-GB"/>
        </w:rPr>
        <w:t>established</w:t>
      </w:r>
      <w:r w:rsidRPr="003519B9">
        <w:rPr>
          <w:lang w:val="en-GB"/>
        </w:rPr>
        <w:t xml:space="preserve"> by technocrats</w:t>
      </w:r>
      <w:r w:rsidR="00A00264" w:rsidRPr="003519B9">
        <w:rPr>
          <w:lang w:val="en-GB"/>
        </w:rPr>
        <w:t>-</w:t>
      </w:r>
      <w:r w:rsidRPr="003519B9">
        <w:rPr>
          <w:lang w:val="en-GB"/>
        </w:rPr>
        <w:t>turned</w:t>
      </w:r>
      <w:r w:rsidR="00A00264" w:rsidRPr="003519B9">
        <w:rPr>
          <w:lang w:val="en-GB"/>
        </w:rPr>
        <w:t>-</w:t>
      </w:r>
      <w:r w:rsidRPr="003519B9">
        <w:rPr>
          <w:lang w:val="en-GB"/>
        </w:rPr>
        <w:t>entrepreneurs Subba Rao</w:t>
      </w:r>
      <w:r w:rsidR="00C83033" w:rsidRPr="003519B9">
        <w:rPr>
          <w:lang w:val="en-GB"/>
        </w:rPr>
        <w:t xml:space="preserve"> Devineni</w:t>
      </w:r>
      <w:r w:rsidR="00276DEC" w:rsidRPr="003519B9">
        <w:rPr>
          <w:lang w:val="en-GB"/>
        </w:rPr>
        <w:t>,</w:t>
      </w:r>
      <w:r w:rsidRPr="003519B9">
        <w:rPr>
          <w:lang w:val="en-GB"/>
        </w:rPr>
        <w:t xml:space="preserve"> and Punnaiah</w:t>
      </w:r>
      <w:r w:rsidR="00C83033" w:rsidRPr="003519B9">
        <w:rPr>
          <w:lang w:val="en-GB"/>
        </w:rPr>
        <w:t xml:space="preserve"> Panda</w:t>
      </w:r>
      <w:r w:rsidRPr="003519B9">
        <w:rPr>
          <w:lang w:val="en-GB"/>
        </w:rPr>
        <w:t>. NBVL was incorporated in November 1972 as Nava Bharat Ferro Alloys Limited to manufacture ferro alloys (</w:t>
      </w:r>
      <w:r w:rsidR="008B4B01" w:rsidRPr="003519B9">
        <w:rPr>
          <w:lang w:val="en-GB"/>
        </w:rPr>
        <w:t xml:space="preserve">a </w:t>
      </w:r>
      <w:r w:rsidRPr="003519B9">
        <w:rPr>
          <w:lang w:val="en-GB"/>
        </w:rPr>
        <w:t xml:space="preserve">key raw material for manufacturing steel) at Paloncha, Khammam District, Andhra Pradesh. Subsequently, the </w:t>
      </w:r>
      <w:r w:rsidR="00691E55" w:rsidRPr="003519B9">
        <w:rPr>
          <w:lang w:val="en-GB"/>
        </w:rPr>
        <w:t xml:space="preserve">two </w:t>
      </w:r>
      <w:r w:rsidR="00FB5932" w:rsidRPr="003519B9">
        <w:rPr>
          <w:lang w:val="en-GB"/>
        </w:rPr>
        <w:t>partners</w:t>
      </w:r>
      <w:r w:rsidR="00D156D0" w:rsidRPr="003519B9">
        <w:rPr>
          <w:lang w:val="en-GB"/>
        </w:rPr>
        <w:t xml:space="preserve"> </w:t>
      </w:r>
      <w:r w:rsidRPr="003519B9">
        <w:rPr>
          <w:lang w:val="en-GB"/>
        </w:rPr>
        <w:t xml:space="preserve">diversified their manufacturing facilities to </w:t>
      </w:r>
      <w:r w:rsidR="00912542" w:rsidRPr="003519B9">
        <w:rPr>
          <w:lang w:val="en-GB"/>
        </w:rPr>
        <w:t xml:space="preserve">also </w:t>
      </w:r>
      <w:r w:rsidRPr="003519B9">
        <w:rPr>
          <w:lang w:val="en-GB"/>
        </w:rPr>
        <w:t xml:space="preserve">produce power and sugar (see </w:t>
      </w:r>
      <w:r w:rsidR="00B1213B" w:rsidRPr="003519B9">
        <w:rPr>
          <w:lang w:val="en-GB"/>
        </w:rPr>
        <w:t>Exhibit</w:t>
      </w:r>
      <w:r w:rsidRPr="003519B9">
        <w:rPr>
          <w:lang w:val="en-GB"/>
        </w:rPr>
        <w:t xml:space="preserve"> 1). </w:t>
      </w:r>
      <w:r w:rsidR="00B615AC" w:rsidRPr="003519B9">
        <w:rPr>
          <w:lang w:val="en-GB"/>
        </w:rPr>
        <w:t>In July 2006,</w:t>
      </w:r>
      <w:r w:rsidR="00381B2D" w:rsidRPr="003519B9">
        <w:rPr>
          <w:lang w:val="en-GB"/>
        </w:rPr>
        <w:t xml:space="preserve"> </w:t>
      </w:r>
      <w:r w:rsidR="00B615AC" w:rsidRPr="003519B9">
        <w:rPr>
          <w:lang w:val="en-GB"/>
        </w:rPr>
        <w:t>t</w:t>
      </w:r>
      <w:r w:rsidRPr="003519B9">
        <w:rPr>
          <w:lang w:val="en-GB"/>
        </w:rPr>
        <w:t>he name of the company was changed from Nava Bharat Ferro Alloys Limited to Nava Bharat Ventures Limited to reflect its diversified business interests. NBVL was the flagship company of the Nava Bharat group</w:t>
      </w:r>
      <w:r w:rsidR="00237475" w:rsidRPr="003519B9">
        <w:rPr>
          <w:lang w:val="en-GB"/>
        </w:rPr>
        <w:t xml:space="preserve">, and it oversaw </w:t>
      </w:r>
      <w:r w:rsidRPr="003519B9">
        <w:rPr>
          <w:bCs/>
          <w:lang w:val="en-GB"/>
        </w:rPr>
        <w:t>four subsidiary companies</w:t>
      </w:r>
      <w:r w:rsidR="00B615AC" w:rsidRPr="003519B9">
        <w:rPr>
          <w:bCs/>
          <w:lang w:val="en-GB"/>
        </w:rPr>
        <w:t xml:space="preserve">: </w:t>
      </w:r>
      <w:r w:rsidRPr="003519B9">
        <w:rPr>
          <w:bCs/>
          <w:lang w:val="en-GB"/>
        </w:rPr>
        <w:t>Kinnera Power Company Limited, Brahmani</w:t>
      </w:r>
      <w:r w:rsidR="00D156D0" w:rsidRPr="003519B9">
        <w:rPr>
          <w:bCs/>
          <w:lang w:val="en-GB"/>
        </w:rPr>
        <w:t xml:space="preserve"> </w:t>
      </w:r>
      <w:r w:rsidR="00B671AA" w:rsidRPr="003519B9">
        <w:rPr>
          <w:bCs/>
          <w:lang w:val="en-GB"/>
        </w:rPr>
        <w:t>Infratech Private</w:t>
      </w:r>
      <w:r w:rsidRPr="003519B9">
        <w:rPr>
          <w:bCs/>
          <w:lang w:val="en-GB"/>
        </w:rPr>
        <w:t xml:space="preserve"> Limited</w:t>
      </w:r>
      <w:r w:rsidR="00B615AC" w:rsidRPr="003519B9">
        <w:rPr>
          <w:bCs/>
          <w:lang w:val="en-GB"/>
        </w:rPr>
        <w:t>,</w:t>
      </w:r>
      <w:r w:rsidRPr="003519B9">
        <w:rPr>
          <w:bCs/>
          <w:lang w:val="en-GB"/>
        </w:rPr>
        <w:t xml:space="preserve"> Nava Bharat Realty Limited, and Nava Bharat (Singapore) P</w:t>
      </w:r>
      <w:r w:rsidR="00912542" w:rsidRPr="003519B9">
        <w:rPr>
          <w:bCs/>
          <w:lang w:val="en-GB"/>
        </w:rPr>
        <w:t>riva</w:t>
      </w:r>
      <w:r w:rsidRPr="003519B9">
        <w:rPr>
          <w:bCs/>
          <w:lang w:val="en-GB"/>
        </w:rPr>
        <w:t>te Limited. Essentially, these companies were engaged in trading</w:t>
      </w:r>
      <w:r w:rsidR="00B615AC" w:rsidRPr="003519B9">
        <w:rPr>
          <w:bCs/>
          <w:lang w:val="en-GB"/>
        </w:rPr>
        <w:t xml:space="preserve"> and </w:t>
      </w:r>
      <w:r w:rsidRPr="003519B9">
        <w:rPr>
          <w:bCs/>
          <w:lang w:val="en-GB"/>
        </w:rPr>
        <w:t>investment activity</w:t>
      </w:r>
      <w:r w:rsidR="00575A61" w:rsidRPr="003519B9">
        <w:rPr>
          <w:bCs/>
          <w:lang w:val="en-GB"/>
        </w:rPr>
        <w:t>,</w:t>
      </w:r>
      <w:r w:rsidRPr="003519B9">
        <w:rPr>
          <w:bCs/>
          <w:lang w:val="en-GB"/>
        </w:rPr>
        <w:t xml:space="preserve"> and </w:t>
      </w:r>
      <w:r w:rsidR="00912542" w:rsidRPr="003519B9">
        <w:rPr>
          <w:bCs/>
          <w:lang w:val="en-GB"/>
        </w:rPr>
        <w:t xml:space="preserve">they </w:t>
      </w:r>
      <w:r w:rsidRPr="003519B9">
        <w:rPr>
          <w:bCs/>
          <w:lang w:val="en-GB"/>
        </w:rPr>
        <w:t>had limited operations as of June 30, 2009.</w:t>
      </w:r>
    </w:p>
    <w:p w14:paraId="60144B1A" w14:textId="77777777" w:rsidR="0028127C" w:rsidRPr="003519B9" w:rsidRDefault="0028127C" w:rsidP="00242175">
      <w:pPr>
        <w:pStyle w:val="BodyTextMain"/>
        <w:rPr>
          <w:lang w:val="en-GB"/>
        </w:rPr>
      </w:pPr>
    </w:p>
    <w:p w14:paraId="05921704" w14:textId="77777777" w:rsidR="0028127C" w:rsidRPr="003519B9" w:rsidRDefault="0028127C" w:rsidP="00242175">
      <w:pPr>
        <w:pStyle w:val="BodyTextMain"/>
        <w:rPr>
          <w:lang w:val="en-GB"/>
        </w:rPr>
      </w:pPr>
      <w:r w:rsidRPr="003519B9">
        <w:rPr>
          <w:lang w:val="en-GB"/>
        </w:rPr>
        <w:t xml:space="preserve">Initially, NBVL </w:t>
      </w:r>
      <w:r w:rsidR="00FB5932" w:rsidRPr="003519B9">
        <w:rPr>
          <w:lang w:val="en-GB"/>
        </w:rPr>
        <w:t xml:space="preserve">had </w:t>
      </w:r>
      <w:r w:rsidRPr="003519B9">
        <w:rPr>
          <w:lang w:val="en-GB"/>
        </w:rPr>
        <w:t>established a captive power plant with a capacity of 50 megawatts (MW) at Paloncha, Andhra Pradesh</w:t>
      </w:r>
      <w:r w:rsidR="00510E5B" w:rsidRPr="003519B9">
        <w:rPr>
          <w:lang w:val="en-GB"/>
        </w:rPr>
        <w:t>,</w:t>
      </w:r>
      <w:r w:rsidRPr="003519B9">
        <w:rPr>
          <w:lang w:val="en-GB"/>
        </w:rPr>
        <w:t xml:space="preserve"> in 1997 and another power plant of 30 MW capacity in Orissa in 2004. Later, the aggregate </w:t>
      </w:r>
      <w:r w:rsidRPr="003519B9">
        <w:rPr>
          <w:lang w:val="en-GB"/>
        </w:rPr>
        <w:lastRenderedPageBreak/>
        <w:t xml:space="preserve">capacities of these power plants were increased to 301 MW to meet </w:t>
      </w:r>
      <w:r w:rsidR="00B3073F" w:rsidRPr="003519B9">
        <w:rPr>
          <w:lang w:val="en-GB"/>
        </w:rPr>
        <w:t>NBVL’</w:t>
      </w:r>
      <w:r w:rsidR="00B1213B" w:rsidRPr="003519B9">
        <w:rPr>
          <w:lang w:val="en-GB"/>
        </w:rPr>
        <w:t>s</w:t>
      </w:r>
      <w:r w:rsidRPr="003519B9">
        <w:rPr>
          <w:lang w:val="en-GB"/>
        </w:rPr>
        <w:t xml:space="preserve"> growing captive consumption of power</w:t>
      </w:r>
      <w:r w:rsidR="00304F91" w:rsidRPr="003519B9">
        <w:rPr>
          <w:lang w:val="en-GB"/>
        </w:rPr>
        <w:t>.</w:t>
      </w:r>
      <w:r w:rsidRPr="003519B9">
        <w:rPr>
          <w:lang w:val="en-GB"/>
        </w:rPr>
        <w:t xml:space="preserve"> (</w:t>
      </w:r>
      <w:r w:rsidR="00B35097" w:rsidRPr="003519B9">
        <w:rPr>
          <w:lang w:val="en-GB"/>
        </w:rPr>
        <w:t>P</w:t>
      </w:r>
      <w:r w:rsidRPr="003519B9">
        <w:rPr>
          <w:lang w:val="en-GB"/>
        </w:rPr>
        <w:t>ower accounted for 70 per cent of the total cost structure of ferro alloys</w:t>
      </w:r>
      <w:r w:rsidR="00B35097" w:rsidRPr="003519B9">
        <w:rPr>
          <w:lang w:val="en-GB"/>
        </w:rPr>
        <w:t>.</w:t>
      </w:r>
      <w:r w:rsidRPr="003519B9">
        <w:rPr>
          <w:rStyle w:val="FootnoteReference"/>
          <w:lang w:val="en-GB"/>
        </w:rPr>
        <w:footnoteReference w:id="3"/>
      </w:r>
      <w:r w:rsidRPr="003519B9">
        <w:rPr>
          <w:lang w:val="en-GB"/>
        </w:rPr>
        <w:t>) NBVL was a major Indian exporter of manganese alloys to the U</w:t>
      </w:r>
      <w:r w:rsidR="00B35097" w:rsidRPr="003519B9">
        <w:rPr>
          <w:lang w:val="en-GB"/>
        </w:rPr>
        <w:t xml:space="preserve">nited </w:t>
      </w:r>
      <w:r w:rsidRPr="003519B9">
        <w:rPr>
          <w:lang w:val="en-GB"/>
        </w:rPr>
        <w:t>S</w:t>
      </w:r>
      <w:r w:rsidR="00B35097" w:rsidRPr="003519B9">
        <w:rPr>
          <w:lang w:val="en-GB"/>
        </w:rPr>
        <w:t>tates</w:t>
      </w:r>
      <w:r w:rsidRPr="003519B9">
        <w:rPr>
          <w:lang w:val="en-GB"/>
        </w:rPr>
        <w:t>, Europe, and Japan.</w:t>
      </w:r>
    </w:p>
    <w:p w14:paraId="50899D83" w14:textId="77777777" w:rsidR="0028127C" w:rsidRPr="003519B9" w:rsidRDefault="0028127C" w:rsidP="00242175">
      <w:pPr>
        <w:pStyle w:val="BodyTextMain"/>
        <w:rPr>
          <w:lang w:val="en-GB"/>
        </w:rPr>
      </w:pPr>
    </w:p>
    <w:p w14:paraId="4A6C991C" w14:textId="7B0D6EF3" w:rsidR="0028127C" w:rsidRPr="003519B9" w:rsidRDefault="0028127C" w:rsidP="00242175">
      <w:pPr>
        <w:pStyle w:val="BodyTextMain"/>
        <w:rPr>
          <w:lang w:val="en-GB"/>
        </w:rPr>
      </w:pPr>
      <w:r w:rsidRPr="003519B9">
        <w:rPr>
          <w:lang w:val="en-GB"/>
        </w:rPr>
        <w:t xml:space="preserve">NBVL had </w:t>
      </w:r>
      <w:r w:rsidR="00EB1FE4" w:rsidRPr="003519B9">
        <w:rPr>
          <w:lang w:val="en-GB"/>
        </w:rPr>
        <w:t xml:space="preserve">a </w:t>
      </w:r>
      <w:r w:rsidRPr="003519B9">
        <w:rPr>
          <w:lang w:val="en-GB"/>
        </w:rPr>
        <w:t xml:space="preserve">banking relationship with </w:t>
      </w:r>
      <w:r w:rsidR="00B1213B" w:rsidRPr="003519B9">
        <w:rPr>
          <w:lang w:val="en-GB"/>
        </w:rPr>
        <w:t>Development Bank Limited</w:t>
      </w:r>
      <w:r w:rsidR="00EB1FE4" w:rsidRPr="003519B9">
        <w:rPr>
          <w:lang w:val="en-GB"/>
        </w:rPr>
        <w:t xml:space="preserve">, having </w:t>
      </w:r>
      <w:r w:rsidRPr="003519B9">
        <w:rPr>
          <w:lang w:val="en-GB"/>
        </w:rPr>
        <w:t xml:space="preserve">secured financial assistance from the </w:t>
      </w:r>
      <w:r w:rsidR="00EB1FE4" w:rsidRPr="003519B9">
        <w:rPr>
          <w:lang w:val="en-GB"/>
        </w:rPr>
        <w:t>lender</w:t>
      </w:r>
      <w:r w:rsidRPr="003519B9">
        <w:rPr>
          <w:lang w:val="en-GB"/>
        </w:rPr>
        <w:t xml:space="preserve"> in the past </w:t>
      </w:r>
      <w:r w:rsidR="00EB1FE4" w:rsidRPr="003519B9">
        <w:rPr>
          <w:lang w:val="en-GB"/>
        </w:rPr>
        <w:t>when the company was in the process of</w:t>
      </w:r>
      <w:r w:rsidRPr="003519B9">
        <w:rPr>
          <w:lang w:val="en-GB"/>
        </w:rPr>
        <w:t xml:space="preserve"> establish</w:t>
      </w:r>
      <w:r w:rsidR="00EB1FE4" w:rsidRPr="003519B9">
        <w:rPr>
          <w:lang w:val="en-GB"/>
        </w:rPr>
        <w:t>ing</w:t>
      </w:r>
      <w:r w:rsidRPr="003519B9">
        <w:rPr>
          <w:lang w:val="en-GB"/>
        </w:rPr>
        <w:t xml:space="preserve"> its manufacturing facilities</w:t>
      </w:r>
      <w:r w:rsidR="00EB1FE4" w:rsidRPr="003519B9">
        <w:rPr>
          <w:lang w:val="en-GB"/>
        </w:rPr>
        <w:t>,</w:t>
      </w:r>
      <w:r w:rsidRPr="003519B9">
        <w:rPr>
          <w:lang w:val="en-GB"/>
        </w:rPr>
        <w:t xml:space="preserve"> including power projects. Over a period of time, </w:t>
      </w:r>
      <w:r w:rsidR="00EB1FE4" w:rsidRPr="003519B9">
        <w:rPr>
          <w:lang w:val="en-GB"/>
        </w:rPr>
        <w:t>NBVL</w:t>
      </w:r>
      <w:r w:rsidR="00D15F5A" w:rsidRPr="003519B9">
        <w:rPr>
          <w:lang w:val="en-GB"/>
        </w:rPr>
        <w:t xml:space="preserve"> </w:t>
      </w:r>
      <w:r w:rsidRPr="003519B9">
        <w:rPr>
          <w:lang w:val="en-GB"/>
        </w:rPr>
        <w:t>developed expertise for executing power projects of smaller capacities</w:t>
      </w:r>
      <w:r w:rsidR="00EB1FE4" w:rsidRPr="003519B9">
        <w:rPr>
          <w:lang w:val="en-GB"/>
        </w:rPr>
        <w:t>, all of which were</w:t>
      </w:r>
      <w:r w:rsidRPr="003519B9">
        <w:rPr>
          <w:lang w:val="en-GB"/>
        </w:rPr>
        <w:t xml:space="preserve"> operating successfully.</w:t>
      </w:r>
    </w:p>
    <w:p w14:paraId="433A9DF0" w14:textId="77777777" w:rsidR="0028127C" w:rsidRPr="003519B9" w:rsidRDefault="0028127C" w:rsidP="00DC3825">
      <w:pPr>
        <w:pStyle w:val="BodyTextMain"/>
        <w:rPr>
          <w:lang w:val="en-GB"/>
        </w:rPr>
      </w:pPr>
    </w:p>
    <w:p w14:paraId="3AC9E711" w14:textId="77777777" w:rsidR="00BC1457" w:rsidRPr="003519B9" w:rsidRDefault="00BC1457" w:rsidP="00DC3825">
      <w:pPr>
        <w:pStyle w:val="BodyTextMain"/>
        <w:rPr>
          <w:lang w:val="en-GB"/>
        </w:rPr>
      </w:pPr>
    </w:p>
    <w:p w14:paraId="6EB239B6" w14:textId="77777777" w:rsidR="00BC1457" w:rsidRPr="003519B9" w:rsidRDefault="00B1213B" w:rsidP="00242175">
      <w:pPr>
        <w:pStyle w:val="BodyTextMain"/>
        <w:rPr>
          <w:rFonts w:ascii="Arial" w:hAnsi="Arial" w:cs="Arial"/>
          <w:b/>
          <w:sz w:val="20"/>
          <w:szCs w:val="20"/>
          <w:lang w:val="en-GB"/>
        </w:rPr>
      </w:pPr>
      <w:r w:rsidRPr="003519B9">
        <w:rPr>
          <w:rFonts w:ascii="Arial" w:hAnsi="Arial" w:cs="Arial"/>
          <w:b/>
          <w:sz w:val="20"/>
          <w:szCs w:val="20"/>
          <w:lang w:val="en-GB"/>
        </w:rPr>
        <w:t xml:space="preserve">Management Team </w:t>
      </w:r>
    </w:p>
    <w:p w14:paraId="465CE058" w14:textId="77777777" w:rsidR="00BC1457" w:rsidRPr="003519B9" w:rsidRDefault="00BC1457" w:rsidP="00242175">
      <w:pPr>
        <w:pStyle w:val="BodyTextMain"/>
        <w:rPr>
          <w:lang w:val="en-GB"/>
        </w:rPr>
      </w:pPr>
    </w:p>
    <w:p w14:paraId="74177917" w14:textId="4491EE46" w:rsidR="00E972E5" w:rsidRPr="003519B9" w:rsidRDefault="00B1213B" w:rsidP="00242175">
      <w:pPr>
        <w:pStyle w:val="BodyTextMain"/>
        <w:rPr>
          <w:lang w:val="en-GB"/>
        </w:rPr>
      </w:pPr>
      <w:r w:rsidRPr="003519B9">
        <w:rPr>
          <w:lang w:val="en-GB"/>
        </w:rPr>
        <w:t>Ashok</w:t>
      </w:r>
      <w:r w:rsidR="00661C30" w:rsidRPr="003519B9">
        <w:rPr>
          <w:lang w:val="en-GB"/>
        </w:rPr>
        <w:t xml:space="preserve"> Devineni </w:t>
      </w:r>
      <w:r w:rsidRPr="003519B9">
        <w:rPr>
          <w:lang w:val="en-GB"/>
        </w:rPr>
        <w:t>was the chairman</w:t>
      </w:r>
      <w:r w:rsidR="00575A61" w:rsidRPr="003519B9">
        <w:rPr>
          <w:lang w:val="en-GB"/>
        </w:rPr>
        <w:t>,</w:t>
      </w:r>
      <w:r w:rsidRPr="003519B9">
        <w:rPr>
          <w:lang w:val="en-GB"/>
        </w:rPr>
        <w:t xml:space="preserve"> and Trivikrama Prasad </w:t>
      </w:r>
      <w:r w:rsidR="00172A07" w:rsidRPr="003519B9">
        <w:rPr>
          <w:lang w:val="en-GB"/>
        </w:rPr>
        <w:t xml:space="preserve">Pinnamaneni </w:t>
      </w:r>
      <w:r w:rsidRPr="003519B9">
        <w:rPr>
          <w:lang w:val="en-GB"/>
        </w:rPr>
        <w:t>was the managing director of NBVL</w:t>
      </w:r>
      <w:r w:rsidR="00215ECF" w:rsidRPr="003519B9">
        <w:rPr>
          <w:lang w:val="en-GB"/>
        </w:rPr>
        <w:t>,</w:t>
      </w:r>
      <w:r w:rsidRPr="003519B9">
        <w:rPr>
          <w:lang w:val="en-GB"/>
        </w:rPr>
        <w:t xml:space="preserve"> and they were the legal heirs of the company’s founders.</w:t>
      </w:r>
      <w:r w:rsidR="00D15F5A" w:rsidRPr="003519B9">
        <w:rPr>
          <w:lang w:val="en-GB"/>
        </w:rPr>
        <w:t xml:space="preserve"> </w:t>
      </w:r>
      <w:r w:rsidR="00F35A98" w:rsidRPr="003519B9">
        <w:rPr>
          <w:lang w:val="en-GB"/>
        </w:rPr>
        <w:t>Devineni</w:t>
      </w:r>
      <w:r w:rsidR="00D15F5A" w:rsidRPr="003519B9">
        <w:rPr>
          <w:lang w:val="en-GB"/>
        </w:rPr>
        <w:t xml:space="preserve"> </w:t>
      </w:r>
      <w:r w:rsidR="00A8621D" w:rsidRPr="003519B9">
        <w:rPr>
          <w:lang w:val="en-GB"/>
        </w:rPr>
        <w:t>held</w:t>
      </w:r>
      <w:r w:rsidR="0028127C" w:rsidRPr="003519B9">
        <w:rPr>
          <w:lang w:val="en-GB"/>
        </w:rPr>
        <w:t xml:space="preserve"> a master’s degree in business administration from </w:t>
      </w:r>
      <w:r w:rsidR="00A04E7F" w:rsidRPr="003519B9">
        <w:rPr>
          <w:lang w:val="en-GB"/>
        </w:rPr>
        <w:t>University of Wisconsin</w:t>
      </w:r>
      <w:r w:rsidR="00A8621D" w:rsidRPr="003519B9">
        <w:rPr>
          <w:lang w:val="en-GB"/>
        </w:rPr>
        <w:t xml:space="preserve"> in </w:t>
      </w:r>
      <w:r w:rsidR="0028127C" w:rsidRPr="003519B9">
        <w:rPr>
          <w:lang w:val="en-GB"/>
        </w:rPr>
        <w:t>the United States</w:t>
      </w:r>
      <w:r w:rsidR="00A8621D" w:rsidRPr="003519B9">
        <w:rPr>
          <w:lang w:val="en-GB"/>
        </w:rPr>
        <w:t>,</w:t>
      </w:r>
      <w:r w:rsidR="0028127C" w:rsidRPr="003519B9">
        <w:rPr>
          <w:lang w:val="en-GB"/>
        </w:rPr>
        <w:t xml:space="preserve"> and </w:t>
      </w:r>
      <w:r w:rsidR="00A8621D" w:rsidRPr="003519B9">
        <w:rPr>
          <w:lang w:val="en-GB"/>
        </w:rPr>
        <w:t xml:space="preserve">he </w:t>
      </w:r>
      <w:r w:rsidR="0028127C" w:rsidRPr="003519B9">
        <w:rPr>
          <w:lang w:val="en-GB"/>
        </w:rPr>
        <w:t>had a</w:t>
      </w:r>
      <w:r w:rsidR="00A265BA" w:rsidRPr="003519B9">
        <w:rPr>
          <w:lang w:val="en-GB"/>
        </w:rPr>
        <w:t>pproximately</w:t>
      </w:r>
      <w:r w:rsidR="0028127C" w:rsidRPr="003519B9">
        <w:rPr>
          <w:lang w:val="en-GB"/>
        </w:rPr>
        <w:t xml:space="preserve"> three decades of </w:t>
      </w:r>
      <w:r w:rsidR="005B7199" w:rsidRPr="003519B9">
        <w:rPr>
          <w:lang w:val="en-GB"/>
        </w:rPr>
        <w:t xml:space="preserve">professional </w:t>
      </w:r>
      <w:r w:rsidR="0028127C" w:rsidRPr="003519B9">
        <w:rPr>
          <w:lang w:val="en-GB"/>
        </w:rPr>
        <w:t xml:space="preserve">experience </w:t>
      </w:r>
      <w:r w:rsidR="005B7199" w:rsidRPr="003519B9">
        <w:rPr>
          <w:lang w:val="en-GB"/>
        </w:rPr>
        <w:t>with</w:t>
      </w:r>
      <w:r w:rsidR="0028127C" w:rsidRPr="003519B9">
        <w:rPr>
          <w:lang w:val="en-GB"/>
        </w:rPr>
        <w:t xml:space="preserve"> the Nava Bharat group of companies</w:t>
      </w:r>
      <w:r w:rsidR="00A265BA" w:rsidRPr="003519B9">
        <w:rPr>
          <w:lang w:val="en-GB"/>
        </w:rPr>
        <w:t xml:space="preserve">, </w:t>
      </w:r>
      <w:r w:rsidR="005B7199" w:rsidRPr="003519B9">
        <w:rPr>
          <w:lang w:val="en-GB"/>
        </w:rPr>
        <w:t xml:space="preserve">having </w:t>
      </w:r>
      <w:r w:rsidR="00A265BA" w:rsidRPr="003519B9">
        <w:rPr>
          <w:lang w:val="en-GB"/>
        </w:rPr>
        <w:t>work</w:t>
      </w:r>
      <w:r w:rsidR="005B7199" w:rsidRPr="003519B9">
        <w:rPr>
          <w:lang w:val="en-GB"/>
        </w:rPr>
        <w:t>ed for the organization</w:t>
      </w:r>
      <w:r w:rsidR="0028127C" w:rsidRPr="003519B9">
        <w:rPr>
          <w:lang w:val="en-GB"/>
        </w:rPr>
        <w:t xml:space="preserve"> in various capacities. In the past, he </w:t>
      </w:r>
      <w:r w:rsidR="00A265BA" w:rsidRPr="003519B9">
        <w:rPr>
          <w:lang w:val="en-GB"/>
        </w:rPr>
        <w:t xml:space="preserve">had been </w:t>
      </w:r>
      <w:r w:rsidR="0028127C" w:rsidRPr="003519B9">
        <w:rPr>
          <w:lang w:val="en-GB"/>
        </w:rPr>
        <w:t xml:space="preserve">involved in </w:t>
      </w:r>
      <w:r w:rsidR="00A265BA" w:rsidRPr="003519B9">
        <w:rPr>
          <w:lang w:val="en-GB"/>
        </w:rPr>
        <w:t xml:space="preserve">the group’s </w:t>
      </w:r>
      <w:r w:rsidR="0028127C" w:rsidRPr="003519B9">
        <w:rPr>
          <w:lang w:val="en-GB"/>
        </w:rPr>
        <w:t xml:space="preserve">expansion projects in ferro alloys and generation of power. </w:t>
      </w:r>
    </w:p>
    <w:p w14:paraId="438D617D" w14:textId="77777777" w:rsidR="00E972E5" w:rsidRPr="003519B9" w:rsidRDefault="00E972E5" w:rsidP="00242175">
      <w:pPr>
        <w:pStyle w:val="BodyTextMain"/>
        <w:rPr>
          <w:lang w:val="en-GB"/>
        </w:rPr>
      </w:pPr>
    </w:p>
    <w:p w14:paraId="21E1D540" w14:textId="22D5D212" w:rsidR="0078720C" w:rsidRPr="00D143CE" w:rsidRDefault="00DD3768" w:rsidP="00242175">
      <w:pPr>
        <w:pStyle w:val="BodyTextMain"/>
        <w:rPr>
          <w:spacing w:val="-4"/>
          <w:lang w:val="en-GB"/>
        </w:rPr>
      </w:pPr>
      <w:r w:rsidRPr="00D143CE">
        <w:rPr>
          <w:spacing w:val="-4"/>
          <w:lang w:val="en-GB"/>
        </w:rPr>
        <w:t>Pinnamaneni</w:t>
      </w:r>
      <w:r w:rsidR="00D15F5A" w:rsidRPr="00D143CE">
        <w:rPr>
          <w:spacing w:val="-4"/>
          <w:lang w:val="en-GB"/>
        </w:rPr>
        <w:t xml:space="preserve"> </w:t>
      </w:r>
      <w:r w:rsidR="00A265BA" w:rsidRPr="00D143CE">
        <w:rPr>
          <w:spacing w:val="-4"/>
          <w:lang w:val="en-GB"/>
        </w:rPr>
        <w:t>held</w:t>
      </w:r>
      <w:r w:rsidR="0028127C" w:rsidRPr="00D143CE">
        <w:rPr>
          <w:spacing w:val="-4"/>
          <w:lang w:val="en-GB"/>
        </w:rPr>
        <w:t xml:space="preserve"> a master’s degree in business administration from </w:t>
      </w:r>
      <w:r w:rsidR="00A04E7F" w:rsidRPr="00D143CE">
        <w:rPr>
          <w:spacing w:val="-4"/>
          <w:lang w:val="en-GB"/>
        </w:rPr>
        <w:t>University of Wisconsin</w:t>
      </w:r>
      <w:r w:rsidR="00A265BA" w:rsidRPr="00D143CE">
        <w:rPr>
          <w:spacing w:val="-4"/>
          <w:lang w:val="en-GB"/>
        </w:rPr>
        <w:t xml:space="preserve"> in </w:t>
      </w:r>
      <w:r w:rsidR="0028127C" w:rsidRPr="00D143CE">
        <w:rPr>
          <w:spacing w:val="-4"/>
          <w:lang w:val="en-GB"/>
        </w:rPr>
        <w:t>the United States</w:t>
      </w:r>
      <w:r w:rsidR="00A265BA" w:rsidRPr="00D143CE">
        <w:rPr>
          <w:spacing w:val="-4"/>
          <w:lang w:val="en-GB"/>
        </w:rPr>
        <w:t>,</w:t>
      </w:r>
      <w:r w:rsidR="0028127C" w:rsidRPr="00D143CE">
        <w:rPr>
          <w:spacing w:val="-4"/>
          <w:lang w:val="en-GB"/>
        </w:rPr>
        <w:t xml:space="preserve"> and </w:t>
      </w:r>
      <w:r w:rsidR="005B7199" w:rsidRPr="00D143CE">
        <w:rPr>
          <w:spacing w:val="-4"/>
          <w:lang w:val="en-GB"/>
        </w:rPr>
        <w:t xml:space="preserve">he </w:t>
      </w:r>
      <w:r w:rsidR="00095E68" w:rsidRPr="00D143CE">
        <w:rPr>
          <w:spacing w:val="-4"/>
          <w:lang w:val="en-GB"/>
        </w:rPr>
        <w:t>had been</w:t>
      </w:r>
      <w:r w:rsidR="0028127C" w:rsidRPr="00D143CE">
        <w:rPr>
          <w:spacing w:val="-4"/>
          <w:lang w:val="en-GB"/>
        </w:rPr>
        <w:t xml:space="preserve"> associated with the </w:t>
      </w:r>
      <w:r w:rsidR="005B7199" w:rsidRPr="00D143CE">
        <w:rPr>
          <w:spacing w:val="-4"/>
          <w:lang w:val="en-GB"/>
        </w:rPr>
        <w:t xml:space="preserve">Nava Bharat </w:t>
      </w:r>
      <w:r w:rsidR="0028127C" w:rsidRPr="00D143CE">
        <w:rPr>
          <w:spacing w:val="-4"/>
          <w:lang w:val="en-GB"/>
        </w:rPr>
        <w:t>group for more than 25 years.</w:t>
      </w:r>
      <w:r w:rsidR="00D15F5A" w:rsidRPr="00D143CE">
        <w:rPr>
          <w:spacing w:val="-4"/>
          <w:lang w:val="en-GB"/>
        </w:rPr>
        <w:t xml:space="preserve"> </w:t>
      </w:r>
      <w:r w:rsidR="00E972E5" w:rsidRPr="00D143CE">
        <w:rPr>
          <w:spacing w:val="-4"/>
          <w:lang w:val="en-GB"/>
        </w:rPr>
        <w:t>B</w:t>
      </w:r>
      <w:r w:rsidR="0028127C" w:rsidRPr="00D143CE">
        <w:rPr>
          <w:spacing w:val="-4"/>
          <w:lang w:val="en-GB"/>
        </w:rPr>
        <w:t>esides monitoring the operations of the sugar and co-generation power plants</w:t>
      </w:r>
      <w:r w:rsidR="00E972E5" w:rsidRPr="00D143CE">
        <w:rPr>
          <w:spacing w:val="-4"/>
          <w:lang w:val="en-GB"/>
        </w:rPr>
        <w:t xml:space="preserve">, </w:t>
      </w:r>
      <w:r w:rsidRPr="00D143CE">
        <w:rPr>
          <w:spacing w:val="-4"/>
          <w:lang w:val="en-GB"/>
        </w:rPr>
        <w:t>Pinnamaneni</w:t>
      </w:r>
      <w:r w:rsidR="00E972E5" w:rsidRPr="00D143CE">
        <w:rPr>
          <w:spacing w:val="-4"/>
          <w:lang w:val="en-GB"/>
        </w:rPr>
        <w:t xml:space="preserve"> supervised </w:t>
      </w:r>
      <w:r w:rsidR="005B7199" w:rsidRPr="00D143CE">
        <w:rPr>
          <w:spacing w:val="-4"/>
          <w:lang w:val="en-GB"/>
        </w:rPr>
        <w:t xml:space="preserve">NBVL’s </w:t>
      </w:r>
      <w:r w:rsidR="00E972E5" w:rsidRPr="00D143CE">
        <w:rPr>
          <w:spacing w:val="-4"/>
          <w:lang w:val="en-GB"/>
        </w:rPr>
        <w:t>day-to-day affairs</w:t>
      </w:r>
      <w:r w:rsidR="005B7199" w:rsidRPr="00D143CE">
        <w:rPr>
          <w:spacing w:val="-4"/>
          <w:lang w:val="en-GB"/>
        </w:rPr>
        <w:t>.</w:t>
      </w:r>
    </w:p>
    <w:p w14:paraId="6FBEADBF" w14:textId="77777777" w:rsidR="0078720C" w:rsidRPr="003519B9" w:rsidRDefault="0078720C" w:rsidP="00242175">
      <w:pPr>
        <w:pStyle w:val="BodyTextMain"/>
        <w:rPr>
          <w:lang w:val="en-GB"/>
        </w:rPr>
      </w:pPr>
    </w:p>
    <w:p w14:paraId="011C6CC1" w14:textId="7FE8BEEC" w:rsidR="0028127C" w:rsidRPr="003519B9" w:rsidRDefault="00E972E5" w:rsidP="00242175">
      <w:pPr>
        <w:pStyle w:val="BodyTextMain"/>
        <w:rPr>
          <w:lang w:val="en-GB"/>
        </w:rPr>
      </w:pPr>
      <w:r w:rsidRPr="003519B9">
        <w:rPr>
          <w:lang w:val="en-GB"/>
        </w:rPr>
        <w:t xml:space="preserve">A third member of the management team, </w:t>
      </w:r>
      <w:r w:rsidR="0028127C" w:rsidRPr="003519B9">
        <w:rPr>
          <w:bCs/>
          <w:lang w:val="en-GB"/>
        </w:rPr>
        <w:t>Rama Krishna Prasad</w:t>
      </w:r>
      <w:r w:rsidRPr="003519B9">
        <w:rPr>
          <w:bCs/>
          <w:lang w:val="en-GB"/>
        </w:rPr>
        <w:t xml:space="preserve">, NBVL’s executive director </w:t>
      </w:r>
      <w:r w:rsidR="005B7199" w:rsidRPr="003519B9">
        <w:rPr>
          <w:lang w:val="en-GB"/>
        </w:rPr>
        <w:t xml:space="preserve">of </w:t>
      </w:r>
      <w:r w:rsidR="0028127C" w:rsidRPr="003519B9">
        <w:rPr>
          <w:lang w:val="en-GB"/>
        </w:rPr>
        <w:t>finance and corporate affairs</w:t>
      </w:r>
      <w:r w:rsidRPr="003519B9">
        <w:rPr>
          <w:lang w:val="en-GB"/>
        </w:rPr>
        <w:t>,</w:t>
      </w:r>
      <w:r w:rsidR="0028127C" w:rsidRPr="003519B9">
        <w:rPr>
          <w:bCs/>
          <w:lang w:val="en-GB"/>
        </w:rPr>
        <w:t xml:space="preserve"> was a chartered accountant and company secretary by profession</w:t>
      </w:r>
      <w:r w:rsidR="005B7199" w:rsidRPr="003519B9">
        <w:rPr>
          <w:bCs/>
          <w:lang w:val="en-GB"/>
        </w:rPr>
        <w:t>;</w:t>
      </w:r>
      <w:r w:rsidR="00D15F5A" w:rsidRPr="003519B9">
        <w:rPr>
          <w:bCs/>
          <w:lang w:val="en-GB"/>
        </w:rPr>
        <w:t xml:space="preserve"> </w:t>
      </w:r>
      <w:r w:rsidRPr="003519B9">
        <w:rPr>
          <w:lang w:val="en-GB"/>
        </w:rPr>
        <w:t xml:space="preserve">he </w:t>
      </w:r>
      <w:r w:rsidR="0028127C" w:rsidRPr="003519B9">
        <w:rPr>
          <w:lang w:val="en-GB"/>
        </w:rPr>
        <w:t>had 27 years of experience in various industries.</w:t>
      </w:r>
    </w:p>
    <w:p w14:paraId="3A84DF09" w14:textId="77777777" w:rsidR="0028127C" w:rsidRPr="003519B9" w:rsidRDefault="0028127C" w:rsidP="00242175">
      <w:pPr>
        <w:pStyle w:val="BodyTextMain"/>
        <w:rPr>
          <w:lang w:val="en-GB"/>
        </w:rPr>
      </w:pPr>
    </w:p>
    <w:p w14:paraId="166D3B95" w14:textId="77777777" w:rsidR="0028127C" w:rsidRPr="003519B9" w:rsidRDefault="0028127C" w:rsidP="00242175">
      <w:pPr>
        <w:pStyle w:val="BodyTextMain"/>
        <w:rPr>
          <w:lang w:val="en-GB"/>
        </w:rPr>
      </w:pPr>
    </w:p>
    <w:p w14:paraId="779383DD" w14:textId="77777777" w:rsidR="0028127C" w:rsidRPr="003519B9" w:rsidRDefault="007419D3" w:rsidP="0028127C">
      <w:pPr>
        <w:pStyle w:val="Casehead1"/>
        <w:rPr>
          <w:lang w:val="en-GB"/>
        </w:rPr>
      </w:pPr>
      <w:r w:rsidRPr="003519B9">
        <w:rPr>
          <w:caps w:val="0"/>
          <w:lang w:val="en-GB"/>
        </w:rPr>
        <w:t xml:space="preserve">Organizational Structure of </w:t>
      </w:r>
      <w:r w:rsidR="008E6E36" w:rsidRPr="003519B9">
        <w:rPr>
          <w:caps w:val="0"/>
          <w:lang w:val="en-GB"/>
        </w:rPr>
        <w:t>Nava Bharat Energy India Limited</w:t>
      </w:r>
    </w:p>
    <w:p w14:paraId="7136B316" w14:textId="77777777" w:rsidR="0028127C" w:rsidRPr="003519B9" w:rsidRDefault="0028127C" w:rsidP="00242175">
      <w:pPr>
        <w:pStyle w:val="BodyTextMain"/>
        <w:rPr>
          <w:lang w:val="en-GB"/>
        </w:rPr>
      </w:pPr>
    </w:p>
    <w:p w14:paraId="5A81524B" w14:textId="2BA5B70C" w:rsidR="00801BA2" w:rsidRPr="003519B9" w:rsidRDefault="0028127C" w:rsidP="00242175">
      <w:pPr>
        <w:pStyle w:val="BodyTextMain"/>
        <w:rPr>
          <w:rFonts w:eastAsia="Calibri"/>
          <w:lang w:val="en-GB"/>
        </w:rPr>
      </w:pPr>
      <w:r w:rsidRPr="003519B9">
        <w:rPr>
          <w:lang w:val="en-GB"/>
        </w:rPr>
        <w:t xml:space="preserve">NBEIL was incorporated on April 8, 2008, as a special purpose vehicle (SPV) </w:t>
      </w:r>
      <w:r w:rsidR="00321242" w:rsidRPr="003519B9">
        <w:rPr>
          <w:lang w:val="en-GB"/>
        </w:rPr>
        <w:t>that would help</w:t>
      </w:r>
      <w:r w:rsidRPr="003519B9">
        <w:rPr>
          <w:lang w:val="en-GB"/>
        </w:rPr>
        <w:t xml:space="preserve"> NBVL</w:t>
      </w:r>
      <w:r w:rsidRPr="003519B9">
        <w:rPr>
          <w:rFonts w:eastAsia="Calibri"/>
          <w:lang w:val="en-GB"/>
        </w:rPr>
        <w:t xml:space="preserve"> to implement </w:t>
      </w:r>
      <w:r w:rsidR="005B7199" w:rsidRPr="003519B9">
        <w:rPr>
          <w:rFonts w:eastAsia="Calibri"/>
          <w:lang w:val="en-GB"/>
        </w:rPr>
        <w:t xml:space="preserve">its </w:t>
      </w:r>
      <w:r w:rsidRPr="003519B9">
        <w:rPr>
          <w:rFonts w:eastAsia="Calibri"/>
          <w:lang w:val="en-GB"/>
        </w:rPr>
        <w:t>power projects</w:t>
      </w:r>
      <w:r w:rsidR="005B7199" w:rsidRPr="003519B9">
        <w:rPr>
          <w:rFonts w:eastAsia="Calibri"/>
          <w:lang w:val="en-GB"/>
        </w:rPr>
        <w:t>.</w:t>
      </w:r>
      <w:r w:rsidR="00D15F5A" w:rsidRPr="003519B9">
        <w:rPr>
          <w:rFonts w:eastAsia="Calibri"/>
          <w:lang w:val="en-GB"/>
        </w:rPr>
        <w:t xml:space="preserve"> </w:t>
      </w:r>
      <w:r w:rsidR="005B7199" w:rsidRPr="003519B9">
        <w:rPr>
          <w:rFonts w:eastAsia="Calibri"/>
          <w:lang w:val="en-GB"/>
        </w:rPr>
        <w:t xml:space="preserve">Parent company </w:t>
      </w:r>
      <w:r w:rsidR="00665E3C" w:rsidRPr="003519B9">
        <w:rPr>
          <w:rFonts w:eastAsia="Calibri"/>
          <w:lang w:val="en-GB"/>
        </w:rPr>
        <w:t xml:space="preserve">NBVL had an alternate purpose in creating NBEIL, having established the SPV </w:t>
      </w:r>
      <w:r w:rsidRPr="003519B9">
        <w:rPr>
          <w:rFonts w:eastAsia="Calibri"/>
          <w:lang w:val="en-GB"/>
        </w:rPr>
        <w:t>with a view to ring-fencing its balance sheet</w:t>
      </w:r>
      <w:r w:rsidR="00665E3C" w:rsidRPr="003519B9">
        <w:rPr>
          <w:rFonts w:eastAsia="Calibri"/>
          <w:lang w:val="en-GB"/>
        </w:rPr>
        <w:t>,</w:t>
      </w:r>
      <w:r w:rsidR="00D15F5A" w:rsidRPr="003519B9">
        <w:rPr>
          <w:rFonts w:eastAsia="Calibri"/>
          <w:lang w:val="en-GB"/>
        </w:rPr>
        <w:t xml:space="preserve"> </w:t>
      </w:r>
      <w:r w:rsidR="00665E3C" w:rsidRPr="003519B9">
        <w:rPr>
          <w:lang w:val="en-GB"/>
        </w:rPr>
        <w:t>thereby</w:t>
      </w:r>
      <w:r w:rsidRPr="003519B9">
        <w:rPr>
          <w:lang w:val="en-GB"/>
        </w:rPr>
        <w:t xml:space="preserve"> protecting its</w:t>
      </w:r>
      <w:r w:rsidR="005B7199" w:rsidRPr="003519B9">
        <w:rPr>
          <w:lang w:val="en-GB"/>
        </w:rPr>
        <w:t>elf</w:t>
      </w:r>
      <w:r w:rsidRPr="003519B9">
        <w:rPr>
          <w:lang w:val="en-GB"/>
        </w:rPr>
        <w:t xml:space="preserve"> from bankruptcy</w:t>
      </w:r>
      <w:r w:rsidR="00665E3C" w:rsidRPr="003519B9">
        <w:rPr>
          <w:lang w:val="en-GB"/>
        </w:rPr>
        <w:t xml:space="preserve"> in the event of the failure of NBEIL.</w:t>
      </w:r>
      <w:r w:rsidRPr="003519B9">
        <w:rPr>
          <w:rFonts w:eastAsia="Calibri"/>
          <w:lang w:val="en-GB"/>
        </w:rPr>
        <w:t xml:space="preserve"> Also, </w:t>
      </w:r>
      <w:r w:rsidR="00665E3C" w:rsidRPr="003519B9">
        <w:rPr>
          <w:rFonts w:eastAsia="Calibri"/>
          <w:lang w:val="en-GB"/>
        </w:rPr>
        <w:t>since</w:t>
      </w:r>
      <w:r w:rsidR="00D15F5A" w:rsidRPr="003519B9">
        <w:rPr>
          <w:rFonts w:eastAsia="Calibri"/>
          <w:lang w:val="en-GB"/>
        </w:rPr>
        <w:t xml:space="preserve"> </w:t>
      </w:r>
      <w:r w:rsidR="00BE36BE" w:rsidRPr="003519B9">
        <w:rPr>
          <w:rFonts w:eastAsia="Calibri"/>
          <w:lang w:val="en-GB"/>
        </w:rPr>
        <w:t xml:space="preserve">the </w:t>
      </w:r>
      <w:r w:rsidRPr="003519B9">
        <w:rPr>
          <w:rFonts w:eastAsia="Calibri"/>
          <w:lang w:val="en-GB"/>
        </w:rPr>
        <w:t>size of NBVL’s operations</w:t>
      </w:r>
      <w:r w:rsidR="00575A61" w:rsidRPr="003519B9">
        <w:rPr>
          <w:lang w:val="en-GB"/>
        </w:rPr>
        <w:t>—</w:t>
      </w:r>
      <w:r w:rsidRPr="003519B9">
        <w:rPr>
          <w:lang w:val="en-GB"/>
        </w:rPr>
        <w:t xml:space="preserve">total sales of </w:t>
      </w:r>
      <w:r w:rsidRPr="003519B9">
        <w:rPr>
          <w:rFonts w:ascii="Tahoma" w:hAnsi="Tahoma" w:cs="Tahoma"/>
          <w:sz w:val="20"/>
          <w:szCs w:val="20"/>
          <w:lang w:val="en-GB"/>
        </w:rPr>
        <w:t>₹</w:t>
      </w:r>
      <w:r w:rsidRPr="003519B9">
        <w:rPr>
          <w:lang w:val="en-GB"/>
        </w:rPr>
        <w:t xml:space="preserve">12.81 billion during </w:t>
      </w:r>
      <w:r w:rsidR="00DD3768" w:rsidRPr="003519B9">
        <w:rPr>
          <w:lang w:val="en-GB"/>
        </w:rPr>
        <w:t>financial</w:t>
      </w:r>
      <w:r w:rsidR="00BE36BE" w:rsidRPr="003519B9">
        <w:rPr>
          <w:lang w:val="en-GB"/>
        </w:rPr>
        <w:t xml:space="preserve"> year</w:t>
      </w:r>
      <w:r w:rsidR="00DD3768" w:rsidRPr="003519B9">
        <w:rPr>
          <w:lang w:val="en-GB"/>
        </w:rPr>
        <w:t xml:space="preserve"> (FY)</w:t>
      </w:r>
      <w:r w:rsidRPr="003519B9">
        <w:rPr>
          <w:lang w:val="en-GB"/>
        </w:rPr>
        <w:t xml:space="preserve"> 2008</w:t>
      </w:r>
      <w:r w:rsidR="00BE36BE" w:rsidRPr="003519B9">
        <w:rPr>
          <w:lang w:val="en-GB"/>
        </w:rPr>
        <w:t>–</w:t>
      </w:r>
      <w:r w:rsidRPr="003519B9">
        <w:rPr>
          <w:lang w:val="en-GB"/>
        </w:rPr>
        <w:t>09</w:t>
      </w:r>
      <w:r w:rsidR="00575A61" w:rsidRPr="003519B9">
        <w:rPr>
          <w:lang w:val="en-GB"/>
        </w:rPr>
        <w:t>—</w:t>
      </w:r>
      <w:r w:rsidRPr="003519B9">
        <w:rPr>
          <w:rFonts w:eastAsia="Calibri"/>
          <w:lang w:val="en-GB"/>
        </w:rPr>
        <w:t xml:space="preserve">was relatively lower than the cost of the projects </w:t>
      </w:r>
      <w:r w:rsidRPr="003519B9">
        <w:rPr>
          <w:lang w:val="en-GB"/>
        </w:rPr>
        <w:t>(</w:t>
      </w:r>
      <w:r w:rsidRPr="003519B9">
        <w:rPr>
          <w:rFonts w:ascii="Tahoma" w:hAnsi="Tahoma" w:cs="Tahoma"/>
          <w:sz w:val="20"/>
          <w:szCs w:val="20"/>
          <w:lang w:val="en-GB"/>
        </w:rPr>
        <w:t>₹</w:t>
      </w:r>
      <w:r w:rsidRPr="003519B9">
        <w:rPr>
          <w:lang w:val="en-GB"/>
        </w:rPr>
        <w:t>13.86 billion)</w:t>
      </w:r>
      <w:r w:rsidRPr="003519B9">
        <w:rPr>
          <w:rFonts w:eastAsia="Calibri"/>
          <w:lang w:val="en-GB"/>
        </w:rPr>
        <w:t xml:space="preserve">, </w:t>
      </w:r>
      <w:r w:rsidR="00385FF2" w:rsidRPr="003519B9">
        <w:rPr>
          <w:rFonts w:eastAsia="Calibri"/>
          <w:lang w:val="en-GB"/>
        </w:rPr>
        <w:t>NBVL</w:t>
      </w:r>
      <w:r w:rsidRPr="003519B9">
        <w:rPr>
          <w:rFonts w:eastAsia="Calibri"/>
          <w:lang w:val="en-GB"/>
        </w:rPr>
        <w:t xml:space="preserve"> created NBEIL as </w:t>
      </w:r>
      <w:r w:rsidR="005B7199" w:rsidRPr="003519B9">
        <w:rPr>
          <w:rFonts w:eastAsia="Calibri"/>
          <w:lang w:val="en-GB"/>
        </w:rPr>
        <w:t>a</w:t>
      </w:r>
      <w:r w:rsidR="00381B2D" w:rsidRPr="003519B9">
        <w:rPr>
          <w:rFonts w:eastAsia="Calibri"/>
          <w:lang w:val="en-GB"/>
        </w:rPr>
        <w:t xml:space="preserve"> </w:t>
      </w:r>
      <w:r w:rsidR="005D66A4" w:rsidRPr="003519B9">
        <w:rPr>
          <w:rFonts w:eastAsia="Calibri"/>
          <w:lang w:val="en-GB"/>
        </w:rPr>
        <w:t>way to protect the parent company’s assets</w:t>
      </w:r>
      <w:r w:rsidR="00683147" w:rsidRPr="003519B9">
        <w:rPr>
          <w:rFonts w:eastAsia="Calibri"/>
          <w:lang w:val="en-GB"/>
        </w:rPr>
        <w:t>.</w:t>
      </w:r>
    </w:p>
    <w:p w14:paraId="2E3EF877" w14:textId="77777777" w:rsidR="00801BA2" w:rsidRPr="003519B9" w:rsidRDefault="00801BA2" w:rsidP="00242175">
      <w:pPr>
        <w:pStyle w:val="BodyTextMain"/>
        <w:rPr>
          <w:rFonts w:eastAsia="Calibri"/>
          <w:lang w:val="en-GB"/>
        </w:rPr>
      </w:pPr>
    </w:p>
    <w:p w14:paraId="40CEB251" w14:textId="0F6C0BFF" w:rsidR="0028127C" w:rsidRPr="003519B9" w:rsidRDefault="0028127C" w:rsidP="00242175">
      <w:pPr>
        <w:pStyle w:val="BodyTextMain"/>
        <w:rPr>
          <w:lang w:val="en-GB"/>
        </w:rPr>
      </w:pPr>
      <w:r w:rsidRPr="00F83DEA">
        <w:rPr>
          <w:rFonts w:eastAsia="Calibri"/>
          <w:lang w:val="en-GB"/>
        </w:rPr>
        <w:t xml:space="preserve">While </w:t>
      </w:r>
      <w:r w:rsidR="00F35A98" w:rsidRPr="00F83DEA">
        <w:rPr>
          <w:rFonts w:eastAsia="Calibri"/>
          <w:lang w:val="en-GB"/>
        </w:rPr>
        <w:t>Devineni</w:t>
      </w:r>
      <w:r w:rsidR="00DD3768" w:rsidRPr="00F83DEA">
        <w:rPr>
          <w:rFonts w:eastAsia="Calibri"/>
          <w:lang w:val="en-GB"/>
        </w:rPr>
        <w:t xml:space="preserve"> </w:t>
      </w:r>
      <w:r w:rsidRPr="00F83DEA">
        <w:rPr>
          <w:rFonts w:eastAsia="Calibri"/>
          <w:lang w:val="en-GB"/>
        </w:rPr>
        <w:t xml:space="preserve">and </w:t>
      </w:r>
      <w:r w:rsidR="00B1213B" w:rsidRPr="00F83DEA">
        <w:rPr>
          <w:rFonts w:eastAsia="Calibri"/>
          <w:lang w:val="en-GB"/>
        </w:rPr>
        <w:t>P</w:t>
      </w:r>
      <w:r w:rsidR="000D6D33" w:rsidRPr="00F83DEA">
        <w:rPr>
          <w:rFonts w:eastAsia="Calibri"/>
          <w:lang w:val="en-GB"/>
        </w:rPr>
        <w:t>innamaneni</w:t>
      </w:r>
      <w:r w:rsidRPr="00F83DEA">
        <w:rPr>
          <w:rFonts w:eastAsia="Calibri"/>
          <w:lang w:val="en-GB"/>
        </w:rPr>
        <w:t xml:space="preserve"> </w:t>
      </w:r>
      <w:r w:rsidR="00F35A98" w:rsidRPr="00F83DEA">
        <w:rPr>
          <w:rFonts w:eastAsia="Calibri"/>
          <w:lang w:val="en-GB"/>
        </w:rPr>
        <w:t xml:space="preserve">were </w:t>
      </w:r>
      <w:r w:rsidRPr="00F83DEA">
        <w:rPr>
          <w:rFonts w:eastAsia="Calibri"/>
          <w:lang w:val="en-GB"/>
        </w:rPr>
        <w:t xml:space="preserve">on the board of NBEIL, </w:t>
      </w:r>
      <w:r w:rsidR="00385FF2" w:rsidRPr="00F83DEA">
        <w:rPr>
          <w:rFonts w:eastAsia="Calibri"/>
          <w:lang w:val="en-GB"/>
        </w:rPr>
        <w:t>the</w:t>
      </w:r>
      <w:r w:rsidR="00D15F5A" w:rsidRPr="00F83DEA">
        <w:rPr>
          <w:rFonts w:eastAsia="Calibri"/>
          <w:lang w:val="en-GB"/>
        </w:rPr>
        <w:t xml:space="preserve"> </w:t>
      </w:r>
      <w:r w:rsidR="00385FF2" w:rsidRPr="00F83DEA">
        <w:rPr>
          <w:rFonts w:eastAsia="Calibri"/>
          <w:lang w:val="en-GB"/>
        </w:rPr>
        <w:t xml:space="preserve">SPV’s </w:t>
      </w:r>
      <w:r w:rsidRPr="00F83DEA">
        <w:rPr>
          <w:rFonts w:eastAsia="Calibri"/>
          <w:lang w:val="en-GB"/>
        </w:rPr>
        <w:t xml:space="preserve">day-to-day activities were managed by a team of experienced professionals. </w:t>
      </w:r>
      <w:r w:rsidRPr="00F83DEA">
        <w:rPr>
          <w:lang w:val="en-GB"/>
        </w:rPr>
        <w:t>NBEIL constituted a project management committee for supervising implementation of the projects</w:t>
      </w:r>
      <w:r w:rsidR="006A6539" w:rsidRPr="00F83DEA">
        <w:rPr>
          <w:lang w:val="en-GB"/>
        </w:rPr>
        <w:t>, and t</w:t>
      </w:r>
      <w:r w:rsidRPr="00F83DEA">
        <w:rPr>
          <w:lang w:val="en-GB"/>
        </w:rPr>
        <w:t xml:space="preserve">he projects were </w:t>
      </w:r>
      <w:r w:rsidR="00683147" w:rsidRPr="00F83DEA">
        <w:rPr>
          <w:lang w:val="en-GB"/>
        </w:rPr>
        <w:t xml:space="preserve">expected to launch </w:t>
      </w:r>
      <w:r w:rsidR="006A6539" w:rsidRPr="00F83DEA">
        <w:rPr>
          <w:lang w:val="en-GB"/>
        </w:rPr>
        <w:t>2.5</w:t>
      </w:r>
      <w:r w:rsidRPr="00F83DEA">
        <w:rPr>
          <w:lang w:val="en-GB"/>
        </w:rPr>
        <w:t xml:space="preserve"> years from the date of financial closure</w:t>
      </w:r>
      <w:r w:rsidR="00D15F5A" w:rsidRPr="00F83DEA">
        <w:rPr>
          <w:lang w:val="en-GB"/>
        </w:rPr>
        <w:t xml:space="preserve"> </w:t>
      </w:r>
      <w:r w:rsidRPr="00F83DEA">
        <w:rPr>
          <w:lang w:val="en-GB"/>
        </w:rPr>
        <w:t>(i.e., tentative date of financial closure was estimated as October 1, 2009).</w:t>
      </w:r>
      <w:r w:rsidR="00DD3768" w:rsidRPr="00F83DEA">
        <w:rPr>
          <w:rStyle w:val="FootnoteReference"/>
          <w:lang w:val="en-GB"/>
        </w:rPr>
        <w:footnoteReference w:id="4"/>
      </w:r>
    </w:p>
    <w:p w14:paraId="549B9309" w14:textId="77777777" w:rsidR="0028127C" w:rsidRPr="003519B9" w:rsidRDefault="0028127C" w:rsidP="00A466D1">
      <w:pPr>
        <w:pStyle w:val="BodyTextMain"/>
        <w:rPr>
          <w:lang w:val="en-GB"/>
        </w:rPr>
      </w:pPr>
    </w:p>
    <w:p w14:paraId="6F64904A" w14:textId="77777777" w:rsidR="00A466D1" w:rsidRPr="003519B9" w:rsidRDefault="00A466D1" w:rsidP="00A466D1">
      <w:pPr>
        <w:pStyle w:val="BodyTextMain"/>
        <w:rPr>
          <w:lang w:val="en-GB"/>
        </w:rPr>
      </w:pPr>
    </w:p>
    <w:p w14:paraId="000066CA" w14:textId="77777777" w:rsidR="0028127C" w:rsidRPr="003519B9" w:rsidRDefault="007419D3" w:rsidP="00DD3768">
      <w:pPr>
        <w:pStyle w:val="Casehead1"/>
        <w:keepNext/>
        <w:rPr>
          <w:vertAlign w:val="subscript"/>
          <w:lang w:val="en-GB"/>
        </w:rPr>
      </w:pPr>
      <w:r w:rsidRPr="003519B9">
        <w:rPr>
          <w:caps w:val="0"/>
          <w:lang w:val="en-GB"/>
        </w:rPr>
        <w:lastRenderedPageBreak/>
        <w:t xml:space="preserve">Financial Performance </w:t>
      </w:r>
      <w:r w:rsidR="00613950" w:rsidRPr="003519B9">
        <w:rPr>
          <w:caps w:val="0"/>
          <w:lang w:val="en-GB"/>
        </w:rPr>
        <w:t>of Nava Bharat Ventures Limited</w:t>
      </w:r>
    </w:p>
    <w:p w14:paraId="2A740942" w14:textId="77777777" w:rsidR="0028127C" w:rsidRPr="003519B9" w:rsidRDefault="0028127C" w:rsidP="00DD3768">
      <w:pPr>
        <w:pStyle w:val="BodyTextMain"/>
        <w:keepNext/>
        <w:rPr>
          <w:rFonts w:eastAsia="Calibri"/>
          <w:lang w:val="en-GB"/>
        </w:rPr>
      </w:pPr>
    </w:p>
    <w:p w14:paraId="4093F375" w14:textId="178FBA12" w:rsidR="0028127C" w:rsidRPr="003519B9" w:rsidRDefault="0028127C" w:rsidP="00DD3768">
      <w:pPr>
        <w:pStyle w:val="BodyTextMain"/>
        <w:keepNext/>
        <w:rPr>
          <w:lang w:val="en-GB"/>
        </w:rPr>
      </w:pPr>
      <w:r w:rsidRPr="003519B9">
        <w:rPr>
          <w:rFonts w:eastAsia="Calibri"/>
          <w:lang w:val="en-GB"/>
        </w:rPr>
        <w:t xml:space="preserve">NBVL’s FY </w:t>
      </w:r>
      <w:r w:rsidR="00613950" w:rsidRPr="003519B9">
        <w:rPr>
          <w:rFonts w:eastAsia="Calibri"/>
          <w:lang w:val="en-GB"/>
        </w:rPr>
        <w:t>ran</w:t>
      </w:r>
      <w:r w:rsidRPr="003519B9">
        <w:rPr>
          <w:rFonts w:eastAsia="Calibri"/>
          <w:lang w:val="en-GB"/>
        </w:rPr>
        <w:t xml:space="preserve"> from April 1 to March 31. </w:t>
      </w:r>
      <w:r w:rsidR="003D68D3" w:rsidRPr="003519B9">
        <w:rPr>
          <w:rFonts w:eastAsia="Calibri"/>
          <w:lang w:val="en-GB"/>
        </w:rPr>
        <w:t>NBVL</w:t>
      </w:r>
      <w:r w:rsidRPr="003519B9">
        <w:rPr>
          <w:rFonts w:eastAsia="Calibri"/>
          <w:lang w:val="en-GB"/>
        </w:rPr>
        <w:t xml:space="preserve"> registered total sales of </w:t>
      </w:r>
      <w:r w:rsidRPr="003519B9">
        <w:rPr>
          <w:rFonts w:ascii="Tahoma" w:eastAsia="Calibri" w:hAnsi="Tahoma" w:cs="Tahoma"/>
          <w:sz w:val="20"/>
          <w:szCs w:val="20"/>
          <w:lang w:val="en-GB"/>
        </w:rPr>
        <w:t>₹</w:t>
      </w:r>
      <w:r w:rsidRPr="003519B9">
        <w:rPr>
          <w:rFonts w:eastAsia="Calibri"/>
          <w:lang w:val="en-GB"/>
        </w:rPr>
        <w:t>12.81 billion</w:t>
      </w:r>
      <w:r w:rsidR="00613950" w:rsidRPr="003519B9">
        <w:rPr>
          <w:rFonts w:eastAsia="Calibri"/>
          <w:lang w:val="en-GB"/>
        </w:rPr>
        <w:t>,</w:t>
      </w:r>
      <w:r w:rsidRPr="003519B9">
        <w:rPr>
          <w:rFonts w:eastAsia="Calibri"/>
          <w:lang w:val="en-GB"/>
        </w:rPr>
        <w:t xml:space="preserve"> with a profit after tax of </w:t>
      </w:r>
      <w:r w:rsidRPr="003519B9">
        <w:rPr>
          <w:rFonts w:ascii="Tahoma" w:eastAsia="Calibri" w:hAnsi="Tahoma" w:cs="Tahoma"/>
          <w:sz w:val="20"/>
          <w:szCs w:val="20"/>
          <w:lang w:val="en-GB"/>
        </w:rPr>
        <w:t>₹</w:t>
      </w:r>
      <w:r w:rsidRPr="003519B9">
        <w:rPr>
          <w:rFonts w:eastAsia="Calibri"/>
          <w:lang w:val="en-GB"/>
        </w:rPr>
        <w:t>4.55 billion during FY 2008</w:t>
      </w:r>
      <w:r w:rsidR="00613950" w:rsidRPr="003519B9">
        <w:rPr>
          <w:rFonts w:eastAsia="Calibri"/>
          <w:lang w:val="en-GB"/>
        </w:rPr>
        <w:t>–</w:t>
      </w:r>
      <w:r w:rsidRPr="003519B9">
        <w:rPr>
          <w:rFonts w:eastAsia="Calibri"/>
          <w:lang w:val="en-GB"/>
        </w:rPr>
        <w:t xml:space="preserve">09. </w:t>
      </w:r>
      <w:r w:rsidRPr="003519B9">
        <w:rPr>
          <w:lang w:val="en-GB"/>
        </w:rPr>
        <w:t>NBVL had gross cash accruals</w:t>
      </w:r>
      <w:r w:rsidRPr="003519B9">
        <w:rPr>
          <w:rStyle w:val="FootnoteReference"/>
          <w:lang w:val="en-GB"/>
        </w:rPr>
        <w:footnoteReference w:id="5"/>
      </w:r>
      <w:r w:rsidRPr="003519B9">
        <w:rPr>
          <w:lang w:val="en-GB"/>
        </w:rPr>
        <w:t xml:space="preserve"> of </w:t>
      </w:r>
      <w:r w:rsidRPr="003519B9">
        <w:rPr>
          <w:rFonts w:ascii="Tahoma" w:hAnsi="Tahoma" w:cs="Tahoma"/>
          <w:sz w:val="20"/>
          <w:szCs w:val="20"/>
          <w:lang w:val="en-GB"/>
        </w:rPr>
        <w:t>₹</w:t>
      </w:r>
      <w:r w:rsidRPr="003519B9">
        <w:rPr>
          <w:lang w:val="en-GB"/>
        </w:rPr>
        <w:t>4.93</w:t>
      </w:r>
      <w:r w:rsidR="00F76606">
        <w:rPr>
          <w:lang w:val="en-GB"/>
        </w:rPr>
        <w:t xml:space="preserve"> </w:t>
      </w:r>
      <w:r w:rsidRPr="003519B9">
        <w:rPr>
          <w:rFonts w:eastAsia="Calibri"/>
          <w:lang w:val="en-GB"/>
        </w:rPr>
        <w:t>billion</w:t>
      </w:r>
      <w:r w:rsidRPr="003519B9">
        <w:rPr>
          <w:lang w:val="en-GB"/>
        </w:rPr>
        <w:t xml:space="preserve"> during FY 2008</w:t>
      </w:r>
      <w:r w:rsidR="00613950" w:rsidRPr="003519B9">
        <w:rPr>
          <w:rFonts w:eastAsia="Calibri"/>
          <w:lang w:val="en-GB"/>
        </w:rPr>
        <w:t>–</w:t>
      </w:r>
      <w:r w:rsidRPr="003519B9">
        <w:rPr>
          <w:lang w:val="en-GB"/>
        </w:rPr>
        <w:t xml:space="preserve">09. It had cash and </w:t>
      </w:r>
      <w:r w:rsidR="00613950" w:rsidRPr="003519B9">
        <w:rPr>
          <w:lang w:val="en-GB"/>
        </w:rPr>
        <w:t>cash</w:t>
      </w:r>
      <w:r w:rsidR="00D15F5A" w:rsidRPr="003519B9">
        <w:rPr>
          <w:lang w:val="en-GB"/>
        </w:rPr>
        <w:t xml:space="preserve"> </w:t>
      </w:r>
      <w:r w:rsidRPr="003519B9">
        <w:rPr>
          <w:lang w:val="en-GB"/>
        </w:rPr>
        <w:t xml:space="preserve">equivalents of </w:t>
      </w:r>
      <w:r w:rsidRPr="003519B9">
        <w:rPr>
          <w:rFonts w:ascii="Tahoma" w:hAnsi="Tahoma" w:cs="Tahoma"/>
          <w:sz w:val="20"/>
          <w:szCs w:val="20"/>
          <w:lang w:val="en-GB"/>
        </w:rPr>
        <w:t>₹</w:t>
      </w:r>
      <w:r w:rsidRPr="003519B9">
        <w:rPr>
          <w:lang w:val="en-GB"/>
        </w:rPr>
        <w:t xml:space="preserve">3.33 </w:t>
      </w:r>
      <w:r w:rsidRPr="003519B9">
        <w:rPr>
          <w:rFonts w:eastAsia="Calibri"/>
          <w:lang w:val="en-GB"/>
        </w:rPr>
        <w:t>billion</w:t>
      </w:r>
      <w:r w:rsidRPr="003519B9">
        <w:rPr>
          <w:lang w:val="en-GB"/>
        </w:rPr>
        <w:t xml:space="preserve"> as of March 31, 2009. Further, NBVL earned a net profit of </w:t>
      </w:r>
      <w:r w:rsidRPr="003519B9">
        <w:rPr>
          <w:rFonts w:ascii="Tahoma" w:hAnsi="Tahoma" w:cs="Tahoma"/>
          <w:sz w:val="20"/>
          <w:szCs w:val="20"/>
          <w:lang w:val="en-GB"/>
        </w:rPr>
        <w:t>₹</w:t>
      </w:r>
      <w:r w:rsidRPr="003519B9">
        <w:rPr>
          <w:lang w:val="en-GB"/>
        </w:rPr>
        <w:t xml:space="preserve">1.36 </w:t>
      </w:r>
      <w:r w:rsidRPr="003519B9">
        <w:rPr>
          <w:rFonts w:eastAsia="Calibri"/>
          <w:lang w:val="en-GB"/>
        </w:rPr>
        <w:t>billion</w:t>
      </w:r>
      <w:r w:rsidRPr="003519B9">
        <w:rPr>
          <w:lang w:val="en-GB"/>
        </w:rPr>
        <w:t xml:space="preserve"> during the first quarter ended on June 30, 2009. </w:t>
      </w:r>
      <w:r w:rsidR="00F35A98" w:rsidRPr="003519B9">
        <w:rPr>
          <w:rFonts w:eastAsia="Calibri"/>
          <w:lang w:val="en-GB"/>
        </w:rPr>
        <w:t xml:space="preserve">Its </w:t>
      </w:r>
      <w:r w:rsidRPr="003519B9">
        <w:rPr>
          <w:rFonts w:eastAsia="Calibri"/>
          <w:lang w:val="en-GB"/>
        </w:rPr>
        <w:t xml:space="preserve">net worth was </w:t>
      </w:r>
      <w:r w:rsidRPr="003519B9">
        <w:rPr>
          <w:rFonts w:ascii="Tahoma" w:eastAsia="Calibri" w:hAnsi="Tahoma" w:cs="Tahoma"/>
          <w:sz w:val="20"/>
          <w:szCs w:val="20"/>
          <w:lang w:val="en-GB"/>
        </w:rPr>
        <w:t>₹</w:t>
      </w:r>
      <w:r w:rsidRPr="003519B9">
        <w:rPr>
          <w:rFonts w:eastAsia="Calibri"/>
          <w:lang w:val="en-GB"/>
        </w:rPr>
        <w:t xml:space="preserve">11.71 billion as of March 31, 2009. While its debt-equity ratio was 0.35, </w:t>
      </w:r>
      <w:r w:rsidR="00613950" w:rsidRPr="003519B9">
        <w:rPr>
          <w:rFonts w:eastAsia="Calibri"/>
          <w:lang w:val="en-GB"/>
        </w:rPr>
        <w:t>NBVL’s</w:t>
      </w:r>
      <w:r w:rsidRPr="003519B9">
        <w:rPr>
          <w:rFonts w:eastAsia="Calibri"/>
          <w:lang w:val="en-GB"/>
        </w:rPr>
        <w:t xml:space="preserve"> current ratio was 4.06 and its weighted average cost of capital was 10.80 per cent as of March 31, 2009.</w:t>
      </w:r>
      <w:r w:rsidR="00F35A98" w:rsidRPr="003519B9">
        <w:rPr>
          <w:rFonts w:eastAsia="Calibri"/>
          <w:lang w:val="en-GB"/>
        </w:rPr>
        <w:t xml:space="preserve"> </w:t>
      </w:r>
      <w:r w:rsidRPr="003519B9">
        <w:rPr>
          <w:lang w:val="en-GB"/>
        </w:rPr>
        <w:t xml:space="preserve">NBEIL did not record any revenue </w:t>
      </w:r>
      <w:r w:rsidR="009913CA" w:rsidRPr="003519B9">
        <w:rPr>
          <w:lang w:val="en-GB"/>
        </w:rPr>
        <w:t>in 2009 since</w:t>
      </w:r>
      <w:r w:rsidRPr="003519B9">
        <w:rPr>
          <w:lang w:val="en-GB"/>
        </w:rPr>
        <w:t xml:space="preserve"> it had not </w:t>
      </w:r>
      <w:r w:rsidR="009913CA" w:rsidRPr="003519B9">
        <w:rPr>
          <w:lang w:val="en-GB"/>
        </w:rPr>
        <w:t xml:space="preserve">yet </w:t>
      </w:r>
      <w:r w:rsidRPr="003519B9">
        <w:rPr>
          <w:lang w:val="en-GB"/>
        </w:rPr>
        <w:t xml:space="preserve">commenced commercial operations. </w:t>
      </w:r>
      <w:r w:rsidR="009913CA" w:rsidRPr="003519B9">
        <w:rPr>
          <w:lang w:val="en-GB"/>
        </w:rPr>
        <w:t>NBVL’s owners</w:t>
      </w:r>
      <w:r w:rsidR="00D15F5A" w:rsidRPr="003519B9">
        <w:rPr>
          <w:lang w:val="en-GB"/>
        </w:rPr>
        <w:t xml:space="preserve"> </w:t>
      </w:r>
      <w:r w:rsidR="00613950" w:rsidRPr="003519B9">
        <w:rPr>
          <w:lang w:val="en-GB"/>
        </w:rPr>
        <w:t xml:space="preserve">had </w:t>
      </w:r>
      <w:r w:rsidRPr="003519B9">
        <w:rPr>
          <w:lang w:val="en-GB"/>
        </w:rPr>
        <w:t xml:space="preserve">spent </w:t>
      </w:r>
      <w:r w:rsidRPr="003519B9">
        <w:rPr>
          <w:rFonts w:ascii="Tahoma" w:hAnsi="Tahoma" w:cs="Tahoma"/>
          <w:sz w:val="20"/>
          <w:szCs w:val="20"/>
          <w:lang w:val="en-GB"/>
        </w:rPr>
        <w:t>₹</w:t>
      </w:r>
      <w:r w:rsidRPr="003519B9">
        <w:rPr>
          <w:lang w:val="en-GB"/>
        </w:rPr>
        <w:t xml:space="preserve">28 million </w:t>
      </w:r>
      <w:r w:rsidR="00613950" w:rsidRPr="003519B9">
        <w:rPr>
          <w:lang w:val="en-GB"/>
        </w:rPr>
        <w:t>on promoting</w:t>
      </w:r>
      <w:r w:rsidRPr="003519B9">
        <w:rPr>
          <w:lang w:val="en-GB"/>
        </w:rPr>
        <w:t xml:space="preserve"> NBEIL’s projects as of June 30, 2009. </w:t>
      </w:r>
    </w:p>
    <w:p w14:paraId="06EFA5E6" w14:textId="77777777" w:rsidR="0028127C" w:rsidRPr="003519B9" w:rsidRDefault="0028127C" w:rsidP="00242175">
      <w:pPr>
        <w:pStyle w:val="BodyTextMain"/>
        <w:rPr>
          <w:lang w:val="en-GB"/>
        </w:rPr>
      </w:pPr>
    </w:p>
    <w:p w14:paraId="32BC2C97" w14:textId="3FF6C176" w:rsidR="0028127C" w:rsidRPr="003519B9" w:rsidRDefault="0028127C" w:rsidP="00242175">
      <w:pPr>
        <w:pStyle w:val="BodyTextMain"/>
        <w:rPr>
          <w:color w:val="000000"/>
          <w:lang w:val="en-GB"/>
        </w:rPr>
      </w:pPr>
      <w:r w:rsidRPr="003519B9">
        <w:rPr>
          <w:lang w:val="en-GB"/>
        </w:rPr>
        <w:t xml:space="preserve">NBVL’s shares were listed on </w:t>
      </w:r>
      <w:r w:rsidR="00613950" w:rsidRPr="003519B9">
        <w:rPr>
          <w:lang w:val="en-GB"/>
        </w:rPr>
        <w:t xml:space="preserve">the </w:t>
      </w:r>
      <w:r w:rsidRPr="003519B9">
        <w:rPr>
          <w:lang w:val="en-GB"/>
        </w:rPr>
        <w:t xml:space="preserve">Bombay Stock Exchange as well as on </w:t>
      </w:r>
      <w:r w:rsidR="00613950" w:rsidRPr="003519B9">
        <w:rPr>
          <w:lang w:val="en-GB"/>
        </w:rPr>
        <w:t xml:space="preserve">the </w:t>
      </w:r>
      <w:r w:rsidRPr="003519B9">
        <w:rPr>
          <w:lang w:val="en-GB"/>
        </w:rPr>
        <w:t xml:space="preserve">National Stock Exchange of India Limited. The shares traded at </w:t>
      </w:r>
      <w:r w:rsidRPr="003519B9">
        <w:rPr>
          <w:rFonts w:ascii="Tahoma" w:hAnsi="Tahoma" w:cs="Tahoma"/>
          <w:sz w:val="20"/>
          <w:szCs w:val="20"/>
          <w:lang w:val="en-GB"/>
        </w:rPr>
        <w:t>₹</w:t>
      </w:r>
      <w:r w:rsidRPr="003519B9">
        <w:rPr>
          <w:lang w:val="en-GB"/>
        </w:rPr>
        <w:t xml:space="preserve">296 per share (with a face value of </w:t>
      </w:r>
      <w:r w:rsidRPr="003519B9">
        <w:rPr>
          <w:rFonts w:ascii="Tahoma" w:hAnsi="Tahoma" w:cs="Tahoma"/>
          <w:sz w:val="20"/>
          <w:szCs w:val="20"/>
          <w:lang w:val="en-GB"/>
        </w:rPr>
        <w:t>₹</w:t>
      </w:r>
      <w:r w:rsidRPr="003519B9">
        <w:rPr>
          <w:lang w:val="en-GB"/>
        </w:rPr>
        <w:t xml:space="preserve">2 each) on June 30, 2009, with a 52-week high/low value of </w:t>
      </w:r>
      <w:r w:rsidRPr="003519B9">
        <w:rPr>
          <w:rFonts w:ascii="Tahoma" w:hAnsi="Tahoma" w:cs="Tahoma"/>
          <w:sz w:val="20"/>
          <w:szCs w:val="20"/>
          <w:lang w:val="en-GB"/>
        </w:rPr>
        <w:t>₹</w:t>
      </w:r>
      <w:r w:rsidRPr="003519B9">
        <w:rPr>
          <w:lang w:val="en-GB"/>
        </w:rPr>
        <w:t>373/</w:t>
      </w:r>
      <w:r w:rsidRPr="003519B9">
        <w:rPr>
          <w:rFonts w:ascii="Tahoma" w:hAnsi="Tahoma" w:cs="Tahoma"/>
          <w:sz w:val="20"/>
          <w:szCs w:val="20"/>
          <w:lang w:val="en-GB"/>
        </w:rPr>
        <w:t>₹</w:t>
      </w:r>
      <w:r w:rsidRPr="003519B9">
        <w:rPr>
          <w:lang w:val="en-GB"/>
        </w:rPr>
        <w:t xml:space="preserve">91 per share </w:t>
      </w:r>
      <w:r w:rsidR="00613950" w:rsidRPr="003519B9">
        <w:rPr>
          <w:lang w:val="en-GB"/>
        </w:rPr>
        <w:t>on</w:t>
      </w:r>
      <w:r w:rsidR="00D15F5A" w:rsidRPr="003519B9">
        <w:rPr>
          <w:lang w:val="en-GB"/>
        </w:rPr>
        <w:t xml:space="preserve"> </w:t>
      </w:r>
      <w:r w:rsidR="00613950" w:rsidRPr="003519B9">
        <w:rPr>
          <w:lang w:val="en-GB"/>
        </w:rPr>
        <w:t xml:space="preserve">the </w:t>
      </w:r>
      <w:r w:rsidRPr="003519B9">
        <w:rPr>
          <w:lang w:val="en-GB"/>
        </w:rPr>
        <w:t xml:space="preserve">National Stock Exchange. </w:t>
      </w:r>
      <w:r w:rsidR="009913CA" w:rsidRPr="003519B9">
        <w:rPr>
          <w:lang w:val="en-GB"/>
        </w:rPr>
        <w:t>In</w:t>
      </w:r>
      <w:r w:rsidR="00F35A98" w:rsidRPr="003519B9">
        <w:rPr>
          <w:lang w:val="en-GB"/>
        </w:rPr>
        <w:t xml:space="preserve"> </w:t>
      </w:r>
      <w:r w:rsidR="009913CA" w:rsidRPr="003519B9">
        <w:rPr>
          <w:lang w:val="en-GB"/>
        </w:rPr>
        <w:t>a</w:t>
      </w:r>
      <w:r w:rsidRPr="003519B9">
        <w:rPr>
          <w:lang w:val="en-GB"/>
        </w:rPr>
        <w:t xml:space="preserve"> report dated June 30, 2009, </w:t>
      </w:r>
      <w:r w:rsidR="00613950" w:rsidRPr="003519B9">
        <w:rPr>
          <w:lang w:val="en-GB"/>
        </w:rPr>
        <w:t xml:space="preserve">the </w:t>
      </w:r>
      <w:r w:rsidRPr="003519B9">
        <w:rPr>
          <w:lang w:val="en-GB"/>
        </w:rPr>
        <w:t>Credit Rating Information Services of India Limited</w:t>
      </w:r>
      <w:r w:rsidR="00F35A98" w:rsidRPr="003519B9">
        <w:rPr>
          <w:lang w:val="en-GB"/>
        </w:rPr>
        <w:t xml:space="preserve"> </w:t>
      </w:r>
      <w:r w:rsidRPr="003519B9">
        <w:rPr>
          <w:lang w:val="en-GB"/>
        </w:rPr>
        <w:t xml:space="preserve">(CRISIL) assigned </w:t>
      </w:r>
      <w:r w:rsidR="00613950" w:rsidRPr="003519B9">
        <w:rPr>
          <w:lang w:val="en-GB"/>
        </w:rPr>
        <w:t xml:space="preserve">a </w:t>
      </w:r>
      <w:r w:rsidRPr="003519B9">
        <w:rPr>
          <w:lang w:val="en-GB"/>
        </w:rPr>
        <w:t xml:space="preserve">P1+ </w:t>
      </w:r>
      <w:r w:rsidR="00613950" w:rsidRPr="003519B9">
        <w:rPr>
          <w:lang w:val="en-GB"/>
        </w:rPr>
        <w:t xml:space="preserve">credit rating </w:t>
      </w:r>
      <w:r w:rsidRPr="003519B9">
        <w:rPr>
          <w:lang w:val="en-GB"/>
        </w:rPr>
        <w:t>to NBVL</w:t>
      </w:r>
      <w:r w:rsidRPr="003519B9">
        <w:rPr>
          <w:rStyle w:val="FootnoteReference"/>
          <w:lang w:val="en-GB"/>
        </w:rPr>
        <w:footnoteReference w:id="6"/>
      </w:r>
      <w:r w:rsidR="00613950" w:rsidRPr="003519B9">
        <w:rPr>
          <w:lang w:val="en-GB"/>
        </w:rPr>
        <w:t xml:space="preserve"> (i.e., the highest credit rating and, hence, the lowest credit risk</w:t>
      </w:r>
      <w:r w:rsidRPr="003519B9">
        <w:rPr>
          <w:lang w:val="en-GB"/>
        </w:rPr>
        <w:t xml:space="preserve">) owing to </w:t>
      </w:r>
      <w:r w:rsidR="00613950" w:rsidRPr="003519B9">
        <w:rPr>
          <w:lang w:val="en-GB"/>
        </w:rPr>
        <w:t>the company’s</w:t>
      </w:r>
      <w:r w:rsidRPr="003519B9">
        <w:rPr>
          <w:lang w:val="en-GB"/>
        </w:rPr>
        <w:t xml:space="preserve"> sound financial health</w:t>
      </w:r>
      <w:r w:rsidR="009913CA" w:rsidRPr="003519B9">
        <w:rPr>
          <w:lang w:val="en-GB"/>
        </w:rPr>
        <w:t xml:space="preserve"> and</w:t>
      </w:r>
      <w:r w:rsidRPr="003519B9">
        <w:rPr>
          <w:lang w:val="en-GB"/>
        </w:rPr>
        <w:t xml:space="preserve"> supported by its low leverage and adequate liquidity. </w:t>
      </w:r>
      <w:r w:rsidR="00052028" w:rsidRPr="003519B9">
        <w:rPr>
          <w:color w:val="000000"/>
          <w:lang w:val="en-GB"/>
        </w:rPr>
        <w:t xml:space="preserve">The names of all </w:t>
      </w:r>
      <w:r w:rsidRPr="003519B9">
        <w:rPr>
          <w:color w:val="000000"/>
          <w:lang w:val="en-GB"/>
        </w:rPr>
        <w:t xml:space="preserve">Nava Bharat </w:t>
      </w:r>
      <w:r w:rsidR="00052028" w:rsidRPr="003519B9">
        <w:rPr>
          <w:color w:val="000000"/>
          <w:lang w:val="en-GB"/>
        </w:rPr>
        <w:t xml:space="preserve">companies and their </w:t>
      </w:r>
      <w:r w:rsidRPr="003519B9">
        <w:rPr>
          <w:color w:val="000000"/>
          <w:lang w:val="en-GB"/>
        </w:rPr>
        <w:t xml:space="preserve">directors </w:t>
      </w:r>
      <w:r w:rsidR="00052028" w:rsidRPr="003519B9">
        <w:rPr>
          <w:color w:val="000000"/>
          <w:lang w:val="en-GB"/>
        </w:rPr>
        <w:t xml:space="preserve">were absent from </w:t>
      </w:r>
      <w:r w:rsidRPr="003519B9">
        <w:rPr>
          <w:color w:val="000000"/>
          <w:lang w:val="en-GB"/>
        </w:rPr>
        <w:t xml:space="preserve">the </w:t>
      </w:r>
      <w:r w:rsidRPr="003519B9">
        <w:rPr>
          <w:lang w:val="en-GB"/>
        </w:rPr>
        <w:t xml:space="preserve">defaulters’ list </w:t>
      </w:r>
      <w:r w:rsidRPr="003519B9">
        <w:rPr>
          <w:color w:val="000000"/>
          <w:lang w:val="en-GB"/>
        </w:rPr>
        <w:t xml:space="preserve">of </w:t>
      </w:r>
      <w:r w:rsidR="00613950" w:rsidRPr="003519B9">
        <w:rPr>
          <w:color w:val="000000"/>
          <w:lang w:val="en-GB"/>
        </w:rPr>
        <w:t xml:space="preserve">the </w:t>
      </w:r>
      <w:r w:rsidRPr="003519B9">
        <w:rPr>
          <w:color w:val="000000"/>
          <w:lang w:val="en-GB"/>
        </w:rPr>
        <w:t xml:space="preserve">Reserve Bank of India and </w:t>
      </w:r>
      <w:r w:rsidR="009A68BE" w:rsidRPr="003519B9">
        <w:rPr>
          <w:color w:val="000000"/>
          <w:lang w:val="en-GB"/>
        </w:rPr>
        <w:t xml:space="preserve">that of the </w:t>
      </w:r>
      <w:r w:rsidRPr="003519B9">
        <w:rPr>
          <w:color w:val="000000"/>
          <w:lang w:val="en-GB"/>
        </w:rPr>
        <w:t>Credit Information Bureau of India Limited.</w:t>
      </w:r>
    </w:p>
    <w:p w14:paraId="780773FE" w14:textId="77777777" w:rsidR="0028127C" w:rsidRPr="003519B9" w:rsidRDefault="0028127C" w:rsidP="00242175">
      <w:pPr>
        <w:pStyle w:val="BodyTextMain"/>
        <w:rPr>
          <w:color w:val="000000"/>
          <w:lang w:val="en-GB"/>
        </w:rPr>
      </w:pPr>
    </w:p>
    <w:p w14:paraId="50F9E0FE" w14:textId="77777777" w:rsidR="0028127C" w:rsidRPr="003519B9" w:rsidRDefault="0028127C" w:rsidP="00242175">
      <w:pPr>
        <w:pStyle w:val="BodyTextMain"/>
        <w:rPr>
          <w:color w:val="000000"/>
          <w:lang w:val="en-GB"/>
        </w:rPr>
      </w:pPr>
    </w:p>
    <w:p w14:paraId="1D3944B8" w14:textId="77777777" w:rsidR="0028127C" w:rsidRPr="003519B9" w:rsidRDefault="0028127C" w:rsidP="00BF2FDF">
      <w:pPr>
        <w:pStyle w:val="Casehead1"/>
        <w:rPr>
          <w:rFonts w:eastAsia="Calibri"/>
          <w:lang w:val="en-GB"/>
        </w:rPr>
      </w:pPr>
      <w:r w:rsidRPr="003519B9">
        <w:rPr>
          <w:rFonts w:eastAsia="Calibri"/>
          <w:lang w:val="en-GB"/>
        </w:rPr>
        <w:t xml:space="preserve">OUTLOOK ON </w:t>
      </w:r>
      <w:r w:rsidR="00B622FE" w:rsidRPr="003519B9">
        <w:rPr>
          <w:rFonts w:eastAsia="Calibri"/>
          <w:lang w:val="en-GB"/>
        </w:rPr>
        <w:t xml:space="preserve">India’s </w:t>
      </w:r>
      <w:r w:rsidRPr="003519B9">
        <w:rPr>
          <w:rFonts w:eastAsia="Calibri"/>
          <w:lang w:val="en-GB"/>
        </w:rPr>
        <w:t xml:space="preserve">POWER INDUSTRY </w:t>
      </w:r>
    </w:p>
    <w:p w14:paraId="390E1585" w14:textId="77777777" w:rsidR="0028127C" w:rsidRPr="003519B9" w:rsidRDefault="0028127C" w:rsidP="00242175">
      <w:pPr>
        <w:pStyle w:val="BodyTextMain"/>
        <w:rPr>
          <w:rFonts w:eastAsia="Calibri"/>
          <w:bCs/>
          <w:lang w:val="en-GB"/>
        </w:rPr>
      </w:pPr>
    </w:p>
    <w:p w14:paraId="6C5C5E83" w14:textId="7FE203ED" w:rsidR="009A68BE" w:rsidRPr="003519B9" w:rsidRDefault="0028127C" w:rsidP="00242175">
      <w:pPr>
        <w:pStyle w:val="BodyTextMain"/>
        <w:rPr>
          <w:lang w:val="en-GB"/>
        </w:rPr>
      </w:pPr>
      <w:r w:rsidRPr="003519B9">
        <w:rPr>
          <w:lang w:val="en-GB"/>
        </w:rPr>
        <w:t>India ha</w:t>
      </w:r>
      <w:r w:rsidR="00CF6C46" w:rsidRPr="003519B9">
        <w:rPr>
          <w:lang w:val="en-GB"/>
        </w:rPr>
        <w:t>d</w:t>
      </w:r>
      <w:r w:rsidRPr="003519B9">
        <w:rPr>
          <w:lang w:val="en-GB"/>
        </w:rPr>
        <w:t xml:space="preserve"> experienc</w:t>
      </w:r>
      <w:r w:rsidR="00CF6C46" w:rsidRPr="003519B9">
        <w:rPr>
          <w:lang w:val="en-GB"/>
        </w:rPr>
        <w:t>ed</w:t>
      </w:r>
      <w:r w:rsidRPr="003519B9">
        <w:rPr>
          <w:lang w:val="en-GB"/>
        </w:rPr>
        <w:t xml:space="preserve"> a deficit in electricity </w:t>
      </w:r>
      <w:r w:rsidR="006F2294" w:rsidRPr="003519B9">
        <w:rPr>
          <w:lang w:val="en-GB"/>
        </w:rPr>
        <w:t>since</w:t>
      </w:r>
      <w:r w:rsidRPr="003519B9">
        <w:rPr>
          <w:lang w:val="en-GB"/>
        </w:rPr>
        <w:t xml:space="preserve"> demand </w:t>
      </w:r>
      <w:r w:rsidR="006F2294" w:rsidRPr="003519B9">
        <w:rPr>
          <w:lang w:val="en-GB"/>
        </w:rPr>
        <w:t xml:space="preserve">had </w:t>
      </w:r>
      <w:r w:rsidRPr="003519B9">
        <w:rPr>
          <w:lang w:val="en-GB"/>
        </w:rPr>
        <w:t xml:space="preserve">exceeded supply over the years. </w:t>
      </w:r>
      <w:r w:rsidR="00CF6C46" w:rsidRPr="003519B9">
        <w:rPr>
          <w:lang w:val="en-GB"/>
        </w:rPr>
        <w:t>The p</w:t>
      </w:r>
      <w:r w:rsidRPr="003519B9">
        <w:rPr>
          <w:lang w:val="en-GB"/>
        </w:rPr>
        <w:t xml:space="preserve">eak power deficit </w:t>
      </w:r>
      <w:r w:rsidR="006F2294" w:rsidRPr="003519B9">
        <w:rPr>
          <w:lang w:val="en-GB"/>
        </w:rPr>
        <w:t>stood at approximately</w:t>
      </w:r>
      <w:r w:rsidRPr="003519B9">
        <w:rPr>
          <w:lang w:val="en-GB"/>
        </w:rPr>
        <w:t xml:space="preserve"> 3.20 per</w:t>
      </w:r>
      <w:r w:rsidR="00F35A98" w:rsidRPr="003519B9">
        <w:rPr>
          <w:lang w:val="en-GB"/>
        </w:rPr>
        <w:t xml:space="preserve"> </w:t>
      </w:r>
      <w:r w:rsidRPr="003519B9">
        <w:rPr>
          <w:lang w:val="en-GB"/>
        </w:rPr>
        <w:t>cent</w:t>
      </w:r>
      <w:r w:rsidRPr="003519B9">
        <w:rPr>
          <w:rStyle w:val="FootnoteReference"/>
          <w:lang w:val="en-GB"/>
        </w:rPr>
        <w:footnoteReference w:id="7"/>
      </w:r>
      <w:r w:rsidR="00F76606">
        <w:rPr>
          <w:lang w:val="en-GB"/>
        </w:rPr>
        <w:t xml:space="preserve"> </w:t>
      </w:r>
      <w:r w:rsidR="00CF6C46" w:rsidRPr="003519B9">
        <w:rPr>
          <w:lang w:val="en-GB"/>
        </w:rPr>
        <w:t xml:space="preserve">and </w:t>
      </w:r>
      <w:r w:rsidRPr="003519B9">
        <w:rPr>
          <w:lang w:val="en-GB"/>
        </w:rPr>
        <w:t xml:space="preserve">resulted in frequent power cuts in many parts of the country. CRISIL estimated </w:t>
      </w:r>
      <w:r w:rsidR="006F2294" w:rsidRPr="003519B9">
        <w:rPr>
          <w:lang w:val="en-GB"/>
        </w:rPr>
        <w:t>a</w:t>
      </w:r>
      <w:r w:rsidR="009A68BE" w:rsidRPr="003519B9">
        <w:rPr>
          <w:lang w:val="en-GB"/>
        </w:rPr>
        <w:t>n ongoing</w:t>
      </w:r>
      <w:r w:rsidR="00D15F5A" w:rsidRPr="003519B9">
        <w:rPr>
          <w:lang w:val="en-GB"/>
        </w:rPr>
        <w:t xml:space="preserve"> </w:t>
      </w:r>
      <w:r w:rsidRPr="003519B9">
        <w:rPr>
          <w:lang w:val="en-GB"/>
        </w:rPr>
        <w:t xml:space="preserve">healthy demand for power in India </w:t>
      </w:r>
      <w:r w:rsidR="00CF6C46" w:rsidRPr="003519B9">
        <w:rPr>
          <w:lang w:val="en-GB"/>
        </w:rPr>
        <w:t>un</w:t>
      </w:r>
      <w:r w:rsidRPr="003519B9">
        <w:rPr>
          <w:lang w:val="en-GB"/>
        </w:rPr>
        <w:t>til FY 2020</w:t>
      </w:r>
      <w:r w:rsidR="00CF6C46" w:rsidRPr="003519B9">
        <w:rPr>
          <w:lang w:val="en-GB"/>
        </w:rPr>
        <w:t>–</w:t>
      </w:r>
      <w:r w:rsidRPr="003519B9">
        <w:rPr>
          <w:lang w:val="en-GB"/>
        </w:rPr>
        <w:t>21</w:t>
      </w:r>
      <w:r w:rsidR="00CF6C46" w:rsidRPr="003519B9">
        <w:rPr>
          <w:lang w:val="en-GB"/>
        </w:rPr>
        <w:t>.</w:t>
      </w:r>
      <w:r w:rsidR="00F35A98" w:rsidRPr="003519B9">
        <w:rPr>
          <w:lang w:val="en-GB"/>
        </w:rPr>
        <w:t xml:space="preserve"> </w:t>
      </w:r>
      <w:r w:rsidR="00CF6C46" w:rsidRPr="003519B9">
        <w:rPr>
          <w:lang w:val="en-GB"/>
        </w:rPr>
        <w:t>W</w:t>
      </w:r>
      <w:r w:rsidRPr="003519B9">
        <w:rPr>
          <w:lang w:val="en-GB"/>
        </w:rPr>
        <w:t xml:space="preserve">hile </w:t>
      </w:r>
      <w:r w:rsidR="006F2294" w:rsidRPr="003519B9">
        <w:rPr>
          <w:lang w:val="en-GB"/>
        </w:rPr>
        <w:t xml:space="preserve">industrial </w:t>
      </w:r>
      <w:r w:rsidRPr="003519B9">
        <w:rPr>
          <w:lang w:val="en-GB"/>
        </w:rPr>
        <w:t xml:space="preserve">demand would increase </w:t>
      </w:r>
      <w:r w:rsidR="006F2294" w:rsidRPr="003519B9">
        <w:rPr>
          <w:lang w:val="en-GB"/>
        </w:rPr>
        <w:t>on</w:t>
      </w:r>
      <w:r w:rsidRPr="003519B9">
        <w:rPr>
          <w:lang w:val="en-GB"/>
        </w:rPr>
        <w:t xml:space="preserve"> par with the growth rate in India’s </w:t>
      </w:r>
      <w:r w:rsidR="00CF6C46" w:rsidRPr="003519B9">
        <w:rPr>
          <w:lang w:val="en-GB"/>
        </w:rPr>
        <w:t>gross domestic product</w:t>
      </w:r>
      <w:r w:rsidRPr="003519B9">
        <w:rPr>
          <w:lang w:val="en-GB"/>
        </w:rPr>
        <w:t xml:space="preserve">, demand from </w:t>
      </w:r>
      <w:r w:rsidR="00CF6C46" w:rsidRPr="003519B9">
        <w:rPr>
          <w:lang w:val="en-GB"/>
        </w:rPr>
        <w:t xml:space="preserve">the </w:t>
      </w:r>
      <w:r w:rsidRPr="003519B9">
        <w:rPr>
          <w:lang w:val="en-GB"/>
        </w:rPr>
        <w:t>household segment would witness exponential growth</w:t>
      </w:r>
      <w:r w:rsidR="009A68BE" w:rsidRPr="003519B9">
        <w:rPr>
          <w:lang w:val="en-GB"/>
        </w:rPr>
        <w:t>,</w:t>
      </w:r>
      <w:r w:rsidRPr="003519B9">
        <w:rPr>
          <w:lang w:val="en-GB"/>
        </w:rPr>
        <w:t xml:space="preserve"> driven by higher latent demand, rapid urbanization, and the government’s thrust on rural electrification</w:t>
      </w:r>
      <w:r w:rsidR="00651BAB" w:rsidRPr="003519B9">
        <w:rPr>
          <w:lang w:val="en-GB"/>
        </w:rPr>
        <w:t>.</w:t>
      </w:r>
      <w:r w:rsidRPr="003519B9">
        <w:rPr>
          <w:rStyle w:val="FootnoteReference"/>
          <w:lang w:val="en-GB"/>
        </w:rPr>
        <w:footnoteReference w:id="8"/>
      </w:r>
    </w:p>
    <w:p w14:paraId="2EA2C792" w14:textId="77777777" w:rsidR="009A68BE" w:rsidRPr="003519B9" w:rsidRDefault="009A68BE" w:rsidP="00242175">
      <w:pPr>
        <w:pStyle w:val="BodyTextMain"/>
        <w:rPr>
          <w:lang w:val="en-GB"/>
        </w:rPr>
      </w:pPr>
    </w:p>
    <w:p w14:paraId="35CEE8CF" w14:textId="73E9D15A" w:rsidR="006F2294" w:rsidRPr="003519B9" w:rsidRDefault="0028127C" w:rsidP="00242175">
      <w:pPr>
        <w:pStyle w:val="BodyTextMain"/>
        <w:rPr>
          <w:lang w:val="en-GB"/>
        </w:rPr>
      </w:pPr>
      <w:r w:rsidRPr="003519B9">
        <w:rPr>
          <w:lang w:val="en-GB"/>
        </w:rPr>
        <w:t>A</w:t>
      </w:r>
      <w:r w:rsidR="00651BAB" w:rsidRPr="003519B9">
        <w:rPr>
          <w:lang w:val="en-GB"/>
        </w:rPr>
        <w:t>ccording to India’</w:t>
      </w:r>
      <w:r w:rsidRPr="003519B9">
        <w:rPr>
          <w:lang w:val="en-GB"/>
        </w:rPr>
        <w:t>s 17</w:t>
      </w:r>
      <w:r w:rsidR="00651BAB" w:rsidRPr="003519B9">
        <w:rPr>
          <w:lang w:val="en-GB"/>
        </w:rPr>
        <w:t>th</w:t>
      </w:r>
      <w:r w:rsidRPr="003519B9">
        <w:rPr>
          <w:lang w:val="en-GB"/>
        </w:rPr>
        <w:t xml:space="preserve"> electric power survey</w:t>
      </w:r>
      <w:r w:rsidR="00651BAB" w:rsidRPr="003519B9">
        <w:rPr>
          <w:lang w:val="en-GB"/>
        </w:rPr>
        <w:t>,</w:t>
      </w:r>
      <w:r w:rsidR="00D15F5A" w:rsidRPr="003519B9">
        <w:rPr>
          <w:lang w:val="en-GB"/>
        </w:rPr>
        <w:t xml:space="preserve"> </w:t>
      </w:r>
      <w:r w:rsidR="006F2294" w:rsidRPr="003519B9">
        <w:rPr>
          <w:lang w:val="en-GB"/>
        </w:rPr>
        <w:t xml:space="preserve">the nation’s </w:t>
      </w:r>
      <w:r w:rsidR="002B2D67" w:rsidRPr="003519B9">
        <w:rPr>
          <w:lang w:val="en-GB"/>
        </w:rPr>
        <w:t xml:space="preserve">energy requirement in FY 2021–22 would </w:t>
      </w:r>
      <w:r w:rsidR="006F2294" w:rsidRPr="003519B9">
        <w:rPr>
          <w:lang w:val="en-GB"/>
        </w:rPr>
        <w:t>be 1.91 million units</w:t>
      </w:r>
      <w:r w:rsidR="009A68BE" w:rsidRPr="003519B9">
        <w:rPr>
          <w:lang w:val="en-GB"/>
        </w:rPr>
        <w:t>,</w:t>
      </w:r>
      <w:r w:rsidR="006F2294" w:rsidRPr="003519B9">
        <w:rPr>
          <w:lang w:val="en-GB"/>
        </w:rPr>
        <w:t xml:space="preserve"> compared to</w:t>
      </w:r>
      <w:r w:rsidR="002B2D67" w:rsidRPr="003519B9">
        <w:rPr>
          <w:lang w:val="en-GB"/>
        </w:rPr>
        <w:t xml:space="preserve"> 0.97</w:t>
      </w:r>
      <w:r w:rsidR="00F76606">
        <w:rPr>
          <w:lang w:val="en-GB"/>
        </w:rPr>
        <w:t xml:space="preserve"> </w:t>
      </w:r>
      <w:r w:rsidR="002B2D67" w:rsidRPr="003519B9">
        <w:rPr>
          <w:lang w:val="en-GB"/>
        </w:rPr>
        <w:t xml:space="preserve">million units in FY 2011–12 (see </w:t>
      </w:r>
      <w:r w:rsidR="00B1213B" w:rsidRPr="003519B9">
        <w:rPr>
          <w:lang w:val="en-GB"/>
        </w:rPr>
        <w:t>Exhibit</w:t>
      </w:r>
      <w:r w:rsidR="002B2D67" w:rsidRPr="003519B9">
        <w:rPr>
          <w:lang w:val="en-GB"/>
        </w:rPr>
        <w:t xml:space="preserve"> 2).</w:t>
      </w:r>
      <w:r w:rsidR="00D143CE">
        <w:rPr>
          <w:rStyle w:val="FootnoteReference"/>
          <w:lang w:val="en-GB"/>
        </w:rPr>
        <w:footnoteReference w:id="9"/>
      </w:r>
      <w:r w:rsidRPr="003519B9">
        <w:rPr>
          <w:lang w:val="en-GB"/>
        </w:rPr>
        <w:t xml:space="preserve"> CRISIL estimated that a total capacity of 54 gigawatts (with an aggregate capital outlay of </w:t>
      </w:r>
      <w:r w:rsidRPr="003519B9">
        <w:rPr>
          <w:rFonts w:ascii="Tahoma" w:hAnsi="Tahoma" w:cs="Tahoma"/>
          <w:sz w:val="20"/>
          <w:szCs w:val="20"/>
          <w:lang w:val="en-GB"/>
        </w:rPr>
        <w:t>₹</w:t>
      </w:r>
      <w:r w:rsidRPr="003519B9">
        <w:rPr>
          <w:lang w:val="en-GB"/>
        </w:rPr>
        <w:t>9 trillion) would be added, of which 82 per</w:t>
      </w:r>
      <w:r w:rsidR="00F35A98" w:rsidRPr="003519B9">
        <w:rPr>
          <w:lang w:val="en-GB"/>
        </w:rPr>
        <w:t xml:space="preserve"> </w:t>
      </w:r>
      <w:r w:rsidRPr="003519B9">
        <w:rPr>
          <w:lang w:val="en-GB"/>
        </w:rPr>
        <w:t>cent</w:t>
      </w:r>
      <w:r w:rsidR="00D15F5A" w:rsidRPr="003519B9">
        <w:rPr>
          <w:lang w:val="en-GB"/>
        </w:rPr>
        <w:t xml:space="preserve"> </w:t>
      </w:r>
      <w:r w:rsidR="00B1213B" w:rsidRPr="003519B9">
        <w:rPr>
          <w:lang w:val="en-GB"/>
        </w:rPr>
        <w:t>would be based on coal</w:t>
      </w:r>
      <w:r w:rsidR="006F2294" w:rsidRPr="003519B9">
        <w:rPr>
          <w:lang w:val="en-GB"/>
        </w:rPr>
        <w:t>.</w:t>
      </w:r>
      <w:r w:rsidRPr="003519B9">
        <w:rPr>
          <w:rStyle w:val="FootnoteReference"/>
          <w:lang w:val="en-GB"/>
        </w:rPr>
        <w:footnoteReference w:id="10"/>
      </w:r>
      <w:r w:rsidR="00F35A98" w:rsidRPr="003519B9">
        <w:rPr>
          <w:lang w:val="en-GB"/>
        </w:rPr>
        <w:t xml:space="preserve"> </w:t>
      </w:r>
      <w:r w:rsidR="00FD5E85" w:rsidRPr="003519B9">
        <w:rPr>
          <w:lang w:val="en-GB"/>
        </w:rPr>
        <w:t>Hence, the</w:t>
      </w:r>
      <w:r w:rsidR="00D15F5A" w:rsidRPr="003519B9">
        <w:rPr>
          <w:lang w:val="en-GB"/>
        </w:rPr>
        <w:t xml:space="preserve"> </w:t>
      </w:r>
      <w:r w:rsidR="00AD5ECA" w:rsidRPr="003519B9">
        <w:rPr>
          <w:lang w:val="en-GB"/>
        </w:rPr>
        <w:t>use of coal as a</w:t>
      </w:r>
      <w:r w:rsidR="003A04F8" w:rsidRPr="003519B9">
        <w:rPr>
          <w:lang w:val="en-GB"/>
        </w:rPr>
        <w:t>n</w:t>
      </w:r>
      <w:r w:rsidR="00D15F5A" w:rsidRPr="003519B9">
        <w:rPr>
          <w:lang w:val="en-GB"/>
        </w:rPr>
        <w:t xml:space="preserve"> </w:t>
      </w:r>
      <w:r w:rsidR="003A04F8" w:rsidRPr="003519B9">
        <w:rPr>
          <w:lang w:val="en-GB"/>
        </w:rPr>
        <w:t xml:space="preserve">alternate </w:t>
      </w:r>
      <w:r w:rsidR="00AD5ECA" w:rsidRPr="003519B9">
        <w:rPr>
          <w:lang w:val="en-GB"/>
        </w:rPr>
        <w:t xml:space="preserve">power source </w:t>
      </w:r>
      <w:r w:rsidRPr="003519B9">
        <w:rPr>
          <w:lang w:val="en-GB"/>
        </w:rPr>
        <w:t xml:space="preserve">would result in </w:t>
      </w:r>
      <w:r w:rsidR="00AD5ECA" w:rsidRPr="003519B9">
        <w:rPr>
          <w:lang w:val="en-GB"/>
        </w:rPr>
        <w:t xml:space="preserve">a </w:t>
      </w:r>
      <w:r w:rsidRPr="003519B9">
        <w:rPr>
          <w:lang w:val="en-GB"/>
        </w:rPr>
        <w:t xml:space="preserve">lower or negligible level of deficit in </w:t>
      </w:r>
      <w:r w:rsidR="00AD5ECA" w:rsidRPr="003519B9">
        <w:rPr>
          <w:lang w:val="en-GB"/>
        </w:rPr>
        <w:t xml:space="preserve">the </w:t>
      </w:r>
      <w:r w:rsidRPr="003519B9">
        <w:rPr>
          <w:lang w:val="en-GB"/>
        </w:rPr>
        <w:t xml:space="preserve">power industry </w:t>
      </w:r>
      <w:r w:rsidR="00AD5ECA" w:rsidRPr="003519B9">
        <w:rPr>
          <w:lang w:val="en-GB"/>
        </w:rPr>
        <w:t xml:space="preserve">as a whole </w:t>
      </w:r>
      <w:r w:rsidRPr="003519B9">
        <w:rPr>
          <w:lang w:val="en-GB"/>
        </w:rPr>
        <w:t>from FY 2016</w:t>
      </w:r>
      <w:r w:rsidR="003C351E" w:rsidRPr="003519B9">
        <w:rPr>
          <w:lang w:val="en-GB"/>
        </w:rPr>
        <w:t>–</w:t>
      </w:r>
      <w:r w:rsidRPr="003519B9">
        <w:rPr>
          <w:lang w:val="en-GB"/>
        </w:rPr>
        <w:t>17 onwards</w:t>
      </w:r>
      <w:r w:rsidR="006F2294" w:rsidRPr="003519B9">
        <w:rPr>
          <w:lang w:val="en-GB"/>
        </w:rPr>
        <w:t>.</w:t>
      </w:r>
      <w:r w:rsidRPr="003519B9">
        <w:rPr>
          <w:rStyle w:val="FootnoteReference"/>
          <w:lang w:val="en-GB"/>
        </w:rPr>
        <w:footnoteReference w:id="11"/>
      </w:r>
    </w:p>
    <w:p w14:paraId="5DC60C96" w14:textId="77777777" w:rsidR="00B1615A" w:rsidRPr="003519B9" w:rsidRDefault="00B1615A" w:rsidP="00242175">
      <w:pPr>
        <w:pStyle w:val="BodyTextMain"/>
        <w:rPr>
          <w:lang w:val="en-GB"/>
        </w:rPr>
      </w:pPr>
    </w:p>
    <w:p w14:paraId="11DDC9F6" w14:textId="6D08D8E8" w:rsidR="0028127C" w:rsidRPr="003519B9" w:rsidRDefault="0028127C" w:rsidP="00242175">
      <w:pPr>
        <w:pStyle w:val="BodyTextMain"/>
        <w:rPr>
          <w:lang w:val="en-GB"/>
        </w:rPr>
      </w:pPr>
      <w:r w:rsidRPr="003519B9">
        <w:rPr>
          <w:lang w:val="en-GB"/>
        </w:rPr>
        <w:lastRenderedPageBreak/>
        <w:t>While capital expenditure in power generation would be moderate, investment in transmission and distribution infrastructure would escalate due to the implementation of various government schemes</w:t>
      </w:r>
      <w:r w:rsidR="006F2294" w:rsidRPr="003519B9">
        <w:rPr>
          <w:lang w:val="en-GB"/>
        </w:rPr>
        <w:t>.</w:t>
      </w:r>
      <w:r w:rsidRPr="003519B9">
        <w:rPr>
          <w:rStyle w:val="FootnoteReference"/>
          <w:lang w:val="en-GB"/>
        </w:rPr>
        <w:footnoteReference w:id="12"/>
      </w:r>
      <w:r w:rsidRPr="003519B9">
        <w:rPr>
          <w:lang w:val="en-GB"/>
        </w:rPr>
        <w:t xml:space="preserve"> Power tariff</w:t>
      </w:r>
      <w:r w:rsidR="00AD5ECA" w:rsidRPr="003519B9">
        <w:rPr>
          <w:lang w:val="en-GB"/>
        </w:rPr>
        <w:t>s</w:t>
      </w:r>
      <w:r w:rsidRPr="003519B9">
        <w:rPr>
          <w:lang w:val="en-GB"/>
        </w:rPr>
        <w:t xml:space="preserve"> would decline by FY 2017</w:t>
      </w:r>
      <w:r w:rsidR="003C351E" w:rsidRPr="003519B9">
        <w:rPr>
          <w:lang w:val="en-GB"/>
        </w:rPr>
        <w:t>–</w:t>
      </w:r>
      <w:r w:rsidRPr="003519B9">
        <w:rPr>
          <w:lang w:val="en-GB"/>
        </w:rPr>
        <w:t xml:space="preserve">18 due to the commissioning of new plants that </w:t>
      </w:r>
      <w:r w:rsidR="006F2294" w:rsidRPr="003519B9">
        <w:rPr>
          <w:lang w:val="en-GB"/>
        </w:rPr>
        <w:t>would</w:t>
      </w:r>
      <w:r w:rsidRPr="003519B9">
        <w:rPr>
          <w:lang w:val="en-GB"/>
        </w:rPr>
        <w:t xml:space="preserve"> not have power purchase agreements for the long term. However, prices would not come down drastically due to transmission constraints</w:t>
      </w:r>
      <w:r w:rsidR="006F2294" w:rsidRPr="003519B9">
        <w:rPr>
          <w:lang w:val="en-GB"/>
        </w:rPr>
        <w:t>,</w:t>
      </w:r>
      <w:r w:rsidRPr="003519B9">
        <w:rPr>
          <w:lang w:val="en-GB"/>
        </w:rPr>
        <w:t xml:space="preserve"> mainly in South India</w:t>
      </w:r>
      <w:r w:rsidR="006F2294" w:rsidRPr="003519B9">
        <w:rPr>
          <w:lang w:val="en-GB"/>
        </w:rPr>
        <w:t>.</w:t>
      </w:r>
      <w:r w:rsidRPr="003519B9">
        <w:rPr>
          <w:rStyle w:val="FootnoteReference"/>
          <w:lang w:val="en-GB"/>
        </w:rPr>
        <w:footnoteReference w:id="13"/>
      </w:r>
    </w:p>
    <w:p w14:paraId="04999253" w14:textId="77777777" w:rsidR="00455610" w:rsidRPr="003519B9" w:rsidRDefault="00455610" w:rsidP="00E630A3">
      <w:pPr>
        <w:pStyle w:val="BodyTextMain"/>
        <w:rPr>
          <w:lang w:val="en-GB"/>
        </w:rPr>
      </w:pPr>
    </w:p>
    <w:p w14:paraId="128F3739" w14:textId="77777777" w:rsidR="00455610" w:rsidRPr="003519B9" w:rsidRDefault="00455610" w:rsidP="00E630A3">
      <w:pPr>
        <w:pStyle w:val="BodyTextMain"/>
        <w:rPr>
          <w:lang w:val="en-GB"/>
        </w:rPr>
      </w:pPr>
    </w:p>
    <w:p w14:paraId="1B463A9C" w14:textId="55B4E3B0" w:rsidR="0028127C" w:rsidRPr="003519B9" w:rsidRDefault="00DD6F7A" w:rsidP="00B51A1D">
      <w:pPr>
        <w:pStyle w:val="Casehead1"/>
        <w:rPr>
          <w:lang w:val="en-GB"/>
        </w:rPr>
      </w:pPr>
      <w:r w:rsidRPr="003519B9">
        <w:rPr>
          <w:lang w:val="en-GB"/>
        </w:rPr>
        <w:t xml:space="preserve">Special </w:t>
      </w:r>
      <w:r w:rsidR="0028127C" w:rsidRPr="003519B9">
        <w:rPr>
          <w:lang w:val="en-GB"/>
        </w:rPr>
        <w:t>PROJECTS</w:t>
      </w:r>
      <w:r w:rsidR="00F76606">
        <w:rPr>
          <w:lang w:val="en-GB"/>
        </w:rPr>
        <w:t xml:space="preserve"> </w:t>
      </w:r>
      <w:r w:rsidRPr="003519B9">
        <w:rPr>
          <w:lang w:val="en-GB"/>
        </w:rPr>
        <w:t xml:space="preserve">at </w:t>
      </w:r>
      <w:r w:rsidRPr="003519B9">
        <w:rPr>
          <w:caps w:val="0"/>
          <w:lang w:val="en-GB"/>
        </w:rPr>
        <w:t>NAVA BHARAT ENERGY INDIA LIMITED</w:t>
      </w:r>
    </w:p>
    <w:p w14:paraId="70432F49" w14:textId="77777777" w:rsidR="0028127C" w:rsidRPr="003519B9" w:rsidRDefault="0028127C" w:rsidP="00242175">
      <w:pPr>
        <w:pStyle w:val="BodyTextMain"/>
        <w:rPr>
          <w:lang w:val="en-GB"/>
        </w:rPr>
      </w:pPr>
    </w:p>
    <w:p w14:paraId="5C7A01B3" w14:textId="77777777" w:rsidR="0028127C" w:rsidRPr="003519B9" w:rsidRDefault="0028127C" w:rsidP="00B51A1D">
      <w:pPr>
        <w:pStyle w:val="Casehead2"/>
        <w:rPr>
          <w:lang w:val="en-GB"/>
        </w:rPr>
      </w:pPr>
      <w:r w:rsidRPr="003519B9">
        <w:rPr>
          <w:lang w:val="en-GB"/>
        </w:rPr>
        <w:t xml:space="preserve">Cost </w:t>
      </w:r>
    </w:p>
    <w:p w14:paraId="4FA0055F" w14:textId="77777777" w:rsidR="0028127C" w:rsidRPr="003519B9" w:rsidRDefault="0028127C" w:rsidP="00242175">
      <w:pPr>
        <w:pStyle w:val="BodyTextMain"/>
        <w:rPr>
          <w:lang w:val="en-GB"/>
        </w:rPr>
      </w:pPr>
    </w:p>
    <w:p w14:paraId="48FAE314" w14:textId="6D5CC6CC" w:rsidR="0028127C" w:rsidRPr="003519B9" w:rsidRDefault="0028127C" w:rsidP="00242175">
      <w:pPr>
        <w:pStyle w:val="BodyTextMain"/>
        <w:rPr>
          <w:b/>
          <w:lang w:val="en-GB"/>
        </w:rPr>
      </w:pPr>
      <w:r w:rsidRPr="003519B9">
        <w:rPr>
          <w:lang w:val="en-GB"/>
        </w:rPr>
        <w:t xml:space="preserve">The total cost of the power projects was estimated at </w:t>
      </w:r>
      <w:r w:rsidRPr="003519B9">
        <w:rPr>
          <w:rFonts w:ascii="Tahoma" w:hAnsi="Tahoma" w:cs="Tahoma"/>
          <w:sz w:val="20"/>
          <w:szCs w:val="20"/>
          <w:lang w:val="en-GB"/>
        </w:rPr>
        <w:t>₹</w:t>
      </w:r>
      <w:r w:rsidRPr="003519B9">
        <w:rPr>
          <w:lang w:val="en-GB"/>
        </w:rPr>
        <w:t xml:space="preserve">13.86 </w:t>
      </w:r>
      <w:r w:rsidRPr="003519B9">
        <w:rPr>
          <w:rFonts w:eastAsia="Calibri"/>
          <w:lang w:val="en-GB"/>
        </w:rPr>
        <w:t xml:space="preserve">billion </w:t>
      </w:r>
      <w:r w:rsidRPr="003519B9">
        <w:rPr>
          <w:lang w:val="en-GB"/>
        </w:rPr>
        <w:t xml:space="preserve">(see </w:t>
      </w:r>
      <w:r w:rsidR="00B1213B" w:rsidRPr="003519B9">
        <w:rPr>
          <w:lang w:val="en-GB"/>
        </w:rPr>
        <w:t>Exhibit</w:t>
      </w:r>
      <w:r w:rsidRPr="003519B9">
        <w:rPr>
          <w:lang w:val="en-GB"/>
        </w:rPr>
        <w:t xml:space="preserve"> 3)</w:t>
      </w:r>
      <w:r w:rsidR="00563BBB" w:rsidRPr="003519B9">
        <w:rPr>
          <w:lang w:val="en-GB"/>
        </w:rPr>
        <w:t>,</w:t>
      </w:r>
      <w:r w:rsidRPr="003519B9">
        <w:rPr>
          <w:lang w:val="en-GB"/>
        </w:rPr>
        <w:t xml:space="preserve"> so cost per MW would be</w:t>
      </w:r>
      <w:r w:rsidRPr="003519B9">
        <w:rPr>
          <w:rFonts w:ascii="Tahoma" w:hAnsi="Tahoma" w:cs="Tahoma"/>
          <w:sz w:val="20"/>
          <w:szCs w:val="20"/>
          <w:lang w:val="en-GB"/>
        </w:rPr>
        <w:t>₹</w:t>
      </w:r>
      <w:r w:rsidRPr="003519B9">
        <w:rPr>
          <w:lang w:val="en-GB"/>
        </w:rPr>
        <w:t>46.20 million</w:t>
      </w:r>
      <w:r w:rsidR="00563BBB" w:rsidRPr="003519B9">
        <w:rPr>
          <w:lang w:val="en-GB"/>
        </w:rPr>
        <w:t>, an amount that</w:t>
      </w:r>
      <w:r w:rsidRPr="003519B9">
        <w:rPr>
          <w:lang w:val="en-GB"/>
        </w:rPr>
        <w:t xml:space="preserve"> was comparable </w:t>
      </w:r>
      <w:r w:rsidR="00563BBB" w:rsidRPr="003519B9">
        <w:rPr>
          <w:lang w:val="en-GB"/>
        </w:rPr>
        <w:t>to</w:t>
      </w:r>
      <w:r w:rsidRPr="003519B9">
        <w:rPr>
          <w:lang w:val="en-GB"/>
        </w:rPr>
        <w:t xml:space="preserve"> the cost of other power projects established in South India. The </w:t>
      </w:r>
      <w:r w:rsidR="00563BBB" w:rsidRPr="003519B9">
        <w:rPr>
          <w:lang w:val="en-GB"/>
        </w:rPr>
        <w:t xml:space="preserve">NBEIL </w:t>
      </w:r>
      <w:r w:rsidRPr="003519B9">
        <w:rPr>
          <w:lang w:val="en-GB"/>
        </w:rPr>
        <w:t>projects were</w:t>
      </w:r>
      <w:r w:rsidR="00484A1B" w:rsidRPr="003519B9">
        <w:rPr>
          <w:lang w:val="en-GB"/>
        </w:rPr>
        <w:t xml:space="preserve"> </w:t>
      </w:r>
      <w:r w:rsidRPr="003519B9">
        <w:rPr>
          <w:lang w:val="en-GB"/>
        </w:rPr>
        <w:t xml:space="preserve">to be financed with </w:t>
      </w:r>
      <w:r w:rsidRPr="003519B9">
        <w:rPr>
          <w:rFonts w:eastAsia="Calibri"/>
          <w:lang w:val="en-GB"/>
        </w:rPr>
        <w:t>a debt-equity ratio of 2.33:1</w:t>
      </w:r>
      <w:r w:rsidRPr="003519B9">
        <w:rPr>
          <w:lang w:val="en-GB"/>
        </w:rPr>
        <w:t xml:space="preserve">(i.e., </w:t>
      </w:r>
      <w:r w:rsidR="00BE0C96" w:rsidRPr="003519B9">
        <w:rPr>
          <w:lang w:val="en-GB"/>
        </w:rPr>
        <w:t xml:space="preserve">a </w:t>
      </w:r>
      <w:r w:rsidRPr="003519B9">
        <w:rPr>
          <w:lang w:val="en-GB"/>
        </w:rPr>
        <w:t>term loan of</w:t>
      </w:r>
      <w:r w:rsidR="00484A1B" w:rsidRPr="003519B9">
        <w:rPr>
          <w:lang w:val="en-GB"/>
        </w:rPr>
        <w:t xml:space="preserve"> </w:t>
      </w:r>
      <w:r w:rsidRPr="003519B9">
        <w:rPr>
          <w:rFonts w:ascii="Tahoma" w:hAnsi="Tahoma" w:cs="Tahoma"/>
          <w:sz w:val="20"/>
          <w:szCs w:val="20"/>
          <w:lang w:val="en-GB"/>
        </w:rPr>
        <w:t>₹</w:t>
      </w:r>
      <w:r w:rsidRPr="003519B9">
        <w:rPr>
          <w:lang w:val="en-GB"/>
        </w:rPr>
        <w:t xml:space="preserve">9.70 </w:t>
      </w:r>
      <w:r w:rsidRPr="003519B9">
        <w:rPr>
          <w:rFonts w:eastAsia="Calibri"/>
          <w:lang w:val="en-GB"/>
        </w:rPr>
        <w:t>billion</w:t>
      </w:r>
      <w:r w:rsidRPr="003519B9">
        <w:rPr>
          <w:lang w:val="en-GB"/>
        </w:rPr>
        <w:t xml:space="preserve"> and equity component of</w:t>
      </w:r>
      <w:r w:rsidR="004C6D6A" w:rsidRPr="003519B9">
        <w:rPr>
          <w:lang w:val="en-GB"/>
        </w:rPr>
        <w:t xml:space="preserve"> </w:t>
      </w:r>
      <w:r w:rsidRPr="003519B9">
        <w:rPr>
          <w:rFonts w:ascii="Tahoma" w:hAnsi="Tahoma" w:cs="Tahoma"/>
          <w:sz w:val="20"/>
          <w:szCs w:val="20"/>
          <w:lang w:val="en-GB"/>
        </w:rPr>
        <w:t>₹</w:t>
      </w:r>
      <w:r w:rsidRPr="003519B9">
        <w:rPr>
          <w:lang w:val="en-GB"/>
        </w:rPr>
        <w:t xml:space="preserve">4.16 </w:t>
      </w:r>
      <w:r w:rsidRPr="003519B9">
        <w:rPr>
          <w:rFonts w:eastAsia="Calibri"/>
          <w:lang w:val="en-GB"/>
        </w:rPr>
        <w:t>billion</w:t>
      </w:r>
      <w:r w:rsidRPr="003519B9">
        <w:rPr>
          <w:lang w:val="en-GB"/>
        </w:rPr>
        <w:t xml:space="preserve">). </w:t>
      </w:r>
    </w:p>
    <w:p w14:paraId="5BE660BD" w14:textId="77777777" w:rsidR="0028127C" w:rsidRPr="003519B9" w:rsidRDefault="0028127C" w:rsidP="00242175">
      <w:pPr>
        <w:pStyle w:val="BodyTextMain"/>
        <w:rPr>
          <w:lang w:val="en-GB"/>
        </w:rPr>
      </w:pPr>
    </w:p>
    <w:p w14:paraId="301A10C5" w14:textId="77777777" w:rsidR="0028127C" w:rsidRPr="003519B9" w:rsidRDefault="0028127C" w:rsidP="00242175">
      <w:pPr>
        <w:pStyle w:val="BodyTextMain"/>
        <w:rPr>
          <w:lang w:val="en-GB"/>
        </w:rPr>
      </w:pPr>
    </w:p>
    <w:p w14:paraId="730234CC" w14:textId="77777777" w:rsidR="0028127C" w:rsidRPr="003519B9" w:rsidRDefault="0028127C" w:rsidP="00B51A1D">
      <w:pPr>
        <w:pStyle w:val="Casehead2"/>
        <w:rPr>
          <w:lang w:val="en-GB"/>
        </w:rPr>
      </w:pPr>
      <w:r w:rsidRPr="003519B9">
        <w:rPr>
          <w:lang w:val="en-GB"/>
        </w:rPr>
        <w:t>Sources of Finance</w:t>
      </w:r>
    </w:p>
    <w:p w14:paraId="36B07124" w14:textId="77777777" w:rsidR="0028127C" w:rsidRPr="003519B9" w:rsidRDefault="0028127C" w:rsidP="00242175">
      <w:pPr>
        <w:pStyle w:val="BodyTextMain"/>
        <w:rPr>
          <w:lang w:val="en-GB"/>
        </w:rPr>
      </w:pPr>
    </w:p>
    <w:p w14:paraId="29F155CF" w14:textId="61459386" w:rsidR="0028127C" w:rsidRPr="00D143CE" w:rsidRDefault="0028127C" w:rsidP="00242175">
      <w:pPr>
        <w:pStyle w:val="BodyTextMain"/>
        <w:rPr>
          <w:spacing w:val="-4"/>
          <w:lang w:val="en-GB"/>
        </w:rPr>
      </w:pPr>
      <w:r w:rsidRPr="00D143CE">
        <w:rPr>
          <w:spacing w:val="-4"/>
          <w:lang w:val="en-GB"/>
        </w:rPr>
        <w:t xml:space="preserve">The entire equity capital of </w:t>
      </w:r>
      <w:r w:rsidRPr="00D143CE">
        <w:rPr>
          <w:rFonts w:ascii="Tahoma" w:hAnsi="Tahoma" w:cs="Tahoma"/>
          <w:spacing w:val="-4"/>
          <w:sz w:val="20"/>
          <w:szCs w:val="20"/>
          <w:lang w:val="en-GB"/>
        </w:rPr>
        <w:t>₹</w:t>
      </w:r>
      <w:r w:rsidRPr="00D143CE">
        <w:rPr>
          <w:spacing w:val="-4"/>
          <w:lang w:val="en-GB"/>
        </w:rPr>
        <w:t xml:space="preserve">4.16 </w:t>
      </w:r>
      <w:r w:rsidRPr="00D143CE">
        <w:rPr>
          <w:rFonts w:eastAsia="Calibri"/>
          <w:spacing w:val="-4"/>
          <w:lang w:val="en-GB"/>
        </w:rPr>
        <w:t xml:space="preserve">billion </w:t>
      </w:r>
      <w:r w:rsidRPr="00D143CE">
        <w:rPr>
          <w:spacing w:val="-4"/>
          <w:lang w:val="en-GB"/>
        </w:rPr>
        <w:t xml:space="preserve">for the project </w:t>
      </w:r>
      <w:r w:rsidR="00BE0C96" w:rsidRPr="00D143CE">
        <w:rPr>
          <w:spacing w:val="-4"/>
          <w:lang w:val="en-GB"/>
        </w:rPr>
        <w:t>would</w:t>
      </w:r>
      <w:r w:rsidRPr="00D143CE">
        <w:rPr>
          <w:spacing w:val="-4"/>
          <w:lang w:val="en-GB"/>
        </w:rPr>
        <w:t xml:space="preserve"> be </w:t>
      </w:r>
      <w:r w:rsidR="00BE0C96" w:rsidRPr="00D143CE">
        <w:rPr>
          <w:spacing w:val="-4"/>
          <w:lang w:val="en-GB"/>
        </w:rPr>
        <w:t>provided</w:t>
      </w:r>
      <w:r w:rsidRPr="00D143CE">
        <w:rPr>
          <w:spacing w:val="-4"/>
          <w:lang w:val="en-GB"/>
        </w:rPr>
        <w:t xml:space="preserve"> by NBVL </w:t>
      </w:r>
      <w:r w:rsidR="00BE0C96" w:rsidRPr="00D143CE">
        <w:rPr>
          <w:spacing w:val="-4"/>
          <w:lang w:val="en-GB"/>
        </w:rPr>
        <w:t>from</w:t>
      </w:r>
      <w:r w:rsidRPr="00D143CE">
        <w:rPr>
          <w:spacing w:val="-4"/>
          <w:lang w:val="en-GB"/>
        </w:rPr>
        <w:t xml:space="preserve"> its internal sources. The </w:t>
      </w:r>
      <w:r w:rsidR="00D311AC" w:rsidRPr="00D143CE">
        <w:rPr>
          <w:spacing w:val="-4"/>
          <w:lang w:val="en-GB"/>
        </w:rPr>
        <w:t xml:space="preserve">proposed </w:t>
      </w:r>
      <w:r w:rsidR="005D5396" w:rsidRPr="00D143CE">
        <w:rPr>
          <w:spacing w:val="-4"/>
          <w:lang w:val="en-GB"/>
        </w:rPr>
        <w:t>term loan</w:t>
      </w:r>
      <w:r w:rsidRPr="00D143CE">
        <w:rPr>
          <w:spacing w:val="-4"/>
          <w:lang w:val="en-GB"/>
        </w:rPr>
        <w:t xml:space="preserve"> of </w:t>
      </w:r>
      <w:r w:rsidRPr="00D143CE">
        <w:rPr>
          <w:rFonts w:ascii="Tahoma" w:hAnsi="Tahoma" w:cs="Tahoma"/>
          <w:spacing w:val="-4"/>
          <w:sz w:val="20"/>
          <w:szCs w:val="20"/>
          <w:lang w:val="en-GB"/>
        </w:rPr>
        <w:t>₹</w:t>
      </w:r>
      <w:r w:rsidRPr="00D143CE">
        <w:rPr>
          <w:spacing w:val="-4"/>
          <w:lang w:val="en-GB"/>
        </w:rPr>
        <w:t xml:space="preserve">9.70 </w:t>
      </w:r>
      <w:r w:rsidRPr="00D143CE">
        <w:rPr>
          <w:rFonts w:eastAsia="Calibri"/>
          <w:spacing w:val="-4"/>
          <w:lang w:val="en-GB"/>
        </w:rPr>
        <w:t xml:space="preserve">billion </w:t>
      </w:r>
      <w:r w:rsidRPr="00D143CE">
        <w:rPr>
          <w:spacing w:val="-4"/>
          <w:lang w:val="en-GB"/>
        </w:rPr>
        <w:t xml:space="preserve">for the projects </w:t>
      </w:r>
      <w:r w:rsidR="00BE0C96" w:rsidRPr="00D143CE">
        <w:rPr>
          <w:spacing w:val="-4"/>
          <w:lang w:val="en-GB"/>
        </w:rPr>
        <w:t>would</w:t>
      </w:r>
      <w:r w:rsidRPr="00D143CE">
        <w:rPr>
          <w:spacing w:val="-4"/>
          <w:lang w:val="en-GB"/>
        </w:rPr>
        <w:t xml:space="preserve"> be arranged </w:t>
      </w:r>
      <w:r w:rsidR="00D311AC" w:rsidRPr="00D143CE">
        <w:rPr>
          <w:spacing w:val="-4"/>
          <w:lang w:val="en-GB"/>
        </w:rPr>
        <w:t xml:space="preserve">through </w:t>
      </w:r>
      <w:r w:rsidRPr="00D143CE">
        <w:rPr>
          <w:spacing w:val="-4"/>
          <w:lang w:val="en-GB"/>
        </w:rPr>
        <w:t>a syndicate of banks under the</w:t>
      </w:r>
      <w:r w:rsidR="00D311AC" w:rsidRPr="00D143CE">
        <w:rPr>
          <w:spacing w:val="-4"/>
          <w:lang w:val="en-GB"/>
        </w:rPr>
        <w:t>ir</w:t>
      </w:r>
      <w:r w:rsidRPr="00D143CE">
        <w:rPr>
          <w:spacing w:val="-4"/>
          <w:lang w:val="en-GB"/>
        </w:rPr>
        <w:t xml:space="preserve"> project</w:t>
      </w:r>
      <w:r w:rsidR="00D311AC" w:rsidRPr="00D143CE">
        <w:rPr>
          <w:spacing w:val="-4"/>
          <w:lang w:val="en-GB"/>
        </w:rPr>
        <w:t>-</w:t>
      </w:r>
      <w:r w:rsidRPr="00D143CE">
        <w:rPr>
          <w:spacing w:val="-4"/>
          <w:lang w:val="en-GB"/>
        </w:rPr>
        <w:t xml:space="preserve">financing mode. </w:t>
      </w:r>
      <w:r w:rsidR="00B1213B" w:rsidRPr="00D143CE">
        <w:rPr>
          <w:spacing w:val="-4"/>
          <w:lang w:val="en-GB"/>
        </w:rPr>
        <w:t>Development Bank Limited</w:t>
      </w:r>
      <w:r w:rsidRPr="00D143CE">
        <w:rPr>
          <w:spacing w:val="-4"/>
          <w:lang w:val="en-GB"/>
        </w:rPr>
        <w:t xml:space="preserve"> prepared a term sheet on the proposal for syndicating the term loan (see </w:t>
      </w:r>
      <w:r w:rsidR="00B1213B" w:rsidRPr="00D143CE">
        <w:rPr>
          <w:spacing w:val="-4"/>
          <w:lang w:val="en-GB"/>
        </w:rPr>
        <w:t>Exhibit 4</w:t>
      </w:r>
      <w:r w:rsidRPr="00D143CE">
        <w:rPr>
          <w:spacing w:val="-4"/>
          <w:lang w:val="en-GB"/>
        </w:rPr>
        <w:t xml:space="preserve">). Out of the total required </w:t>
      </w:r>
      <w:r w:rsidR="005D5396" w:rsidRPr="00D143CE">
        <w:rPr>
          <w:spacing w:val="-4"/>
          <w:lang w:val="en-GB"/>
        </w:rPr>
        <w:t>term loan</w:t>
      </w:r>
      <w:r w:rsidRPr="00D143CE">
        <w:rPr>
          <w:spacing w:val="-4"/>
          <w:lang w:val="en-GB"/>
        </w:rPr>
        <w:t xml:space="preserve"> of </w:t>
      </w:r>
      <w:r w:rsidRPr="00D143CE">
        <w:rPr>
          <w:rFonts w:ascii="Tahoma" w:hAnsi="Tahoma" w:cs="Tahoma"/>
          <w:spacing w:val="-4"/>
          <w:sz w:val="20"/>
          <w:szCs w:val="20"/>
          <w:lang w:val="en-GB"/>
        </w:rPr>
        <w:t>₹</w:t>
      </w:r>
      <w:r w:rsidRPr="00D143CE">
        <w:rPr>
          <w:spacing w:val="-4"/>
          <w:lang w:val="en-GB"/>
        </w:rPr>
        <w:t xml:space="preserve">9.70 </w:t>
      </w:r>
      <w:r w:rsidRPr="00D143CE">
        <w:rPr>
          <w:rFonts w:eastAsia="Calibri"/>
          <w:spacing w:val="-4"/>
          <w:lang w:val="en-GB"/>
        </w:rPr>
        <w:t>billion</w:t>
      </w:r>
      <w:r w:rsidRPr="00D143CE">
        <w:rPr>
          <w:spacing w:val="-4"/>
          <w:lang w:val="en-GB"/>
        </w:rPr>
        <w:t xml:space="preserve">, NBEIL had the flexibility to raise a loan </w:t>
      </w:r>
      <w:r w:rsidR="00D311AC" w:rsidRPr="00D143CE">
        <w:rPr>
          <w:spacing w:val="-4"/>
          <w:lang w:val="en-GB"/>
        </w:rPr>
        <w:t>equal to</w:t>
      </w:r>
      <w:r w:rsidR="004C6D6A" w:rsidRPr="00D143CE">
        <w:rPr>
          <w:spacing w:val="-4"/>
          <w:lang w:val="en-GB"/>
        </w:rPr>
        <w:t xml:space="preserve"> </w:t>
      </w:r>
      <w:r w:rsidRPr="00D143CE">
        <w:rPr>
          <w:rFonts w:ascii="Tahoma" w:hAnsi="Tahoma" w:cs="Tahoma"/>
          <w:spacing w:val="-4"/>
          <w:sz w:val="20"/>
          <w:szCs w:val="20"/>
          <w:lang w:val="en-GB"/>
        </w:rPr>
        <w:t>₹</w:t>
      </w:r>
      <w:r w:rsidRPr="00D143CE">
        <w:rPr>
          <w:spacing w:val="-4"/>
          <w:lang w:val="en-GB"/>
        </w:rPr>
        <w:t>4</w:t>
      </w:r>
      <w:r w:rsidR="0012070E" w:rsidRPr="00D143CE">
        <w:rPr>
          <w:spacing w:val="-4"/>
          <w:lang w:val="en-GB"/>
        </w:rPr>
        <w:t xml:space="preserve"> </w:t>
      </w:r>
      <w:r w:rsidRPr="00D143CE">
        <w:rPr>
          <w:rFonts w:eastAsia="Calibri"/>
          <w:spacing w:val="-4"/>
          <w:lang w:val="en-GB"/>
        </w:rPr>
        <w:t>billion</w:t>
      </w:r>
      <w:r w:rsidRPr="00D143CE">
        <w:rPr>
          <w:spacing w:val="-4"/>
          <w:lang w:val="en-GB"/>
        </w:rPr>
        <w:t xml:space="preserve"> denominated in foreign currency. In typical project</w:t>
      </w:r>
      <w:r w:rsidR="00D311AC" w:rsidRPr="00D143CE">
        <w:rPr>
          <w:spacing w:val="-4"/>
          <w:lang w:val="en-GB"/>
        </w:rPr>
        <w:t>-</w:t>
      </w:r>
      <w:r w:rsidRPr="00D143CE">
        <w:rPr>
          <w:spacing w:val="-4"/>
          <w:lang w:val="en-GB"/>
        </w:rPr>
        <w:t xml:space="preserve">financing structure, </w:t>
      </w:r>
      <w:r w:rsidR="00D311AC" w:rsidRPr="00D143CE">
        <w:rPr>
          <w:spacing w:val="-4"/>
          <w:lang w:val="en-GB"/>
        </w:rPr>
        <w:t xml:space="preserve">the </w:t>
      </w:r>
      <w:r w:rsidRPr="00D143CE">
        <w:rPr>
          <w:spacing w:val="-4"/>
          <w:lang w:val="en-GB"/>
        </w:rPr>
        <w:t xml:space="preserve">interests of </w:t>
      </w:r>
      <w:r w:rsidR="0019631E" w:rsidRPr="00D143CE">
        <w:rPr>
          <w:spacing w:val="-4"/>
          <w:lang w:val="en-GB"/>
        </w:rPr>
        <w:t xml:space="preserve">a </w:t>
      </w:r>
      <w:r w:rsidRPr="00D143CE">
        <w:rPr>
          <w:spacing w:val="-4"/>
          <w:lang w:val="en-GB"/>
        </w:rPr>
        <w:t xml:space="preserve">project’s stakeholders (including lenders) would be protected through </w:t>
      </w:r>
      <w:r w:rsidR="00D311AC" w:rsidRPr="00D143CE">
        <w:rPr>
          <w:spacing w:val="-4"/>
          <w:lang w:val="en-GB"/>
        </w:rPr>
        <w:t xml:space="preserve">a </w:t>
      </w:r>
      <w:r w:rsidRPr="00D143CE">
        <w:rPr>
          <w:spacing w:val="-4"/>
          <w:lang w:val="en-GB"/>
        </w:rPr>
        <w:t>cash flow waterfall mechanism</w:t>
      </w:r>
      <w:r w:rsidR="00BE2F00" w:rsidRPr="00D143CE">
        <w:rPr>
          <w:spacing w:val="-4"/>
          <w:lang w:val="en-GB"/>
        </w:rPr>
        <w:t xml:space="preserve"> (i.e., priority of each cash inflow and outflow in a project, thereby ensuring debt service).</w:t>
      </w:r>
      <w:r w:rsidRPr="00D143CE">
        <w:rPr>
          <w:spacing w:val="-4"/>
          <w:lang w:val="en-GB"/>
        </w:rPr>
        <w:t xml:space="preserve"> As such, lenders </w:t>
      </w:r>
      <w:r w:rsidR="00D311AC" w:rsidRPr="00D143CE">
        <w:rPr>
          <w:spacing w:val="-4"/>
          <w:lang w:val="en-GB"/>
        </w:rPr>
        <w:t xml:space="preserve">could </w:t>
      </w:r>
      <w:r w:rsidRPr="00D143CE">
        <w:rPr>
          <w:spacing w:val="-4"/>
          <w:lang w:val="en-GB"/>
        </w:rPr>
        <w:t xml:space="preserve">derive </w:t>
      </w:r>
      <w:r w:rsidR="0019631E" w:rsidRPr="00D143CE">
        <w:rPr>
          <w:spacing w:val="-4"/>
          <w:lang w:val="en-GB"/>
        </w:rPr>
        <w:t xml:space="preserve">confidence </w:t>
      </w:r>
      <w:r w:rsidRPr="00D143CE">
        <w:rPr>
          <w:spacing w:val="-4"/>
          <w:lang w:val="en-GB"/>
        </w:rPr>
        <w:t xml:space="preserve">while financing </w:t>
      </w:r>
      <w:r w:rsidR="00D311AC" w:rsidRPr="00D143CE">
        <w:rPr>
          <w:spacing w:val="-4"/>
          <w:lang w:val="en-GB"/>
        </w:rPr>
        <w:t xml:space="preserve">the kind of </w:t>
      </w:r>
      <w:r w:rsidRPr="00D143CE">
        <w:rPr>
          <w:spacing w:val="-4"/>
          <w:lang w:val="en-GB"/>
        </w:rPr>
        <w:t>large</w:t>
      </w:r>
      <w:r w:rsidR="00D311AC" w:rsidRPr="00D143CE">
        <w:rPr>
          <w:spacing w:val="-4"/>
          <w:lang w:val="en-GB"/>
        </w:rPr>
        <w:t>-</w:t>
      </w:r>
      <w:r w:rsidRPr="00D143CE">
        <w:rPr>
          <w:spacing w:val="-4"/>
          <w:lang w:val="en-GB"/>
        </w:rPr>
        <w:t>scale</w:t>
      </w:r>
      <w:r w:rsidR="00D311AC" w:rsidRPr="00D143CE">
        <w:rPr>
          <w:spacing w:val="-4"/>
          <w:lang w:val="en-GB"/>
        </w:rPr>
        <w:t>,</w:t>
      </w:r>
      <w:r w:rsidRPr="00D143CE">
        <w:rPr>
          <w:spacing w:val="-4"/>
          <w:lang w:val="en-GB"/>
        </w:rPr>
        <w:t xml:space="preserve"> capital</w:t>
      </w:r>
      <w:r w:rsidR="00D311AC" w:rsidRPr="00D143CE">
        <w:rPr>
          <w:spacing w:val="-4"/>
          <w:lang w:val="en-GB"/>
        </w:rPr>
        <w:t>-</w:t>
      </w:r>
      <w:r w:rsidRPr="00D143CE">
        <w:rPr>
          <w:spacing w:val="-4"/>
          <w:lang w:val="en-GB"/>
        </w:rPr>
        <w:t xml:space="preserve">intensive projects </w:t>
      </w:r>
      <w:r w:rsidR="00D311AC" w:rsidRPr="00D143CE">
        <w:rPr>
          <w:spacing w:val="-4"/>
          <w:lang w:val="en-GB"/>
        </w:rPr>
        <w:t xml:space="preserve">that were </w:t>
      </w:r>
      <w:r w:rsidRPr="00D143CE">
        <w:rPr>
          <w:spacing w:val="-4"/>
          <w:lang w:val="en-GB"/>
        </w:rPr>
        <w:t xml:space="preserve">associated with systematic distribution of cash flows among the project’s stakeholders (see </w:t>
      </w:r>
      <w:r w:rsidR="00B1213B" w:rsidRPr="00D143CE">
        <w:rPr>
          <w:spacing w:val="-4"/>
          <w:lang w:val="en-GB"/>
        </w:rPr>
        <w:t>Exhibit 4</w:t>
      </w:r>
      <w:r w:rsidRPr="00D143CE">
        <w:rPr>
          <w:spacing w:val="-4"/>
          <w:lang w:val="en-GB"/>
        </w:rPr>
        <w:t>).</w:t>
      </w:r>
    </w:p>
    <w:p w14:paraId="2A75B6F9" w14:textId="77777777" w:rsidR="0028127C" w:rsidRPr="003519B9" w:rsidRDefault="0028127C" w:rsidP="00242175">
      <w:pPr>
        <w:pStyle w:val="BodyTextMain"/>
        <w:rPr>
          <w:lang w:val="en-GB"/>
        </w:rPr>
      </w:pPr>
    </w:p>
    <w:p w14:paraId="00F940F5" w14:textId="77777777" w:rsidR="0028127C" w:rsidRPr="003519B9" w:rsidRDefault="0028127C" w:rsidP="00242175">
      <w:pPr>
        <w:pStyle w:val="BodyTextMain"/>
        <w:rPr>
          <w:lang w:val="en-GB"/>
        </w:rPr>
      </w:pPr>
    </w:p>
    <w:p w14:paraId="753DA9F4" w14:textId="77777777" w:rsidR="0028127C" w:rsidRPr="003519B9" w:rsidRDefault="0028127C" w:rsidP="00E8594B">
      <w:pPr>
        <w:pStyle w:val="Casehead2"/>
        <w:rPr>
          <w:rFonts w:eastAsia="Calibri"/>
          <w:lang w:val="en-GB"/>
        </w:rPr>
      </w:pPr>
      <w:r w:rsidRPr="003519B9">
        <w:rPr>
          <w:lang w:val="en-GB"/>
        </w:rPr>
        <w:t>Technical Details</w:t>
      </w:r>
    </w:p>
    <w:p w14:paraId="59ADE343" w14:textId="77777777" w:rsidR="0028127C" w:rsidRPr="003519B9" w:rsidRDefault="0028127C" w:rsidP="00242175">
      <w:pPr>
        <w:pStyle w:val="BodyTextMain"/>
        <w:rPr>
          <w:lang w:val="en-GB"/>
        </w:rPr>
      </w:pPr>
    </w:p>
    <w:p w14:paraId="7EF45CD3" w14:textId="07762EB3" w:rsidR="0028127C" w:rsidRPr="003519B9" w:rsidRDefault="0028127C" w:rsidP="00242175">
      <w:pPr>
        <w:pStyle w:val="BodyTextMain"/>
        <w:rPr>
          <w:color w:val="000000"/>
          <w:lang w:val="en-GB"/>
        </w:rPr>
      </w:pPr>
      <w:r w:rsidRPr="003519B9">
        <w:rPr>
          <w:lang w:val="en-GB"/>
        </w:rPr>
        <w:t>NBEIL proposed t</w:t>
      </w:r>
      <w:r w:rsidR="00577F85" w:rsidRPr="003519B9">
        <w:rPr>
          <w:lang w:val="en-GB"/>
        </w:rPr>
        <w:t>he</w:t>
      </w:r>
      <w:r w:rsidRPr="003519B9">
        <w:rPr>
          <w:lang w:val="en-GB"/>
        </w:rPr>
        <w:t xml:space="preserve"> use </w:t>
      </w:r>
      <w:r w:rsidR="00577F85" w:rsidRPr="003519B9">
        <w:rPr>
          <w:lang w:val="en-GB"/>
        </w:rPr>
        <w:t xml:space="preserve">of </w:t>
      </w:r>
      <w:r w:rsidRPr="003519B9">
        <w:rPr>
          <w:lang w:val="en-GB"/>
        </w:rPr>
        <w:t>coal-fired</w:t>
      </w:r>
      <w:r w:rsidR="00090408" w:rsidRPr="003519B9">
        <w:rPr>
          <w:lang w:val="en-GB"/>
        </w:rPr>
        <w:t>,</w:t>
      </w:r>
      <w:r w:rsidRPr="003519B9">
        <w:rPr>
          <w:lang w:val="en-GB"/>
        </w:rPr>
        <w:t xml:space="preserve"> subcritical technology</w:t>
      </w:r>
      <w:r w:rsidR="00577F85" w:rsidRPr="003519B9">
        <w:rPr>
          <w:lang w:val="en-GB"/>
        </w:rPr>
        <w:t>,</w:t>
      </w:r>
      <w:r w:rsidRPr="003519B9">
        <w:rPr>
          <w:vertAlign w:val="superscript"/>
          <w:lang w:val="en-GB"/>
        </w:rPr>
        <w:footnoteReference w:id="14"/>
      </w:r>
      <w:r w:rsidRPr="003519B9">
        <w:rPr>
          <w:lang w:val="en-GB"/>
        </w:rPr>
        <w:t xml:space="preserve"> one of the proven technologies for power</w:t>
      </w:r>
      <w:r w:rsidR="006029FB" w:rsidRPr="003519B9">
        <w:rPr>
          <w:lang w:val="en-GB"/>
        </w:rPr>
        <w:t xml:space="preserve"> generation</w:t>
      </w:r>
      <w:r w:rsidRPr="003519B9">
        <w:rPr>
          <w:lang w:val="en-GB"/>
        </w:rPr>
        <w:t xml:space="preserve">. </w:t>
      </w:r>
      <w:r w:rsidR="00B1213B" w:rsidRPr="003519B9">
        <w:rPr>
          <w:lang w:val="en-GB"/>
        </w:rPr>
        <w:t>The company proposed to implement the projects through package contracts</w:t>
      </w:r>
      <w:r w:rsidR="0024406E" w:rsidRPr="003519B9">
        <w:rPr>
          <w:lang w:val="en-GB"/>
        </w:rPr>
        <w:t xml:space="preserve"> supplied by</w:t>
      </w:r>
      <w:r w:rsidR="00B1213B" w:rsidRPr="003519B9">
        <w:rPr>
          <w:lang w:val="en-GB"/>
        </w:rPr>
        <w:t xml:space="preserve"> boiler, turbine, and generator (BTG)</w:t>
      </w:r>
      <w:r w:rsidR="005953EB" w:rsidRPr="003519B9">
        <w:rPr>
          <w:lang w:val="en-GB"/>
        </w:rPr>
        <w:t xml:space="preserve"> and </w:t>
      </w:r>
      <w:r w:rsidR="0024406E" w:rsidRPr="003519B9">
        <w:rPr>
          <w:lang w:val="en-GB"/>
        </w:rPr>
        <w:t>a variety of other plants</w:t>
      </w:r>
      <w:r w:rsidR="005953EB" w:rsidRPr="003519B9">
        <w:rPr>
          <w:lang w:val="en-GB"/>
        </w:rPr>
        <w:t>.</w:t>
      </w:r>
      <w:r w:rsidR="005953EB" w:rsidRPr="003519B9">
        <w:rPr>
          <w:vertAlign w:val="superscript"/>
          <w:lang w:val="en-GB"/>
        </w:rPr>
        <w:footnoteReference w:id="15"/>
      </w:r>
      <w:r w:rsidR="004C6D6A" w:rsidRPr="003519B9">
        <w:rPr>
          <w:lang w:val="en-GB"/>
        </w:rPr>
        <w:t xml:space="preserve"> </w:t>
      </w:r>
      <w:r w:rsidR="0019631E" w:rsidRPr="003519B9">
        <w:rPr>
          <w:lang w:val="en-GB"/>
        </w:rPr>
        <w:t xml:space="preserve">In order to </w:t>
      </w:r>
      <w:r w:rsidRPr="003519B9">
        <w:rPr>
          <w:lang w:val="en-GB"/>
        </w:rPr>
        <w:t>execut</w:t>
      </w:r>
      <w:r w:rsidR="0019631E" w:rsidRPr="003519B9">
        <w:rPr>
          <w:lang w:val="en-GB"/>
        </w:rPr>
        <w:t>e</w:t>
      </w:r>
      <w:r w:rsidRPr="003519B9">
        <w:rPr>
          <w:lang w:val="en-GB"/>
        </w:rPr>
        <w:t xml:space="preserve"> the BTG contract</w:t>
      </w:r>
      <w:r w:rsidR="0019631E" w:rsidRPr="003519B9">
        <w:rPr>
          <w:lang w:val="en-GB"/>
        </w:rPr>
        <w:t>, NBEIL would select contractors through an international competitive bidding process</w:t>
      </w:r>
      <w:r w:rsidRPr="003519B9">
        <w:rPr>
          <w:lang w:val="en-GB"/>
        </w:rPr>
        <w:t xml:space="preserve">. The company proposed to acquire circulating fluidized bed combustion technology for the projects </w:t>
      </w:r>
      <w:r w:rsidR="0019631E" w:rsidRPr="003519B9">
        <w:rPr>
          <w:lang w:val="en-GB"/>
        </w:rPr>
        <w:t>since</w:t>
      </w:r>
      <w:r w:rsidR="00D15F5A" w:rsidRPr="003519B9">
        <w:rPr>
          <w:lang w:val="en-GB"/>
        </w:rPr>
        <w:t xml:space="preserve"> </w:t>
      </w:r>
      <w:r w:rsidR="00813026" w:rsidRPr="003519B9">
        <w:rPr>
          <w:lang w:val="en-GB"/>
        </w:rPr>
        <w:t xml:space="preserve">this process </w:t>
      </w:r>
      <w:r w:rsidRPr="003519B9">
        <w:rPr>
          <w:lang w:val="en-GB"/>
        </w:rPr>
        <w:t>had inherent advantages</w:t>
      </w:r>
      <w:r w:rsidR="0019631E" w:rsidRPr="003519B9">
        <w:rPr>
          <w:lang w:val="en-GB"/>
        </w:rPr>
        <w:t>, such as</w:t>
      </w:r>
      <w:r w:rsidRPr="003519B9">
        <w:rPr>
          <w:lang w:val="en-GB"/>
        </w:rPr>
        <w:t xml:space="preserve"> efficient combustion (high thermal efficiency)</w:t>
      </w:r>
      <w:r w:rsidR="0019631E" w:rsidRPr="003519B9">
        <w:rPr>
          <w:lang w:val="en-GB"/>
        </w:rPr>
        <w:t xml:space="preserve"> and</w:t>
      </w:r>
      <w:r w:rsidRPr="003519B9">
        <w:rPr>
          <w:lang w:val="en-GB"/>
        </w:rPr>
        <w:t xml:space="preserve"> flexibility for usage of low-grade coal without affecting the performance of steam generator</w:t>
      </w:r>
      <w:r w:rsidR="0019631E" w:rsidRPr="003519B9">
        <w:rPr>
          <w:lang w:val="en-GB"/>
        </w:rPr>
        <w:t xml:space="preserve">, as well as </w:t>
      </w:r>
      <w:r w:rsidRPr="003519B9">
        <w:rPr>
          <w:lang w:val="en-GB"/>
        </w:rPr>
        <w:t xml:space="preserve">limited environmental pollution. The </w:t>
      </w:r>
      <w:r w:rsidRPr="003519B9">
        <w:rPr>
          <w:lang w:val="en-GB"/>
        </w:rPr>
        <w:lastRenderedPageBreak/>
        <w:t>equipment in the power plants would be designed and operated with a maximum noise level of 85 decibels acoustic</w:t>
      </w:r>
      <w:r w:rsidR="00813026" w:rsidRPr="003519B9">
        <w:rPr>
          <w:lang w:val="en-GB"/>
        </w:rPr>
        <w:t>,</w:t>
      </w:r>
      <w:r w:rsidRPr="003519B9">
        <w:rPr>
          <w:lang w:val="en-GB"/>
        </w:rPr>
        <w:t xml:space="preserve"> measured at a distance of 1.50 metres.</w:t>
      </w:r>
    </w:p>
    <w:p w14:paraId="7F9A0289" w14:textId="77777777" w:rsidR="0028127C" w:rsidRPr="003519B9" w:rsidRDefault="0028127C" w:rsidP="00242175">
      <w:pPr>
        <w:pStyle w:val="BodyTextMain"/>
        <w:rPr>
          <w:lang w:val="en-GB"/>
        </w:rPr>
      </w:pPr>
    </w:p>
    <w:p w14:paraId="52603396" w14:textId="547A1507" w:rsidR="0028127C" w:rsidRPr="003519B9" w:rsidRDefault="00813026" w:rsidP="00242175">
      <w:pPr>
        <w:pStyle w:val="BodyTextMain"/>
        <w:rPr>
          <w:lang w:val="en-GB"/>
        </w:rPr>
      </w:pPr>
      <w:r w:rsidRPr="003519B9">
        <w:rPr>
          <w:lang w:val="en-GB"/>
        </w:rPr>
        <w:t xml:space="preserve">For its combined projects, </w:t>
      </w:r>
      <w:r w:rsidR="0028127C" w:rsidRPr="003519B9">
        <w:rPr>
          <w:lang w:val="en-GB"/>
        </w:rPr>
        <w:t xml:space="preserve">NBEIL would require an aggregate land </w:t>
      </w:r>
      <w:r w:rsidRPr="003519B9">
        <w:rPr>
          <w:lang w:val="en-GB"/>
        </w:rPr>
        <w:t xml:space="preserve">parcel </w:t>
      </w:r>
      <w:r w:rsidR="0028127C" w:rsidRPr="003519B9">
        <w:rPr>
          <w:lang w:val="en-GB"/>
        </w:rPr>
        <w:t>of</w:t>
      </w:r>
      <w:r w:rsidR="004C6D6A" w:rsidRPr="003519B9">
        <w:rPr>
          <w:lang w:val="en-GB"/>
        </w:rPr>
        <w:t xml:space="preserve"> </w:t>
      </w:r>
      <w:r w:rsidR="0028127C" w:rsidRPr="003519B9">
        <w:rPr>
          <w:lang w:val="en-GB"/>
        </w:rPr>
        <w:t xml:space="preserve">100 hectares (33 hectares for </w:t>
      </w:r>
      <w:r w:rsidRPr="003519B9">
        <w:rPr>
          <w:lang w:val="en-GB"/>
        </w:rPr>
        <w:t xml:space="preserve">the </w:t>
      </w:r>
      <w:r w:rsidR="0028127C" w:rsidRPr="003519B9">
        <w:rPr>
          <w:lang w:val="en-GB"/>
        </w:rPr>
        <w:t xml:space="preserve">Dharmavaram project </w:t>
      </w:r>
      <w:r w:rsidRPr="003519B9">
        <w:rPr>
          <w:lang w:val="en-GB"/>
        </w:rPr>
        <w:t>plus</w:t>
      </w:r>
      <w:r w:rsidR="0028127C" w:rsidRPr="003519B9">
        <w:rPr>
          <w:lang w:val="en-GB"/>
        </w:rPr>
        <w:t xml:space="preserve"> 67 hectares for </w:t>
      </w:r>
      <w:r w:rsidRPr="003519B9">
        <w:rPr>
          <w:lang w:val="en-GB"/>
        </w:rPr>
        <w:t xml:space="preserve">the </w:t>
      </w:r>
      <w:r w:rsidR="0028127C" w:rsidRPr="003519B9">
        <w:rPr>
          <w:lang w:val="en-GB"/>
        </w:rPr>
        <w:t>Paloncha project</w:t>
      </w:r>
      <w:r w:rsidR="00D15F5A" w:rsidRPr="003519B9">
        <w:rPr>
          <w:lang w:val="en-GB"/>
        </w:rPr>
        <w:t>); this</w:t>
      </w:r>
      <w:r w:rsidR="0028127C" w:rsidRPr="003519B9">
        <w:rPr>
          <w:lang w:val="en-GB"/>
        </w:rPr>
        <w:t xml:space="preserve"> land would be sufficient for </w:t>
      </w:r>
      <w:r w:rsidR="0019631E" w:rsidRPr="003519B9">
        <w:rPr>
          <w:lang w:val="en-GB"/>
        </w:rPr>
        <w:t xml:space="preserve">setting up both </w:t>
      </w:r>
      <w:r w:rsidR="0028127C" w:rsidRPr="003519B9">
        <w:rPr>
          <w:lang w:val="en-GB"/>
        </w:rPr>
        <w:t>power plants</w:t>
      </w:r>
      <w:r w:rsidRPr="003519B9">
        <w:rPr>
          <w:lang w:val="en-GB"/>
        </w:rPr>
        <w:t>,</w:t>
      </w:r>
      <w:r w:rsidR="0028127C" w:rsidRPr="003519B9">
        <w:rPr>
          <w:lang w:val="en-GB"/>
        </w:rPr>
        <w:t xml:space="preserve"> as well as for ash dumping and development of </w:t>
      </w:r>
      <w:r w:rsidRPr="003519B9">
        <w:rPr>
          <w:lang w:val="en-GB"/>
        </w:rPr>
        <w:t xml:space="preserve">the </w:t>
      </w:r>
      <w:r w:rsidR="0028127C" w:rsidRPr="003519B9">
        <w:rPr>
          <w:lang w:val="en-GB"/>
        </w:rPr>
        <w:t xml:space="preserve">green belt. </w:t>
      </w:r>
      <w:r w:rsidRPr="003519B9">
        <w:rPr>
          <w:lang w:val="en-GB"/>
        </w:rPr>
        <w:t>Since</w:t>
      </w:r>
      <w:r w:rsidR="0028127C" w:rsidRPr="003519B9">
        <w:rPr>
          <w:lang w:val="en-GB"/>
        </w:rPr>
        <w:t xml:space="preserve"> the required land was registered in the name of NBVL, </w:t>
      </w:r>
      <w:r w:rsidR="00731866" w:rsidRPr="003519B9">
        <w:rPr>
          <w:lang w:val="en-GB"/>
        </w:rPr>
        <w:t>NBEIL</w:t>
      </w:r>
      <w:r w:rsidR="00B1213B" w:rsidRPr="003519B9">
        <w:rPr>
          <w:lang w:val="en-GB"/>
        </w:rPr>
        <w:t xml:space="preserve"> would acquire the property from its parent company</w:t>
      </w:r>
      <w:r w:rsidR="0028127C" w:rsidRPr="003519B9">
        <w:rPr>
          <w:lang w:val="en-GB"/>
        </w:rPr>
        <w:t>.</w:t>
      </w:r>
    </w:p>
    <w:p w14:paraId="4FA7D809" w14:textId="77777777" w:rsidR="0028127C" w:rsidRPr="003519B9" w:rsidRDefault="0028127C" w:rsidP="00242175">
      <w:pPr>
        <w:pStyle w:val="BodyTextMain"/>
        <w:rPr>
          <w:rFonts w:eastAsia="Calibri"/>
          <w:lang w:val="en-GB"/>
        </w:rPr>
      </w:pPr>
    </w:p>
    <w:p w14:paraId="7517A33D" w14:textId="463C5A39" w:rsidR="0028127C" w:rsidRPr="003519B9" w:rsidRDefault="0030230C" w:rsidP="00242175">
      <w:pPr>
        <w:pStyle w:val="BodyTextMain"/>
        <w:rPr>
          <w:lang w:val="en-GB"/>
        </w:rPr>
      </w:pPr>
      <w:r w:rsidRPr="003519B9">
        <w:rPr>
          <w:lang w:val="en-GB"/>
        </w:rPr>
        <w:t xml:space="preserve">To run its special project initiatives, </w:t>
      </w:r>
      <w:r w:rsidR="0028127C" w:rsidRPr="003519B9">
        <w:rPr>
          <w:lang w:val="en-GB"/>
        </w:rPr>
        <w:t xml:space="preserve">NBEIL estimated </w:t>
      </w:r>
      <w:r w:rsidR="009A52D0" w:rsidRPr="003519B9">
        <w:rPr>
          <w:lang w:val="en-GB"/>
        </w:rPr>
        <w:t xml:space="preserve">that </w:t>
      </w:r>
      <w:r w:rsidR="0028127C" w:rsidRPr="003519B9">
        <w:rPr>
          <w:lang w:val="en-GB"/>
        </w:rPr>
        <w:t>it would require 1.3 million tonnes of coal per annum</w:t>
      </w:r>
      <w:r w:rsidR="00857083" w:rsidRPr="003519B9">
        <w:rPr>
          <w:lang w:val="en-GB"/>
        </w:rPr>
        <w:t>,</w:t>
      </w:r>
      <w:r w:rsidR="0028127C" w:rsidRPr="003519B9">
        <w:rPr>
          <w:lang w:val="en-GB"/>
        </w:rPr>
        <w:t xml:space="preserve"> assuming </w:t>
      </w:r>
      <w:r w:rsidR="009A52D0" w:rsidRPr="003519B9">
        <w:rPr>
          <w:lang w:val="en-GB"/>
        </w:rPr>
        <w:t xml:space="preserve">a </w:t>
      </w:r>
      <w:r w:rsidR="0028127C" w:rsidRPr="003519B9">
        <w:rPr>
          <w:lang w:val="en-GB"/>
        </w:rPr>
        <w:t>plant load factor (PLF)</w:t>
      </w:r>
      <w:r w:rsidR="00312C4B" w:rsidRPr="003519B9">
        <w:rPr>
          <w:rStyle w:val="FootnoteReference"/>
          <w:lang w:val="en-GB"/>
        </w:rPr>
        <w:footnoteReference w:id="16"/>
      </w:r>
      <w:r w:rsidR="004C6D6A" w:rsidRPr="003519B9">
        <w:rPr>
          <w:lang w:val="en-GB"/>
        </w:rPr>
        <w:t xml:space="preserve"> </w:t>
      </w:r>
      <w:r w:rsidR="0028127C" w:rsidRPr="003519B9">
        <w:rPr>
          <w:lang w:val="en-GB"/>
        </w:rPr>
        <w:t xml:space="preserve">of 85 per cent for both </w:t>
      </w:r>
      <w:r w:rsidR="009A52D0" w:rsidRPr="003519B9">
        <w:rPr>
          <w:lang w:val="en-GB"/>
        </w:rPr>
        <w:t>locations</w:t>
      </w:r>
      <w:r w:rsidR="0028127C" w:rsidRPr="003519B9">
        <w:rPr>
          <w:lang w:val="en-GB"/>
        </w:rPr>
        <w:t xml:space="preserve"> (see </w:t>
      </w:r>
      <w:r w:rsidR="00B1213B" w:rsidRPr="003519B9">
        <w:rPr>
          <w:lang w:val="en-GB"/>
        </w:rPr>
        <w:t>Exhibits 5 and 6</w:t>
      </w:r>
      <w:r w:rsidR="0028127C" w:rsidRPr="003519B9">
        <w:rPr>
          <w:lang w:val="en-GB"/>
        </w:rPr>
        <w:t xml:space="preserve">). NBVL acquired </w:t>
      </w:r>
      <w:r w:rsidR="00857083" w:rsidRPr="003519B9">
        <w:rPr>
          <w:lang w:val="en-GB"/>
        </w:rPr>
        <w:t xml:space="preserve">the </w:t>
      </w:r>
      <w:r w:rsidR="0028127C" w:rsidRPr="003519B9">
        <w:rPr>
          <w:lang w:val="en-GB"/>
        </w:rPr>
        <w:t xml:space="preserve">coal mining rights </w:t>
      </w:r>
      <w:r w:rsidRPr="003519B9">
        <w:rPr>
          <w:lang w:val="en-GB"/>
        </w:rPr>
        <w:t>to</w:t>
      </w:r>
      <w:r w:rsidR="0028127C" w:rsidRPr="003519B9">
        <w:rPr>
          <w:lang w:val="en-GB"/>
        </w:rPr>
        <w:t xml:space="preserve"> 1</w:t>
      </w:r>
      <w:r w:rsidR="00857083" w:rsidRPr="003519B9">
        <w:rPr>
          <w:lang w:val="en-GB"/>
        </w:rPr>
        <w:t>,</w:t>
      </w:r>
      <w:r w:rsidR="0028127C" w:rsidRPr="003519B9">
        <w:rPr>
          <w:lang w:val="en-GB"/>
        </w:rPr>
        <w:t xml:space="preserve">200 hectares of mines (for extraction of coal of 20,000 tonnes per annum from September 2009) in South Kalimantan, </w:t>
      </w:r>
      <w:r w:rsidR="00D15F5A" w:rsidRPr="003519B9">
        <w:rPr>
          <w:lang w:val="en-GB"/>
        </w:rPr>
        <w:t>Indonesia, a</w:t>
      </w:r>
      <w:r w:rsidR="00601B87" w:rsidRPr="003519B9">
        <w:rPr>
          <w:lang w:val="en-GB"/>
        </w:rPr>
        <w:t xml:space="preserve"> parcel of land that possessed</w:t>
      </w:r>
      <w:r w:rsidR="00D15F5A" w:rsidRPr="003519B9">
        <w:rPr>
          <w:lang w:val="en-GB"/>
        </w:rPr>
        <w:t xml:space="preserve"> </w:t>
      </w:r>
      <w:r w:rsidRPr="003519B9">
        <w:rPr>
          <w:lang w:val="en-GB"/>
        </w:rPr>
        <w:t xml:space="preserve">combined </w:t>
      </w:r>
      <w:r w:rsidR="0028127C" w:rsidRPr="003519B9">
        <w:rPr>
          <w:lang w:val="en-GB"/>
        </w:rPr>
        <w:t>estimated reserves of 40 million tonnes</w:t>
      </w:r>
      <w:r w:rsidR="00601B87" w:rsidRPr="003519B9">
        <w:rPr>
          <w:lang w:val="en-GB"/>
        </w:rPr>
        <w:t xml:space="preserve"> of coal</w:t>
      </w:r>
      <w:r w:rsidR="0028127C" w:rsidRPr="003519B9">
        <w:rPr>
          <w:lang w:val="en-GB"/>
        </w:rPr>
        <w:t xml:space="preserve">. While the entire </w:t>
      </w:r>
      <w:r w:rsidRPr="003519B9">
        <w:rPr>
          <w:lang w:val="en-GB"/>
        </w:rPr>
        <w:t xml:space="preserve">amount of coal </w:t>
      </w:r>
      <w:r w:rsidR="0028127C" w:rsidRPr="003519B9">
        <w:rPr>
          <w:lang w:val="en-GB"/>
        </w:rPr>
        <w:t xml:space="preserve">required for </w:t>
      </w:r>
      <w:r w:rsidRPr="003519B9">
        <w:rPr>
          <w:lang w:val="en-GB"/>
        </w:rPr>
        <w:t xml:space="preserve">the </w:t>
      </w:r>
      <w:r w:rsidR="0028127C" w:rsidRPr="003519B9">
        <w:rPr>
          <w:lang w:val="en-GB"/>
        </w:rPr>
        <w:t xml:space="preserve">Dharmavaram plant </w:t>
      </w:r>
      <w:r w:rsidRPr="003519B9">
        <w:rPr>
          <w:lang w:val="en-GB"/>
        </w:rPr>
        <w:t>would</w:t>
      </w:r>
      <w:r w:rsidR="00AC2934" w:rsidRPr="003519B9">
        <w:rPr>
          <w:lang w:val="en-GB"/>
        </w:rPr>
        <w:t xml:space="preserve"> be</w:t>
      </w:r>
      <w:r w:rsidR="0028127C" w:rsidRPr="003519B9">
        <w:rPr>
          <w:lang w:val="en-GB"/>
        </w:rPr>
        <w:t xml:space="preserve"> imported from Indonesia (through </w:t>
      </w:r>
      <w:r w:rsidRPr="003519B9">
        <w:rPr>
          <w:lang w:val="en-GB"/>
        </w:rPr>
        <w:t xml:space="preserve">the sea port of </w:t>
      </w:r>
      <w:r w:rsidR="0028127C" w:rsidRPr="003519B9">
        <w:rPr>
          <w:lang w:val="en-GB"/>
        </w:rPr>
        <w:t>Kakinada</w:t>
      </w:r>
      <w:r w:rsidRPr="003519B9">
        <w:rPr>
          <w:lang w:val="en-GB"/>
        </w:rPr>
        <w:t>,</w:t>
      </w:r>
      <w:r w:rsidR="0028127C" w:rsidRPr="003519B9">
        <w:rPr>
          <w:lang w:val="en-GB"/>
        </w:rPr>
        <w:t xml:space="preserve"> which was 45 kilomet</w:t>
      </w:r>
      <w:r w:rsidR="003C351E" w:rsidRPr="003519B9">
        <w:rPr>
          <w:lang w:val="en-GB"/>
        </w:rPr>
        <w:t>r</w:t>
      </w:r>
      <w:r w:rsidR="0028127C" w:rsidRPr="003519B9">
        <w:rPr>
          <w:lang w:val="en-GB"/>
        </w:rPr>
        <w:t xml:space="preserve">es away from the site), the coal/washery rejects from </w:t>
      </w:r>
      <w:r w:rsidRPr="003519B9">
        <w:rPr>
          <w:lang w:val="en-GB"/>
        </w:rPr>
        <w:t xml:space="preserve">the </w:t>
      </w:r>
      <w:r w:rsidR="0028127C" w:rsidRPr="003519B9">
        <w:rPr>
          <w:lang w:val="en-GB"/>
        </w:rPr>
        <w:t xml:space="preserve">nearby </w:t>
      </w:r>
      <w:r w:rsidR="00601B87" w:rsidRPr="003519B9">
        <w:rPr>
          <w:lang w:val="en-GB"/>
        </w:rPr>
        <w:t xml:space="preserve">government-owned </w:t>
      </w:r>
      <w:r w:rsidR="0028127C" w:rsidRPr="003519B9">
        <w:rPr>
          <w:lang w:val="en-GB"/>
        </w:rPr>
        <w:t xml:space="preserve">Singareni Collieries Company Limited </w:t>
      </w:r>
      <w:r w:rsidR="004C6D6A" w:rsidRPr="003519B9">
        <w:rPr>
          <w:lang w:val="en-GB"/>
        </w:rPr>
        <w:t xml:space="preserve">were </w:t>
      </w:r>
      <w:r w:rsidR="0028127C" w:rsidRPr="003519B9">
        <w:rPr>
          <w:lang w:val="en-GB"/>
        </w:rPr>
        <w:t xml:space="preserve">proposed </w:t>
      </w:r>
      <w:r w:rsidRPr="003519B9">
        <w:rPr>
          <w:lang w:val="en-GB"/>
        </w:rPr>
        <w:t>as the coal source</w:t>
      </w:r>
      <w:r w:rsidR="00D15F5A" w:rsidRPr="003519B9">
        <w:rPr>
          <w:lang w:val="en-GB"/>
        </w:rPr>
        <w:t xml:space="preserve"> </w:t>
      </w:r>
      <w:r w:rsidR="0028127C" w:rsidRPr="003519B9">
        <w:rPr>
          <w:lang w:val="en-GB"/>
        </w:rPr>
        <w:t>for Paloncha plant</w:t>
      </w:r>
      <w:r w:rsidRPr="003519B9">
        <w:rPr>
          <w:lang w:val="en-GB"/>
        </w:rPr>
        <w:t>.</w:t>
      </w:r>
      <w:r w:rsidR="00D15F5A" w:rsidRPr="003519B9">
        <w:rPr>
          <w:lang w:val="en-GB"/>
        </w:rPr>
        <w:t xml:space="preserve"> </w:t>
      </w:r>
      <w:r w:rsidRPr="003519B9">
        <w:rPr>
          <w:lang w:val="en-GB"/>
        </w:rPr>
        <w:t>T</w:t>
      </w:r>
      <w:r w:rsidR="0028127C" w:rsidRPr="003519B9">
        <w:rPr>
          <w:lang w:val="en-GB"/>
        </w:rPr>
        <w:t>hese coal mines, with proven geological reserves of 8.8</w:t>
      </w:r>
      <w:r w:rsidR="004C6D6A" w:rsidRPr="003519B9">
        <w:rPr>
          <w:lang w:val="en-GB"/>
        </w:rPr>
        <w:t xml:space="preserve"> </w:t>
      </w:r>
      <w:r w:rsidR="0028127C" w:rsidRPr="003519B9">
        <w:rPr>
          <w:lang w:val="en-GB"/>
        </w:rPr>
        <w:t xml:space="preserve">billion tonnes, were </w:t>
      </w:r>
      <w:r w:rsidRPr="003519B9">
        <w:rPr>
          <w:lang w:val="en-GB"/>
        </w:rPr>
        <w:t>located approximately</w:t>
      </w:r>
      <w:r w:rsidR="004C6D6A" w:rsidRPr="003519B9">
        <w:rPr>
          <w:lang w:val="en-GB"/>
        </w:rPr>
        <w:t xml:space="preserve"> </w:t>
      </w:r>
      <w:r w:rsidR="0028127C" w:rsidRPr="003519B9">
        <w:rPr>
          <w:lang w:val="en-GB"/>
        </w:rPr>
        <w:t xml:space="preserve">40 </w:t>
      </w:r>
      <w:r w:rsidR="003C351E" w:rsidRPr="003519B9">
        <w:rPr>
          <w:lang w:val="en-GB"/>
        </w:rPr>
        <w:t>kilometres</w:t>
      </w:r>
      <w:r w:rsidR="00D15F5A" w:rsidRPr="003519B9">
        <w:rPr>
          <w:lang w:val="en-GB"/>
        </w:rPr>
        <w:t xml:space="preserve"> </w:t>
      </w:r>
      <w:r w:rsidRPr="003519B9">
        <w:rPr>
          <w:lang w:val="en-GB"/>
        </w:rPr>
        <w:t xml:space="preserve">away </w:t>
      </w:r>
      <w:r w:rsidR="0028127C" w:rsidRPr="003519B9">
        <w:rPr>
          <w:lang w:val="en-GB"/>
        </w:rPr>
        <w:t xml:space="preserve">from the Paloncha plant. </w:t>
      </w:r>
      <w:r w:rsidRPr="003519B9">
        <w:rPr>
          <w:lang w:val="en-GB"/>
        </w:rPr>
        <w:t>Since</w:t>
      </w:r>
      <w:r w:rsidR="0028127C" w:rsidRPr="003519B9">
        <w:rPr>
          <w:lang w:val="en-GB"/>
        </w:rPr>
        <w:t xml:space="preserve"> the sites of </w:t>
      </w:r>
      <w:r w:rsidRPr="003519B9">
        <w:rPr>
          <w:lang w:val="en-GB"/>
        </w:rPr>
        <w:t>both</w:t>
      </w:r>
      <w:r w:rsidR="0028127C" w:rsidRPr="003519B9">
        <w:rPr>
          <w:lang w:val="en-GB"/>
        </w:rPr>
        <w:t xml:space="preserve"> projects were well connected through port, road</w:t>
      </w:r>
      <w:r w:rsidRPr="003519B9">
        <w:rPr>
          <w:lang w:val="en-GB"/>
        </w:rPr>
        <w:t>,</w:t>
      </w:r>
      <w:r w:rsidR="0028127C" w:rsidRPr="003519B9">
        <w:rPr>
          <w:lang w:val="en-GB"/>
        </w:rPr>
        <w:t xml:space="preserve"> and rail transportation network</w:t>
      </w:r>
      <w:r w:rsidRPr="003519B9">
        <w:rPr>
          <w:lang w:val="en-GB"/>
        </w:rPr>
        <w:t>s</w:t>
      </w:r>
      <w:r w:rsidR="0028127C" w:rsidRPr="003519B9">
        <w:rPr>
          <w:lang w:val="en-GB"/>
        </w:rPr>
        <w:t xml:space="preserve">, the </w:t>
      </w:r>
      <w:r w:rsidRPr="003519B9">
        <w:rPr>
          <w:lang w:val="en-GB"/>
        </w:rPr>
        <w:t xml:space="preserve">respective </w:t>
      </w:r>
      <w:r w:rsidR="00601B87" w:rsidRPr="003519B9">
        <w:rPr>
          <w:lang w:val="en-GB"/>
        </w:rPr>
        <w:t xml:space="preserve">NBEIL </w:t>
      </w:r>
      <w:r w:rsidR="0028127C" w:rsidRPr="003519B9">
        <w:rPr>
          <w:lang w:val="en-GB"/>
        </w:rPr>
        <w:t xml:space="preserve">power plants </w:t>
      </w:r>
      <w:r w:rsidRPr="003519B9">
        <w:rPr>
          <w:lang w:val="en-GB"/>
        </w:rPr>
        <w:t xml:space="preserve">each possessed a reliable fuel supply. </w:t>
      </w:r>
    </w:p>
    <w:p w14:paraId="26DE506D" w14:textId="77777777" w:rsidR="0028127C" w:rsidRPr="003519B9" w:rsidRDefault="0028127C" w:rsidP="00242175">
      <w:pPr>
        <w:pStyle w:val="BodyTextMain"/>
        <w:rPr>
          <w:lang w:val="en-GB"/>
        </w:rPr>
      </w:pPr>
    </w:p>
    <w:p w14:paraId="39C0236A" w14:textId="3A302D07" w:rsidR="0028127C" w:rsidRPr="003519B9" w:rsidRDefault="0028127C" w:rsidP="00242175">
      <w:pPr>
        <w:pStyle w:val="BodyTextMain"/>
        <w:rPr>
          <w:lang w:val="en-GB"/>
        </w:rPr>
      </w:pPr>
      <w:r w:rsidRPr="003519B9">
        <w:rPr>
          <w:lang w:val="en-GB"/>
        </w:rPr>
        <w:t xml:space="preserve">The annual water requirement for each power plant was estimated at 5.26 </w:t>
      </w:r>
      <w:r w:rsidR="0030230C" w:rsidRPr="003519B9">
        <w:rPr>
          <w:lang w:val="en-GB"/>
        </w:rPr>
        <w:t>cubic feet per second or “</w:t>
      </w:r>
      <w:r w:rsidRPr="003519B9">
        <w:rPr>
          <w:lang w:val="en-GB"/>
        </w:rPr>
        <w:t>cusecs.</w:t>
      </w:r>
      <w:r w:rsidR="0030230C" w:rsidRPr="003519B9">
        <w:rPr>
          <w:lang w:val="en-GB"/>
        </w:rPr>
        <w:t>”</w:t>
      </w:r>
      <w:r w:rsidRPr="003519B9">
        <w:rPr>
          <w:lang w:val="en-GB"/>
        </w:rPr>
        <w:t xml:space="preserve"> While the water for Dharmavaram plant </w:t>
      </w:r>
      <w:r w:rsidR="0030230C" w:rsidRPr="003519B9">
        <w:rPr>
          <w:lang w:val="en-GB"/>
        </w:rPr>
        <w:t>would</w:t>
      </w:r>
      <w:r w:rsidRPr="003519B9">
        <w:rPr>
          <w:lang w:val="en-GB"/>
        </w:rPr>
        <w:t xml:space="preserve"> be sourced from </w:t>
      </w:r>
      <w:r w:rsidR="0030230C" w:rsidRPr="003519B9">
        <w:rPr>
          <w:lang w:val="en-GB"/>
        </w:rPr>
        <w:t xml:space="preserve">the </w:t>
      </w:r>
      <w:r w:rsidRPr="003519B9">
        <w:rPr>
          <w:lang w:val="en-GB"/>
        </w:rPr>
        <w:t>Yerravaram</w:t>
      </w:r>
      <w:r w:rsidR="00D15F5A" w:rsidRPr="003519B9">
        <w:rPr>
          <w:lang w:val="en-GB"/>
        </w:rPr>
        <w:t xml:space="preserve"> </w:t>
      </w:r>
      <w:r w:rsidR="00601B87" w:rsidRPr="003519B9">
        <w:rPr>
          <w:lang w:val="en-GB"/>
        </w:rPr>
        <w:t>C</w:t>
      </w:r>
      <w:r w:rsidRPr="003519B9">
        <w:rPr>
          <w:lang w:val="en-GB"/>
        </w:rPr>
        <w:t>anal</w:t>
      </w:r>
      <w:r w:rsidR="0030230C" w:rsidRPr="003519B9">
        <w:rPr>
          <w:lang w:val="en-GB"/>
        </w:rPr>
        <w:t>, located</w:t>
      </w:r>
      <w:r w:rsidRPr="003519B9">
        <w:rPr>
          <w:lang w:val="en-GB"/>
        </w:rPr>
        <w:t xml:space="preserve"> 12 </w:t>
      </w:r>
      <w:r w:rsidR="003C351E" w:rsidRPr="003519B9">
        <w:rPr>
          <w:lang w:val="en-GB"/>
        </w:rPr>
        <w:t>kilometres</w:t>
      </w:r>
      <w:r w:rsidRPr="003519B9">
        <w:rPr>
          <w:lang w:val="en-GB"/>
        </w:rPr>
        <w:t xml:space="preserve"> away</w:t>
      </w:r>
      <w:r w:rsidR="008D24D8" w:rsidRPr="003519B9">
        <w:rPr>
          <w:lang w:val="en-GB"/>
        </w:rPr>
        <w:t xml:space="preserve"> from the plant</w:t>
      </w:r>
      <w:r w:rsidRPr="003519B9">
        <w:rPr>
          <w:lang w:val="en-GB"/>
        </w:rPr>
        <w:t xml:space="preserve">, water </w:t>
      </w:r>
      <w:r w:rsidR="0030230C" w:rsidRPr="003519B9">
        <w:rPr>
          <w:lang w:val="en-GB"/>
        </w:rPr>
        <w:t>for the Paloncha project would</w:t>
      </w:r>
      <w:r w:rsidRPr="003519B9">
        <w:rPr>
          <w:lang w:val="en-GB"/>
        </w:rPr>
        <w:t xml:space="preserve"> be sourced from Godavari </w:t>
      </w:r>
      <w:r w:rsidR="00601B87" w:rsidRPr="003519B9">
        <w:rPr>
          <w:lang w:val="en-GB"/>
        </w:rPr>
        <w:t>R</w:t>
      </w:r>
      <w:r w:rsidRPr="003519B9">
        <w:rPr>
          <w:lang w:val="en-GB"/>
        </w:rPr>
        <w:t>iver</w:t>
      </w:r>
      <w:r w:rsidR="0030230C" w:rsidRPr="003519B9">
        <w:rPr>
          <w:lang w:val="en-GB"/>
        </w:rPr>
        <w:t>,</w:t>
      </w:r>
      <w:r w:rsidRPr="003519B9">
        <w:rPr>
          <w:lang w:val="en-GB"/>
        </w:rPr>
        <w:t xml:space="preserve"> which was 20</w:t>
      </w:r>
      <w:r w:rsidR="004C6D6A" w:rsidRPr="003519B9">
        <w:rPr>
          <w:lang w:val="en-GB"/>
        </w:rPr>
        <w:t xml:space="preserve"> </w:t>
      </w:r>
      <w:r w:rsidR="003C351E" w:rsidRPr="003519B9">
        <w:rPr>
          <w:lang w:val="en-GB"/>
        </w:rPr>
        <w:t>kilometres</w:t>
      </w:r>
      <w:r w:rsidRPr="003519B9">
        <w:rPr>
          <w:lang w:val="en-GB"/>
        </w:rPr>
        <w:t xml:space="preserve"> away from the plant</w:t>
      </w:r>
      <w:r w:rsidR="0030230C" w:rsidRPr="003519B9">
        <w:rPr>
          <w:lang w:val="en-GB"/>
        </w:rPr>
        <w:t>.</w:t>
      </w:r>
      <w:r w:rsidR="00D15F5A" w:rsidRPr="003519B9">
        <w:rPr>
          <w:lang w:val="en-GB"/>
        </w:rPr>
        <w:t xml:space="preserve"> </w:t>
      </w:r>
      <w:r w:rsidR="008D24D8" w:rsidRPr="003519B9">
        <w:rPr>
          <w:lang w:val="en-GB"/>
        </w:rPr>
        <w:t>NBEIL</w:t>
      </w:r>
      <w:r w:rsidR="00D15F5A" w:rsidRPr="003519B9">
        <w:rPr>
          <w:lang w:val="en-GB"/>
        </w:rPr>
        <w:t xml:space="preserve"> </w:t>
      </w:r>
      <w:r w:rsidRPr="003519B9">
        <w:rPr>
          <w:lang w:val="en-GB"/>
        </w:rPr>
        <w:t>expected that each project would provide direct employment to 300 people and indirect employment to 700 people in the surrounding areas.</w:t>
      </w:r>
    </w:p>
    <w:p w14:paraId="1B1B6DBB" w14:textId="77777777" w:rsidR="0028127C" w:rsidRPr="003519B9" w:rsidRDefault="0028127C" w:rsidP="00242175">
      <w:pPr>
        <w:pStyle w:val="BodyTextMain"/>
        <w:rPr>
          <w:rFonts w:eastAsia="Calibri"/>
          <w:lang w:val="en-GB"/>
        </w:rPr>
      </w:pPr>
    </w:p>
    <w:p w14:paraId="064D58B5" w14:textId="77777777" w:rsidR="00E8594B" w:rsidRPr="003519B9" w:rsidRDefault="00E8594B" w:rsidP="00242175">
      <w:pPr>
        <w:pStyle w:val="BodyTextMain"/>
        <w:rPr>
          <w:rFonts w:eastAsia="Calibri"/>
          <w:lang w:val="en-GB"/>
        </w:rPr>
      </w:pPr>
    </w:p>
    <w:p w14:paraId="6050CCF4" w14:textId="77777777" w:rsidR="0028127C" w:rsidRPr="003519B9" w:rsidRDefault="0028127C" w:rsidP="008C1D27">
      <w:pPr>
        <w:pStyle w:val="Casehead2"/>
        <w:rPr>
          <w:lang w:val="en-GB"/>
        </w:rPr>
      </w:pPr>
      <w:r w:rsidRPr="003519B9">
        <w:rPr>
          <w:lang w:val="en-GB"/>
        </w:rPr>
        <w:t>Power Evacuation</w:t>
      </w:r>
    </w:p>
    <w:p w14:paraId="16D38522" w14:textId="77777777" w:rsidR="0028127C" w:rsidRPr="003519B9" w:rsidRDefault="0028127C" w:rsidP="00242175">
      <w:pPr>
        <w:pStyle w:val="BodyTextMain"/>
        <w:rPr>
          <w:lang w:val="en-GB"/>
        </w:rPr>
      </w:pPr>
    </w:p>
    <w:p w14:paraId="4BA730AF" w14:textId="77777777" w:rsidR="0028127C" w:rsidRPr="003519B9" w:rsidRDefault="0028127C" w:rsidP="00242175">
      <w:pPr>
        <w:pStyle w:val="BodyTextMain"/>
        <w:rPr>
          <w:b/>
          <w:lang w:val="en-GB"/>
        </w:rPr>
      </w:pPr>
      <w:r w:rsidRPr="003519B9">
        <w:rPr>
          <w:lang w:val="en-GB"/>
        </w:rPr>
        <w:t xml:space="preserve">Power </w:t>
      </w:r>
      <w:r w:rsidR="008D24D8" w:rsidRPr="003519B9">
        <w:rPr>
          <w:lang w:val="en-GB"/>
        </w:rPr>
        <w:t>would</w:t>
      </w:r>
      <w:r w:rsidRPr="003519B9">
        <w:rPr>
          <w:lang w:val="en-GB"/>
        </w:rPr>
        <w:t xml:space="preserve"> be evacuated through </w:t>
      </w:r>
      <w:r w:rsidR="008D24D8" w:rsidRPr="003519B9">
        <w:rPr>
          <w:lang w:val="en-GB"/>
        </w:rPr>
        <w:t xml:space="preserve">the </w:t>
      </w:r>
      <w:r w:rsidRPr="003519B9">
        <w:rPr>
          <w:lang w:val="en-GB"/>
        </w:rPr>
        <w:t xml:space="preserve">220 kilovolt switchyard of </w:t>
      </w:r>
      <w:r w:rsidR="008D24D8" w:rsidRPr="003519B9">
        <w:rPr>
          <w:lang w:val="en-GB"/>
        </w:rPr>
        <w:t xml:space="preserve">the </w:t>
      </w:r>
      <w:r w:rsidRPr="003519B9">
        <w:rPr>
          <w:lang w:val="en-GB"/>
        </w:rPr>
        <w:t>Andhra Pradesh Power Transmission Corporation Limited</w:t>
      </w:r>
      <w:r w:rsidR="00A528C1" w:rsidRPr="003519B9">
        <w:rPr>
          <w:lang w:val="en-GB"/>
        </w:rPr>
        <w:t>,</w:t>
      </w:r>
      <w:r w:rsidRPr="003519B9">
        <w:rPr>
          <w:lang w:val="en-GB"/>
        </w:rPr>
        <w:t xml:space="preserve"> which was </w:t>
      </w:r>
      <w:r w:rsidR="00601B87" w:rsidRPr="003519B9">
        <w:rPr>
          <w:lang w:val="en-GB"/>
        </w:rPr>
        <w:t xml:space="preserve">situated </w:t>
      </w:r>
      <w:r w:rsidRPr="003519B9">
        <w:rPr>
          <w:lang w:val="en-GB"/>
        </w:rPr>
        <w:t>within a radius of 30</w:t>
      </w:r>
      <w:r w:rsidR="003C351E" w:rsidRPr="003519B9">
        <w:rPr>
          <w:lang w:val="en-GB"/>
        </w:rPr>
        <w:t>kilometres</w:t>
      </w:r>
      <w:r w:rsidRPr="003519B9">
        <w:rPr>
          <w:lang w:val="en-GB"/>
        </w:rPr>
        <w:t xml:space="preserve"> from the sites of </w:t>
      </w:r>
      <w:r w:rsidR="00A528C1" w:rsidRPr="003519B9">
        <w:rPr>
          <w:lang w:val="en-GB"/>
        </w:rPr>
        <w:t>both</w:t>
      </w:r>
      <w:r w:rsidRPr="003519B9">
        <w:rPr>
          <w:lang w:val="en-GB"/>
        </w:rPr>
        <w:t xml:space="preserve"> projects. </w:t>
      </w:r>
    </w:p>
    <w:p w14:paraId="6803806A" w14:textId="77777777" w:rsidR="0028127C" w:rsidRPr="003519B9" w:rsidRDefault="0028127C" w:rsidP="00242175">
      <w:pPr>
        <w:pStyle w:val="BodyTextMain"/>
        <w:rPr>
          <w:lang w:val="en-GB"/>
        </w:rPr>
      </w:pPr>
    </w:p>
    <w:p w14:paraId="6962505A" w14:textId="77777777" w:rsidR="008C1D27" w:rsidRPr="003519B9" w:rsidRDefault="008C1D27" w:rsidP="00242175">
      <w:pPr>
        <w:pStyle w:val="BodyTextMain"/>
        <w:rPr>
          <w:lang w:val="en-GB"/>
        </w:rPr>
      </w:pPr>
    </w:p>
    <w:p w14:paraId="7BB17178" w14:textId="77777777" w:rsidR="0028127C" w:rsidRPr="00F83DEA" w:rsidRDefault="0028127C" w:rsidP="00AC2934">
      <w:pPr>
        <w:pStyle w:val="Casehead2"/>
        <w:keepNext/>
        <w:rPr>
          <w:lang w:val="en-GB"/>
        </w:rPr>
      </w:pPr>
      <w:r w:rsidRPr="00F83DEA">
        <w:rPr>
          <w:lang w:val="en-GB"/>
        </w:rPr>
        <w:t>Power Tariff</w:t>
      </w:r>
    </w:p>
    <w:p w14:paraId="615B148F" w14:textId="77777777" w:rsidR="0028127C" w:rsidRPr="00F83DEA" w:rsidRDefault="0028127C" w:rsidP="00AC2934">
      <w:pPr>
        <w:pStyle w:val="BodyTextMain"/>
        <w:keepNext/>
        <w:rPr>
          <w:lang w:val="en-GB"/>
        </w:rPr>
      </w:pPr>
    </w:p>
    <w:p w14:paraId="7E309779" w14:textId="1756A85F" w:rsidR="0028127C" w:rsidRPr="003519B9" w:rsidRDefault="0028127C" w:rsidP="00AC2934">
      <w:pPr>
        <w:pStyle w:val="BodyTextMain"/>
        <w:keepNext/>
        <w:rPr>
          <w:lang w:val="en-GB"/>
        </w:rPr>
      </w:pPr>
      <w:r w:rsidRPr="00F83DEA">
        <w:rPr>
          <w:lang w:val="en-GB"/>
        </w:rPr>
        <w:t xml:space="preserve">The cost of power generation was estimated at </w:t>
      </w:r>
      <w:r w:rsidRPr="00F83DEA">
        <w:rPr>
          <w:rFonts w:ascii="Tahoma" w:hAnsi="Tahoma" w:cs="Tahoma"/>
          <w:sz w:val="20"/>
          <w:szCs w:val="20"/>
          <w:lang w:val="en-GB"/>
        </w:rPr>
        <w:t>₹</w:t>
      </w:r>
      <w:r w:rsidRPr="00F83DEA">
        <w:rPr>
          <w:lang w:val="en-GB"/>
        </w:rPr>
        <w:t xml:space="preserve">2.78 per unit (with an escalation clause of </w:t>
      </w:r>
      <w:r w:rsidR="00EE5A80" w:rsidRPr="00F83DEA">
        <w:rPr>
          <w:lang w:val="en-GB"/>
        </w:rPr>
        <w:t>1</w:t>
      </w:r>
      <w:r w:rsidRPr="00F83DEA">
        <w:rPr>
          <w:lang w:val="en-GB"/>
        </w:rPr>
        <w:t xml:space="preserve"> per</w:t>
      </w:r>
      <w:r w:rsidR="004C6D6A" w:rsidRPr="00F83DEA">
        <w:rPr>
          <w:lang w:val="en-GB"/>
        </w:rPr>
        <w:t xml:space="preserve"> </w:t>
      </w:r>
      <w:r w:rsidRPr="00F83DEA">
        <w:rPr>
          <w:lang w:val="en-GB"/>
        </w:rPr>
        <w:t xml:space="preserve">cent per annum) for 15 years from the date of commencement of commercial operations </w:t>
      </w:r>
      <w:r w:rsidR="00EE5A80" w:rsidRPr="00F83DEA">
        <w:rPr>
          <w:lang w:val="en-GB"/>
        </w:rPr>
        <w:t>(</w:t>
      </w:r>
      <w:r w:rsidRPr="00F83DEA">
        <w:rPr>
          <w:lang w:val="en-GB"/>
        </w:rPr>
        <w:t>i.e., April 1, 2012</w:t>
      </w:r>
      <w:r w:rsidR="00EE5A80" w:rsidRPr="00F83DEA">
        <w:rPr>
          <w:lang w:val="en-GB"/>
        </w:rPr>
        <w:t>)</w:t>
      </w:r>
      <w:r w:rsidRPr="00F83DEA">
        <w:rPr>
          <w:lang w:val="en-GB"/>
        </w:rPr>
        <w:t xml:space="preserve">. The entire power generated from the projects </w:t>
      </w:r>
      <w:r w:rsidR="00130D66" w:rsidRPr="00F83DEA">
        <w:rPr>
          <w:lang w:val="en-GB"/>
        </w:rPr>
        <w:t>would</w:t>
      </w:r>
      <w:r w:rsidRPr="00F83DEA">
        <w:rPr>
          <w:lang w:val="en-GB"/>
        </w:rPr>
        <w:t xml:space="preserve"> be sold to Reliance Energy Trading Limited (</w:t>
      </w:r>
      <w:r w:rsidR="00D24760" w:rsidRPr="00F83DEA">
        <w:rPr>
          <w:lang w:val="en-GB"/>
        </w:rPr>
        <w:t>Reliance Ener</w:t>
      </w:r>
      <w:r w:rsidR="00E420FA" w:rsidRPr="00F83DEA">
        <w:rPr>
          <w:lang w:val="en-GB"/>
        </w:rPr>
        <w:t>g</w:t>
      </w:r>
      <w:r w:rsidR="00D24760" w:rsidRPr="00F83DEA">
        <w:rPr>
          <w:lang w:val="en-GB"/>
        </w:rPr>
        <w:t>y</w:t>
      </w:r>
      <w:r w:rsidRPr="00F83DEA">
        <w:rPr>
          <w:lang w:val="en-GB"/>
        </w:rPr>
        <w:t>), a</w:t>
      </w:r>
      <w:r w:rsidR="00130D66" w:rsidRPr="00F83DEA">
        <w:rPr>
          <w:lang w:val="en-GB"/>
        </w:rPr>
        <w:t xml:space="preserve"> category</w:t>
      </w:r>
      <w:r w:rsidR="00D15F5A" w:rsidRPr="00F83DEA">
        <w:rPr>
          <w:lang w:val="en-GB"/>
        </w:rPr>
        <w:t xml:space="preserve"> </w:t>
      </w:r>
      <w:r w:rsidRPr="00F83DEA">
        <w:rPr>
          <w:lang w:val="en-GB"/>
        </w:rPr>
        <w:t xml:space="preserve">F </w:t>
      </w:r>
      <w:r w:rsidR="00B502DC" w:rsidRPr="00F83DEA">
        <w:rPr>
          <w:lang w:val="en-GB"/>
        </w:rPr>
        <w:t xml:space="preserve">ranked </w:t>
      </w:r>
      <w:r w:rsidRPr="00F83DEA">
        <w:rPr>
          <w:lang w:val="en-GB"/>
        </w:rPr>
        <w:t>(</w:t>
      </w:r>
      <w:r w:rsidR="00130D66" w:rsidRPr="00F83DEA">
        <w:rPr>
          <w:lang w:val="en-GB"/>
        </w:rPr>
        <w:t xml:space="preserve">i.e., the </w:t>
      </w:r>
      <w:r w:rsidRPr="00F83DEA">
        <w:rPr>
          <w:lang w:val="en-GB"/>
        </w:rPr>
        <w:t>highest rank) power trading company in India</w:t>
      </w:r>
      <w:r w:rsidR="001515D8" w:rsidRPr="00F83DEA">
        <w:rPr>
          <w:lang w:val="en-GB"/>
        </w:rPr>
        <w:t xml:space="preserve"> that </w:t>
      </w:r>
      <w:r w:rsidRPr="00F83DEA">
        <w:rPr>
          <w:lang w:val="en-GB"/>
        </w:rPr>
        <w:t xml:space="preserve">belonged to </w:t>
      </w:r>
      <w:r w:rsidR="00130D66" w:rsidRPr="00F83DEA">
        <w:rPr>
          <w:lang w:val="en-GB"/>
        </w:rPr>
        <w:t xml:space="preserve">the highly </w:t>
      </w:r>
      <w:r w:rsidRPr="00F83DEA">
        <w:rPr>
          <w:lang w:val="en-GB"/>
        </w:rPr>
        <w:t>regarded Anil Dhirubhai</w:t>
      </w:r>
      <w:r w:rsidR="00D15F5A" w:rsidRPr="00F83DEA">
        <w:rPr>
          <w:lang w:val="en-GB"/>
        </w:rPr>
        <w:t xml:space="preserve"> </w:t>
      </w:r>
      <w:r w:rsidRPr="00F83DEA">
        <w:rPr>
          <w:lang w:val="en-GB"/>
        </w:rPr>
        <w:t>Ambani</w:t>
      </w:r>
      <w:r w:rsidR="00D15F5A" w:rsidRPr="00F83DEA">
        <w:rPr>
          <w:lang w:val="en-GB"/>
        </w:rPr>
        <w:t xml:space="preserve"> </w:t>
      </w:r>
      <w:r w:rsidR="00130D66" w:rsidRPr="00F83DEA">
        <w:rPr>
          <w:lang w:val="en-GB"/>
        </w:rPr>
        <w:t>G</w:t>
      </w:r>
      <w:r w:rsidRPr="00F83DEA">
        <w:rPr>
          <w:lang w:val="en-GB"/>
        </w:rPr>
        <w:t>roup. R</w:t>
      </w:r>
      <w:r w:rsidR="00D24760" w:rsidRPr="00F83DEA">
        <w:rPr>
          <w:lang w:val="en-GB"/>
        </w:rPr>
        <w:t xml:space="preserve">eliance </w:t>
      </w:r>
      <w:r w:rsidRPr="00F83DEA">
        <w:rPr>
          <w:lang w:val="en-GB"/>
        </w:rPr>
        <w:t>E</w:t>
      </w:r>
      <w:r w:rsidR="00D24760" w:rsidRPr="00F83DEA">
        <w:rPr>
          <w:lang w:val="en-GB"/>
        </w:rPr>
        <w:t>nergy</w:t>
      </w:r>
      <w:r w:rsidRPr="00F83DEA">
        <w:rPr>
          <w:lang w:val="en-GB"/>
        </w:rPr>
        <w:t xml:space="preserve"> had issued an expression of interest to NBEIL </w:t>
      </w:r>
      <w:r w:rsidR="00130D66" w:rsidRPr="00F83DEA">
        <w:rPr>
          <w:lang w:val="en-GB"/>
        </w:rPr>
        <w:t>regarding a</w:t>
      </w:r>
      <w:r w:rsidRPr="00F83DEA">
        <w:rPr>
          <w:lang w:val="en-GB"/>
        </w:rPr>
        <w:t xml:space="preserve"> purchase of power at a price of </w:t>
      </w:r>
      <w:r w:rsidRPr="00F83DEA">
        <w:rPr>
          <w:rFonts w:ascii="Tahoma" w:hAnsi="Tahoma" w:cs="Tahoma"/>
          <w:sz w:val="20"/>
          <w:szCs w:val="20"/>
          <w:lang w:val="en-GB"/>
        </w:rPr>
        <w:t>₹</w:t>
      </w:r>
      <w:r w:rsidRPr="00F83DEA">
        <w:rPr>
          <w:lang w:val="en-GB"/>
        </w:rPr>
        <w:t xml:space="preserve">4 per unit for an initial period of </w:t>
      </w:r>
      <w:r w:rsidR="00130D66" w:rsidRPr="00F83DEA">
        <w:rPr>
          <w:lang w:val="en-GB"/>
        </w:rPr>
        <w:t>10</w:t>
      </w:r>
      <w:r w:rsidRPr="00F83DEA">
        <w:rPr>
          <w:lang w:val="en-GB"/>
        </w:rPr>
        <w:t xml:space="preserve"> years and</w:t>
      </w:r>
      <w:r w:rsidR="001515D8" w:rsidRPr="00F83DEA">
        <w:rPr>
          <w:lang w:val="en-GB"/>
        </w:rPr>
        <w:t>,</w:t>
      </w:r>
      <w:r w:rsidRPr="00F83DEA">
        <w:rPr>
          <w:lang w:val="en-GB"/>
        </w:rPr>
        <w:t xml:space="preserve"> subsequently</w:t>
      </w:r>
      <w:r w:rsidR="001515D8" w:rsidRPr="00F83DEA">
        <w:rPr>
          <w:lang w:val="en-GB"/>
        </w:rPr>
        <w:t>,</w:t>
      </w:r>
      <w:r w:rsidRPr="00F83DEA">
        <w:rPr>
          <w:lang w:val="en-GB"/>
        </w:rPr>
        <w:t xml:space="preserve"> at a mutually agreed</w:t>
      </w:r>
      <w:r w:rsidR="00130D66" w:rsidRPr="00F83DEA">
        <w:rPr>
          <w:lang w:val="en-GB"/>
        </w:rPr>
        <w:t>-upon</w:t>
      </w:r>
      <w:r w:rsidRPr="00F83DEA">
        <w:rPr>
          <w:lang w:val="en-GB"/>
        </w:rPr>
        <w:t xml:space="preserve"> price. This long-term power purchase agreement </w:t>
      </w:r>
      <w:r w:rsidR="00130D66" w:rsidRPr="00F83DEA">
        <w:rPr>
          <w:lang w:val="en-GB"/>
        </w:rPr>
        <w:t>contained</w:t>
      </w:r>
      <w:r w:rsidRPr="003519B9">
        <w:rPr>
          <w:lang w:val="en-GB"/>
        </w:rPr>
        <w:t xml:space="preserve"> certain embedded features to safeguard the interest</w:t>
      </w:r>
      <w:r w:rsidR="00130D66" w:rsidRPr="003519B9">
        <w:rPr>
          <w:lang w:val="en-GB"/>
        </w:rPr>
        <w:t>s</w:t>
      </w:r>
      <w:r w:rsidRPr="003519B9">
        <w:rPr>
          <w:lang w:val="en-GB"/>
        </w:rPr>
        <w:t xml:space="preserve"> of both parties (i.e., minimum take</w:t>
      </w:r>
      <w:r w:rsidR="00D92779" w:rsidRPr="003519B9">
        <w:rPr>
          <w:lang w:val="en-GB"/>
        </w:rPr>
        <w:t>-</w:t>
      </w:r>
      <w:r w:rsidRPr="003519B9">
        <w:rPr>
          <w:lang w:val="en-GB"/>
        </w:rPr>
        <w:t>or</w:t>
      </w:r>
      <w:r w:rsidR="00D92779" w:rsidRPr="003519B9">
        <w:rPr>
          <w:lang w:val="en-GB"/>
        </w:rPr>
        <w:t>-</w:t>
      </w:r>
      <w:r w:rsidRPr="003519B9">
        <w:rPr>
          <w:lang w:val="en-GB"/>
        </w:rPr>
        <w:t>pay clause</w:t>
      </w:r>
      <w:r w:rsidR="00130D66" w:rsidRPr="003519B9">
        <w:rPr>
          <w:lang w:val="en-GB"/>
        </w:rPr>
        <w:t>,</w:t>
      </w:r>
      <w:r w:rsidRPr="003519B9">
        <w:rPr>
          <w:vertAlign w:val="superscript"/>
          <w:lang w:val="en-GB"/>
        </w:rPr>
        <w:footnoteReference w:id="17"/>
      </w:r>
      <w:r w:rsidRPr="003519B9">
        <w:rPr>
          <w:lang w:val="en-GB"/>
        </w:rPr>
        <w:t xml:space="preserve"> payment </w:t>
      </w:r>
      <w:r w:rsidRPr="003519B9">
        <w:rPr>
          <w:lang w:val="en-GB"/>
        </w:rPr>
        <w:lastRenderedPageBreak/>
        <w:t>security mechanisms</w:t>
      </w:r>
      <w:r w:rsidRPr="003519B9">
        <w:rPr>
          <w:vertAlign w:val="superscript"/>
          <w:lang w:val="en-GB"/>
        </w:rPr>
        <w:footnoteReference w:id="18"/>
      </w:r>
      <w:r w:rsidRPr="003519B9">
        <w:rPr>
          <w:lang w:val="en-GB"/>
        </w:rPr>
        <w:t xml:space="preserve">). </w:t>
      </w:r>
      <w:r w:rsidR="00130D66" w:rsidRPr="003519B9">
        <w:rPr>
          <w:lang w:val="en-GB"/>
        </w:rPr>
        <w:t>O</w:t>
      </w:r>
      <w:r w:rsidRPr="003519B9">
        <w:rPr>
          <w:lang w:val="en-GB"/>
        </w:rPr>
        <w:t xml:space="preserve">n a conservative basis, </w:t>
      </w:r>
      <w:r w:rsidR="00130D66" w:rsidRPr="003519B9">
        <w:rPr>
          <w:lang w:val="en-GB"/>
        </w:rPr>
        <w:t>NBEIL</w:t>
      </w:r>
      <w:r w:rsidR="00D15F5A" w:rsidRPr="003519B9">
        <w:rPr>
          <w:lang w:val="en-GB"/>
        </w:rPr>
        <w:t xml:space="preserve"> </w:t>
      </w:r>
      <w:r w:rsidRPr="003519B9">
        <w:rPr>
          <w:lang w:val="en-GB"/>
        </w:rPr>
        <w:t xml:space="preserve">assumed </w:t>
      </w:r>
      <w:r w:rsidR="00130D66" w:rsidRPr="003519B9">
        <w:rPr>
          <w:lang w:val="en-GB"/>
        </w:rPr>
        <w:t>a</w:t>
      </w:r>
      <w:r w:rsidRPr="003519B9">
        <w:rPr>
          <w:lang w:val="en-GB"/>
        </w:rPr>
        <w:t xml:space="preserve"> tariff </w:t>
      </w:r>
      <w:r w:rsidR="00130D66" w:rsidRPr="003519B9">
        <w:rPr>
          <w:lang w:val="en-GB"/>
        </w:rPr>
        <w:t>of</w:t>
      </w:r>
      <w:r w:rsidR="004C6D6A" w:rsidRPr="003519B9">
        <w:rPr>
          <w:lang w:val="en-GB"/>
        </w:rPr>
        <w:t xml:space="preserve"> </w:t>
      </w:r>
      <w:r w:rsidRPr="003519B9">
        <w:rPr>
          <w:rFonts w:ascii="Tahoma" w:hAnsi="Tahoma" w:cs="Tahoma"/>
          <w:sz w:val="20"/>
          <w:szCs w:val="20"/>
          <w:lang w:val="en-GB"/>
        </w:rPr>
        <w:t>₹</w:t>
      </w:r>
      <w:r w:rsidRPr="003519B9">
        <w:rPr>
          <w:lang w:val="en-GB"/>
        </w:rPr>
        <w:t xml:space="preserve">3.30 per unit, with an escalation clause of </w:t>
      </w:r>
      <w:r w:rsidR="00130D66" w:rsidRPr="003519B9">
        <w:rPr>
          <w:lang w:val="en-GB"/>
        </w:rPr>
        <w:t>1</w:t>
      </w:r>
      <w:r w:rsidRPr="003519B9">
        <w:rPr>
          <w:lang w:val="en-GB"/>
        </w:rPr>
        <w:t xml:space="preserve"> per cent per annum.</w:t>
      </w:r>
    </w:p>
    <w:p w14:paraId="293001E2" w14:textId="77777777" w:rsidR="0028127C" w:rsidRPr="003519B9" w:rsidRDefault="0028127C" w:rsidP="00242175">
      <w:pPr>
        <w:pStyle w:val="BodyTextMain"/>
        <w:rPr>
          <w:lang w:val="en-GB"/>
        </w:rPr>
      </w:pPr>
    </w:p>
    <w:p w14:paraId="31C4F792" w14:textId="77777777" w:rsidR="0028127C" w:rsidRPr="003519B9" w:rsidRDefault="0028127C" w:rsidP="00242175">
      <w:pPr>
        <w:pStyle w:val="BodyTextMain"/>
        <w:rPr>
          <w:lang w:val="en-GB"/>
        </w:rPr>
      </w:pPr>
    </w:p>
    <w:p w14:paraId="6C5A65EA" w14:textId="77777777" w:rsidR="0028127C" w:rsidRPr="003519B9" w:rsidRDefault="0028127C" w:rsidP="00531239">
      <w:pPr>
        <w:pStyle w:val="Casehead2"/>
        <w:rPr>
          <w:lang w:val="en-GB"/>
        </w:rPr>
      </w:pPr>
      <w:r w:rsidRPr="003519B9">
        <w:rPr>
          <w:lang w:val="en-GB"/>
        </w:rPr>
        <w:t xml:space="preserve">Environmental Impact </w:t>
      </w:r>
    </w:p>
    <w:p w14:paraId="6304C5F4" w14:textId="77777777" w:rsidR="0028127C" w:rsidRPr="003519B9" w:rsidRDefault="0028127C" w:rsidP="00242175">
      <w:pPr>
        <w:pStyle w:val="BodyTextMain"/>
        <w:rPr>
          <w:lang w:val="en-GB"/>
        </w:rPr>
      </w:pPr>
    </w:p>
    <w:p w14:paraId="492B1CE6" w14:textId="235C0129" w:rsidR="006E2180" w:rsidRPr="003519B9" w:rsidRDefault="0028127C" w:rsidP="00242175">
      <w:pPr>
        <w:pStyle w:val="BodyTextMain"/>
        <w:rPr>
          <w:color w:val="000000"/>
          <w:lang w:val="en-GB"/>
        </w:rPr>
      </w:pPr>
      <w:r w:rsidRPr="003519B9">
        <w:rPr>
          <w:lang w:val="en-GB"/>
        </w:rPr>
        <w:t xml:space="preserve">Power </w:t>
      </w:r>
      <w:r w:rsidR="005168AE" w:rsidRPr="003519B9">
        <w:rPr>
          <w:lang w:val="en-GB"/>
        </w:rPr>
        <w:t>would</w:t>
      </w:r>
      <w:r w:rsidR="00D15F5A" w:rsidRPr="003519B9">
        <w:rPr>
          <w:lang w:val="en-GB"/>
        </w:rPr>
        <w:t xml:space="preserve"> </w:t>
      </w:r>
      <w:r w:rsidR="00515A93" w:rsidRPr="003519B9">
        <w:rPr>
          <w:lang w:val="en-GB"/>
        </w:rPr>
        <w:t xml:space="preserve">be </w:t>
      </w:r>
      <w:r w:rsidRPr="003519B9">
        <w:rPr>
          <w:lang w:val="en-GB"/>
        </w:rPr>
        <w:t>generated from the plants</w:t>
      </w:r>
      <w:r w:rsidR="00515A93" w:rsidRPr="003519B9">
        <w:rPr>
          <w:lang w:val="en-GB"/>
        </w:rPr>
        <w:t>,</w:t>
      </w:r>
      <w:r w:rsidRPr="003519B9">
        <w:rPr>
          <w:lang w:val="en-GB"/>
        </w:rPr>
        <w:t xml:space="preserve"> using coal</w:t>
      </w:r>
      <w:r w:rsidR="00515A93" w:rsidRPr="003519B9">
        <w:rPr>
          <w:lang w:val="en-GB"/>
        </w:rPr>
        <w:t xml:space="preserve"> as the fuel source</w:t>
      </w:r>
      <w:r w:rsidRPr="003519B9">
        <w:rPr>
          <w:lang w:val="en-GB"/>
        </w:rPr>
        <w:t xml:space="preserve">. While the </w:t>
      </w:r>
      <w:r w:rsidR="003F34FF" w:rsidRPr="003519B9">
        <w:rPr>
          <w:lang w:val="en-GB"/>
        </w:rPr>
        <w:t xml:space="preserve">plants’ </w:t>
      </w:r>
      <w:r w:rsidRPr="003519B9">
        <w:rPr>
          <w:lang w:val="en-GB"/>
        </w:rPr>
        <w:t xml:space="preserve">operations were expected to generate carbon emissions, </w:t>
      </w:r>
      <w:r w:rsidR="003F34FF" w:rsidRPr="003519B9">
        <w:rPr>
          <w:lang w:val="en-GB"/>
        </w:rPr>
        <w:t>this issue</w:t>
      </w:r>
      <w:r w:rsidR="00D15F5A" w:rsidRPr="003519B9">
        <w:rPr>
          <w:lang w:val="en-GB"/>
        </w:rPr>
        <w:t xml:space="preserve"> </w:t>
      </w:r>
      <w:r w:rsidR="00424111" w:rsidRPr="003519B9">
        <w:rPr>
          <w:lang w:val="en-GB"/>
        </w:rPr>
        <w:t>c</w:t>
      </w:r>
      <w:r w:rsidR="009A1A4E" w:rsidRPr="003519B9">
        <w:rPr>
          <w:lang w:val="en-GB"/>
        </w:rPr>
        <w:t>ould</w:t>
      </w:r>
      <w:r w:rsidRPr="003519B9">
        <w:rPr>
          <w:lang w:val="en-GB"/>
        </w:rPr>
        <w:t xml:space="preserve"> be controlled </w:t>
      </w:r>
      <w:r w:rsidR="009A1A4E" w:rsidRPr="003519B9">
        <w:rPr>
          <w:lang w:val="en-GB"/>
        </w:rPr>
        <w:t xml:space="preserve">to some extent </w:t>
      </w:r>
      <w:r w:rsidRPr="003519B9">
        <w:rPr>
          <w:lang w:val="en-GB"/>
        </w:rPr>
        <w:t xml:space="preserve">by improved technology. </w:t>
      </w:r>
      <w:r w:rsidRPr="003519B9">
        <w:rPr>
          <w:color w:val="000000"/>
          <w:lang w:val="en-GB"/>
        </w:rPr>
        <w:t>The project sites were situated mainly on non-agricultural</w:t>
      </w:r>
      <w:r w:rsidR="00D15F5A" w:rsidRPr="003519B9">
        <w:rPr>
          <w:color w:val="000000"/>
          <w:lang w:val="en-GB"/>
        </w:rPr>
        <w:t xml:space="preserve"> </w:t>
      </w:r>
      <w:r w:rsidRPr="003519B9">
        <w:rPr>
          <w:color w:val="000000"/>
          <w:lang w:val="en-GB"/>
        </w:rPr>
        <w:t xml:space="preserve">wasteland </w:t>
      </w:r>
      <w:r w:rsidR="00B1213B" w:rsidRPr="003519B9">
        <w:rPr>
          <w:color w:val="000000"/>
          <w:lang w:val="en-GB"/>
        </w:rPr>
        <w:t xml:space="preserve">without any </w:t>
      </w:r>
      <w:r w:rsidR="000B270F" w:rsidRPr="003519B9">
        <w:rPr>
          <w:color w:val="000000"/>
          <w:lang w:val="en-GB"/>
        </w:rPr>
        <w:t xml:space="preserve">human </w:t>
      </w:r>
      <w:r w:rsidR="00B1213B" w:rsidRPr="003519B9">
        <w:rPr>
          <w:color w:val="000000"/>
          <w:lang w:val="en-GB"/>
        </w:rPr>
        <w:t>habitation</w:t>
      </w:r>
      <w:r w:rsidRPr="003519B9">
        <w:rPr>
          <w:color w:val="000000"/>
          <w:lang w:val="en-GB"/>
        </w:rPr>
        <w:t>. There were no major towns</w:t>
      </w:r>
      <w:r w:rsidR="006E2180" w:rsidRPr="003519B9">
        <w:rPr>
          <w:color w:val="000000"/>
          <w:lang w:val="en-GB"/>
        </w:rPr>
        <w:t xml:space="preserve"> or </w:t>
      </w:r>
      <w:r w:rsidRPr="003519B9">
        <w:rPr>
          <w:color w:val="000000"/>
          <w:lang w:val="en-GB"/>
        </w:rPr>
        <w:t xml:space="preserve">cities located within a radius of 20 </w:t>
      </w:r>
      <w:r w:rsidR="003C351E" w:rsidRPr="003519B9">
        <w:rPr>
          <w:lang w:val="en-GB"/>
        </w:rPr>
        <w:t>kilometres</w:t>
      </w:r>
      <w:r w:rsidRPr="003519B9">
        <w:rPr>
          <w:color w:val="000000"/>
          <w:lang w:val="en-GB"/>
        </w:rPr>
        <w:t xml:space="preserve"> from the plant sites</w:t>
      </w:r>
      <w:r w:rsidR="006E2180" w:rsidRPr="003519B9">
        <w:rPr>
          <w:color w:val="000000"/>
          <w:lang w:val="en-GB"/>
        </w:rPr>
        <w:t xml:space="preserve"> and</w:t>
      </w:r>
      <w:r w:rsidRPr="003519B9">
        <w:rPr>
          <w:color w:val="000000"/>
          <w:lang w:val="en-GB"/>
        </w:rPr>
        <w:t xml:space="preserve"> no historic </w:t>
      </w:r>
      <w:r w:rsidR="003F34FF" w:rsidRPr="003519B9">
        <w:rPr>
          <w:color w:val="000000"/>
          <w:lang w:val="en-GB"/>
        </w:rPr>
        <w:t>sites</w:t>
      </w:r>
      <w:r w:rsidRPr="003519B9">
        <w:rPr>
          <w:color w:val="000000"/>
          <w:lang w:val="en-GB"/>
        </w:rPr>
        <w:t xml:space="preserve">, sanctuaries, forests, </w:t>
      </w:r>
      <w:r w:rsidR="006E2180" w:rsidRPr="003519B9">
        <w:rPr>
          <w:color w:val="000000"/>
          <w:lang w:val="en-GB"/>
        </w:rPr>
        <w:t xml:space="preserve">or </w:t>
      </w:r>
      <w:r w:rsidRPr="003519B9">
        <w:rPr>
          <w:color w:val="000000"/>
          <w:lang w:val="en-GB"/>
        </w:rPr>
        <w:t xml:space="preserve">national parks in the area. </w:t>
      </w:r>
    </w:p>
    <w:p w14:paraId="160075AE" w14:textId="77777777" w:rsidR="006E2180" w:rsidRPr="003519B9" w:rsidRDefault="006E2180" w:rsidP="00242175">
      <w:pPr>
        <w:pStyle w:val="BodyTextMain"/>
        <w:rPr>
          <w:color w:val="000000"/>
          <w:lang w:val="en-GB"/>
        </w:rPr>
      </w:pPr>
    </w:p>
    <w:p w14:paraId="2AAF4AAF" w14:textId="1CD09E31" w:rsidR="0028127C" w:rsidRPr="003519B9" w:rsidRDefault="0028127C" w:rsidP="00242175">
      <w:pPr>
        <w:pStyle w:val="BodyTextMain"/>
        <w:rPr>
          <w:lang w:val="en-GB"/>
        </w:rPr>
      </w:pPr>
      <w:r w:rsidRPr="003519B9">
        <w:rPr>
          <w:lang w:val="en-GB"/>
        </w:rPr>
        <w:t xml:space="preserve">The major potential environmental impact of the projects would </w:t>
      </w:r>
      <w:r w:rsidR="006E2180" w:rsidRPr="003519B9">
        <w:rPr>
          <w:lang w:val="en-GB"/>
        </w:rPr>
        <w:t xml:space="preserve">involve </w:t>
      </w:r>
      <w:r w:rsidRPr="003519B9">
        <w:rPr>
          <w:lang w:val="en-GB"/>
        </w:rPr>
        <w:t>deterioration of air quality, emission of greenhouse gases, liquid waste effluents, thermal pollution from the discharge of spent cooling water</w:t>
      </w:r>
      <w:r w:rsidR="006E2180" w:rsidRPr="003519B9">
        <w:rPr>
          <w:lang w:val="en-GB"/>
        </w:rPr>
        <w:t>,</w:t>
      </w:r>
      <w:r w:rsidRPr="003519B9">
        <w:rPr>
          <w:lang w:val="en-GB"/>
        </w:rPr>
        <w:t xml:space="preserve"> and ash disposal. The total quantity of ash generated by the projects (300 MW </w:t>
      </w:r>
      <w:r w:rsidR="006E2180" w:rsidRPr="003519B9">
        <w:rPr>
          <w:lang w:val="en-GB"/>
        </w:rPr>
        <w:t>at a rate of</w:t>
      </w:r>
      <w:r w:rsidRPr="003519B9">
        <w:rPr>
          <w:lang w:val="en-GB"/>
        </w:rPr>
        <w:t xml:space="preserve"> 85</w:t>
      </w:r>
      <w:r w:rsidR="003C351E" w:rsidRPr="003519B9">
        <w:rPr>
          <w:lang w:val="en-GB"/>
        </w:rPr>
        <w:t xml:space="preserve"> per cent</w:t>
      </w:r>
      <w:r w:rsidR="00D15F5A" w:rsidRPr="003519B9">
        <w:rPr>
          <w:lang w:val="en-GB"/>
        </w:rPr>
        <w:t xml:space="preserve"> </w:t>
      </w:r>
      <w:r w:rsidR="00B1213B" w:rsidRPr="003519B9">
        <w:rPr>
          <w:lang w:val="en-GB"/>
        </w:rPr>
        <w:t>PLF</w:t>
      </w:r>
      <w:r w:rsidRPr="003519B9">
        <w:rPr>
          <w:lang w:val="en-GB"/>
        </w:rPr>
        <w:t>) would be about 15.80 tonnes per hour (fly ash of 85 per cent and bottom ash of 15 per</w:t>
      </w:r>
      <w:r w:rsidR="004C6D6A" w:rsidRPr="003519B9">
        <w:rPr>
          <w:lang w:val="en-GB"/>
        </w:rPr>
        <w:t xml:space="preserve"> </w:t>
      </w:r>
      <w:r w:rsidRPr="003519B9">
        <w:rPr>
          <w:lang w:val="en-GB"/>
        </w:rPr>
        <w:t>cent)</w:t>
      </w:r>
      <w:r w:rsidR="003371B9" w:rsidRPr="003519B9">
        <w:rPr>
          <w:lang w:val="en-GB"/>
        </w:rPr>
        <w:t>,</w:t>
      </w:r>
      <w:r w:rsidRPr="003519B9">
        <w:rPr>
          <w:lang w:val="en-GB"/>
        </w:rPr>
        <w:t xml:space="preserve"> with an estimated maximum ash content of 8.3 per cent. </w:t>
      </w:r>
      <w:r w:rsidR="003371B9" w:rsidRPr="003519B9">
        <w:rPr>
          <w:lang w:val="en-GB"/>
        </w:rPr>
        <w:t>F</w:t>
      </w:r>
      <w:r w:rsidRPr="003519B9">
        <w:rPr>
          <w:lang w:val="en-GB"/>
        </w:rPr>
        <w:t>ly ash, one of the solid wastes of thermal power plants</w:t>
      </w:r>
      <w:r w:rsidR="003371B9" w:rsidRPr="003519B9">
        <w:rPr>
          <w:lang w:val="en-GB"/>
        </w:rPr>
        <w:t>,</w:t>
      </w:r>
      <w:r w:rsidRPr="003519B9">
        <w:rPr>
          <w:lang w:val="en-GB"/>
        </w:rPr>
        <w:t xml:space="preserve"> had </w:t>
      </w:r>
      <w:r w:rsidR="003371B9" w:rsidRPr="003519B9">
        <w:rPr>
          <w:lang w:val="en-GB"/>
        </w:rPr>
        <w:t xml:space="preserve">some </w:t>
      </w:r>
      <w:r w:rsidRPr="003519B9">
        <w:rPr>
          <w:lang w:val="en-GB"/>
        </w:rPr>
        <w:t xml:space="preserve">commercial value </w:t>
      </w:r>
      <w:r w:rsidR="003371B9" w:rsidRPr="003519B9">
        <w:rPr>
          <w:lang w:val="en-GB"/>
        </w:rPr>
        <w:t xml:space="preserve">since it was used </w:t>
      </w:r>
      <w:r w:rsidRPr="003519B9">
        <w:rPr>
          <w:lang w:val="en-GB"/>
        </w:rPr>
        <w:t xml:space="preserve">in </w:t>
      </w:r>
      <w:r w:rsidR="00424111" w:rsidRPr="003519B9">
        <w:rPr>
          <w:lang w:val="en-GB"/>
        </w:rPr>
        <w:t xml:space="preserve">the </w:t>
      </w:r>
      <w:r w:rsidRPr="003519B9">
        <w:rPr>
          <w:lang w:val="en-GB"/>
        </w:rPr>
        <w:t xml:space="preserve">making </w:t>
      </w:r>
      <w:r w:rsidR="00424111" w:rsidRPr="003519B9">
        <w:rPr>
          <w:lang w:val="en-GB"/>
        </w:rPr>
        <w:t xml:space="preserve">of </w:t>
      </w:r>
      <w:r w:rsidRPr="003519B9">
        <w:rPr>
          <w:lang w:val="en-GB"/>
        </w:rPr>
        <w:t xml:space="preserve">bricks, cement, and roads, </w:t>
      </w:r>
      <w:r w:rsidR="003371B9" w:rsidRPr="003519B9">
        <w:rPr>
          <w:lang w:val="en-GB"/>
        </w:rPr>
        <w:t>so NBEIL</w:t>
      </w:r>
      <w:r w:rsidR="00D15F5A" w:rsidRPr="003519B9">
        <w:rPr>
          <w:lang w:val="en-GB"/>
        </w:rPr>
        <w:t xml:space="preserve"> </w:t>
      </w:r>
      <w:r w:rsidR="003371B9" w:rsidRPr="003519B9">
        <w:rPr>
          <w:lang w:val="en-GB"/>
        </w:rPr>
        <w:t>wanted</w:t>
      </w:r>
      <w:r w:rsidRPr="003519B9">
        <w:rPr>
          <w:lang w:val="en-GB"/>
        </w:rPr>
        <w:t xml:space="preserve"> to capitalize on th</w:t>
      </w:r>
      <w:r w:rsidR="003371B9" w:rsidRPr="003519B9">
        <w:rPr>
          <w:lang w:val="en-GB"/>
        </w:rPr>
        <w:t>at</w:t>
      </w:r>
      <w:r w:rsidRPr="003519B9">
        <w:rPr>
          <w:lang w:val="en-GB"/>
        </w:rPr>
        <w:t xml:space="preserve"> opportunity. Also, the company </w:t>
      </w:r>
      <w:r w:rsidR="003371B9" w:rsidRPr="003519B9">
        <w:rPr>
          <w:lang w:val="en-GB"/>
        </w:rPr>
        <w:t xml:space="preserve">would </w:t>
      </w:r>
      <w:r w:rsidR="00424111" w:rsidRPr="003519B9">
        <w:rPr>
          <w:lang w:val="en-GB"/>
        </w:rPr>
        <w:t xml:space="preserve">have </w:t>
      </w:r>
      <w:r w:rsidRPr="003519B9">
        <w:rPr>
          <w:lang w:val="en-GB"/>
        </w:rPr>
        <w:t xml:space="preserve">to take suitable environmental protection and waste management measures to comply with the </w:t>
      </w:r>
      <w:r w:rsidR="004D073B" w:rsidRPr="003519B9">
        <w:rPr>
          <w:lang w:val="en-GB"/>
        </w:rPr>
        <w:t xml:space="preserve">government’s </w:t>
      </w:r>
      <w:r w:rsidRPr="003519B9">
        <w:rPr>
          <w:lang w:val="en-GB"/>
        </w:rPr>
        <w:t>regulatory requirements. NBEIL</w:t>
      </w:r>
      <w:r w:rsidR="004C6D6A" w:rsidRPr="003519B9">
        <w:rPr>
          <w:lang w:val="en-GB"/>
        </w:rPr>
        <w:t xml:space="preserve"> </w:t>
      </w:r>
      <w:r w:rsidR="00C163A3" w:rsidRPr="003519B9">
        <w:rPr>
          <w:lang w:val="en-GB"/>
        </w:rPr>
        <w:t xml:space="preserve">had </w:t>
      </w:r>
      <w:r w:rsidRPr="003519B9">
        <w:rPr>
          <w:lang w:val="en-GB"/>
        </w:rPr>
        <w:t xml:space="preserve">applied for environmental clearance from the </w:t>
      </w:r>
      <w:r w:rsidR="00B1213B" w:rsidRPr="003519B9">
        <w:rPr>
          <w:lang w:val="en-GB"/>
        </w:rPr>
        <w:t>Ministry of Environment</w:t>
      </w:r>
      <w:r w:rsidR="00186D13" w:rsidRPr="003519B9">
        <w:rPr>
          <w:lang w:val="en-GB"/>
        </w:rPr>
        <w:t>,</w:t>
      </w:r>
      <w:r w:rsidR="00B1213B" w:rsidRPr="003519B9">
        <w:rPr>
          <w:lang w:val="en-GB"/>
        </w:rPr>
        <w:t xml:space="preserve"> Forest</w:t>
      </w:r>
      <w:r w:rsidR="00186D13" w:rsidRPr="003519B9">
        <w:rPr>
          <w:lang w:val="en-GB"/>
        </w:rPr>
        <w:t xml:space="preserve"> and Climate Change</w:t>
      </w:r>
      <w:r w:rsidR="00C163A3" w:rsidRPr="003519B9">
        <w:rPr>
          <w:lang w:val="en-GB"/>
        </w:rPr>
        <w:t xml:space="preserve"> and was waiting for approval to come through</w:t>
      </w:r>
      <w:r w:rsidRPr="003519B9">
        <w:rPr>
          <w:lang w:val="en-GB"/>
        </w:rPr>
        <w:t>.</w:t>
      </w:r>
    </w:p>
    <w:p w14:paraId="21D0F770" w14:textId="77777777" w:rsidR="0028127C" w:rsidRPr="003519B9" w:rsidRDefault="0028127C" w:rsidP="00242175">
      <w:pPr>
        <w:pStyle w:val="BodyTextMain"/>
        <w:rPr>
          <w:rFonts w:eastAsia="Calibri"/>
          <w:lang w:val="en-GB"/>
        </w:rPr>
      </w:pPr>
    </w:p>
    <w:p w14:paraId="68B151B0" w14:textId="77777777" w:rsidR="0028127C" w:rsidRPr="003519B9" w:rsidRDefault="0028127C" w:rsidP="00242175">
      <w:pPr>
        <w:pStyle w:val="BodyTextMain"/>
        <w:rPr>
          <w:rFonts w:eastAsia="Calibri"/>
          <w:lang w:val="en-GB"/>
        </w:rPr>
      </w:pPr>
    </w:p>
    <w:p w14:paraId="7597AA25" w14:textId="77777777" w:rsidR="0028127C" w:rsidRPr="003519B9" w:rsidRDefault="0028127C" w:rsidP="00203A39">
      <w:pPr>
        <w:pStyle w:val="Casehead2"/>
        <w:rPr>
          <w:lang w:val="en-GB"/>
        </w:rPr>
      </w:pPr>
      <w:r w:rsidRPr="003519B9">
        <w:rPr>
          <w:lang w:val="en-GB"/>
        </w:rPr>
        <w:t xml:space="preserve">Risk Profile </w:t>
      </w:r>
    </w:p>
    <w:p w14:paraId="56674C25" w14:textId="77777777" w:rsidR="0028127C" w:rsidRPr="003519B9" w:rsidRDefault="0028127C" w:rsidP="00242175">
      <w:pPr>
        <w:pStyle w:val="BodyTextMain"/>
        <w:rPr>
          <w:lang w:val="en-GB"/>
        </w:rPr>
      </w:pPr>
    </w:p>
    <w:p w14:paraId="53E10746" w14:textId="77777777" w:rsidR="00B1213B" w:rsidRPr="00D143CE" w:rsidRDefault="0028127C" w:rsidP="00A5496A">
      <w:pPr>
        <w:pStyle w:val="BodyTextMain"/>
        <w:rPr>
          <w:spacing w:val="-4"/>
          <w:lang w:val="en-GB"/>
        </w:rPr>
      </w:pPr>
      <w:r w:rsidRPr="00D143CE">
        <w:rPr>
          <w:i/>
          <w:spacing w:val="-4"/>
          <w:lang w:val="en-GB"/>
        </w:rPr>
        <w:t xml:space="preserve">Risk of Obtaining Approvals: </w:t>
      </w:r>
      <w:r w:rsidRPr="00D143CE">
        <w:rPr>
          <w:spacing w:val="-4"/>
          <w:lang w:val="en-GB"/>
        </w:rPr>
        <w:t xml:space="preserve">NBEIL had to receive requisite clearances from various statutory authorities </w:t>
      </w:r>
      <w:r w:rsidR="007A2C56" w:rsidRPr="00D143CE">
        <w:rPr>
          <w:spacing w:val="-4"/>
          <w:lang w:val="en-GB"/>
        </w:rPr>
        <w:t xml:space="preserve">before it could proceed with its </w:t>
      </w:r>
      <w:r w:rsidRPr="00D143CE">
        <w:rPr>
          <w:spacing w:val="-4"/>
          <w:lang w:val="en-GB"/>
        </w:rPr>
        <w:t xml:space="preserve">execution of the </w:t>
      </w:r>
      <w:r w:rsidR="007A2C56" w:rsidRPr="00D143CE">
        <w:rPr>
          <w:spacing w:val="-4"/>
          <w:lang w:val="en-GB"/>
        </w:rPr>
        <w:t xml:space="preserve">power </w:t>
      </w:r>
      <w:r w:rsidRPr="00D143CE">
        <w:rPr>
          <w:spacing w:val="-4"/>
          <w:lang w:val="en-GB"/>
        </w:rPr>
        <w:t xml:space="preserve">projects. </w:t>
      </w:r>
      <w:r w:rsidR="00317526" w:rsidRPr="00D143CE">
        <w:rPr>
          <w:spacing w:val="-4"/>
          <w:lang w:val="en-GB"/>
        </w:rPr>
        <w:t>Al</w:t>
      </w:r>
      <w:r w:rsidR="00BC1C12" w:rsidRPr="00D143CE">
        <w:rPr>
          <w:spacing w:val="-4"/>
          <w:lang w:val="en-GB"/>
        </w:rPr>
        <w:t>t</w:t>
      </w:r>
      <w:r w:rsidRPr="00D143CE">
        <w:rPr>
          <w:spacing w:val="-4"/>
          <w:lang w:val="en-GB"/>
        </w:rPr>
        <w:t xml:space="preserve">hough the company </w:t>
      </w:r>
      <w:r w:rsidR="00BC1C12" w:rsidRPr="00D143CE">
        <w:rPr>
          <w:spacing w:val="-4"/>
          <w:lang w:val="en-GB"/>
        </w:rPr>
        <w:t xml:space="preserve">had </w:t>
      </w:r>
      <w:r w:rsidRPr="00D143CE">
        <w:rPr>
          <w:spacing w:val="-4"/>
          <w:lang w:val="en-GB"/>
        </w:rPr>
        <w:t xml:space="preserve">proposed suitable measures to protect the environment, obtaining </w:t>
      </w:r>
      <w:r w:rsidR="007A2C56" w:rsidRPr="00D143CE">
        <w:rPr>
          <w:spacing w:val="-4"/>
          <w:lang w:val="en-GB"/>
        </w:rPr>
        <w:t xml:space="preserve">two sets of </w:t>
      </w:r>
      <w:r w:rsidRPr="00D143CE">
        <w:rPr>
          <w:spacing w:val="-4"/>
          <w:lang w:val="en-GB"/>
        </w:rPr>
        <w:t xml:space="preserve">approvals </w:t>
      </w:r>
      <w:r w:rsidR="007A2C56" w:rsidRPr="00D143CE">
        <w:rPr>
          <w:spacing w:val="-4"/>
          <w:lang w:val="en-GB"/>
        </w:rPr>
        <w:t xml:space="preserve">(one for each site) </w:t>
      </w:r>
      <w:r w:rsidRPr="00D143CE">
        <w:rPr>
          <w:spacing w:val="-4"/>
          <w:lang w:val="en-GB"/>
        </w:rPr>
        <w:t xml:space="preserve">from the state pollution control board and environmental clearance from the ministry might be </w:t>
      </w:r>
      <w:r w:rsidR="007A2C56" w:rsidRPr="00D143CE">
        <w:rPr>
          <w:spacing w:val="-4"/>
          <w:lang w:val="en-GB"/>
        </w:rPr>
        <w:t xml:space="preserve">a </w:t>
      </w:r>
      <w:r w:rsidRPr="00D143CE">
        <w:rPr>
          <w:spacing w:val="-4"/>
          <w:lang w:val="en-GB"/>
        </w:rPr>
        <w:t>challeng</w:t>
      </w:r>
      <w:r w:rsidR="007A2C56" w:rsidRPr="00D143CE">
        <w:rPr>
          <w:spacing w:val="-4"/>
          <w:lang w:val="en-GB"/>
        </w:rPr>
        <w:t>e</w:t>
      </w:r>
      <w:r w:rsidRPr="00D143CE">
        <w:rPr>
          <w:spacing w:val="-4"/>
          <w:lang w:val="en-GB"/>
        </w:rPr>
        <w:t xml:space="preserve"> for both projects.</w:t>
      </w:r>
    </w:p>
    <w:p w14:paraId="7AE0EE7B" w14:textId="77777777" w:rsidR="00203A39" w:rsidRPr="00D143CE" w:rsidRDefault="00203A39" w:rsidP="00203A39">
      <w:pPr>
        <w:pStyle w:val="BodyTextMain"/>
        <w:rPr>
          <w:spacing w:val="-4"/>
          <w:lang w:val="en-GB"/>
        </w:rPr>
      </w:pPr>
    </w:p>
    <w:p w14:paraId="2229CDA9" w14:textId="145E0E9B" w:rsidR="00B1213B" w:rsidRPr="00D143CE" w:rsidRDefault="0028127C" w:rsidP="00A5496A">
      <w:pPr>
        <w:pStyle w:val="BodyTextMain"/>
        <w:rPr>
          <w:spacing w:val="-4"/>
          <w:lang w:val="en-GB"/>
        </w:rPr>
      </w:pPr>
      <w:r w:rsidRPr="00D143CE">
        <w:rPr>
          <w:i/>
          <w:spacing w:val="-4"/>
          <w:lang w:val="en-GB"/>
        </w:rPr>
        <w:t>Financial Closure Risk</w:t>
      </w:r>
      <w:r w:rsidRPr="00D143CE">
        <w:rPr>
          <w:spacing w:val="-4"/>
          <w:lang w:val="en-GB"/>
        </w:rPr>
        <w:t xml:space="preserve">: </w:t>
      </w:r>
      <w:r w:rsidR="00317526" w:rsidRPr="00D143CE">
        <w:rPr>
          <w:spacing w:val="-4"/>
          <w:lang w:val="en-GB"/>
        </w:rPr>
        <w:t>G</w:t>
      </w:r>
      <w:r w:rsidRPr="00D143CE">
        <w:rPr>
          <w:spacing w:val="-4"/>
          <w:lang w:val="en-GB"/>
        </w:rPr>
        <w:t xml:space="preserve">iven </w:t>
      </w:r>
      <w:r w:rsidR="007A2C56" w:rsidRPr="00D143CE">
        <w:rPr>
          <w:spacing w:val="-4"/>
          <w:lang w:val="en-GB"/>
        </w:rPr>
        <w:t xml:space="preserve">the nation’s </w:t>
      </w:r>
      <w:r w:rsidRPr="00D143CE">
        <w:rPr>
          <w:spacing w:val="-4"/>
          <w:lang w:val="en-GB"/>
        </w:rPr>
        <w:t xml:space="preserve">subdued market conditions, </w:t>
      </w:r>
      <w:r w:rsidR="007A2C56" w:rsidRPr="00D143CE">
        <w:rPr>
          <w:spacing w:val="-4"/>
          <w:lang w:val="en-GB"/>
        </w:rPr>
        <w:t xml:space="preserve">combined with the </w:t>
      </w:r>
      <w:r w:rsidRPr="00D143CE">
        <w:rPr>
          <w:spacing w:val="-4"/>
          <w:lang w:val="en-GB"/>
        </w:rPr>
        <w:t xml:space="preserve">high leverage of the projects and </w:t>
      </w:r>
      <w:r w:rsidR="007A2C56" w:rsidRPr="00D143CE">
        <w:rPr>
          <w:spacing w:val="-4"/>
          <w:lang w:val="en-GB"/>
        </w:rPr>
        <w:t xml:space="preserve">the lenders’ </w:t>
      </w:r>
      <w:r w:rsidRPr="00D143CE">
        <w:rPr>
          <w:spacing w:val="-4"/>
          <w:lang w:val="en-GB"/>
        </w:rPr>
        <w:t xml:space="preserve">preference </w:t>
      </w:r>
      <w:r w:rsidR="007A2C56" w:rsidRPr="00D143CE">
        <w:rPr>
          <w:spacing w:val="-4"/>
          <w:lang w:val="en-GB"/>
        </w:rPr>
        <w:t>for</w:t>
      </w:r>
      <w:r w:rsidRPr="00D143CE">
        <w:rPr>
          <w:spacing w:val="-4"/>
          <w:lang w:val="en-GB"/>
        </w:rPr>
        <w:t xml:space="preserve"> renewable energy sources</w:t>
      </w:r>
      <w:r w:rsidR="007A2C56" w:rsidRPr="00D143CE">
        <w:rPr>
          <w:spacing w:val="-4"/>
          <w:lang w:val="en-GB"/>
        </w:rPr>
        <w:t xml:space="preserve"> and </w:t>
      </w:r>
      <w:r w:rsidRPr="00D143CE">
        <w:rPr>
          <w:spacing w:val="-4"/>
          <w:lang w:val="en-GB"/>
        </w:rPr>
        <w:t>environmentally clean energy generation projects</w:t>
      </w:r>
      <w:r w:rsidR="00317526" w:rsidRPr="00D143CE">
        <w:rPr>
          <w:spacing w:val="-4"/>
          <w:lang w:val="en-GB"/>
        </w:rPr>
        <w:t>, NBEIL</w:t>
      </w:r>
      <w:r w:rsidR="00D15F5A" w:rsidRPr="00D143CE">
        <w:rPr>
          <w:spacing w:val="-4"/>
          <w:lang w:val="en-GB"/>
        </w:rPr>
        <w:t xml:space="preserve"> </w:t>
      </w:r>
      <w:r w:rsidR="00317526" w:rsidRPr="00D143CE">
        <w:rPr>
          <w:spacing w:val="-4"/>
          <w:lang w:val="en-GB"/>
        </w:rPr>
        <w:t xml:space="preserve">might not </w:t>
      </w:r>
      <w:r w:rsidR="007A2C56" w:rsidRPr="00D143CE">
        <w:rPr>
          <w:spacing w:val="-4"/>
          <w:lang w:val="en-GB"/>
        </w:rPr>
        <w:t>be able to obtain</w:t>
      </w:r>
      <w:r w:rsidR="00317526" w:rsidRPr="00D143CE">
        <w:rPr>
          <w:spacing w:val="-4"/>
          <w:lang w:val="en-GB"/>
        </w:rPr>
        <w:t xml:space="preserve"> commitments for the full amount of the required term loans</w:t>
      </w:r>
      <w:r w:rsidRPr="00D143CE">
        <w:rPr>
          <w:spacing w:val="-4"/>
          <w:lang w:val="en-GB"/>
        </w:rPr>
        <w:t>.</w:t>
      </w:r>
    </w:p>
    <w:p w14:paraId="38C3924E" w14:textId="77777777" w:rsidR="004606ED" w:rsidRPr="00D143CE" w:rsidRDefault="004606ED" w:rsidP="004606ED">
      <w:pPr>
        <w:pStyle w:val="BodyTextMain"/>
        <w:rPr>
          <w:spacing w:val="-4"/>
          <w:lang w:val="en-GB"/>
        </w:rPr>
      </w:pPr>
    </w:p>
    <w:p w14:paraId="41D07FDF" w14:textId="73E06687" w:rsidR="00B1213B" w:rsidRPr="00D143CE" w:rsidRDefault="0028127C" w:rsidP="00A5496A">
      <w:pPr>
        <w:pStyle w:val="BodyTextMain"/>
        <w:rPr>
          <w:spacing w:val="-4"/>
          <w:lang w:val="en-GB"/>
        </w:rPr>
      </w:pPr>
      <w:r w:rsidRPr="00D143CE">
        <w:rPr>
          <w:i/>
          <w:spacing w:val="-4"/>
          <w:lang w:val="en-GB"/>
        </w:rPr>
        <w:t>Equity Risk</w:t>
      </w:r>
      <w:r w:rsidRPr="00D143CE">
        <w:rPr>
          <w:spacing w:val="-4"/>
          <w:lang w:val="en-GB"/>
        </w:rPr>
        <w:t xml:space="preserve">: </w:t>
      </w:r>
      <w:r w:rsidR="00317526" w:rsidRPr="00D143CE">
        <w:rPr>
          <w:spacing w:val="-4"/>
          <w:lang w:val="en-GB"/>
        </w:rPr>
        <w:t>T</w:t>
      </w:r>
      <w:r w:rsidRPr="00D143CE">
        <w:rPr>
          <w:spacing w:val="-4"/>
          <w:lang w:val="en-GB"/>
        </w:rPr>
        <w:t xml:space="preserve">he entire equity contribution of </w:t>
      </w:r>
      <w:r w:rsidRPr="00D143CE">
        <w:rPr>
          <w:rFonts w:ascii="Tahoma" w:hAnsi="Tahoma" w:cs="Tahoma"/>
          <w:spacing w:val="-4"/>
          <w:sz w:val="20"/>
          <w:szCs w:val="20"/>
          <w:lang w:val="en-GB"/>
        </w:rPr>
        <w:t>₹</w:t>
      </w:r>
      <w:r w:rsidRPr="00D143CE">
        <w:rPr>
          <w:spacing w:val="-4"/>
          <w:lang w:val="en-GB"/>
        </w:rPr>
        <w:t xml:space="preserve">4.16 </w:t>
      </w:r>
      <w:r w:rsidRPr="00D143CE">
        <w:rPr>
          <w:rFonts w:eastAsia="Calibri"/>
          <w:spacing w:val="-4"/>
          <w:lang w:val="en-GB"/>
        </w:rPr>
        <w:t>billion</w:t>
      </w:r>
      <w:r w:rsidRPr="00D143CE">
        <w:rPr>
          <w:spacing w:val="-4"/>
          <w:lang w:val="en-GB"/>
        </w:rPr>
        <w:t xml:space="preserve"> for the </w:t>
      </w:r>
      <w:r w:rsidR="00244F4E" w:rsidRPr="00D143CE">
        <w:rPr>
          <w:spacing w:val="-4"/>
          <w:lang w:val="en-GB"/>
        </w:rPr>
        <w:t xml:space="preserve">two power </w:t>
      </w:r>
      <w:r w:rsidRPr="00D143CE">
        <w:rPr>
          <w:spacing w:val="-4"/>
          <w:lang w:val="en-GB"/>
        </w:rPr>
        <w:t xml:space="preserve">projects would be brought in by </w:t>
      </w:r>
      <w:r w:rsidR="00244F4E" w:rsidRPr="00D143CE">
        <w:rPr>
          <w:spacing w:val="-4"/>
          <w:lang w:val="en-GB"/>
        </w:rPr>
        <w:t xml:space="preserve">NBEIL’s parent company, </w:t>
      </w:r>
      <w:r w:rsidRPr="00D143CE">
        <w:rPr>
          <w:spacing w:val="-4"/>
          <w:lang w:val="en-GB"/>
        </w:rPr>
        <w:t xml:space="preserve">NBVL. </w:t>
      </w:r>
      <w:r w:rsidR="00317526" w:rsidRPr="00D143CE">
        <w:rPr>
          <w:spacing w:val="-4"/>
          <w:lang w:val="en-GB"/>
        </w:rPr>
        <w:t>Alt</w:t>
      </w:r>
      <w:r w:rsidRPr="00D143CE">
        <w:rPr>
          <w:spacing w:val="-4"/>
          <w:lang w:val="en-GB"/>
        </w:rPr>
        <w:t xml:space="preserve">hough it </w:t>
      </w:r>
      <w:r w:rsidR="00244F4E" w:rsidRPr="00D143CE">
        <w:rPr>
          <w:spacing w:val="-4"/>
          <w:lang w:val="en-GB"/>
        </w:rPr>
        <w:t>did have</w:t>
      </w:r>
      <w:r w:rsidRPr="00D143CE">
        <w:rPr>
          <w:spacing w:val="-4"/>
          <w:lang w:val="en-GB"/>
        </w:rPr>
        <w:t xml:space="preserve"> the requisite financial strength, </w:t>
      </w:r>
      <w:r w:rsidR="00317526" w:rsidRPr="00D143CE">
        <w:rPr>
          <w:spacing w:val="-4"/>
          <w:lang w:val="en-GB"/>
        </w:rPr>
        <w:t>NBVL</w:t>
      </w:r>
      <w:r w:rsidRPr="00D143CE">
        <w:rPr>
          <w:spacing w:val="-4"/>
          <w:lang w:val="en-GB"/>
        </w:rPr>
        <w:t xml:space="preserve"> might be </w:t>
      </w:r>
      <w:r w:rsidR="0032186C" w:rsidRPr="00D143CE">
        <w:rPr>
          <w:spacing w:val="-4"/>
          <w:lang w:val="en-GB"/>
        </w:rPr>
        <w:t>un</w:t>
      </w:r>
      <w:r w:rsidRPr="00D143CE">
        <w:rPr>
          <w:spacing w:val="-4"/>
          <w:lang w:val="en-GB"/>
        </w:rPr>
        <w:t xml:space="preserve">able to </w:t>
      </w:r>
      <w:r w:rsidR="00317526" w:rsidRPr="00D143CE">
        <w:rPr>
          <w:spacing w:val="-4"/>
          <w:lang w:val="en-GB"/>
        </w:rPr>
        <w:t xml:space="preserve">provide the necessary level of equity </w:t>
      </w:r>
      <w:r w:rsidRPr="00D143CE">
        <w:rPr>
          <w:spacing w:val="-4"/>
          <w:lang w:val="en-GB"/>
        </w:rPr>
        <w:t>due to its commitments to other companies</w:t>
      </w:r>
      <w:r w:rsidR="00317526" w:rsidRPr="00D143CE">
        <w:rPr>
          <w:spacing w:val="-4"/>
          <w:lang w:val="en-GB"/>
        </w:rPr>
        <w:t xml:space="preserve"> within the group</w:t>
      </w:r>
      <w:r w:rsidRPr="00D143CE">
        <w:rPr>
          <w:spacing w:val="-4"/>
          <w:lang w:val="en-GB"/>
        </w:rPr>
        <w:t xml:space="preserve">. </w:t>
      </w:r>
      <w:r w:rsidR="00244F4E" w:rsidRPr="00D143CE">
        <w:rPr>
          <w:spacing w:val="-4"/>
          <w:lang w:val="en-GB"/>
        </w:rPr>
        <w:t>Additionally</w:t>
      </w:r>
      <w:r w:rsidRPr="00D143CE">
        <w:rPr>
          <w:spacing w:val="-4"/>
          <w:lang w:val="en-GB"/>
        </w:rPr>
        <w:t>, the sponsors might not hold a majority stake in the projects (i.e., more than 51 per</w:t>
      </w:r>
      <w:r w:rsidR="004C6D6A" w:rsidRPr="00D143CE">
        <w:rPr>
          <w:spacing w:val="-4"/>
          <w:lang w:val="en-GB"/>
        </w:rPr>
        <w:t xml:space="preserve"> </w:t>
      </w:r>
      <w:r w:rsidRPr="00D143CE">
        <w:rPr>
          <w:spacing w:val="-4"/>
          <w:lang w:val="en-GB"/>
        </w:rPr>
        <w:t xml:space="preserve">cent) during the </w:t>
      </w:r>
      <w:r w:rsidR="00244F4E" w:rsidRPr="00D143CE">
        <w:rPr>
          <w:spacing w:val="-4"/>
          <w:lang w:val="en-GB"/>
        </w:rPr>
        <w:t>life</w:t>
      </w:r>
      <w:r w:rsidRPr="00D143CE">
        <w:rPr>
          <w:spacing w:val="-4"/>
          <w:lang w:val="en-GB"/>
        </w:rPr>
        <w:t xml:space="preserve"> of the </w:t>
      </w:r>
      <w:r w:rsidR="00D66B14" w:rsidRPr="00D143CE">
        <w:rPr>
          <w:spacing w:val="-4"/>
          <w:lang w:val="en-GB"/>
        </w:rPr>
        <w:t>term loan</w:t>
      </w:r>
      <w:r w:rsidR="00244F4E" w:rsidRPr="00D143CE">
        <w:rPr>
          <w:spacing w:val="-4"/>
          <w:lang w:val="en-GB"/>
        </w:rPr>
        <w:t>,</w:t>
      </w:r>
      <w:r w:rsidRPr="00D143CE">
        <w:rPr>
          <w:spacing w:val="-4"/>
          <w:lang w:val="en-GB"/>
        </w:rPr>
        <w:t xml:space="preserve"> thus adversely affecting the lenders’ interest.</w:t>
      </w:r>
    </w:p>
    <w:p w14:paraId="76C65710" w14:textId="77777777" w:rsidR="004606ED" w:rsidRPr="00D143CE" w:rsidRDefault="004606ED" w:rsidP="004606ED">
      <w:pPr>
        <w:pStyle w:val="BodyTextMain"/>
        <w:rPr>
          <w:spacing w:val="-4"/>
          <w:lang w:val="en-GB"/>
        </w:rPr>
      </w:pPr>
    </w:p>
    <w:p w14:paraId="320704D6" w14:textId="5AC05492" w:rsidR="00B1213B" w:rsidRPr="00D143CE" w:rsidRDefault="0028127C" w:rsidP="00A5496A">
      <w:pPr>
        <w:pStyle w:val="BodyTextMain"/>
        <w:rPr>
          <w:spacing w:val="-6"/>
          <w:lang w:val="en-GB"/>
        </w:rPr>
      </w:pPr>
      <w:r w:rsidRPr="00D143CE">
        <w:rPr>
          <w:i/>
          <w:spacing w:val="-6"/>
          <w:lang w:val="en-GB"/>
        </w:rPr>
        <w:t>Execution Risk</w:t>
      </w:r>
      <w:r w:rsidRPr="00D143CE">
        <w:rPr>
          <w:spacing w:val="-6"/>
          <w:lang w:val="en-GB"/>
        </w:rPr>
        <w:t>: NBEIL</w:t>
      </w:r>
      <w:r w:rsidR="00511C68" w:rsidRPr="00D143CE">
        <w:rPr>
          <w:spacing w:val="-6"/>
          <w:lang w:val="en-GB"/>
        </w:rPr>
        <w:t xml:space="preserve"> </w:t>
      </w:r>
      <w:r w:rsidR="00F17DB4" w:rsidRPr="00D143CE">
        <w:rPr>
          <w:spacing w:val="-6"/>
          <w:lang w:val="en-GB"/>
        </w:rPr>
        <w:t xml:space="preserve">planned </w:t>
      </w:r>
      <w:r w:rsidRPr="00D143CE">
        <w:rPr>
          <w:spacing w:val="-6"/>
          <w:lang w:val="en-GB"/>
        </w:rPr>
        <w:t xml:space="preserve">to execute the projects by appointing a project management consultant </w:t>
      </w:r>
      <w:r w:rsidR="0032186C" w:rsidRPr="00D143CE">
        <w:rPr>
          <w:spacing w:val="-6"/>
          <w:lang w:val="en-GB"/>
        </w:rPr>
        <w:t>to oversee</w:t>
      </w:r>
      <w:r w:rsidRPr="00D143CE">
        <w:rPr>
          <w:spacing w:val="-6"/>
          <w:lang w:val="en-GB"/>
        </w:rPr>
        <w:t xml:space="preserve"> smooth integration of the balance of plants, BTG, </w:t>
      </w:r>
      <w:r w:rsidR="00E56AE8" w:rsidRPr="00D143CE">
        <w:rPr>
          <w:spacing w:val="-6"/>
          <w:lang w:val="en-GB"/>
        </w:rPr>
        <w:t>etc</w:t>
      </w:r>
      <w:r w:rsidRPr="00D143CE">
        <w:rPr>
          <w:spacing w:val="-6"/>
          <w:lang w:val="en-GB"/>
        </w:rPr>
        <w:t xml:space="preserve">. The company might not be able to </w:t>
      </w:r>
      <w:r w:rsidR="00F17DB4" w:rsidRPr="00D143CE">
        <w:rPr>
          <w:spacing w:val="-6"/>
          <w:lang w:val="en-GB"/>
        </w:rPr>
        <w:t>accomplish this goal</w:t>
      </w:r>
      <w:r w:rsidRPr="00D143CE">
        <w:rPr>
          <w:spacing w:val="-6"/>
          <w:lang w:val="en-GB"/>
        </w:rPr>
        <w:t xml:space="preserve"> if the consultant </w:t>
      </w:r>
      <w:r w:rsidR="00F17DB4" w:rsidRPr="00D143CE">
        <w:rPr>
          <w:spacing w:val="-6"/>
          <w:lang w:val="en-GB"/>
        </w:rPr>
        <w:t xml:space="preserve">were to </w:t>
      </w:r>
      <w:r w:rsidRPr="00D143CE">
        <w:rPr>
          <w:spacing w:val="-6"/>
          <w:lang w:val="en-GB"/>
        </w:rPr>
        <w:t xml:space="preserve">fail in </w:t>
      </w:r>
      <w:r w:rsidR="0032186C" w:rsidRPr="00D143CE">
        <w:rPr>
          <w:spacing w:val="-6"/>
          <w:lang w:val="en-GB"/>
        </w:rPr>
        <w:t>their</w:t>
      </w:r>
      <w:r w:rsidR="00D15F5A" w:rsidRPr="00D143CE">
        <w:rPr>
          <w:spacing w:val="-6"/>
          <w:lang w:val="en-GB"/>
        </w:rPr>
        <w:t xml:space="preserve"> </w:t>
      </w:r>
      <w:r w:rsidRPr="00D143CE">
        <w:rPr>
          <w:spacing w:val="-6"/>
          <w:lang w:val="en-GB"/>
        </w:rPr>
        <w:t>duties due to lack of adequate</w:t>
      </w:r>
      <w:r w:rsidR="00D15F5A" w:rsidRPr="00D143CE">
        <w:rPr>
          <w:spacing w:val="-6"/>
          <w:lang w:val="en-GB"/>
        </w:rPr>
        <w:t xml:space="preserve"> </w:t>
      </w:r>
      <w:r w:rsidRPr="00D143CE">
        <w:rPr>
          <w:spacing w:val="-6"/>
          <w:lang w:val="en-GB"/>
        </w:rPr>
        <w:t>expertise</w:t>
      </w:r>
      <w:r w:rsidR="00F17DB4" w:rsidRPr="00D143CE">
        <w:rPr>
          <w:spacing w:val="-6"/>
          <w:lang w:val="en-GB"/>
        </w:rPr>
        <w:t xml:space="preserve"> or</w:t>
      </w:r>
      <w:r w:rsidRPr="00D143CE">
        <w:rPr>
          <w:spacing w:val="-6"/>
          <w:lang w:val="en-GB"/>
        </w:rPr>
        <w:t xml:space="preserve"> unforeseen circumstances</w:t>
      </w:r>
      <w:r w:rsidR="00F17DB4" w:rsidRPr="00D143CE">
        <w:rPr>
          <w:spacing w:val="-6"/>
          <w:lang w:val="en-GB"/>
        </w:rPr>
        <w:t>.</w:t>
      </w:r>
    </w:p>
    <w:p w14:paraId="7F51ACD6" w14:textId="77777777" w:rsidR="00D143CE" w:rsidRDefault="00D143CE" w:rsidP="00A5496A">
      <w:pPr>
        <w:pStyle w:val="BodyTextMain"/>
        <w:rPr>
          <w:i/>
          <w:spacing w:val="-6"/>
          <w:lang w:val="en-GB"/>
        </w:rPr>
      </w:pPr>
    </w:p>
    <w:p w14:paraId="171D252F" w14:textId="77777777" w:rsidR="00B1213B" w:rsidRPr="00D143CE" w:rsidRDefault="0028127C" w:rsidP="00A5496A">
      <w:pPr>
        <w:pStyle w:val="BodyTextMain"/>
        <w:rPr>
          <w:spacing w:val="-4"/>
          <w:lang w:val="en-GB"/>
        </w:rPr>
      </w:pPr>
      <w:r w:rsidRPr="00D143CE">
        <w:rPr>
          <w:i/>
          <w:spacing w:val="-4"/>
          <w:lang w:val="en-GB"/>
        </w:rPr>
        <w:lastRenderedPageBreak/>
        <w:t>Risk of Time Overrun</w:t>
      </w:r>
      <w:r w:rsidRPr="00D143CE">
        <w:rPr>
          <w:spacing w:val="-4"/>
          <w:lang w:val="en-GB"/>
        </w:rPr>
        <w:t xml:space="preserve">: NBEIL proposed </w:t>
      </w:r>
      <w:r w:rsidR="00F17DB4" w:rsidRPr="00D143CE">
        <w:rPr>
          <w:spacing w:val="-4"/>
          <w:lang w:val="en-GB"/>
        </w:rPr>
        <w:t>the</w:t>
      </w:r>
      <w:r w:rsidRPr="00D143CE">
        <w:rPr>
          <w:spacing w:val="-4"/>
          <w:lang w:val="en-GB"/>
        </w:rPr>
        <w:t xml:space="preserve"> start </w:t>
      </w:r>
      <w:r w:rsidR="00F17DB4" w:rsidRPr="00D143CE">
        <w:rPr>
          <w:spacing w:val="-4"/>
          <w:lang w:val="en-GB"/>
        </w:rPr>
        <w:t xml:space="preserve">of </w:t>
      </w:r>
      <w:r w:rsidRPr="00D143CE">
        <w:rPr>
          <w:spacing w:val="-4"/>
          <w:lang w:val="en-GB"/>
        </w:rPr>
        <w:t xml:space="preserve">commercial operations </w:t>
      </w:r>
      <w:r w:rsidR="0032186C" w:rsidRPr="00D143CE">
        <w:rPr>
          <w:spacing w:val="-4"/>
          <w:lang w:val="en-GB"/>
        </w:rPr>
        <w:t xml:space="preserve">at </w:t>
      </w:r>
      <w:r w:rsidR="00F17DB4" w:rsidRPr="00D143CE">
        <w:rPr>
          <w:spacing w:val="-4"/>
          <w:lang w:val="en-GB"/>
        </w:rPr>
        <w:t>2.5</w:t>
      </w:r>
      <w:r w:rsidRPr="00D143CE">
        <w:rPr>
          <w:spacing w:val="-4"/>
          <w:lang w:val="en-GB"/>
        </w:rPr>
        <w:t xml:space="preserve"> years from the date of </w:t>
      </w:r>
      <w:r w:rsidR="00F17DB4" w:rsidRPr="00D143CE">
        <w:rPr>
          <w:spacing w:val="-4"/>
          <w:lang w:val="en-GB"/>
        </w:rPr>
        <w:t xml:space="preserve">final </w:t>
      </w:r>
      <w:r w:rsidRPr="00D143CE">
        <w:rPr>
          <w:spacing w:val="-4"/>
          <w:lang w:val="en-GB"/>
        </w:rPr>
        <w:t xml:space="preserve">financial </w:t>
      </w:r>
      <w:r w:rsidR="00F17DB4" w:rsidRPr="00D143CE">
        <w:rPr>
          <w:spacing w:val="-4"/>
          <w:lang w:val="en-GB"/>
        </w:rPr>
        <w:t>approval</w:t>
      </w:r>
      <w:r w:rsidRPr="00D143CE">
        <w:rPr>
          <w:spacing w:val="-4"/>
          <w:lang w:val="en-GB"/>
        </w:rPr>
        <w:t>. However, implementation of the projects might not take place as scheduled</w:t>
      </w:r>
      <w:r w:rsidR="00F17DB4" w:rsidRPr="00D143CE">
        <w:rPr>
          <w:spacing w:val="-4"/>
          <w:lang w:val="en-GB"/>
        </w:rPr>
        <w:t xml:space="preserve">, </w:t>
      </w:r>
      <w:r w:rsidRPr="00D143CE">
        <w:rPr>
          <w:spacing w:val="-4"/>
          <w:lang w:val="en-GB"/>
        </w:rPr>
        <w:t xml:space="preserve">resulting in </w:t>
      </w:r>
      <w:r w:rsidR="00F17DB4" w:rsidRPr="00D143CE">
        <w:rPr>
          <w:spacing w:val="-4"/>
          <w:lang w:val="en-GB"/>
        </w:rPr>
        <w:t xml:space="preserve">a </w:t>
      </w:r>
      <w:r w:rsidRPr="00D143CE">
        <w:rPr>
          <w:spacing w:val="-4"/>
          <w:lang w:val="en-GB"/>
        </w:rPr>
        <w:t>time overrun.</w:t>
      </w:r>
    </w:p>
    <w:p w14:paraId="54282ECD" w14:textId="77777777" w:rsidR="004606ED" w:rsidRPr="003519B9" w:rsidRDefault="004606ED" w:rsidP="004606ED">
      <w:pPr>
        <w:pStyle w:val="BodyTextMain"/>
        <w:rPr>
          <w:lang w:val="en-GB"/>
        </w:rPr>
      </w:pPr>
    </w:p>
    <w:p w14:paraId="24984731" w14:textId="7DB676AF" w:rsidR="00B1213B" w:rsidRPr="003519B9" w:rsidRDefault="0028127C" w:rsidP="00A5496A">
      <w:pPr>
        <w:pStyle w:val="BodyTextMain"/>
        <w:rPr>
          <w:lang w:val="en-GB"/>
        </w:rPr>
      </w:pPr>
      <w:r w:rsidRPr="003519B9">
        <w:rPr>
          <w:i/>
          <w:lang w:val="en-GB"/>
        </w:rPr>
        <w:t>Risk of Cost Overrun</w:t>
      </w:r>
      <w:r w:rsidRPr="003519B9">
        <w:rPr>
          <w:lang w:val="en-GB"/>
        </w:rPr>
        <w:t xml:space="preserve">: The project </w:t>
      </w:r>
      <w:r w:rsidR="00F17DB4" w:rsidRPr="003519B9">
        <w:rPr>
          <w:lang w:val="en-GB"/>
        </w:rPr>
        <w:t>would</w:t>
      </w:r>
      <w:r w:rsidRPr="003519B9">
        <w:rPr>
          <w:lang w:val="en-GB"/>
        </w:rPr>
        <w:t xml:space="preserve"> be implemented through a number of package contracts. </w:t>
      </w:r>
      <w:r w:rsidR="00F17DB4" w:rsidRPr="003519B9">
        <w:rPr>
          <w:lang w:val="en-GB"/>
        </w:rPr>
        <w:t>Since</w:t>
      </w:r>
      <w:r w:rsidRPr="003519B9">
        <w:rPr>
          <w:lang w:val="en-GB"/>
        </w:rPr>
        <w:t xml:space="preserve"> the company had not </w:t>
      </w:r>
      <w:r w:rsidR="0032186C" w:rsidRPr="003519B9">
        <w:rPr>
          <w:lang w:val="en-GB"/>
        </w:rPr>
        <w:t xml:space="preserve">yet </w:t>
      </w:r>
      <w:r w:rsidRPr="003519B9">
        <w:rPr>
          <w:lang w:val="en-GB"/>
        </w:rPr>
        <w:t>finalized</w:t>
      </w:r>
      <w:r w:rsidR="00F17DB4" w:rsidRPr="003519B9">
        <w:rPr>
          <w:lang w:val="en-GB"/>
        </w:rPr>
        <w:t xml:space="preserve"> the</w:t>
      </w:r>
      <w:r w:rsidRPr="003519B9">
        <w:rPr>
          <w:lang w:val="en-GB"/>
        </w:rPr>
        <w:t xml:space="preserve"> agreements in this regard, cost overrun</w:t>
      </w:r>
      <w:r w:rsidR="0032186C" w:rsidRPr="003519B9">
        <w:rPr>
          <w:lang w:val="en-GB"/>
        </w:rPr>
        <w:t>s</w:t>
      </w:r>
      <w:r w:rsidRPr="003519B9">
        <w:rPr>
          <w:lang w:val="en-GB"/>
        </w:rPr>
        <w:t xml:space="preserve"> might occur</w:t>
      </w:r>
      <w:r w:rsidR="00F17DB4" w:rsidRPr="003519B9">
        <w:rPr>
          <w:lang w:val="en-GB"/>
        </w:rPr>
        <w:t>,</w:t>
      </w:r>
      <w:r w:rsidRPr="003519B9">
        <w:rPr>
          <w:lang w:val="en-GB"/>
        </w:rPr>
        <w:t xml:space="preserve"> thereby affecting </w:t>
      </w:r>
      <w:r w:rsidR="00F17DB4" w:rsidRPr="003519B9">
        <w:rPr>
          <w:lang w:val="en-GB"/>
        </w:rPr>
        <w:t xml:space="preserve">the projects’ </w:t>
      </w:r>
      <w:r w:rsidRPr="003519B9">
        <w:rPr>
          <w:lang w:val="en-GB"/>
        </w:rPr>
        <w:t>viability parameters</w:t>
      </w:r>
      <w:r w:rsidR="00F17DB4" w:rsidRPr="003519B9">
        <w:rPr>
          <w:lang w:val="en-GB"/>
        </w:rPr>
        <w:t>.</w:t>
      </w:r>
      <w:r w:rsidR="00D15F5A" w:rsidRPr="003519B9">
        <w:rPr>
          <w:lang w:val="en-GB"/>
        </w:rPr>
        <w:t xml:space="preserve"> </w:t>
      </w:r>
      <w:r w:rsidR="00F17DB4" w:rsidRPr="003519B9">
        <w:rPr>
          <w:lang w:val="en-GB"/>
        </w:rPr>
        <w:t>As well</w:t>
      </w:r>
      <w:r w:rsidRPr="003519B9">
        <w:rPr>
          <w:lang w:val="en-GB"/>
        </w:rPr>
        <w:t xml:space="preserve">, the estimated capital cost of </w:t>
      </w:r>
      <w:r w:rsidR="00F17DB4" w:rsidRPr="003519B9">
        <w:rPr>
          <w:lang w:val="en-GB"/>
        </w:rPr>
        <w:t xml:space="preserve">the </w:t>
      </w:r>
      <w:r w:rsidRPr="003519B9">
        <w:rPr>
          <w:lang w:val="en-GB"/>
        </w:rPr>
        <w:t xml:space="preserve">Dharmavaram plant was higher than that of </w:t>
      </w:r>
      <w:r w:rsidR="00E932C7" w:rsidRPr="003519B9">
        <w:rPr>
          <w:lang w:val="en-GB"/>
        </w:rPr>
        <w:t xml:space="preserve">the </w:t>
      </w:r>
      <w:r w:rsidRPr="003519B9">
        <w:rPr>
          <w:lang w:val="en-GB"/>
        </w:rPr>
        <w:t>Paloncha plant</w:t>
      </w:r>
      <w:r w:rsidR="00F17DB4" w:rsidRPr="003519B9">
        <w:rPr>
          <w:lang w:val="en-GB"/>
        </w:rPr>
        <w:t>,</w:t>
      </w:r>
      <w:r w:rsidR="00D15F5A" w:rsidRPr="003519B9">
        <w:rPr>
          <w:lang w:val="en-GB"/>
        </w:rPr>
        <w:t xml:space="preserve"> </w:t>
      </w:r>
      <w:r w:rsidR="00F17DB4" w:rsidRPr="003519B9">
        <w:rPr>
          <w:lang w:val="en-GB"/>
        </w:rPr>
        <w:t xml:space="preserve">even </w:t>
      </w:r>
      <w:r w:rsidRPr="003519B9">
        <w:rPr>
          <w:lang w:val="en-GB"/>
        </w:rPr>
        <w:t xml:space="preserve">though the size of the projects was </w:t>
      </w:r>
      <w:r w:rsidR="00891376" w:rsidRPr="003519B9">
        <w:rPr>
          <w:lang w:val="en-GB"/>
        </w:rPr>
        <w:t xml:space="preserve">the </w:t>
      </w:r>
      <w:r w:rsidRPr="003519B9">
        <w:rPr>
          <w:lang w:val="en-GB"/>
        </w:rPr>
        <w:t xml:space="preserve">same (see </w:t>
      </w:r>
      <w:r w:rsidR="00B1213B" w:rsidRPr="003519B9">
        <w:rPr>
          <w:lang w:val="en-GB"/>
        </w:rPr>
        <w:t>Exhibit</w:t>
      </w:r>
      <w:r w:rsidRPr="003519B9">
        <w:rPr>
          <w:lang w:val="en-GB"/>
        </w:rPr>
        <w:t xml:space="preserve"> 3).</w:t>
      </w:r>
    </w:p>
    <w:p w14:paraId="00EFD8AE" w14:textId="77777777" w:rsidR="00AF3D2B" w:rsidRPr="003519B9" w:rsidRDefault="00AF3D2B" w:rsidP="00AF3D2B">
      <w:pPr>
        <w:pStyle w:val="BodyTextMain"/>
        <w:rPr>
          <w:lang w:val="en-GB"/>
        </w:rPr>
      </w:pPr>
    </w:p>
    <w:p w14:paraId="0C582F54" w14:textId="3ABFBF36" w:rsidR="00B1213B" w:rsidRPr="003519B9" w:rsidRDefault="0028127C" w:rsidP="00A5496A">
      <w:pPr>
        <w:pStyle w:val="BodyTextMain"/>
        <w:rPr>
          <w:lang w:val="en-GB"/>
        </w:rPr>
      </w:pPr>
      <w:r w:rsidRPr="003519B9">
        <w:rPr>
          <w:i/>
          <w:lang w:val="en-GB"/>
        </w:rPr>
        <w:t>Technology Risk</w:t>
      </w:r>
      <w:r w:rsidRPr="003519B9">
        <w:rPr>
          <w:lang w:val="en-GB"/>
        </w:rPr>
        <w:t>: The BTG contract would have performance warranties on key operational parameters</w:t>
      </w:r>
      <w:r w:rsidR="00891376" w:rsidRPr="003519B9">
        <w:rPr>
          <w:lang w:val="en-GB"/>
        </w:rPr>
        <w:t>,</w:t>
      </w:r>
      <w:r w:rsidRPr="003519B9">
        <w:rPr>
          <w:lang w:val="en-GB"/>
        </w:rPr>
        <w:t xml:space="preserve"> such as steam generator efficiency, station heat rate</w:t>
      </w:r>
      <w:r w:rsidR="00891376" w:rsidRPr="003519B9">
        <w:rPr>
          <w:lang w:val="en-GB"/>
        </w:rPr>
        <w:t>,</w:t>
      </w:r>
      <w:r w:rsidRPr="003519B9">
        <w:rPr>
          <w:rStyle w:val="FootnoteReference"/>
          <w:lang w:val="en-GB"/>
        </w:rPr>
        <w:footnoteReference w:id="19"/>
      </w:r>
      <w:r w:rsidRPr="003519B9">
        <w:rPr>
          <w:lang w:val="en-GB"/>
        </w:rPr>
        <w:t xml:space="preserve"> and auxiliary power consumption</w:t>
      </w:r>
      <w:r w:rsidR="00891376" w:rsidRPr="003519B9">
        <w:rPr>
          <w:lang w:val="en-GB"/>
        </w:rPr>
        <w:t>.</w:t>
      </w:r>
      <w:r w:rsidRPr="003519B9">
        <w:rPr>
          <w:rStyle w:val="FootnoteReference"/>
          <w:lang w:val="en-GB"/>
        </w:rPr>
        <w:footnoteReference w:id="20"/>
      </w:r>
      <w:r w:rsidRPr="003519B9">
        <w:rPr>
          <w:lang w:val="en-GB"/>
        </w:rPr>
        <w:t xml:space="preserve"> However, the power plants might not perform </w:t>
      </w:r>
      <w:r w:rsidR="00891376" w:rsidRPr="003519B9">
        <w:rPr>
          <w:lang w:val="en-GB"/>
        </w:rPr>
        <w:t>up to</w:t>
      </w:r>
      <w:r w:rsidRPr="003519B9">
        <w:rPr>
          <w:lang w:val="en-GB"/>
        </w:rPr>
        <w:t xml:space="preserve"> standard</w:t>
      </w:r>
      <w:r w:rsidR="0032186C" w:rsidRPr="003519B9">
        <w:rPr>
          <w:lang w:val="en-GB"/>
        </w:rPr>
        <w:t>,</w:t>
      </w:r>
      <w:r w:rsidRPr="003519B9">
        <w:rPr>
          <w:lang w:val="en-GB"/>
        </w:rPr>
        <w:t xml:space="preserve"> and the consequent operational inefficiency might result in lower power generation</w:t>
      </w:r>
      <w:r w:rsidR="00891376" w:rsidRPr="003519B9">
        <w:rPr>
          <w:lang w:val="en-GB"/>
        </w:rPr>
        <w:t>,</w:t>
      </w:r>
      <w:r w:rsidR="00D15F5A" w:rsidRPr="003519B9">
        <w:rPr>
          <w:lang w:val="en-GB"/>
        </w:rPr>
        <w:t xml:space="preserve"> </w:t>
      </w:r>
      <w:r w:rsidR="0032186C" w:rsidRPr="003519B9">
        <w:rPr>
          <w:lang w:val="en-GB"/>
        </w:rPr>
        <w:t xml:space="preserve">in turn </w:t>
      </w:r>
      <w:r w:rsidRPr="003519B9">
        <w:rPr>
          <w:lang w:val="en-GB"/>
        </w:rPr>
        <w:t>adversely affecting the company’s financial performance.</w:t>
      </w:r>
    </w:p>
    <w:p w14:paraId="2E1C7220" w14:textId="77777777" w:rsidR="004606ED" w:rsidRPr="003519B9" w:rsidRDefault="004606ED" w:rsidP="004606ED">
      <w:pPr>
        <w:pStyle w:val="BodyTextMain"/>
        <w:rPr>
          <w:lang w:val="en-GB"/>
        </w:rPr>
      </w:pPr>
    </w:p>
    <w:p w14:paraId="1452F4FB" w14:textId="3F019673" w:rsidR="00B1213B" w:rsidRPr="00D143CE" w:rsidRDefault="0028127C" w:rsidP="00A5496A">
      <w:pPr>
        <w:pStyle w:val="BodyTextMain"/>
        <w:rPr>
          <w:spacing w:val="-4"/>
          <w:lang w:val="en-GB"/>
        </w:rPr>
      </w:pPr>
      <w:r w:rsidRPr="00D143CE">
        <w:rPr>
          <w:i/>
          <w:spacing w:val="-4"/>
          <w:lang w:val="en-GB"/>
        </w:rPr>
        <w:t>Fuel Risk</w:t>
      </w:r>
      <w:r w:rsidRPr="00D143CE">
        <w:rPr>
          <w:spacing w:val="-4"/>
          <w:lang w:val="en-GB"/>
        </w:rPr>
        <w:t xml:space="preserve">: </w:t>
      </w:r>
      <w:r w:rsidR="00891376" w:rsidRPr="00D143CE">
        <w:rPr>
          <w:spacing w:val="-4"/>
          <w:lang w:val="en-GB"/>
        </w:rPr>
        <w:t>Alt</w:t>
      </w:r>
      <w:r w:rsidRPr="00D143CE">
        <w:rPr>
          <w:spacing w:val="-4"/>
          <w:lang w:val="en-GB"/>
        </w:rPr>
        <w:t xml:space="preserve">hough </w:t>
      </w:r>
      <w:r w:rsidR="00891376" w:rsidRPr="00D143CE">
        <w:rPr>
          <w:spacing w:val="-4"/>
          <w:lang w:val="en-GB"/>
        </w:rPr>
        <w:t>NBVL</w:t>
      </w:r>
      <w:r w:rsidR="00E932C7" w:rsidRPr="00D143CE">
        <w:rPr>
          <w:spacing w:val="-4"/>
          <w:lang w:val="en-GB"/>
        </w:rPr>
        <w:t xml:space="preserve"> </w:t>
      </w:r>
      <w:r w:rsidR="00891376" w:rsidRPr="00D143CE">
        <w:rPr>
          <w:spacing w:val="-4"/>
          <w:lang w:val="en-GB"/>
        </w:rPr>
        <w:t xml:space="preserve">had </w:t>
      </w:r>
      <w:r w:rsidRPr="00D143CE">
        <w:rPr>
          <w:spacing w:val="-4"/>
          <w:lang w:val="en-GB"/>
        </w:rPr>
        <w:t xml:space="preserve">secured coal mining rights from Indonesia, </w:t>
      </w:r>
      <w:r w:rsidR="0032186C" w:rsidRPr="00D143CE">
        <w:rPr>
          <w:spacing w:val="-4"/>
          <w:lang w:val="en-GB"/>
        </w:rPr>
        <w:t xml:space="preserve">the </w:t>
      </w:r>
      <w:r w:rsidRPr="00D143CE">
        <w:rPr>
          <w:spacing w:val="-4"/>
          <w:lang w:val="en-GB"/>
        </w:rPr>
        <w:t xml:space="preserve">extracted coal would be insufficient for </w:t>
      </w:r>
      <w:r w:rsidR="0032186C" w:rsidRPr="00D143CE">
        <w:rPr>
          <w:spacing w:val="-4"/>
          <w:lang w:val="en-GB"/>
        </w:rPr>
        <w:t>the need of the</w:t>
      </w:r>
      <w:r w:rsidRPr="00D143CE">
        <w:rPr>
          <w:spacing w:val="-4"/>
          <w:lang w:val="en-GB"/>
        </w:rPr>
        <w:t xml:space="preserve"> power plant in Dharmavaram. As such, </w:t>
      </w:r>
      <w:r w:rsidR="00592D42" w:rsidRPr="00D143CE">
        <w:rPr>
          <w:spacing w:val="-4"/>
          <w:lang w:val="en-GB"/>
        </w:rPr>
        <w:t>NBEIL</w:t>
      </w:r>
      <w:r w:rsidR="00E932C7" w:rsidRPr="00D143CE">
        <w:rPr>
          <w:spacing w:val="-4"/>
          <w:lang w:val="en-GB"/>
        </w:rPr>
        <w:t xml:space="preserve"> </w:t>
      </w:r>
      <w:r w:rsidR="0032186C" w:rsidRPr="00D143CE">
        <w:rPr>
          <w:spacing w:val="-4"/>
          <w:lang w:val="en-GB"/>
        </w:rPr>
        <w:t>would have</w:t>
      </w:r>
      <w:r w:rsidRPr="00D143CE">
        <w:rPr>
          <w:spacing w:val="-4"/>
          <w:lang w:val="en-GB"/>
        </w:rPr>
        <w:t xml:space="preserve"> to </w:t>
      </w:r>
      <w:r w:rsidR="00592D42" w:rsidRPr="00D143CE">
        <w:rPr>
          <w:spacing w:val="-4"/>
          <w:lang w:val="en-GB"/>
        </w:rPr>
        <w:t xml:space="preserve">partially </w:t>
      </w:r>
      <w:r w:rsidRPr="00D143CE">
        <w:rPr>
          <w:spacing w:val="-4"/>
          <w:lang w:val="en-GB"/>
        </w:rPr>
        <w:t xml:space="preserve">rely on imported coal for its operations. The estimated landed cost of fuel in </w:t>
      </w:r>
      <w:r w:rsidR="004968FD" w:rsidRPr="00D143CE">
        <w:rPr>
          <w:spacing w:val="-4"/>
          <w:lang w:val="en-GB"/>
        </w:rPr>
        <w:t xml:space="preserve">the </w:t>
      </w:r>
      <w:r w:rsidRPr="00D143CE">
        <w:rPr>
          <w:spacing w:val="-4"/>
          <w:lang w:val="en-GB"/>
        </w:rPr>
        <w:t xml:space="preserve">case of </w:t>
      </w:r>
      <w:r w:rsidR="004968FD" w:rsidRPr="00D143CE">
        <w:rPr>
          <w:spacing w:val="-4"/>
          <w:lang w:val="en-GB"/>
        </w:rPr>
        <w:t xml:space="preserve">the </w:t>
      </w:r>
      <w:r w:rsidRPr="00D143CE">
        <w:rPr>
          <w:spacing w:val="-4"/>
          <w:lang w:val="en-GB"/>
        </w:rPr>
        <w:t xml:space="preserve">Dharmavaram project was far higher than that of </w:t>
      </w:r>
      <w:r w:rsidR="004968FD" w:rsidRPr="00D143CE">
        <w:rPr>
          <w:spacing w:val="-4"/>
          <w:lang w:val="en-GB"/>
        </w:rPr>
        <w:t xml:space="preserve">the </w:t>
      </w:r>
      <w:r w:rsidRPr="00D143CE">
        <w:rPr>
          <w:spacing w:val="-4"/>
          <w:lang w:val="en-GB"/>
        </w:rPr>
        <w:t>Paloncha project</w:t>
      </w:r>
      <w:r w:rsidR="004968FD" w:rsidRPr="00D143CE">
        <w:rPr>
          <w:spacing w:val="-4"/>
          <w:lang w:val="en-GB"/>
        </w:rPr>
        <w:t>,</w:t>
      </w:r>
      <w:r w:rsidRPr="00D143CE">
        <w:rPr>
          <w:spacing w:val="-4"/>
          <w:lang w:val="en-GB"/>
        </w:rPr>
        <w:t xml:space="preserve"> even after considering the relative gross calorific value of the coal (see </w:t>
      </w:r>
      <w:r w:rsidR="00B1213B" w:rsidRPr="00D143CE">
        <w:rPr>
          <w:spacing w:val="-4"/>
          <w:lang w:val="en-GB"/>
        </w:rPr>
        <w:t>Exhibit 5</w:t>
      </w:r>
      <w:r w:rsidRPr="00D143CE">
        <w:rPr>
          <w:spacing w:val="-4"/>
          <w:lang w:val="en-GB"/>
        </w:rPr>
        <w:t>).</w:t>
      </w:r>
      <w:r w:rsidR="00D15F5A" w:rsidRPr="00D143CE">
        <w:rPr>
          <w:spacing w:val="-4"/>
          <w:lang w:val="en-GB"/>
        </w:rPr>
        <w:t xml:space="preserve"> </w:t>
      </w:r>
      <w:r w:rsidR="004968FD" w:rsidRPr="00D143CE">
        <w:rPr>
          <w:spacing w:val="-4"/>
          <w:lang w:val="en-GB"/>
        </w:rPr>
        <w:t>Additionally</w:t>
      </w:r>
      <w:r w:rsidRPr="00D143CE">
        <w:rPr>
          <w:spacing w:val="-4"/>
          <w:lang w:val="en-GB"/>
        </w:rPr>
        <w:t>, the price of imported coal might escalate in future due to regulations from the government</w:t>
      </w:r>
      <w:r w:rsidR="004968FD" w:rsidRPr="00D143CE">
        <w:rPr>
          <w:spacing w:val="-4"/>
          <w:lang w:val="en-GB"/>
        </w:rPr>
        <w:t xml:space="preserve"> and </w:t>
      </w:r>
      <w:r w:rsidRPr="00D143CE">
        <w:rPr>
          <w:spacing w:val="-4"/>
          <w:lang w:val="en-GB"/>
        </w:rPr>
        <w:t xml:space="preserve">political risk from Indonesia. Another issue </w:t>
      </w:r>
      <w:r w:rsidR="004968FD" w:rsidRPr="00D143CE">
        <w:rPr>
          <w:spacing w:val="-4"/>
          <w:lang w:val="en-GB"/>
        </w:rPr>
        <w:t>might involve</w:t>
      </w:r>
      <w:r w:rsidRPr="00D143CE">
        <w:rPr>
          <w:spacing w:val="-4"/>
          <w:lang w:val="en-GB"/>
        </w:rPr>
        <w:t xml:space="preserve"> transportation of coal </w:t>
      </w:r>
      <w:r w:rsidR="004968FD" w:rsidRPr="00D143CE">
        <w:rPr>
          <w:spacing w:val="-4"/>
          <w:lang w:val="en-GB"/>
        </w:rPr>
        <w:t>over</w:t>
      </w:r>
      <w:r w:rsidRPr="00D143CE">
        <w:rPr>
          <w:spacing w:val="-4"/>
          <w:lang w:val="en-GB"/>
        </w:rPr>
        <w:t xml:space="preserve"> a long distance </w:t>
      </w:r>
      <w:r w:rsidR="004968FD" w:rsidRPr="00D143CE">
        <w:rPr>
          <w:spacing w:val="-4"/>
          <w:lang w:val="en-GB"/>
        </w:rPr>
        <w:t>(</w:t>
      </w:r>
      <w:r w:rsidRPr="00D143CE">
        <w:rPr>
          <w:spacing w:val="-4"/>
          <w:lang w:val="en-GB"/>
        </w:rPr>
        <w:t>i.e., Indonesia to Dharmavaram</w:t>
      </w:r>
      <w:r w:rsidR="004968FD" w:rsidRPr="00D143CE">
        <w:rPr>
          <w:spacing w:val="-4"/>
          <w:lang w:val="en-GB"/>
        </w:rPr>
        <w:t>)</w:t>
      </w:r>
      <w:r w:rsidRPr="00D143CE">
        <w:rPr>
          <w:spacing w:val="-4"/>
          <w:lang w:val="en-GB"/>
        </w:rPr>
        <w:t xml:space="preserve">. </w:t>
      </w:r>
      <w:r w:rsidR="004968FD" w:rsidRPr="00D143CE">
        <w:rPr>
          <w:spacing w:val="-4"/>
          <w:lang w:val="en-GB"/>
        </w:rPr>
        <w:t>Thus</w:t>
      </w:r>
      <w:r w:rsidRPr="00D143CE">
        <w:rPr>
          <w:spacing w:val="-4"/>
          <w:lang w:val="en-GB"/>
        </w:rPr>
        <w:t xml:space="preserve">, lack of </w:t>
      </w:r>
      <w:r w:rsidR="004968FD" w:rsidRPr="00D143CE">
        <w:rPr>
          <w:spacing w:val="-4"/>
          <w:lang w:val="en-GB"/>
        </w:rPr>
        <w:t xml:space="preserve">a </w:t>
      </w:r>
      <w:r w:rsidRPr="00D143CE">
        <w:rPr>
          <w:spacing w:val="-4"/>
          <w:lang w:val="en-GB"/>
        </w:rPr>
        <w:t xml:space="preserve">sufficient and timely fuel supply for the power plants might result in </w:t>
      </w:r>
      <w:r w:rsidR="00592D42" w:rsidRPr="00D143CE">
        <w:rPr>
          <w:spacing w:val="-4"/>
          <w:lang w:val="en-GB"/>
        </w:rPr>
        <w:t xml:space="preserve">their </w:t>
      </w:r>
      <w:r w:rsidRPr="00D143CE">
        <w:rPr>
          <w:spacing w:val="-4"/>
          <w:lang w:val="en-GB"/>
        </w:rPr>
        <w:t>subdued performance</w:t>
      </w:r>
      <w:r w:rsidR="004968FD" w:rsidRPr="00D143CE">
        <w:rPr>
          <w:spacing w:val="-4"/>
          <w:lang w:val="en-GB"/>
        </w:rPr>
        <w:t>,</w:t>
      </w:r>
      <w:r w:rsidRPr="00D143CE">
        <w:rPr>
          <w:spacing w:val="-4"/>
          <w:lang w:val="en-GB"/>
        </w:rPr>
        <w:t xml:space="preserve"> leading to lower PLF. </w:t>
      </w:r>
      <w:r w:rsidR="004968FD" w:rsidRPr="00D143CE">
        <w:rPr>
          <w:spacing w:val="-4"/>
          <w:lang w:val="en-GB"/>
        </w:rPr>
        <w:t>Since</w:t>
      </w:r>
      <w:r w:rsidRPr="00D143CE">
        <w:rPr>
          <w:spacing w:val="-4"/>
          <w:lang w:val="en-GB"/>
        </w:rPr>
        <w:t xml:space="preserve"> financials were projected based on </w:t>
      </w:r>
      <w:r w:rsidR="004968FD" w:rsidRPr="00D143CE">
        <w:rPr>
          <w:spacing w:val="-4"/>
          <w:lang w:val="en-GB"/>
        </w:rPr>
        <w:t>an</w:t>
      </w:r>
      <w:r w:rsidRPr="00D143CE">
        <w:rPr>
          <w:spacing w:val="-4"/>
          <w:lang w:val="en-GB"/>
        </w:rPr>
        <w:t xml:space="preserve"> estimated PLF of 85 per cent, </w:t>
      </w:r>
      <w:r w:rsidR="004968FD" w:rsidRPr="00D143CE">
        <w:rPr>
          <w:spacing w:val="-4"/>
          <w:lang w:val="en-GB"/>
        </w:rPr>
        <w:t xml:space="preserve">a </w:t>
      </w:r>
      <w:r w:rsidRPr="00D143CE">
        <w:rPr>
          <w:spacing w:val="-4"/>
          <w:lang w:val="en-GB"/>
        </w:rPr>
        <w:t>lower PLF might lead to impaired capacity utilization and lower revenues</w:t>
      </w:r>
      <w:r w:rsidR="004968FD" w:rsidRPr="00D143CE">
        <w:rPr>
          <w:spacing w:val="-4"/>
          <w:lang w:val="en-GB"/>
        </w:rPr>
        <w:t>,</w:t>
      </w:r>
      <w:r w:rsidRPr="00D143CE">
        <w:rPr>
          <w:spacing w:val="-4"/>
          <w:lang w:val="en-GB"/>
        </w:rPr>
        <w:t xml:space="preserve"> which</w:t>
      </w:r>
      <w:r w:rsidR="004968FD" w:rsidRPr="00D143CE">
        <w:rPr>
          <w:spacing w:val="-4"/>
          <w:lang w:val="en-GB"/>
        </w:rPr>
        <w:t xml:space="preserve"> would</w:t>
      </w:r>
      <w:r w:rsidRPr="00D143CE">
        <w:rPr>
          <w:spacing w:val="-4"/>
          <w:lang w:val="en-GB"/>
        </w:rPr>
        <w:t xml:space="preserve"> ultimately hamper </w:t>
      </w:r>
      <w:r w:rsidR="004968FD" w:rsidRPr="00D143CE">
        <w:rPr>
          <w:spacing w:val="-4"/>
          <w:lang w:val="en-GB"/>
        </w:rPr>
        <w:t xml:space="preserve">the projects’ </w:t>
      </w:r>
      <w:r w:rsidRPr="00D143CE">
        <w:rPr>
          <w:spacing w:val="-4"/>
          <w:lang w:val="en-GB"/>
        </w:rPr>
        <w:t>debt</w:t>
      </w:r>
      <w:r w:rsidR="004968FD" w:rsidRPr="00D143CE">
        <w:rPr>
          <w:spacing w:val="-4"/>
          <w:lang w:val="en-GB"/>
        </w:rPr>
        <w:t>-</w:t>
      </w:r>
      <w:r w:rsidRPr="00D143CE">
        <w:rPr>
          <w:spacing w:val="-4"/>
          <w:lang w:val="en-GB"/>
        </w:rPr>
        <w:t>servicing capability</w:t>
      </w:r>
      <w:r w:rsidR="004968FD" w:rsidRPr="00D143CE">
        <w:rPr>
          <w:spacing w:val="-4"/>
          <w:lang w:val="en-GB"/>
        </w:rPr>
        <w:t>.</w:t>
      </w:r>
    </w:p>
    <w:p w14:paraId="4D8CF79E" w14:textId="77777777" w:rsidR="004606ED" w:rsidRPr="00D143CE" w:rsidRDefault="004606ED" w:rsidP="004606ED">
      <w:pPr>
        <w:pStyle w:val="BodyTextMain"/>
        <w:rPr>
          <w:spacing w:val="-4"/>
          <w:lang w:val="en-GB"/>
        </w:rPr>
      </w:pPr>
    </w:p>
    <w:p w14:paraId="340453F6" w14:textId="3B55891D" w:rsidR="00B1213B" w:rsidRPr="00D143CE" w:rsidRDefault="0028127C" w:rsidP="00A5496A">
      <w:pPr>
        <w:pStyle w:val="BodyTextMain"/>
        <w:rPr>
          <w:spacing w:val="-4"/>
          <w:lang w:val="en-GB"/>
        </w:rPr>
      </w:pPr>
      <w:r w:rsidRPr="00D143CE">
        <w:rPr>
          <w:i/>
          <w:spacing w:val="-4"/>
          <w:lang w:val="en-GB"/>
        </w:rPr>
        <w:t>Operation Risk</w:t>
      </w:r>
      <w:r w:rsidRPr="00D143CE">
        <w:rPr>
          <w:spacing w:val="-4"/>
          <w:lang w:val="en-GB"/>
        </w:rPr>
        <w:t>: The operation and maintenance</w:t>
      </w:r>
      <w:r w:rsidR="000A556B" w:rsidRPr="00D143CE">
        <w:rPr>
          <w:spacing w:val="-4"/>
          <w:lang w:val="en-GB"/>
        </w:rPr>
        <w:t>,</w:t>
      </w:r>
      <w:r w:rsidRPr="00D143CE">
        <w:rPr>
          <w:spacing w:val="-4"/>
          <w:lang w:val="en-GB"/>
        </w:rPr>
        <w:t xml:space="preserve"> as well as </w:t>
      </w:r>
      <w:r w:rsidR="00D6281C" w:rsidRPr="00D143CE">
        <w:rPr>
          <w:spacing w:val="-4"/>
          <w:lang w:val="en-GB"/>
        </w:rPr>
        <w:t xml:space="preserve">the </w:t>
      </w:r>
      <w:r w:rsidRPr="00D143CE">
        <w:rPr>
          <w:spacing w:val="-4"/>
          <w:lang w:val="en-GB"/>
        </w:rPr>
        <w:t>engineering procurement and construction activities of the projects</w:t>
      </w:r>
      <w:r w:rsidR="000A556B" w:rsidRPr="00D143CE">
        <w:rPr>
          <w:spacing w:val="-4"/>
          <w:lang w:val="en-GB"/>
        </w:rPr>
        <w:t xml:space="preserve">, </w:t>
      </w:r>
      <w:r w:rsidR="00D6281C" w:rsidRPr="00D143CE">
        <w:rPr>
          <w:spacing w:val="-4"/>
          <w:lang w:val="en-GB"/>
        </w:rPr>
        <w:t>would</w:t>
      </w:r>
      <w:r w:rsidRPr="00D143CE">
        <w:rPr>
          <w:spacing w:val="-4"/>
          <w:lang w:val="en-GB"/>
        </w:rPr>
        <w:t xml:space="preserve"> be carried out by NBVL</w:t>
      </w:r>
      <w:r w:rsidR="00D6281C" w:rsidRPr="00D143CE">
        <w:rPr>
          <w:spacing w:val="-4"/>
          <w:lang w:val="en-GB"/>
        </w:rPr>
        <w:t>.</w:t>
      </w:r>
      <w:r w:rsidR="00D15F5A" w:rsidRPr="00D143CE">
        <w:rPr>
          <w:spacing w:val="-4"/>
          <w:lang w:val="en-GB"/>
        </w:rPr>
        <w:t xml:space="preserve"> </w:t>
      </w:r>
      <w:r w:rsidRPr="00D143CE">
        <w:rPr>
          <w:spacing w:val="-4"/>
          <w:lang w:val="en-GB"/>
        </w:rPr>
        <w:t>The company might not have adequate experienced staff for operating its key equipment</w:t>
      </w:r>
      <w:r w:rsidR="00D6281C" w:rsidRPr="00D143CE">
        <w:rPr>
          <w:spacing w:val="-4"/>
          <w:lang w:val="en-GB"/>
        </w:rPr>
        <w:t>, in turn</w:t>
      </w:r>
      <w:r w:rsidRPr="00D143CE">
        <w:rPr>
          <w:spacing w:val="-4"/>
          <w:lang w:val="en-GB"/>
        </w:rPr>
        <w:t xml:space="preserve"> resulting in the sub-optimal performance of the projects.</w:t>
      </w:r>
    </w:p>
    <w:p w14:paraId="2515C136" w14:textId="77777777" w:rsidR="004606ED" w:rsidRPr="00D143CE" w:rsidRDefault="004606ED" w:rsidP="004606ED">
      <w:pPr>
        <w:pStyle w:val="BodyTextMain"/>
        <w:rPr>
          <w:spacing w:val="-4"/>
          <w:lang w:val="en-GB"/>
        </w:rPr>
      </w:pPr>
    </w:p>
    <w:p w14:paraId="4EA1FAF9" w14:textId="3AF59989" w:rsidR="00B1213B" w:rsidRPr="00D143CE" w:rsidRDefault="0028127C" w:rsidP="00A5496A">
      <w:pPr>
        <w:pStyle w:val="BodyTextMain"/>
        <w:rPr>
          <w:spacing w:val="-4"/>
          <w:lang w:val="en-GB"/>
        </w:rPr>
      </w:pPr>
      <w:r w:rsidRPr="00D143CE">
        <w:rPr>
          <w:i/>
          <w:spacing w:val="-4"/>
          <w:lang w:val="en-GB"/>
        </w:rPr>
        <w:t>Off-</w:t>
      </w:r>
      <w:r w:rsidR="00D6281C" w:rsidRPr="00D143CE">
        <w:rPr>
          <w:i/>
          <w:spacing w:val="-4"/>
          <w:lang w:val="en-GB"/>
        </w:rPr>
        <w:t>T</w:t>
      </w:r>
      <w:r w:rsidRPr="00D143CE">
        <w:rPr>
          <w:i/>
          <w:spacing w:val="-4"/>
          <w:lang w:val="en-GB"/>
        </w:rPr>
        <w:t>ake Risk</w:t>
      </w:r>
      <w:r w:rsidRPr="00D143CE">
        <w:rPr>
          <w:spacing w:val="-4"/>
          <w:lang w:val="en-GB"/>
        </w:rPr>
        <w:t xml:space="preserve">: NBEIL might be </w:t>
      </w:r>
      <w:r w:rsidR="00E73301" w:rsidRPr="00D143CE">
        <w:rPr>
          <w:spacing w:val="-4"/>
          <w:lang w:val="en-GB"/>
        </w:rPr>
        <w:t>un</w:t>
      </w:r>
      <w:r w:rsidRPr="00D143CE">
        <w:rPr>
          <w:spacing w:val="-4"/>
          <w:lang w:val="en-GB"/>
        </w:rPr>
        <w:t>able to sell the power as expected</w:t>
      </w:r>
      <w:r w:rsidR="00D6281C" w:rsidRPr="00D143CE">
        <w:rPr>
          <w:spacing w:val="-4"/>
          <w:lang w:val="en-GB"/>
        </w:rPr>
        <w:t>,</w:t>
      </w:r>
      <w:r w:rsidRPr="00D143CE">
        <w:rPr>
          <w:spacing w:val="-4"/>
          <w:lang w:val="en-GB"/>
        </w:rPr>
        <w:t xml:space="preserve"> leading to off-take risk. Further, the power tariff might decline in </w:t>
      </w:r>
      <w:r w:rsidR="00E73301" w:rsidRPr="00D143CE">
        <w:rPr>
          <w:spacing w:val="-4"/>
          <w:lang w:val="en-GB"/>
        </w:rPr>
        <w:t xml:space="preserve">the </w:t>
      </w:r>
      <w:r w:rsidRPr="00D143CE">
        <w:rPr>
          <w:spacing w:val="-4"/>
          <w:lang w:val="en-GB"/>
        </w:rPr>
        <w:t>future due to commissioning of new projects</w:t>
      </w:r>
      <w:r w:rsidR="00D6281C" w:rsidRPr="00D143CE">
        <w:rPr>
          <w:spacing w:val="-4"/>
          <w:lang w:val="en-GB"/>
        </w:rPr>
        <w:t>, a</w:t>
      </w:r>
      <w:r w:rsidR="00E73301" w:rsidRPr="00D143CE">
        <w:rPr>
          <w:spacing w:val="-4"/>
          <w:lang w:val="en-GB"/>
        </w:rPr>
        <w:t>nd that</w:t>
      </w:r>
      <w:r w:rsidR="00D6281C" w:rsidRPr="00D143CE">
        <w:rPr>
          <w:spacing w:val="-4"/>
          <w:lang w:val="en-GB"/>
        </w:rPr>
        <w:t xml:space="preserve"> situation</w:t>
      </w:r>
      <w:r w:rsidR="00E73301" w:rsidRPr="00D143CE">
        <w:rPr>
          <w:spacing w:val="-4"/>
          <w:lang w:val="en-GB"/>
        </w:rPr>
        <w:t xml:space="preserve"> c</w:t>
      </w:r>
      <w:r w:rsidR="00D6281C" w:rsidRPr="00D143CE">
        <w:rPr>
          <w:spacing w:val="-4"/>
          <w:lang w:val="en-GB"/>
        </w:rPr>
        <w:t>ould</w:t>
      </w:r>
      <w:r w:rsidRPr="00D143CE">
        <w:rPr>
          <w:spacing w:val="-4"/>
          <w:lang w:val="en-GB"/>
        </w:rPr>
        <w:t xml:space="preserve"> lead to </w:t>
      </w:r>
      <w:r w:rsidR="00D6281C" w:rsidRPr="00D143CE">
        <w:rPr>
          <w:spacing w:val="-4"/>
          <w:lang w:val="en-GB"/>
        </w:rPr>
        <w:t xml:space="preserve">a </w:t>
      </w:r>
      <w:r w:rsidRPr="00D143CE">
        <w:rPr>
          <w:spacing w:val="-4"/>
          <w:lang w:val="en-GB"/>
        </w:rPr>
        <w:t xml:space="preserve">renegotiation of </w:t>
      </w:r>
      <w:r w:rsidR="00D6281C" w:rsidRPr="00D143CE">
        <w:rPr>
          <w:spacing w:val="-4"/>
          <w:lang w:val="en-GB"/>
        </w:rPr>
        <w:t xml:space="preserve">the </w:t>
      </w:r>
      <w:r w:rsidR="00B80A45" w:rsidRPr="00D143CE">
        <w:rPr>
          <w:spacing w:val="-4"/>
          <w:lang w:val="en-GB"/>
        </w:rPr>
        <w:t>original</w:t>
      </w:r>
      <w:r w:rsidRPr="00D143CE">
        <w:rPr>
          <w:spacing w:val="-4"/>
          <w:lang w:val="en-GB"/>
        </w:rPr>
        <w:t xml:space="preserve"> power purchase agreements. Hence, </w:t>
      </w:r>
      <w:r w:rsidR="00B334F4" w:rsidRPr="00D143CE">
        <w:rPr>
          <w:spacing w:val="-4"/>
          <w:lang w:val="en-GB"/>
        </w:rPr>
        <w:t>NBEIL</w:t>
      </w:r>
      <w:r w:rsidR="00E932C7" w:rsidRPr="00D143CE">
        <w:rPr>
          <w:spacing w:val="-4"/>
          <w:lang w:val="en-GB"/>
        </w:rPr>
        <w:t xml:space="preserve"> </w:t>
      </w:r>
      <w:r w:rsidRPr="00D143CE">
        <w:rPr>
          <w:spacing w:val="-4"/>
          <w:lang w:val="en-GB"/>
        </w:rPr>
        <w:t xml:space="preserve">might be </w:t>
      </w:r>
      <w:r w:rsidR="00B334F4" w:rsidRPr="00D143CE">
        <w:rPr>
          <w:spacing w:val="-4"/>
          <w:lang w:val="en-GB"/>
        </w:rPr>
        <w:t>un</w:t>
      </w:r>
      <w:r w:rsidRPr="00D143CE">
        <w:rPr>
          <w:spacing w:val="-4"/>
          <w:lang w:val="en-GB"/>
        </w:rPr>
        <w:t>able to repay its debt as envis</w:t>
      </w:r>
      <w:r w:rsidR="00E73301" w:rsidRPr="00D143CE">
        <w:rPr>
          <w:spacing w:val="-4"/>
          <w:lang w:val="en-GB"/>
        </w:rPr>
        <w:t>ioned.</w:t>
      </w:r>
    </w:p>
    <w:p w14:paraId="372611CD" w14:textId="77777777" w:rsidR="004606ED" w:rsidRPr="00D143CE" w:rsidRDefault="004606ED" w:rsidP="004606ED">
      <w:pPr>
        <w:pStyle w:val="BodyTextMain"/>
        <w:rPr>
          <w:spacing w:val="-4"/>
          <w:lang w:val="en-GB"/>
        </w:rPr>
      </w:pPr>
    </w:p>
    <w:p w14:paraId="4A85BC2A" w14:textId="77777777" w:rsidR="00B1213B" w:rsidRPr="00D143CE" w:rsidRDefault="0028127C" w:rsidP="00A5496A">
      <w:pPr>
        <w:pStyle w:val="BodyTextMain"/>
        <w:rPr>
          <w:spacing w:val="-4"/>
          <w:lang w:val="en-GB"/>
        </w:rPr>
      </w:pPr>
      <w:r w:rsidRPr="00D143CE">
        <w:rPr>
          <w:i/>
          <w:spacing w:val="-4"/>
          <w:lang w:val="en-GB"/>
        </w:rPr>
        <w:t>Risk of Substitutable Sources of Energy</w:t>
      </w:r>
      <w:r w:rsidRPr="00D143CE">
        <w:rPr>
          <w:spacing w:val="-4"/>
          <w:lang w:val="en-GB"/>
        </w:rPr>
        <w:t xml:space="preserve">: The proposed thermal power projects might face competition from other clean sources of energy </w:t>
      </w:r>
      <w:r w:rsidR="00B80A45" w:rsidRPr="00D143CE">
        <w:rPr>
          <w:spacing w:val="-4"/>
          <w:lang w:val="en-GB"/>
        </w:rPr>
        <w:t xml:space="preserve">(e.g., </w:t>
      </w:r>
      <w:r w:rsidRPr="00D143CE">
        <w:rPr>
          <w:spacing w:val="-4"/>
          <w:lang w:val="en-GB"/>
        </w:rPr>
        <w:t>hydro, solar, wind-based power plants</w:t>
      </w:r>
      <w:r w:rsidR="00B80A45" w:rsidRPr="00D143CE">
        <w:rPr>
          <w:spacing w:val="-4"/>
          <w:lang w:val="en-GB"/>
        </w:rPr>
        <w:t>)</w:t>
      </w:r>
      <w:r w:rsidRPr="00D143CE">
        <w:rPr>
          <w:spacing w:val="-4"/>
          <w:lang w:val="en-GB"/>
        </w:rPr>
        <w:t xml:space="preserve">. As such, power generated from the thermal projects might not </w:t>
      </w:r>
      <w:r w:rsidR="00B80A45" w:rsidRPr="00D143CE">
        <w:rPr>
          <w:spacing w:val="-4"/>
          <w:lang w:val="en-GB"/>
        </w:rPr>
        <w:t>draw sufficient</w:t>
      </w:r>
      <w:r w:rsidRPr="00D143CE">
        <w:rPr>
          <w:spacing w:val="-4"/>
          <w:lang w:val="en-GB"/>
        </w:rPr>
        <w:t xml:space="preserve"> demand</w:t>
      </w:r>
      <w:r w:rsidR="00B80A45" w:rsidRPr="00D143CE">
        <w:rPr>
          <w:spacing w:val="-4"/>
          <w:lang w:val="en-GB"/>
        </w:rPr>
        <w:t>,</w:t>
      </w:r>
      <w:r w:rsidRPr="00D143CE">
        <w:rPr>
          <w:spacing w:val="-4"/>
          <w:lang w:val="en-GB"/>
        </w:rPr>
        <w:t xml:space="preserve"> and the projected economic benefits might not be realized.</w:t>
      </w:r>
    </w:p>
    <w:p w14:paraId="0790772B" w14:textId="77777777" w:rsidR="004606ED" w:rsidRPr="003519B9" w:rsidRDefault="004606ED" w:rsidP="004606ED">
      <w:pPr>
        <w:pStyle w:val="BodyTextMain"/>
        <w:rPr>
          <w:lang w:val="en-GB"/>
        </w:rPr>
      </w:pPr>
    </w:p>
    <w:p w14:paraId="4C387347" w14:textId="7763183D" w:rsidR="00B1213B" w:rsidRPr="003519B9" w:rsidRDefault="0028127C" w:rsidP="00A5496A">
      <w:pPr>
        <w:pStyle w:val="BodyTextMain"/>
        <w:rPr>
          <w:lang w:val="en-GB"/>
        </w:rPr>
      </w:pPr>
      <w:r w:rsidRPr="003519B9">
        <w:rPr>
          <w:i/>
          <w:lang w:val="en-GB"/>
        </w:rPr>
        <w:t>Payment Risk</w:t>
      </w:r>
      <w:r w:rsidRPr="003519B9">
        <w:rPr>
          <w:lang w:val="en-GB"/>
        </w:rPr>
        <w:t xml:space="preserve">: Even after selling the generated power, NBEIL might not receive payments from its counter parties due to </w:t>
      </w:r>
      <w:r w:rsidR="00B80A45" w:rsidRPr="003519B9">
        <w:rPr>
          <w:lang w:val="en-GB"/>
        </w:rPr>
        <w:t xml:space="preserve">the </w:t>
      </w:r>
      <w:r w:rsidRPr="003519B9">
        <w:rPr>
          <w:lang w:val="en-GB"/>
        </w:rPr>
        <w:t xml:space="preserve">poor financial health of </w:t>
      </w:r>
      <w:r w:rsidR="00E73301" w:rsidRPr="003519B9">
        <w:rPr>
          <w:lang w:val="en-GB"/>
        </w:rPr>
        <w:t xml:space="preserve">the </w:t>
      </w:r>
      <w:r w:rsidRPr="003519B9">
        <w:rPr>
          <w:lang w:val="en-GB"/>
        </w:rPr>
        <w:t>many state electricity boards</w:t>
      </w:r>
      <w:r w:rsidR="00B80A45" w:rsidRPr="003519B9">
        <w:rPr>
          <w:lang w:val="en-GB"/>
        </w:rPr>
        <w:t xml:space="preserve"> that </w:t>
      </w:r>
      <w:r w:rsidR="00E932C7" w:rsidRPr="003519B9">
        <w:rPr>
          <w:lang w:val="en-GB"/>
        </w:rPr>
        <w:t xml:space="preserve">made </w:t>
      </w:r>
      <w:r w:rsidR="00B80A45" w:rsidRPr="003519B9">
        <w:rPr>
          <w:lang w:val="en-GB"/>
        </w:rPr>
        <w:t>up NBEIL’s</w:t>
      </w:r>
      <w:r w:rsidRPr="003519B9">
        <w:rPr>
          <w:lang w:val="en-GB"/>
        </w:rPr>
        <w:t xml:space="preserve"> potential clientele. Hence, the financial viability of the project might be doubtful.</w:t>
      </w:r>
    </w:p>
    <w:p w14:paraId="2CAB4FA6" w14:textId="77777777" w:rsidR="004606ED" w:rsidRPr="003519B9" w:rsidRDefault="004606ED" w:rsidP="004606ED">
      <w:pPr>
        <w:pStyle w:val="BodyTextMain"/>
        <w:rPr>
          <w:lang w:val="en-GB"/>
        </w:rPr>
      </w:pPr>
    </w:p>
    <w:p w14:paraId="431B5983" w14:textId="2449E680" w:rsidR="00B1213B" w:rsidRPr="003519B9" w:rsidRDefault="0028127C" w:rsidP="00A5496A">
      <w:pPr>
        <w:pStyle w:val="BodyTextMain"/>
        <w:rPr>
          <w:lang w:val="en-GB"/>
        </w:rPr>
      </w:pPr>
      <w:r w:rsidRPr="003519B9">
        <w:rPr>
          <w:i/>
          <w:lang w:val="en-GB"/>
        </w:rPr>
        <w:t>Exchange Rate Risk</w:t>
      </w:r>
      <w:r w:rsidRPr="003519B9">
        <w:rPr>
          <w:lang w:val="en-GB"/>
        </w:rPr>
        <w:t xml:space="preserve">: As </w:t>
      </w:r>
      <w:r w:rsidR="00B80A45" w:rsidRPr="003519B9">
        <w:rPr>
          <w:lang w:val="en-GB"/>
        </w:rPr>
        <w:t>NBEIL</w:t>
      </w:r>
      <w:r w:rsidR="00D15F5A" w:rsidRPr="003519B9">
        <w:rPr>
          <w:lang w:val="en-GB"/>
        </w:rPr>
        <w:t xml:space="preserve"> </w:t>
      </w:r>
      <w:r w:rsidRPr="003519B9">
        <w:rPr>
          <w:lang w:val="en-GB"/>
        </w:rPr>
        <w:t>was planning to procure its plant</w:t>
      </w:r>
      <w:r w:rsidR="00B80A45" w:rsidRPr="003519B9">
        <w:rPr>
          <w:lang w:val="en-GB"/>
        </w:rPr>
        <w:t>s</w:t>
      </w:r>
      <w:r w:rsidRPr="003519B9">
        <w:rPr>
          <w:lang w:val="en-GB"/>
        </w:rPr>
        <w:t xml:space="preserve"> and machinery through international competitive bidding (i.e., possibly through imports), the projects might face exchange rate risk due to the </w:t>
      </w:r>
      <w:r w:rsidRPr="003519B9">
        <w:rPr>
          <w:lang w:val="en-GB"/>
        </w:rPr>
        <w:lastRenderedPageBreak/>
        <w:t xml:space="preserve">appreciation of </w:t>
      </w:r>
      <w:r w:rsidR="00B80A45" w:rsidRPr="003519B9">
        <w:rPr>
          <w:lang w:val="en-GB"/>
        </w:rPr>
        <w:t xml:space="preserve">the </w:t>
      </w:r>
      <w:r w:rsidRPr="003519B9">
        <w:rPr>
          <w:lang w:val="en-GB"/>
        </w:rPr>
        <w:t>U</w:t>
      </w:r>
      <w:r w:rsidR="00D66B14" w:rsidRPr="003519B9">
        <w:rPr>
          <w:lang w:val="en-GB"/>
        </w:rPr>
        <w:t>.</w:t>
      </w:r>
      <w:r w:rsidRPr="003519B9">
        <w:rPr>
          <w:lang w:val="en-GB"/>
        </w:rPr>
        <w:t>S</w:t>
      </w:r>
      <w:r w:rsidR="00D66B14" w:rsidRPr="003519B9">
        <w:rPr>
          <w:lang w:val="en-GB"/>
        </w:rPr>
        <w:t>.</w:t>
      </w:r>
      <w:r w:rsidR="00381B2D" w:rsidRPr="003519B9">
        <w:rPr>
          <w:lang w:val="en-GB"/>
        </w:rPr>
        <w:t xml:space="preserve"> </w:t>
      </w:r>
      <w:r w:rsidR="00D66B14" w:rsidRPr="003519B9">
        <w:rPr>
          <w:lang w:val="en-GB"/>
        </w:rPr>
        <w:t>d</w:t>
      </w:r>
      <w:r w:rsidRPr="003519B9">
        <w:rPr>
          <w:lang w:val="en-GB"/>
        </w:rPr>
        <w:t xml:space="preserve">ollar against </w:t>
      </w:r>
      <w:r w:rsidR="00B80A45" w:rsidRPr="003519B9">
        <w:rPr>
          <w:lang w:val="en-GB"/>
        </w:rPr>
        <w:t xml:space="preserve">the </w:t>
      </w:r>
      <w:r w:rsidRPr="003519B9">
        <w:rPr>
          <w:lang w:val="en-GB"/>
        </w:rPr>
        <w:t xml:space="preserve">Indian </w:t>
      </w:r>
      <w:r w:rsidR="00D66B14" w:rsidRPr="003519B9">
        <w:rPr>
          <w:lang w:val="en-GB"/>
        </w:rPr>
        <w:t>r</w:t>
      </w:r>
      <w:r w:rsidRPr="003519B9">
        <w:rPr>
          <w:lang w:val="en-GB"/>
        </w:rPr>
        <w:t>upee</w:t>
      </w:r>
      <w:r w:rsidR="00B80A45" w:rsidRPr="003519B9">
        <w:rPr>
          <w:lang w:val="en-GB"/>
        </w:rPr>
        <w:t>, a situation that</w:t>
      </w:r>
      <w:r w:rsidRPr="003519B9">
        <w:rPr>
          <w:lang w:val="en-GB"/>
        </w:rPr>
        <w:t xml:space="preserve"> would </w:t>
      </w:r>
      <w:r w:rsidR="00B80A45" w:rsidRPr="003519B9">
        <w:rPr>
          <w:lang w:val="en-GB"/>
        </w:rPr>
        <w:t xml:space="preserve">adversely </w:t>
      </w:r>
      <w:r w:rsidRPr="003519B9">
        <w:rPr>
          <w:lang w:val="en-GB"/>
        </w:rPr>
        <w:t xml:space="preserve">affect </w:t>
      </w:r>
      <w:r w:rsidR="00B80A45" w:rsidRPr="003519B9">
        <w:rPr>
          <w:lang w:val="en-GB"/>
        </w:rPr>
        <w:t>the project’s</w:t>
      </w:r>
      <w:r w:rsidRPr="003519B9">
        <w:rPr>
          <w:lang w:val="en-GB"/>
        </w:rPr>
        <w:t xml:space="preserve"> profitability.</w:t>
      </w:r>
    </w:p>
    <w:p w14:paraId="0B45D800" w14:textId="77777777" w:rsidR="004606ED" w:rsidRPr="003519B9" w:rsidRDefault="004606ED" w:rsidP="004606ED">
      <w:pPr>
        <w:pStyle w:val="BodyTextMain"/>
        <w:rPr>
          <w:lang w:val="en-GB"/>
        </w:rPr>
      </w:pPr>
    </w:p>
    <w:p w14:paraId="117C3093" w14:textId="69555B97" w:rsidR="00B1213B" w:rsidRPr="003519B9" w:rsidRDefault="0028127C" w:rsidP="00A5496A">
      <w:pPr>
        <w:pStyle w:val="BodyTextMain"/>
        <w:rPr>
          <w:lang w:val="en-GB"/>
        </w:rPr>
      </w:pPr>
      <w:r w:rsidRPr="003519B9">
        <w:rPr>
          <w:i/>
          <w:lang w:val="en-GB"/>
        </w:rPr>
        <w:t>Interest Rate Risk</w:t>
      </w:r>
      <w:r w:rsidRPr="003519B9">
        <w:rPr>
          <w:lang w:val="en-GB"/>
        </w:rPr>
        <w:t xml:space="preserve">: </w:t>
      </w:r>
      <w:r w:rsidR="00E73301" w:rsidRPr="003519B9">
        <w:rPr>
          <w:lang w:val="en-GB"/>
        </w:rPr>
        <w:t>NBEIL</w:t>
      </w:r>
      <w:r w:rsidR="00D15F5A" w:rsidRPr="003519B9">
        <w:rPr>
          <w:lang w:val="en-GB"/>
        </w:rPr>
        <w:t xml:space="preserve"> </w:t>
      </w:r>
      <w:r w:rsidRPr="003519B9">
        <w:rPr>
          <w:lang w:val="en-GB"/>
        </w:rPr>
        <w:t xml:space="preserve">might face interest rate risk </w:t>
      </w:r>
      <w:r w:rsidR="00B80A45" w:rsidRPr="003519B9">
        <w:rPr>
          <w:lang w:val="en-GB"/>
        </w:rPr>
        <w:t>since</w:t>
      </w:r>
      <w:r w:rsidR="003149FB" w:rsidRPr="003519B9">
        <w:rPr>
          <w:lang w:val="en-GB"/>
        </w:rPr>
        <w:t xml:space="preserve"> </w:t>
      </w:r>
      <w:r w:rsidR="00B80A45" w:rsidRPr="003519B9">
        <w:rPr>
          <w:lang w:val="en-GB"/>
        </w:rPr>
        <w:t xml:space="preserve">a floating interest rate had been proposed for the </w:t>
      </w:r>
      <w:r w:rsidR="00D66B14" w:rsidRPr="003519B9">
        <w:rPr>
          <w:lang w:val="en-GB"/>
        </w:rPr>
        <w:t>term loan</w:t>
      </w:r>
      <w:r w:rsidRPr="003519B9">
        <w:rPr>
          <w:lang w:val="en-GB"/>
        </w:rPr>
        <w:t xml:space="preserve"> of </w:t>
      </w:r>
      <w:r w:rsidRPr="003519B9">
        <w:rPr>
          <w:rFonts w:ascii="Tahoma" w:hAnsi="Tahoma" w:cs="Tahoma"/>
          <w:sz w:val="20"/>
          <w:szCs w:val="20"/>
          <w:lang w:val="en-GB"/>
        </w:rPr>
        <w:t>₹</w:t>
      </w:r>
      <w:r w:rsidRPr="003519B9">
        <w:rPr>
          <w:lang w:val="en-GB"/>
        </w:rPr>
        <w:t xml:space="preserve">9.70 </w:t>
      </w:r>
      <w:r w:rsidRPr="003519B9">
        <w:rPr>
          <w:rFonts w:eastAsia="Calibri"/>
          <w:lang w:val="en-GB"/>
        </w:rPr>
        <w:t>billion</w:t>
      </w:r>
      <w:r w:rsidRPr="003519B9">
        <w:rPr>
          <w:lang w:val="en-GB"/>
        </w:rPr>
        <w:t xml:space="preserve"> (with a long te</w:t>
      </w:r>
      <w:r w:rsidR="00B80A45" w:rsidRPr="003519B9">
        <w:rPr>
          <w:lang w:val="en-GB"/>
        </w:rPr>
        <w:t>rm</w:t>
      </w:r>
      <w:r w:rsidRPr="003519B9">
        <w:rPr>
          <w:lang w:val="en-GB"/>
        </w:rPr>
        <w:t xml:space="preserve"> of 12 years)</w:t>
      </w:r>
      <w:r w:rsidR="00B80A45" w:rsidRPr="003519B9">
        <w:rPr>
          <w:lang w:val="en-GB"/>
        </w:rPr>
        <w:t>.</w:t>
      </w:r>
    </w:p>
    <w:p w14:paraId="64603032" w14:textId="77777777" w:rsidR="004606ED" w:rsidRPr="003519B9" w:rsidRDefault="004606ED" w:rsidP="004606ED">
      <w:pPr>
        <w:pStyle w:val="ListParagraph"/>
        <w:rPr>
          <w:lang w:val="en-GB"/>
        </w:rPr>
      </w:pPr>
    </w:p>
    <w:p w14:paraId="5925E23A" w14:textId="77777777" w:rsidR="00B1213B" w:rsidRPr="003519B9" w:rsidRDefault="0028127C" w:rsidP="00A5496A">
      <w:pPr>
        <w:pStyle w:val="BodyTextMain"/>
        <w:rPr>
          <w:lang w:val="en-GB"/>
        </w:rPr>
      </w:pPr>
      <w:r w:rsidRPr="003519B9">
        <w:rPr>
          <w:i/>
          <w:lang w:val="en-GB"/>
        </w:rPr>
        <w:t>Regulatory Risk</w:t>
      </w:r>
      <w:r w:rsidRPr="003519B9">
        <w:rPr>
          <w:lang w:val="en-GB"/>
        </w:rPr>
        <w:t xml:space="preserve">: </w:t>
      </w:r>
      <w:r w:rsidR="00B80A45" w:rsidRPr="003519B9">
        <w:rPr>
          <w:lang w:val="en-GB"/>
        </w:rPr>
        <w:t>Since</w:t>
      </w:r>
      <w:r w:rsidRPr="003519B9">
        <w:rPr>
          <w:lang w:val="en-GB"/>
        </w:rPr>
        <w:t xml:space="preserve"> the power sector was regulated by the </w:t>
      </w:r>
      <w:r w:rsidR="00B80A45" w:rsidRPr="003519B9">
        <w:rPr>
          <w:lang w:val="en-GB"/>
        </w:rPr>
        <w:t>G</w:t>
      </w:r>
      <w:r w:rsidRPr="003519B9">
        <w:rPr>
          <w:lang w:val="en-GB"/>
        </w:rPr>
        <w:t xml:space="preserve">overnment of India, </w:t>
      </w:r>
      <w:r w:rsidR="00B80A45" w:rsidRPr="003519B9">
        <w:rPr>
          <w:lang w:val="en-GB"/>
        </w:rPr>
        <w:t>in the future, NBVL’s power</w:t>
      </w:r>
      <w:r w:rsidRPr="003519B9">
        <w:rPr>
          <w:lang w:val="en-GB"/>
        </w:rPr>
        <w:t xml:space="preserve"> projects might face </w:t>
      </w:r>
      <w:r w:rsidR="00B80A45" w:rsidRPr="003519B9">
        <w:rPr>
          <w:lang w:val="en-GB"/>
        </w:rPr>
        <w:t xml:space="preserve">certain </w:t>
      </w:r>
      <w:r w:rsidRPr="003519B9">
        <w:rPr>
          <w:lang w:val="en-GB"/>
        </w:rPr>
        <w:t xml:space="preserve">restrictions </w:t>
      </w:r>
      <w:r w:rsidR="00B80A45" w:rsidRPr="003519B9">
        <w:rPr>
          <w:lang w:val="en-GB"/>
        </w:rPr>
        <w:t xml:space="preserve">(e.g., </w:t>
      </w:r>
      <w:r w:rsidRPr="003519B9">
        <w:rPr>
          <w:lang w:val="en-GB"/>
        </w:rPr>
        <w:t>trading of power, pricing, coal mining</w:t>
      </w:r>
      <w:r w:rsidR="00B80A45" w:rsidRPr="003519B9">
        <w:rPr>
          <w:lang w:val="en-GB"/>
        </w:rPr>
        <w:t>).</w:t>
      </w:r>
    </w:p>
    <w:p w14:paraId="1D64B2C6" w14:textId="77777777" w:rsidR="004606ED" w:rsidRPr="003519B9" w:rsidRDefault="004606ED" w:rsidP="004606ED">
      <w:pPr>
        <w:pStyle w:val="BodyTextMain"/>
        <w:rPr>
          <w:lang w:val="en-GB"/>
        </w:rPr>
      </w:pPr>
    </w:p>
    <w:p w14:paraId="3B2B1864" w14:textId="69786D8D" w:rsidR="00B1213B" w:rsidRPr="003519B9" w:rsidRDefault="0028127C" w:rsidP="00A5496A">
      <w:pPr>
        <w:pStyle w:val="BodyTextMain"/>
        <w:rPr>
          <w:lang w:val="en-GB"/>
        </w:rPr>
      </w:pPr>
      <w:r w:rsidRPr="003519B9">
        <w:rPr>
          <w:i/>
          <w:lang w:val="en-GB"/>
        </w:rPr>
        <w:t>Force Majeure Risk</w:t>
      </w:r>
      <w:r w:rsidRPr="003519B9">
        <w:rPr>
          <w:lang w:val="en-GB"/>
        </w:rPr>
        <w:t>: The project might face</w:t>
      </w:r>
      <w:r w:rsidR="00E73301" w:rsidRPr="003519B9">
        <w:rPr>
          <w:lang w:val="en-GB"/>
        </w:rPr>
        <w:t xml:space="preserve"> a risk of</w:t>
      </w:r>
      <w:r w:rsidR="003149FB" w:rsidRPr="003519B9">
        <w:rPr>
          <w:lang w:val="en-GB"/>
        </w:rPr>
        <w:t xml:space="preserve"> </w:t>
      </w:r>
      <w:r w:rsidR="00B1213B" w:rsidRPr="003519B9">
        <w:rPr>
          <w:i/>
          <w:lang w:val="en-GB"/>
        </w:rPr>
        <w:t>force majeure</w:t>
      </w:r>
      <w:r w:rsidR="003149FB" w:rsidRPr="003519B9">
        <w:rPr>
          <w:i/>
          <w:lang w:val="en-GB"/>
        </w:rPr>
        <w:t xml:space="preserve"> </w:t>
      </w:r>
      <w:r w:rsidR="00BB274D" w:rsidRPr="003519B9">
        <w:rPr>
          <w:lang w:val="en-GB"/>
        </w:rPr>
        <w:t xml:space="preserve">(i.e., a chance occurrence or unavoidable accident) </w:t>
      </w:r>
      <w:r w:rsidRPr="003519B9">
        <w:rPr>
          <w:lang w:val="en-GB"/>
        </w:rPr>
        <w:t>in terms of the earthquake, floods</w:t>
      </w:r>
      <w:r w:rsidR="00F37B45" w:rsidRPr="003519B9">
        <w:rPr>
          <w:lang w:val="en-GB"/>
        </w:rPr>
        <w:t>,</w:t>
      </w:r>
      <w:r w:rsidRPr="003519B9">
        <w:rPr>
          <w:lang w:val="en-GB"/>
        </w:rPr>
        <w:t xml:space="preserve"> and other natural disasters</w:t>
      </w:r>
      <w:r w:rsidR="00B80A45" w:rsidRPr="003519B9">
        <w:rPr>
          <w:lang w:val="en-GB"/>
        </w:rPr>
        <w:t>,</w:t>
      </w:r>
      <w:r w:rsidRPr="003519B9">
        <w:rPr>
          <w:lang w:val="en-GB"/>
        </w:rPr>
        <w:t xml:space="preserve"> apart from terrorist attacks. Hence, the </w:t>
      </w:r>
      <w:r w:rsidR="00E73301" w:rsidRPr="003519B9">
        <w:rPr>
          <w:lang w:val="en-GB"/>
        </w:rPr>
        <w:t xml:space="preserve">owners </w:t>
      </w:r>
      <w:r w:rsidR="00F37B45" w:rsidRPr="003519B9">
        <w:rPr>
          <w:lang w:val="en-GB"/>
        </w:rPr>
        <w:t>and</w:t>
      </w:r>
      <w:r w:rsidRPr="003519B9">
        <w:rPr>
          <w:lang w:val="en-GB"/>
        </w:rPr>
        <w:t xml:space="preserve"> lenders of the projects might be at risk in </w:t>
      </w:r>
      <w:r w:rsidR="00F37B45" w:rsidRPr="003519B9">
        <w:rPr>
          <w:lang w:val="en-GB"/>
        </w:rPr>
        <w:t xml:space="preserve">the </w:t>
      </w:r>
      <w:r w:rsidR="00B80A45" w:rsidRPr="003519B9">
        <w:rPr>
          <w:lang w:val="en-GB"/>
        </w:rPr>
        <w:t xml:space="preserve">event of such occurrences. </w:t>
      </w:r>
    </w:p>
    <w:p w14:paraId="7F539296" w14:textId="77777777" w:rsidR="0028127C" w:rsidRPr="003519B9" w:rsidRDefault="0028127C" w:rsidP="00A5496A">
      <w:pPr>
        <w:pStyle w:val="BodyTextMain"/>
        <w:rPr>
          <w:lang w:val="en-GB"/>
        </w:rPr>
      </w:pPr>
    </w:p>
    <w:p w14:paraId="442B71AA" w14:textId="77777777" w:rsidR="003F34FF" w:rsidRPr="003519B9" w:rsidRDefault="003F34FF" w:rsidP="00A5496A">
      <w:pPr>
        <w:pStyle w:val="BodyTextMain"/>
        <w:rPr>
          <w:lang w:val="en-GB"/>
        </w:rPr>
      </w:pPr>
    </w:p>
    <w:p w14:paraId="51B45342" w14:textId="77777777" w:rsidR="003F34FF" w:rsidRPr="003519B9" w:rsidRDefault="00B1213B" w:rsidP="00242175">
      <w:pPr>
        <w:pStyle w:val="BodyTextMain"/>
        <w:rPr>
          <w:rFonts w:ascii="Arial" w:hAnsi="Arial" w:cs="Arial"/>
          <w:b/>
          <w:sz w:val="20"/>
          <w:szCs w:val="20"/>
          <w:lang w:val="en-GB"/>
        </w:rPr>
      </w:pPr>
      <w:r w:rsidRPr="003519B9">
        <w:rPr>
          <w:rFonts w:ascii="Arial" w:hAnsi="Arial" w:cs="Arial"/>
          <w:b/>
          <w:sz w:val="20"/>
          <w:szCs w:val="20"/>
          <w:lang w:val="en-GB"/>
        </w:rPr>
        <w:t>DECISION</w:t>
      </w:r>
    </w:p>
    <w:p w14:paraId="0DEAF647" w14:textId="77777777" w:rsidR="003F34FF" w:rsidRPr="003519B9" w:rsidRDefault="003F34FF" w:rsidP="00242175">
      <w:pPr>
        <w:pStyle w:val="BodyTextMain"/>
        <w:rPr>
          <w:lang w:val="en-GB"/>
        </w:rPr>
      </w:pPr>
    </w:p>
    <w:p w14:paraId="09F6B978" w14:textId="5B17A3C7" w:rsidR="00E73301" w:rsidRPr="003519B9" w:rsidRDefault="00B56D66" w:rsidP="00242175">
      <w:pPr>
        <w:pStyle w:val="BodyTextMain"/>
        <w:rPr>
          <w:lang w:val="en-GB"/>
        </w:rPr>
      </w:pPr>
      <w:r w:rsidRPr="003519B9">
        <w:rPr>
          <w:lang w:val="en-GB"/>
        </w:rPr>
        <w:t xml:space="preserve">The financing for NBVL’s thermal power </w:t>
      </w:r>
      <w:r w:rsidR="0028127C" w:rsidRPr="003519B9">
        <w:rPr>
          <w:lang w:val="en-GB"/>
        </w:rPr>
        <w:t>project would involve certain costs from the borrowers’ point of view</w:t>
      </w:r>
      <w:r w:rsidRPr="003519B9">
        <w:rPr>
          <w:lang w:val="en-GB"/>
        </w:rPr>
        <w:t>. U</w:t>
      </w:r>
      <w:r w:rsidR="0028127C" w:rsidRPr="003519B9">
        <w:rPr>
          <w:lang w:val="en-GB"/>
        </w:rPr>
        <w:t xml:space="preserve">nlike corporate financing, project financing </w:t>
      </w:r>
      <w:r w:rsidRPr="003519B9">
        <w:rPr>
          <w:lang w:val="en-GB"/>
        </w:rPr>
        <w:t>could</w:t>
      </w:r>
      <w:r w:rsidR="0028127C" w:rsidRPr="003519B9">
        <w:rPr>
          <w:lang w:val="en-GB"/>
        </w:rPr>
        <w:t xml:space="preserve"> be relatively complex in structure (sponsors, SPV, lenders, fuel suppliers, power purchasers, government), costly (fee to be paid to arrangers, engineers, legal consultants), and time</w:t>
      </w:r>
      <w:r w:rsidRPr="003519B9">
        <w:rPr>
          <w:lang w:val="en-GB"/>
        </w:rPr>
        <w:t>-</w:t>
      </w:r>
      <w:r w:rsidR="0028127C" w:rsidRPr="003519B9">
        <w:rPr>
          <w:lang w:val="en-GB"/>
        </w:rPr>
        <w:t xml:space="preserve">consuming (structuring the project finance, signing the contractual agreements, syndicating the </w:t>
      </w:r>
      <w:r w:rsidRPr="003519B9">
        <w:rPr>
          <w:lang w:val="en-GB"/>
        </w:rPr>
        <w:t>term loan</w:t>
      </w:r>
      <w:r w:rsidR="0028127C" w:rsidRPr="003519B9">
        <w:rPr>
          <w:lang w:val="en-GB"/>
        </w:rPr>
        <w:t xml:space="preserve">). Further, the proposal </w:t>
      </w:r>
      <w:r w:rsidRPr="003519B9">
        <w:rPr>
          <w:lang w:val="en-GB"/>
        </w:rPr>
        <w:t>would have</w:t>
      </w:r>
      <w:r w:rsidR="0028127C" w:rsidRPr="003519B9">
        <w:rPr>
          <w:lang w:val="en-GB"/>
        </w:rPr>
        <w:t xml:space="preserve"> to be evaluated not only from the </w:t>
      </w:r>
      <w:r w:rsidRPr="003519B9">
        <w:rPr>
          <w:lang w:val="en-GB"/>
        </w:rPr>
        <w:t>stand</w:t>
      </w:r>
      <w:r w:rsidR="0028127C" w:rsidRPr="003519B9">
        <w:rPr>
          <w:lang w:val="en-GB"/>
        </w:rPr>
        <w:t xml:space="preserve">point of </w:t>
      </w:r>
      <w:r w:rsidRPr="003519B9">
        <w:rPr>
          <w:lang w:val="en-GB"/>
        </w:rPr>
        <w:t xml:space="preserve">the </w:t>
      </w:r>
      <w:r w:rsidR="0028127C" w:rsidRPr="003519B9">
        <w:rPr>
          <w:lang w:val="en-GB"/>
        </w:rPr>
        <w:t>above</w:t>
      </w:r>
      <w:r w:rsidRPr="003519B9">
        <w:rPr>
          <w:lang w:val="en-GB"/>
        </w:rPr>
        <w:t>-stated</w:t>
      </w:r>
      <w:r w:rsidR="003149FB" w:rsidRPr="003519B9">
        <w:rPr>
          <w:lang w:val="en-GB"/>
        </w:rPr>
        <w:t xml:space="preserve"> </w:t>
      </w:r>
      <w:r w:rsidR="00E73301" w:rsidRPr="003519B9">
        <w:rPr>
          <w:lang w:val="en-GB"/>
        </w:rPr>
        <w:t xml:space="preserve">factors for </w:t>
      </w:r>
      <w:r w:rsidRPr="003519B9">
        <w:rPr>
          <w:lang w:val="en-GB"/>
        </w:rPr>
        <w:t xml:space="preserve">risk potential </w:t>
      </w:r>
      <w:r w:rsidR="0028127C" w:rsidRPr="003519B9">
        <w:rPr>
          <w:lang w:val="en-GB"/>
        </w:rPr>
        <w:t xml:space="preserve">but also </w:t>
      </w:r>
      <w:r w:rsidRPr="003519B9">
        <w:rPr>
          <w:lang w:val="en-GB"/>
        </w:rPr>
        <w:t>in terms of the banks’</w:t>
      </w:r>
      <w:r w:rsidR="0028127C" w:rsidRPr="003519B9">
        <w:rPr>
          <w:lang w:val="en-GB"/>
        </w:rPr>
        <w:t xml:space="preserve"> general sanction norms (see </w:t>
      </w:r>
      <w:r w:rsidR="00B1213B" w:rsidRPr="003519B9">
        <w:rPr>
          <w:lang w:val="en-GB"/>
        </w:rPr>
        <w:t>Exhibit 7</w:t>
      </w:r>
      <w:r w:rsidR="0028127C" w:rsidRPr="003519B9">
        <w:rPr>
          <w:lang w:val="en-GB"/>
        </w:rPr>
        <w:t>) with regard to syndication of the project</w:t>
      </w:r>
      <w:r w:rsidRPr="003519B9">
        <w:rPr>
          <w:lang w:val="en-GB"/>
        </w:rPr>
        <w:t>’s</w:t>
      </w:r>
      <w:r w:rsidR="0028127C" w:rsidRPr="003519B9">
        <w:rPr>
          <w:lang w:val="en-GB"/>
        </w:rPr>
        <w:t xml:space="preserve"> financ</w:t>
      </w:r>
      <w:r w:rsidRPr="003519B9">
        <w:rPr>
          <w:lang w:val="en-GB"/>
        </w:rPr>
        <w:t>ing</w:t>
      </w:r>
      <w:r w:rsidR="0028127C" w:rsidRPr="003519B9">
        <w:rPr>
          <w:lang w:val="en-GB"/>
        </w:rPr>
        <w:t xml:space="preserve">. </w:t>
      </w:r>
    </w:p>
    <w:p w14:paraId="5935E27F" w14:textId="77777777" w:rsidR="00E73301" w:rsidRPr="003519B9" w:rsidRDefault="00E73301" w:rsidP="00242175">
      <w:pPr>
        <w:pStyle w:val="BodyTextMain"/>
        <w:rPr>
          <w:lang w:val="en-GB"/>
        </w:rPr>
      </w:pPr>
    </w:p>
    <w:p w14:paraId="033EFAEE" w14:textId="70E32950" w:rsidR="0028127C" w:rsidRPr="003519B9" w:rsidRDefault="00B56D66" w:rsidP="00242175">
      <w:pPr>
        <w:pStyle w:val="BodyTextMain"/>
        <w:rPr>
          <w:lang w:val="en-GB"/>
        </w:rPr>
      </w:pPr>
      <w:r w:rsidRPr="003519B9">
        <w:rPr>
          <w:lang w:val="en-GB"/>
        </w:rPr>
        <w:t>Given all these considerations, d</w:t>
      </w:r>
      <w:r w:rsidR="00B76993" w:rsidRPr="003519B9">
        <w:rPr>
          <w:lang w:val="en-GB"/>
        </w:rPr>
        <w:t>id</w:t>
      </w:r>
      <w:r w:rsidR="0028127C" w:rsidRPr="003519B9">
        <w:rPr>
          <w:lang w:val="en-GB"/>
        </w:rPr>
        <w:t xml:space="preserve"> the coal-fired </w:t>
      </w:r>
      <w:r w:rsidR="00B1213B" w:rsidRPr="003519B9">
        <w:rPr>
          <w:lang w:val="en-GB"/>
        </w:rPr>
        <w:t>thermal power</w:t>
      </w:r>
      <w:r w:rsidR="003149FB" w:rsidRPr="003519B9">
        <w:rPr>
          <w:lang w:val="en-GB"/>
        </w:rPr>
        <w:t xml:space="preserve"> </w:t>
      </w:r>
      <w:r w:rsidR="0028127C" w:rsidRPr="003519B9">
        <w:rPr>
          <w:lang w:val="en-GB"/>
        </w:rPr>
        <w:t xml:space="preserve">plants offer a good investment </w:t>
      </w:r>
      <w:r w:rsidR="003149FB" w:rsidRPr="003519B9">
        <w:rPr>
          <w:lang w:val="en-GB"/>
        </w:rPr>
        <w:t xml:space="preserve">vehicle </w:t>
      </w:r>
      <w:r w:rsidR="00F76606">
        <w:rPr>
          <w:lang w:val="en-GB"/>
        </w:rPr>
        <w:t>f</w:t>
      </w:r>
      <w:r w:rsidR="0028127C" w:rsidRPr="003519B9">
        <w:rPr>
          <w:lang w:val="en-GB"/>
        </w:rPr>
        <w:t>or the lenders?</w:t>
      </w:r>
    </w:p>
    <w:p w14:paraId="222D394E" w14:textId="77777777" w:rsidR="0028127C" w:rsidRPr="003519B9" w:rsidRDefault="0028127C">
      <w:pPr>
        <w:spacing w:after="200" w:line="276" w:lineRule="auto"/>
        <w:rPr>
          <w:rFonts w:ascii="Arial" w:hAnsi="Arial" w:cs="Arial"/>
          <w:sz w:val="17"/>
          <w:szCs w:val="17"/>
          <w:lang w:val="en-GB"/>
        </w:rPr>
      </w:pPr>
      <w:r w:rsidRPr="003519B9">
        <w:rPr>
          <w:lang w:val="en-GB"/>
        </w:rPr>
        <w:br w:type="page"/>
      </w:r>
    </w:p>
    <w:p w14:paraId="3BFC2BB2" w14:textId="77777777" w:rsidR="0028127C" w:rsidRPr="003519B9" w:rsidRDefault="00B1213B" w:rsidP="00242175">
      <w:pPr>
        <w:pStyle w:val="ExhibitHeading"/>
        <w:rPr>
          <w:lang w:val="en-GB"/>
        </w:rPr>
      </w:pPr>
      <w:r w:rsidRPr="003519B9">
        <w:rPr>
          <w:lang w:val="en-GB"/>
        </w:rPr>
        <w:lastRenderedPageBreak/>
        <w:t>Exhibit</w:t>
      </w:r>
      <w:r w:rsidR="0028127C" w:rsidRPr="003519B9">
        <w:rPr>
          <w:lang w:val="en-GB"/>
        </w:rPr>
        <w:t xml:space="preserve"> 1: </w:t>
      </w:r>
      <w:r w:rsidR="00C86F73" w:rsidRPr="003519B9">
        <w:rPr>
          <w:lang w:val="en-GB"/>
        </w:rPr>
        <w:t xml:space="preserve">Nava Bharat Ventures LImited’s </w:t>
      </w:r>
      <w:r w:rsidR="0028127C" w:rsidRPr="003519B9">
        <w:rPr>
          <w:lang w:val="en-GB"/>
        </w:rPr>
        <w:t>MANUFACTURING FACILITIES</w:t>
      </w:r>
    </w:p>
    <w:p w14:paraId="54252BA5" w14:textId="77777777" w:rsidR="0028127C" w:rsidRPr="003519B9" w:rsidRDefault="0028127C" w:rsidP="00242175">
      <w:pPr>
        <w:jc w:val="center"/>
        <w:rPr>
          <w:b/>
          <w:sz w:val="18"/>
          <w:lang w:val="en-GB"/>
        </w:rPr>
      </w:pPr>
    </w:p>
    <w:tbl>
      <w:tblPr>
        <w:tblW w:w="8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3095"/>
        <w:gridCol w:w="2970"/>
      </w:tblGrid>
      <w:tr w:rsidR="0028127C" w:rsidRPr="003519B9" w14:paraId="6CE3D045" w14:textId="77777777" w:rsidTr="007419D3">
        <w:trPr>
          <w:jc w:val="center"/>
        </w:trPr>
        <w:tc>
          <w:tcPr>
            <w:tcW w:w="2660" w:type="dxa"/>
            <w:tcBorders>
              <w:top w:val="single" w:sz="4" w:space="0" w:color="auto"/>
              <w:left w:val="single" w:sz="4" w:space="0" w:color="auto"/>
              <w:bottom w:val="single" w:sz="4" w:space="0" w:color="auto"/>
              <w:right w:val="single" w:sz="4" w:space="0" w:color="auto"/>
            </w:tcBorders>
            <w:hideMark/>
          </w:tcPr>
          <w:p w14:paraId="31084CEE" w14:textId="77777777" w:rsidR="0028127C" w:rsidRPr="003519B9" w:rsidRDefault="0028127C" w:rsidP="006D5C35">
            <w:pPr>
              <w:pStyle w:val="ExhibitText"/>
              <w:jc w:val="center"/>
              <w:rPr>
                <w:b/>
                <w:lang w:val="en-GB"/>
              </w:rPr>
            </w:pPr>
            <w:r w:rsidRPr="003519B9">
              <w:rPr>
                <w:b/>
                <w:lang w:val="en-GB"/>
              </w:rPr>
              <w:t>Manufacturing Facility</w:t>
            </w:r>
          </w:p>
        </w:tc>
        <w:tc>
          <w:tcPr>
            <w:tcW w:w="3095" w:type="dxa"/>
            <w:tcBorders>
              <w:top w:val="single" w:sz="4" w:space="0" w:color="auto"/>
              <w:left w:val="single" w:sz="4" w:space="0" w:color="auto"/>
              <w:bottom w:val="single" w:sz="4" w:space="0" w:color="auto"/>
              <w:right w:val="single" w:sz="4" w:space="0" w:color="auto"/>
            </w:tcBorders>
            <w:hideMark/>
          </w:tcPr>
          <w:p w14:paraId="267C2732" w14:textId="77777777" w:rsidR="0028127C" w:rsidRPr="003519B9" w:rsidRDefault="0028127C" w:rsidP="006D5C35">
            <w:pPr>
              <w:pStyle w:val="ExhibitText"/>
              <w:jc w:val="center"/>
              <w:rPr>
                <w:b/>
                <w:lang w:val="en-GB"/>
              </w:rPr>
            </w:pPr>
            <w:r w:rsidRPr="003519B9">
              <w:rPr>
                <w:b/>
                <w:lang w:val="en-GB"/>
              </w:rPr>
              <w:t>Installed Capacity</w:t>
            </w:r>
          </w:p>
        </w:tc>
        <w:tc>
          <w:tcPr>
            <w:tcW w:w="2970" w:type="dxa"/>
            <w:tcBorders>
              <w:top w:val="single" w:sz="4" w:space="0" w:color="auto"/>
              <w:left w:val="single" w:sz="4" w:space="0" w:color="auto"/>
              <w:bottom w:val="single" w:sz="4" w:space="0" w:color="auto"/>
              <w:right w:val="single" w:sz="4" w:space="0" w:color="auto"/>
            </w:tcBorders>
            <w:hideMark/>
          </w:tcPr>
          <w:p w14:paraId="03F86FC0" w14:textId="77777777" w:rsidR="0028127C" w:rsidRPr="003519B9" w:rsidRDefault="0028127C" w:rsidP="006D5C35">
            <w:pPr>
              <w:pStyle w:val="ExhibitText"/>
              <w:jc w:val="center"/>
              <w:rPr>
                <w:b/>
                <w:lang w:val="en-GB"/>
              </w:rPr>
            </w:pPr>
            <w:r w:rsidRPr="003519B9">
              <w:rPr>
                <w:b/>
                <w:lang w:val="en-GB"/>
              </w:rPr>
              <w:t>Location</w:t>
            </w:r>
          </w:p>
        </w:tc>
      </w:tr>
      <w:tr w:rsidR="0028127C" w:rsidRPr="003519B9" w14:paraId="27A9ADD9" w14:textId="77777777" w:rsidTr="007419D3">
        <w:trPr>
          <w:jc w:val="center"/>
        </w:trPr>
        <w:tc>
          <w:tcPr>
            <w:tcW w:w="2660" w:type="dxa"/>
            <w:tcBorders>
              <w:top w:val="single" w:sz="4" w:space="0" w:color="auto"/>
              <w:left w:val="single" w:sz="4" w:space="0" w:color="auto"/>
              <w:bottom w:val="single" w:sz="4" w:space="0" w:color="auto"/>
              <w:right w:val="single" w:sz="4" w:space="0" w:color="auto"/>
            </w:tcBorders>
            <w:hideMark/>
          </w:tcPr>
          <w:p w14:paraId="7AB9D7C1" w14:textId="77777777" w:rsidR="0028127C" w:rsidRPr="003519B9" w:rsidRDefault="0028127C" w:rsidP="006D5C35">
            <w:pPr>
              <w:pStyle w:val="ExhibitText"/>
              <w:rPr>
                <w:lang w:val="en-GB"/>
              </w:rPr>
            </w:pPr>
            <w:r w:rsidRPr="003519B9">
              <w:rPr>
                <w:lang w:val="en-GB"/>
              </w:rPr>
              <w:t>Ferro alloys</w:t>
            </w:r>
          </w:p>
        </w:tc>
        <w:tc>
          <w:tcPr>
            <w:tcW w:w="3095" w:type="dxa"/>
            <w:tcBorders>
              <w:top w:val="single" w:sz="4" w:space="0" w:color="auto"/>
              <w:left w:val="single" w:sz="4" w:space="0" w:color="auto"/>
              <w:bottom w:val="single" w:sz="4" w:space="0" w:color="auto"/>
              <w:right w:val="single" w:sz="4" w:space="0" w:color="auto"/>
            </w:tcBorders>
            <w:hideMark/>
          </w:tcPr>
          <w:p w14:paraId="46970E82" w14:textId="77777777" w:rsidR="0028127C" w:rsidRPr="003519B9" w:rsidRDefault="0028127C" w:rsidP="006D5C35">
            <w:pPr>
              <w:pStyle w:val="ExhibitText"/>
              <w:rPr>
                <w:lang w:val="en-GB"/>
              </w:rPr>
            </w:pPr>
            <w:r w:rsidRPr="003519B9">
              <w:rPr>
                <w:lang w:val="en-GB"/>
              </w:rPr>
              <w:t>200,000 tonnes per annum</w:t>
            </w:r>
          </w:p>
        </w:tc>
        <w:tc>
          <w:tcPr>
            <w:tcW w:w="2970" w:type="dxa"/>
            <w:tcBorders>
              <w:top w:val="single" w:sz="4" w:space="0" w:color="auto"/>
              <w:left w:val="single" w:sz="4" w:space="0" w:color="auto"/>
              <w:bottom w:val="single" w:sz="4" w:space="0" w:color="auto"/>
              <w:right w:val="single" w:sz="4" w:space="0" w:color="auto"/>
            </w:tcBorders>
            <w:hideMark/>
          </w:tcPr>
          <w:p w14:paraId="2C1473C2" w14:textId="77777777" w:rsidR="0028127C" w:rsidRPr="003519B9" w:rsidRDefault="0028127C" w:rsidP="006D5C35">
            <w:pPr>
              <w:pStyle w:val="ExhibitText"/>
              <w:rPr>
                <w:lang w:val="en-GB"/>
              </w:rPr>
            </w:pPr>
            <w:r w:rsidRPr="003519B9">
              <w:rPr>
                <w:lang w:val="en-GB"/>
              </w:rPr>
              <w:t>Orissa and Andhra Pradesh</w:t>
            </w:r>
          </w:p>
        </w:tc>
      </w:tr>
      <w:tr w:rsidR="0028127C" w:rsidRPr="003519B9" w14:paraId="0FC7E0E5" w14:textId="77777777" w:rsidTr="007419D3">
        <w:trPr>
          <w:jc w:val="center"/>
        </w:trPr>
        <w:tc>
          <w:tcPr>
            <w:tcW w:w="2660" w:type="dxa"/>
            <w:tcBorders>
              <w:top w:val="single" w:sz="4" w:space="0" w:color="auto"/>
              <w:left w:val="single" w:sz="4" w:space="0" w:color="auto"/>
              <w:bottom w:val="single" w:sz="4" w:space="0" w:color="auto"/>
              <w:right w:val="single" w:sz="4" w:space="0" w:color="auto"/>
            </w:tcBorders>
            <w:hideMark/>
          </w:tcPr>
          <w:p w14:paraId="337F258A" w14:textId="77777777" w:rsidR="0028127C" w:rsidRPr="003519B9" w:rsidRDefault="0028127C" w:rsidP="006D5C35">
            <w:pPr>
              <w:pStyle w:val="ExhibitText"/>
              <w:rPr>
                <w:lang w:val="en-GB"/>
              </w:rPr>
            </w:pPr>
            <w:r w:rsidRPr="003519B9">
              <w:rPr>
                <w:lang w:val="en-GB"/>
              </w:rPr>
              <w:t>Sugar</w:t>
            </w:r>
          </w:p>
        </w:tc>
        <w:tc>
          <w:tcPr>
            <w:tcW w:w="3095" w:type="dxa"/>
            <w:tcBorders>
              <w:top w:val="single" w:sz="4" w:space="0" w:color="auto"/>
              <w:left w:val="single" w:sz="4" w:space="0" w:color="auto"/>
              <w:bottom w:val="single" w:sz="4" w:space="0" w:color="auto"/>
              <w:right w:val="single" w:sz="4" w:space="0" w:color="auto"/>
            </w:tcBorders>
            <w:hideMark/>
          </w:tcPr>
          <w:p w14:paraId="2FCFF274" w14:textId="77777777" w:rsidR="0028127C" w:rsidRPr="003519B9" w:rsidRDefault="0028127C" w:rsidP="006D5C35">
            <w:pPr>
              <w:pStyle w:val="ExhibitText"/>
              <w:rPr>
                <w:lang w:val="en-GB"/>
              </w:rPr>
            </w:pPr>
            <w:r w:rsidRPr="003519B9">
              <w:rPr>
                <w:lang w:val="en-GB"/>
              </w:rPr>
              <w:t>4,000 tonnes of sugar cane crushing per day</w:t>
            </w:r>
          </w:p>
        </w:tc>
        <w:tc>
          <w:tcPr>
            <w:tcW w:w="2970" w:type="dxa"/>
            <w:tcBorders>
              <w:top w:val="single" w:sz="4" w:space="0" w:color="auto"/>
              <w:left w:val="single" w:sz="4" w:space="0" w:color="auto"/>
              <w:bottom w:val="single" w:sz="4" w:space="0" w:color="auto"/>
              <w:right w:val="single" w:sz="4" w:space="0" w:color="auto"/>
            </w:tcBorders>
            <w:hideMark/>
          </w:tcPr>
          <w:p w14:paraId="57952561" w14:textId="77777777" w:rsidR="0028127C" w:rsidRPr="003519B9" w:rsidRDefault="0028127C" w:rsidP="006D5C35">
            <w:pPr>
              <w:pStyle w:val="ExhibitText"/>
              <w:rPr>
                <w:lang w:val="en-GB"/>
              </w:rPr>
            </w:pPr>
            <w:r w:rsidRPr="003519B9">
              <w:rPr>
                <w:lang w:val="en-GB"/>
              </w:rPr>
              <w:t>Andhra Pradesh</w:t>
            </w:r>
          </w:p>
        </w:tc>
      </w:tr>
      <w:tr w:rsidR="0028127C" w:rsidRPr="003519B9" w14:paraId="42BC721E" w14:textId="77777777" w:rsidTr="007419D3">
        <w:trPr>
          <w:jc w:val="center"/>
        </w:trPr>
        <w:tc>
          <w:tcPr>
            <w:tcW w:w="2660" w:type="dxa"/>
            <w:tcBorders>
              <w:top w:val="single" w:sz="4" w:space="0" w:color="auto"/>
              <w:left w:val="single" w:sz="4" w:space="0" w:color="auto"/>
              <w:bottom w:val="single" w:sz="4" w:space="0" w:color="auto"/>
              <w:right w:val="single" w:sz="4" w:space="0" w:color="auto"/>
            </w:tcBorders>
            <w:hideMark/>
          </w:tcPr>
          <w:p w14:paraId="020B5ED4" w14:textId="77777777" w:rsidR="0028127C" w:rsidRPr="003519B9" w:rsidRDefault="0028127C" w:rsidP="006D5C35">
            <w:pPr>
              <w:pStyle w:val="ExhibitText"/>
              <w:rPr>
                <w:lang w:val="en-GB"/>
              </w:rPr>
            </w:pPr>
            <w:r w:rsidRPr="003519B9">
              <w:rPr>
                <w:lang w:val="en-GB"/>
              </w:rPr>
              <w:t xml:space="preserve">Power </w:t>
            </w:r>
          </w:p>
        </w:tc>
        <w:tc>
          <w:tcPr>
            <w:tcW w:w="3095" w:type="dxa"/>
            <w:tcBorders>
              <w:top w:val="single" w:sz="4" w:space="0" w:color="auto"/>
              <w:left w:val="single" w:sz="4" w:space="0" w:color="auto"/>
              <w:bottom w:val="single" w:sz="4" w:space="0" w:color="auto"/>
              <w:right w:val="single" w:sz="4" w:space="0" w:color="auto"/>
            </w:tcBorders>
            <w:hideMark/>
          </w:tcPr>
          <w:p w14:paraId="09418FE2" w14:textId="77777777" w:rsidR="0028127C" w:rsidRPr="003519B9" w:rsidRDefault="0028127C" w:rsidP="006D5C35">
            <w:pPr>
              <w:pStyle w:val="ExhibitText"/>
              <w:rPr>
                <w:lang w:val="en-GB"/>
              </w:rPr>
            </w:pPr>
            <w:r w:rsidRPr="003519B9">
              <w:rPr>
                <w:lang w:val="en-GB"/>
              </w:rPr>
              <w:t>301 MW</w:t>
            </w:r>
          </w:p>
        </w:tc>
        <w:tc>
          <w:tcPr>
            <w:tcW w:w="2970" w:type="dxa"/>
            <w:tcBorders>
              <w:top w:val="single" w:sz="4" w:space="0" w:color="auto"/>
              <w:left w:val="single" w:sz="4" w:space="0" w:color="auto"/>
              <w:bottom w:val="single" w:sz="4" w:space="0" w:color="auto"/>
              <w:right w:val="single" w:sz="4" w:space="0" w:color="auto"/>
            </w:tcBorders>
            <w:hideMark/>
          </w:tcPr>
          <w:p w14:paraId="333992AB" w14:textId="77777777" w:rsidR="0028127C" w:rsidRPr="003519B9" w:rsidRDefault="0028127C" w:rsidP="006D5C35">
            <w:pPr>
              <w:pStyle w:val="ExhibitText"/>
              <w:rPr>
                <w:lang w:val="en-GB"/>
              </w:rPr>
            </w:pPr>
            <w:r w:rsidRPr="003519B9">
              <w:rPr>
                <w:lang w:val="en-GB"/>
              </w:rPr>
              <w:t>Orissa and Andhra Pradesh</w:t>
            </w:r>
          </w:p>
        </w:tc>
      </w:tr>
    </w:tbl>
    <w:p w14:paraId="5272C8D8" w14:textId="77777777" w:rsidR="0028127C" w:rsidRPr="003519B9" w:rsidRDefault="0028127C" w:rsidP="00242175">
      <w:pPr>
        <w:rPr>
          <w:i/>
          <w:sz w:val="22"/>
          <w:szCs w:val="22"/>
          <w:lang w:val="en-GB"/>
        </w:rPr>
      </w:pPr>
    </w:p>
    <w:p w14:paraId="188FE3D5" w14:textId="77777777" w:rsidR="0028127C" w:rsidRPr="003519B9" w:rsidRDefault="0028127C" w:rsidP="00242175">
      <w:pPr>
        <w:pStyle w:val="Footnote"/>
        <w:rPr>
          <w:lang w:val="en-GB"/>
        </w:rPr>
      </w:pPr>
      <w:r w:rsidRPr="003519B9">
        <w:rPr>
          <w:lang w:val="en-GB"/>
        </w:rPr>
        <w:t>Source: Company documents</w:t>
      </w:r>
      <w:r w:rsidR="00CC79B5" w:rsidRPr="003519B9">
        <w:rPr>
          <w:lang w:val="en-GB"/>
        </w:rPr>
        <w:t>.</w:t>
      </w:r>
    </w:p>
    <w:p w14:paraId="6324224A" w14:textId="77777777" w:rsidR="0028127C" w:rsidRPr="003519B9" w:rsidRDefault="0028127C" w:rsidP="00242175">
      <w:pPr>
        <w:rPr>
          <w:lang w:val="en-GB"/>
        </w:rPr>
      </w:pPr>
    </w:p>
    <w:p w14:paraId="7C446EC2" w14:textId="77777777" w:rsidR="0028127C" w:rsidRPr="003519B9" w:rsidRDefault="0028127C" w:rsidP="00242175">
      <w:pPr>
        <w:rPr>
          <w:lang w:val="en-GB"/>
        </w:rPr>
      </w:pPr>
    </w:p>
    <w:p w14:paraId="685A0EAC" w14:textId="77777777" w:rsidR="0028127C" w:rsidRPr="003519B9" w:rsidRDefault="00B1213B" w:rsidP="00242175">
      <w:pPr>
        <w:pStyle w:val="ExhibitHeading"/>
        <w:rPr>
          <w:lang w:val="en-GB"/>
        </w:rPr>
      </w:pPr>
      <w:r w:rsidRPr="003519B9">
        <w:rPr>
          <w:lang w:val="en-GB"/>
        </w:rPr>
        <w:t>Exhibit</w:t>
      </w:r>
      <w:r w:rsidR="0028127C" w:rsidRPr="003519B9">
        <w:rPr>
          <w:lang w:val="en-GB"/>
        </w:rPr>
        <w:t xml:space="preserve"> 2: ENERGY STATUS IN INDIA</w:t>
      </w:r>
    </w:p>
    <w:p w14:paraId="61F1C29C" w14:textId="77777777" w:rsidR="0028127C" w:rsidRPr="003519B9" w:rsidRDefault="0028127C" w:rsidP="00242175">
      <w:pPr>
        <w:pStyle w:val="ExhibitHeading"/>
        <w:rPr>
          <w:lang w:val="en-GB"/>
        </w:rPr>
      </w:pP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7"/>
        <w:gridCol w:w="1265"/>
        <w:gridCol w:w="1265"/>
        <w:gridCol w:w="1265"/>
        <w:gridCol w:w="1265"/>
        <w:gridCol w:w="1265"/>
        <w:gridCol w:w="1502"/>
      </w:tblGrid>
      <w:tr w:rsidR="0028127C" w:rsidRPr="003519B9" w14:paraId="51EF85F9" w14:textId="77777777" w:rsidTr="006D5C35">
        <w:trPr>
          <w:cantSplit/>
          <w:tblHeader/>
          <w:jc w:val="center"/>
        </w:trPr>
        <w:tc>
          <w:tcPr>
            <w:tcW w:w="1597" w:type="dxa"/>
            <w:vMerge w:val="restart"/>
            <w:tcBorders>
              <w:top w:val="single" w:sz="4" w:space="0" w:color="auto"/>
              <w:left w:val="single" w:sz="4" w:space="0" w:color="auto"/>
              <w:bottom w:val="single" w:sz="4" w:space="0" w:color="auto"/>
              <w:right w:val="single" w:sz="4" w:space="0" w:color="auto"/>
            </w:tcBorders>
            <w:hideMark/>
          </w:tcPr>
          <w:p w14:paraId="12C3CA9E" w14:textId="77777777" w:rsidR="0028127C" w:rsidRPr="003519B9" w:rsidRDefault="0028127C" w:rsidP="006D5C35">
            <w:pPr>
              <w:pStyle w:val="ExhibitText"/>
              <w:jc w:val="center"/>
              <w:rPr>
                <w:b/>
                <w:sz w:val="24"/>
                <w:lang w:val="en-GB"/>
              </w:rPr>
            </w:pPr>
            <w:r w:rsidRPr="003519B9">
              <w:rPr>
                <w:b/>
                <w:lang w:val="en-GB"/>
              </w:rPr>
              <w:t>Region</w:t>
            </w:r>
          </w:p>
        </w:tc>
        <w:tc>
          <w:tcPr>
            <w:tcW w:w="3795" w:type="dxa"/>
            <w:gridSpan w:val="3"/>
            <w:tcBorders>
              <w:top w:val="single" w:sz="4" w:space="0" w:color="auto"/>
              <w:left w:val="single" w:sz="4" w:space="0" w:color="auto"/>
              <w:bottom w:val="single" w:sz="4" w:space="0" w:color="auto"/>
              <w:right w:val="single" w:sz="4" w:space="0" w:color="auto"/>
            </w:tcBorders>
            <w:vAlign w:val="center"/>
            <w:hideMark/>
          </w:tcPr>
          <w:p w14:paraId="7C40D11B" w14:textId="77777777" w:rsidR="0028127C" w:rsidRPr="003519B9" w:rsidRDefault="0028127C" w:rsidP="006D5C35">
            <w:pPr>
              <w:pStyle w:val="ExhibitText"/>
              <w:jc w:val="center"/>
              <w:rPr>
                <w:b/>
                <w:lang w:val="en-GB"/>
              </w:rPr>
            </w:pPr>
            <w:r w:rsidRPr="003519B9">
              <w:rPr>
                <w:b/>
                <w:lang w:val="en-GB"/>
              </w:rPr>
              <w:t>Peak Load (MW)</w:t>
            </w:r>
          </w:p>
        </w:tc>
        <w:tc>
          <w:tcPr>
            <w:tcW w:w="4032" w:type="dxa"/>
            <w:gridSpan w:val="3"/>
            <w:tcBorders>
              <w:top w:val="single" w:sz="4" w:space="0" w:color="auto"/>
              <w:left w:val="single" w:sz="4" w:space="0" w:color="auto"/>
              <w:bottom w:val="single" w:sz="4" w:space="0" w:color="auto"/>
              <w:right w:val="single" w:sz="4" w:space="0" w:color="auto"/>
            </w:tcBorders>
            <w:vAlign w:val="center"/>
            <w:hideMark/>
          </w:tcPr>
          <w:p w14:paraId="5DA30479" w14:textId="77777777" w:rsidR="0028127C" w:rsidRPr="003519B9" w:rsidRDefault="0028127C" w:rsidP="00C35D44">
            <w:pPr>
              <w:pStyle w:val="ExhibitText"/>
              <w:jc w:val="center"/>
              <w:rPr>
                <w:b/>
                <w:lang w:val="en-GB"/>
              </w:rPr>
            </w:pPr>
            <w:r w:rsidRPr="003519B9">
              <w:rPr>
                <w:b/>
                <w:lang w:val="en-GB"/>
              </w:rPr>
              <w:t>Energy Requirement (</w:t>
            </w:r>
            <w:r w:rsidR="00C35D44" w:rsidRPr="003519B9">
              <w:rPr>
                <w:b/>
                <w:lang w:val="en-GB"/>
              </w:rPr>
              <w:t>m</w:t>
            </w:r>
            <w:r w:rsidRPr="003519B9">
              <w:rPr>
                <w:b/>
                <w:lang w:val="en-GB"/>
              </w:rPr>
              <w:t xml:space="preserve">illion </w:t>
            </w:r>
            <w:r w:rsidR="00C35D44" w:rsidRPr="003519B9">
              <w:rPr>
                <w:b/>
                <w:lang w:val="en-GB"/>
              </w:rPr>
              <w:t>u</w:t>
            </w:r>
            <w:r w:rsidRPr="003519B9">
              <w:rPr>
                <w:b/>
                <w:lang w:val="en-GB"/>
              </w:rPr>
              <w:t>nits)</w:t>
            </w:r>
          </w:p>
        </w:tc>
      </w:tr>
      <w:tr w:rsidR="0028127C" w:rsidRPr="003519B9" w14:paraId="01B5EA88" w14:textId="77777777" w:rsidTr="006D5C35">
        <w:trPr>
          <w:cantSplit/>
          <w:tblHeader/>
          <w:jc w:val="center"/>
        </w:trPr>
        <w:tc>
          <w:tcPr>
            <w:tcW w:w="1597" w:type="dxa"/>
            <w:vMerge/>
            <w:tcBorders>
              <w:top w:val="single" w:sz="4" w:space="0" w:color="auto"/>
              <w:left w:val="single" w:sz="4" w:space="0" w:color="auto"/>
              <w:bottom w:val="single" w:sz="4" w:space="0" w:color="auto"/>
              <w:right w:val="single" w:sz="4" w:space="0" w:color="auto"/>
            </w:tcBorders>
            <w:vAlign w:val="center"/>
            <w:hideMark/>
          </w:tcPr>
          <w:p w14:paraId="6CF39080" w14:textId="77777777" w:rsidR="0028127C" w:rsidRPr="003519B9" w:rsidRDefault="0028127C" w:rsidP="006D5C35">
            <w:pPr>
              <w:pStyle w:val="ExhibitText"/>
              <w:jc w:val="center"/>
              <w:rPr>
                <w:rFonts w:ascii="Times New Roman" w:hAnsi="Times New Roman"/>
                <w:b/>
                <w:sz w:val="24"/>
                <w:lang w:val="en-GB"/>
              </w:rPr>
            </w:pPr>
          </w:p>
        </w:tc>
        <w:tc>
          <w:tcPr>
            <w:tcW w:w="1265" w:type="dxa"/>
            <w:tcBorders>
              <w:top w:val="single" w:sz="4" w:space="0" w:color="auto"/>
              <w:left w:val="single" w:sz="4" w:space="0" w:color="auto"/>
              <w:bottom w:val="single" w:sz="4" w:space="0" w:color="auto"/>
              <w:right w:val="single" w:sz="4" w:space="0" w:color="auto"/>
            </w:tcBorders>
            <w:vAlign w:val="center"/>
            <w:hideMark/>
          </w:tcPr>
          <w:p w14:paraId="56FB5FAE" w14:textId="2FA5C463" w:rsidR="0028127C" w:rsidRPr="003519B9" w:rsidRDefault="0028127C" w:rsidP="009542DB">
            <w:pPr>
              <w:pStyle w:val="ExhibitText"/>
              <w:jc w:val="center"/>
              <w:rPr>
                <w:b/>
                <w:lang w:val="en-GB"/>
              </w:rPr>
            </w:pPr>
            <w:r w:rsidRPr="003519B9">
              <w:rPr>
                <w:b/>
                <w:lang w:val="en-GB"/>
              </w:rPr>
              <w:t>2011</w:t>
            </w:r>
            <w:r w:rsidR="00E932C7" w:rsidRPr="003519B9">
              <w:rPr>
                <w:b/>
                <w:lang w:val="en-GB"/>
              </w:rPr>
              <w:t>–</w:t>
            </w:r>
            <w:r w:rsidRPr="003519B9">
              <w:rPr>
                <w:b/>
                <w:lang w:val="en-GB"/>
              </w:rPr>
              <w:t>12</w:t>
            </w:r>
          </w:p>
        </w:tc>
        <w:tc>
          <w:tcPr>
            <w:tcW w:w="1265" w:type="dxa"/>
            <w:tcBorders>
              <w:top w:val="single" w:sz="4" w:space="0" w:color="auto"/>
              <w:left w:val="single" w:sz="4" w:space="0" w:color="auto"/>
              <w:bottom w:val="single" w:sz="4" w:space="0" w:color="auto"/>
              <w:right w:val="single" w:sz="4" w:space="0" w:color="auto"/>
            </w:tcBorders>
            <w:vAlign w:val="center"/>
            <w:hideMark/>
          </w:tcPr>
          <w:p w14:paraId="049286AF" w14:textId="056BD6EC" w:rsidR="0028127C" w:rsidRPr="003519B9" w:rsidRDefault="0028127C" w:rsidP="00687282">
            <w:pPr>
              <w:pStyle w:val="ExhibitText"/>
              <w:jc w:val="center"/>
              <w:rPr>
                <w:b/>
                <w:lang w:val="en-GB"/>
              </w:rPr>
            </w:pPr>
            <w:r w:rsidRPr="003519B9">
              <w:rPr>
                <w:b/>
                <w:lang w:val="en-GB"/>
              </w:rPr>
              <w:t>2016</w:t>
            </w:r>
            <w:r w:rsidR="00E932C7" w:rsidRPr="003519B9">
              <w:rPr>
                <w:b/>
                <w:lang w:val="en-GB"/>
              </w:rPr>
              <w:t>–</w:t>
            </w:r>
            <w:r w:rsidRPr="003519B9">
              <w:rPr>
                <w:b/>
                <w:lang w:val="en-GB"/>
              </w:rPr>
              <w:t>17</w:t>
            </w:r>
          </w:p>
        </w:tc>
        <w:tc>
          <w:tcPr>
            <w:tcW w:w="1265" w:type="dxa"/>
            <w:tcBorders>
              <w:top w:val="single" w:sz="4" w:space="0" w:color="auto"/>
              <w:left w:val="single" w:sz="4" w:space="0" w:color="auto"/>
              <w:bottom w:val="single" w:sz="4" w:space="0" w:color="auto"/>
              <w:right w:val="single" w:sz="4" w:space="0" w:color="auto"/>
            </w:tcBorders>
            <w:vAlign w:val="center"/>
            <w:hideMark/>
          </w:tcPr>
          <w:p w14:paraId="04458D58" w14:textId="1520BDC1" w:rsidR="0028127C" w:rsidRPr="003519B9" w:rsidRDefault="0028127C">
            <w:pPr>
              <w:pStyle w:val="ExhibitText"/>
              <w:jc w:val="center"/>
              <w:rPr>
                <w:b/>
                <w:lang w:val="en-GB"/>
              </w:rPr>
            </w:pPr>
            <w:r w:rsidRPr="003519B9">
              <w:rPr>
                <w:b/>
                <w:lang w:val="en-GB"/>
              </w:rPr>
              <w:t>2021</w:t>
            </w:r>
            <w:r w:rsidR="00E932C7" w:rsidRPr="003519B9">
              <w:rPr>
                <w:b/>
                <w:lang w:val="en-GB"/>
              </w:rPr>
              <w:t>–</w:t>
            </w:r>
            <w:r w:rsidRPr="003519B9">
              <w:rPr>
                <w:b/>
                <w:lang w:val="en-GB"/>
              </w:rPr>
              <w:t>22</w:t>
            </w:r>
          </w:p>
        </w:tc>
        <w:tc>
          <w:tcPr>
            <w:tcW w:w="1265" w:type="dxa"/>
            <w:tcBorders>
              <w:top w:val="single" w:sz="4" w:space="0" w:color="auto"/>
              <w:left w:val="single" w:sz="4" w:space="0" w:color="auto"/>
              <w:bottom w:val="single" w:sz="4" w:space="0" w:color="auto"/>
              <w:right w:val="single" w:sz="4" w:space="0" w:color="auto"/>
            </w:tcBorders>
            <w:vAlign w:val="center"/>
            <w:hideMark/>
          </w:tcPr>
          <w:p w14:paraId="7B4C0B0F" w14:textId="241C5A6D" w:rsidR="0028127C" w:rsidRPr="003519B9" w:rsidRDefault="0028127C">
            <w:pPr>
              <w:pStyle w:val="ExhibitText"/>
              <w:jc w:val="center"/>
              <w:rPr>
                <w:b/>
                <w:lang w:val="en-GB"/>
              </w:rPr>
            </w:pPr>
            <w:r w:rsidRPr="003519B9">
              <w:rPr>
                <w:b/>
                <w:lang w:val="en-GB"/>
              </w:rPr>
              <w:t>2011</w:t>
            </w:r>
            <w:r w:rsidR="00E932C7" w:rsidRPr="003519B9">
              <w:rPr>
                <w:b/>
                <w:lang w:val="en-GB"/>
              </w:rPr>
              <w:t>–</w:t>
            </w:r>
            <w:r w:rsidRPr="003519B9">
              <w:rPr>
                <w:b/>
                <w:lang w:val="en-GB"/>
              </w:rPr>
              <w:t>12</w:t>
            </w:r>
          </w:p>
        </w:tc>
        <w:tc>
          <w:tcPr>
            <w:tcW w:w="1265" w:type="dxa"/>
            <w:tcBorders>
              <w:top w:val="single" w:sz="4" w:space="0" w:color="auto"/>
              <w:left w:val="single" w:sz="4" w:space="0" w:color="auto"/>
              <w:bottom w:val="single" w:sz="4" w:space="0" w:color="auto"/>
              <w:right w:val="single" w:sz="4" w:space="0" w:color="auto"/>
            </w:tcBorders>
            <w:vAlign w:val="center"/>
            <w:hideMark/>
          </w:tcPr>
          <w:p w14:paraId="2F513117" w14:textId="6EC5BBBF" w:rsidR="0028127C" w:rsidRPr="003519B9" w:rsidRDefault="0028127C">
            <w:pPr>
              <w:pStyle w:val="ExhibitText"/>
              <w:jc w:val="center"/>
              <w:rPr>
                <w:b/>
                <w:lang w:val="en-GB"/>
              </w:rPr>
            </w:pPr>
            <w:r w:rsidRPr="003519B9">
              <w:rPr>
                <w:b/>
                <w:lang w:val="en-GB"/>
              </w:rPr>
              <w:t>2016</w:t>
            </w:r>
            <w:r w:rsidR="00E932C7" w:rsidRPr="003519B9">
              <w:rPr>
                <w:b/>
                <w:lang w:val="en-GB"/>
              </w:rPr>
              <w:t>–</w:t>
            </w:r>
            <w:r w:rsidRPr="003519B9">
              <w:rPr>
                <w:b/>
                <w:lang w:val="en-GB"/>
              </w:rPr>
              <w:t>17</w:t>
            </w:r>
          </w:p>
        </w:tc>
        <w:tc>
          <w:tcPr>
            <w:tcW w:w="1502" w:type="dxa"/>
            <w:tcBorders>
              <w:top w:val="single" w:sz="4" w:space="0" w:color="auto"/>
              <w:left w:val="single" w:sz="4" w:space="0" w:color="auto"/>
              <w:bottom w:val="single" w:sz="4" w:space="0" w:color="auto"/>
              <w:right w:val="single" w:sz="4" w:space="0" w:color="auto"/>
            </w:tcBorders>
            <w:vAlign w:val="center"/>
            <w:hideMark/>
          </w:tcPr>
          <w:p w14:paraId="58D515E5" w14:textId="32C07869" w:rsidR="0028127C" w:rsidRPr="003519B9" w:rsidRDefault="0028127C">
            <w:pPr>
              <w:pStyle w:val="ExhibitText"/>
              <w:jc w:val="center"/>
              <w:rPr>
                <w:b/>
                <w:lang w:val="en-GB"/>
              </w:rPr>
            </w:pPr>
            <w:r w:rsidRPr="003519B9">
              <w:rPr>
                <w:b/>
                <w:lang w:val="en-GB"/>
              </w:rPr>
              <w:t>2021</w:t>
            </w:r>
            <w:r w:rsidR="00E932C7" w:rsidRPr="003519B9">
              <w:rPr>
                <w:b/>
                <w:lang w:val="en-GB"/>
              </w:rPr>
              <w:t>–</w:t>
            </w:r>
            <w:r w:rsidRPr="003519B9">
              <w:rPr>
                <w:b/>
                <w:lang w:val="en-GB"/>
              </w:rPr>
              <w:t>22</w:t>
            </w:r>
          </w:p>
        </w:tc>
      </w:tr>
      <w:tr w:rsidR="0028127C" w:rsidRPr="003519B9" w14:paraId="5AA28073" w14:textId="77777777" w:rsidTr="006D5C35">
        <w:trPr>
          <w:jc w:val="center"/>
        </w:trPr>
        <w:tc>
          <w:tcPr>
            <w:tcW w:w="1597" w:type="dxa"/>
            <w:tcBorders>
              <w:top w:val="single" w:sz="4" w:space="0" w:color="auto"/>
              <w:left w:val="single" w:sz="4" w:space="0" w:color="auto"/>
              <w:bottom w:val="single" w:sz="4" w:space="0" w:color="auto"/>
              <w:right w:val="single" w:sz="4" w:space="0" w:color="auto"/>
            </w:tcBorders>
            <w:hideMark/>
          </w:tcPr>
          <w:p w14:paraId="3AF30BF1" w14:textId="77777777" w:rsidR="0028127C" w:rsidRPr="003519B9" w:rsidRDefault="0028127C" w:rsidP="006D5C35">
            <w:pPr>
              <w:pStyle w:val="ExhibitText"/>
              <w:rPr>
                <w:lang w:val="en-GB"/>
              </w:rPr>
            </w:pPr>
            <w:r w:rsidRPr="003519B9">
              <w:rPr>
                <w:lang w:val="en-GB"/>
              </w:rPr>
              <w:t>Northern</w:t>
            </w:r>
          </w:p>
        </w:tc>
        <w:tc>
          <w:tcPr>
            <w:tcW w:w="1265" w:type="dxa"/>
            <w:tcBorders>
              <w:top w:val="single" w:sz="4" w:space="0" w:color="auto"/>
              <w:left w:val="single" w:sz="4" w:space="0" w:color="auto"/>
              <w:bottom w:val="single" w:sz="4" w:space="0" w:color="auto"/>
              <w:right w:val="single" w:sz="4" w:space="0" w:color="auto"/>
            </w:tcBorders>
            <w:vAlign w:val="center"/>
            <w:hideMark/>
          </w:tcPr>
          <w:p w14:paraId="191E00A9" w14:textId="77777777" w:rsidR="0028127C" w:rsidRPr="003519B9" w:rsidRDefault="0028127C" w:rsidP="00610346">
            <w:pPr>
              <w:pStyle w:val="ExhibitText"/>
              <w:jc w:val="right"/>
              <w:rPr>
                <w:lang w:val="en-GB"/>
              </w:rPr>
            </w:pPr>
            <w:r w:rsidRPr="003519B9">
              <w:rPr>
                <w:lang w:val="en-GB"/>
              </w:rPr>
              <w:t>48,137</w:t>
            </w:r>
          </w:p>
        </w:tc>
        <w:tc>
          <w:tcPr>
            <w:tcW w:w="1265" w:type="dxa"/>
            <w:tcBorders>
              <w:top w:val="single" w:sz="4" w:space="0" w:color="auto"/>
              <w:left w:val="single" w:sz="4" w:space="0" w:color="auto"/>
              <w:bottom w:val="single" w:sz="4" w:space="0" w:color="auto"/>
              <w:right w:val="single" w:sz="4" w:space="0" w:color="auto"/>
            </w:tcBorders>
            <w:vAlign w:val="center"/>
            <w:hideMark/>
          </w:tcPr>
          <w:p w14:paraId="2F0C1149" w14:textId="77777777" w:rsidR="0028127C" w:rsidRPr="003519B9" w:rsidRDefault="0028127C" w:rsidP="00610346">
            <w:pPr>
              <w:pStyle w:val="ExhibitText"/>
              <w:jc w:val="right"/>
              <w:rPr>
                <w:lang w:val="en-GB"/>
              </w:rPr>
            </w:pPr>
            <w:r w:rsidRPr="003519B9">
              <w:rPr>
                <w:lang w:val="en-GB"/>
              </w:rPr>
              <w:t>66,583</w:t>
            </w:r>
          </w:p>
        </w:tc>
        <w:tc>
          <w:tcPr>
            <w:tcW w:w="1265" w:type="dxa"/>
            <w:tcBorders>
              <w:top w:val="single" w:sz="4" w:space="0" w:color="auto"/>
              <w:left w:val="single" w:sz="4" w:space="0" w:color="auto"/>
              <w:bottom w:val="single" w:sz="4" w:space="0" w:color="auto"/>
              <w:right w:val="single" w:sz="4" w:space="0" w:color="auto"/>
            </w:tcBorders>
            <w:vAlign w:val="center"/>
            <w:hideMark/>
          </w:tcPr>
          <w:p w14:paraId="7CFFF8B4" w14:textId="77777777" w:rsidR="0028127C" w:rsidRPr="003519B9" w:rsidRDefault="0028127C" w:rsidP="00610346">
            <w:pPr>
              <w:pStyle w:val="ExhibitText"/>
              <w:jc w:val="right"/>
              <w:rPr>
                <w:lang w:val="en-GB"/>
              </w:rPr>
            </w:pPr>
            <w:r w:rsidRPr="003519B9">
              <w:rPr>
                <w:lang w:val="en-GB"/>
              </w:rPr>
              <w:t>89,913</w:t>
            </w:r>
          </w:p>
        </w:tc>
        <w:tc>
          <w:tcPr>
            <w:tcW w:w="1265" w:type="dxa"/>
            <w:tcBorders>
              <w:top w:val="single" w:sz="4" w:space="0" w:color="auto"/>
              <w:left w:val="single" w:sz="4" w:space="0" w:color="auto"/>
              <w:bottom w:val="single" w:sz="4" w:space="0" w:color="auto"/>
              <w:right w:val="single" w:sz="4" w:space="0" w:color="auto"/>
            </w:tcBorders>
            <w:vAlign w:val="center"/>
            <w:hideMark/>
          </w:tcPr>
          <w:p w14:paraId="02F513C5" w14:textId="77777777" w:rsidR="0028127C" w:rsidRPr="003519B9" w:rsidRDefault="00B1213B" w:rsidP="00DA3073">
            <w:pPr>
              <w:pStyle w:val="ExhibitText"/>
              <w:jc w:val="right"/>
              <w:rPr>
                <w:lang w:val="en-GB"/>
              </w:rPr>
            </w:pPr>
            <w:r w:rsidRPr="003519B9">
              <w:rPr>
                <w:lang w:val="en-GB"/>
              </w:rPr>
              <w:t>294,841</w:t>
            </w:r>
          </w:p>
        </w:tc>
        <w:tc>
          <w:tcPr>
            <w:tcW w:w="1265" w:type="dxa"/>
            <w:tcBorders>
              <w:top w:val="single" w:sz="4" w:space="0" w:color="auto"/>
              <w:left w:val="single" w:sz="4" w:space="0" w:color="auto"/>
              <w:bottom w:val="single" w:sz="4" w:space="0" w:color="auto"/>
              <w:right w:val="single" w:sz="4" w:space="0" w:color="auto"/>
            </w:tcBorders>
            <w:vAlign w:val="center"/>
            <w:hideMark/>
          </w:tcPr>
          <w:p w14:paraId="0F042225" w14:textId="77777777" w:rsidR="0028127C" w:rsidRPr="003519B9" w:rsidRDefault="00B1213B" w:rsidP="00DA3073">
            <w:pPr>
              <w:pStyle w:val="ExhibitText"/>
              <w:jc w:val="right"/>
              <w:rPr>
                <w:lang w:val="en-GB"/>
              </w:rPr>
            </w:pPr>
            <w:r w:rsidRPr="003519B9">
              <w:rPr>
                <w:lang w:val="en-GB"/>
              </w:rPr>
              <w:t>411,513</w:t>
            </w:r>
          </w:p>
        </w:tc>
        <w:tc>
          <w:tcPr>
            <w:tcW w:w="1502" w:type="dxa"/>
            <w:tcBorders>
              <w:top w:val="single" w:sz="4" w:space="0" w:color="auto"/>
              <w:left w:val="single" w:sz="4" w:space="0" w:color="auto"/>
              <w:bottom w:val="single" w:sz="4" w:space="0" w:color="auto"/>
              <w:right w:val="single" w:sz="4" w:space="0" w:color="auto"/>
            </w:tcBorders>
            <w:vAlign w:val="center"/>
            <w:hideMark/>
          </w:tcPr>
          <w:p w14:paraId="2C9E940D" w14:textId="77777777" w:rsidR="0028127C" w:rsidRPr="003519B9" w:rsidRDefault="00B1213B" w:rsidP="00DA3073">
            <w:pPr>
              <w:pStyle w:val="ExhibitText"/>
              <w:jc w:val="right"/>
              <w:rPr>
                <w:lang w:val="en-GB"/>
              </w:rPr>
            </w:pPr>
            <w:r w:rsidRPr="003519B9">
              <w:rPr>
                <w:lang w:val="en-GB"/>
              </w:rPr>
              <w:t>556,768</w:t>
            </w:r>
          </w:p>
        </w:tc>
      </w:tr>
      <w:tr w:rsidR="0028127C" w:rsidRPr="003519B9" w14:paraId="544C3074" w14:textId="77777777" w:rsidTr="006D5C35">
        <w:trPr>
          <w:jc w:val="center"/>
        </w:trPr>
        <w:tc>
          <w:tcPr>
            <w:tcW w:w="1597" w:type="dxa"/>
            <w:tcBorders>
              <w:top w:val="single" w:sz="4" w:space="0" w:color="auto"/>
              <w:left w:val="single" w:sz="4" w:space="0" w:color="auto"/>
              <w:bottom w:val="single" w:sz="4" w:space="0" w:color="auto"/>
              <w:right w:val="single" w:sz="4" w:space="0" w:color="auto"/>
            </w:tcBorders>
            <w:hideMark/>
          </w:tcPr>
          <w:p w14:paraId="2726B1CB" w14:textId="77777777" w:rsidR="0028127C" w:rsidRPr="003519B9" w:rsidRDefault="0028127C" w:rsidP="006D5C35">
            <w:pPr>
              <w:pStyle w:val="ExhibitText"/>
              <w:rPr>
                <w:lang w:val="en-GB"/>
              </w:rPr>
            </w:pPr>
            <w:r w:rsidRPr="003519B9">
              <w:rPr>
                <w:lang w:val="en-GB"/>
              </w:rPr>
              <w:t xml:space="preserve">Western </w:t>
            </w:r>
          </w:p>
        </w:tc>
        <w:tc>
          <w:tcPr>
            <w:tcW w:w="1265" w:type="dxa"/>
            <w:tcBorders>
              <w:top w:val="single" w:sz="4" w:space="0" w:color="auto"/>
              <w:left w:val="single" w:sz="4" w:space="0" w:color="auto"/>
              <w:bottom w:val="single" w:sz="4" w:space="0" w:color="auto"/>
              <w:right w:val="single" w:sz="4" w:space="0" w:color="auto"/>
            </w:tcBorders>
            <w:vAlign w:val="center"/>
            <w:hideMark/>
          </w:tcPr>
          <w:p w14:paraId="127F6F72" w14:textId="77777777" w:rsidR="0028127C" w:rsidRPr="003519B9" w:rsidRDefault="0028127C" w:rsidP="00610346">
            <w:pPr>
              <w:pStyle w:val="ExhibitText"/>
              <w:jc w:val="right"/>
              <w:rPr>
                <w:lang w:val="en-GB"/>
              </w:rPr>
            </w:pPr>
            <w:r w:rsidRPr="003519B9">
              <w:rPr>
                <w:lang w:val="en-GB"/>
              </w:rPr>
              <w:t>47,108</w:t>
            </w:r>
          </w:p>
        </w:tc>
        <w:tc>
          <w:tcPr>
            <w:tcW w:w="1265" w:type="dxa"/>
            <w:tcBorders>
              <w:top w:val="single" w:sz="4" w:space="0" w:color="auto"/>
              <w:left w:val="single" w:sz="4" w:space="0" w:color="auto"/>
              <w:bottom w:val="single" w:sz="4" w:space="0" w:color="auto"/>
              <w:right w:val="single" w:sz="4" w:space="0" w:color="auto"/>
            </w:tcBorders>
            <w:vAlign w:val="center"/>
            <w:hideMark/>
          </w:tcPr>
          <w:p w14:paraId="3DE332D1" w14:textId="77777777" w:rsidR="0028127C" w:rsidRPr="003519B9" w:rsidRDefault="0028127C" w:rsidP="00610346">
            <w:pPr>
              <w:pStyle w:val="ExhibitText"/>
              <w:jc w:val="right"/>
              <w:rPr>
                <w:lang w:val="en-GB"/>
              </w:rPr>
            </w:pPr>
            <w:r w:rsidRPr="003519B9">
              <w:rPr>
                <w:lang w:val="en-GB"/>
              </w:rPr>
              <w:t>64,349</w:t>
            </w:r>
          </w:p>
        </w:tc>
        <w:tc>
          <w:tcPr>
            <w:tcW w:w="1265" w:type="dxa"/>
            <w:tcBorders>
              <w:top w:val="single" w:sz="4" w:space="0" w:color="auto"/>
              <w:left w:val="single" w:sz="4" w:space="0" w:color="auto"/>
              <w:bottom w:val="single" w:sz="4" w:space="0" w:color="auto"/>
              <w:right w:val="single" w:sz="4" w:space="0" w:color="auto"/>
            </w:tcBorders>
            <w:vAlign w:val="center"/>
            <w:hideMark/>
          </w:tcPr>
          <w:p w14:paraId="502163ED" w14:textId="77777777" w:rsidR="0028127C" w:rsidRPr="003519B9" w:rsidRDefault="0028127C" w:rsidP="00610346">
            <w:pPr>
              <w:pStyle w:val="ExhibitText"/>
              <w:jc w:val="right"/>
              <w:rPr>
                <w:lang w:val="en-GB"/>
              </w:rPr>
            </w:pPr>
            <w:r w:rsidRPr="003519B9">
              <w:rPr>
                <w:lang w:val="en-GB"/>
              </w:rPr>
              <w:t>84,778</w:t>
            </w:r>
          </w:p>
        </w:tc>
        <w:tc>
          <w:tcPr>
            <w:tcW w:w="1265" w:type="dxa"/>
            <w:tcBorders>
              <w:top w:val="single" w:sz="4" w:space="0" w:color="auto"/>
              <w:left w:val="single" w:sz="4" w:space="0" w:color="auto"/>
              <w:bottom w:val="single" w:sz="4" w:space="0" w:color="auto"/>
              <w:right w:val="single" w:sz="4" w:space="0" w:color="auto"/>
            </w:tcBorders>
            <w:vAlign w:val="center"/>
            <w:hideMark/>
          </w:tcPr>
          <w:p w14:paraId="2C03596F" w14:textId="77777777" w:rsidR="0028127C" w:rsidRPr="003519B9" w:rsidRDefault="00B1213B" w:rsidP="00DA3073">
            <w:pPr>
              <w:pStyle w:val="ExhibitText"/>
              <w:jc w:val="right"/>
              <w:rPr>
                <w:lang w:val="en-GB"/>
              </w:rPr>
            </w:pPr>
            <w:r w:rsidRPr="003519B9">
              <w:rPr>
                <w:lang w:val="en-GB"/>
              </w:rPr>
              <w:t>294,860</w:t>
            </w:r>
          </w:p>
        </w:tc>
        <w:tc>
          <w:tcPr>
            <w:tcW w:w="1265" w:type="dxa"/>
            <w:tcBorders>
              <w:top w:val="single" w:sz="4" w:space="0" w:color="auto"/>
              <w:left w:val="single" w:sz="4" w:space="0" w:color="auto"/>
              <w:bottom w:val="single" w:sz="4" w:space="0" w:color="auto"/>
              <w:right w:val="single" w:sz="4" w:space="0" w:color="auto"/>
            </w:tcBorders>
            <w:vAlign w:val="center"/>
            <w:hideMark/>
          </w:tcPr>
          <w:p w14:paraId="178AC51A" w14:textId="77777777" w:rsidR="0028127C" w:rsidRPr="003519B9" w:rsidRDefault="00B1213B" w:rsidP="00DA3073">
            <w:pPr>
              <w:pStyle w:val="ExhibitText"/>
              <w:jc w:val="right"/>
              <w:rPr>
                <w:lang w:val="en-GB"/>
              </w:rPr>
            </w:pPr>
            <w:r w:rsidRPr="003519B9">
              <w:rPr>
                <w:lang w:val="en-GB"/>
              </w:rPr>
              <w:t>409,805</w:t>
            </w:r>
          </w:p>
        </w:tc>
        <w:tc>
          <w:tcPr>
            <w:tcW w:w="1502" w:type="dxa"/>
            <w:tcBorders>
              <w:top w:val="single" w:sz="4" w:space="0" w:color="auto"/>
              <w:left w:val="single" w:sz="4" w:space="0" w:color="auto"/>
              <w:bottom w:val="single" w:sz="4" w:space="0" w:color="auto"/>
              <w:right w:val="single" w:sz="4" w:space="0" w:color="auto"/>
            </w:tcBorders>
            <w:vAlign w:val="center"/>
            <w:hideMark/>
          </w:tcPr>
          <w:p w14:paraId="41B83EC0" w14:textId="77777777" w:rsidR="0028127C" w:rsidRPr="003519B9" w:rsidRDefault="00B1213B" w:rsidP="00DA3073">
            <w:pPr>
              <w:pStyle w:val="ExhibitText"/>
              <w:jc w:val="right"/>
              <w:rPr>
                <w:lang w:val="en-GB"/>
              </w:rPr>
            </w:pPr>
            <w:r w:rsidRPr="003519B9">
              <w:rPr>
                <w:lang w:val="en-GB"/>
              </w:rPr>
              <w:t>550,022</w:t>
            </w:r>
          </w:p>
        </w:tc>
      </w:tr>
      <w:tr w:rsidR="0028127C" w:rsidRPr="003519B9" w14:paraId="470962F7" w14:textId="77777777" w:rsidTr="006D5C35">
        <w:trPr>
          <w:jc w:val="center"/>
        </w:trPr>
        <w:tc>
          <w:tcPr>
            <w:tcW w:w="1597" w:type="dxa"/>
            <w:tcBorders>
              <w:top w:val="single" w:sz="4" w:space="0" w:color="auto"/>
              <w:left w:val="single" w:sz="4" w:space="0" w:color="auto"/>
              <w:bottom w:val="single" w:sz="4" w:space="0" w:color="auto"/>
              <w:right w:val="single" w:sz="4" w:space="0" w:color="auto"/>
            </w:tcBorders>
            <w:hideMark/>
          </w:tcPr>
          <w:p w14:paraId="09EBB0C7" w14:textId="77777777" w:rsidR="0028127C" w:rsidRPr="003519B9" w:rsidRDefault="0028127C" w:rsidP="006D5C35">
            <w:pPr>
              <w:pStyle w:val="ExhibitText"/>
              <w:rPr>
                <w:lang w:val="en-GB"/>
              </w:rPr>
            </w:pPr>
            <w:r w:rsidRPr="003519B9">
              <w:rPr>
                <w:lang w:val="en-GB"/>
              </w:rPr>
              <w:t xml:space="preserve">Southern </w:t>
            </w:r>
          </w:p>
        </w:tc>
        <w:tc>
          <w:tcPr>
            <w:tcW w:w="1265" w:type="dxa"/>
            <w:tcBorders>
              <w:top w:val="single" w:sz="4" w:space="0" w:color="auto"/>
              <w:left w:val="single" w:sz="4" w:space="0" w:color="auto"/>
              <w:bottom w:val="single" w:sz="4" w:space="0" w:color="auto"/>
              <w:right w:val="single" w:sz="4" w:space="0" w:color="auto"/>
            </w:tcBorders>
            <w:vAlign w:val="center"/>
            <w:hideMark/>
          </w:tcPr>
          <w:p w14:paraId="31E98594" w14:textId="77777777" w:rsidR="0028127C" w:rsidRPr="003519B9" w:rsidRDefault="0028127C" w:rsidP="00610346">
            <w:pPr>
              <w:pStyle w:val="ExhibitText"/>
              <w:jc w:val="right"/>
              <w:rPr>
                <w:lang w:val="en-GB"/>
              </w:rPr>
            </w:pPr>
            <w:r w:rsidRPr="003519B9">
              <w:rPr>
                <w:lang w:val="en-GB"/>
              </w:rPr>
              <w:t>40,367</w:t>
            </w:r>
          </w:p>
        </w:tc>
        <w:tc>
          <w:tcPr>
            <w:tcW w:w="1265" w:type="dxa"/>
            <w:tcBorders>
              <w:top w:val="single" w:sz="4" w:space="0" w:color="auto"/>
              <w:left w:val="single" w:sz="4" w:space="0" w:color="auto"/>
              <w:bottom w:val="single" w:sz="4" w:space="0" w:color="auto"/>
              <w:right w:val="single" w:sz="4" w:space="0" w:color="auto"/>
            </w:tcBorders>
            <w:vAlign w:val="center"/>
            <w:hideMark/>
          </w:tcPr>
          <w:p w14:paraId="66B65CF3" w14:textId="77777777" w:rsidR="0028127C" w:rsidRPr="003519B9" w:rsidRDefault="0028127C" w:rsidP="00610346">
            <w:pPr>
              <w:pStyle w:val="ExhibitText"/>
              <w:jc w:val="right"/>
              <w:rPr>
                <w:lang w:val="en-GB"/>
              </w:rPr>
            </w:pPr>
            <w:r w:rsidRPr="003519B9">
              <w:rPr>
                <w:lang w:val="en-GB"/>
              </w:rPr>
              <w:t>60,433</w:t>
            </w:r>
          </w:p>
        </w:tc>
        <w:tc>
          <w:tcPr>
            <w:tcW w:w="1265" w:type="dxa"/>
            <w:tcBorders>
              <w:top w:val="single" w:sz="4" w:space="0" w:color="auto"/>
              <w:left w:val="single" w:sz="4" w:space="0" w:color="auto"/>
              <w:bottom w:val="single" w:sz="4" w:space="0" w:color="auto"/>
              <w:right w:val="single" w:sz="4" w:space="0" w:color="auto"/>
            </w:tcBorders>
            <w:vAlign w:val="center"/>
            <w:hideMark/>
          </w:tcPr>
          <w:p w14:paraId="7D18BC7A" w14:textId="77777777" w:rsidR="0028127C" w:rsidRPr="003519B9" w:rsidRDefault="0028127C" w:rsidP="00610346">
            <w:pPr>
              <w:pStyle w:val="ExhibitText"/>
              <w:jc w:val="right"/>
              <w:rPr>
                <w:lang w:val="en-GB"/>
              </w:rPr>
            </w:pPr>
            <w:r w:rsidRPr="003519B9">
              <w:rPr>
                <w:lang w:val="en-GB"/>
              </w:rPr>
              <w:t>80,485</w:t>
            </w:r>
          </w:p>
        </w:tc>
        <w:tc>
          <w:tcPr>
            <w:tcW w:w="1265" w:type="dxa"/>
            <w:tcBorders>
              <w:top w:val="single" w:sz="4" w:space="0" w:color="auto"/>
              <w:left w:val="single" w:sz="4" w:space="0" w:color="auto"/>
              <w:bottom w:val="single" w:sz="4" w:space="0" w:color="auto"/>
              <w:right w:val="single" w:sz="4" w:space="0" w:color="auto"/>
            </w:tcBorders>
            <w:vAlign w:val="center"/>
            <w:hideMark/>
          </w:tcPr>
          <w:p w14:paraId="39038B3B" w14:textId="77777777" w:rsidR="0028127C" w:rsidRPr="003519B9" w:rsidRDefault="00B1213B" w:rsidP="00DA3073">
            <w:pPr>
              <w:pStyle w:val="ExhibitText"/>
              <w:jc w:val="right"/>
              <w:rPr>
                <w:lang w:val="en-GB"/>
              </w:rPr>
            </w:pPr>
            <w:r w:rsidRPr="003519B9">
              <w:rPr>
                <w:lang w:val="en-GB"/>
              </w:rPr>
              <w:t>253,443</w:t>
            </w:r>
          </w:p>
        </w:tc>
        <w:tc>
          <w:tcPr>
            <w:tcW w:w="1265" w:type="dxa"/>
            <w:tcBorders>
              <w:top w:val="single" w:sz="4" w:space="0" w:color="auto"/>
              <w:left w:val="single" w:sz="4" w:space="0" w:color="auto"/>
              <w:bottom w:val="single" w:sz="4" w:space="0" w:color="auto"/>
              <w:right w:val="single" w:sz="4" w:space="0" w:color="auto"/>
            </w:tcBorders>
            <w:vAlign w:val="center"/>
            <w:hideMark/>
          </w:tcPr>
          <w:p w14:paraId="58013A76" w14:textId="77777777" w:rsidR="0028127C" w:rsidRPr="003519B9" w:rsidRDefault="00B1213B" w:rsidP="00DA3073">
            <w:pPr>
              <w:pStyle w:val="ExhibitText"/>
              <w:jc w:val="right"/>
              <w:rPr>
                <w:lang w:val="en-GB"/>
              </w:rPr>
            </w:pPr>
            <w:r w:rsidRPr="003519B9">
              <w:rPr>
                <w:lang w:val="en-GB"/>
              </w:rPr>
              <w:t>380,068</w:t>
            </w:r>
          </w:p>
        </w:tc>
        <w:tc>
          <w:tcPr>
            <w:tcW w:w="1502" w:type="dxa"/>
            <w:tcBorders>
              <w:top w:val="single" w:sz="4" w:space="0" w:color="auto"/>
              <w:left w:val="single" w:sz="4" w:space="0" w:color="auto"/>
              <w:bottom w:val="single" w:sz="4" w:space="0" w:color="auto"/>
              <w:right w:val="single" w:sz="4" w:space="0" w:color="auto"/>
            </w:tcBorders>
            <w:vAlign w:val="center"/>
            <w:hideMark/>
          </w:tcPr>
          <w:p w14:paraId="422CAD83" w14:textId="77777777" w:rsidR="0028127C" w:rsidRPr="003519B9" w:rsidRDefault="00B1213B" w:rsidP="00DA3073">
            <w:pPr>
              <w:pStyle w:val="ExhibitText"/>
              <w:jc w:val="right"/>
              <w:rPr>
                <w:lang w:val="en-GB"/>
              </w:rPr>
            </w:pPr>
            <w:r w:rsidRPr="003519B9">
              <w:rPr>
                <w:lang w:val="en-GB"/>
              </w:rPr>
              <w:t>511,659</w:t>
            </w:r>
          </w:p>
        </w:tc>
      </w:tr>
      <w:tr w:rsidR="0028127C" w:rsidRPr="003519B9" w14:paraId="1CC9D289" w14:textId="77777777" w:rsidTr="006D5C35">
        <w:trPr>
          <w:jc w:val="center"/>
        </w:trPr>
        <w:tc>
          <w:tcPr>
            <w:tcW w:w="1597" w:type="dxa"/>
            <w:tcBorders>
              <w:top w:val="single" w:sz="4" w:space="0" w:color="auto"/>
              <w:left w:val="single" w:sz="4" w:space="0" w:color="auto"/>
              <w:bottom w:val="single" w:sz="4" w:space="0" w:color="auto"/>
              <w:right w:val="single" w:sz="4" w:space="0" w:color="auto"/>
            </w:tcBorders>
            <w:hideMark/>
          </w:tcPr>
          <w:p w14:paraId="4E26788B" w14:textId="77777777" w:rsidR="0028127C" w:rsidRPr="003519B9" w:rsidRDefault="0028127C" w:rsidP="006D5C35">
            <w:pPr>
              <w:pStyle w:val="ExhibitText"/>
              <w:rPr>
                <w:lang w:val="en-GB"/>
              </w:rPr>
            </w:pPr>
            <w:r w:rsidRPr="003519B9">
              <w:rPr>
                <w:lang w:val="en-GB"/>
              </w:rPr>
              <w:t xml:space="preserve">Eastern </w:t>
            </w:r>
          </w:p>
        </w:tc>
        <w:tc>
          <w:tcPr>
            <w:tcW w:w="1265" w:type="dxa"/>
            <w:tcBorders>
              <w:top w:val="single" w:sz="4" w:space="0" w:color="auto"/>
              <w:left w:val="single" w:sz="4" w:space="0" w:color="auto"/>
              <w:bottom w:val="single" w:sz="4" w:space="0" w:color="auto"/>
              <w:right w:val="single" w:sz="4" w:space="0" w:color="auto"/>
            </w:tcBorders>
            <w:vAlign w:val="center"/>
            <w:hideMark/>
          </w:tcPr>
          <w:p w14:paraId="34EB4C08" w14:textId="77777777" w:rsidR="0028127C" w:rsidRPr="003519B9" w:rsidRDefault="0028127C" w:rsidP="00610346">
            <w:pPr>
              <w:pStyle w:val="ExhibitText"/>
              <w:jc w:val="right"/>
              <w:rPr>
                <w:lang w:val="en-GB"/>
              </w:rPr>
            </w:pPr>
            <w:r w:rsidRPr="003519B9">
              <w:rPr>
                <w:lang w:val="en-GB"/>
              </w:rPr>
              <w:t>19,088</w:t>
            </w:r>
          </w:p>
        </w:tc>
        <w:tc>
          <w:tcPr>
            <w:tcW w:w="1265" w:type="dxa"/>
            <w:tcBorders>
              <w:top w:val="single" w:sz="4" w:space="0" w:color="auto"/>
              <w:left w:val="single" w:sz="4" w:space="0" w:color="auto"/>
              <w:bottom w:val="single" w:sz="4" w:space="0" w:color="auto"/>
              <w:right w:val="single" w:sz="4" w:space="0" w:color="auto"/>
            </w:tcBorders>
            <w:vAlign w:val="center"/>
            <w:hideMark/>
          </w:tcPr>
          <w:p w14:paraId="41D09916" w14:textId="77777777" w:rsidR="0028127C" w:rsidRPr="003519B9" w:rsidRDefault="0028127C" w:rsidP="00610346">
            <w:pPr>
              <w:pStyle w:val="ExhibitText"/>
              <w:jc w:val="right"/>
              <w:rPr>
                <w:lang w:val="en-GB"/>
              </w:rPr>
            </w:pPr>
            <w:r w:rsidRPr="003519B9">
              <w:rPr>
                <w:lang w:val="en-GB"/>
              </w:rPr>
              <w:t>28,401</w:t>
            </w:r>
          </w:p>
        </w:tc>
        <w:tc>
          <w:tcPr>
            <w:tcW w:w="1265" w:type="dxa"/>
            <w:tcBorders>
              <w:top w:val="single" w:sz="4" w:space="0" w:color="auto"/>
              <w:left w:val="single" w:sz="4" w:space="0" w:color="auto"/>
              <w:bottom w:val="single" w:sz="4" w:space="0" w:color="auto"/>
              <w:right w:val="single" w:sz="4" w:space="0" w:color="auto"/>
            </w:tcBorders>
            <w:vAlign w:val="center"/>
            <w:hideMark/>
          </w:tcPr>
          <w:p w14:paraId="7A8DB416" w14:textId="77777777" w:rsidR="0028127C" w:rsidRPr="003519B9" w:rsidRDefault="0028127C" w:rsidP="00610346">
            <w:pPr>
              <w:pStyle w:val="ExhibitText"/>
              <w:jc w:val="right"/>
              <w:rPr>
                <w:lang w:val="en-GB"/>
              </w:rPr>
            </w:pPr>
            <w:r w:rsidRPr="003519B9">
              <w:rPr>
                <w:lang w:val="en-GB"/>
              </w:rPr>
              <w:t>42,712</w:t>
            </w:r>
          </w:p>
        </w:tc>
        <w:tc>
          <w:tcPr>
            <w:tcW w:w="1265" w:type="dxa"/>
            <w:tcBorders>
              <w:top w:val="single" w:sz="4" w:space="0" w:color="auto"/>
              <w:left w:val="single" w:sz="4" w:space="0" w:color="auto"/>
              <w:bottom w:val="single" w:sz="4" w:space="0" w:color="auto"/>
              <w:right w:val="single" w:sz="4" w:space="0" w:color="auto"/>
            </w:tcBorders>
            <w:vAlign w:val="center"/>
            <w:hideMark/>
          </w:tcPr>
          <w:p w14:paraId="29429AB1" w14:textId="77777777" w:rsidR="0028127C" w:rsidRPr="003519B9" w:rsidRDefault="00B1213B" w:rsidP="00DA3073">
            <w:pPr>
              <w:pStyle w:val="ExhibitText"/>
              <w:jc w:val="right"/>
              <w:rPr>
                <w:lang w:val="en-GB"/>
              </w:rPr>
            </w:pPr>
            <w:r w:rsidRPr="003519B9">
              <w:rPr>
                <w:lang w:val="en-GB"/>
              </w:rPr>
              <w:t>111,802</w:t>
            </w:r>
          </w:p>
        </w:tc>
        <w:tc>
          <w:tcPr>
            <w:tcW w:w="1265" w:type="dxa"/>
            <w:tcBorders>
              <w:top w:val="single" w:sz="4" w:space="0" w:color="auto"/>
              <w:left w:val="single" w:sz="4" w:space="0" w:color="auto"/>
              <w:bottom w:val="single" w:sz="4" w:space="0" w:color="auto"/>
              <w:right w:val="single" w:sz="4" w:space="0" w:color="auto"/>
            </w:tcBorders>
            <w:vAlign w:val="center"/>
            <w:hideMark/>
          </w:tcPr>
          <w:p w14:paraId="7B3544F3" w14:textId="77777777" w:rsidR="0028127C" w:rsidRPr="003519B9" w:rsidRDefault="00B1213B" w:rsidP="00DA3073">
            <w:pPr>
              <w:pStyle w:val="ExhibitText"/>
              <w:jc w:val="right"/>
              <w:rPr>
                <w:lang w:val="en-GB"/>
              </w:rPr>
            </w:pPr>
            <w:r w:rsidRPr="003519B9">
              <w:rPr>
                <w:lang w:val="en-GB"/>
              </w:rPr>
              <w:t>168,942</w:t>
            </w:r>
          </w:p>
        </w:tc>
        <w:tc>
          <w:tcPr>
            <w:tcW w:w="1502" w:type="dxa"/>
            <w:tcBorders>
              <w:top w:val="single" w:sz="4" w:space="0" w:color="auto"/>
              <w:left w:val="single" w:sz="4" w:space="0" w:color="auto"/>
              <w:bottom w:val="single" w:sz="4" w:space="0" w:color="auto"/>
              <w:right w:val="single" w:sz="4" w:space="0" w:color="auto"/>
            </w:tcBorders>
            <w:vAlign w:val="center"/>
            <w:hideMark/>
          </w:tcPr>
          <w:p w14:paraId="45A31783" w14:textId="77777777" w:rsidR="0028127C" w:rsidRPr="003519B9" w:rsidRDefault="00B1213B" w:rsidP="00DA3073">
            <w:pPr>
              <w:pStyle w:val="ExhibitText"/>
              <w:jc w:val="right"/>
              <w:rPr>
                <w:lang w:val="en-GB"/>
              </w:rPr>
            </w:pPr>
            <w:r w:rsidRPr="003519B9">
              <w:rPr>
                <w:lang w:val="en-GB"/>
              </w:rPr>
              <w:t>258,216</w:t>
            </w:r>
          </w:p>
        </w:tc>
      </w:tr>
      <w:tr w:rsidR="0028127C" w:rsidRPr="003519B9" w14:paraId="4146C21E" w14:textId="77777777" w:rsidTr="006D5C35">
        <w:trPr>
          <w:jc w:val="center"/>
        </w:trPr>
        <w:tc>
          <w:tcPr>
            <w:tcW w:w="1597" w:type="dxa"/>
            <w:tcBorders>
              <w:top w:val="single" w:sz="4" w:space="0" w:color="auto"/>
              <w:left w:val="single" w:sz="4" w:space="0" w:color="auto"/>
              <w:bottom w:val="single" w:sz="4" w:space="0" w:color="auto"/>
              <w:right w:val="single" w:sz="4" w:space="0" w:color="auto"/>
            </w:tcBorders>
            <w:hideMark/>
          </w:tcPr>
          <w:p w14:paraId="059E925D" w14:textId="77777777" w:rsidR="0028127C" w:rsidRPr="003519B9" w:rsidRDefault="0028127C" w:rsidP="006D5C35">
            <w:pPr>
              <w:pStyle w:val="ExhibitText"/>
              <w:rPr>
                <w:lang w:val="en-GB"/>
              </w:rPr>
            </w:pPr>
            <w:r w:rsidRPr="003519B9">
              <w:rPr>
                <w:lang w:val="en-GB"/>
              </w:rPr>
              <w:t xml:space="preserve">North Eastern </w:t>
            </w:r>
          </w:p>
        </w:tc>
        <w:tc>
          <w:tcPr>
            <w:tcW w:w="1265" w:type="dxa"/>
            <w:tcBorders>
              <w:top w:val="single" w:sz="4" w:space="0" w:color="auto"/>
              <w:left w:val="single" w:sz="4" w:space="0" w:color="auto"/>
              <w:bottom w:val="single" w:sz="4" w:space="0" w:color="auto"/>
              <w:right w:val="single" w:sz="4" w:space="0" w:color="auto"/>
            </w:tcBorders>
            <w:vAlign w:val="center"/>
            <w:hideMark/>
          </w:tcPr>
          <w:p w14:paraId="2F619CEE" w14:textId="77777777" w:rsidR="0028127C" w:rsidRPr="003519B9" w:rsidRDefault="0028127C" w:rsidP="00610346">
            <w:pPr>
              <w:pStyle w:val="ExhibitText"/>
              <w:jc w:val="right"/>
              <w:rPr>
                <w:lang w:val="en-GB"/>
              </w:rPr>
            </w:pPr>
            <w:r w:rsidRPr="003519B9">
              <w:rPr>
                <w:lang w:val="en-GB"/>
              </w:rPr>
              <w:t>2,537</w:t>
            </w:r>
          </w:p>
        </w:tc>
        <w:tc>
          <w:tcPr>
            <w:tcW w:w="1265" w:type="dxa"/>
            <w:tcBorders>
              <w:top w:val="single" w:sz="4" w:space="0" w:color="auto"/>
              <w:left w:val="single" w:sz="4" w:space="0" w:color="auto"/>
              <w:bottom w:val="single" w:sz="4" w:space="0" w:color="auto"/>
              <w:right w:val="single" w:sz="4" w:space="0" w:color="auto"/>
            </w:tcBorders>
            <w:vAlign w:val="center"/>
            <w:hideMark/>
          </w:tcPr>
          <w:p w14:paraId="4ECE1134" w14:textId="77777777" w:rsidR="0028127C" w:rsidRPr="003519B9" w:rsidRDefault="0028127C" w:rsidP="00610346">
            <w:pPr>
              <w:pStyle w:val="ExhibitText"/>
              <w:jc w:val="right"/>
              <w:rPr>
                <w:lang w:val="en-GB"/>
              </w:rPr>
            </w:pPr>
            <w:r w:rsidRPr="003519B9">
              <w:rPr>
                <w:lang w:val="en-GB"/>
              </w:rPr>
              <w:t>3,760</w:t>
            </w:r>
          </w:p>
        </w:tc>
        <w:tc>
          <w:tcPr>
            <w:tcW w:w="1265" w:type="dxa"/>
            <w:tcBorders>
              <w:top w:val="single" w:sz="4" w:space="0" w:color="auto"/>
              <w:left w:val="single" w:sz="4" w:space="0" w:color="auto"/>
              <w:bottom w:val="single" w:sz="4" w:space="0" w:color="auto"/>
              <w:right w:val="single" w:sz="4" w:space="0" w:color="auto"/>
            </w:tcBorders>
            <w:vAlign w:val="center"/>
            <w:hideMark/>
          </w:tcPr>
          <w:p w14:paraId="5276E150" w14:textId="77777777" w:rsidR="0028127C" w:rsidRPr="003519B9" w:rsidRDefault="0028127C" w:rsidP="00610346">
            <w:pPr>
              <w:pStyle w:val="ExhibitText"/>
              <w:jc w:val="right"/>
              <w:rPr>
                <w:lang w:val="en-GB"/>
              </w:rPr>
            </w:pPr>
            <w:r w:rsidRPr="003519B9">
              <w:rPr>
                <w:lang w:val="en-GB"/>
              </w:rPr>
              <w:t>6,180</w:t>
            </w:r>
          </w:p>
        </w:tc>
        <w:tc>
          <w:tcPr>
            <w:tcW w:w="1265" w:type="dxa"/>
            <w:tcBorders>
              <w:top w:val="single" w:sz="4" w:space="0" w:color="auto"/>
              <w:left w:val="single" w:sz="4" w:space="0" w:color="auto"/>
              <w:bottom w:val="single" w:sz="4" w:space="0" w:color="auto"/>
              <w:right w:val="single" w:sz="4" w:space="0" w:color="auto"/>
            </w:tcBorders>
            <w:vAlign w:val="center"/>
            <w:hideMark/>
          </w:tcPr>
          <w:p w14:paraId="35AEA9B5" w14:textId="77777777" w:rsidR="0028127C" w:rsidRPr="003519B9" w:rsidRDefault="0028127C" w:rsidP="00610346">
            <w:pPr>
              <w:pStyle w:val="ExhibitText"/>
              <w:jc w:val="right"/>
              <w:rPr>
                <w:lang w:val="en-GB"/>
              </w:rPr>
            </w:pPr>
            <w:r w:rsidRPr="003519B9">
              <w:rPr>
                <w:lang w:val="en-GB"/>
              </w:rPr>
              <w:t>13,329</w:t>
            </w:r>
          </w:p>
        </w:tc>
        <w:tc>
          <w:tcPr>
            <w:tcW w:w="1265" w:type="dxa"/>
            <w:tcBorders>
              <w:top w:val="single" w:sz="4" w:space="0" w:color="auto"/>
              <w:left w:val="single" w:sz="4" w:space="0" w:color="auto"/>
              <w:bottom w:val="single" w:sz="4" w:space="0" w:color="auto"/>
              <w:right w:val="single" w:sz="4" w:space="0" w:color="auto"/>
            </w:tcBorders>
            <w:vAlign w:val="center"/>
            <w:hideMark/>
          </w:tcPr>
          <w:p w14:paraId="08B150F6" w14:textId="77777777" w:rsidR="0028127C" w:rsidRPr="003519B9" w:rsidRDefault="0028127C" w:rsidP="00610346">
            <w:pPr>
              <w:pStyle w:val="ExhibitText"/>
              <w:jc w:val="right"/>
              <w:rPr>
                <w:lang w:val="en-GB"/>
              </w:rPr>
            </w:pPr>
            <w:r w:rsidRPr="003519B9">
              <w:rPr>
                <w:lang w:val="en-GB"/>
              </w:rPr>
              <w:t>21,143</w:t>
            </w:r>
          </w:p>
        </w:tc>
        <w:tc>
          <w:tcPr>
            <w:tcW w:w="1502" w:type="dxa"/>
            <w:tcBorders>
              <w:top w:val="single" w:sz="4" w:space="0" w:color="auto"/>
              <w:left w:val="single" w:sz="4" w:space="0" w:color="auto"/>
              <w:bottom w:val="single" w:sz="4" w:space="0" w:color="auto"/>
              <w:right w:val="single" w:sz="4" w:space="0" w:color="auto"/>
            </w:tcBorders>
            <w:vAlign w:val="center"/>
            <w:hideMark/>
          </w:tcPr>
          <w:p w14:paraId="157B966E" w14:textId="77777777" w:rsidR="0028127C" w:rsidRPr="003519B9" w:rsidRDefault="0028127C" w:rsidP="00610346">
            <w:pPr>
              <w:pStyle w:val="ExhibitText"/>
              <w:jc w:val="right"/>
              <w:rPr>
                <w:lang w:val="en-GB"/>
              </w:rPr>
            </w:pPr>
            <w:r w:rsidRPr="003519B9">
              <w:rPr>
                <w:lang w:val="en-GB"/>
              </w:rPr>
              <w:t>36,997</w:t>
            </w:r>
          </w:p>
        </w:tc>
      </w:tr>
      <w:tr w:rsidR="0028127C" w:rsidRPr="003519B9" w14:paraId="3DEC1810" w14:textId="77777777" w:rsidTr="006D5C35">
        <w:trPr>
          <w:jc w:val="center"/>
        </w:trPr>
        <w:tc>
          <w:tcPr>
            <w:tcW w:w="1597" w:type="dxa"/>
            <w:tcBorders>
              <w:top w:val="single" w:sz="4" w:space="0" w:color="auto"/>
              <w:left w:val="single" w:sz="4" w:space="0" w:color="auto"/>
              <w:bottom w:val="single" w:sz="4" w:space="0" w:color="auto"/>
              <w:right w:val="single" w:sz="4" w:space="0" w:color="auto"/>
            </w:tcBorders>
            <w:hideMark/>
          </w:tcPr>
          <w:p w14:paraId="5291CFAA" w14:textId="77777777" w:rsidR="0028127C" w:rsidRPr="003519B9" w:rsidRDefault="0028127C" w:rsidP="006D5C35">
            <w:pPr>
              <w:pStyle w:val="ExhibitText"/>
              <w:rPr>
                <w:lang w:val="en-GB"/>
              </w:rPr>
            </w:pPr>
            <w:r w:rsidRPr="003519B9">
              <w:rPr>
                <w:lang w:val="en-GB"/>
              </w:rPr>
              <w:t>All India</w:t>
            </w:r>
          </w:p>
        </w:tc>
        <w:tc>
          <w:tcPr>
            <w:tcW w:w="1265" w:type="dxa"/>
            <w:tcBorders>
              <w:top w:val="single" w:sz="4" w:space="0" w:color="auto"/>
              <w:left w:val="single" w:sz="4" w:space="0" w:color="auto"/>
              <w:bottom w:val="single" w:sz="4" w:space="0" w:color="auto"/>
              <w:right w:val="single" w:sz="4" w:space="0" w:color="auto"/>
            </w:tcBorders>
            <w:vAlign w:val="center"/>
            <w:hideMark/>
          </w:tcPr>
          <w:p w14:paraId="3ED893A2" w14:textId="77777777" w:rsidR="0028127C" w:rsidRPr="003519B9" w:rsidRDefault="00B1213B" w:rsidP="00DA3073">
            <w:pPr>
              <w:pStyle w:val="ExhibitText"/>
              <w:jc w:val="right"/>
              <w:rPr>
                <w:lang w:val="en-GB"/>
              </w:rPr>
            </w:pPr>
            <w:r w:rsidRPr="003519B9">
              <w:rPr>
                <w:lang w:val="en-GB"/>
              </w:rPr>
              <w:t>152,746</w:t>
            </w:r>
          </w:p>
        </w:tc>
        <w:tc>
          <w:tcPr>
            <w:tcW w:w="1265" w:type="dxa"/>
            <w:tcBorders>
              <w:top w:val="single" w:sz="4" w:space="0" w:color="auto"/>
              <w:left w:val="single" w:sz="4" w:space="0" w:color="auto"/>
              <w:bottom w:val="single" w:sz="4" w:space="0" w:color="auto"/>
              <w:right w:val="single" w:sz="4" w:space="0" w:color="auto"/>
            </w:tcBorders>
            <w:vAlign w:val="center"/>
            <w:hideMark/>
          </w:tcPr>
          <w:p w14:paraId="15A496C1" w14:textId="77777777" w:rsidR="0028127C" w:rsidRPr="003519B9" w:rsidRDefault="00DA3073" w:rsidP="00610346">
            <w:pPr>
              <w:pStyle w:val="ExhibitText"/>
              <w:jc w:val="right"/>
              <w:rPr>
                <w:lang w:val="en-GB"/>
              </w:rPr>
            </w:pPr>
            <w:r w:rsidRPr="003519B9">
              <w:rPr>
                <w:lang w:val="en-GB"/>
              </w:rPr>
              <w:t>2</w:t>
            </w:r>
            <w:r w:rsidR="00B1213B" w:rsidRPr="003519B9">
              <w:rPr>
                <w:lang w:val="en-GB"/>
              </w:rPr>
              <w:t>18,209</w:t>
            </w:r>
          </w:p>
        </w:tc>
        <w:tc>
          <w:tcPr>
            <w:tcW w:w="1265" w:type="dxa"/>
            <w:tcBorders>
              <w:top w:val="single" w:sz="4" w:space="0" w:color="auto"/>
              <w:left w:val="single" w:sz="4" w:space="0" w:color="auto"/>
              <w:bottom w:val="single" w:sz="4" w:space="0" w:color="auto"/>
              <w:right w:val="single" w:sz="4" w:space="0" w:color="auto"/>
            </w:tcBorders>
            <w:vAlign w:val="center"/>
            <w:hideMark/>
          </w:tcPr>
          <w:p w14:paraId="663828FA" w14:textId="77777777" w:rsidR="0028127C" w:rsidRPr="003519B9" w:rsidRDefault="00B1213B" w:rsidP="00DA3073">
            <w:pPr>
              <w:pStyle w:val="ExhibitText"/>
              <w:jc w:val="right"/>
              <w:rPr>
                <w:lang w:val="en-GB"/>
              </w:rPr>
            </w:pPr>
            <w:r w:rsidRPr="003519B9">
              <w:rPr>
                <w:lang w:val="en-GB"/>
              </w:rPr>
              <w:t>298,253</w:t>
            </w:r>
          </w:p>
        </w:tc>
        <w:tc>
          <w:tcPr>
            <w:tcW w:w="1265" w:type="dxa"/>
            <w:tcBorders>
              <w:top w:val="single" w:sz="4" w:space="0" w:color="auto"/>
              <w:left w:val="single" w:sz="4" w:space="0" w:color="auto"/>
              <w:bottom w:val="single" w:sz="4" w:space="0" w:color="auto"/>
              <w:right w:val="single" w:sz="4" w:space="0" w:color="auto"/>
            </w:tcBorders>
            <w:vAlign w:val="center"/>
            <w:hideMark/>
          </w:tcPr>
          <w:p w14:paraId="1388E7DF" w14:textId="77777777" w:rsidR="0028127C" w:rsidRPr="003519B9" w:rsidRDefault="00B1213B" w:rsidP="00DA3073">
            <w:pPr>
              <w:pStyle w:val="ExhibitText"/>
              <w:jc w:val="right"/>
              <w:rPr>
                <w:bCs/>
                <w:lang w:val="en-GB"/>
              </w:rPr>
            </w:pPr>
            <w:r w:rsidRPr="003519B9">
              <w:rPr>
                <w:bCs/>
                <w:lang w:val="en-GB"/>
              </w:rPr>
              <w:t>968,659</w:t>
            </w:r>
          </w:p>
        </w:tc>
        <w:tc>
          <w:tcPr>
            <w:tcW w:w="1265" w:type="dxa"/>
            <w:tcBorders>
              <w:top w:val="single" w:sz="4" w:space="0" w:color="auto"/>
              <w:left w:val="single" w:sz="4" w:space="0" w:color="auto"/>
              <w:bottom w:val="single" w:sz="4" w:space="0" w:color="auto"/>
              <w:right w:val="single" w:sz="4" w:space="0" w:color="auto"/>
            </w:tcBorders>
            <w:vAlign w:val="center"/>
            <w:hideMark/>
          </w:tcPr>
          <w:p w14:paraId="063422D1" w14:textId="77777777" w:rsidR="0028127C" w:rsidRPr="003519B9" w:rsidRDefault="00B1213B" w:rsidP="00DA3073">
            <w:pPr>
              <w:pStyle w:val="ExhibitText"/>
              <w:jc w:val="right"/>
              <w:rPr>
                <w:bCs/>
                <w:lang w:val="en-GB"/>
              </w:rPr>
            </w:pPr>
            <w:r w:rsidRPr="003519B9">
              <w:rPr>
                <w:bCs/>
                <w:lang w:val="en-GB"/>
              </w:rPr>
              <w:t>1</w:t>
            </w:r>
            <w:r w:rsidR="00DA3073" w:rsidRPr="003519B9">
              <w:rPr>
                <w:bCs/>
                <w:lang w:val="en-GB"/>
              </w:rPr>
              <w:t>,</w:t>
            </w:r>
            <w:r w:rsidRPr="003519B9">
              <w:rPr>
                <w:bCs/>
                <w:lang w:val="en-GB"/>
              </w:rPr>
              <w:t>392,066</w:t>
            </w:r>
          </w:p>
        </w:tc>
        <w:tc>
          <w:tcPr>
            <w:tcW w:w="1502" w:type="dxa"/>
            <w:tcBorders>
              <w:top w:val="single" w:sz="4" w:space="0" w:color="auto"/>
              <w:left w:val="single" w:sz="4" w:space="0" w:color="auto"/>
              <w:bottom w:val="single" w:sz="4" w:space="0" w:color="auto"/>
              <w:right w:val="single" w:sz="4" w:space="0" w:color="auto"/>
            </w:tcBorders>
            <w:vAlign w:val="center"/>
            <w:hideMark/>
          </w:tcPr>
          <w:p w14:paraId="1928665F" w14:textId="77777777" w:rsidR="0028127C" w:rsidRPr="003519B9" w:rsidRDefault="00B1213B" w:rsidP="00DA3073">
            <w:pPr>
              <w:pStyle w:val="ExhibitText"/>
              <w:jc w:val="right"/>
              <w:rPr>
                <w:bCs/>
                <w:lang w:val="en-GB"/>
              </w:rPr>
            </w:pPr>
            <w:r w:rsidRPr="003519B9">
              <w:rPr>
                <w:bCs/>
                <w:lang w:val="en-GB"/>
              </w:rPr>
              <w:t>1</w:t>
            </w:r>
            <w:r w:rsidR="00DA3073" w:rsidRPr="003519B9">
              <w:rPr>
                <w:bCs/>
                <w:lang w:val="en-GB"/>
              </w:rPr>
              <w:t>,</w:t>
            </w:r>
            <w:r w:rsidRPr="003519B9">
              <w:rPr>
                <w:bCs/>
                <w:lang w:val="en-GB"/>
              </w:rPr>
              <w:t>914,508</w:t>
            </w:r>
          </w:p>
        </w:tc>
      </w:tr>
    </w:tbl>
    <w:p w14:paraId="2563F794" w14:textId="77777777" w:rsidR="0028127C" w:rsidRPr="003519B9" w:rsidRDefault="0028127C" w:rsidP="00242175">
      <w:pPr>
        <w:pStyle w:val="Footnote"/>
        <w:rPr>
          <w:sz w:val="15"/>
          <w:lang w:val="en-GB"/>
        </w:rPr>
      </w:pPr>
    </w:p>
    <w:p w14:paraId="071DB379" w14:textId="1B3147B6" w:rsidR="0028127C" w:rsidRPr="003519B9" w:rsidRDefault="0028127C" w:rsidP="00242175">
      <w:pPr>
        <w:pStyle w:val="Footnote"/>
        <w:rPr>
          <w:lang w:val="en-GB"/>
        </w:rPr>
      </w:pPr>
      <w:r w:rsidRPr="003519B9">
        <w:rPr>
          <w:lang w:val="en-GB"/>
        </w:rPr>
        <w:t xml:space="preserve">Source: </w:t>
      </w:r>
      <w:r w:rsidR="00E932C7" w:rsidRPr="003519B9">
        <w:rPr>
          <w:lang w:val="en-GB"/>
        </w:rPr>
        <w:t xml:space="preserve">Electric Power Information Society, </w:t>
      </w:r>
      <w:r w:rsidR="00E932C7" w:rsidRPr="003519B9">
        <w:rPr>
          <w:i/>
          <w:lang w:val="en-GB"/>
        </w:rPr>
        <w:t>17th Electric Power Survey of India</w:t>
      </w:r>
      <w:r w:rsidR="00E932C7" w:rsidRPr="003519B9">
        <w:rPr>
          <w:lang w:val="en-GB"/>
        </w:rPr>
        <w:t xml:space="preserve"> (Delhi: Central Electricity Authority, March, 2007); The </w:t>
      </w:r>
      <w:r w:rsidR="00A857A2" w:rsidRPr="003519B9">
        <w:rPr>
          <w:lang w:val="en-GB"/>
        </w:rPr>
        <w:t>17th</w:t>
      </w:r>
      <w:r w:rsidRPr="003519B9">
        <w:rPr>
          <w:lang w:val="en-GB"/>
        </w:rPr>
        <w:t xml:space="preserve"> Electric Power Survey of India was conducted in March 2007 by Central Electricity Authority with an objective of forecasting annual electricity demand for each state in India </w:t>
      </w:r>
      <w:r w:rsidR="00C35D44" w:rsidRPr="003519B9">
        <w:rPr>
          <w:lang w:val="en-GB"/>
        </w:rPr>
        <w:t>until</w:t>
      </w:r>
      <w:r w:rsidRPr="003519B9">
        <w:rPr>
          <w:lang w:val="en-GB"/>
        </w:rPr>
        <w:t xml:space="preserve"> the year 2022</w:t>
      </w:r>
      <w:r w:rsidR="00E932C7" w:rsidRPr="003519B9">
        <w:rPr>
          <w:lang w:val="en-GB"/>
        </w:rPr>
        <w:t xml:space="preserve">. </w:t>
      </w:r>
    </w:p>
    <w:p w14:paraId="197AE01B" w14:textId="77777777" w:rsidR="0028127C" w:rsidRPr="003519B9" w:rsidRDefault="0028127C" w:rsidP="00242175">
      <w:pPr>
        <w:jc w:val="center"/>
        <w:rPr>
          <w:sz w:val="18"/>
          <w:szCs w:val="22"/>
          <w:lang w:val="en-GB"/>
        </w:rPr>
      </w:pPr>
    </w:p>
    <w:p w14:paraId="19F439A9" w14:textId="77777777" w:rsidR="0028127C" w:rsidRPr="003519B9" w:rsidRDefault="0028127C" w:rsidP="00242175">
      <w:pPr>
        <w:jc w:val="center"/>
        <w:rPr>
          <w:sz w:val="18"/>
          <w:szCs w:val="22"/>
          <w:lang w:val="en-GB"/>
        </w:rPr>
      </w:pPr>
    </w:p>
    <w:p w14:paraId="4954D7AB" w14:textId="77777777" w:rsidR="0028127C" w:rsidRPr="003519B9" w:rsidRDefault="00B1213B" w:rsidP="00242175">
      <w:pPr>
        <w:pStyle w:val="ExhibitHeading"/>
        <w:rPr>
          <w:lang w:val="en-GB"/>
        </w:rPr>
      </w:pPr>
      <w:r w:rsidRPr="003519B9">
        <w:rPr>
          <w:lang w:val="en-GB"/>
        </w:rPr>
        <w:t>Exhibit</w:t>
      </w:r>
      <w:r w:rsidR="0028127C" w:rsidRPr="003519B9">
        <w:rPr>
          <w:lang w:val="en-GB"/>
        </w:rPr>
        <w:t xml:space="preserve"> 3: </w:t>
      </w:r>
      <w:r w:rsidR="00C86F73" w:rsidRPr="003519B9">
        <w:rPr>
          <w:lang w:val="en-GB"/>
        </w:rPr>
        <w:t xml:space="preserve">cost </w:t>
      </w:r>
      <w:r w:rsidR="0028127C" w:rsidRPr="003519B9">
        <w:rPr>
          <w:lang w:val="en-GB"/>
        </w:rPr>
        <w:t>BREAK</w:t>
      </w:r>
      <w:r w:rsidR="00C86F73" w:rsidRPr="003519B9">
        <w:rPr>
          <w:lang w:val="en-GB"/>
        </w:rPr>
        <w:t xml:space="preserve">downfor </w:t>
      </w:r>
      <w:r w:rsidR="00C86F73" w:rsidRPr="003519B9">
        <w:rPr>
          <w:caps w:val="0"/>
          <w:lang w:val="en-GB"/>
        </w:rPr>
        <w:t>NAVA BHARAT ENERGY INDIA LIMITED</w:t>
      </w:r>
      <w:r w:rsidR="0028127C" w:rsidRPr="003519B9">
        <w:rPr>
          <w:lang w:val="en-GB"/>
        </w:rPr>
        <w:t>’s PROJECTS</w:t>
      </w:r>
    </w:p>
    <w:p w14:paraId="56E29BB4" w14:textId="1CF91337" w:rsidR="0028127C" w:rsidRPr="003519B9" w:rsidRDefault="0028127C" w:rsidP="00C86F73">
      <w:pPr>
        <w:pStyle w:val="ExhibitNumber"/>
        <w:rPr>
          <w:lang w:val="en-GB"/>
        </w:rPr>
      </w:pPr>
      <w:r w:rsidRPr="003519B9">
        <w:rPr>
          <w:lang w:val="en-GB"/>
        </w:rPr>
        <w:t>(</w:t>
      </w:r>
      <w:r w:rsidR="0059330D" w:rsidRPr="003519B9">
        <w:rPr>
          <w:lang w:val="en-GB"/>
        </w:rPr>
        <w:t>in</w:t>
      </w:r>
      <w:r w:rsidR="003149FB" w:rsidRPr="003519B9">
        <w:rPr>
          <w:lang w:val="en-GB"/>
        </w:rPr>
        <w:t xml:space="preserve"> </w:t>
      </w:r>
      <w:r w:rsidRPr="003519B9">
        <w:rPr>
          <w:lang w:val="en-GB"/>
        </w:rPr>
        <w:t>₹</w:t>
      </w:r>
      <w:r w:rsidR="00E932C7" w:rsidRPr="003519B9">
        <w:rPr>
          <w:lang w:val="en-GB"/>
        </w:rPr>
        <w:t xml:space="preserve"> </w:t>
      </w:r>
      <w:r w:rsidR="00B34722" w:rsidRPr="003519B9">
        <w:rPr>
          <w:lang w:val="en-GB"/>
        </w:rPr>
        <w:t>m</w:t>
      </w:r>
      <w:r w:rsidRPr="003519B9">
        <w:rPr>
          <w:lang w:val="en-GB"/>
        </w:rPr>
        <w:t>illion</w:t>
      </w:r>
      <w:r w:rsidR="00E932C7" w:rsidRPr="003519B9">
        <w:rPr>
          <w:lang w:val="en-GB"/>
        </w:rPr>
        <w:t>s</w:t>
      </w:r>
      <w:r w:rsidRPr="003519B9">
        <w:rPr>
          <w:lang w:val="en-GB"/>
        </w:rPr>
        <w:t>)</w:t>
      </w:r>
    </w:p>
    <w:p w14:paraId="4E7C2766" w14:textId="77777777" w:rsidR="0028127C" w:rsidRPr="003519B9" w:rsidRDefault="0028127C" w:rsidP="00242175">
      <w:pPr>
        <w:pStyle w:val="ExhibitNumber"/>
        <w:rPr>
          <w:sz w:val="16"/>
          <w:lang w:val="en-GB"/>
        </w:rPr>
      </w:pPr>
    </w:p>
    <w:tbl>
      <w:tblPr>
        <w:tblW w:w="83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08"/>
        <w:gridCol w:w="1321"/>
        <w:gridCol w:w="1670"/>
        <w:gridCol w:w="1110"/>
      </w:tblGrid>
      <w:tr w:rsidR="0028127C" w:rsidRPr="003519B9" w14:paraId="7215022B"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center"/>
            <w:hideMark/>
          </w:tcPr>
          <w:p w14:paraId="0C005A2F" w14:textId="77777777" w:rsidR="0028127C" w:rsidRPr="003519B9" w:rsidRDefault="0028127C" w:rsidP="006D5C35">
            <w:pPr>
              <w:pStyle w:val="ExhibitText"/>
              <w:jc w:val="center"/>
              <w:rPr>
                <w:rFonts w:eastAsia="Arial Unicode MS"/>
                <w:b/>
                <w:sz w:val="24"/>
                <w:szCs w:val="24"/>
                <w:lang w:val="en-GB"/>
              </w:rPr>
            </w:pPr>
            <w:r w:rsidRPr="003519B9">
              <w:rPr>
                <w:b/>
                <w:lang w:val="en-GB"/>
              </w:rPr>
              <w:t>Cost Component / Projects</w:t>
            </w:r>
          </w:p>
        </w:tc>
        <w:tc>
          <w:tcPr>
            <w:tcW w:w="1321" w:type="dxa"/>
            <w:tcBorders>
              <w:top w:val="single" w:sz="4" w:space="0" w:color="auto"/>
              <w:left w:val="single" w:sz="4" w:space="0" w:color="auto"/>
              <w:bottom w:val="single" w:sz="4" w:space="0" w:color="auto"/>
              <w:right w:val="single" w:sz="4" w:space="0" w:color="auto"/>
            </w:tcBorders>
            <w:hideMark/>
          </w:tcPr>
          <w:p w14:paraId="049086A8" w14:textId="77777777" w:rsidR="0028127C" w:rsidRPr="003519B9" w:rsidRDefault="0028127C" w:rsidP="006D5C35">
            <w:pPr>
              <w:pStyle w:val="ExhibitText"/>
              <w:jc w:val="center"/>
              <w:rPr>
                <w:b/>
                <w:lang w:val="en-GB"/>
              </w:rPr>
            </w:pPr>
            <w:r w:rsidRPr="003519B9">
              <w:rPr>
                <w:b/>
                <w:lang w:val="en-GB"/>
              </w:rPr>
              <w:t>Paloncha</w:t>
            </w:r>
          </w:p>
        </w:tc>
        <w:tc>
          <w:tcPr>
            <w:tcW w:w="1670" w:type="dxa"/>
            <w:tcBorders>
              <w:top w:val="single" w:sz="4" w:space="0" w:color="auto"/>
              <w:left w:val="single" w:sz="4" w:space="0" w:color="auto"/>
              <w:bottom w:val="single" w:sz="4" w:space="0" w:color="auto"/>
              <w:right w:val="single" w:sz="4" w:space="0" w:color="auto"/>
            </w:tcBorders>
            <w:hideMark/>
          </w:tcPr>
          <w:p w14:paraId="378A9CBF" w14:textId="77777777" w:rsidR="0028127C" w:rsidRPr="003519B9" w:rsidRDefault="0028127C" w:rsidP="006D5C35">
            <w:pPr>
              <w:pStyle w:val="ExhibitText"/>
              <w:jc w:val="center"/>
              <w:rPr>
                <w:b/>
                <w:lang w:val="en-GB"/>
              </w:rPr>
            </w:pPr>
            <w:r w:rsidRPr="003519B9">
              <w:rPr>
                <w:b/>
                <w:lang w:val="en-GB"/>
              </w:rPr>
              <w:t>Dharmavaram</w:t>
            </w:r>
          </w:p>
        </w:tc>
        <w:tc>
          <w:tcPr>
            <w:tcW w:w="1110" w:type="dxa"/>
            <w:tcBorders>
              <w:top w:val="single" w:sz="4" w:space="0" w:color="auto"/>
              <w:left w:val="single" w:sz="4" w:space="0" w:color="auto"/>
              <w:bottom w:val="single" w:sz="4" w:space="0" w:color="auto"/>
              <w:right w:val="single" w:sz="4" w:space="0" w:color="auto"/>
            </w:tcBorders>
            <w:vAlign w:val="center"/>
            <w:hideMark/>
          </w:tcPr>
          <w:p w14:paraId="5BAC0A53" w14:textId="77777777" w:rsidR="0028127C" w:rsidRPr="003519B9" w:rsidRDefault="0028127C" w:rsidP="006D5C35">
            <w:pPr>
              <w:pStyle w:val="ExhibitText"/>
              <w:jc w:val="center"/>
              <w:rPr>
                <w:b/>
                <w:lang w:val="en-GB"/>
              </w:rPr>
            </w:pPr>
            <w:r w:rsidRPr="003519B9">
              <w:rPr>
                <w:b/>
                <w:lang w:val="en-GB"/>
              </w:rPr>
              <w:t>Total</w:t>
            </w:r>
          </w:p>
        </w:tc>
      </w:tr>
      <w:tr w:rsidR="0028127C" w:rsidRPr="003519B9" w14:paraId="7982F3DD"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2B011AAB" w14:textId="77777777" w:rsidR="0028127C" w:rsidRPr="003519B9" w:rsidRDefault="00B1213B" w:rsidP="006D5C35">
            <w:pPr>
              <w:pStyle w:val="ExhibitText"/>
              <w:rPr>
                <w:rFonts w:eastAsia="Arial Unicode MS"/>
                <w:b/>
                <w:lang w:val="en-GB"/>
              </w:rPr>
            </w:pPr>
            <w:r w:rsidRPr="003519B9">
              <w:rPr>
                <w:rFonts w:eastAsia="Arial Unicode MS"/>
                <w:b/>
                <w:lang w:val="en-GB"/>
              </w:rPr>
              <w:t>Hard Costs</w:t>
            </w:r>
          </w:p>
        </w:tc>
        <w:tc>
          <w:tcPr>
            <w:tcW w:w="1321" w:type="dxa"/>
            <w:tcBorders>
              <w:top w:val="single" w:sz="4" w:space="0" w:color="auto"/>
              <w:left w:val="single" w:sz="4" w:space="0" w:color="auto"/>
              <w:bottom w:val="single" w:sz="4" w:space="0" w:color="auto"/>
              <w:right w:val="single" w:sz="4" w:space="0" w:color="auto"/>
            </w:tcBorders>
          </w:tcPr>
          <w:p w14:paraId="6468CD16" w14:textId="77777777" w:rsidR="0028127C" w:rsidRPr="003519B9" w:rsidRDefault="0028127C" w:rsidP="0095697B">
            <w:pPr>
              <w:pStyle w:val="ExhibitText"/>
              <w:jc w:val="right"/>
              <w:rPr>
                <w:lang w:val="en-GB"/>
              </w:rPr>
            </w:pPr>
          </w:p>
        </w:tc>
        <w:tc>
          <w:tcPr>
            <w:tcW w:w="1670" w:type="dxa"/>
            <w:tcBorders>
              <w:top w:val="single" w:sz="4" w:space="0" w:color="auto"/>
              <w:left w:val="single" w:sz="4" w:space="0" w:color="auto"/>
              <w:bottom w:val="single" w:sz="4" w:space="0" w:color="auto"/>
              <w:right w:val="single" w:sz="4" w:space="0" w:color="auto"/>
            </w:tcBorders>
          </w:tcPr>
          <w:p w14:paraId="2390C353" w14:textId="77777777" w:rsidR="0028127C" w:rsidRPr="003519B9" w:rsidRDefault="0028127C" w:rsidP="0095697B">
            <w:pPr>
              <w:pStyle w:val="ExhibitText"/>
              <w:jc w:val="right"/>
              <w:rPr>
                <w:lang w:val="en-GB"/>
              </w:rPr>
            </w:pPr>
          </w:p>
        </w:tc>
        <w:tc>
          <w:tcPr>
            <w:tcW w:w="1110" w:type="dxa"/>
            <w:tcBorders>
              <w:top w:val="single" w:sz="4" w:space="0" w:color="auto"/>
              <w:left w:val="single" w:sz="4" w:space="0" w:color="auto"/>
              <w:bottom w:val="single" w:sz="4" w:space="0" w:color="auto"/>
              <w:right w:val="single" w:sz="4" w:space="0" w:color="auto"/>
            </w:tcBorders>
          </w:tcPr>
          <w:p w14:paraId="03A20413" w14:textId="77777777" w:rsidR="0028127C" w:rsidRPr="003519B9" w:rsidRDefault="0028127C" w:rsidP="0095697B">
            <w:pPr>
              <w:pStyle w:val="ExhibitText"/>
              <w:jc w:val="right"/>
              <w:rPr>
                <w:lang w:val="en-GB"/>
              </w:rPr>
            </w:pPr>
          </w:p>
        </w:tc>
      </w:tr>
      <w:tr w:rsidR="0028127C" w:rsidRPr="003519B9" w14:paraId="3B6F35A2"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2FD25082" w14:textId="77777777" w:rsidR="0028127C" w:rsidRPr="003519B9" w:rsidRDefault="0028127C" w:rsidP="006D5C35">
            <w:pPr>
              <w:pStyle w:val="ExhibitText"/>
              <w:rPr>
                <w:lang w:val="en-GB"/>
              </w:rPr>
            </w:pPr>
            <w:r w:rsidRPr="003519B9">
              <w:rPr>
                <w:lang w:val="en-GB"/>
              </w:rPr>
              <w:t xml:space="preserve">Land and civil works </w:t>
            </w:r>
          </w:p>
        </w:tc>
        <w:tc>
          <w:tcPr>
            <w:tcW w:w="1321" w:type="dxa"/>
            <w:tcBorders>
              <w:top w:val="single" w:sz="4" w:space="0" w:color="auto"/>
              <w:left w:val="single" w:sz="4" w:space="0" w:color="auto"/>
              <w:bottom w:val="single" w:sz="4" w:space="0" w:color="auto"/>
              <w:right w:val="single" w:sz="4" w:space="0" w:color="auto"/>
            </w:tcBorders>
            <w:hideMark/>
          </w:tcPr>
          <w:p w14:paraId="3267625F" w14:textId="77777777" w:rsidR="0028127C" w:rsidRPr="003519B9" w:rsidRDefault="0028127C" w:rsidP="0095697B">
            <w:pPr>
              <w:pStyle w:val="ExhibitText"/>
              <w:jc w:val="right"/>
              <w:rPr>
                <w:lang w:val="en-GB"/>
              </w:rPr>
            </w:pPr>
            <w:r w:rsidRPr="003519B9">
              <w:rPr>
                <w:lang w:val="en-GB"/>
              </w:rPr>
              <w:t>750</w:t>
            </w:r>
          </w:p>
        </w:tc>
        <w:tc>
          <w:tcPr>
            <w:tcW w:w="1670" w:type="dxa"/>
            <w:tcBorders>
              <w:top w:val="single" w:sz="4" w:space="0" w:color="auto"/>
              <w:left w:val="single" w:sz="4" w:space="0" w:color="auto"/>
              <w:bottom w:val="single" w:sz="4" w:space="0" w:color="auto"/>
              <w:right w:val="single" w:sz="4" w:space="0" w:color="auto"/>
            </w:tcBorders>
            <w:hideMark/>
          </w:tcPr>
          <w:p w14:paraId="43359381" w14:textId="77777777" w:rsidR="0028127C" w:rsidRPr="003519B9" w:rsidRDefault="0028127C" w:rsidP="0095697B">
            <w:pPr>
              <w:pStyle w:val="ExhibitText"/>
              <w:jc w:val="right"/>
              <w:rPr>
                <w:lang w:val="en-GB"/>
              </w:rPr>
            </w:pPr>
            <w:r w:rsidRPr="003519B9">
              <w:rPr>
                <w:lang w:val="en-GB"/>
              </w:rPr>
              <w:t>950</w:t>
            </w:r>
          </w:p>
        </w:tc>
        <w:tc>
          <w:tcPr>
            <w:tcW w:w="1110" w:type="dxa"/>
            <w:tcBorders>
              <w:top w:val="single" w:sz="4" w:space="0" w:color="auto"/>
              <w:left w:val="single" w:sz="4" w:space="0" w:color="auto"/>
              <w:bottom w:val="single" w:sz="4" w:space="0" w:color="auto"/>
              <w:right w:val="single" w:sz="4" w:space="0" w:color="auto"/>
            </w:tcBorders>
            <w:hideMark/>
          </w:tcPr>
          <w:p w14:paraId="79689028" w14:textId="77777777" w:rsidR="0028127C" w:rsidRPr="003519B9" w:rsidRDefault="002E1330" w:rsidP="002E1330">
            <w:pPr>
              <w:pStyle w:val="ExhibitText"/>
              <w:jc w:val="right"/>
              <w:rPr>
                <w:lang w:val="en-GB"/>
              </w:rPr>
            </w:pPr>
            <w:r w:rsidRPr="003519B9">
              <w:rPr>
                <w:lang w:val="en-GB"/>
              </w:rPr>
              <w:t>**</w:t>
            </w:r>
            <w:r w:rsidR="0028127C" w:rsidRPr="003519B9">
              <w:rPr>
                <w:lang w:val="en-GB"/>
              </w:rPr>
              <w:t>1,700</w:t>
            </w:r>
          </w:p>
        </w:tc>
      </w:tr>
      <w:tr w:rsidR="0028127C" w:rsidRPr="003519B9" w14:paraId="23305B65"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34695F4B" w14:textId="77777777" w:rsidR="0028127C" w:rsidRPr="003519B9" w:rsidRDefault="0028127C" w:rsidP="00D052F6">
            <w:pPr>
              <w:pStyle w:val="ExhibitText"/>
              <w:rPr>
                <w:rFonts w:eastAsia="Arial Unicode MS"/>
                <w:lang w:val="en-GB"/>
              </w:rPr>
            </w:pPr>
            <w:r w:rsidRPr="003519B9">
              <w:rPr>
                <w:lang w:val="en-GB"/>
              </w:rPr>
              <w:t>Plant and machinery</w:t>
            </w:r>
            <w:r w:rsidR="00D052F6" w:rsidRPr="003519B9">
              <w:rPr>
                <w:lang w:val="en-GB"/>
              </w:rPr>
              <w:t>*</w:t>
            </w:r>
          </w:p>
        </w:tc>
        <w:tc>
          <w:tcPr>
            <w:tcW w:w="1321" w:type="dxa"/>
            <w:tcBorders>
              <w:top w:val="single" w:sz="4" w:space="0" w:color="auto"/>
              <w:left w:val="single" w:sz="4" w:space="0" w:color="auto"/>
              <w:bottom w:val="single" w:sz="4" w:space="0" w:color="auto"/>
              <w:right w:val="single" w:sz="4" w:space="0" w:color="auto"/>
            </w:tcBorders>
            <w:hideMark/>
          </w:tcPr>
          <w:p w14:paraId="4979991C" w14:textId="77777777" w:rsidR="0028127C" w:rsidRPr="003519B9" w:rsidRDefault="0028127C" w:rsidP="0095697B">
            <w:pPr>
              <w:pStyle w:val="ExhibitText"/>
              <w:jc w:val="right"/>
              <w:rPr>
                <w:lang w:val="en-GB"/>
              </w:rPr>
            </w:pPr>
            <w:r w:rsidRPr="003519B9">
              <w:rPr>
                <w:lang w:val="en-GB"/>
              </w:rPr>
              <w:t>4,820</w:t>
            </w:r>
          </w:p>
        </w:tc>
        <w:tc>
          <w:tcPr>
            <w:tcW w:w="1670" w:type="dxa"/>
            <w:tcBorders>
              <w:top w:val="single" w:sz="4" w:space="0" w:color="auto"/>
              <w:left w:val="single" w:sz="4" w:space="0" w:color="auto"/>
              <w:bottom w:val="single" w:sz="4" w:space="0" w:color="auto"/>
              <w:right w:val="single" w:sz="4" w:space="0" w:color="auto"/>
            </w:tcBorders>
            <w:hideMark/>
          </w:tcPr>
          <w:p w14:paraId="58F3B158" w14:textId="77777777" w:rsidR="0028127C" w:rsidRPr="003519B9" w:rsidRDefault="0028127C" w:rsidP="0095697B">
            <w:pPr>
              <w:pStyle w:val="ExhibitText"/>
              <w:jc w:val="right"/>
              <w:rPr>
                <w:lang w:val="en-GB"/>
              </w:rPr>
            </w:pPr>
            <w:r w:rsidRPr="003519B9">
              <w:rPr>
                <w:lang w:val="en-GB"/>
              </w:rPr>
              <w:t>5,070</w:t>
            </w:r>
          </w:p>
        </w:tc>
        <w:tc>
          <w:tcPr>
            <w:tcW w:w="1110" w:type="dxa"/>
            <w:tcBorders>
              <w:top w:val="single" w:sz="4" w:space="0" w:color="auto"/>
              <w:left w:val="single" w:sz="4" w:space="0" w:color="auto"/>
              <w:bottom w:val="single" w:sz="4" w:space="0" w:color="auto"/>
              <w:right w:val="single" w:sz="4" w:space="0" w:color="auto"/>
            </w:tcBorders>
            <w:hideMark/>
          </w:tcPr>
          <w:p w14:paraId="17E76592" w14:textId="77777777" w:rsidR="0028127C" w:rsidRPr="003519B9" w:rsidRDefault="002E1330" w:rsidP="002E1330">
            <w:pPr>
              <w:pStyle w:val="ExhibitText"/>
              <w:jc w:val="right"/>
              <w:rPr>
                <w:lang w:val="en-GB"/>
              </w:rPr>
            </w:pPr>
            <w:r w:rsidRPr="003519B9">
              <w:rPr>
                <w:lang w:val="en-GB"/>
              </w:rPr>
              <w:t>***</w:t>
            </w:r>
            <w:r w:rsidR="0028127C" w:rsidRPr="003519B9">
              <w:rPr>
                <w:lang w:val="en-GB"/>
              </w:rPr>
              <w:t>9,890</w:t>
            </w:r>
          </w:p>
        </w:tc>
      </w:tr>
      <w:tr w:rsidR="0028127C" w:rsidRPr="003519B9" w14:paraId="3C7590F7"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112F04DD" w14:textId="77777777" w:rsidR="0028127C" w:rsidRPr="003519B9" w:rsidRDefault="00B1213B" w:rsidP="006D5C35">
            <w:pPr>
              <w:pStyle w:val="ExhibitText"/>
              <w:rPr>
                <w:b/>
                <w:lang w:val="en-GB"/>
              </w:rPr>
            </w:pPr>
            <w:r w:rsidRPr="003519B9">
              <w:rPr>
                <w:b/>
                <w:lang w:val="en-GB"/>
              </w:rPr>
              <w:t>Soft Costs</w:t>
            </w:r>
          </w:p>
        </w:tc>
        <w:tc>
          <w:tcPr>
            <w:tcW w:w="1321" w:type="dxa"/>
            <w:tcBorders>
              <w:top w:val="single" w:sz="4" w:space="0" w:color="auto"/>
              <w:left w:val="single" w:sz="4" w:space="0" w:color="auto"/>
              <w:bottom w:val="single" w:sz="4" w:space="0" w:color="auto"/>
              <w:right w:val="single" w:sz="4" w:space="0" w:color="auto"/>
            </w:tcBorders>
          </w:tcPr>
          <w:p w14:paraId="53DA5D96" w14:textId="77777777" w:rsidR="0028127C" w:rsidRPr="003519B9" w:rsidRDefault="0028127C" w:rsidP="0095697B">
            <w:pPr>
              <w:pStyle w:val="ExhibitText"/>
              <w:jc w:val="right"/>
              <w:rPr>
                <w:lang w:val="en-GB"/>
              </w:rPr>
            </w:pPr>
          </w:p>
        </w:tc>
        <w:tc>
          <w:tcPr>
            <w:tcW w:w="1670" w:type="dxa"/>
            <w:tcBorders>
              <w:top w:val="single" w:sz="4" w:space="0" w:color="auto"/>
              <w:left w:val="single" w:sz="4" w:space="0" w:color="auto"/>
              <w:bottom w:val="single" w:sz="4" w:space="0" w:color="auto"/>
              <w:right w:val="single" w:sz="4" w:space="0" w:color="auto"/>
            </w:tcBorders>
          </w:tcPr>
          <w:p w14:paraId="7B453262" w14:textId="77777777" w:rsidR="0028127C" w:rsidRPr="003519B9" w:rsidRDefault="0028127C" w:rsidP="0095697B">
            <w:pPr>
              <w:pStyle w:val="ExhibitText"/>
              <w:jc w:val="right"/>
              <w:rPr>
                <w:lang w:val="en-GB"/>
              </w:rPr>
            </w:pPr>
          </w:p>
        </w:tc>
        <w:tc>
          <w:tcPr>
            <w:tcW w:w="1110" w:type="dxa"/>
            <w:tcBorders>
              <w:top w:val="single" w:sz="4" w:space="0" w:color="auto"/>
              <w:left w:val="single" w:sz="4" w:space="0" w:color="auto"/>
              <w:bottom w:val="single" w:sz="4" w:space="0" w:color="auto"/>
              <w:right w:val="single" w:sz="4" w:space="0" w:color="auto"/>
            </w:tcBorders>
          </w:tcPr>
          <w:p w14:paraId="28AAD336" w14:textId="77777777" w:rsidR="0028127C" w:rsidRPr="003519B9" w:rsidRDefault="0028127C" w:rsidP="0095697B">
            <w:pPr>
              <w:pStyle w:val="ExhibitText"/>
              <w:jc w:val="right"/>
              <w:rPr>
                <w:lang w:val="en-GB"/>
              </w:rPr>
            </w:pPr>
          </w:p>
        </w:tc>
      </w:tr>
      <w:tr w:rsidR="0028127C" w:rsidRPr="003519B9" w14:paraId="3EC3E2AD"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05471F1D" w14:textId="77777777" w:rsidR="0028127C" w:rsidRPr="003519B9" w:rsidRDefault="0028127C" w:rsidP="006D5C35">
            <w:pPr>
              <w:pStyle w:val="ExhibitText"/>
              <w:rPr>
                <w:rFonts w:eastAsia="Arial Unicode MS"/>
                <w:lang w:val="en-GB"/>
              </w:rPr>
            </w:pPr>
            <w:r w:rsidRPr="003519B9">
              <w:rPr>
                <w:lang w:val="en-GB"/>
              </w:rPr>
              <w:t>Preliminary and pre-operative expenses</w:t>
            </w:r>
          </w:p>
        </w:tc>
        <w:tc>
          <w:tcPr>
            <w:tcW w:w="1321" w:type="dxa"/>
            <w:tcBorders>
              <w:top w:val="single" w:sz="4" w:space="0" w:color="auto"/>
              <w:left w:val="single" w:sz="4" w:space="0" w:color="auto"/>
              <w:bottom w:val="single" w:sz="4" w:space="0" w:color="auto"/>
              <w:right w:val="single" w:sz="4" w:space="0" w:color="auto"/>
            </w:tcBorders>
            <w:hideMark/>
          </w:tcPr>
          <w:p w14:paraId="148144AC" w14:textId="77777777" w:rsidR="0028127C" w:rsidRPr="003519B9" w:rsidRDefault="0028127C" w:rsidP="0095697B">
            <w:pPr>
              <w:pStyle w:val="ExhibitText"/>
              <w:jc w:val="right"/>
              <w:rPr>
                <w:lang w:val="en-GB"/>
              </w:rPr>
            </w:pPr>
            <w:r w:rsidRPr="003519B9">
              <w:rPr>
                <w:lang w:val="en-GB"/>
              </w:rPr>
              <w:t>70</w:t>
            </w:r>
          </w:p>
        </w:tc>
        <w:tc>
          <w:tcPr>
            <w:tcW w:w="1670" w:type="dxa"/>
            <w:tcBorders>
              <w:top w:val="single" w:sz="4" w:space="0" w:color="auto"/>
              <w:left w:val="single" w:sz="4" w:space="0" w:color="auto"/>
              <w:bottom w:val="single" w:sz="4" w:space="0" w:color="auto"/>
              <w:right w:val="single" w:sz="4" w:space="0" w:color="auto"/>
            </w:tcBorders>
            <w:hideMark/>
          </w:tcPr>
          <w:p w14:paraId="3E34499C" w14:textId="77777777" w:rsidR="0028127C" w:rsidRPr="003519B9" w:rsidRDefault="0028127C" w:rsidP="0095697B">
            <w:pPr>
              <w:pStyle w:val="ExhibitText"/>
              <w:jc w:val="right"/>
              <w:rPr>
                <w:lang w:val="en-GB"/>
              </w:rPr>
            </w:pPr>
            <w:r w:rsidRPr="003519B9">
              <w:rPr>
                <w:lang w:val="en-GB"/>
              </w:rPr>
              <w:t>70</w:t>
            </w:r>
          </w:p>
        </w:tc>
        <w:tc>
          <w:tcPr>
            <w:tcW w:w="1110" w:type="dxa"/>
            <w:tcBorders>
              <w:top w:val="single" w:sz="4" w:space="0" w:color="auto"/>
              <w:left w:val="single" w:sz="4" w:space="0" w:color="auto"/>
              <w:bottom w:val="single" w:sz="4" w:space="0" w:color="auto"/>
              <w:right w:val="single" w:sz="4" w:space="0" w:color="auto"/>
            </w:tcBorders>
            <w:vAlign w:val="center"/>
            <w:hideMark/>
          </w:tcPr>
          <w:p w14:paraId="76F8B851" w14:textId="77777777" w:rsidR="0028127C" w:rsidRPr="003519B9" w:rsidRDefault="0028127C" w:rsidP="0095697B">
            <w:pPr>
              <w:pStyle w:val="ExhibitText"/>
              <w:jc w:val="right"/>
              <w:rPr>
                <w:lang w:val="en-GB"/>
              </w:rPr>
            </w:pPr>
            <w:r w:rsidRPr="003519B9">
              <w:rPr>
                <w:lang w:val="en-GB"/>
              </w:rPr>
              <w:t>140</w:t>
            </w:r>
          </w:p>
        </w:tc>
      </w:tr>
      <w:tr w:rsidR="0028127C" w:rsidRPr="003519B9" w14:paraId="0ACD9FBC"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7BDBEC5F" w14:textId="77777777" w:rsidR="0028127C" w:rsidRPr="003519B9" w:rsidRDefault="0028127C" w:rsidP="006D5C35">
            <w:pPr>
              <w:pStyle w:val="ExhibitText"/>
              <w:rPr>
                <w:rFonts w:eastAsia="Arial Unicode MS"/>
                <w:lang w:val="en-GB"/>
              </w:rPr>
            </w:pPr>
            <w:r w:rsidRPr="003519B9">
              <w:rPr>
                <w:lang w:val="en-GB"/>
              </w:rPr>
              <w:t>Contingent expenses</w:t>
            </w:r>
          </w:p>
        </w:tc>
        <w:tc>
          <w:tcPr>
            <w:tcW w:w="1321" w:type="dxa"/>
            <w:tcBorders>
              <w:top w:val="single" w:sz="4" w:space="0" w:color="auto"/>
              <w:left w:val="single" w:sz="4" w:space="0" w:color="auto"/>
              <w:bottom w:val="single" w:sz="4" w:space="0" w:color="auto"/>
              <w:right w:val="single" w:sz="4" w:space="0" w:color="auto"/>
            </w:tcBorders>
            <w:hideMark/>
          </w:tcPr>
          <w:p w14:paraId="3F07FD6F" w14:textId="77777777" w:rsidR="0028127C" w:rsidRPr="003519B9" w:rsidRDefault="0028127C" w:rsidP="0095697B">
            <w:pPr>
              <w:pStyle w:val="ExhibitText"/>
              <w:jc w:val="right"/>
              <w:rPr>
                <w:lang w:val="en-GB"/>
              </w:rPr>
            </w:pPr>
            <w:r w:rsidRPr="003519B9">
              <w:rPr>
                <w:lang w:val="en-GB"/>
              </w:rPr>
              <w:t>110</w:t>
            </w:r>
          </w:p>
        </w:tc>
        <w:tc>
          <w:tcPr>
            <w:tcW w:w="1670" w:type="dxa"/>
            <w:tcBorders>
              <w:top w:val="single" w:sz="4" w:space="0" w:color="auto"/>
              <w:left w:val="single" w:sz="4" w:space="0" w:color="auto"/>
              <w:bottom w:val="single" w:sz="4" w:space="0" w:color="auto"/>
              <w:right w:val="single" w:sz="4" w:space="0" w:color="auto"/>
            </w:tcBorders>
            <w:hideMark/>
          </w:tcPr>
          <w:p w14:paraId="30926E28" w14:textId="77777777" w:rsidR="0028127C" w:rsidRPr="003519B9" w:rsidRDefault="0028127C" w:rsidP="0095697B">
            <w:pPr>
              <w:pStyle w:val="ExhibitText"/>
              <w:jc w:val="right"/>
              <w:rPr>
                <w:lang w:val="en-GB"/>
              </w:rPr>
            </w:pPr>
            <w:r w:rsidRPr="003519B9">
              <w:rPr>
                <w:lang w:val="en-GB"/>
              </w:rPr>
              <w:t>120</w:t>
            </w:r>
          </w:p>
        </w:tc>
        <w:tc>
          <w:tcPr>
            <w:tcW w:w="1110" w:type="dxa"/>
            <w:tcBorders>
              <w:top w:val="single" w:sz="4" w:space="0" w:color="auto"/>
              <w:left w:val="single" w:sz="4" w:space="0" w:color="auto"/>
              <w:bottom w:val="single" w:sz="4" w:space="0" w:color="auto"/>
              <w:right w:val="single" w:sz="4" w:space="0" w:color="auto"/>
            </w:tcBorders>
            <w:hideMark/>
          </w:tcPr>
          <w:p w14:paraId="7C98BE68" w14:textId="77777777" w:rsidR="0028127C" w:rsidRPr="003519B9" w:rsidRDefault="0028127C" w:rsidP="0095697B">
            <w:pPr>
              <w:pStyle w:val="ExhibitText"/>
              <w:jc w:val="right"/>
              <w:rPr>
                <w:lang w:val="en-GB"/>
              </w:rPr>
            </w:pPr>
            <w:r w:rsidRPr="003519B9">
              <w:rPr>
                <w:lang w:val="en-GB"/>
              </w:rPr>
              <w:t>230</w:t>
            </w:r>
          </w:p>
        </w:tc>
      </w:tr>
      <w:tr w:rsidR="0028127C" w:rsidRPr="003519B9" w14:paraId="082735DE"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0D759DD5" w14:textId="77777777" w:rsidR="0028127C" w:rsidRPr="003519B9" w:rsidRDefault="0028127C" w:rsidP="006D5C35">
            <w:pPr>
              <w:pStyle w:val="ExhibitText"/>
              <w:rPr>
                <w:rFonts w:eastAsia="Arial Unicode MS"/>
                <w:lang w:val="en-GB"/>
              </w:rPr>
            </w:pPr>
            <w:r w:rsidRPr="003519B9">
              <w:rPr>
                <w:lang w:val="en-GB"/>
              </w:rPr>
              <w:t xml:space="preserve">Interest during construction </w:t>
            </w:r>
          </w:p>
        </w:tc>
        <w:tc>
          <w:tcPr>
            <w:tcW w:w="1321" w:type="dxa"/>
            <w:tcBorders>
              <w:top w:val="single" w:sz="4" w:space="0" w:color="auto"/>
              <w:left w:val="single" w:sz="4" w:space="0" w:color="auto"/>
              <w:bottom w:val="single" w:sz="4" w:space="0" w:color="auto"/>
              <w:right w:val="single" w:sz="4" w:space="0" w:color="auto"/>
            </w:tcBorders>
            <w:hideMark/>
          </w:tcPr>
          <w:p w14:paraId="7434A022" w14:textId="77777777" w:rsidR="0028127C" w:rsidRPr="003519B9" w:rsidRDefault="0028127C" w:rsidP="0095697B">
            <w:pPr>
              <w:pStyle w:val="ExhibitText"/>
              <w:jc w:val="right"/>
              <w:rPr>
                <w:lang w:val="en-GB"/>
              </w:rPr>
            </w:pPr>
            <w:r w:rsidRPr="003519B9">
              <w:rPr>
                <w:lang w:val="en-GB"/>
              </w:rPr>
              <w:t>760</w:t>
            </w:r>
          </w:p>
        </w:tc>
        <w:tc>
          <w:tcPr>
            <w:tcW w:w="1670" w:type="dxa"/>
            <w:tcBorders>
              <w:top w:val="single" w:sz="4" w:space="0" w:color="auto"/>
              <w:left w:val="single" w:sz="4" w:space="0" w:color="auto"/>
              <w:bottom w:val="single" w:sz="4" w:space="0" w:color="auto"/>
              <w:right w:val="single" w:sz="4" w:space="0" w:color="auto"/>
            </w:tcBorders>
            <w:hideMark/>
          </w:tcPr>
          <w:p w14:paraId="21F03B8E" w14:textId="77777777" w:rsidR="0028127C" w:rsidRPr="003519B9" w:rsidRDefault="0028127C" w:rsidP="0095697B">
            <w:pPr>
              <w:pStyle w:val="ExhibitText"/>
              <w:jc w:val="right"/>
              <w:rPr>
                <w:lang w:val="en-GB"/>
              </w:rPr>
            </w:pPr>
            <w:r w:rsidRPr="003519B9">
              <w:rPr>
                <w:lang w:val="en-GB"/>
              </w:rPr>
              <w:t>830</w:t>
            </w:r>
          </w:p>
        </w:tc>
        <w:tc>
          <w:tcPr>
            <w:tcW w:w="1110" w:type="dxa"/>
            <w:tcBorders>
              <w:top w:val="single" w:sz="4" w:space="0" w:color="auto"/>
              <w:left w:val="single" w:sz="4" w:space="0" w:color="auto"/>
              <w:bottom w:val="single" w:sz="4" w:space="0" w:color="auto"/>
              <w:right w:val="single" w:sz="4" w:space="0" w:color="auto"/>
            </w:tcBorders>
            <w:hideMark/>
          </w:tcPr>
          <w:p w14:paraId="18296C2A" w14:textId="77777777" w:rsidR="0028127C" w:rsidRPr="003519B9" w:rsidRDefault="002E1330" w:rsidP="002E1330">
            <w:pPr>
              <w:pStyle w:val="ExhibitText"/>
              <w:jc w:val="right"/>
              <w:rPr>
                <w:lang w:val="en-GB"/>
              </w:rPr>
            </w:pPr>
            <w:r w:rsidRPr="003519B9">
              <w:rPr>
                <w:lang w:val="en-GB"/>
              </w:rPr>
              <w:t>****</w:t>
            </w:r>
            <w:r w:rsidR="0028127C" w:rsidRPr="003519B9">
              <w:rPr>
                <w:lang w:val="en-GB"/>
              </w:rPr>
              <w:t>1,590</w:t>
            </w:r>
          </w:p>
        </w:tc>
      </w:tr>
      <w:tr w:rsidR="0028127C" w:rsidRPr="003519B9" w14:paraId="7EA06821" w14:textId="77777777" w:rsidTr="00D33C29">
        <w:trPr>
          <w:trHeight w:val="255"/>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634A3860" w14:textId="77777777" w:rsidR="0028127C" w:rsidRPr="003519B9" w:rsidRDefault="0028127C" w:rsidP="006D5C35">
            <w:pPr>
              <w:pStyle w:val="ExhibitText"/>
              <w:rPr>
                <w:rFonts w:eastAsia="Arial Unicode MS"/>
                <w:lang w:val="en-GB"/>
              </w:rPr>
            </w:pPr>
            <w:r w:rsidRPr="003519B9">
              <w:rPr>
                <w:lang w:val="en-GB"/>
              </w:rPr>
              <w:t>Margin money for working capital</w:t>
            </w:r>
          </w:p>
        </w:tc>
        <w:tc>
          <w:tcPr>
            <w:tcW w:w="1321" w:type="dxa"/>
            <w:tcBorders>
              <w:top w:val="single" w:sz="4" w:space="0" w:color="auto"/>
              <w:left w:val="single" w:sz="4" w:space="0" w:color="auto"/>
              <w:bottom w:val="single" w:sz="4" w:space="0" w:color="auto"/>
              <w:right w:val="single" w:sz="4" w:space="0" w:color="auto"/>
            </w:tcBorders>
            <w:hideMark/>
          </w:tcPr>
          <w:p w14:paraId="31619397" w14:textId="77777777" w:rsidR="0028127C" w:rsidRPr="003519B9" w:rsidRDefault="0028127C" w:rsidP="0095697B">
            <w:pPr>
              <w:pStyle w:val="ExhibitText"/>
              <w:jc w:val="right"/>
              <w:rPr>
                <w:lang w:val="en-GB"/>
              </w:rPr>
            </w:pPr>
            <w:r w:rsidRPr="003519B9">
              <w:rPr>
                <w:lang w:val="en-GB"/>
              </w:rPr>
              <w:t>150</w:t>
            </w:r>
          </w:p>
        </w:tc>
        <w:tc>
          <w:tcPr>
            <w:tcW w:w="1670" w:type="dxa"/>
            <w:tcBorders>
              <w:top w:val="single" w:sz="4" w:space="0" w:color="auto"/>
              <w:left w:val="single" w:sz="4" w:space="0" w:color="auto"/>
              <w:bottom w:val="single" w:sz="4" w:space="0" w:color="auto"/>
              <w:right w:val="single" w:sz="4" w:space="0" w:color="auto"/>
            </w:tcBorders>
            <w:hideMark/>
          </w:tcPr>
          <w:p w14:paraId="0767E419" w14:textId="77777777" w:rsidR="0028127C" w:rsidRPr="003519B9" w:rsidRDefault="0028127C" w:rsidP="0095697B">
            <w:pPr>
              <w:pStyle w:val="ExhibitText"/>
              <w:jc w:val="right"/>
              <w:rPr>
                <w:lang w:val="en-GB"/>
              </w:rPr>
            </w:pPr>
            <w:r w:rsidRPr="003519B9">
              <w:rPr>
                <w:lang w:val="en-GB"/>
              </w:rPr>
              <w:t>160</w:t>
            </w:r>
          </w:p>
        </w:tc>
        <w:tc>
          <w:tcPr>
            <w:tcW w:w="1110" w:type="dxa"/>
            <w:tcBorders>
              <w:top w:val="single" w:sz="4" w:space="0" w:color="auto"/>
              <w:left w:val="single" w:sz="4" w:space="0" w:color="auto"/>
              <w:bottom w:val="single" w:sz="4" w:space="0" w:color="auto"/>
              <w:right w:val="single" w:sz="4" w:space="0" w:color="auto"/>
            </w:tcBorders>
            <w:hideMark/>
          </w:tcPr>
          <w:p w14:paraId="37A63733" w14:textId="77777777" w:rsidR="0028127C" w:rsidRPr="003519B9" w:rsidRDefault="002E1330" w:rsidP="002E1330">
            <w:pPr>
              <w:pStyle w:val="ExhibitText"/>
              <w:jc w:val="right"/>
              <w:rPr>
                <w:lang w:val="en-GB"/>
              </w:rPr>
            </w:pPr>
            <w:r w:rsidRPr="003519B9">
              <w:rPr>
                <w:lang w:val="en-GB"/>
              </w:rPr>
              <w:t>*****</w:t>
            </w:r>
            <w:r w:rsidR="0028127C" w:rsidRPr="003519B9">
              <w:rPr>
                <w:lang w:val="en-GB"/>
              </w:rPr>
              <w:t>310</w:t>
            </w:r>
          </w:p>
        </w:tc>
      </w:tr>
      <w:tr w:rsidR="0028127C" w:rsidRPr="003519B9" w14:paraId="2F57A670" w14:textId="77777777" w:rsidTr="00D33C29">
        <w:trPr>
          <w:trHeight w:val="270"/>
          <w:jc w:val="center"/>
        </w:trPr>
        <w:tc>
          <w:tcPr>
            <w:tcW w:w="4208" w:type="dxa"/>
            <w:tcBorders>
              <w:top w:val="single" w:sz="4" w:space="0" w:color="auto"/>
              <w:left w:val="single" w:sz="4" w:space="0" w:color="auto"/>
              <w:bottom w:val="single" w:sz="4" w:space="0" w:color="auto"/>
              <w:right w:val="single" w:sz="4" w:space="0" w:color="auto"/>
            </w:tcBorders>
            <w:noWrap/>
            <w:vAlign w:val="bottom"/>
            <w:hideMark/>
          </w:tcPr>
          <w:p w14:paraId="6AC7BA90" w14:textId="77777777" w:rsidR="0028127C" w:rsidRPr="003519B9" w:rsidRDefault="0028127C" w:rsidP="006D5C35">
            <w:pPr>
              <w:pStyle w:val="ExhibitText"/>
              <w:rPr>
                <w:rFonts w:eastAsia="Arial Unicode MS"/>
                <w:b/>
                <w:lang w:val="en-GB"/>
              </w:rPr>
            </w:pPr>
            <w:r w:rsidRPr="003519B9">
              <w:rPr>
                <w:b/>
                <w:lang w:val="en-GB"/>
              </w:rPr>
              <w:t>Total Cost of Projects</w:t>
            </w:r>
          </w:p>
        </w:tc>
        <w:tc>
          <w:tcPr>
            <w:tcW w:w="1321" w:type="dxa"/>
            <w:tcBorders>
              <w:top w:val="single" w:sz="4" w:space="0" w:color="auto"/>
              <w:left w:val="single" w:sz="4" w:space="0" w:color="auto"/>
              <w:bottom w:val="single" w:sz="4" w:space="0" w:color="auto"/>
              <w:right w:val="single" w:sz="4" w:space="0" w:color="auto"/>
            </w:tcBorders>
            <w:hideMark/>
          </w:tcPr>
          <w:p w14:paraId="0B4D1AD4" w14:textId="77777777" w:rsidR="0028127C" w:rsidRPr="003519B9" w:rsidRDefault="00494D80" w:rsidP="0095697B">
            <w:pPr>
              <w:pStyle w:val="ExhibitText"/>
              <w:jc w:val="right"/>
              <w:rPr>
                <w:b/>
                <w:lang w:val="en-GB"/>
              </w:rPr>
            </w:pPr>
            <w:r w:rsidRPr="003519B9">
              <w:rPr>
                <w:b/>
                <w:lang w:val="en-GB"/>
              </w:rPr>
              <w:fldChar w:fldCharType="begin"/>
            </w:r>
            <w:r w:rsidR="0028127C" w:rsidRPr="003519B9">
              <w:rPr>
                <w:b/>
                <w:lang w:val="en-GB"/>
              </w:rPr>
              <w:instrText xml:space="preserve"> =SUM(ABOVE) </w:instrText>
            </w:r>
            <w:r w:rsidRPr="003519B9">
              <w:rPr>
                <w:b/>
                <w:lang w:val="en-GB"/>
              </w:rPr>
              <w:fldChar w:fldCharType="separate"/>
            </w:r>
            <w:r w:rsidR="0028127C" w:rsidRPr="003519B9">
              <w:rPr>
                <w:b/>
                <w:lang w:val="en-GB"/>
              </w:rPr>
              <w:t>6,66</w:t>
            </w:r>
            <w:r w:rsidRPr="003519B9">
              <w:rPr>
                <w:b/>
                <w:lang w:val="en-GB"/>
              </w:rPr>
              <w:fldChar w:fldCharType="end"/>
            </w:r>
            <w:r w:rsidR="0028127C" w:rsidRPr="003519B9">
              <w:rPr>
                <w:b/>
                <w:lang w:val="en-GB"/>
              </w:rPr>
              <w:t>0</w:t>
            </w:r>
          </w:p>
        </w:tc>
        <w:tc>
          <w:tcPr>
            <w:tcW w:w="1670" w:type="dxa"/>
            <w:tcBorders>
              <w:top w:val="single" w:sz="4" w:space="0" w:color="auto"/>
              <w:left w:val="single" w:sz="4" w:space="0" w:color="auto"/>
              <w:bottom w:val="single" w:sz="4" w:space="0" w:color="auto"/>
              <w:right w:val="single" w:sz="4" w:space="0" w:color="auto"/>
            </w:tcBorders>
            <w:hideMark/>
          </w:tcPr>
          <w:p w14:paraId="280AFBE0" w14:textId="77777777" w:rsidR="0028127C" w:rsidRPr="003519B9" w:rsidRDefault="00494D80" w:rsidP="0095697B">
            <w:pPr>
              <w:pStyle w:val="ExhibitText"/>
              <w:jc w:val="right"/>
              <w:rPr>
                <w:b/>
                <w:lang w:val="en-GB"/>
              </w:rPr>
            </w:pPr>
            <w:r w:rsidRPr="003519B9">
              <w:rPr>
                <w:b/>
                <w:lang w:val="en-GB"/>
              </w:rPr>
              <w:fldChar w:fldCharType="begin"/>
            </w:r>
            <w:r w:rsidR="0028127C" w:rsidRPr="003519B9">
              <w:rPr>
                <w:b/>
                <w:lang w:val="en-GB"/>
              </w:rPr>
              <w:instrText xml:space="preserve"> =SUM(ABOVE) </w:instrText>
            </w:r>
            <w:r w:rsidRPr="003519B9">
              <w:rPr>
                <w:b/>
                <w:lang w:val="en-GB"/>
              </w:rPr>
              <w:fldChar w:fldCharType="separate"/>
            </w:r>
            <w:r w:rsidR="0028127C" w:rsidRPr="003519B9">
              <w:rPr>
                <w:b/>
                <w:lang w:val="en-GB"/>
              </w:rPr>
              <w:t>7,20</w:t>
            </w:r>
            <w:r w:rsidRPr="003519B9">
              <w:rPr>
                <w:b/>
                <w:lang w:val="en-GB"/>
              </w:rPr>
              <w:fldChar w:fldCharType="end"/>
            </w:r>
            <w:r w:rsidR="0028127C" w:rsidRPr="003519B9">
              <w:rPr>
                <w:b/>
                <w:lang w:val="en-GB"/>
              </w:rPr>
              <w:t>0</w:t>
            </w:r>
          </w:p>
        </w:tc>
        <w:tc>
          <w:tcPr>
            <w:tcW w:w="1110" w:type="dxa"/>
            <w:tcBorders>
              <w:top w:val="single" w:sz="4" w:space="0" w:color="auto"/>
              <w:left w:val="single" w:sz="4" w:space="0" w:color="auto"/>
              <w:bottom w:val="single" w:sz="4" w:space="0" w:color="auto"/>
              <w:right w:val="single" w:sz="4" w:space="0" w:color="auto"/>
            </w:tcBorders>
            <w:hideMark/>
          </w:tcPr>
          <w:p w14:paraId="486D9771" w14:textId="77777777" w:rsidR="0028127C" w:rsidRPr="003519B9" w:rsidRDefault="00494D80" w:rsidP="0095697B">
            <w:pPr>
              <w:pStyle w:val="ExhibitText"/>
              <w:jc w:val="right"/>
              <w:rPr>
                <w:b/>
                <w:lang w:val="en-GB"/>
              </w:rPr>
            </w:pPr>
            <w:r w:rsidRPr="003519B9">
              <w:rPr>
                <w:b/>
                <w:lang w:val="en-GB"/>
              </w:rPr>
              <w:fldChar w:fldCharType="begin"/>
            </w:r>
            <w:r w:rsidR="0028127C" w:rsidRPr="003519B9">
              <w:rPr>
                <w:b/>
                <w:lang w:val="en-GB"/>
              </w:rPr>
              <w:instrText xml:space="preserve"> =SUM(ABOVE) </w:instrText>
            </w:r>
            <w:r w:rsidRPr="003519B9">
              <w:rPr>
                <w:b/>
                <w:lang w:val="en-GB"/>
              </w:rPr>
              <w:fldChar w:fldCharType="separate"/>
            </w:r>
            <w:r w:rsidR="0028127C" w:rsidRPr="003519B9">
              <w:rPr>
                <w:b/>
                <w:lang w:val="en-GB"/>
              </w:rPr>
              <w:t>13,86</w:t>
            </w:r>
            <w:r w:rsidRPr="003519B9">
              <w:rPr>
                <w:b/>
                <w:lang w:val="en-GB"/>
              </w:rPr>
              <w:fldChar w:fldCharType="end"/>
            </w:r>
            <w:r w:rsidR="0028127C" w:rsidRPr="003519B9">
              <w:rPr>
                <w:b/>
                <w:lang w:val="en-GB"/>
              </w:rPr>
              <w:t>0</w:t>
            </w:r>
          </w:p>
        </w:tc>
      </w:tr>
    </w:tbl>
    <w:p w14:paraId="5098EF1A" w14:textId="77777777" w:rsidR="0028127C" w:rsidRPr="003519B9" w:rsidRDefault="0028127C" w:rsidP="00242175">
      <w:pPr>
        <w:pStyle w:val="Footnote"/>
        <w:rPr>
          <w:lang w:val="en-GB"/>
        </w:rPr>
      </w:pPr>
    </w:p>
    <w:p w14:paraId="16199F2D" w14:textId="4E626851" w:rsidR="0028127C" w:rsidRPr="003519B9" w:rsidRDefault="00D052F6" w:rsidP="00242175">
      <w:pPr>
        <w:pStyle w:val="Footnote"/>
        <w:rPr>
          <w:lang w:val="en-GB"/>
        </w:rPr>
      </w:pPr>
      <w:r w:rsidRPr="003519B9">
        <w:rPr>
          <w:lang w:val="en-GB"/>
        </w:rPr>
        <w:t>*</w:t>
      </w:r>
      <w:r w:rsidR="00A30E7C" w:rsidRPr="003519B9">
        <w:rPr>
          <w:lang w:val="en-GB"/>
        </w:rPr>
        <w:t>I</w:t>
      </w:r>
      <w:r w:rsidR="0028127C" w:rsidRPr="003519B9">
        <w:rPr>
          <w:lang w:val="en-GB"/>
        </w:rPr>
        <w:t>ncluding</w:t>
      </w:r>
      <w:r w:rsidR="0037639C" w:rsidRPr="003519B9">
        <w:rPr>
          <w:lang w:val="en-GB"/>
        </w:rPr>
        <w:t xml:space="preserve"> </w:t>
      </w:r>
      <w:r w:rsidR="00A30E7C" w:rsidRPr="003519B9">
        <w:rPr>
          <w:lang w:val="en-GB"/>
        </w:rPr>
        <w:t>b</w:t>
      </w:r>
      <w:r w:rsidR="0028127C" w:rsidRPr="003519B9">
        <w:rPr>
          <w:lang w:val="en-GB"/>
        </w:rPr>
        <w:t>oiler</w:t>
      </w:r>
      <w:r w:rsidR="007F77B0" w:rsidRPr="003519B9">
        <w:rPr>
          <w:lang w:val="en-GB"/>
        </w:rPr>
        <w:t>,</w:t>
      </w:r>
      <w:r w:rsidR="0037639C" w:rsidRPr="003519B9">
        <w:rPr>
          <w:lang w:val="en-GB"/>
        </w:rPr>
        <w:t xml:space="preserve"> </w:t>
      </w:r>
      <w:r w:rsidR="00A30E7C" w:rsidRPr="003519B9">
        <w:rPr>
          <w:lang w:val="en-GB"/>
        </w:rPr>
        <w:t>t</w:t>
      </w:r>
      <w:r w:rsidR="0028127C" w:rsidRPr="003519B9">
        <w:rPr>
          <w:lang w:val="en-GB"/>
        </w:rPr>
        <w:t>urbine</w:t>
      </w:r>
      <w:r w:rsidR="007F77B0" w:rsidRPr="003519B9">
        <w:rPr>
          <w:lang w:val="en-GB"/>
        </w:rPr>
        <w:t>,</w:t>
      </w:r>
      <w:r w:rsidR="0028127C" w:rsidRPr="003519B9">
        <w:rPr>
          <w:lang w:val="en-GB"/>
        </w:rPr>
        <w:t xml:space="preserve"> and </w:t>
      </w:r>
      <w:r w:rsidR="00291F43" w:rsidRPr="003519B9">
        <w:rPr>
          <w:lang w:val="en-GB"/>
        </w:rPr>
        <w:t>g</w:t>
      </w:r>
      <w:r w:rsidR="0028127C" w:rsidRPr="003519B9">
        <w:rPr>
          <w:lang w:val="en-GB"/>
        </w:rPr>
        <w:t xml:space="preserve">enerator. Generally, </w:t>
      </w:r>
      <w:r w:rsidR="007F77B0" w:rsidRPr="003519B9">
        <w:rPr>
          <w:lang w:val="en-GB"/>
        </w:rPr>
        <w:t>the boiler, turbine, and generator</w:t>
      </w:r>
      <w:r w:rsidR="0028127C" w:rsidRPr="003519B9">
        <w:rPr>
          <w:lang w:val="en-GB"/>
        </w:rPr>
        <w:t xml:space="preserve"> </w:t>
      </w:r>
      <w:r w:rsidR="00E932C7" w:rsidRPr="003519B9">
        <w:rPr>
          <w:lang w:val="en-GB"/>
        </w:rPr>
        <w:t xml:space="preserve">was </w:t>
      </w:r>
      <w:r w:rsidR="0028127C" w:rsidRPr="003519B9">
        <w:rPr>
          <w:lang w:val="en-GB"/>
        </w:rPr>
        <w:t xml:space="preserve">the vital component of the thermal power plant and </w:t>
      </w:r>
      <w:r w:rsidR="00E932C7" w:rsidRPr="003519B9">
        <w:rPr>
          <w:lang w:val="en-GB"/>
        </w:rPr>
        <w:t xml:space="preserve">comprised </w:t>
      </w:r>
      <w:r w:rsidR="0028127C" w:rsidRPr="003519B9">
        <w:rPr>
          <w:lang w:val="en-GB"/>
        </w:rPr>
        <w:t>around 50 per cent of its</w:t>
      </w:r>
      <w:r w:rsidR="0037639C" w:rsidRPr="003519B9">
        <w:rPr>
          <w:lang w:val="en-GB"/>
        </w:rPr>
        <w:t xml:space="preserve"> </w:t>
      </w:r>
      <w:r w:rsidR="0028127C" w:rsidRPr="003519B9">
        <w:rPr>
          <w:lang w:val="en-GB"/>
        </w:rPr>
        <w:t>total project cost.</w:t>
      </w:r>
    </w:p>
    <w:p w14:paraId="6FFC35F2" w14:textId="3048D779" w:rsidR="0028127C" w:rsidRPr="003519B9" w:rsidRDefault="00D052F6" w:rsidP="00242175">
      <w:pPr>
        <w:pStyle w:val="Footnote"/>
        <w:rPr>
          <w:lang w:val="en-GB"/>
        </w:rPr>
      </w:pPr>
      <w:r w:rsidRPr="003519B9">
        <w:rPr>
          <w:lang w:val="en-GB"/>
        </w:rPr>
        <w:t>**</w:t>
      </w:r>
      <w:r w:rsidR="00A30E7C" w:rsidRPr="003519B9">
        <w:rPr>
          <w:lang w:val="en-GB"/>
        </w:rPr>
        <w:t xml:space="preserve">This figure </w:t>
      </w:r>
      <w:r w:rsidR="00E932C7" w:rsidRPr="003519B9">
        <w:rPr>
          <w:lang w:val="en-GB"/>
        </w:rPr>
        <w:t xml:space="preserve">was </w:t>
      </w:r>
      <w:r w:rsidR="00A30E7C" w:rsidRPr="003519B9">
        <w:rPr>
          <w:lang w:val="en-GB"/>
        </w:rPr>
        <w:t>b</w:t>
      </w:r>
      <w:r w:rsidR="0028127C" w:rsidRPr="003519B9">
        <w:rPr>
          <w:lang w:val="en-GB"/>
        </w:rPr>
        <w:t>ased on the estimates given by the architect</w:t>
      </w:r>
      <w:r w:rsidR="00A30E7C" w:rsidRPr="003519B9">
        <w:rPr>
          <w:lang w:val="en-GB"/>
        </w:rPr>
        <w:t>.</w:t>
      </w:r>
    </w:p>
    <w:p w14:paraId="39AE7263" w14:textId="0A325734" w:rsidR="0028127C" w:rsidRPr="003519B9" w:rsidRDefault="00D052F6" w:rsidP="00242175">
      <w:pPr>
        <w:pStyle w:val="Footnote"/>
        <w:rPr>
          <w:lang w:val="en-GB"/>
        </w:rPr>
      </w:pPr>
      <w:r w:rsidRPr="003519B9">
        <w:rPr>
          <w:lang w:val="en-GB"/>
        </w:rPr>
        <w:t>***</w:t>
      </w:r>
      <w:r w:rsidR="00A30E7C" w:rsidRPr="003519B9">
        <w:rPr>
          <w:lang w:val="en-GB"/>
        </w:rPr>
        <w:t xml:space="preserve">This figure </w:t>
      </w:r>
      <w:r w:rsidR="00E932C7" w:rsidRPr="003519B9">
        <w:rPr>
          <w:lang w:val="en-GB"/>
        </w:rPr>
        <w:t xml:space="preserve">included </w:t>
      </w:r>
      <w:r w:rsidR="00A30E7C" w:rsidRPr="003519B9">
        <w:rPr>
          <w:lang w:val="en-GB"/>
        </w:rPr>
        <w:t>the</w:t>
      </w:r>
      <w:r w:rsidR="0028127C" w:rsidRPr="003519B9">
        <w:rPr>
          <w:lang w:val="en-GB"/>
        </w:rPr>
        <w:t xml:space="preserve"> cost of transmission line of ₹950</w:t>
      </w:r>
      <w:r w:rsidR="00E932C7" w:rsidRPr="003519B9">
        <w:rPr>
          <w:lang w:val="en-GB"/>
        </w:rPr>
        <w:t xml:space="preserve"> </w:t>
      </w:r>
      <w:r w:rsidR="0028127C" w:rsidRPr="003519B9">
        <w:rPr>
          <w:lang w:val="en-GB"/>
        </w:rPr>
        <w:t>million from the sites of the projects to the power grid/station</w:t>
      </w:r>
      <w:r w:rsidR="00A30E7C" w:rsidRPr="003519B9">
        <w:rPr>
          <w:lang w:val="en-GB"/>
        </w:rPr>
        <w:t>.</w:t>
      </w:r>
    </w:p>
    <w:p w14:paraId="746701F9" w14:textId="77777777" w:rsidR="0028127C" w:rsidRPr="003519B9" w:rsidRDefault="0028127C" w:rsidP="00242175">
      <w:pPr>
        <w:pStyle w:val="Footnote"/>
        <w:rPr>
          <w:lang w:val="en-GB"/>
        </w:rPr>
      </w:pPr>
      <w:r w:rsidRPr="003519B9">
        <w:rPr>
          <w:lang w:val="en-GB"/>
        </w:rPr>
        <w:t>*</w:t>
      </w:r>
      <w:r w:rsidR="00D052F6" w:rsidRPr="003519B9">
        <w:rPr>
          <w:lang w:val="en-GB"/>
        </w:rPr>
        <w:t>***</w:t>
      </w:r>
      <w:r w:rsidRPr="003519B9">
        <w:rPr>
          <w:lang w:val="en-GB"/>
        </w:rPr>
        <w:t xml:space="preserve"> Interest during construction was computed based on proposed disbursements of term loan as per the implementation schedule of projects. Promoters of NBEIL proposed bring</w:t>
      </w:r>
      <w:r w:rsidR="00A30E7C" w:rsidRPr="003519B9">
        <w:rPr>
          <w:lang w:val="en-GB"/>
        </w:rPr>
        <w:t>ing</w:t>
      </w:r>
      <w:r w:rsidRPr="003519B9">
        <w:rPr>
          <w:lang w:val="en-GB"/>
        </w:rPr>
        <w:t xml:space="preserve"> in equity of 25 per cent upfront for the projects.</w:t>
      </w:r>
    </w:p>
    <w:p w14:paraId="2EC3AEA3" w14:textId="484825E1" w:rsidR="0028127C" w:rsidRPr="003519B9" w:rsidRDefault="00D052F6" w:rsidP="00242175">
      <w:pPr>
        <w:pStyle w:val="Footnote"/>
        <w:rPr>
          <w:lang w:val="en-GB"/>
        </w:rPr>
      </w:pPr>
      <w:r w:rsidRPr="003519B9">
        <w:rPr>
          <w:lang w:val="en-GB"/>
        </w:rPr>
        <w:t>*****</w:t>
      </w:r>
      <w:r w:rsidR="0028127C" w:rsidRPr="003519B9">
        <w:rPr>
          <w:lang w:val="en-GB"/>
        </w:rPr>
        <w:t xml:space="preserve"> The total current assets of the company during FY 2012</w:t>
      </w:r>
      <w:r w:rsidR="00E932C7" w:rsidRPr="003519B9">
        <w:rPr>
          <w:lang w:val="en-GB"/>
        </w:rPr>
        <w:t>–</w:t>
      </w:r>
      <w:r w:rsidR="0028127C" w:rsidRPr="003519B9">
        <w:rPr>
          <w:lang w:val="en-GB"/>
        </w:rPr>
        <w:t>13 (i.e., the first year of commercial operation of the projects) were estimated at ₹1.24 billion, which included two months’ stock of raw material, receivables for one month</w:t>
      </w:r>
      <w:r w:rsidR="00291F43" w:rsidRPr="003519B9">
        <w:rPr>
          <w:lang w:val="en-GB"/>
        </w:rPr>
        <w:t>,</w:t>
      </w:r>
      <w:r w:rsidR="0028127C" w:rsidRPr="003519B9">
        <w:rPr>
          <w:lang w:val="en-GB"/>
        </w:rPr>
        <w:t xml:space="preserve"> and </w:t>
      </w:r>
      <w:r w:rsidR="00291F43" w:rsidRPr="003519B9">
        <w:rPr>
          <w:lang w:val="en-GB"/>
        </w:rPr>
        <w:t>1</w:t>
      </w:r>
      <w:r w:rsidR="0028127C" w:rsidRPr="003519B9">
        <w:rPr>
          <w:lang w:val="en-GB"/>
        </w:rPr>
        <w:t xml:space="preserve"> per cent of the</w:t>
      </w:r>
      <w:r w:rsidR="0037639C" w:rsidRPr="003519B9">
        <w:rPr>
          <w:lang w:val="en-GB"/>
        </w:rPr>
        <w:t xml:space="preserve"> </w:t>
      </w:r>
      <w:r w:rsidR="0028127C" w:rsidRPr="003519B9">
        <w:rPr>
          <w:lang w:val="en-GB"/>
        </w:rPr>
        <w:t xml:space="preserve">gross block for maintenance spares. The working capital borrowing was considered </w:t>
      </w:r>
      <w:r w:rsidR="00291F43" w:rsidRPr="003519B9">
        <w:rPr>
          <w:lang w:val="en-GB"/>
        </w:rPr>
        <w:t xml:space="preserve">to be </w:t>
      </w:r>
      <w:r w:rsidR="0028127C" w:rsidRPr="003519B9">
        <w:rPr>
          <w:lang w:val="en-GB"/>
        </w:rPr>
        <w:t>75 per cent of the current assets, which worked out to ₹930</w:t>
      </w:r>
      <w:r w:rsidR="00E932C7" w:rsidRPr="003519B9">
        <w:rPr>
          <w:lang w:val="en-GB"/>
        </w:rPr>
        <w:t xml:space="preserve"> </w:t>
      </w:r>
      <w:r w:rsidR="0028127C" w:rsidRPr="003519B9">
        <w:rPr>
          <w:lang w:val="en-GB"/>
        </w:rPr>
        <w:t>million</w:t>
      </w:r>
      <w:r w:rsidR="00291F43" w:rsidRPr="003519B9">
        <w:rPr>
          <w:lang w:val="en-GB"/>
        </w:rPr>
        <w:t>,</w:t>
      </w:r>
      <w:r w:rsidR="0028127C" w:rsidRPr="003519B9">
        <w:rPr>
          <w:lang w:val="en-GB"/>
        </w:rPr>
        <w:t xml:space="preserve"> and a provision of ₹310 million was made toward margin money for working capital.</w:t>
      </w:r>
    </w:p>
    <w:p w14:paraId="7C580C24" w14:textId="76969857" w:rsidR="0028127C" w:rsidRPr="003519B9" w:rsidRDefault="0028127C" w:rsidP="00242175">
      <w:pPr>
        <w:pStyle w:val="Footnote"/>
        <w:rPr>
          <w:b/>
          <w:sz w:val="22"/>
          <w:szCs w:val="22"/>
          <w:lang w:val="en-GB"/>
        </w:rPr>
      </w:pPr>
      <w:r w:rsidRPr="003519B9">
        <w:rPr>
          <w:lang w:val="en-GB"/>
        </w:rPr>
        <w:t>Source:</w:t>
      </w:r>
      <w:r w:rsidR="0037639C" w:rsidRPr="003519B9">
        <w:rPr>
          <w:lang w:val="en-GB"/>
        </w:rPr>
        <w:t xml:space="preserve"> </w:t>
      </w:r>
      <w:r w:rsidRPr="003519B9">
        <w:rPr>
          <w:lang w:val="en-GB"/>
        </w:rPr>
        <w:t>Company</w:t>
      </w:r>
      <w:r w:rsidR="0037639C" w:rsidRPr="003519B9">
        <w:rPr>
          <w:lang w:val="en-GB"/>
        </w:rPr>
        <w:t xml:space="preserve"> </w:t>
      </w:r>
      <w:r w:rsidRPr="003519B9">
        <w:rPr>
          <w:lang w:val="en-GB"/>
        </w:rPr>
        <w:t xml:space="preserve">documents. </w:t>
      </w:r>
      <w:r w:rsidRPr="003519B9">
        <w:rPr>
          <w:b/>
          <w:sz w:val="22"/>
          <w:szCs w:val="22"/>
          <w:lang w:val="en-GB"/>
        </w:rPr>
        <w:br w:type="page"/>
      </w:r>
    </w:p>
    <w:p w14:paraId="40BF048B" w14:textId="14783423" w:rsidR="0028127C" w:rsidRPr="003519B9" w:rsidRDefault="00B1213B" w:rsidP="00242175">
      <w:pPr>
        <w:pStyle w:val="ExhibitHeading"/>
        <w:rPr>
          <w:rFonts w:eastAsia="Calibri"/>
          <w:lang w:val="en-GB"/>
        </w:rPr>
      </w:pPr>
      <w:r w:rsidRPr="003519B9">
        <w:rPr>
          <w:lang w:val="en-GB"/>
        </w:rPr>
        <w:lastRenderedPageBreak/>
        <w:t>Exhibit</w:t>
      </w:r>
      <w:r w:rsidR="0028127C" w:rsidRPr="003519B9">
        <w:rPr>
          <w:lang w:val="en-GB"/>
        </w:rPr>
        <w:t xml:space="preserve"> 4: PROPOSED TERM SHEET FOR SYNDICATION OF </w:t>
      </w:r>
      <w:r w:rsidR="00C86F73" w:rsidRPr="003519B9">
        <w:rPr>
          <w:caps w:val="0"/>
          <w:lang w:val="en-GB"/>
        </w:rPr>
        <w:t>NAVA BHARAT ENERGY INDIA LIMITED</w:t>
      </w:r>
      <w:r w:rsidR="0028127C" w:rsidRPr="003519B9">
        <w:rPr>
          <w:lang w:val="en-GB"/>
        </w:rPr>
        <w:t xml:space="preserve">’S </w:t>
      </w:r>
      <w:r w:rsidRPr="003519B9">
        <w:rPr>
          <w:lang w:val="en-GB"/>
        </w:rPr>
        <w:t>T</w:t>
      </w:r>
      <w:r w:rsidR="000E18AE" w:rsidRPr="003519B9">
        <w:rPr>
          <w:lang w:val="en-GB"/>
        </w:rPr>
        <w:t xml:space="preserve">erm </w:t>
      </w:r>
      <w:r w:rsidRPr="003519B9">
        <w:rPr>
          <w:lang w:val="en-GB"/>
        </w:rPr>
        <w:t>L</w:t>
      </w:r>
      <w:r w:rsidR="000E18AE" w:rsidRPr="003519B9">
        <w:rPr>
          <w:lang w:val="en-GB"/>
        </w:rPr>
        <w:t>oan</w:t>
      </w:r>
      <w:r w:rsidRPr="003519B9">
        <w:rPr>
          <w:lang w:val="en-GB"/>
        </w:rPr>
        <w:t xml:space="preserve"> OF ₹9.70 </w:t>
      </w:r>
      <w:r w:rsidRPr="003519B9">
        <w:rPr>
          <w:rFonts w:eastAsia="Calibri"/>
          <w:lang w:val="en-GB"/>
        </w:rPr>
        <w:t>BILLION</w:t>
      </w:r>
    </w:p>
    <w:p w14:paraId="7B1E1C1D" w14:textId="77777777" w:rsidR="00477317" w:rsidRPr="003519B9" w:rsidRDefault="00477317" w:rsidP="00242175">
      <w:pPr>
        <w:pStyle w:val="ExhibitHeading"/>
        <w:rPr>
          <w:rFonts w:eastAsia="Calibri"/>
          <w:lang w:val="en-GB"/>
        </w:rPr>
      </w:pPr>
    </w:p>
    <w:tbl>
      <w:tblPr>
        <w:tblW w:w="481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6930"/>
      </w:tblGrid>
      <w:tr w:rsidR="0028127C" w:rsidRPr="003519B9" w14:paraId="0BBDF653"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4D2979A6" w14:textId="77777777" w:rsidR="0028127C" w:rsidRPr="0058410C" w:rsidRDefault="0028127C" w:rsidP="00D143CE">
            <w:pPr>
              <w:pStyle w:val="ExhibitText"/>
              <w:jc w:val="left"/>
              <w:rPr>
                <w:sz w:val="18"/>
                <w:szCs w:val="18"/>
                <w:lang w:val="en-GB"/>
              </w:rPr>
            </w:pPr>
            <w:r w:rsidRPr="0058410C">
              <w:rPr>
                <w:sz w:val="18"/>
                <w:szCs w:val="18"/>
                <w:lang w:val="en-GB"/>
              </w:rPr>
              <w:t>Borrower</w:t>
            </w:r>
          </w:p>
        </w:tc>
        <w:tc>
          <w:tcPr>
            <w:tcW w:w="3852" w:type="pct"/>
            <w:tcBorders>
              <w:top w:val="single" w:sz="4" w:space="0" w:color="auto"/>
              <w:left w:val="single" w:sz="4" w:space="0" w:color="auto"/>
              <w:bottom w:val="single" w:sz="4" w:space="0" w:color="auto"/>
              <w:right w:val="single" w:sz="4" w:space="0" w:color="auto"/>
            </w:tcBorders>
            <w:hideMark/>
          </w:tcPr>
          <w:p w14:paraId="4B2CAB8C" w14:textId="6274DBF5" w:rsidR="0028127C" w:rsidRPr="0058410C" w:rsidRDefault="0028127C" w:rsidP="00687282">
            <w:pPr>
              <w:pStyle w:val="ExhibitText"/>
              <w:rPr>
                <w:sz w:val="18"/>
                <w:szCs w:val="18"/>
                <w:lang w:val="en-GB"/>
              </w:rPr>
            </w:pPr>
            <w:r w:rsidRPr="0058410C">
              <w:rPr>
                <w:sz w:val="18"/>
                <w:szCs w:val="18"/>
                <w:lang w:val="en-GB"/>
              </w:rPr>
              <w:t>SPV: NBEIL, wholly owned by NBVL</w:t>
            </w:r>
          </w:p>
        </w:tc>
      </w:tr>
      <w:tr w:rsidR="0028127C" w:rsidRPr="003519B9" w14:paraId="2B3ECD32"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119F872D" w14:textId="6D459CB8" w:rsidR="0028127C" w:rsidRPr="0058410C" w:rsidRDefault="0028127C" w:rsidP="00D143CE">
            <w:pPr>
              <w:pStyle w:val="ExhibitText"/>
              <w:jc w:val="left"/>
              <w:rPr>
                <w:sz w:val="18"/>
                <w:szCs w:val="18"/>
                <w:lang w:val="en-GB"/>
              </w:rPr>
            </w:pPr>
            <w:r w:rsidRPr="0058410C">
              <w:rPr>
                <w:sz w:val="18"/>
                <w:szCs w:val="18"/>
                <w:lang w:val="en-GB"/>
              </w:rPr>
              <w:t xml:space="preserve">Purpose of </w:t>
            </w:r>
            <w:r w:rsidR="00A22F0E" w:rsidRPr="003519B9">
              <w:rPr>
                <w:sz w:val="18"/>
                <w:szCs w:val="18"/>
                <w:lang w:val="en-GB"/>
              </w:rPr>
              <w:t>term loan</w:t>
            </w:r>
          </w:p>
        </w:tc>
        <w:tc>
          <w:tcPr>
            <w:tcW w:w="3852" w:type="pct"/>
            <w:tcBorders>
              <w:top w:val="single" w:sz="4" w:space="0" w:color="auto"/>
              <w:left w:val="single" w:sz="4" w:space="0" w:color="auto"/>
              <w:bottom w:val="single" w:sz="4" w:space="0" w:color="auto"/>
              <w:right w:val="single" w:sz="4" w:space="0" w:color="auto"/>
            </w:tcBorders>
            <w:hideMark/>
          </w:tcPr>
          <w:p w14:paraId="30118597" w14:textId="38273D84" w:rsidR="0028127C" w:rsidRPr="0058410C" w:rsidRDefault="0028127C" w:rsidP="00687282">
            <w:pPr>
              <w:pStyle w:val="ExhibitText"/>
              <w:rPr>
                <w:sz w:val="18"/>
                <w:szCs w:val="18"/>
                <w:lang w:val="en-GB"/>
              </w:rPr>
            </w:pPr>
            <w:r w:rsidRPr="0058410C">
              <w:rPr>
                <w:sz w:val="18"/>
                <w:szCs w:val="18"/>
                <w:lang w:val="en-GB"/>
              </w:rPr>
              <w:t xml:space="preserve">Construction and operation of 2 x </w:t>
            </w:r>
            <w:r w:rsidR="00A22F0E" w:rsidRPr="0058410C">
              <w:rPr>
                <w:sz w:val="18"/>
                <w:szCs w:val="18"/>
                <w:lang w:val="en-GB"/>
              </w:rPr>
              <w:t>150-</w:t>
            </w:r>
            <w:r w:rsidRPr="0058410C">
              <w:rPr>
                <w:sz w:val="18"/>
                <w:szCs w:val="18"/>
                <w:lang w:val="en-GB"/>
              </w:rPr>
              <w:t>MW coal-fired power plants located in Dharmavaram and Paloancha, Andhra Pradesh, India</w:t>
            </w:r>
          </w:p>
        </w:tc>
      </w:tr>
      <w:tr w:rsidR="0028127C" w:rsidRPr="003519B9" w14:paraId="3B368A22"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2352BAC0" w14:textId="77777777" w:rsidR="0028127C" w:rsidRPr="0058410C" w:rsidRDefault="0028127C" w:rsidP="00D143CE">
            <w:pPr>
              <w:pStyle w:val="ExhibitText"/>
              <w:jc w:val="left"/>
              <w:rPr>
                <w:sz w:val="18"/>
                <w:szCs w:val="18"/>
                <w:lang w:val="en-GB"/>
              </w:rPr>
            </w:pPr>
            <w:r w:rsidRPr="0058410C">
              <w:rPr>
                <w:sz w:val="18"/>
                <w:szCs w:val="18"/>
                <w:lang w:val="en-GB"/>
              </w:rPr>
              <w:t>Cost of the projects</w:t>
            </w:r>
          </w:p>
        </w:tc>
        <w:tc>
          <w:tcPr>
            <w:tcW w:w="3852" w:type="pct"/>
            <w:tcBorders>
              <w:top w:val="single" w:sz="4" w:space="0" w:color="auto"/>
              <w:left w:val="single" w:sz="4" w:space="0" w:color="auto"/>
              <w:bottom w:val="single" w:sz="4" w:space="0" w:color="auto"/>
              <w:right w:val="single" w:sz="4" w:space="0" w:color="auto"/>
            </w:tcBorders>
            <w:hideMark/>
          </w:tcPr>
          <w:p w14:paraId="37D32B72" w14:textId="77777777" w:rsidR="0028127C" w:rsidRPr="0058410C" w:rsidRDefault="0028127C" w:rsidP="009542DB">
            <w:pPr>
              <w:pStyle w:val="ExhibitText"/>
              <w:rPr>
                <w:sz w:val="18"/>
                <w:szCs w:val="18"/>
                <w:lang w:val="en-GB"/>
              </w:rPr>
            </w:pPr>
            <w:r w:rsidRPr="0058410C">
              <w:rPr>
                <w:sz w:val="18"/>
                <w:szCs w:val="18"/>
                <w:lang w:val="en-GB"/>
              </w:rPr>
              <w:t xml:space="preserve">₹13.86 </w:t>
            </w:r>
            <w:r w:rsidRPr="0058410C">
              <w:rPr>
                <w:rFonts w:eastAsia="Calibri"/>
                <w:sz w:val="18"/>
                <w:szCs w:val="18"/>
                <w:lang w:val="en-GB"/>
              </w:rPr>
              <w:t>billion (</w:t>
            </w:r>
            <w:r w:rsidRPr="0058410C">
              <w:rPr>
                <w:sz w:val="18"/>
                <w:szCs w:val="18"/>
                <w:lang w:val="en-GB"/>
              </w:rPr>
              <w:t xml:space="preserve">Paloancha plant: ₹6.66 </w:t>
            </w:r>
            <w:r w:rsidRPr="0058410C">
              <w:rPr>
                <w:rFonts w:eastAsia="Calibri"/>
                <w:sz w:val="18"/>
                <w:szCs w:val="18"/>
                <w:lang w:val="en-GB"/>
              </w:rPr>
              <w:t xml:space="preserve">billion; </w:t>
            </w:r>
            <w:r w:rsidRPr="0058410C">
              <w:rPr>
                <w:sz w:val="18"/>
                <w:szCs w:val="18"/>
                <w:lang w:val="en-GB"/>
              </w:rPr>
              <w:t xml:space="preserve">Dharmavaram plant: ₹7.20 </w:t>
            </w:r>
            <w:r w:rsidRPr="0058410C">
              <w:rPr>
                <w:rFonts w:eastAsia="Calibri"/>
                <w:sz w:val="18"/>
                <w:szCs w:val="18"/>
                <w:lang w:val="en-GB"/>
              </w:rPr>
              <w:t>billion)</w:t>
            </w:r>
          </w:p>
        </w:tc>
      </w:tr>
      <w:tr w:rsidR="0028127C" w:rsidRPr="003519B9" w14:paraId="338E8FB8"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365E0C66" w14:textId="77777777" w:rsidR="0028127C" w:rsidRPr="0058410C" w:rsidRDefault="0028127C" w:rsidP="00D143CE">
            <w:pPr>
              <w:pStyle w:val="ExhibitText"/>
              <w:jc w:val="left"/>
              <w:rPr>
                <w:sz w:val="18"/>
                <w:szCs w:val="18"/>
                <w:lang w:val="en-GB"/>
              </w:rPr>
            </w:pPr>
            <w:r w:rsidRPr="0058410C">
              <w:rPr>
                <w:sz w:val="18"/>
                <w:szCs w:val="18"/>
                <w:lang w:val="en-GB"/>
              </w:rPr>
              <w:t>Equity contribution</w:t>
            </w:r>
          </w:p>
        </w:tc>
        <w:tc>
          <w:tcPr>
            <w:tcW w:w="3852" w:type="pct"/>
            <w:tcBorders>
              <w:top w:val="single" w:sz="4" w:space="0" w:color="auto"/>
              <w:left w:val="single" w:sz="4" w:space="0" w:color="auto"/>
              <w:bottom w:val="single" w:sz="4" w:space="0" w:color="auto"/>
              <w:right w:val="single" w:sz="4" w:space="0" w:color="auto"/>
            </w:tcBorders>
            <w:hideMark/>
          </w:tcPr>
          <w:p w14:paraId="510E7AEC" w14:textId="78E5AB1C" w:rsidR="0028127C" w:rsidRPr="0058410C" w:rsidRDefault="0028127C" w:rsidP="009542DB">
            <w:pPr>
              <w:pStyle w:val="ExhibitText"/>
              <w:rPr>
                <w:sz w:val="18"/>
                <w:szCs w:val="18"/>
                <w:lang w:val="en-GB"/>
              </w:rPr>
            </w:pPr>
            <w:r w:rsidRPr="0058410C">
              <w:rPr>
                <w:sz w:val="18"/>
                <w:szCs w:val="18"/>
                <w:lang w:val="en-GB"/>
              </w:rPr>
              <w:t xml:space="preserve">₹4.16 </w:t>
            </w:r>
            <w:r w:rsidRPr="0058410C">
              <w:rPr>
                <w:rFonts w:eastAsia="Calibri"/>
                <w:sz w:val="18"/>
                <w:szCs w:val="18"/>
                <w:lang w:val="en-GB"/>
              </w:rPr>
              <w:t>billion</w:t>
            </w:r>
            <w:r w:rsidRPr="0058410C">
              <w:rPr>
                <w:sz w:val="18"/>
                <w:szCs w:val="18"/>
                <w:lang w:val="en-GB"/>
              </w:rPr>
              <w:t xml:space="preserve"> from NBVL’s internal sources; </w:t>
            </w:r>
            <w:r w:rsidR="00A22F0E" w:rsidRPr="0058410C">
              <w:rPr>
                <w:sz w:val="18"/>
                <w:szCs w:val="18"/>
                <w:lang w:val="en-GB"/>
              </w:rPr>
              <w:t xml:space="preserve">constituting </w:t>
            </w:r>
            <w:r w:rsidRPr="0058410C">
              <w:rPr>
                <w:sz w:val="18"/>
                <w:szCs w:val="18"/>
                <w:lang w:val="en-GB"/>
              </w:rPr>
              <w:t>30 per cent of total cost of the projects</w:t>
            </w:r>
          </w:p>
        </w:tc>
      </w:tr>
      <w:tr w:rsidR="0028127C" w:rsidRPr="003519B9" w14:paraId="0A0B742D"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7F2C5377" w14:textId="77777777" w:rsidR="0028127C" w:rsidRPr="0058410C" w:rsidRDefault="0028127C" w:rsidP="00D143CE">
            <w:pPr>
              <w:pStyle w:val="ExhibitText"/>
              <w:jc w:val="left"/>
              <w:rPr>
                <w:sz w:val="18"/>
                <w:szCs w:val="18"/>
                <w:lang w:val="en-GB"/>
              </w:rPr>
            </w:pPr>
            <w:r w:rsidRPr="0058410C">
              <w:rPr>
                <w:sz w:val="18"/>
                <w:szCs w:val="18"/>
                <w:lang w:val="en-GB"/>
              </w:rPr>
              <w:t>Credit facilities</w:t>
            </w:r>
          </w:p>
        </w:tc>
        <w:tc>
          <w:tcPr>
            <w:tcW w:w="3852" w:type="pct"/>
            <w:tcBorders>
              <w:top w:val="single" w:sz="4" w:space="0" w:color="auto"/>
              <w:left w:val="single" w:sz="4" w:space="0" w:color="auto"/>
              <w:bottom w:val="single" w:sz="4" w:space="0" w:color="auto"/>
              <w:right w:val="single" w:sz="4" w:space="0" w:color="auto"/>
            </w:tcBorders>
            <w:hideMark/>
          </w:tcPr>
          <w:p w14:paraId="628B0353" w14:textId="1DE25C2B" w:rsidR="0028127C" w:rsidRPr="0058410C" w:rsidRDefault="0028127C" w:rsidP="009542DB">
            <w:pPr>
              <w:pStyle w:val="ExhibitText"/>
              <w:rPr>
                <w:sz w:val="18"/>
                <w:szCs w:val="18"/>
                <w:lang w:val="en-GB"/>
              </w:rPr>
            </w:pPr>
            <w:r w:rsidRPr="0058410C">
              <w:rPr>
                <w:sz w:val="18"/>
                <w:szCs w:val="18"/>
                <w:lang w:val="en-GB"/>
              </w:rPr>
              <w:t>T</w:t>
            </w:r>
            <w:r w:rsidR="000C3650" w:rsidRPr="0058410C">
              <w:rPr>
                <w:sz w:val="18"/>
                <w:szCs w:val="18"/>
                <w:lang w:val="en-GB"/>
              </w:rPr>
              <w:t>erm loan</w:t>
            </w:r>
            <w:r w:rsidRPr="0058410C">
              <w:rPr>
                <w:sz w:val="18"/>
                <w:szCs w:val="18"/>
                <w:lang w:val="en-GB"/>
              </w:rPr>
              <w:t xml:space="preserve"> of ₹9.70 </w:t>
            </w:r>
            <w:r w:rsidRPr="0058410C">
              <w:rPr>
                <w:rFonts w:eastAsia="Calibri"/>
                <w:sz w:val="18"/>
                <w:szCs w:val="18"/>
                <w:lang w:val="en-GB"/>
              </w:rPr>
              <w:t>billion</w:t>
            </w:r>
            <w:r w:rsidRPr="0058410C">
              <w:rPr>
                <w:sz w:val="18"/>
                <w:szCs w:val="18"/>
                <w:lang w:val="en-GB"/>
              </w:rPr>
              <w:t>; constituting 70 per cent of total cost of the projects</w:t>
            </w:r>
          </w:p>
        </w:tc>
      </w:tr>
      <w:tr w:rsidR="0028127C" w:rsidRPr="003519B9" w14:paraId="11D6C48C"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7474A0D6" w14:textId="77777777" w:rsidR="0028127C" w:rsidRPr="0058410C" w:rsidRDefault="0028127C" w:rsidP="00D143CE">
            <w:pPr>
              <w:pStyle w:val="ExhibitText"/>
              <w:jc w:val="left"/>
              <w:rPr>
                <w:sz w:val="18"/>
                <w:szCs w:val="18"/>
                <w:lang w:val="en-GB"/>
              </w:rPr>
            </w:pPr>
            <w:r w:rsidRPr="0058410C">
              <w:rPr>
                <w:sz w:val="18"/>
                <w:szCs w:val="18"/>
                <w:lang w:val="en-GB"/>
              </w:rPr>
              <w:t>Security</w:t>
            </w:r>
          </w:p>
        </w:tc>
        <w:tc>
          <w:tcPr>
            <w:tcW w:w="3852" w:type="pct"/>
            <w:tcBorders>
              <w:top w:val="single" w:sz="4" w:space="0" w:color="auto"/>
              <w:left w:val="single" w:sz="4" w:space="0" w:color="auto"/>
              <w:bottom w:val="single" w:sz="4" w:space="0" w:color="auto"/>
              <w:right w:val="single" w:sz="4" w:space="0" w:color="auto"/>
            </w:tcBorders>
            <w:hideMark/>
          </w:tcPr>
          <w:p w14:paraId="394B1E50" w14:textId="3B1518A8" w:rsidR="0028127C" w:rsidRPr="0058410C" w:rsidRDefault="0028127C" w:rsidP="00687282">
            <w:pPr>
              <w:pStyle w:val="ExhibitText"/>
              <w:rPr>
                <w:sz w:val="18"/>
                <w:szCs w:val="18"/>
                <w:lang w:val="en-GB"/>
              </w:rPr>
            </w:pPr>
            <w:r w:rsidRPr="0058410C">
              <w:rPr>
                <w:sz w:val="18"/>
                <w:szCs w:val="18"/>
                <w:lang w:val="en-GB"/>
              </w:rPr>
              <w:t xml:space="preserve">The </w:t>
            </w:r>
            <w:r w:rsidR="000C3650" w:rsidRPr="0058410C">
              <w:rPr>
                <w:sz w:val="18"/>
                <w:szCs w:val="18"/>
                <w:lang w:val="en-GB"/>
              </w:rPr>
              <w:t>term loan</w:t>
            </w:r>
            <w:r w:rsidR="0037639C" w:rsidRPr="0058410C">
              <w:rPr>
                <w:sz w:val="18"/>
                <w:szCs w:val="18"/>
                <w:lang w:val="en-GB"/>
              </w:rPr>
              <w:t xml:space="preserve"> </w:t>
            </w:r>
            <w:r w:rsidR="00574A2E" w:rsidRPr="0058410C">
              <w:rPr>
                <w:sz w:val="18"/>
                <w:szCs w:val="18"/>
                <w:lang w:val="en-GB"/>
              </w:rPr>
              <w:t>would</w:t>
            </w:r>
            <w:r w:rsidRPr="0058410C">
              <w:rPr>
                <w:sz w:val="18"/>
                <w:szCs w:val="18"/>
                <w:lang w:val="en-GB"/>
              </w:rPr>
              <w:t xml:space="preserve"> be secured by first charge on all immovable and movable assets of the project (present and future) as well as </w:t>
            </w:r>
            <w:r w:rsidR="00574A2E" w:rsidRPr="0058410C">
              <w:rPr>
                <w:sz w:val="18"/>
                <w:szCs w:val="18"/>
                <w:lang w:val="en-GB"/>
              </w:rPr>
              <w:t>NBEIL’s</w:t>
            </w:r>
            <w:r w:rsidR="00A22F0E" w:rsidRPr="0058410C">
              <w:rPr>
                <w:sz w:val="18"/>
                <w:szCs w:val="18"/>
                <w:lang w:val="en-GB"/>
              </w:rPr>
              <w:t xml:space="preserve"> </w:t>
            </w:r>
            <w:r w:rsidRPr="0058410C">
              <w:rPr>
                <w:sz w:val="18"/>
                <w:szCs w:val="18"/>
                <w:lang w:val="en-GB"/>
              </w:rPr>
              <w:t>entire cash flows</w:t>
            </w:r>
          </w:p>
        </w:tc>
      </w:tr>
      <w:tr w:rsidR="0028127C" w:rsidRPr="003519B9" w14:paraId="49C058DE"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773EEE65" w14:textId="77777777" w:rsidR="0028127C" w:rsidRPr="0058410C" w:rsidRDefault="0028127C" w:rsidP="00D143CE">
            <w:pPr>
              <w:pStyle w:val="ExhibitText"/>
              <w:jc w:val="left"/>
              <w:rPr>
                <w:sz w:val="18"/>
                <w:szCs w:val="18"/>
                <w:lang w:val="en-GB"/>
              </w:rPr>
            </w:pPr>
            <w:r w:rsidRPr="0058410C">
              <w:rPr>
                <w:sz w:val="18"/>
                <w:szCs w:val="18"/>
                <w:lang w:val="en-GB"/>
              </w:rPr>
              <w:t>Date of financial closure</w:t>
            </w:r>
          </w:p>
        </w:tc>
        <w:tc>
          <w:tcPr>
            <w:tcW w:w="3852" w:type="pct"/>
            <w:tcBorders>
              <w:top w:val="single" w:sz="4" w:space="0" w:color="auto"/>
              <w:left w:val="single" w:sz="4" w:space="0" w:color="auto"/>
              <w:bottom w:val="single" w:sz="4" w:space="0" w:color="auto"/>
              <w:right w:val="single" w:sz="4" w:space="0" w:color="auto"/>
            </w:tcBorders>
            <w:hideMark/>
          </w:tcPr>
          <w:p w14:paraId="444C9A18" w14:textId="77777777" w:rsidR="0028127C" w:rsidRPr="0058410C" w:rsidRDefault="0028127C" w:rsidP="00687282">
            <w:pPr>
              <w:pStyle w:val="ExhibitText"/>
              <w:rPr>
                <w:sz w:val="18"/>
                <w:szCs w:val="18"/>
                <w:lang w:val="en-GB"/>
              </w:rPr>
            </w:pPr>
            <w:r w:rsidRPr="0058410C">
              <w:rPr>
                <w:sz w:val="18"/>
                <w:szCs w:val="18"/>
                <w:lang w:val="en-GB"/>
              </w:rPr>
              <w:t>October 1, 2009</w:t>
            </w:r>
          </w:p>
        </w:tc>
      </w:tr>
      <w:tr w:rsidR="00242175" w:rsidRPr="003519B9" w14:paraId="28DB0AD7"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731E27CB" w14:textId="3E746428" w:rsidR="0028127C" w:rsidRPr="0058410C" w:rsidRDefault="0028127C" w:rsidP="00D143CE">
            <w:pPr>
              <w:pStyle w:val="ExhibitText"/>
              <w:jc w:val="left"/>
              <w:rPr>
                <w:sz w:val="18"/>
                <w:szCs w:val="18"/>
                <w:lang w:val="en-GB"/>
              </w:rPr>
            </w:pPr>
            <w:r w:rsidRPr="0058410C">
              <w:rPr>
                <w:sz w:val="18"/>
                <w:szCs w:val="18"/>
                <w:lang w:val="en-GB"/>
              </w:rPr>
              <w:t xml:space="preserve">Maturity and repayment of </w:t>
            </w:r>
            <w:r w:rsidR="00A22F0E" w:rsidRPr="003519B9">
              <w:rPr>
                <w:sz w:val="18"/>
                <w:szCs w:val="18"/>
                <w:lang w:val="en-GB"/>
              </w:rPr>
              <w:t>term loan</w:t>
            </w:r>
          </w:p>
        </w:tc>
        <w:tc>
          <w:tcPr>
            <w:tcW w:w="3852" w:type="pct"/>
            <w:tcBorders>
              <w:top w:val="single" w:sz="4" w:space="0" w:color="auto"/>
              <w:left w:val="single" w:sz="4" w:space="0" w:color="auto"/>
              <w:bottom w:val="single" w:sz="4" w:space="0" w:color="auto"/>
              <w:right w:val="single" w:sz="4" w:space="0" w:color="auto"/>
            </w:tcBorders>
            <w:hideMark/>
          </w:tcPr>
          <w:p w14:paraId="66E98D35" w14:textId="0DCD2EC2" w:rsidR="00242175" w:rsidRPr="0058410C" w:rsidRDefault="0028127C" w:rsidP="00687282">
            <w:pPr>
              <w:pStyle w:val="ExhibitText"/>
              <w:rPr>
                <w:sz w:val="18"/>
                <w:szCs w:val="18"/>
                <w:lang w:val="en-GB"/>
              </w:rPr>
            </w:pPr>
            <w:r w:rsidRPr="0058410C">
              <w:rPr>
                <w:sz w:val="18"/>
                <w:szCs w:val="18"/>
                <w:lang w:val="en-GB"/>
              </w:rPr>
              <w:t xml:space="preserve">The total </w:t>
            </w:r>
            <w:r w:rsidR="00574A2E" w:rsidRPr="0058410C">
              <w:rPr>
                <w:sz w:val="18"/>
                <w:szCs w:val="18"/>
                <w:lang w:val="en-GB"/>
              </w:rPr>
              <w:t>life</w:t>
            </w:r>
            <w:r w:rsidRPr="0058410C">
              <w:rPr>
                <w:sz w:val="18"/>
                <w:szCs w:val="18"/>
                <w:lang w:val="en-GB"/>
              </w:rPr>
              <w:t xml:space="preserve"> of </w:t>
            </w:r>
            <w:r w:rsidR="000C3650" w:rsidRPr="0058410C">
              <w:rPr>
                <w:sz w:val="18"/>
                <w:szCs w:val="18"/>
                <w:lang w:val="en-GB"/>
              </w:rPr>
              <w:t>term loan</w:t>
            </w:r>
            <w:r w:rsidRPr="0058410C">
              <w:rPr>
                <w:sz w:val="18"/>
                <w:szCs w:val="18"/>
                <w:lang w:val="en-GB"/>
              </w:rPr>
              <w:t xml:space="preserve"> would be 12 years (projects’ execution period of </w:t>
            </w:r>
            <w:r w:rsidR="00574A2E" w:rsidRPr="0058410C">
              <w:rPr>
                <w:sz w:val="18"/>
                <w:szCs w:val="18"/>
                <w:lang w:val="en-GB"/>
              </w:rPr>
              <w:t>2.5</w:t>
            </w:r>
            <w:r w:rsidRPr="0058410C">
              <w:rPr>
                <w:sz w:val="18"/>
                <w:szCs w:val="18"/>
                <w:lang w:val="en-GB"/>
              </w:rPr>
              <w:t xml:space="preserve"> years + moratorium</w:t>
            </w:r>
            <w:r w:rsidR="00D33C29" w:rsidRPr="0058410C">
              <w:rPr>
                <w:sz w:val="18"/>
                <w:szCs w:val="18"/>
                <w:lang w:val="en-GB"/>
              </w:rPr>
              <w:t>*</w:t>
            </w:r>
            <w:r w:rsidR="0058410C">
              <w:rPr>
                <w:sz w:val="18"/>
                <w:szCs w:val="18"/>
                <w:lang w:val="en-GB"/>
              </w:rPr>
              <w:t xml:space="preserve"> </w:t>
            </w:r>
            <w:r w:rsidR="00242175" w:rsidRPr="0058410C">
              <w:rPr>
                <w:sz w:val="18"/>
                <w:szCs w:val="18"/>
                <w:lang w:val="en-GB"/>
              </w:rPr>
              <w:t xml:space="preserve">of half a year + repayment period of nine years). As such, the </w:t>
            </w:r>
            <w:r w:rsidR="000C3650" w:rsidRPr="0058410C">
              <w:rPr>
                <w:sz w:val="18"/>
                <w:szCs w:val="18"/>
                <w:lang w:val="en-GB"/>
              </w:rPr>
              <w:t>term loan</w:t>
            </w:r>
            <w:r w:rsidR="00242175" w:rsidRPr="0058410C">
              <w:rPr>
                <w:sz w:val="18"/>
                <w:szCs w:val="18"/>
                <w:lang w:val="en-GB"/>
              </w:rPr>
              <w:t xml:space="preserve"> would be repaid in 36 quarterly </w:t>
            </w:r>
            <w:r w:rsidR="00BE4342" w:rsidRPr="00687282">
              <w:rPr>
                <w:sz w:val="18"/>
                <w:szCs w:val="18"/>
                <w:lang w:val="en-GB"/>
              </w:rPr>
              <w:t>instalments</w:t>
            </w:r>
            <w:r w:rsidR="00242175" w:rsidRPr="0058410C">
              <w:rPr>
                <w:sz w:val="18"/>
                <w:szCs w:val="18"/>
                <w:lang w:val="en-GB"/>
              </w:rPr>
              <w:t xml:space="preserve">, </w:t>
            </w:r>
            <w:r w:rsidR="00574A2E" w:rsidRPr="0058410C">
              <w:rPr>
                <w:sz w:val="18"/>
                <w:szCs w:val="18"/>
                <w:lang w:val="en-GB"/>
              </w:rPr>
              <w:t>taking</w:t>
            </w:r>
            <w:r w:rsidR="00242175" w:rsidRPr="0058410C">
              <w:rPr>
                <w:sz w:val="18"/>
                <w:szCs w:val="18"/>
                <w:lang w:val="en-GB"/>
              </w:rPr>
              <w:t xml:space="preserve"> effect </w:t>
            </w:r>
            <w:r w:rsidR="00574A2E" w:rsidRPr="0058410C">
              <w:rPr>
                <w:sz w:val="18"/>
                <w:szCs w:val="18"/>
                <w:lang w:val="en-GB"/>
              </w:rPr>
              <w:t>on</w:t>
            </w:r>
            <w:r w:rsidR="00242175" w:rsidRPr="0058410C">
              <w:rPr>
                <w:sz w:val="18"/>
                <w:szCs w:val="18"/>
                <w:lang w:val="en-GB"/>
              </w:rPr>
              <w:t xml:space="preserve"> October 1, 2012.</w:t>
            </w:r>
          </w:p>
        </w:tc>
      </w:tr>
      <w:tr w:rsidR="00242175" w:rsidRPr="003519B9" w14:paraId="66434264"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763B92C0" w14:textId="77777777" w:rsidR="00242175" w:rsidRPr="0058410C" w:rsidRDefault="00242175" w:rsidP="00D143CE">
            <w:pPr>
              <w:pStyle w:val="ExhibitText"/>
              <w:jc w:val="left"/>
              <w:rPr>
                <w:sz w:val="18"/>
                <w:szCs w:val="18"/>
                <w:lang w:val="en-GB"/>
              </w:rPr>
            </w:pPr>
            <w:r w:rsidRPr="0058410C">
              <w:rPr>
                <w:sz w:val="18"/>
                <w:szCs w:val="18"/>
                <w:lang w:val="en-GB"/>
              </w:rPr>
              <w:t>Arranger</w:t>
            </w:r>
          </w:p>
        </w:tc>
        <w:tc>
          <w:tcPr>
            <w:tcW w:w="3852" w:type="pct"/>
            <w:tcBorders>
              <w:top w:val="single" w:sz="4" w:space="0" w:color="auto"/>
              <w:left w:val="single" w:sz="4" w:space="0" w:color="auto"/>
              <w:bottom w:val="single" w:sz="4" w:space="0" w:color="auto"/>
              <w:right w:val="single" w:sz="4" w:space="0" w:color="auto"/>
            </w:tcBorders>
            <w:hideMark/>
          </w:tcPr>
          <w:p w14:paraId="6679B5E0" w14:textId="77777777" w:rsidR="00242175" w:rsidRPr="0058410C" w:rsidRDefault="00D311AC" w:rsidP="00687282">
            <w:pPr>
              <w:pStyle w:val="ExhibitText"/>
              <w:rPr>
                <w:sz w:val="18"/>
                <w:szCs w:val="18"/>
                <w:lang w:val="en-GB"/>
              </w:rPr>
            </w:pPr>
            <w:r w:rsidRPr="0058410C">
              <w:rPr>
                <w:sz w:val="18"/>
                <w:szCs w:val="18"/>
                <w:lang w:val="en-GB"/>
              </w:rPr>
              <w:t>Development Bank Limited</w:t>
            </w:r>
            <w:r w:rsidR="00242175" w:rsidRPr="0058410C">
              <w:rPr>
                <w:sz w:val="18"/>
                <w:szCs w:val="18"/>
                <w:lang w:val="en-GB"/>
              </w:rPr>
              <w:t>, a leading project</w:t>
            </w:r>
            <w:r w:rsidRPr="0058410C">
              <w:rPr>
                <w:sz w:val="18"/>
                <w:szCs w:val="18"/>
                <w:lang w:val="en-GB"/>
              </w:rPr>
              <w:t>-</w:t>
            </w:r>
            <w:r w:rsidR="00242175" w:rsidRPr="0058410C">
              <w:rPr>
                <w:sz w:val="18"/>
                <w:szCs w:val="18"/>
                <w:lang w:val="en-GB"/>
              </w:rPr>
              <w:t>finance bank in India</w:t>
            </w:r>
          </w:p>
        </w:tc>
      </w:tr>
      <w:tr w:rsidR="00242175" w:rsidRPr="003519B9" w14:paraId="2599CCB2"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3D56E55F" w14:textId="77777777" w:rsidR="00242175" w:rsidRPr="0058410C" w:rsidRDefault="00242175" w:rsidP="00D143CE">
            <w:pPr>
              <w:pStyle w:val="ExhibitText"/>
              <w:jc w:val="left"/>
              <w:rPr>
                <w:sz w:val="18"/>
                <w:szCs w:val="18"/>
                <w:lang w:val="en-GB"/>
              </w:rPr>
            </w:pPr>
            <w:r w:rsidRPr="0058410C">
              <w:rPr>
                <w:sz w:val="18"/>
                <w:szCs w:val="18"/>
                <w:lang w:val="en-GB"/>
              </w:rPr>
              <w:t>Underwriting</w:t>
            </w:r>
          </w:p>
        </w:tc>
        <w:tc>
          <w:tcPr>
            <w:tcW w:w="3852" w:type="pct"/>
            <w:tcBorders>
              <w:top w:val="single" w:sz="4" w:space="0" w:color="auto"/>
              <w:left w:val="single" w:sz="4" w:space="0" w:color="auto"/>
              <w:bottom w:val="single" w:sz="4" w:space="0" w:color="auto"/>
              <w:right w:val="single" w:sz="4" w:space="0" w:color="auto"/>
            </w:tcBorders>
            <w:hideMark/>
          </w:tcPr>
          <w:p w14:paraId="49AA4EB2" w14:textId="7B75D6BD" w:rsidR="00242175" w:rsidRPr="0058410C" w:rsidRDefault="00242175" w:rsidP="00687282">
            <w:pPr>
              <w:pStyle w:val="ExhibitText"/>
              <w:rPr>
                <w:sz w:val="18"/>
                <w:szCs w:val="18"/>
                <w:lang w:val="en-GB"/>
              </w:rPr>
            </w:pPr>
            <w:r w:rsidRPr="0058410C">
              <w:rPr>
                <w:sz w:val="18"/>
                <w:szCs w:val="18"/>
                <w:lang w:val="en-GB"/>
              </w:rPr>
              <w:t xml:space="preserve">The arranger would underwrite 100 per cent of the </w:t>
            </w:r>
            <w:r w:rsidR="000C3650" w:rsidRPr="0058410C">
              <w:rPr>
                <w:sz w:val="18"/>
                <w:szCs w:val="18"/>
                <w:lang w:val="en-GB"/>
              </w:rPr>
              <w:t>term loan</w:t>
            </w:r>
            <w:r w:rsidRPr="0058410C">
              <w:rPr>
                <w:sz w:val="18"/>
                <w:szCs w:val="18"/>
                <w:lang w:val="en-GB"/>
              </w:rPr>
              <w:t>, with the expectation that the funds would be provided by the lenders in a syndication arrangement</w:t>
            </w:r>
            <w:r w:rsidR="00A22F0E" w:rsidRPr="003519B9">
              <w:rPr>
                <w:sz w:val="18"/>
                <w:szCs w:val="18"/>
                <w:lang w:val="en-GB"/>
              </w:rPr>
              <w:t>.</w:t>
            </w:r>
          </w:p>
        </w:tc>
      </w:tr>
      <w:tr w:rsidR="00242175" w:rsidRPr="003519B9" w14:paraId="58E03756"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184E8DD3" w14:textId="77777777" w:rsidR="00242175" w:rsidRPr="0058410C" w:rsidRDefault="00242175" w:rsidP="00D143CE">
            <w:pPr>
              <w:pStyle w:val="ExhibitText"/>
              <w:jc w:val="left"/>
              <w:rPr>
                <w:sz w:val="18"/>
                <w:szCs w:val="18"/>
                <w:lang w:val="en-GB"/>
              </w:rPr>
            </w:pPr>
            <w:r w:rsidRPr="0058410C">
              <w:rPr>
                <w:sz w:val="18"/>
                <w:szCs w:val="18"/>
                <w:lang w:val="en-GB"/>
              </w:rPr>
              <w:t>Underwriting fee</w:t>
            </w:r>
          </w:p>
        </w:tc>
        <w:tc>
          <w:tcPr>
            <w:tcW w:w="3852" w:type="pct"/>
            <w:tcBorders>
              <w:top w:val="single" w:sz="4" w:space="0" w:color="auto"/>
              <w:left w:val="single" w:sz="4" w:space="0" w:color="auto"/>
              <w:bottom w:val="single" w:sz="4" w:space="0" w:color="auto"/>
              <w:right w:val="single" w:sz="4" w:space="0" w:color="auto"/>
            </w:tcBorders>
            <w:hideMark/>
          </w:tcPr>
          <w:p w14:paraId="18A3A43B" w14:textId="77777777" w:rsidR="00242175" w:rsidRPr="0058410C" w:rsidRDefault="00242175" w:rsidP="00687282">
            <w:pPr>
              <w:pStyle w:val="ExhibitText"/>
              <w:rPr>
                <w:sz w:val="18"/>
                <w:szCs w:val="18"/>
                <w:lang w:val="en-GB"/>
              </w:rPr>
            </w:pPr>
            <w:r w:rsidRPr="0058410C">
              <w:rPr>
                <w:sz w:val="18"/>
                <w:szCs w:val="18"/>
                <w:lang w:val="en-GB"/>
              </w:rPr>
              <w:t xml:space="preserve">0.25 per cent of the </w:t>
            </w:r>
            <w:r w:rsidR="000C3650" w:rsidRPr="0058410C">
              <w:rPr>
                <w:sz w:val="18"/>
                <w:szCs w:val="18"/>
                <w:lang w:val="en-GB"/>
              </w:rPr>
              <w:t>term loan</w:t>
            </w:r>
          </w:p>
        </w:tc>
      </w:tr>
      <w:tr w:rsidR="00242175" w:rsidRPr="003519B9" w14:paraId="43ED0041"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2CB7B828" w14:textId="77777777" w:rsidR="00242175" w:rsidRPr="0058410C" w:rsidRDefault="00242175" w:rsidP="00D143CE">
            <w:pPr>
              <w:pStyle w:val="ExhibitText"/>
              <w:jc w:val="left"/>
              <w:rPr>
                <w:sz w:val="18"/>
                <w:szCs w:val="18"/>
                <w:lang w:val="en-GB"/>
              </w:rPr>
            </w:pPr>
            <w:r w:rsidRPr="0058410C">
              <w:rPr>
                <w:sz w:val="18"/>
                <w:szCs w:val="18"/>
                <w:lang w:val="en-GB"/>
              </w:rPr>
              <w:t>Interest rate</w:t>
            </w:r>
          </w:p>
        </w:tc>
        <w:tc>
          <w:tcPr>
            <w:tcW w:w="3852" w:type="pct"/>
            <w:tcBorders>
              <w:top w:val="single" w:sz="4" w:space="0" w:color="auto"/>
              <w:left w:val="single" w:sz="4" w:space="0" w:color="auto"/>
              <w:bottom w:val="single" w:sz="4" w:space="0" w:color="auto"/>
              <w:right w:val="single" w:sz="4" w:space="0" w:color="auto"/>
            </w:tcBorders>
            <w:hideMark/>
          </w:tcPr>
          <w:p w14:paraId="1F20AF2C" w14:textId="72BC0FE3" w:rsidR="00242175" w:rsidRPr="0058410C" w:rsidRDefault="00242175" w:rsidP="00687282">
            <w:pPr>
              <w:pStyle w:val="ExhibitText"/>
              <w:rPr>
                <w:sz w:val="18"/>
                <w:szCs w:val="18"/>
                <w:lang w:val="en-GB"/>
              </w:rPr>
            </w:pPr>
            <w:r w:rsidRPr="0058410C">
              <w:rPr>
                <w:sz w:val="18"/>
                <w:szCs w:val="18"/>
                <w:lang w:val="en-GB"/>
              </w:rPr>
              <w:t xml:space="preserve">The interest rate on </w:t>
            </w:r>
            <w:r w:rsidR="00574A2E" w:rsidRPr="0058410C">
              <w:rPr>
                <w:sz w:val="18"/>
                <w:szCs w:val="18"/>
                <w:lang w:val="en-GB"/>
              </w:rPr>
              <w:t xml:space="preserve">the </w:t>
            </w:r>
            <w:r w:rsidR="000C3650" w:rsidRPr="0058410C">
              <w:rPr>
                <w:sz w:val="18"/>
                <w:szCs w:val="18"/>
                <w:lang w:val="en-GB"/>
              </w:rPr>
              <w:t>term loan</w:t>
            </w:r>
            <w:r w:rsidRPr="0058410C">
              <w:rPr>
                <w:sz w:val="18"/>
                <w:szCs w:val="18"/>
                <w:lang w:val="en-GB"/>
              </w:rPr>
              <w:t xml:space="preserve"> was proposed a</w:t>
            </w:r>
            <w:r w:rsidR="00574A2E" w:rsidRPr="0058410C">
              <w:rPr>
                <w:sz w:val="18"/>
                <w:szCs w:val="18"/>
                <w:lang w:val="en-GB"/>
              </w:rPr>
              <w:t>s</w:t>
            </w:r>
            <w:r w:rsidRPr="0058410C">
              <w:rPr>
                <w:sz w:val="18"/>
                <w:szCs w:val="18"/>
                <w:lang w:val="en-GB"/>
              </w:rPr>
              <w:t xml:space="preserve"> a </w:t>
            </w:r>
            <w:r w:rsidR="00B1213B" w:rsidRPr="0058410C">
              <w:rPr>
                <w:sz w:val="18"/>
                <w:szCs w:val="18"/>
                <w:lang w:val="en-GB"/>
              </w:rPr>
              <w:t>variable rate (i.e., 12 per cent per annum) at the time of syndication and would be reset</w:t>
            </w:r>
            <w:r w:rsidR="00381B2D" w:rsidRPr="0058410C">
              <w:rPr>
                <w:sz w:val="18"/>
                <w:szCs w:val="18"/>
                <w:lang w:val="en-GB"/>
              </w:rPr>
              <w:t xml:space="preserve"> </w:t>
            </w:r>
            <w:r w:rsidRPr="0058410C">
              <w:rPr>
                <w:sz w:val="18"/>
                <w:szCs w:val="18"/>
                <w:lang w:val="en-GB"/>
              </w:rPr>
              <w:t>every two years from the date of commencement of commercial operations on April 1, 2012</w:t>
            </w:r>
            <w:r w:rsidR="00A22F0E" w:rsidRPr="003519B9">
              <w:rPr>
                <w:sz w:val="18"/>
                <w:szCs w:val="18"/>
                <w:lang w:val="en-GB"/>
              </w:rPr>
              <w:t>.</w:t>
            </w:r>
          </w:p>
        </w:tc>
      </w:tr>
      <w:tr w:rsidR="00242175" w:rsidRPr="003519B9" w14:paraId="6A4D0F5A"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762F8C36" w14:textId="77777777" w:rsidR="00242175" w:rsidRPr="0058410C" w:rsidRDefault="00242175" w:rsidP="00D143CE">
            <w:pPr>
              <w:pStyle w:val="ExhibitText"/>
              <w:jc w:val="left"/>
              <w:rPr>
                <w:sz w:val="18"/>
                <w:szCs w:val="18"/>
                <w:lang w:val="en-GB"/>
              </w:rPr>
            </w:pPr>
            <w:r w:rsidRPr="0058410C">
              <w:rPr>
                <w:sz w:val="18"/>
                <w:szCs w:val="18"/>
                <w:lang w:val="en-GB"/>
              </w:rPr>
              <w:t>Commitment fee</w:t>
            </w:r>
          </w:p>
        </w:tc>
        <w:tc>
          <w:tcPr>
            <w:tcW w:w="3852" w:type="pct"/>
            <w:tcBorders>
              <w:top w:val="single" w:sz="4" w:space="0" w:color="auto"/>
              <w:left w:val="single" w:sz="4" w:space="0" w:color="auto"/>
              <w:bottom w:val="single" w:sz="4" w:space="0" w:color="auto"/>
              <w:right w:val="single" w:sz="4" w:space="0" w:color="auto"/>
            </w:tcBorders>
            <w:hideMark/>
          </w:tcPr>
          <w:p w14:paraId="1922E237" w14:textId="33BA61CA" w:rsidR="00242175" w:rsidRPr="0058410C" w:rsidRDefault="00242175" w:rsidP="009542DB">
            <w:pPr>
              <w:pStyle w:val="ExhibitText"/>
              <w:rPr>
                <w:sz w:val="18"/>
                <w:szCs w:val="18"/>
                <w:lang w:val="en-GB"/>
              </w:rPr>
            </w:pPr>
            <w:r w:rsidRPr="0058410C">
              <w:rPr>
                <w:sz w:val="18"/>
                <w:szCs w:val="18"/>
                <w:lang w:val="en-GB"/>
              </w:rPr>
              <w:t xml:space="preserve">The borrower would pay 0.25 per cent on undrawn amount of </w:t>
            </w:r>
            <w:r w:rsidR="000C3650" w:rsidRPr="0058410C">
              <w:rPr>
                <w:sz w:val="18"/>
                <w:szCs w:val="18"/>
                <w:lang w:val="en-GB"/>
              </w:rPr>
              <w:t>term loan</w:t>
            </w:r>
            <w:r w:rsidR="00A22F0E" w:rsidRPr="003519B9">
              <w:rPr>
                <w:sz w:val="18"/>
                <w:szCs w:val="18"/>
                <w:lang w:val="en-GB"/>
              </w:rPr>
              <w:t>.</w:t>
            </w:r>
          </w:p>
        </w:tc>
      </w:tr>
      <w:tr w:rsidR="00242175" w:rsidRPr="003519B9" w14:paraId="3391276E"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2952D274" w14:textId="77777777" w:rsidR="00242175" w:rsidRPr="0058410C" w:rsidRDefault="00242175" w:rsidP="00D143CE">
            <w:pPr>
              <w:pStyle w:val="ExhibitText"/>
              <w:jc w:val="left"/>
              <w:rPr>
                <w:sz w:val="18"/>
                <w:szCs w:val="18"/>
                <w:lang w:val="en-GB"/>
              </w:rPr>
            </w:pPr>
            <w:r w:rsidRPr="0058410C">
              <w:rPr>
                <w:sz w:val="18"/>
                <w:szCs w:val="18"/>
                <w:lang w:val="en-GB"/>
              </w:rPr>
              <w:t>Drawdowns</w:t>
            </w:r>
          </w:p>
        </w:tc>
        <w:tc>
          <w:tcPr>
            <w:tcW w:w="3852" w:type="pct"/>
            <w:tcBorders>
              <w:top w:val="single" w:sz="4" w:space="0" w:color="auto"/>
              <w:left w:val="single" w:sz="4" w:space="0" w:color="auto"/>
              <w:bottom w:val="single" w:sz="4" w:space="0" w:color="auto"/>
              <w:right w:val="single" w:sz="4" w:space="0" w:color="auto"/>
            </w:tcBorders>
            <w:hideMark/>
          </w:tcPr>
          <w:p w14:paraId="69606F0D" w14:textId="00D8C161" w:rsidR="00242175" w:rsidRPr="0058410C" w:rsidRDefault="00242175" w:rsidP="00687282">
            <w:pPr>
              <w:pStyle w:val="ExhibitText"/>
              <w:rPr>
                <w:sz w:val="18"/>
                <w:szCs w:val="18"/>
                <w:lang w:val="en-GB"/>
              </w:rPr>
            </w:pPr>
            <w:r w:rsidRPr="0058410C">
              <w:rPr>
                <w:sz w:val="18"/>
                <w:szCs w:val="18"/>
                <w:lang w:val="en-GB"/>
              </w:rPr>
              <w:t xml:space="preserve">Drawdowns would be </w:t>
            </w:r>
            <w:r w:rsidR="008770BF" w:rsidRPr="0058410C">
              <w:rPr>
                <w:sz w:val="18"/>
                <w:szCs w:val="18"/>
                <w:lang w:val="en-GB"/>
              </w:rPr>
              <w:t xml:space="preserve">made </w:t>
            </w:r>
            <w:r w:rsidRPr="0058410C">
              <w:rPr>
                <w:sz w:val="18"/>
                <w:szCs w:val="18"/>
                <w:lang w:val="en-GB"/>
              </w:rPr>
              <w:t>in accordance with the implementation schedule of the projects and subject to approval by the lenders’ independent engineer</w:t>
            </w:r>
            <w:r w:rsidR="00A22F0E" w:rsidRPr="003519B9">
              <w:rPr>
                <w:sz w:val="18"/>
                <w:szCs w:val="18"/>
                <w:lang w:val="en-GB"/>
              </w:rPr>
              <w:t>.</w:t>
            </w:r>
          </w:p>
        </w:tc>
      </w:tr>
      <w:tr w:rsidR="00242175" w:rsidRPr="003519B9" w14:paraId="56A83EB4"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62A27B67" w14:textId="77777777" w:rsidR="00242175" w:rsidRPr="0058410C" w:rsidRDefault="00242175" w:rsidP="00D143CE">
            <w:pPr>
              <w:pStyle w:val="ExhibitText"/>
              <w:jc w:val="left"/>
              <w:rPr>
                <w:sz w:val="18"/>
                <w:szCs w:val="18"/>
                <w:lang w:val="en-GB"/>
              </w:rPr>
            </w:pPr>
            <w:r w:rsidRPr="0058410C">
              <w:rPr>
                <w:sz w:val="18"/>
                <w:szCs w:val="18"/>
                <w:lang w:val="en-GB"/>
              </w:rPr>
              <w:t xml:space="preserve">Distribution of operating cash flows of the projects (cash flow waterfall mechanism as shown in </w:t>
            </w:r>
            <w:r w:rsidR="00B1213B" w:rsidRPr="0058410C">
              <w:rPr>
                <w:sz w:val="18"/>
                <w:szCs w:val="18"/>
                <w:lang w:val="en-GB"/>
              </w:rPr>
              <w:t>Exhibit 8</w:t>
            </w:r>
            <w:r w:rsidRPr="0058410C">
              <w:rPr>
                <w:sz w:val="18"/>
                <w:szCs w:val="18"/>
                <w:lang w:val="en-GB"/>
              </w:rPr>
              <w:t>)</w:t>
            </w:r>
          </w:p>
        </w:tc>
        <w:tc>
          <w:tcPr>
            <w:tcW w:w="3852" w:type="pct"/>
            <w:tcBorders>
              <w:top w:val="single" w:sz="4" w:space="0" w:color="auto"/>
              <w:left w:val="single" w:sz="4" w:space="0" w:color="auto"/>
              <w:bottom w:val="single" w:sz="4" w:space="0" w:color="auto"/>
              <w:right w:val="single" w:sz="4" w:space="0" w:color="auto"/>
            </w:tcBorders>
            <w:hideMark/>
          </w:tcPr>
          <w:p w14:paraId="0E651376" w14:textId="4A838DE2" w:rsidR="00242175" w:rsidRPr="0058410C" w:rsidRDefault="00B1213B" w:rsidP="00687282">
            <w:pPr>
              <w:pStyle w:val="ExhibitText"/>
              <w:rPr>
                <w:sz w:val="18"/>
                <w:szCs w:val="18"/>
                <w:lang w:val="en-GB"/>
              </w:rPr>
            </w:pPr>
            <w:r w:rsidRPr="0058410C">
              <w:rPr>
                <w:sz w:val="18"/>
                <w:szCs w:val="18"/>
                <w:lang w:val="en-GB"/>
              </w:rPr>
              <w:t xml:space="preserve">The borrower would distribute its operating cash flows during the life of the term loan only after </w:t>
            </w:r>
            <w:r w:rsidR="00AD1FDA" w:rsidRPr="0058410C">
              <w:rPr>
                <w:sz w:val="18"/>
                <w:szCs w:val="18"/>
                <w:lang w:val="en-GB"/>
              </w:rPr>
              <w:t xml:space="preserve">meeting certain requirements. Typically, these requirements were </w:t>
            </w:r>
            <w:r w:rsidRPr="0058410C">
              <w:rPr>
                <w:sz w:val="18"/>
                <w:szCs w:val="18"/>
                <w:lang w:val="en-GB"/>
              </w:rPr>
              <w:t>payment of operating expenses</w:t>
            </w:r>
            <w:r w:rsidR="00AD1FDA" w:rsidRPr="0058410C">
              <w:rPr>
                <w:sz w:val="18"/>
                <w:szCs w:val="18"/>
                <w:lang w:val="en-GB"/>
              </w:rPr>
              <w:t xml:space="preserve">, </w:t>
            </w:r>
            <w:r w:rsidRPr="0058410C">
              <w:rPr>
                <w:sz w:val="18"/>
                <w:szCs w:val="18"/>
                <w:lang w:val="en-GB"/>
              </w:rPr>
              <w:t xml:space="preserve">debt service, </w:t>
            </w:r>
            <w:r w:rsidR="0058410C" w:rsidRPr="0058410C">
              <w:rPr>
                <w:sz w:val="18"/>
                <w:szCs w:val="18"/>
                <w:lang w:val="en-GB"/>
              </w:rPr>
              <w:t>and debt service reserve account equivalent to two quarterly instalments of term loan repayment, and interest on the term loan for a period of six months, subject to maintaining a debt service coverage ratio of 1.50 x</w:t>
            </w:r>
            <w:r w:rsidR="00A22F0E" w:rsidRPr="003519B9">
              <w:rPr>
                <w:sz w:val="18"/>
                <w:szCs w:val="18"/>
                <w:lang w:val="en-GB"/>
              </w:rPr>
              <w:t>.</w:t>
            </w:r>
          </w:p>
        </w:tc>
      </w:tr>
      <w:tr w:rsidR="00242175" w:rsidRPr="003519B9" w14:paraId="3FF6ED87"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0F7A5902" w14:textId="77777777" w:rsidR="00242175" w:rsidRPr="0058410C" w:rsidRDefault="00242175" w:rsidP="00D143CE">
            <w:pPr>
              <w:pStyle w:val="ExhibitText"/>
              <w:jc w:val="left"/>
              <w:rPr>
                <w:sz w:val="18"/>
                <w:szCs w:val="18"/>
                <w:lang w:val="en-GB"/>
              </w:rPr>
            </w:pPr>
            <w:r w:rsidRPr="0058410C">
              <w:rPr>
                <w:sz w:val="18"/>
                <w:szCs w:val="18"/>
                <w:lang w:val="en-GB"/>
              </w:rPr>
              <w:t xml:space="preserve">Covenants of </w:t>
            </w:r>
            <w:r w:rsidR="00723FBB" w:rsidRPr="0058410C">
              <w:rPr>
                <w:sz w:val="18"/>
                <w:szCs w:val="18"/>
                <w:lang w:val="en-GB"/>
              </w:rPr>
              <w:t>t</w:t>
            </w:r>
            <w:r w:rsidR="000C3650" w:rsidRPr="0058410C">
              <w:rPr>
                <w:sz w:val="18"/>
                <w:szCs w:val="18"/>
                <w:lang w:val="en-GB"/>
              </w:rPr>
              <w:t xml:space="preserve">erm </w:t>
            </w:r>
            <w:r w:rsidR="00723FBB" w:rsidRPr="0058410C">
              <w:rPr>
                <w:sz w:val="18"/>
                <w:szCs w:val="18"/>
                <w:lang w:val="en-GB"/>
              </w:rPr>
              <w:t>l</w:t>
            </w:r>
            <w:r w:rsidR="000C3650" w:rsidRPr="0058410C">
              <w:rPr>
                <w:sz w:val="18"/>
                <w:szCs w:val="18"/>
                <w:lang w:val="en-GB"/>
              </w:rPr>
              <w:t>oan</w:t>
            </w:r>
          </w:p>
        </w:tc>
        <w:tc>
          <w:tcPr>
            <w:tcW w:w="3852" w:type="pct"/>
            <w:tcBorders>
              <w:top w:val="single" w:sz="4" w:space="0" w:color="auto"/>
              <w:left w:val="single" w:sz="4" w:space="0" w:color="auto"/>
              <w:bottom w:val="single" w:sz="4" w:space="0" w:color="auto"/>
              <w:right w:val="single" w:sz="4" w:space="0" w:color="auto"/>
            </w:tcBorders>
            <w:hideMark/>
          </w:tcPr>
          <w:p w14:paraId="63B55E7E" w14:textId="577B189F" w:rsidR="00242175" w:rsidRPr="0058410C" w:rsidRDefault="00242175" w:rsidP="00687282">
            <w:pPr>
              <w:pStyle w:val="ExhibitText"/>
              <w:rPr>
                <w:sz w:val="18"/>
                <w:szCs w:val="18"/>
                <w:lang w:val="en-GB"/>
              </w:rPr>
            </w:pPr>
            <w:r w:rsidRPr="0058410C">
              <w:rPr>
                <w:sz w:val="18"/>
                <w:szCs w:val="18"/>
                <w:lang w:val="en-GB"/>
              </w:rPr>
              <w:t xml:space="preserve">The borrower should not obtain additional debt during </w:t>
            </w:r>
            <w:r w:rsidR="00E30D7E" w:rsidRPr="0058410C">
              <w:rPr>
                <w:sz w:val="18"/>
                <w:szCs w:val="18"/>
                <w:lang w:val="en-GB"/>
              </w:rPr>
              <w:t xml:space="preserve">term </w:t>
            </w:r>
            <w:r w:rsidRPr="0058410C">
              <w:rPr>
                <w:sz w:val="18"/>
                <w:szCs w:val="18"/>
                <w:lang w:val="en-GB"/>
              </w:rPr>
              <w:t>of the loan without specific approval of the lenders</w:t>
            </w:r>
            <w:r w:rsidR="00E30D7E" w:rsidRPr="0058410C">
              <w:rPr>
                <w:sz w:val="18"/>
                <w:szCs w:val="18"/>
                <w:lang w:val="en-GB"/>
              </w:rPr>
              <w:t>; t</w:t>
            </w:r>
            <w:r w:rsidRPr="0058410C">
              <w:rPr>
                <w:sz w:val="18"/>
                <w:szCs w:val="18"/>
                <w:lang w:val="en-GB"/>
              </w:rPr>
              <w:t>he borrower should obtain approval of the lenders before declaration of dividends during tenor of the loan</w:t>
            </w:r>
            <w:r w:rsidR="00E30D7E" w:rsidRPr="0058410C">
              <w:rPr>
                <w:sz w:val="18"/>
                <w:szCs w:val="18"/>
                <w:lang w:val="en-GB"/>
              </w:rPr>
              <w:t>; t</w:t>
            </w:r>
            <w:r w:rsidRPr="0058410C">
              <w:rPr>
                <w:sz w:val="18"/>
                <w:szCs w:val="18"/>
                <w:lang w:val="en-GB"/>
              </w:rPr>
              <w:t xml:space="preserve">he borrower should maintain equity stake of its promoter not less than 51 per cent during </w:t>
            </w:r>
            <w:r w:rsidR="00E30D7E" w:rsidRPr="0058410C">
              <w:rPr>
                <w:sz w:val="18"/>
                <w:szCs w:val="18"/>
                <w:lang w:val="en-GB"/>
              </w:rPr>
              <w:t xml:space="preserve">the term </w:t>
            </w:r>
            <w:r w:rsidRPr="0058410C">
              <w:rPr>
                <w:sz w:val="18"/>
                <w:szCs w:val="18"/>
                <w:lang w:val="en-GB"/>
              </w:rPr>
              <w:t>of the loan</w:t>
            </w:r>
            <w:r w:rsidR="00A22F0E" w:rsidRPr="003519B9">
              <w:rPr>
                <w:sz w:val="18"/>
                <w:szCs w:val="18"/>
                <w:lang w:val="en-GB"/>
              </w:rPr>
              <w:t>.</w:t>
            </w:r>
          </w:p>
        </w:tc>
      </w:tr>
      <w:tr w:rsidR="00242175" w:rsidRPr="003519B9" w14:paraId="530F1BE8"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7F032124" w14:textId="77777777" w:rsidR="00242175" w:rsidRPr="0058410C" w:rsidRDefault="00242175" w:rsidP="00D143CE">
            <w:pPr>
              <w:pStyle w:val="ExhibitText"/>
              <w:jc w:val="left"/>
              <w:rPr>
                <w:sz w:val="18"/>
                <w:szCs w:val="18"/>
                <w:lang w:val="en-GB"/>
              </w:rPr>
            </w:pPr>
            <w:r w:rsidRPr="0058410C">
              <w:rPr>
                <w:sz w:val="18"/>
                <w:szCs w:val="18"/>
                <w:lang w:val="en-GB"/>
              </w:rPr>
              <w:t>Events of default</w:t>
            </w:r>
          </w:p>
        </w:tc>
        <w:tc>
          <w:tcPr>
            <w:tcW w:w="3852" w:type="pct"/>
            <w:tcBorders>
              <w:top w:val="single" w:sz="4" w:space="0" w:color="auto"/>
              <w:left w:val="single" w:sz="4" w:space="0" w:color="auto"/>
              <w:bottom w:val="single" w:sz="4" w:space="0" w:color="auto"/>
              <w:right w:val="single" w:sz="4" w:space="0" w:color="auto"/>
            </w:tcBorders>
            <w:hideMark/>
          </w:tcPr>
          <w:p w14:paraId="361B5EC2" w14:textId="167F5991" w:rsidR="00242175" w:rsidRPr="0058410C" w:rsidRDefault="00242175" w:rsidP="00687282">
            <w:pPr>
              <w:pStyle w:val="ExhibitText"/>
              <w:rPr>
                <w:sz w:val="18"/>
                <w:szCs w:val="18"/>
                <w:lang w:val="en-GB"/>
              </w:rPr>
            </w:pPr>
            <w:r w:rsidRPr="0058410C">
              <w:rPr>
                <w:sz w:val="18"/>
                <w:szCs w:val="18"/>
                <w:lang w:val="en-GB"/>
              </w:rPr>
              <w:t>Non</w:t>
            </w:r>
            <w:r w:rsidR="00687282">
              <w:rPr>
                <w:sz w:val="18"/>
                <w:szCs w:val="18"/>
                <w:lang w:val="en-GB"/>
              </w:rPr>
              <w:t>-</w:t>
            </w:r>
            <w:r w:rsidRPr="0058410C">
              <w:rPr>
                <w:sz w:val="18"/>
                <w:szCs w:val="18"/>
                <w:lang w:val="en-GB"/>
              </w:rPr>
              <w:t>payment of interest or principal of the term loan;</w:t>
            </w:r>
            <w:r w:rsidR="00E30D7E" w:rsidRPr="0058410C">
              <w:rPr>
                <w:sz w:val="18"/>
                <w:szCs w:val="18"/>
                <w:lang w:val="en-GB"/>
              </w:rPr>
              <w:t xml:space="preserve"> i</w:t>
            </w:r>
            <w:r w:rsidRPr="0058410C">
              <w:rPr>
                <w:sz w:val="18"/>
                <w:szCs w:val="18"/>
                <w:lang w:val="en-GB"/>
              </w:rPr>
              <w:t>nterest coverage ratio of less than 2x during te</w:t>
            </w:r>
            <w:r w:rsidR="00E30D7E" w:rsidRPr="0058410C">
              <w:rPr>
                <w:sz w:val="18"/>
                <w:szCs w:val="18"/>
                <w:lang w:val="en-GB"/>
              </w:rPr>
              <w:t>rm</w:t>
            </w:r>
            <w:r w:rsidRPr="0058410C">
              <w:rPr>
                <w:sz w:val="18"/>
                <w:szCs w:val="18"/>
                <w:lang w:val="en-GB"/>
              </w:rPr>
              <w:t xml:space="preserve"> of the term loan; </w:t>
            </w:r>
            <w:r w:rsidR="00E30D7E" w:rsidRPr="0058410C">
              <w:rPr>
                <w:sz w:val="18"/>
                <w:szCs w:val="18"/>
                <w:lang w:val="en-GB"/>
              </w:rPr>
              <w:t>d</w:t>
            </w:r>
            <w:r w:rsidRPr="0058410C">
              <w:rPr>
                <w:sz w:val="18"/>
                <w:szCs w:val="18"/>
                <w:lang w:val="en-GB"/>
              </w:rPr>
              <w:t>eficit in achieving projected revenues of the projects by more than 20 per cent in a financial year; bankruptcy</w:t>
            </w:r>
          </w:p>
        </w:tc>
      </w:tr>
      <w:tr w:rsidR="00242175" w:rsidRPr="003519B9" w14:paraId="46B2F923" w14:textId="77777777" w:rsidTr="0012070E">
        <w:trPr>
          <w:jc w:val="center"/>
        </w:trPr>
        <w:tc>
          <w:tcPr>
            <w:tcW w:w="1148" w:type="pct"/>
            <w:tcBorders>
              <w:top w:val="single" w:sz="4" w:space="0" w:color="auto"/>
              <w:left w:val="single" w:sz="4" w:space="0" w:color="auto"/>
              <w:bottom w:val="single" w:sz="4" w:space="0" w:color="auto"/>
              <w:right w:val="single" w:sz="4" w:space="0" w:color="auto"/>
            </w:tcBorders>
            <w:hideMark/>
          </w:tcPr>
          <w:p w14:paraId="05AE6E8C" w14:textId="77777777" w:rsidR="00242175" w:rsidRPr="0058410C" w:rsidRDefault="00242175" w:rsidP="00D143CE">
            <w:pPr>
              <w:pStyle w:val="ExhibitText"/>
              <w:jc w:val="left"/>
              <w:rPr>
                <w:sz w:val="18"/>
                <w:szCs w:val="18"/>
                <w:lang w:val="en-GB"/>
              </w:rPr>
            </w:pPr>
            <w:r w:rsidRPr="0058410C">
              <w:rPr>
                <w:sz w:val="18"/>
                <w:szCs w:val="18"/>
                <w:lang w:val="en-GB"/>
              </w:rPr>
              <w:t>Other conditions</w:t>
            </w:r>
          </w:p>
        </w:tc>
        <w:tc>
          <w:tcPr>
            <w:tcW w:w="3852" w:type="pct"/>
            <w:tcBorders>
              <w:top w:val="single" w:sz="4" w:space="0" w:color="auto"/>
              <w:left w:val="single" w:sz="4" w:space="0" w:color="auto"/>
              <w:bottom w:val="single" w:sz="4" w:space="0" w:color="auto"/>
              <w:right w:val="single" w:sz="4" w:space="0" w:color="auto"/>
            </w:tcBorders>
            <w:hideMark/>
          </w:tcPr>
          <w:p w14:paraId="0FD3AD7B" w14:textId="6417B8DF" w:rsidR="00242175" w:rsidRPr="0058410C" w:rsidRDefault="00242175" w:rsidP="00687282">
            <w:pPr>
              <w:pStyle w:val="ExhibitText"/>
              <w:rPr>
                <w:sz w:val="18"/>
                <w:szCs w:val="18"/>
                <w:lang w:val="en-GB"/>
              </w:rPr>
            </w:pPr>
            <w:r w:rsidRPr="0058410C">
              <w:rPr>
                <w:sz w:val="18"/>
                <w:szCs w:val="18"/>
                <w:lang w:val="en-GB"/>
              </w:rPr>
              <w:t>The arranger should receive satisfactory technical evaluation report from the lenders’ independent engineer;</w:t>
            </w:r>
            <w:r w:rsidR="00E30D7E" w:rsidRPr="0058410C">
              <w:rPr>
                <w:sz w:val="18"/>
                <w:szCs w:val="18"/>
                <w:lang w:val="en-GB"/>
              </w:rPr>
              <w:t xml:space="preserve"> t</w:t>
            </w:r>
            <w:r w:rsidRPr="0058410C">
              <w:rPr>
                <w:sz w:val="18"/>
                <w:szCs w:val="18"/>
                <w:lang w:val="en-GB"/>
              </w:rPr>
              <w:t>he arranger should approve implementation schedule, total cost</w:t>
            </w:r>
            <w:r w:rsidR="00A22F0E" w:rsidRPr="003519B9">
              <w:rPr>
                <w:sz w:val="18"/>
                <w:szCs w:val="18"/>
                <w:lang w:val="en-GB"/>
              </w:rPr>
              <w:t>,</w:t>
            </w:r>
            <w:r w:rsidRPr="0058410C">
              <w:rPr>
                <w:sz w:val="18"/>
                <w:szCs w:val="18"/>
                <w:lang w:val="en-GB"/>
              </w:rPr>
              <w:t xml:space="preserve"> and financial projections of the projects</w:t>
            </w:r>
            <w:r w:rsidR="00A22F0E" w:rsidRPr="003519B9">
              <w:rPr>
                <w:sz w:val="18"/>
                <w:szCs w:val="18"/>
                <w:lang w:val="en-GB"/>
              </w:rPr>
              <w:t>.</w:t>
            </w:r>
          </w:p>
        </w:tc>
      </w:tr>
    </w:tbl>
    <w:p w14:paraId="5B0C890F" w14:textId="77777777" w:rsidR="00CE2D4C" w:rsidRPr="003519B9" w:rsidRDefault="00CE2D4C" w:rsidP="00242175">
      <w:pPr>
        <w:pStyle w:val="Footnote"/>
        <w:rPr>
          <w:lang w:val="en-GB"/>
        </w:rPr>
      </w:pPr>
    </w:p>
    <w:p w14:paraId="0AF2DA05" w14:textId="12E2073A" w:rsidR="00D33C29" w:rsidRPr="003519B9" w:rsidRDefault="00AF73D3" w:rsidP="00242175">
      <w:pPr>
        <w:pStyle w:val="Footnote"/>
        <w:rPr>
          <w:rStyle w:val="tgc"/>
          <w:lang w:val="en-GB"/>
        </w:rPr>
      </w:pPr>
      <w:r w:rsidRPr="003519B9">
        <w:rPr>
          <w:color w:val="000000"/>
          <w:lang w:val="en-GB"/>
        </w:rPr>
        <w:t>*</w:t>
      </w:r>
      <w:r w:rsidR="00D33C29" w:rsidRPr="003519B9">
        <w:rPr>
          <w:color w:val="000000"/>
          <w:lang w:val="en-GB"/>
        </w:rPr>
        <w:t>Moratorium</w:t>
      </w:r>
      <w:r w:rsidR="0037639C" w:rsidRPr="003519B9">
        <w:rPr>
          <w:color w:val="000000"/>
          <w:lang w:val="en-GB"/>
        </w:rPr>
        <w:t xml:space="preserve"> </w:t>
      </w:r>
      <w:r w:rsidRPr="003519B9">
        <w:rPr>
          <w:rStyle w:val="tgc"/>
          <w:lang w:val="en-GB"/>
        </w:rPr>
        <w:t>wa</w:t>
      </w:r>
      <w:r w:rsidR="00D33C29" w:rsidRPr="003519B9">
        <w:rPr>
          <w:rStyle w:val="tgc"/>
          <w:lang w:val="en-GB"/>
        </w:rPr>
        <w:t>s the time</w:t>
      </w:r>
      <w:r w:rsidR="0037639C" w:rsidRPr="003519B9">
        <w:rPr>
          <w:rStyle w:val="tgc"/>
          <w:lang w:val="en-GB"/>
        </w:rPr>
        <w:t xml:space="preserve"> </w:t>
      </w:r>
      <w:r w:rsidR="00D33C29" w:rsidRPr="003519B9">
        <w:rPr>
          <w:rStyle w:val="tgc"/>
          <w:lang w:val="en-GB"/>
        </w:rPr>
        <w:t xml:space="preserve">period during the life of a term (project) loan when the borrower </w:t>
      </w:r>
      <w:r w:rsidRPr="003519B9">
        <w:rPr>
          <w:rStyle w:val="tgc"/>
          <w:lang w:val="en-GB"/>
        </w:rPr>
        <w:t>wa</w:t>
      </w:r>
      <w:r w:rsidR="00D33C29" w:rsidRPr="003519B9">
        <w:rPr>
          <w:rStyle w:val="tgc"/>
          <w:lang w:val="en-GB"/>
        </w:rPr>
        <w:t xml:space="preserve">s not required to make any repayment since the underlying project </w:t>
      </w:r>
      <w:r w:rsidR="00A22F0E" w:rsidRPr="003519B9">
        <w:rPr>
          <w:rStyle w:val="tgc"/>
          <w:lang w:val="en-GB"/>
        </w:rPr>
        <w:t xml:space="preserve">was </w:t>
      </w:r>
      <w:r w:rsidR="00D33C29" w:rsidRPr="003519B9">
        <w:rPr>
          <w:rStyle w:val="tgc"/>
          <w:lang w:val="en-GB"/>
        </w:rPr>
        <w:t xml:space="preserve">under implementation. It </w:t>
      </w:r>
      <w:r w:rsidRPr="003519B9">
        <w:rPr>
          <w:rStyle w:val="tgc"/>
          <w:lang w:val="en-GB"/>
        </w:rPr>
        <w:t>wa</w:t>
      </w:r>
      <w:r w:rsidR="00D33C29" w:rsidRPr="003519B9">
        <w:rPr>
          <w:rStyle w:val="tgc"/>
          <w:lang w:val="en-GB"/>
        </w:rPr>
        <w:t xml:space="preserve">s the gestation (waiting) </w:t>
      </w:r>
      <w:r w:rsidR="00D33C29" w:rsidRPr="003519B9">
        <w:rPr>
          <w:rStyle w:val="tgc"/>
          <w:bCs/>
          <w:lang w:val="en-GB"/>
        </w:rPr>
        <w:t xml:space="preserve">period </w:t>
      </w:r>
      <w:r w:rsidR="00D33C29" w:rsidRPr="003519B9">
        <w:rPr>
          <w:rStyle w:val="tgc"/>
          <w:lang w:val="en-GB"/>
        </w:rPr>
        <w:t>before the repayment of a term loan beg</w:t>
      </w:r>
      <w:r w:rsidRPr="003519B9">
        <w:rPr>
          <w:rStyle w:val="tgc"/>
          <w:lang w:val="en-GB"/>
        </w:rPr>
        <w:t>an</w:t>
      </w:r>
      <w:r w:rsidR="00D33C29" w:rsidRPr="003519B9">
        <w:rPr>
          <w:rStyle w:val="tgc"/>
          <w:lang w:val="en-GB"/>
        </w:rPr>
        <w:t>. Normally, the repayment beg</w:t>
      </w:r>
      <w:r w:rsidRPr="003519B9">
        <w:rPr>
          <w:rStyle w:val="tgc"/>
          <w:lang w:val="en-GB"/>
        </w:rPr>
        <w:t>an</w:t>
      </w:r>
      <w:r w:rsidR="00D33C29" w:rsidRPr="003519B9">
        <w:rPr>
          <w:rStyle w:val="tgc"/>
          <w:lang w:val="en-GB"/>
        </w:rPr>
        <w:t xml:space="preserve"> after the loan </w:t>
      </w:r>
      <w:r w:rsidRPr="003519B9">
        <w:rPr>
          <w:rStyle w:val="tgc"/>
          <w:lang w:val="en-GB"/>
        </w:rPr>
        <w:t>wa</w:t>
      </w:r>
      <w:r w:rsidR="00D33C29" w:rsidRPr="003519B9">
        <w:rPr>
          <w:rStyle w:val="tgc"/>
          <w:lang w:val="en-GB"/>
        </w:rPr>
        <w:t>s disbursed in full and after commencement of commercial operations of the project.</w:t>
      </w:r>
    </w:p>
    <w:p w14:paraId="21A2B5EE" w14:textId="77777777" w:rsidR="00242175" w:rsidRPr="003519B9" w:rsidRDefault="00242175" w:rsidP="00242175">
      <w:pPr>
        <w:pStyle w:val="Footnote"/>
        <w:rPr>
          <w:lang w:val="en-GB"/>
        </w:rPr>
      </w:pPr>
      <w:r w:rsidRPr="003519B9">
        <w:rPr>
          <w:lang w:val="en-GB"/>
        </w:rPr>
        <w:t>Source: Company documents.</w:t>
      </w:r>
    </w:p>
    <w:p w14:paraId="7A2A2334" w14:textId="77777777" w:rsidR="00242175" w:rsidRPr="003519B9" w:rsidRDefault="00242175" w:rsidP="00242175">
      <w:pPr>
        <w:spacing w:after="200" w:line="276" w:lineRule="auto"/>
        <w:rPr>
          <w:i/>
          <w:sz w:val="22"/>
          <w:szCs w:val="22"/>
          <w:lang w:val="en-GB"/>
        </w:rPr>
      </w:pPr>
      <w:r w:rsidRPr="003519B9">
        <w:rPr>
          <w:i/>
          <w:sz w:val="22"/>
          <w:szCs w:val="22"/>
          <w:lang w:val="en-GB"/>
        </w:rPr>
        <w:br w:type="page"/>
      </w:r>
    </w:p>
    <w:p w14:paraId="3D95877D" w14:textId="77777777" w:rsidR="00242175" w:rsidRPr="003519B9" w:rsidRDefault="00B1213B" w:rsidP="00242175">
      <w:pPr>
        <w:pStyle w:val="ExhibitHeading"/>
        <w:rPr>
          <w:lang w:val="en-GB"/>
        </w:rPr>
      </w:pPr>
      <w:r w:rsidRPr="003519B9">
        <w:rPr>
          <w:lang w:val="en-GB"/>
        </w:rPr>
        <w:lastRenderedPageBreak/>
        <w:t>Exhibit 5</w:t>
      </w:r>
      <w:r w:rsidR="00242175" w:rsidRPr="003519B9">
        <w:rPr>
          <w:lang w:val="en-GB"/>
        </w:rPr>
        <w:t xml:space="preserve">: ASSUMPTIONS OF </w:t>
      </w:r>
      <w:r w:rsidR="00CC0446" w:rsidRPr="003519B9">
        <w:rPr>
          <w:caps w:val="0"/>
          <w:lang w:val="en-GB"/>
        </w:rPr>
        <w:t>NAVA BHARAT ENERGY INDIA LIMITED</w:t>
      </w:r>
      <w:r w:rsidR="00CC0446" w:rsidRPr="003519B9">
        <w:rPr>
          <w:lang w:val="en-GB"/>
        </w:rPr>
        <w:t xml:space="preserve">’s </w:t>
      </w:r>
      <w:r w:rsidR="00242175" w:rsidRPr="003519B9">
        <w:rPr>
          <w:lang w:val="en-GB"/>
        </w:rPr>
        <w:t>PROJECTS</w:t>
      </w:r>
    </w:p>
    <w:p w14:paraId="2C7B9B28" w14:textId="77777777" w:rsidR="00242175" w:rsidRPr="003519B9" w:rsidRDefault="00242175" w:rsidP="00242175">
      <w:pPr>
        <w:pStyle w:val="ExhibitText"/>
        <w:rPr>
          <w:lang w:val="en-GB"/>
        </w:rPr>
      </w:pPr>
    </w:p>
    <w:p w14:paraId="1CFC11B8" w14:textId="77777777" w:rsidR="00242175" w:rsidRPr="003519B9" w:rsidRDefault="00242175" w:rsidP="00242175">
      <w:pPr>
        <w:pStyle w:val="ExhibitText"/>
        <w:rPr>
          <w:lang w:val="en-GB"/>
        </w:rPr>
      </w:pPr>
      <w:r w:rsidRPr="003519B9">
        <w:rPr>
          <w:lang w:val="en-GB"/>
        </w:rPr>
        <w:t>The assumptions underlying the financial projections of the power projects are given below.</w:t>
      </w:r>
    </w:p>
    <w:p w14:paraId="0D407E90" w14:textId="77777777" w:rsidR="00242175" w:rsidRDefault="00242175" w:rsidP="00242175">
      <w:pPr>
        <w:pStyle w:val="ExhibitText"/>
        <w:rPr>
          <w:lang w:val="en-GB"/>
        </w:rPr>
      </w:pPr>
    </w:p>
    <w:p w14:paraId="51EB7F30" w14:textId="77777777" w:rsidR="005838D7" w:rsidRPr="003519B9" w:rsidRDefault="005838D7" w:rsidP="00242175">
      <w:pPr>
        <w:pStyle w:val="ExhibitText"/>
        <w:rPr>
          <w:lang w:val="en-GB"/>
        </w:rPr>
      </w:pPr>
    </w:p>
    <w:p w14:paraId="7E440F0F" w14:textId="77777777" w:rsidR="00242175" w:rsidRPr="003519B9" w:rsidRDefault="00242175" w:rsidP="00242175">
      <w:pPr>
        <w:pStyle w:val="ExhibitText"/>
        <w:rPr>
          <w:b/>
          <w:color w:val="000000"/>
          <w:lang w:val="en-GB"/>
        </w:rPr>
      </w:pPr>
      <w:r w:rsidRPr="003519B9">
        <w:rPr>
          <w:b/>
          <w:color w:val="000000"/>
          <w:lang w:val="en-GB"/>
        </w:rPr>
        <w:t>Operational Parameters</w:t>
      </w:r>
    </w:p>
    <w:p w14:paraId="1402ADDC" w14:textId="77777777" w:rsidR="00242175" w:rsidRPr="003519B9" w:rsidRDefault="00242175" w:rsidP="00242175">
      <w:pPr>
        <w:pStyle w:val="ExhibitText"/>
        <w:ind w:left="1080"/>
        <w:rPr>
          <w:color w:val="000000"/>
          <w:lang w:val="en-GB"/>
        </w:rPr>
      </w:pPr>
    </w:p>
    <w:tbl>
      <w:tblPr>
        <w:tblW w:w="5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0"/>
        <w:gridCol w:w="1320"/>
      </w:tblGrid>
      <w:tr w:rsidR="00242175" w:rsidRPr="003519B9" w14:paraId="04A48DC8" w14:textId="77777777" w:rsidTr="006D5C35">
        <w:trPr>
          <w:trHeight w:val="144"/>
          <w:tblHeader/>
          <w:jc w:val="center"/>
        </w:trPr>
        <w:tc>
          <w:tcPr>
            <w:tcW w:w="4320" w:type="dxa"/>
            <w:tcBorders>
              <w:top w:val="single" w:sz="4" w:space="0" w:color="auto"/>
              <w:left w:val="single" w:sz="4" w:space="0" w:color="auto"/>
              <w:bottom w:val="single" w:sz="4" w:space="0" w:color="auto"/>
              <w:right w:val="single" w:sz="4" w:space="0" w:color="auto"/>
            </w:tcBorders>
            <w:hideMark/>
          </w:tcPr>
          <w:p w14:paraId="45D48AB1" w14:textId="77777777" w:rsidR="00242175" w:rsidRPr="003519B9" w:rsidRDefault="00242175" w:rsidP="006D5C35">
            <w:pPr>
              <w:pStyle w:val="ExhibitText"/>
              <w:rPr>
                <w:b/>
                <w:lang w:val="en-GB"/>
              </w:rPr>
            </w:pPr>
            <w:r w:rsidRPr="003519B9">
              <w:rPr>
                <w:b/>
                <w:lang w:val="en-GB"/>
              </w:rPr>
              <w:t>Parameter</w:t>
            </w:r>
          </w:p>
        </w:tc>
        <w:tc>
          <w:tcPr>
            <w:tcW w:w="1320" w:type="dxa"/>
            <w:tcBorders>
              <w:top w:val="single" w:sz="4" w:space="0" w:color="auto"/>
              <w:left w:val="single" w:sz="4" w:space="0" w:color="auto"/>
              <w:bottom w:val="single" w:sz="4" w:space="0" w:color="auto"/>
              <w:right w:val="single" w:sz="4" w:space="0" w:color="auto"/>
            </w:tcBorders>
            <w:hideMark/>
          </w:tcPr>
          <w:p w14:paraId="05D983DE" w14:textId="77777777" w:rsidR="00242175" w:rsidRPr="003519B9" w:rsidRDefault="00242175" w:rsidP="006D5C35">
            <w:pPr>
              <w:pStyle w:val="ExhibitText"/>
              <w:rPr>
                <w:b/>
                <w:lang w:val="en-GB"/>
              </w:rPr>
            </w:pPr>
            <w:r w:rsidRPr="003519B9">
              <w:rPr>
                <w:b/>
                <w:lang w:val="en-GB"/>
              </w:rPr>
              <w:t>Assumed</w:t>
            </w:r>
          </w:p>
        </w:tc>
      </w:tr>
      <w:tr w:rsidR="00242175" w:rsidRPr="003519B9" w14:paraId="6C80A26A" w14:textId="77777777" w:rsidTr="006D5C35">
        <w:trPr>
          <w:trHeight w:val="144"/>
          <w:jc w:val="center"/>
        </w:trPr>
        <w:tc>
          <w:tcPr>
            <w:tcW w:w="4320" w:type="dxa"/>
            <w:tcBorders>
              <w:top w:val="single" w:sz="4" w:space="0" w:color="auto"/>
              <w:left w:val="single" w:sz="4" w:space="0" w:color="auto"/>
              <w:bottom w:val="single" w:sz="4" w:space="0" w:color="auto"/>
              <w:right w:val="single" w:sz="4" w:space="0" w:color="auto"/>
            </w:tcBorders>
            <w:hideMark/>
          </w:tcPr>
          <w:p w14:paraId="37DFD2A0" w14:textId="77777777" w:rsidR="00242175" w:rsidRPr="003519B9" w:rsidRDefault="00242175" w:rsidP="006D5C35">
            <w:pPr>
              <w:pStyle w:val="ExhibitText"/>
              <w:rPr>
                <w:lang w:val="en-GB"/>
              </w:rPr>
            </w:pPr>
            <w:r w:rsidRPr="003519B9">
              <w:rPr>
                <w:lang w:val="en-GB"/>
              </w:rPr>
              <w:t>Plant Load Factor (PLF)</w:t>
            </w:r>
          </w:p>
          <w:p w14:paraId="20A01AF8" w14:textId="20C59ACB" w:rsidR="00242175" w:rsidRPr="003519B9" w:rsidRDefault="00242175" w:rsidP="00592961">
            <w:pPr>
              <w:pStyle w:val="ExhibitText"/>
              <w:numPr>
                <w:ilvl w:val="0"/>
                <w:numId w:val="30"/>
              </w:numPr>
              <w:rPr>
                <w:lang w:val="en-GB"/>
              </w:rPr>
            </w:pPr>
            <w:r w:rsidRPr="003519B9">
              <w:rPr>
                <w:lang w:val="en-GB"/>
              </w:rPr>
              <w:t xml:space="preserve">Actual </w:t>
            </w:r>
          </w:p>
          <w:p w14:paraId="39376393" w14:textId="6EB34A7A" w:rsidR="00242175" w:rsidRPr="003519B9" w:rsidRDefault="00242175" w:rsidP="00592961">
            <w:pPr>
              <w:pStyle w:val="ExhibitText"/>
              <w:numPr>
                <w:ilvl w:val="0"/>
                <w:numId w:val="30"/>
              </w:numPr>
              <w:rPr>
                <w:lang w:val="en-GB"/>
              </w:rPr>
            </w:pPr>
            <w:r w:rsidRPr="003519B9">
              <w:rPr>
                <w:lang w:val="en-GB"/>
              </w:rPr>
              <w:t>Normative</w:t>
            </w:r>
          </w:p>
        </w:tc>
        <w:tc>
          <w:tcPr>
            <w:tcW w:w="1320" w:type="dxa"/>
            <w:tcBorders>
              <w:top w:val="single" w:sz="4" w:space="0" w:color="auto"/>
              <w:left w:val="single" w:sz="4" w:space="0" w:color="auto"/>
              <w:bottom w:val="single" w:sz="4" w:space="0" w:color="auto"/>
              <w:right w:val="single" w:sz="4" w:space="0" w:color="auto"/>
            </w:tcBorders>
          </w:tcPr>
          <w:p w14:paraId="1CF3E32F" w14:textId="77777777" w:rsidR="00242175" w:rsidRPr="003519B9" w:rsidRDefault="00242175" w:rsidP="006D5C35">
            <w:pPr>
              <w:pStyle w:val="ExhibitText"/>
              <w:rPr>
                <w:lang w:val="en-GB"/>
              </w:rPr>
            </w:pPr>
          </w:p>
          <w:p w14:paraId="535F4150" w14:textId="77777777" w:rsidR="00242175" w:rsidRPr="003519B9" w:rsidRDefault="00242175" w:rsidP="006D5C35">
            <w:pPr>
              <w:pStyle w:val="ExhibitText"/>
              <w:rPr>
                <w:lang w:val="en-GB"/>
              </w:rPr>
            </w:pPr>
            <w:r w:rsidRPr="003519B9">
              <w:rPr>
                <w:lang w:val="en-GB"/>
              </w:rPr>
              <w:t>85%</w:t>
            </w:r>
          </w:p>
          <w:p w14:paraId="08597F98" w14:textId="77777777" w:rsidR="00242175" w:rsidRPr="003519B9" w:rsidRDefault="00242175" w:rsidP="006D5C35">
            <w:pPr>
              <w:pStyle w:val="ExhibitText"/>
              <w:rPr>
                <w:lang w:val="en-GB"/>
              </w:rPr>
            </w:pPr>
            <w:r w:rsidRPr="003519B9">
              <w:rPr>
                <w:lang w:val="en-GB"/>
              </w:rPr>
              <w:t>85%</w:t>
            </w:r>
          </w:p>
        </w:tc>
      </w:tr>
      <w:tr w:rsidR="00242175" w:rsidRPr="003519B9" w14:paraId="1163FCBA" w14:textId="77777777" w:rsidTr="006D5C35">
        <w:trPr>
          <w:trHeight w:val="144"/>
          <w:jc w:val="center"/>
        </w:trPr>
        <w:tc>
          <w:tcPr>
            <w:tcW w:w="4320" w:type="dxa"/>
            <w:tcBorders>
              <w:top w:val="single" w:sz="4" w:space="0" w:color="auto"/>
              <w:left w:val="single" w:sz="4" w:space="0" w:color="auto"/>
              <w:bottom w:val="single" w:sz="4" w:space="0" w:color="auto"/>
              <w:right w:val="single" w:sz="4" w:space="0" w:color="auto"/>
            </w:tcBorders>
            <w:hideMark/>
          </w:tcPr>
          <w:p w14:paraId="1DE39F31" w14:textId="77777777" w:rsidR="00242175" w:rsidRPr="003519B9" w:rsidRDefault="00242175" w:rsidP="006D5C35">
            <w:pPr>
              <w:pStyle w:val="ExhibitText"/>
              <w:rPr>
                <w:lang w:val="en-GB"/>
              </w:rPr>
            </w:pPr>
            <w:r w:rsidRPr="003519B9">
              <w:rPr>
                <w:lang w:val="en-GB"/>
              </w:rPr>
              <w:t>Auxiliary consumption</w:t>
            </w:r>
          </w:p>
        </w:tc>
        <w:tc>
          <w:tcPr>
            <w:tcW w:w="1320" w:type="dxa"/>
            <w:tcBorders>
              <w:top w:val="single" w:sz="4" w:space="0" w:color="auto"/>
              <w:left w:val="single" w:sz="4" w:space="0" w:color="auto"/>
              <w:bottom w:val="single" w:sz="4" w:space="0" w:color="auto"/>
              <w:right w:val="single" w:sz="4" w:space="0" w:color="auto"/>
            </w:tcBorders>
            <w:hideMark/>
          </w:tcPr>
          <w:p w14:paraId="405ED6D2" w14:textId="77777777" w:rsidR="00242175" w:rsidRPr="003519B9" w:rsidRDefault="00242175" w:rsidP="006D5C35">
            <w:pPr>
              <w:pStyle w:val="ExhibitText"/>
              <w:rPr>
                <w:lang w:val="en-GB"/>
              </w:rPr>
            </w:pPr>
            <w:r w:rsidRPr="003519B9">
              <w:rPr>
                <w:lang w:val="en-GB"/>
              </w:rPr>
              <w:t>9%</w:t>
            </w:r>
          </w:p>
        </w:tc>
      </w:tr>
      <w:tr w:rsidR="00242175" w:rsidRPr="003519B9" w14:paraId="5AB92FBA" w14:textId="77777777" w:rsidTr="006D5C35">
        <w:trPr>
          <w:trHeight w:val="144"/>
          <w:jc w:val="center"/>
        </w:trPr>
        <w:tc>
          <w:tcPr>
            <w:tcW w:w="4320" w:type="dxa"/>
            <w:tcBorders>
              <w:top w:val="single" w:sz="4" w:space="0" w:color="auto"/>
              <w:left w:val="single" w:sz="4" w:space="0" w:color="auto"/>
              <w:bottom w:val="single" w:sz="4" w:space="0" w:color="auto"/>
              <w:right w:val="single" w:sz="4" w:space="0" w:color="auto"/>
            </w:tcBorders>
            <w:hideMark/>
          </w:tcPr>
          <w:p w14:paraId="43E31528" w14:textId="77777777" w:rsidR="00242175" w:rsidRPr="003519B9" w:rsidRDefault="00242175" w:rsidP="006D5C35">
            <w:pPr>
              <w:pStyle w:val="ExhibitText"/>
              <w:rPr>
                <w:lang w:val="en-GB"/>
              </w:rPr>
            </w:pPr>
            <w:r w:rsidRPr="003519B9">
              <w:rPr>
                <w:lang w:val="en-GB"/>
              </w:rPr>
              <w:t xml:space="preserve">Gross station heat rate (kcal/kWh) </w:t>
            </w:r>
          </w:p>
        </w:tc>
        <w:tc>
          <w:tcPr>
            <w:tcW w:w="1320" w:type="dxa"/>
            <w:tcBorders>
              <w:top w:val="single" w:sz="4" w:space="0" w:color="auto"/>
              <w:left w:val="single" w:sz="4" w:space="0" w:color="auto"/>
              <w:bottom w:val="single" w:sz="4" w:space="0" w:color="auto"/>
              <w:right w:val="single" w:sz="4" w:space="0" w:color="auto"/>
            </w:tcBorders>
            <w:hideMark/>
          </w:tcPr>
          <w:p w14:paraId="79AF7219" w14:textId="77777777" w:rsidR="00242175" w:rsidRPr="003519B9" w:rsidRDefault="00242175" w:rsidP="006D5C35">
            <w:pPr>
              <w:pStyle w:val="ExhibitText"/>
              <w:rPr>
                <w:lang w:val="en-GB"/>
              </w:rPr>
            </w:pPr>
            <w:r w:rsidRPr="003519B9">
              <w:rPr>
                <w:lang w:val="en-GB"/>
              </w:rPr>
              <w:t>2</w:t>
            </w:r>
            <w:r w:rsidR="00A857A2" w:rsidRPr="003519B9">
              <w:rPr>
                <w:lang w:val="en-GB"/>
              </w:rPr>
              <w:t>,</w:t>
            </w:r>
            <w:r w:rsidRPr="003519B9">
              <w:rPr>
                <w:lang w:val="en-GB"/>
              </w:rPr>
              <w:t>400</w:t>
            </w:r>
          </w:p>
        </w:tc>
      </w:tr>
    </w:tbl>
    <w:p w14:paraId="0D68DC26" w14:textId="77777777" w:rsidR="00242175" w:rsidRDefault="00242175" w:rsidP="00242175">
      <w:pPr>
        <w:pStyle w:val="ExhibitText"/>
        <w:rPr>
          <w:rFonts w:ascii="Times New Roman" w:hAnsi="Times New Roman"/>
          <w:lang w:val="en-GB"/>
        </w:rPr>
      </w:pPr>
    </w:p>
    <w:p w14:paraId="527B3432" w14:textId="77777777" w:rsidR="005838D7" w:rsidRPr="003519B9" w:rsidRDefault="005838D7" w:rsidP="00242175">
      <w:pPr>
        <w:pStyle w:val="ExhibitText"/>
        <w:rPr>
          <w:rFonts w:ascii="Times New Roman" w:hAnsi="Times New Roman"/>
          <w:lang w:val="en-GB"/>
        </w:rPr>
      </w:pPr>
    </w:p>
    <w:p w14:paraId="0AD24EA9" w14:textId="77777777" w:rsidR="00242175" w:rsidRPr="003519B9" w:rsidRDefault="00242175" w:rsidP="00242175">
      <w:pPr>
        <w:pStyle w:val="ExhibitText"/>
        <w:rPr>
          <w:b/>
          <w:color w:val="000000"/>
          <w:lang w:val="en-GB"/>
        </w:rPr>
      </w:pPr>
      <w:r w:rsidRPr="003519B9">
        <w:rPr>
          <w:b/>
          <w:color w:val="000000"/>
          <w:lang w:val="en-GB"/>
        </w:rPr>
        <w:t>Energy Parameters</w:t>
      </w:r>
    </w:p>
    <w:p w14:paraId="41206D5B" w14:textId="77777777" w:rsidR="00242175" w:rsidRPr="003519B9" w:rsidRDefault="00242175" w:rsidP="00242175">
      <w:pPr>
        <w:pStyle w:val="ExhibitText"/>
        <w:rPr>
          <w:rFonts w:ascii="Times New Roman" w:hAnsi="Times New Roman"/>
          <w:b/>
          <w:color w:val="000000"/>
          <w:lang w:val="en-GB"/>
        </w:rPr>
      </w:pPr>
    </w:p>
    <w:tbl>
      <w:tblPr>
        <w:tblW w:w="79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7"/>
        <w:gridCol w:w="1920"/>
        <w:gridCol w:w="1803"/>
      </w:tblGrid>
      <w:tr w:rsidR="00242175" w:rsidRPr="003519B9" w14:paraId="76B6EEEF" w14:textId="77777777" w:rsidTr="00F24BB5">
        <w:trPr>
          <w:trHeight w:val="144"/>
          <w:tblHeader/>
        </w:trPr>
        <w:tc>
          <w:tcPr>
            <w:tcW w:w="4197" w:type="dxa"/>
            <w:tcBorders>
              <w:top w:val="single" w:sz="4" w:space="0" w:color="auto"/>
              <w:left w:val="single" w:sz="4" w:space="0" w:color="auto"/>
              <w:bottom w:val="single" w:sz="4" w:space="0" w:color="auto"/>
              <w:right w:val="single" w:sz="4" w:space="0" w:color="auto"/>
            </w:tcBorders>
            <w:hideMark/>
          </w:tcPr>
          <w:p w14:paraId="14100C3C" w14:textId="77777777" w:rsidR="00242175" w:rsidRPr="003519B9" w:rsidRDefault="00242175" w:rsidP="006D5C35">
            <w:pPr>
              <w:pStyle w:val="ExhibitText"/>
              <w:rPr>
                <w:b/>
                <w:lang w:val="en-GB"/>
              </w:rPr>
            </w:pPr>
            <w:r w:rsidRPr="003519B9">
              <w:rPr>
                <w:b/>
                <w:lang w:val="en-GB"/>
              </w:rPr>
              <w:t>Parameters</w:t>
            </w:r>
          </w:p>
        </w:tc>
        <w:tc>
          <w:tcPr>
            <w:tcW w:w="1920" w:type="dxa"/>
            <w:tcBorders>
              <w:top w:val="single" w:sz="4" w:space="0" w:color="auto"/>
              <w:left w:val="single" w:sz="4" w:space="0" w:color="auto"/>
              <w:bottom w:val="single" w:sz="4" w:space="0" w:color="auto"/>
              <w:right w:val="single" w:sz="4" w:space="0" w:color="auto"/>
            </w:tcBorders>
            <w:hideMark/>
          </w:tcPr>
          <w:p w14:paraId="46B21AE9" w14:textId="77777777" w:rsidR="00242175" w:rsidRPr="003519B9" w:rsidRDefault="00242175" w:rsidP="006D5C35">
            <w:pPr>
              <w:pStyle w:val="ExhibitText"/>
              <w:rPr>
                <w:b/>
                <w:lang w:val="en-GB"/>
              </w:rPr>
            </w:pPr>
            <w:r w:rsidRPr="003519B9">
              <w:rPr>
                <w:b/>
                <w:lang w:val="en-GB"/>
              </w:rPr>
              <w:t>Paloncha</w:t>
            </w:r>
          </w:p>
        </w:tc>
        <w:tc>
          <w:tcPr>
            <w:tcW w:w="1803" w:type="dxa"/>
            <w:tcBorders>
              <w:top w:val="single" w:sz="4" w:space="0" w:color="auto"/>
              <w:left w:val="single" w:sz="4" w:space="0" w:color="auto"/>
              <w:bottom w:val="single" w:sz="4" w:space="0" w:color="auto"/>
              <w:right w:val="single" w:sz="4" w:space="0" w:color="auto"/>
            </w:tcBorders>
            <w:hideMark/>
          </w:tcPr>
          <w:p w14:paraId="39BF3091" w14:textId="77777777" w:rsidR="00242175" w:rsidRPr="003519B9" w:rsidRDefault="00242175" w:rsidP="006D5C35">
            <w:pPr>
              <w:pStyle w:val="ExhibitText"/>
              <w:rPr>
                <w:b/>
                <w:lang w:val="en-GB"/>
              </w:rPr>
            </w:pPr>
            <w:r w:rsidRPr="003519B9">
              <w:rPr>
                <w:b/>
                <w:lang w:val="en-GB"/>
              </w:rPr>
              <w:t>Dharmavaram</w:t>
            </w:r>
          </w:p>
        </w:tc>
      </w:tr>
      <w:tr w:rsidR="00242175" w:rsidRPr="003519B9" w14:paraId="48AAA3F9" w14:textId="77777777" w:rsidTr="00F24BB5">
        <w:trPr>
          <w:trHeight w:val="144"/>
        </w:trPr>
        <w:tc>
          <w:tcPr>
            <w:tcW w:w="4197" w:type="dxa"/>
            <w:tcBorders>
              <w:top w:val="single" w:sz="4" w:space="0" w:color="auto"/>
              <w:left w:val="single" w:sz="4" w:space="0" w:color="auto"/>
              <w:bottom w:val="single" w:sz="4" w:space="0" w:color="auto"/>
              <w:right w:val="single" w:sz="4" w:space="0" w:color="auto"/>
            </w:tcBorders>
            <w:hideMark/>
          </w:tcPr>
          <w:p w14:paraId="62F932DE" w14:textId="77777777" w:rsidR="00242175" w:rsidRPr="003519B9" w:rsidRDefault="00242175" w:rsidP="006D5C35">
            <w:pPr>
              <w:pStyle w:val="ExhibitText"/>
              <w:rPr>
                <w:lang w:val="en-GB"/>
              </w:rPr>
            </w:pPr>
            <w:r w:rsidRPr="003519B9">
              <w:rPr>
                <w:lang w:val="en-GB"/>
              </w:rPr>
              <w:t>Fuel</w:t>
            </w:r>
          </w:p>
        </w:tc>
        <w:tc>
          <w:tcPr>
            <w:tcW w:w="1920" w:type="dxa"/>
            <w:tcBorders>
              <w:top w:val="single" w:sz="4" w:space="0" w:color="auto"/>
              <w:left w:val="single" w:sz="4" w:space="0" w:color="auto"/>
              <w:bottom w:val="single" w:sz="4" w:space="0" w:color="auto"/>
              <w:right w:val="single" w:sz="4" w:space="0" w:color="auto"/>
            </w:tcBorders>
            <w:hideMark/>
          </w:tcPr>
          <w:p w14:paraId="0D216C28" w14:textId="77777777" w:rsidR="00242175" w:rsidRPr="003519B9" w:rsidRDefault="00242175" w:rsidP="006D5C35">
            <w:pPr>
              <w:pStyle w:val="ExhibitText"/>
              <w:rPr>
                <w:lang w:val="en-GB"/>
              </w:rPr>
            </w:pPr>
            <w:r w:rsidRPr="003519B9">
              <w:rPr>
                <w:lang w:val="en-GB"/>
              </w:rPr>
              <w:t>Indigenous coal</w:t>
            </w:r>
          </w:p>
        </w:tc>
        <w:tc>
          <w:tcPr>
            <w:tcW w:w="1803" w:type="dxa"/>
            <w:tcBorders>
              <w:top w:val="single" w:sz="4" w:space="0" w:color="auto"/>
              <w:left w:val="single" w:sz="4" w:space="0" w:color="auto"/>
              <w:bottom w:val="single" w:sz="4" w:space="0" w:color="auto"/>
              <w:right w:val="single" w:sz="4" w:space="0" w:color="auto"/>
            </w:tcBorders>
            <w:hideMark/>
          </w:tcPr>
          <w:p w14:paraId="563EF786" w14:textId="77777777" w:rsidR="00242175" w:rsidRPr="003519B9" w:rsidRDefault="00DC19AD" w:rsidP="006D5C35">
            <w:pPr>
              <w:pStyle w:val="ExhibitText"/>
              <w:rPr>
                <w:lang w:val="en-GB"/>
              </w:rPr>
            </w:pPr>
            <w:r w:rsidRPr="003519B9">
              <w:rPr>
                <w:lang w:val="en-GB"/>
              </w:rPr>
              <w:t>*</w:t>
            </w:r>
            <w:r w:rsidR="00242175" w:rsidRPr="003519B9">
              <w:rPr>
                <w:lang w:val="en-GB"/>
              </w:rPr>
              <w:t>Imported coal</w:t>
            </w:r>
          </w:p>
        </w:tc>
      </w:tr>
      <w:tr w:rsidR="00242175" w:rsidRPr="003519B9" w14:paraId="1E7EF5FA" w14:textId="77777777" w:rsidTr="00F24BB5">
        <w:trPr>
          <w:trHeight w:val="144"/>
        </w:trPr>
        <w:tc>
          <w:tcPr>
            <w:tcW w:w="4197" w:type="dxa"/>
            <w:tcBorders>
              <w:top w:val="single" w:sz="4" w:space="0" w:color="auto"/>
              <w:left w:val="single" w:sz="4" w:space="0" w:color="auto"/>
              <w:bottom w:val="single" w:sz="4" w:space="0" w:color="auto"/>
              <w:right w:val="single" w:sz="4" w:space="0" w:color="auto"/>
            </w:tcBorders>
            <w:hideMark/>
          </w:tcPr>
          <w:p w14:paraId="55616E8F" w14:textId="77777777" w:rsidR="00242175" w:rsidRPr="003519B9" w:rsidRDefault="00242175" w:rsidP="006D5C35">
            <w:pPr>
              <w:pStyle w:val="ExhibitText"/>
              <w:rPr>
                <w:lang w:val="en-GB"/>
              </w:rPr>
            </w:pPr>
            <w:r w:rsidRPr="003519B9">
              <w:rPr>
                <w:lang w:val="en-GB"/>
              </w:rPr>
              <w:t>Gross calorific value</w:t>
            </w:r>
          </w:p>
        </w:tc>
        <w:tc>
          <w:tcPr>
            <w:tcW w:w="1920" w:type="dxa"/>
            <w:tcBorders>
              <w:top w:val="single" w:sz="4" w:space="0" w:color="auto"/>
              <w:left w:val="single" w:sz="4" w:space="0" w:color="auto"/>
              <w:bottom w:val="single" w:sz="4" w:space="0" w:color="auto"/>
              <w:right w:val="single" w:sz="4" w:space="0" w:color="auto"/>
            </w:tcBorders>
            <w:hideMark/>
          </w:tcPr>
          <w:p w14:paraId="15DB3B65" w14:textId="77777777" w:rsidR="00242175" w:rsidRPr="003519B9" w:rsidRDefault="00242175" w:rsidP="006D5C35">
            <w:pPr>
              <w:pStyle w:val="ExhibitText"/>
              <w:rPr>
                <w:lang w:val="en-GB"/>
              </w:rPr>
            </w:pPr>
            <w:r w:rsidRPr="003519B9">
              <w:rPr>
                <w:lang w:val="en-GB"/>
              </w:rPr>
              <w:t>3</w:t>
            </w:r>
            <w:r w:rsidR="00A857A2" w:rsidRPr="003519B9">
              <w:rPr>
                <w:lang w:val="en-GB"/>
              </w:rPr>
              <w:t>,</w:t>
            </w:r>
            <w:r w:rsidRPr="003519B9">
              <w:rPr>
                <w:lang w:val="en-GB"/>
              </w:rPr>
              <w:t>450 kcal/kg</w:t>
            </w:r>
          </w:p>
        </w:tc>
        <w:tc>
          <w:tcPr>
            <w:tcW w:w="1803" w:type="dxa"/>
            <w:tcBorders>
              <w:top w:val="single" w:sz="4" w:space="0" w:color="auto"/>
              <w:left w:val="single" w:sz="4" w:space="0" w:color="auto"/>
              <w:bottom w:val="single" w:sz="4" w:space="0" w:color="auto"/>
              <w:right w:val="single" w:sz="4" w:space="0" w:color="auto"/>
            </w:tcBorders>
            <w:hideMark/>
          </w:tcPr>
          <w:p w14:paraId="16824432" w14:textId="77777777" w:rsidR="00242175" w:rsidRPr="003519B9" w:rsidRDefault="00242175" w:rsidP="006D5C35">
            <w:pPr>
              <w:pStyle w:val="ExhibitText"/>
              <w:rPr>
                <w:lang w:val="en-GB"/>
              </w:rPr>
            </w:pPr>
            <w:r w:rsidRPr="003519B9">
              <w:rPr>
                <w:lang w:val="en-GB"/>
              </w:rPr>
              <w:t>5</w:t>
            </w:r>
            <w:r w:rsidR="00A857A2" w:rsidRPr="003519B9">
              <w:rPr>
                <w:lang w:val="en-GB"/>
              </w:rPr>
              <w:t>,</w:t>
            </w:r>
            <w:r w:rsidRPr="003519B9">
              <w:rPr>
                <w:lang w:val="en-GB"/>
              </w:rPr>
              <w:t>500 kcal/kg</w:t>
            </w:r>
          </w:p>
        </w:tc>
      </w:tr>
      <w:tr w:rsidR="00242175" w:rsidRPr="003519B9" w14:paraId="1FCA2C08" w14:textId="77777777" w:rsidTr="00F24BB5">
        <w:trPr>
          <w:trHeight w:val="144"/>
        </w:trPr>
        <w:tc>
          <w:tcPr>
            <w:tcW w:w="4197" w:type="dxa"/>
            <w:tcBorders>
              <w:top w:val="single" w:sz="4" w:space="0" w:color="auto"/>
              <w:left w:val="single" w:sz="4" w:space="0" w:color="auto"/>
              <w:bottom w:val="single" w:sz="4" w:space="0" w:color="auto"/>
              <w:right w:val="single" w:sz="4" w:space="0" w:color="auto"/>
            </w:tcBorders>
            <w:hideMark/>
          </w:tcPr>
          <w:p w14:paraId="07AF3A10" w14:textId="77777777" w:rsidR="00242175" w:rsidRPr="003519B9" w:rsidRDefault="00242175" w:rsidP="006D5C35">
            <w:pPr>
              <w:pStyle w:val="ExhibitText"/>
              <w:rPr>
                <w:lang w:val="en-GB"/>
              </w:rPr>
            </w:pPr>
            <w:r w:rsidRPr="003519B9">
              <w:rPr>
                <w:lang w:val="en-GB"/>
              </w:rPr>
              <w:t>Landed price of coal (as of March 31, 2012)</w:t>
            </w:r>
          </w:p>
        </w:tc>
        <w:tc>
          <w:tcPr>
            <w:tcW w:w="1920" w:type="dxa"/>
            <w:tcBorders>
              <w:top w:val="single" w:sz="4" w:space="0" w:color="auto"/>
              <w:left w:val="single" w:sz="4" w:space="0" w:color="auto"/>
              <w:bottom w:val="single" w:sz="4" w:space="0" w:color="auto"/>
              <w:right w:val="single" w:sz="4" w:space="0" w:color="auto"/>
            </w:tcBorders>
            <w:hideMark/>
          </w:tcPr>
          <w:p w14:paraId="68531ACD" w14:textId="77777777" w:rsidR="00242175" w:rsidRPr="003519B9" w:rsidRDefault="00242175" w:rsidP="006D5C35">
            <w:pPr>
              <w:pStyle w:val="ExhibitText"/>
              <w:rPr>
                <w:lang w:val="en-GB"/>
              </w:rPr>
            </w:pPr>
            <w:r w:rsidRPr="003519B9">
              <w:rPr>
                <w:lang w:val="en-GB"/>
              </w:rPr>
              <w:t>₹1</w:t>
            </w:r>
            <w:r w:rsidR="00A857A2" w:rsidRPr="003519B9">
              <w:rPr>
                <w:lang w:val="en-GB"/>
              </w:rPr>
              <w:t>,</w:t>
            </w:r>
            <w:r w:rsidRPr="003519B9">
              <w:rPr>
                <w:lang w:val="en-GB"/>
              </w:rPr>
              <w:t>011/tonne</w:t>
            </w:r>
          </w:p>
        </w:tc>
        <w:tc>
          <w:tcPr>
            <w:tcW w:w="1803" w:type="dxa"/>
            <w:tcBorders>
              <w:top w:val="single" w:sz="4" w:space="0" w:color="auto"/>
              <w:left w:val="single" w:sz="4" w:space="0" w:color="auto"/>
              <w:bottom w:val="single" w:sz="4" w:space="0" w:color="auto"/>
              <w:right w:val="single" w:sz="4" w:space="0" w:color="auto"/>
            </w:tcBorders>
            <w:hideMark/>
          </w:tcPr>
          <w:p w14:paraId="57382401" w14:textId="77777777" w:rsidR="00242175" w:rsidRPr="003519B9" w:rsidRDefault="00242175" w:rsidP="006D5C35">
            <w:pPr>
              <w:pStyle w:val="ExhibitText"/>
              <w:rPr>
                <w:lang w:val="en-GB"/>
              </w:rPr>
            </w:pPr>
            <w:r w:rsidRPr="003519B9">
              <w:rPr>
                <w:lang w:val="en-GB"/>
              </w:rPr>
              <w:t>₹3</w:t>
            </w:r>
            <w:r w:rsidR="00A857A2" w:rsidRPr="003519B9">
              <w:rPr>
                <w:lang w:val="en-GB"/>
              </w:rPr>
              <w:t>,</w:t>
            </w:r>
            <w:r w:rsidRPr="003519B9">
              <w:rPr>
                <w:lang w:val="en-GB"/>
              </w:rPr>
              <w:t>614/tonne</w:t>
            </w:r>
          </w:p>
        </w:tc>
      </w:tr>
      <w:tr w:rsidR="00242175" w:rsidRPr="003519B9" w14:paraId="048FE119" w14:textId="77777777" w:rsidTr="00F24BB5">
        <w:trPr>
          <w:trHeight w:val="144"/>
        </w:trPr>
        <w:tc>
          <w:tcPr>
            <w:tcW w:w="4197" w:type="dxa"/>
            <w:tcBorders>
              <w:top w:val="single" w:sz="4" w:space="0" w:color="auto"/>
              <w:left w:val="single" w:sz="4" w:space="0" w:color="auto"/>
              <w:bottom w:val="single" w:sz="4" w:space="0" w:color="auto"/>
              <w:right w:val="single" w:sz="4" w:space="0" w:color="auto"/>
            </w:tcBorders>
            <w:hideMark/>
          </w:tcPr>
          <w:p w14:paraId="2A07F770" w14:textId="77777777" w:rsidR="00242175" w:rsidRPr="003519B9" w:rsidRDefault="00B1213B" w:rsidP="00F369C1">
            <w:pPr>
              <w:pStyle w:val="ExhibitText"/>
              <w:rPr>
                <w:lang w:val="en-GB"/>
              </w:rPr>
            </w:pPr>
            <w:r w:rsidRPr="003519B9">
              <w:rPr>
                <w:lang w:val="en-GB"/>
              </w:rPr>
              <w:t>Exchange rate</w:t>
            </w:r>
          </w:p>
        </w:tc>
        <w:tc>
          <w:tcPr>
            <w:tcW w:w="3723" w:type="dxa"/>
            <w:gridSpan w:val="2"/>
            <w:tcBorders>
              <w:top w:val="single" w:sz="4" w:space="0" w:color="auto"/>
              <w:left w:val="single" w:sz="4" w:space="0" w:color="auto"/>
              <w:bottom w:val="single" w:sz="4" w:space="0" w:color="auto"/>
              <w:right w:val="single" w:sz="4" w:space="0" w:color="auto"/>
            </w:tcBorders>
            <w:hideMark/>
          </w:tcPr>
          <w:p w14:paraId="0EAC56F0" w14:textId="77777777" w:rsidR="00242175" w:rsidRPr="003519B9" w:rsidRDefault="00F369C1" w:rsidP="00716CC6">
            <w:pPr>
              <w:pStyle w:val="ExhibitText"/>
              <w:rPr>
                <w:lang w:val="en-GB"/>
              </w:rPr>
            </w:pPr>
            <w:r w:rsidRPr="003519B9">
              <w:rPr>
                <w:lang w:val="en-GB"/>
              </w:rPr>
              <w:t xml:space="preserve">US$1 = </w:t>
            </w:r>
            <w:r w:rsidR="00B1213B" w:rsidRPr="003519B9">
              <w:rPr>
                <w:lang w:val="en-GB"/>
              </w:rPr>
              <w:t>₹49</w:t>
            </w:r>
          </w:p>
        </w:tc>
      </w:tr>
      <w:tr w:rsidR="00242175" w:rsidRPr="003519B9" w14:paraId="49C3F271" w14:textId="77777777" w:rsidTr="00F24BB5">
        <w:trPr>
          <w:trHeight w:val="144"/>
        </w:trPr>
        <w:tc>
          <w:tcPr>
            <w:tcW w:w="4197" w:type="dxa"/>
            <w:tcBorders>
              <w:top w:val="single" w:sz="4" w:space="0" w:color="auto"/>
              <w:left w:val="single" w:sz="4" w:space="0" w:color="auto"/>
              <w:bottom w:val="single" w:sz="4" w:space="0" w:color="auto"/>
              <w:right w:val="single" w:sz="4" w:space="0" w:color="auto"/>
            </w:tcBorders>
            <w:hideMark/>
          </w:tcPr>
          <w:p w14:paraId="1EBB407E" w14:textId="77777777" w:rsidR="00242175" w:rsidRPr="003519B9" w:rsidRDefault="00242175" w:rsidP="006D5C35">
            <w:pPr>
              <w:pStyle w:val="ExhibitText"/>
              <w:rPr>
                <w:lang w:val="en-GB"/>
              </w:rPr>
            </w:pPr>
            <w:r w:rsidRPr="003519B9">
              <w:rPr>
                <w:lang w:val="en-GB"/>
              </w:rPr>
              <w:t>Cost escalation for coal</w:t>
            </w:r>
          </w:p>
        </w:tc>
        <w:tc>
          <w:tcPr>
            <w:tcW w:w="3723" w:type="dxa"/>
            <w:gridSpan w:val="2"/>
            <w:tcBorders>
              <w:top w:val="single" w:sz="4" w:space="0" w:color="auto"/>
              <w:left w:val="single" w:sz="4" w:space="0" w:color="auto"/>
              <w:bottom w:val="single" w:sz="4" w:space="0" w:color="auto"/>
              <w:right w:val="single" w:sz="4" w:space="0" w:color="auto"/>
            </w:tcBorders>
            <w:hideMark/>
          </w:tcPr>
          <w:p w14:paraId="10A5F566" w14:textId="77777777" w:rsidR="00242175" w:rsidRPr="003519B9" w:rsidRDefault="00242175" w:rsidP="006D5C35">
            <w:pPr>
              <w:pStyle w:val="ExhibitText"/>
              <w:rPr>
                <w:lang w:val="en-GB"/>
              </w:rPr>
            </w:pPr>
            <w:r w:rsidRPr="003519B9">
              <w:rPr>
                <w:lang w:val="en-GB"/>
              </w:rPr>
              <w:t>3% per annum</w:t>
            </w:r>
          </w:p>
        </w:tc>
      </w:tr>
      <w:tr w:rsidR="00242175" w:rsidRPr="003519B9" w14:paraId="540D1152" w14:textId="77777777" w:rsidTr="00F24BB5">
        <w:trPr>
          <w:trHeight w:val="144"/>
        </w:trPr>
        <w:tc>
          <w:tcPr>
            <w:tcW w:w="4197" w:type="dxa"/>
            <w:tcBorders>
              <w:top w:val="single" w:sz="4" w:space="0" w:color="auto"/>
              <w:left w:val="single" w:sz="4" w:space="0" w:color="auto"/>
              <w:bottom w:val="single" w:sz="4" w:space="0" w:color="auto"/>
              <w:right w:val="single" w:sz="4" w:space="0" w:color="auto"/>
            </w:tcBorders>
            <w:hideMark/>
          </w:tcPr>
          <w:p w14:paraId="7D38AF37" w14:textId="77777777" w:rsidR="00242175" w:rsidRPr="003519B9" w:rsidRDefault="00242175" w:rsidP="006D5C35">
            <w:pPr>
              <w:pStyle w:val="ExhibitText"/>
              <w:rPr>
                <w:lang w:val="en-GB"/>
              </w:rPr>
            </w:pPr>
            <w:r w:rsidRPr="003519B9">
              <w:rPr>
                <w:lang w:val="en-GB"/>
              </w:rPr>
              <w:t>Coal transit loss</w:t>
            </w:r>
          </w:p>
        </w:tc>
        <w:tc>
          <w:tcPr>
            <w:tcW w:w="3723" w:type="dxa"/>
            <w:gridSpan w:val="2"/>
            <w:tcBorders>
              <w:top w:val="single" w:sz="4" w:space="0" w:color="auto"/>
              <w:left w:val="single" w:sz="4" w:space="0" w:color="auto"/>
              <w:bottom w:val="single" w:sz="4" w:space="0" w:color="auto"/>
              <w:right w:val="single" w:sz="4" w:space="0" w:color="auto"/>
            </w:tcBorders>
            <w:hideMark/>
          </w:tcPr>
          <w:p w14:paraId="02A6CCD7" w14:textId="77777777" w:rsidR="00242175" w:rsidRPr="003519B9" w:rsidRDefault="00242175" w:rsidP="006D5C35">
            <w:pPr>
              <w:pStyle w:val="ExhibitText"/>
              <w:rPr>
                <w:lang w:val="en-GB"/>
              </w:rPr>
            </w:pPr>
            <w:r w:rsidRPr="003519B9">
              <w:rPr>
                <w:lang w:val="en-GB"/>
              </w:rPr>
              <w:t>0.80%</w:t>
            </w:r>
          </w:p>
        </w:tc>
      </w:tr>
    </w:tbl>
    <w:p w14:paraId="145E5FFE" w14:textId="77777777" w:rsidR="00242175" w:rsidRPr="003519B9" w:rsidRDefault="00242175" w:rsidP="00242175">
      <w:pPr>
        <w:pStyle w:val="ExhibitText"/>
        <w:rPr>
          <w:color w:val="000000"/>
          <w:lang w:val="en-GB"/>
        </w:rPr>
      </w:pPr>
    </w:p>
    <w:p w14:paraId="03955EA8" w14:textId="043BF16C" w:rsidR="00242175" w:rsidRPr="00894B95" w:rsidRDefault="00DC19AD" w:rsidP="00242175">
      <w:pPr>
        <w:pStyle w:val="ExhibitText"/>
        <w:rPr>
          <w:rFonts w:ascii="Times New Roman" w:hAnsi="Times New Roman"/>
          <w:color w:val="000000"/>
          <w:spacing w:val="-4"/>
          <w:lang w:val="en-GB"/>
        </w:rPr>
      </w:pPr>
      <w:bookmarkStart w:id="0" w:name="_GoBack"/>
      <w:r w:rsidRPr="00894B95">
        <w:rPr>
          <w:color w:val="000000"/>
          <w:spacing w:val="-4"/>
          <w:lang w:val="en-GB"/>
        </w:rPr>
        <w:t>*</w:t>
      </w:r>
      <w:r w:rsidR="00242175" w:rsidRPr="00894B95">
        <w:rPr>
          <w:color w:val="000000"/>
          <w:spacing w:val="-4"/>
          <w:lang w:val="en-GB"/>
        </w:rPr>
        <w:t xml:space="preserve"> C</w:t>
      </w:r>
      <w:r w:rsidRPr="00894B95">
        <w:rPr>
          <w:color w:val="000000"/>
          <w:spacing w:val="-4"/>
          <w:lang w:val="en-GB"/>
        </w:rPr>
        <w:t>ompared to coal from India, c</w:t>
      </w:r>
      <w:r w:rsidR="00242175" w:rsidRPr="00894B95">
        <w:rPr>
          <w:color w:val="000000"/>
          <w:spacing w:val="-4"/>
          <w:lang w:val="en-GB"/>
        </w:rPr>
        <w:t xml:space="preserve">oal from Indonesia had </w:t>
      </w:r>
      <w:r w:rsidRPr="00894B95">
        <w:rPr>
          <w:color w:val="000000"/>
          <w:spacing w:val="-4"/>
          <w:lang w:val="en-GB"/>
        </w:rPr>
        <w:t xml:space="preserve">a </w:t>
      </w:r>
      <w:r w:rsidR="00242175" w:rsidRPr="00894B95">
        <w:rPr>
          <w:color w:val="000000"/>
          <w:spacing w:val="-4"/>
          <w:lang w:val="en-GB"/>
        </w:rPr>
        <w:t xml:space="preserve">higher gross calorific value with more sulphur content (i.e., </w:t>
      </w:r>
      <w:r w:rsidR="00B1213B" w:rsidRPr="00894B95">
        <w:rPr>
          <w:color w:val="000000"/>
          <w:spacing w:val="-4"/>
          <w:lang w:val="en-GB"/>
        </w:rPr>
        <w:t>up to 3 per cent</w:t>
      </w:r>
      <w:r w:rsidR="00C30E56" w:rsidRPr="00894B95">
        <w:rPr>
          <w:color w:val="000000"/>
          <w:spacing w:val="-4"/>
          <w:lang w:val="en-GB"/>
        </w:rPr>
        <w:t xml:space="preserve"> </w:t>
      </w:r>
      <w:r w:rsidR="00716CC6" w:rsidRPr="00894B95">
        <w:rPr>
          <w:color w:val="000000"/>
          <w:spacing w:val="-4"/>
          <w:lang w:val="en-GB"/>
        </w:rPr>
        <w:t>higher</w:t>
      </w:r>
      <w:r w:rsidR="00242175" w:rsidRPr="00894B95">
        <w:rPr>
          <w:color w:val="000000"/>
          <w:spacing w:val="-4"/>
          <w:lang w:val="en-GB"/>
        </w:rPr>
        <w:t xml:space="preserve">) and moisture; hence, </w:t>
      </w:r>
      <w:r w:rsidR="0059330D" w:rsidRPr="00894B95">
        <w:rPr>
          <w:color w:val="000000"/>
          <w:spacing w:val="-4"/>
          <w:lang w:val="en-GB"/>
        </w:rPr>
        <w:t>Indonesian coal</w:t>
      </w:r>
      <w:r w:rsidR="00242175" w:rsidRPr="00894B95">
        <w:rPr>
          <w:color w:val="000000"/>
          <w:spacing w:val="-4"/>
          <w:lang w:val="en-GB"/>
        </w:rPr>
        <w:t xml:space="preserve"> was more expensive </w:t>
      </w:r>
      <w:r w:rsidR="0059330D" w:rsidRPr="00894B95">
        <w:rPr>
          <w:color w:val="000000"/>
          <w:spacing w:val="-4"/>
          <w:lang w:val="en-GB"/>
        </w:rPr>
        <w:t>than Indian coal.</w:t>
      </w:r>
    </w:p>
    <w:bookmarkEnd w:id="0"/>
    <w:p w14:paraId="145CFC2B" w14:textId="77777777" w:rsidR="00242175" w:rsidRPr="003519B9" w:rsidRDefault="00242175" w:rsidP="00242175">
      <w:pPr>
        <w:pStyle w:val="ExhibitText"/>
        <w:rPr>
          <w:color w:val="000000"/>
          <w:lang w:val="en-GB"/>
        </w:rPr>
      </w:pPr>
    </w:p>
    <w:p w14:paraId="4E42CCBF" w14:textId="77777777" w:rsidR="00242175" w:rsidRPr="003519B9" w:rsidRDefault="00242175" w:rsidP="00242175">
      <w:pPr>
        <w:pStyle w:val="ExhibitText"/>
        <w:rPr>
          <w:color w:val="000000"/>
          <w:lang w:val="en-GB"/>
        </w:rPr>
      </w:pPr>
    </w:p>
    <w:p w14:paraId="73B58E08" w14:textId="77777777" w:rsidR="00242175" w:rsidRPr="003519B9" w:rsidRDefault="00B1213B" w:rsidP="00242175">
      <w:pPr>
        <w:pStyle w:val="ExhibitText"/>
        <w:rPr>
          <w:b/>
          <w:color w:val="000000"/>
          <w:lang w:val="en-GB"/>
        </w:rPr>
      </w:pPr>
      <w:r w:rsidRPr="003519B9">
        <w:rPr>
          <w:b/>
          <w:color w:val="000000"/>
          <w:lang w:val="en-GB"/>
        </w:rPr>
        <w:t>O</w:t>
      </w:r>
      <w:r w:rsidR="000E18AE" w:rsidRPr="003519B9">
        <w:rPr>
          <w:b/>
          <w:color w:val="000000"/>
          <w:lang w:val="en-GB"/>
        </w:rPr>
        <w:t xml:space="preserve">peration and </w:t>
      </w:r>
      <w:r w:rsidRPr="003519B9">
        <w:rPr>
          <w:b/>
          <w:color w:val="000000"/>
          <w:lang w:val="en-GB"/>
        </w:rPr>
        <w:t>M</w:t>
      </w:r>
      <w:r w:rsidR="0073771C" w:rsidRPr="003519B9">
        <w:rPr>
          <w:b/>
          <w:color w:val="000000"/>
          <w:lang w:val="en-GB"/>
        </w:rPr>
        <w:t>aintenance</w:t>
      </w:r>
      <w:r w:rsidR="00242175" w:rsidRPr="003519B9">
        <w:rPr>
          <w:b/>
          <w:color w:val="000000"/>
          <w:lang w:val="en-GB"/>
        </w:rPr>
        <w:t xml:space="preserve"> Expenses </w:t>
      </w:r>
      <w:r w:rsidR="00242175" w:rsidRPr="003519B9">
        <w:rPr>
          <w:lang w:val="en-GB"/>
        </w:rPr>
        <w:t>(as per the guidelines of Central Electricity Regulatory Commission)</w:t>
      </w:r>
    </w:p>
    <w:p w14:paraId="1716B029" w14:textId="77777777" w:rsidR="00242175" w:rsidRPr="003519B9" w:rsidRDefault="00242175" w:rsidP="00242175">
      <w:pPr>
        <w:pStyle w:val="ExhibitText"/>
        <w:rPr>
          <w:color w:val="000000"/>
          <w:lang w:val="en-GB"/>
        </w:rPr>
      </w:pPr>
    </w:p>
    <w:tbl>
      <w:tblPr>
        <w:tblW w:w="7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2372"/>
      </w:tblGrid>
      <w:tr w:rsidR="00242175" w:rsidRPr="003519B9" w14:paraId="3B198968" w14:textId="77777777" w:rsidTr="00F24BB5">
        <w:trPr>
          <w:trHeight w:val="144"/>
          <w:jc w:val="center"/>
        </w:trPr>
        <w:tc>
          <w:tcPr>
            <w:tcW w:w="4733" w:type="dxa"/>
            <w:tcBorders>
              <w:top w:val="single" w:sz="4" w:space="0" w:color="auto"/>
              <w:left w:val="single" w:sz="4" w:space="0" w:color="auto"/>
              <w:bottom w:val="single" w:sz="4" w:space="0" w:color="auto"/>
              <w:right w:val="single" w:sz="4" w:space="0" w:color="auto"/>
            </w:tcBorders>
            <w:hideMark/>
          </w:tcPr>
          <w:p w14:paraId="5C70D40F" w14:textId="77777777" w:rsidR="00242175" w:rsidRPr="003519B9" w:rsidRDefault="00242175" w:rsidP="0073771C">
            <w:pPr>
              <w:pStyle w:val="ExhibitText"/>
              <w:rPr>
                <w:lang w:val="en-GB"/>
              </w:rPr>
            </w:pPr>
            <w:r w:rsidRPr="003519B9">
              <w:rPr>
                <w:lang w:val="en-GB"/>
              </w:rPr>
              <w:t>O</w:t>
            </w:r>
            <w:r w:rsidR="0073771C" w:rsidRPr="003519B9">
              <w:rPr>
                <w:lang w:val="en-GB"/>
              </w:rPr>
              <w:t>peration and maintenance</w:t>
            </w:r>
            <w:r w:rsidRPr="003519B9">
              <w:rPr>
                <w:lang w:val="en-GB"/>
              </w:rPr>
              <w:t xml:space="preserve"> expenses during base year (based on the prices as of March 31, 2012)</w:t>
            </w:r>
          </w:p>
        </w:tc>
        <w:tc>
          <w:tcPr>
            <w:tcW w:w="2372" w:type="dxa"/>
            <w:tcBorders>
              <w:top w:val="single" w:sz="4" w:space="0" w:color="auto"/>
              <w:left w:val="single" w:sz="4" w:space="0" w:color="auto"/>
              <w:bottom w:val="single" w:sz="4" w:space="0" w:color="auto"/>
              <w:right w:val="single" w:sz="4" w:space="0" w:color="auto"/>
            </w:tcBorders>
            <w:hideMark/>
          </w:tcPr>
          <w:p w14:paraId="6F842202" w14:textId="77777777" w:rsidR="00242175" w:rsidRPr="003519B9" w:rsidRDefault="00242175" w:rsidP="006D5C35">
            <w:pPr>
              <w:pStyle w:val="ExhibitText"/>
              <w:rPr>
                <w:lang w:val="en-GB"/>
              </w:rPr>
            </w:pPr>
            <w:r w:rsidRPr="003519B9">
              <w:rPr>
                <w:lang w:val="en-GB"/>
              </w:rPr>
              <w:t xml:space="preserve">₹1.55 million per MW </w:t>
            </w:r>
          </w:p>
        </w:tc>
      </w:tr>
      <w:tr w:rsidR="00242175" w:rsidRPr="003519B9" w14:paraId="21146840" w14:textId="77777777" w:rsidTr="00F24BB5">
        <w:trPr>
          <w:trHeight w:val="144"/>
          <w:jc w:val="center"/>
        </w:trPr>
        <w:tc>
          <w:tcPr>
            <w:tcW w:w="4733" w:type="dxa"/>
            <w:tcBorders>
              <w:top w:val="single" w:sz="4" w:space="0" w:color="auto"/>
              <w:left w:val="single" w:sz="4" w:space="0" w:color="auto"/>
              <w:bottom w:val="single" w:sz="4" w:space="0" w:color="auto"/>
              <w:right w:val="single" w:sz="4" w:space="0" w:color="auto"/>
            </w:tcBorders>
            <w:hideMark/>
          </w:tcPr>
          <w:p w14:paraId="5DB93D29" w14:textId="77777777" w:rsidR="00242175" w:rsidRPr="003519B9" w:rsidRDefault="00242175" w:rsidP="006D5C35">
            <w:pPr>
              <w:pStyle w:val="ExhibitText"/>
              <w:rPr>
                <w:lang w:val="en-GB"/>
              </w:rPr>
            </w:pPr>
            <w:r w:rsidRPr="003519B9">
              <w:rPr>
                <w:lang w:val="en-GB"/>
              </w:rPr>
              <w:t>Cost escalation</w:t>
            </w:r>
          </w:p>
        </w:tc>
        <w:tc>
          <w:tcPr>
            <w:tcW w:w="2372" w:type="dxa"/>
            <w:tcBorders>
              <w:top w:val="single" w:sz="4" w:space="0" w:color="auto"/>
              <w:left w:val="single" w:sz="4" w:space="0" w:color="auto"/>
              <w:bottom w:val="single" w:sz="4" w:space="0" w:color="auto"/>
              <w:right w:val="single" w:sz="4" w:space="0" w:color="auto"/>
            </w:tcBorders>
            <w:hideMark/>
          </w:tcPr>
          <w:p w14:paraId="266C3AB1" w14:textId="77777777" w:rsidR="00242175" w:rsidRPr="003519B9" w:rsidRDefault="00242175" w:rsidP="006D5C35">
            <w:pPr>
              <w:pStyle w:val="ExhibitText"/>
              <w:rPr>
                <w:lang w:val="en-GB"/>
              </w:rPr>
            </w:pPr>
            <w:r w:rsidRPr="003519B9">
              <w:rPr>
                <w:lang w:val="en-GB"/>
              </w:rPr>
              <w:t>4% per annum</w:t>
            </w:r>
          </w:p>
        </w:tc>
      </w:tr>
    </w:tbl>
    <w:p w14:paraId="26F031D3" w14:textId="77777777" w:rsidR="00242175" w:rsidRPr="003519B9" w:rsidRDefault="00242175" w:rsidP="00242175">
      <w:pPr>
        <w:pStyle w:val="ExhibitText"/>
        <w:rPr>
          <w:rFonts w:ascii="Times New Roman" w:hAnsi="Times New Roman"/>
          <w:b/>
          <w:color w:val="000000"/>
          <w:lang w:val="en-GB"/>
        </w:rPr>
      </w:pPr>
    </w:p>
    <w:p w14:paraId="67B42592" w14:textId="77777777" w:rsidR="00590678" w:rsidRPr="003519B9" w:rsidRDefault="00242175" w:rsidP="00242175">
      <w:pPr>
        <w:pStyle w:val="Footnote"/>
        <w:rPr>
          <w:lang w:val="en-GB"/>
        </w:rPr>
      </w:pPr>
      <w:r w:rsidRPr="003519B9">
        <w:rPr>
          <w:lang w:val="en-GB"/>
        </w:rPr>
        <w:t>Source: Company documents</w:t>
      </w:r>
      <w:r w:rsidR="00F24BB5" w:rsidRPr="003519B9">
        <w:rPr>
          <w:lang w:val="en-GB"/>
        </w:rPr>
        <w:t>.</w:t>
      </w:r>
    </w:p>
    <w:p w14:paraId="05123B8B" w14:textId="77777777" w:rsidR="00590678" w:rsidRPr="003519B9" w:rsidRDefault="00590678">
      <w:pPr>
        <w:spacing w:after="200" w:line="276" w:lineRule="auto"/>
        <w:rPr>
          <w:rFonts w:ascii="Arial" w:hAnsi="Arial" w:cs="Arial"/>
          <w:sz w:val="17"/>
          <w:szCs w:val="17"/>
          <w:lang w:val="en-GB"/>
        </w:rPr>
      </w:pPr>
      <w:r w:rsidRPr="003519B9">
        <w:rPr>
          <w:lang w:val="en-GB"/>
        </w:rPr>
        <w:br w:type="page"/>
      </w:r>
    </w:p>
    <w:p w14:paraId="2782ED62" w14:textId="77777777" w:rsidR="00590678" w:rsidRPr="003519B9" w:rsidRDefault="00590678" w:rsidP="00242175">
      <w:pPr>
        <w:pStyle w:val="Footnote"/>
        <w:rPr>
          <w:lang w:val="en-GB"/>
        </w:rPr>
        <w:sectPr w:rsidR="00590678" w:rsidRPr="003519B9" w:rsidSect="00EB5410">
          <w:headerReference w:type="default" r:id="rId9"/>
          <w:endnotePr>
            <w:numFmt w:val="decimal"/>
          </w:endnotePr>
          <w:pgSz w:w="12240" w:h="15840"/>
          <w:pgMar w:top="1080" w:right="1440" w:bottom="1440" w:left="1440" w:header="1080" w:footer="720" w:gutter="0"/>
          <w:cols w:space="720"/>
          <w:titlePg/>
          <w:docGrid w:linePitch="360"/>
        </w:sectPr>
      </w:pPr>
    </w:p>
    <w:p w14:paraId="64D990AE" w14:textId="77777777" w:rsidR="00590678" w:rsidRPr="003519B9" w:rsidRDefault="00B1213B" w:rsidP="00590678">
      <w:pPr>
        <w:pStyle w:val="ExhibitHeading"/>
        <w:rPr>
          <w:lang w:val="en-GB"/>
        </w:rPr>
      </w:pPr>
      <w:r w:rsidRPr="003519B9">
        <w:rPr>
          <w:lang w:val="en-GB"/>
        </w:rPr>
        <w:lastRenderedPageBreak/>
        <w:t>Exhibit 6</w:t>
      </w:r>
      <w:r w:rsidR="00590678" w:rsidRPr="003519B9">
        <w:rPr>
          <w:lang w:val="en-GB"/>
        </w:rPr>
        <w:t>: SUMMARY OF FINANCIAL PROJECTIONS OF NAVA BHARAT ENERGY INDIA LIMITED</w:t>
      </w:r>
    </w:p>
    <w:p w14:paraId="09905960" w14:textId="77777777" w:rsidR="00590678" w:rsidRPr="003519B9" w:rsidRDefault="00590678" w:rsidP="00590678">
      <w:pPr>
        <w:pStyle w:val="ExhibitHeading"/>
        <w:rPr>
          <w:lang w:val="en-GB"/>
        </w:rPr>
      </w:pPr>
    </w:p>
    <w:tbl>
      <w:tblPr>
        <w:tblW w:w="5000" w:type="pct"/>
        <w:jc w:val="center"/>
        <w:tblLook w:val="04A0" w:firstRow="1" w:lastRow="0" w:firstColumn="1" w:lastColumn="0" w:noHBand="0" w:noVBand="1"/>
      </w:tblPr>
      <w:tblGrid>
        <w:gridCol w:w="2813"/>
        <w:gridCol w:w="676"/>
        <w:gridCol w:w="676"/>
        <w:gridCol w:w="676"/>
        <w:gridCol w:w="676"/>
        <w:gridCol w:w="676"/>
        <w:gridCol w:w="676"/>
        <w:gridCol w:w="676"/>
        <w:gridCol w:w="676"/>
        <w:gridCol w:w="676"/>
        <w:gridCol w:w="676"/>
        <w:gridCol w:w="676"/>
        <w:gridCol w:w="676"/>
        <w:gridCol w:w="676"/>
        <w:gridCol w:w="676"/>
        <w:gridCol w:w="673"/>
      </w:tblGrid>
      <w:tr w:rsidR="005838D7" w:rsidRPr="003519B9" w14:paraId="499FC63A" w14:textId="77777777" w:rsidTr="005838D7">
        <w:trPr>
          <w:trHeight w:val="315"/>
          <w:jc w:val="center"/>
        </w:trPr>
        <w:tc>
          <w:tcPr>
            <w:tcW w:w="5000" w:type="pct"/>
            <w:gridSpan w:val="16"/>
            <w:tcBorders>
              <w:top w:val="single" w:sz="4" w:space="0" w:color="auto"/>
              <w:left w:val="single" w:sz="4" w:space="0" w:color="auto"/>
              <w:bottom w:val="single" w:sz="4" w:space="0" w:color="auto"/>
              <w:right w:val="single" w:sz="4" w:space="0" w:color="auto"/>
            </w:tcBorders>
            <w:noWrap/>
            <w:vAlign w:val="bottom"/>
            <w:hideMark/>
          </w:tcPr>
          <w:p w14:paraId="5B0428D8" w14:textId="1BFD63A4" w:rsidR="005838D7" w:rsidRPr="003519B9" w:rsidRDefault="005838D7" w:rsidP="005838D7">
            <w:pPr>
              <w:jc w:val="center"/>
              <w:rPr>
                <w:rFonts w:ascii="Arial" w:hAnsi="Arial" w:cs="Arial"/>
                <w:b/>
                <w:bCs/>
                <w:sz w:val="16"/>
                <w:szCs w:val="16"/>
                <w:lang w:val="en-GB" w:eastAsia="en-IN"/>
              </w:rPr>
            </w:pPr>
            <w:r w:rsidRPr="003519B9">
              <w:rPr>
                <w:rFonts w:ascii="Arial" w:hAnsi="Arial" w:cs="Arial"/>
                <w:b/>
                <w:bCs/>
                <w:sz w:val="16"/>
                <w:szCs w:val="16"/>
                <w:u w:val="single"/>
                <w:lang w:val="en-GB" w:eastAsia="en-IN"/>
              </w:rPr>
              <w:t xml:space="preserve">Projected Profitability Statement—Nava Bharat Energy India Limited (in </w:t>
            </w:r>
            <w:r w:rsidRPr="003519B9">
              <w:rPr>
                <w:rFonts w:ascii="Arial" w:hAnsi="Arial" w:cs="Arial"/>
                <w:sz w:val="16"/>
                <w:szCs w:val="16"/>
                <w:u w:val="single"/>
                <w:lang w:val="en-GB"/>
              </w:rPr>
              <w:t xml:space="preserve">₹ </w:t>
            </w:r>
            <w:r w:rsidRPr="003519B9">
              <w:rPr>
                <w:rFonts w:ascii="Arial" w:hAnsi="Arial" w:cs="Arial"/>
                <w:b/>
                <w:bCs/>
                <w:sz w:val="16"/>
                <w:szCs w:val="16"/>
                <w:u w:val="single"/>
                <w:lang w:val="en-GB" w:eastAsia="en-IN"/>
              </w:rPr>
              <w:t>millions)</w:t>
            </w:r>
            <w:r w:rsidRPr="003519B9">
              <w:rPr>
                <w:rFonts w:ascii="Arial" w:hAnsi="Arial" w:cs="Arial"/>
                <w:b/>
                <w:bCs/>
                <w:sz w:val="16"/>
                <w:szCs w:val="16"/>
                <w:lang w:val="en-GB" w:eastAsia="en-IN"/>
              </w:rPr>
              <w:t> </w:t>
            </w:r>
          </w:p>
        </w:tc>
      </w:tr>
      <w:tr w:rsidR="00590678" w:rsidRPr="003519B9" w14:paraId="5B844456"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11847E28" w14:textId="77777777" w:rsidR="00590678" w:rsidRPr="003519B9" w:rsidRDefault="00590678" w:rsidP="006D5C35">
            <w:pPr>
              <w:rPr>
                <w:rFonts w:ascii="Arial" w:hAnsi="Arial" w:cs="Arial"/>
                <w:b/>
                <w:bCs/>
                <w:color w:val="000000"/>
                <w:sz w:val="16"/>
                <w:szCs w:val="16"/>
                <w:lang w:val="en-GB" w:eastAsia="en-IN"/>
              </w:rPr>
            </w:pPr>
            <w:r w:rsidRPr="003519B9">
              <w:rPr>
                <w:rFonts w:ascii="Arial" w:hAnsi="Arial" w:cs="Arial"/>
                <w:b/>
                <w:bCs/>
                <w:color w:val="000000"/>
                <w:sz w:val="16"/>
                <w:szCs w:val="16"/>
                <w:lang w:val="en-GB" w:eastAsia="en-IN"/>
              </w:rPr>
              <w:t>Details as of March 31</w:t>
            </w:r>
            <w:r w:rsidR="00AB44B7" w:rsidRPr="003519B9">
              <w:rPr>
                <w:rFonts w:ascii="Arial" w:hAnsi="Arial" w:cs="Arial"/>
                <w:b/>
                <w:bCs/>
                <w:color w:val="000000"/>
                <w:sz w:val="16"/>
                <w:szCs w:val="16"/>
                <w:lang w:val="en-GB" w:eastAsia="en-IN"/>
              </w:rPr>
              <w:t xml:space="preserve"> per year</w:t>
            </w:r>
          </w:p>
        </w:tc>
        <w:tc>
          <w:tcPr>
            <w:tcW w:w="261" w:type="pct"/>
            <w:tcBorders>
              <w:top w:val="nil"/>
              <w:left w:val="nil"/>
              <w:bottom w:val="single" w:sz="4" w:space="0" w:color="auto"/>
              <w:right w:val="single" w:sz="4" w:space="0" w:color="auto"/>
            </w:tcBorders>
            <w:noWrap/>
            <w:vAlign w:val="bottom"/>
            <w:hideMark/>
          </w:tcPr>
          <w:p w14:paraId="22E88B44"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2013</w:t>
            </w:r>
          </w:p>
        </w:tc>
        <w:tc>
          <w:tcPr>
            <w:tcW w:w="261" w:type="pct"/>
            <w:tcBorders>
              <w:top w:val="nil"/>
              <w:left w:val="nil"/>
              <w:bottom w:val="single" w:sz="4" w:space="0" w:color="auto"/>
              <w:right w:val="single" w:sz="4" w:space="0" w:color="auto"/>
            </w:tcBorders>
            <w:noWrap/>
            <w:vAlign w:val="bottom"/>
            <w:hideMark/>
          </w:tcPr>
          <w:p w14:paraId="4E337529"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2014</w:t>
            </w:r>
          </w:p>
        </w:tc>
        <w:tc>
          <w:tcPr>
            <w:tcW w:w="261" w:type="pct"/>
            <w:tcBorders>
              <w:top w:val="nil"/>
              <w:left w:val="nil"/>
              <w:bottom w:val="single" w:sz="4" w:space="0" w:color="auto"/>
              <w:right w:val="single" w:sz="4" w:space="0" w:color="auto"/>
            </w:tcBorders>
            <w:noWrap/>
            <w:vAlign w:val="bottom"/>
            <w:hideMark/>
          </w:tcPr>
          <w:p w14:paraId="27228E59"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2015</w:t>
            </w:r>
          </w:p>
        </w:tc>
        <w:tc>
          <w:tcPr>
            <w:tcW w:w="261" w:type="pct"/>
            <w:tcBorders>
              <w:top w:val="nil"/>
              <w:left w:val="nil"/>
              <w:bottom w:val="single" w:sz="4" w:space="0" w:color="auto"/>
              <w:right w:val="single" w:sz="4" w:space="0" w:color="auto"/>
            </w:tcBorders>
            <w:noWrap/>
            <w:vAlign w:val="bottom"/>
            <w:hideMark/>
          </w:tcPr>
          <w:p w14:paraId="73BBA7BF"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2016</w:t>
            </w:r>
          </w:p>
        </w:tc>
        <w:tc>
          <w:tcPr>
            <w:tcW w:w="261" w:type="pct"/>
            <w:tcBorders>
              <w:top w:val="nil"/>
              <w:left w:val="nil"/>
              <w:bottom w:val="single" w:sz="4" w:space="0" w:color="auto"/>
              <w:right w:val="single" w:sz="4" w:space="0" w:color="auto"/>
            </w:tcBorders>
            <w:noWrap/>
            <w:vAlign w:val="bottom"/>
            <w:hideMark/>
          </w:tcPr>
          <w:p w14:paraId="011F4C2B"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2017</w:t>
            </w:r>
          </w:p>
        </w:tc>
        <w:tc>
          <w:tcPr>
            <w:tcW w:w="261" w:type="pct"/>
            <w:tcBorders>
              <w:top w:val="nil"/>
              <w:left w:val="nil"/>
              <w:bottom w:val="single" w:sz="4" w:space="0" w:color="auto"/>
              <w:right w:val="single" w:sz="4" w:space="0" w:color="auto"/>
            </w:tcBorders>
            <w:noWrap/>
            <w:vAlign w:val="bottom"/>
            <w:hideMark/>
          </w:tcPr>
          <w:p w14:paraId="28B9B1D0"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2018</w:t>
            </w:r>
          </w:p>
        </w:tc>
        <w:tc>
          <w:tcPr>
            <w:tcW w:w="261" w:type="pct"/>
            <w:tcBorders>
              <w:top w:val="nil"/>
              <w:left w:val="nil"/>
              <w:bottom w:val="single" w:sz="4" w:space="0" w:color="auto"/>
              <w:right w:val="single" w:sz="4" w:space="0" w:color="auto"/>
            </w:tcBorders>
            <w:noWrap/>
            <w:vAlign w:val="bottom"/>
            <w:hideMark/>
          </w:tcPr>
          <w:p w14:paraId="76E74822"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2019</w:t>
            </w:r>
          </w:p>
        </w:tc>
        <w:tc>
          <w:tcPr>
            <w:tcW w:w="261" w:type="pct"/>
            <w:tcBorders>
              <w:top w:val="nil"/>
              <w:left w:val="nil"/>
              <w:bottom w:val="single" w:sz="4" w:space="0" w:color="auto"/>
              <w:right w:val="single" w:sz="4" w:space="0" w:color="auto"/>
            </w:tcBorders>
            <w:noWrap/>
            <w:vAlign w:val="bottom"/>
            <w:hideMark/>
          </w:tcPr>
          <w:p w14:paraId="21C74850"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2020</w:t>
            </w:r>
          </w:p>
        </w:tc>
        <w:tc>
          <w:tcPr>
            <w:tcW w:w="261" w:type="pct"/>
            <w:tcBorders>
              <w:top w:val="nil"/>
              <w:left w:val="nil"/>
              <w:bottom w:val="single" w:sz="4" w:space="0" w:color="auto"/>
              <w:right w:val="single" w:sz="4" w:space="0" w:color="auto"/>
            </w:tcBorders>
            <w:noWrap/>
            <w:vAlign w:val="bottom"/>
            <w:hideMark/>
          </w:tcPr>
          <w:p w14:paraId="752DDBFB"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2021</w:t>
            </w:r>
          </w:p>
        </w:tc>
        <w:tc>
          <w:tcPr>
            <w:tcW w:w="261" w:type="pct"/>
            <w:tcBorders>
              <w:top w:val="nil"/>
              <w:left w:val="nil"/>
              <w:bottom w:val="single" w:sz="4" w:space="0" w:color="auto"/>
              <w:right w:val="single" w:sz="4" w:space="0" w:color="auto"/>
            </w:tcBorders>
            <w:noWrap/>
            <w:vAlign w:val="bottom"/>
            <w:hideMark/>
          </w:tcPr>
          <w:p w14:paraId="7B5D31DA"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2022</w:t>
            </w:r>
          </w:p>
        </w:tc>
        <w:tc>
          <w:tcPr>
            <w:tcW w:w="261" w:type="pct"/>
            <w:tcBorders>
              <w:top w:val="nil"/>
              <w:left w:val="nil"/>
              <w:bottom w:val="single" w:sz="4" w:space="0" w:color="auto"/>
              <w:right w:val="single" w:sz="4" w:space="0" w:color="auto"/>
            </w:tcBorders>
            <w:noWrap/>
            <w:vAlign w:val="bottom"/>
            <w:hideMark/>
          </w:tcPr>
          <w:p w14:paraId="414E7A32"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2023</w:t>
            </w:r>
          </w:p>
        </w:tc>
        <w:tc>
          <w:tcPr>
            <w:tcW w:w="261" w:type="pct"/>
            <w:tcBorders>
              <w:top w:val="nil"/>
              <w:left w:val="nil"/>
              <w:bottom w:val="single" w:sz="4" w:space="0" w:color="auto"/>
              <w:right w:val="single" w:sz="4" w:space="0" w:color="auto"/>
            </w:tcBorders>
            <w:noWrap/>
            <w:vAlign w:val="bottom"/>
            <w:hideMark/>
          </w:tcPr>
          <w:p w14:paraId="7AB2AFB2"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2024</w:t>
            </w:r>
          </w:p>
        </w:tc>
        <w:tc>
          <w:tcPr>
            <w:tcW w:w="261" w:type="pct"/>
            <w:tcBorders>
              <w:top w:val="nil"/>
              <w:left w:val="nil"/>
              <w:bottom w:val="single" w:sz="4" w:space="0" w:color="auto"/>
              <w:right w:val="single" w:sz="4" w:space="0" w:color="auto"/>
            </w:tcBorders>
            <w:noWrap/>
            <w:vAlign w:val="bottom"/>
            <w:hideMark/>
          </w:tcPr>
          <w:p w14:paraId="340B3035"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2025</w:t>
            </w:r>
          </w:p>
        </w:tc>
        <w:tc>
          <w:tcPr>
            <w:tcW w:w="261" w:type="pct"/>
            <w:tcBorders>
              <w:top w:val="nil"/>
              <w:left w:val="nil"/>
              <w:bottom w:val="single" w:sz="4" w:space="0" w:color="auto"/>
              <w:right w:val="single" w:sz="4" w:space="0" w:color="auto"/>
            </w:tcBorders>
            <w:noWrap/>
            <w:vAlign w:val="bottom"/>
            <w:hideMark/>
          </w:tcPr>
          <w:p w14:paraId="2C453480"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2026</w:t>
            </w:r>
          </w:p>
        </w:tc>
        <w:tc>
          <w:tcPr>
            <w:tcW w:w="255" w:type="pct"/>
            <w:tcBorders>
              <w:top w:val="nil"/>
              <w:left w:val="nil"/>
              <w:bottom w:val="single" w:sz="4" w:space="0" w:color="auto"/>
              <w:right w:val="single" w:sz="4" w:space="0" w:color="auto"/>
            </w:tcBorders>
            <w:noWrap/>
            <w:vAlign w:val="bottom"/>
            <w:hideMark/>
          </w:tcPr>
          <w:p w14:paraId="75FBE4C5" w14:textId="77777777" w:rsidR="00590678" w:rsidRPr="003519B9" w:rsidRDefault="00590678" w:rsidP="006D5C35">
            <w:pPr>
              <w:jc w:val="right"/>
              <w:rPr>
                <w:rFonts w:ascii="Arial" w:hAnsi="Arial" w:cs="Arial"/>
                <w:b/>
                <w:bCs/>
                <w:sz w:val="16"/>
                <w:szCs w:val="16"/>
                <w:lang w:val="en-GB" w:eastAsia="en-IN"/>
              </w:rPr>
            </w:pPr>
            <w:r w:rsidRPr="003519B9">
              <w:rPr>
                <w:rFonts w:ascii="Arial" w:hAnsi="Arial" w:cs="Arial"/>
                <w:b/>
                <w:bCs/>
                <w:sz w:val="16"/>
                <w:szCs w:val="16"/>
                <w:lang w:val="en-GB" w:eastAsia="en-IN"/>
              </w:rPr>
              <w:t>2027</w:t>
            </w:r>
          </w:p>
        </w:tc>
      </w:tr>
      <w:tr w:rsidR="00590678" w:rsidRPr="003519B9" w14:paraId="3D3A6555"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7C3E914C"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Capacity (MW)</w:t>
            </w:r>
          </w:p>
        </w:tc>
        <w:tc>
          <w:tcPr>
            <w:tcW w:w="261" w:type="pct"/>
            <w:tcBorders>
              <w:top w:val="nil"/>
              <w:left w:val="nil"/>
              <w:bottom w:val="single" w:sz="4" w:space="0" w:color="auto"/>
              <w:right w:val="single" w:sz="4" w:space="0" w:color="auto"/>
            </w:tcBorders>
            <w:noWrap/>
            <w:vAlign w:val="center"/>
            <w:hideMark/>
          </w:tcPr>
          <w:p w14:paraId="07590CB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7E48B458"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463B9033"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7617D4A8"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0B4632F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1F1DB9A5"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5267C43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71DF1A37"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16FD9E94"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1AB94B24"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51846078"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5E75C4DE"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670E5A5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2CAD2981"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c>
          <w:tcPr>
            <w:tcW w:w="255" w:type="pct"/>
            <w:tcBorders>
              <w:top w:val="nil"/>
              <w:left w:val="nil"/>
              <w:bottom w:val="single" w:sz="4" w:space="0" w:color="auto"/>
              <w:right w:val="single" w:sz="4" w:space="0" w:color="auto"/>
            </w:tcBorders>
            <w:noWrap/>
            <w:vAlign w:val="center"/>
            <w:hideMark/>
          </w:tcPr>
          <w:p w14:paraId="0A1E088B"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300</w:t>
            </w:r>
          </w:p>
        </w:tc>
      </w:tr>
      <w:tr w:rsidR="00590678" w:rsidRPr="003519B9" w14:paraId="704B7C5B"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044E477F" w14:textId="77777777" w:rsidR="00590678" w:rsidRPr="003519B9" w:rsidRDefault="00590678" w:rsidP="0059330D">
            <w:pPr>
              <w:rPr>
                <w:rFonts w:ascii="Arial" w:hAnsi="Arial" w:cs="Arial"/>
                <w:sz w:val="16"/>
                <w:szCs w:val="16"/>
                <w:lang w:val="en-GB" w:eastAsia="en-IN"/>
              </w:rPr>
            </w:pPr>
            <w:r w:rsidRPr="003519B9">
              <w:rPr>
                <w:rFonts w:ascii="Arial" w:hAnsi="Arial" w:cs="Arial"/>
                <w:sz w:val="16"/>
                <w:szCs w:val="16"/>
                <w:lang w:val="en-GB" w:eastAsia="en-IN"/>
              </w:rPr>
              <w:t xml:space="preserve">Plant </w:t>
            </w:r>
            <w:r w:rsidR="0059330D" w:rsidRPr="003519B9">
              <w:rPr>
                <w:rFonts w:ascii="Arial" w:hAnsi="Arial" w:cs="Arial"/>
                <w:sz w:val="16"/>
                <w:szCs w:val="16"/>
                <w:lang w:val="en-GB" w:eastAsia="en-IN"/>
              </w:rPr>
              <w:t>l</w:t>
            </w:r>
            <w:r w:rsidRPr="003519B9">
              <w:rPr>
                <w:rFonts w:ascii="Arial" w:hAnsi="Arial" w:cs="Arial"/>
                <w:sz w:val="16"/>
                <w:szCs w:val="16"/>
                <w:lang w:val="en-GB" w:eastAsia="en-IN"/>
              </w:rPr>
              <w:t xml:space="preserve">oad </w:t>
            </w:r>
            <w:r w:rsidR="0059330D" w:rsidRPr="003519B9">
              <w:rPr>
                <w:rFonts w:ascii="Arial" w:hAnsi="Arial" w:cs="Arial"/>
                <w:sz w:val="16"/>
                <w:szCs w:val="16"/>
                <w:lang w:val="en-GB" w:eastAsia="en-IN"/>
              </w:rPr>
              <w:t>f</w:t>
            </w:r>
            <w:r w:rsidRPr="003519B9">
              <w:rPr>
                <w:rFonts w:ascii="Arial" w:hAnsi="Arial" w:cs="Arial"/>
                <w:sz w:val="16"/>
                <w:szCs w:val="16"/>
                <w:lang w:val="en-GB" w:eastAsia="en-IN"/>
              </w:rPr>
              <w:t>actor</w:t>
            </w:r>
          </w:p>
        </w:tc>
        <w:tc>
          <w:tcPr>
            <w:tcW w:w="261" w:type="pct"/>
            <w:tcBorders>
              <w:top w:val="nil"/>
              <w:left w:val="nil"/>
              <w:bottom w:val="single" w:sz="4" w:space="0" w:color="auto"/>
              <w:right w:val="single" w:sz="4" w:space="0" w:color="auto"/>
            </w:tcBorders>
            <w:noWrap/>
            <w:vAlign w:val="center"/>
            <w:hideMark/>
          </w:tcPr>
          <w:p w14:paraId="4A198FE7"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51B276AB"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467F719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22355DD0"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745CB1A0"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231748C1"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4F4ED0E1"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1DB02D7E"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0ACE07E1"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1D10F2B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2E3B53BB"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3508083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102F492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61" w:type="pct"/>
            <w:tcBorders>
              <w:top w:val="nil"/>
              <w:left w:val="nil"/>
              <w:bottom w:val="single" w:sz="4" w:space="0" w:color="auto"/>
              <w:right w:val="single" w:sz="4" w:space="0" w:color="auto"/>
            </w:tcBorders>
            <w:noWrap/>
            <w:vAlign w:val="center"/>
            <w:hideMark/>
          </w:tcPr>
          <w:p w14:paraId="0115E843"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c>
          <w:tcPr>
            <w:tcW w:w="255" w:type="pct"/>
            <w:tcBorders>
              <w:top w:val="nil"/>
              <w:left w:val="nil"/>
              <w:bottom w:val="single" w:sz="4" w:space="0" w:color="auto"/>
              <w:right w:val="single" w:sz="4" w:space="0" w:color="auto"/>
            </w:tcBorders>
            <w:noWrap/>
            <w:vAlign w:val="center"/>
            <w:hideMark/>
          </w:tcPr>
          <w:p w14:paraId="407C015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85%</w:t>
            </w:r>
          </w:p>
        </w:tc>
      </w:tr>
      <w:tr w:rsidR="00590678" w:rsidRPr="003519B9" w14:paraId="602E9EEE"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1AEEA500" w14:textId="77777777" w:rsidR="00590678" w:rsidRPr="003519B9" w:rsidRDefault="00590678" w:rsidP="0059330D">
            <w:pPr>
              <w:rPr>
                <w:rFonts w:ascii="Arial" w:hAnsi="Arial" w:cs="Arial"/>
                <w:sz w:val="16"/>
                <w:szCs w:val="16"/>
                <w:lang w:val="en-GB" w:eastAsia="en-IN"/>
              </w:rPr>
            </w:pPr>
            <w:r w:rsidRPr="003519B9">
              <w:rPr>
                <w:rFonts w:ascii="Arial" w:hAnsi="Arial" w:cs="Arial"/>
                <w:sz w:val="16"/>
                <w:szCs w:val="16"/>
                <w:lang w:val="en-GB" w:eastAsia="en-IN"/>
              </w:rPr>
              <w:t xml:space="preserve">Actual </w:t>
            </w:r>
            <w:r w:rsidR="0059330D" w:rsidRPr="003519B9">
              <w:rPr>
                <w:rFonts w:ascii="Arial" w:hAnsi="Arial" w:cs="Arial"/>
                <w:sz w:val="16"/>
                <w:szCs w:val="16"/>
                <w:lang w:val="en-GB" w:eastAsia="en-IN"/>
              </w:rPr>
              <w:t>g</w:t>
            </w:r>
            <w:r w:rsidRPr="003519B9">
              <w:rPr>
                <w:rFonts w:ascii="Arial" w:hAnsi="Arial" w:cs="Arial"/>
                <w:sz w:val="16"/>
                <w:szCs w:val="16"/>
                <w:lang w:val="en-GB" w:eastAsia="en-IN"/>
              </w:rPr>
              <w:t>eneration (million units)</w:t>
            </w:r>
          </w:p>
        </w:tc>
        <w:tc>
          <w:tcPr>
            <w:tcW w:w="261" w:type="pct"/>
            <w:tcBorders>
              <w:top w:val="nil"/>
              <w:left w:val="nil"/>
              <w:bottom w:val="single" w:sz="4" w:space="0" w:color="auto"/>
              <w:right w:val="single" w:sz="4" w:space="0" w:color="auto"/>
            </w:tcBorders>
            <w:noWrap/>
            <w:vAlign w:val="center"/>
            <w:hideMark/>
          </w:tcPr>
          <w:p w14:paraId="503CA0E1"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40F4B433"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06B1E7E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721AB83F"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061B4A97"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60094684"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5EE3109D"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48014EFF"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75405F0E"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418B94CC"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22D82190"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588C67C7"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1D762EA9"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61" w:type="pct"/>
            <w:tcBorders>
              <w:top w:val="nil"/>
              <w:left w:val="nil"/>
              <w:bottom w:val="single" w:sz="4" w:space="0" w:color="auto"/>
              <w:right w:val="single" w:sz="4" w:space="0" w:color="auto"/>
            </w:tcBorders>
            <w:noWrap/>
            <w:vAlign w:val="center"/>
            <w:hideMark/>
          </w:tcPr>
          <w:p w14:paraId="59E8DC6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c>
          <w:tcPr>
            <w:tcW w:w="255" w:type="pct"/>
            <w:tcBorders>
              <w:top w:val="nil"/>
              <w:left w:val="nil"/>
              <w:bottom w:val="single" w:sz="4" w:space="0" w:color="auto"/>
              <w:right w:val="single" w:sz="4" w:space="0" w:color="auto"/>
            </w:tcBorders>
            <w:noWrap/>
            <w:vAlign w:val="center"/>
            <w:hideMark/>
          </w:tcPr>
          <w:p w14:paraId="555CB23D"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2,234</w:t>
            </w:r>
          </w:p>
        </w:tc>
      </w:tr>
      <w:tr w:rsidR="00590678" w:rsidRPr="003519B9" w14:paraId="2C882143"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77940951" w14:textId="77777777" w:rsidR="00590678" w:rsidRPr="003519B9" w:rsidRDefault="00590678" w:rsidP="0059330D">
            <w:pPr>
              <w:rPr>
                <w:rFonts w:ascii="Arial" w:hAnsi="Arial" w:cs="Arial"/>
                <w:sz w:val="16"/>
                <w:szCs w:val="16"/>
                <w:lang w:val="en-GB" w:eastAsia="en-IN"/>
              </w:rPr>
            </w:pPr>
            <w:r w:rsidRPr="003519B9">
              <w:rPr>
                <w:rFonts w:ascii="Arial" w:hAnsi="Arial" w:cs="Arial"/>
                <w:sz w:val="16"/>
                <w:szCs w:val="16"/>
                <w:lang w:val="en-GB" w:eastAsia="en-IN"/>
              </w:rPr>
              <w:t xml:space="preserve">Auxiliary </w:t>
            </w:r>
            <w:r w:rsidR="0059330D" w:rsidRPr="003519B9">
              <w:rPr>
                <w:rFonts w:ascii="Arial" w:hAnsi="Arial" w:cs="Arial"/>
                <w:sz w:val="16"/>
                <w:szCs w:val="16"/>
                <w:lang w:val="en-GB" w:eastAsia="en-IN"/>
              </w:rPr>
              <w:t>c</w:t>
            </w:r>
            <w:r w:rsidRPr="003519B9">
              <w:rPr>
                <w:rFonts w:ascii="Arial" w:hAnsi="Arial" w:cs="Arial"/>
                <w:sz w:val="16"/>
                <w:szCs w:val="16"/>
                <w:lang w:val="en-GB" w:eastAsia="en-IN"/>
              </w:rPr>
              <w:t>onsumption (million units)</w:t>
            </w:r>
          </w:p>
        </w:tc>
        <w:tc>
          <w:tcPr>
            <w:tcW w:w="261" w:type="pct"/>
            <w:tcBorders>
              <w:top w:val="nil"/>
              <w:left w:val="nil"/>
              <w:bottom w:val="single" w:sz="4" w:space="0" w:color="auto"/>
              <w:right w:val="single" w:sz="4" w:space="0" w:color="auto"/>
            </w:tcBorders>
            <w:noWrap/>
            <w:vAlign w:val="center"/>
            <w:hideMark/>
          </w:tcPr>
          <w:p w14:paraId="0536681C"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13449B1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49FDAB0D"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2397DD54"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14129D8F"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293339B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2D39CEE3"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1DC2B727"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51F92118"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5D776BF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497598D4"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3F74DC6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013817A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61" w:type="pct"/>
            <w:tcBorders>
              <w:top w:val="nil"/>
              <w:left w:val="nil"/>
              <w:bottom w:val="single" w:sz="4" w:space="0" w:color="auto"/>
              <w:right w:val="single" w:sz="4" w:space="0" w:color="auto"/>
            </w:tcBorders>
            <w:noWrap/>
            <w:vAlign w:val="center"/>
            <w:hideMark/>
          </w:tcPr>
          <w:p w14:paraId="5FF089BB"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c>
          <w:tcPr>
            <w:tcW w:w="255" w:type="pct"/>
            <w:tcBorders>
              <w:top w:val="nil"/>
              <w:left w:val="nil"/>
              <w:bottom w:val="single" w:sz="4" w:space="0" w:color="auto"/>
              <w:right w:val="single" w:sz="4" w:space="0" w:color="auto"/>
            </w:tcBorders>
            <w:noWrap/>
            <w:vAlign w:val="center"/>
            <w:hideMark/>
          </w:tcPr>
          <w:p w14:paraId="29E0B4E3"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201</w:t>
            </w:r>
          </w:p>
        </w:tc>
      </w:tr>
      <w:tr w:rsidR="00590678" w:rsidRPr="003519B9" w14:paraId="39C9C051"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7D70D509"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Units available for sale (million units)</w:t>
            </w:r>
          </w:p>
        </w:tc>
        <w:tc>
          <w:tcPr>
            <w:tcW w:w="261" w:type="pct"/>
            <w:tcBorders>
              <w:top w:val="nil"/>
              <w:left w:val="nil"/>
              <w:bottom w:val="single" w:sz="4" w:space="0" w:color="auto"/>
              <w:right w:val="single" w:sz="4" w:space="0" w:color="auto"/>
            </w:tcBorders>
            <w:noWrap/>
            <w:vAlign w:val="center"/>
            <w:hideMark/>
          </w:tcPr>
          <w:p w14:paraId="6CA9C855"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48774DB4"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23ECD0B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4F103D58"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3D0E47A3"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67DF1CEB"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75654201"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48A20A03"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0B66F36E"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07956A61"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0A1EAD2F"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55E6A26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0BF19B25"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61" w:type="pct"/>
            <w:tcBorders>
              <w:top w:val="nil"/>
              <w:left w:val="nil"/>
              <w:bottom w:val="single" w:sz="4" w:space="0" w:color="auto"/>
              <w:right w:val="single" w:sz="4" w:space="0" w:color="auto"/>
            </w:tcBorders>
            <w:noWrap/>
            <w:vAlign w:val="center"/>
            <w:hideMark/>
          </w:tcPr>
          <w:p w14:paraId="4ED99DB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c>
          <w:tcPr>
            <w:tcW w:w="255" w:type="pct"/>
            <w:tcBorders>
              <w:top w:val="nil"/>
              <w:left w:val="nil"/>
              <w:bottom w:val="single" w:sz="4" w:space="0" w:color="auto"/>
              <w:right w:val="single" w:sz="4" w:space="0" w:color="auto"/>
            </w:tcBorders>
            <w:noWrap/>
            <w:vAlign w:val="center"/>
            <w:hideMark/>
          </w:tcPr>
          <w:p w14:paraId="0D84C6C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2,033</w:t>
            </w:r>
          </w:p>
        </w:tc>
      </w:tr>
      <w:tr w:rsidR="00590678" w:rsidRPr="003519B9" w14:paraId="4D58C6F3"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0BE3B3FA" w14:textId="77777777" w:rsidR="00590678" w:rsidRPr="003519B9" w:rsidRDefault="00590678" w:rsidP="0059330D">
            <w:pPr>
              <w:rPr>
                <w:rFonts w:ascii="Arial" w:hAnsi="Arial" w:cs="Arial"/>
                <w:sz w:val="16"/>
                <w:szCs w:val="16"/>
                <w:lang w:val="en-GB" w:eastAsia="en-IN"/>
              </w:rPr>
            </w:pPr>
            <w:r w:rsidRPr="003519B9">
              <w:rPr>
                <w:rFonts w:ascii="Arial" w:hAnsi="Arial" w:cs="Arial"/>
                <w:sz w:val="16"/>
                <w:szCs w:val="16"/>
                <w:lang w:val="en-GB" w:eastAsia="en-IN"/>
              </w:rPr>
              <w:t xml:space="preserve">Average </w:t>
            </w:r>
            <w:r w:rsidR="0059330D" w:rsidRPr="003519B9">
              <w:rPr>
                <w:rFonts w:ascii="Arial" w:hAnsi="Arial" w:cs="Arial"/>
                <w:sz w:val="16"/>
                <w:szCs w:val="16"/>
                <w:lang w:val="en-GB" w:eastAsia="en-IN"/>
              </w:rPr>
              <w:t>m</w:t>
            </w:r>
            <w:r w:rsidRPr="003519B9">
              <w:rPr>
                <w:rFonts w:ascii="Arial" w:hAnsi="Arial" w:cs="Arial"/>
                <w:sz w:val="16"/>
                <w:szCs w:val="16"/>
                <w:lang w:val="en-GB" w:eastAsia="en-IN"/>
              </w:rPr>
              <w:t>erchant tariff (</w:t>
            </w:r>
            <w:r w:rsidRPr="003519B9">
              <w:rPr>
                <w:rFonts w:ascii="Arial" w:hAnsi="Arial" w:cs="Arial"/>
                <w:sz w:val="16"/>
                <w:szCs w:val="16"/>
                <w:lang w:val="en-GB"/>
              </w:rPr>
              <w:t>₹</w:t>
            </w:r>
            <w:r w:rsidRPr="003519B9">
              <w:rPr>
                <w:rFonts w:ascii="Arial" w:hAnsi="Arial" w:cs="Arial"/>
                <w:sz w:val="16"/>
                <w:szCs w:val="16"/>
                <w:lang w:val="en-GB" w:eastAsia="en-IN"/>
              </w:rPr>
              <w:t xml:space="preserve"> per unit)</w:t>
            </w:r>
          </w:p>
        </w:tc>
        <w:tc>
          <w:tcPr>
            <w:tcW w:w="261" w:type="pct"/>
            <w:tcBorders>
              <w:top w:val="nil"/>
              <w:left w:val="nil"/>
              <w:bottom w:val="single" w:sz="4" w:space="0" w:color="auto"/>
              <w:right w:val="single" w:sz="4" w:space="0" w:color="auto"/>
            </w:tcBorders>
            <w:noWrap/>
            <w:vAlign w:val="center"/>
            <w:hideMark/>
          </w:tcPr>
          <w:p w14:paraId="397C3B69"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3.30</w:t>
            </w:r>
          </w:p>
        </w:tc>
        <w:tc>
          <w:tcPr>
            <w:tcW w:w="261" w:type="pct"/>
            <w:tcBorders>
              <w:top w:val="nil"/>
              <w:left w:val="nil"/>
              <w:bottom w:val="single" w:sz="4" w:space="0" w:color="auto"/>
              <w:right w:val="single" w:sz="4" w:space="0" w:color="auto"/>
            </w:tcBorders>
            <w:noWrap/>
            <w:vAlign w:val="center"/>
            <w:hideMark/>
          </w:tcPr>
          <w:p w14:paraId="6E0010D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3.33</w:t>
            </w:r>
          </w:p>
        </w:tc>
        <w:tc>
          <w:tcPr>
            <w:tcW w:w="261" w:type="pct"/>
            <w:tcBorders>
              <w:top w:val="nil"/>
              <w:left w:val="nil"/>
              <w:bottom w:val="single" w:sz="4" w:space="0" w:color="auto"/>
              <w:right w:val="single" w:sz="4" w:space="0" w:color="auto"/>
            </w:tcBorders>
            <w:noWrap/>
            <w:vAlign w:val="center"/>
            <w:hideMark/>
          </w:tcPr>
          <w:p w14:paraId="139234C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3.37</w:t>
            </w:r>
          </w:p>
        </w:tc>
        <w:tc>
          <w:tcPr>
            <w:tcW w:w="261" w:type="pct"/>
            <w:tcBorders>
              <w:top w:val="nil"/>
              <w:left w:val="nil"/>
              <w:bottom w:val="single" w:sz="4" w:space="0" w:color="auto"/>
              <w:right w:val="single" w:sz="4" w:space="0" w:color="auto"/>
            </w:tcBorders>
            <w:noWrap/>
            <w:vAlign w:val="center"/>
            <w:hideMark/>
          </w:tcPr>
          <w:p w14:paraId="6AFFDD75"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3.40</w:t>
            </w:r>
          </w:p>
        </w:tc>
        <w:tc>
          <w:tcPr>
            <w:tcW w:w="261" w:type="pct"/>
            <w:tcBorders>
              <w:top w:val="nil"/>
              <w:left w:val="nil"/>
              <w:bottom w:val="single" w:sz="4" w:space="0" w:color="auto"/>
              <w:right w:val="single" w:sz="4" w:space="0" w:color="auto"/>
            </w:tcBorders>
            <w:noWrap/>
            <w:vAlign w:val="center"/>
            <w:hideMark/>
          </w:tcPr>
          <w:p w14:paraId="74DFB48E"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3.43</w:t>
            </w:r>
          </w:p>
        </w:tc>
        <w:tc>
          <w:tcPr>
            <w:tcW w:w="261" w:type="pct"/>
            <w:tcBorders>
              <w:top w:val="nil"/>
              <w:left w:val="nil"/>
              <w:bottom w:val="single" w:sz="4" w:space="0" w:color="auto"/>
              <w:right w:val="single" w:sz="4" w:space="0" w:color="auto"/>
            </w:tcBorders>
            <w:noWrap/>
            <w:vAlign w:val="center"/>
            <w:hideMark/>
          </w:tcPr>
          <w:p w14:paraId="451EB0E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3.47</w:t>
            </w:r>
          </w:p>
        </w:tc>
        <w:tc>
          <w:tcPr>
            <w:tcW w:w="261" w:type="pct"/>
            <w:tcBorders>
              <w:top w:val="nil"/>
              <w:left w:val="nil"/>
              <w:bottom w:val="single" w:sz="4" w:space="0" w:color="auto"/>
              <w:right w:val="single" w:sz="4" w:space="0" w:color="auto"/>
            </w:tcBorders>
            <w:noWrap/>
            <w:vAlign w:val="center"/>
            <w:hideMark/>
          </w:tcPr>
          <w:p w14:paraId="4574AD5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3.50</w:t>
            </w:r>
          </w:p>
        </w:tc>
        <w:tc>
          <w:tcPr>
            <w:tcW w:w="261" w:type="pct"/>
            <w:tcBorders>
              <w:top w:val="nil"/>
              <w:left w:val="nil"/>
              <w:bottom w:val="single" w:sz="4" w:space="0" w:color="auto"/>
              <w:right w:val="single" w:sz="4" w:space="0" w:color="auto"/>
            </w:tcBorders>
            <w:noWrap/>
            <w:vAlign w:val="center"/>
            <w:hideMark/>
          </w:tcPr>
          <w:p w14:paraId="282A90E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3.54</w:t>
            </w:r>
          </w:p>
        </w:tc>
        <w:tc>
          <w:tcPr>
            <w:tcW w:w="261" w:type="pct"/>
            <w:tcBorders>
              <w:top w:val="nil"/>
              <w:left w:val="nil"/>
              <w:bottom w:val="single" w:sz="4" w:space="0" w:color="auto"/>
              <w:right w:val="single" w:sz="4" w:space="0" w:color="auto"/>
            </w:tcBorders>
            <w:noWrap/>
            <w:vAlign w:val="center"/>
            <w:hideMark/>
          </w:tcPr>
          <w:p w14:paraId="04061E3A"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3.57</w:t>
            </w:r>
          </w:p>
        </w:tc>
        <w:tc>
          <w:tcPr>
            <w:tcW w:w="261" w:type="pct"/>
            <w:tcBorders>
              <w:top w:val="nil"/>
              <w:left w:val="nil"/>
              <w:bottom w:val="single" w:sz="4" w:space="0" w:color="auto"/>
              <w:right w:val="single" w:sz="4" w:space="0" w:color="auto"/>
            </w:tcBorders>
            <w:noWrap/>
            <w:vAlign w:val="center"/>
            <w:hideMark/>
          </w:tcPr>
          <w:p w14:paraId="79C259E7"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3.61</w:t>
            </w:r>
          </w:p>
        </w:tc>
        <w:tc>
          <w:tcPr>
            <w:tcW w:w="261" w:type="pct"/>
            <w:tcBorders>
              <w:top w:val="nil"/>
              <w:left w:val="nil"/>
              <w:bottom w:val="single" w:sz="4" w:space="0" w:color="auto"/>
              <w:right w:val="single" w:sz="4" w:space="0" w:color="auto"/>
            </w:tcBorders>
            <w:noWrap/>
            <w:vAlign w:val="center"/>
            <w:hideMark/>
          </w:tcPr>
          <w:p w14:paraId="2FFFF405"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3.65</w:t>
            </w:r>
          </w:p>
        </w:tc>
        <w:tc>
          <w:tcPr>
            <w:tcW w:w="261" w:type="pct"/>
            <w:tcBorders>
              <w:top w:val="nil"/>
              <w:left w:val="nil"/>
              <w:bottom w:val="single" w:sz="4" w:space="0" w:color="auto"/>
              <w:right w:val="single" w:sz="4" w:space="0" w:color="auto"/>
            </w:tcBorders>
            <w:noWrap/>
            <w:vAlign w:val="center"/>
            <w:hideMark/>
          </w:tcPr>
          <w:p w14:paraId="09413C7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3.68</w:t>
            </w:r>
          </w:p>
        </w:tc>
        <w:tc>
          <w:tcPr>
            <w:tcW w:w="261" w:type="pct"/>
            <w:tcBorders>
              <w:top w:val="nil"/>
              <w:left w:val="nil"/>
              <w:bottom w:val="single" w:sz="4" w:space="0" w:color="auto"/>
              <w:right w:val="single" w:sz="4" w:space="0" w:color="auto"/>
            </w:tcBorders>
            <w:noWrap/>
            <w:vAlign w:val="center"/>
            <w:hideMark/>
          </w:tcPr>
          <w:p w14:paraId="26B929C6"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3.72</w:t>
            </w:r>
          </w:p>
        </w:tc>
        <w:tc>
          <w:tcPr>
            <w:tcW w:w="261" w:type="pct"/>
            <w:tcBorders>
              <w:top w:val="nil"/>
              <w:left w:val="nil"/>
              <w:bottom w:val="single" w:sz="4" w:space="0" w:color="auto"/>
              <w:right w:val="single" w:sz="4" w:space="0" w:color="auto"/>
            </w:tcBorders>
            <w:noWrap/>
            <w:vAlign w:val="center"/>
            <w:hideMark/>
          </w:tcPr>
          <w:p w14:paraId="28845F88"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3.76</w:t>
            </w:r>
          </w:p>
        </w:tc>
        <w:tc>
          <w:tcPr>
            <w:tcW w:w="255" w:type="pct"/>
            <w:tcBorders>
              <w:top w:val="nil"/>
              <w:left w:val="nil"/>
              <w:bottom w:val="single" w:sz="4" w:space="0" w:color="auto"/>
              <w:right w:val="single" w:sz="4" w:space="0" w:color="auto"/>
            </w:tcBorders>
            <w:noWrap/>
            <w:vAlign w:val="center"/>
            <w:hideMark/>
          </w:tcPr>
          <w:p w14:paraId="7951ACA2" w14:textId="77777777" w:rsidR="00590678" w:rsidRPr="003519B9" w:rsidRDefault="00590678" w:rsidP="00A4705C">
            <w:pPr>
              <w:jc w:val="right"/>
              <w:rPr>
                <w:rFonts w:ascii="Arial" w:hAnsi="Arial" w:cs="Arial"/>
                <w:sz w:val="16"/>
                <w:szCs w:val="16"/>
                <w:lang w:val="en-GB" w:eastAsia="en-IN"/>
              </w:rPr>
            </w:pPr>
            <w:r w:rsidRPr="003519B9">
              <w:rPr>
                <w:rFonts w:ascii="Arial" w:hAnsi="Arial" w:cs="Arial"/>
                <w:sz w:val="16"/>
                <w:szCs w:val="16"/>
                <w:lang w:val="en-GB"/>
              </w:rPr>
              <w:t>3.79</w:t>
            </w:r>
          </w:p>
        </w:tc>
      </w:tr>
      <w:tr w:rsidR="00590678" w:rsidRPr="003519B9" w14:paraId="7C3E05BC" w14:textId="77777777" w:rsidTr="005838D7">
        <w:trPr>
          <w:trHeight w:val="188"/>
          <w:jc w:val="center"/>
        </w:trPr>
        <w:tc>
          <w:tcPr>
            <w:tcW w:w="1086" w:type="pct"/>
            <w:tcBorders>
              <w:top w:val="nil"/>
              <w:left w:val="single" w:sz="4" w:space="0" w:color="auto"/>
              <w:bottom w:val="single" w:sz="4" w:space="0" w:color="auto"/>
              <w:right w:val="single" w:sz="4" w:space="0" w:color="auto"/>
            </w:tcBorders>
            <w:noWrap/>
            <w:vAlign w:val="bottom"/>
            <w:hideMark/>
          </w:tcPr>
          <w:p w14:paraId="61D53B1B" w14:textId="77777777" w:rsidR="00590678" w:rsidRPr="003519B9" w:rsidRDefault="00590678" w:rsidP="006D5C35">
            <w:pPr>
              <w:rPr>
                <w:rFonts w:ascii="Arial" w:hAnsi="Arial" w:cs="Arial"/>
                <w:b/>
                <w:bCs/>
                <w:sz w:val="16"/>
                <w:szCs w:val="16"/>
                <w:lang w:val="en-GB" w:eastAsia="en-IN"/>
              </w:rPr>
            </w:pPr>
            <w:r w:rsidRPr="003519B9">
              <w:rPr>
                <w:rFonts w:ascii="Arial" w:hAnsi="Arial" w:cs="Arial"/>
                <w:b/>
                <w:bCs/>
                <w:sz w:val="16"/>
                <w:szCs w:val="16"/>
                <w:lang w:val="en-GB" w:eastAsia="en-IN"/>
              </w:rPr>
              <w:t>Revenue</w:t>
            </w:r>
          </w:p>
        </w:tc>
        <w:tc>
          <w:tcPr>
            <w:tcW w:w="261" w:type="pct"/>
            <w:tcBorders>
              <w:top w:val="nil"/>
              <w:left w:val="nil"/>
              <w:bottom w:val="single" w:sz="4" w:space="0" w:color="auto"/>
              <w:right w:val="single" w:sz="4" w:space="0" w:color="auto"/>
            </w:tcBorders>
            <w:noWrap/>
            <w:vAlign w:val="center"/>
            <w:hideMark/>
          </w:tcPr>
          <w:p w14:paraId="4C496B0D"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6,708</w:t>
            </w:r>
          </w:p>
        </w:tc>
        <w:tc>
          <w:tcPr>
            <w:tcW w:w="261" w:type="pct"/>
            <w:tcBorders>
              <w:top w:val="nil"/>
              <w:left w:val="nil"/>
              <w:bottom w:val="single" w:sz="4" w:space="0" w:color="auto"/>
              <w:right w:val="single" w:sz="4" w:space="0" w:color="auto"/>
            </w:tcBorders>
            <w:noWrap/>
            <w:vAlign w:val="center"/>
            <w:hideMark/>
          </w:tcPr>
          <w:p w14:paraId="379CAF4F"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6,775</w:t>
            </w:r>
          </w:p>
        </w:tc>
        <w:tc>
          <w:tcPr>
            <w:tcW w:w="261" w:type="pct"/>
            <w:tcBorders>
              <w:top w:val="nil"/>
              <w:left w:val="nil"/>
              <w:bottom w:val="single" w:sz="4" w:space="0" w:color="auto"/>
              <w:right w:val="single" w:sz="4" w:space="0" w:color="auto"/>
            </w:tcBorders>
            <w:noWrap/>
            <w:vAlign w:val="center"/>
            <w:hideMark/>
          </w:tcPr>
          <w:p w14:paraId="10FE3E85"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6,843</w:t>
            </w:r>
          </w:p>
        </w:tc>
        <w:tc>
          <w:tcPr>
            <w:tcW w:w="261" w:type="pct"/>
            <w:tcBorders>
              <w:top w:val="nil"/>
              <w:left w:val="nil"/>
              <w:bottom w:val="single" w:sz="4" w:space="0" w:color="auto"/>
              <w:right w:val="single" w:sz="4" w:space="0" w:color="auto"/>
            </w:tcBorders>
            <w:noWrap/>
            <w:vAlign w:val="center"/>
            <w:hideMark/>
          </w:tcPr>
          <w:p w14:paraId="04B13F79"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6,912</w:t>
            </w:r>
          </w:p>
        </w:tc>
        <w:tc>
          <w:tcPr>
            <w:tcW w:w="261" w:type="pct"/>
            <w:tcBorders>
              <w:top w:val="nil"/>
              <w:left w:val="nil"/>
              <w:bottom w:val="single" w:sz="4" w:space="0" w:color="auto"/>
              <w:right w:val="single" w:sz="4" w:space="0" w:color="auto"/>
            </w:tcBorders>
            <w:noWrap/>
            <w:vAlign w:val="center"/>
            <w:hideMark/>
          </w:tcPr>
          <w:p w14:paraId="1EDCBF8E"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6,981</w:t>
            </w:r>
          </w:p>
        </w:tc>
        <w:tc>
          <w:tcPr>
            <w:tcW w:w="261" w:type="pct"/>
            <w:tcBorders>
              <w:top w:val="nil"/>
              <w:left w:val="nil"/>
              <w:bottom w:val="single" w:sz="4" w:space="0" w:color="auto"/>
              <w:right w:val="single" w:sz="4" w:space="0" w:color="auto"/>
            </w:tcBorders>
            <w:noWrap/>
            <w:vAlign w:val="center"/>
            <w:hideMark/>
          </w:tcPr>
          <w:p w14:paraId="15AD5FB7"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7,050</w:t>
            </w:r>
          </w:p>
        </w:tc>
        <w:tc>
          <w:tcPr>
            <w:tcW w:w="261" w:type="pct"/>
            <w:tcBorders>
              <w:top w:val="nil"/>
              <w:left w:val="nil"/>
              <w:bottom w:val="single" w:sz="4" w:space="0" w:color="auto"/>
              <w:right w:val="single" w:sz="4" w:space="0" w:color="auto"/>
            </w:tcBorders>
            <w:noWrap/>
            <w:vAlign w:val="center"/>
            <w:hideMark/>
          </w:tcPr>
          <w:p w14:paraId="373D9AA4"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7,121</w:t>
            </w:r>
          </w:p>
        </w:tc>
        <w:tc>
          <w:tcPr>
            <w:tcW w:w="261" w:type="pct"/>
            <w:tcBorders>
              <w:top w:val="nil"/>
              <w:left w:val="nil"/>
              <w:bottom w:val="single" w:sz="4" w:space="0" w:color="auto"/>
              <w:right w:val="single" w:sz="4" w:space="0" w:color="auto"/>
            </w:tcBorders>
            <w:noWrap/>
            <w:vAlign w:val="center"/>
            <w:hideMark/>
          </w:tcPr>
          <w:p w14:paraId="51625108"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7,192</w:t>
            </w:r>
          </w:p>
        </w:tc>
        <w:tc>
          <w:tcPr>
            <w:tcW w:w="261" w:type="pct"/>
            <w:tcBorders>
              <w:top w:val="nil"/>
              <w:left w:val="nil"/>
              <w:bottom w:val="single" w:sz="4" w:space="0" w:color="auto"/>
              <w:right w:val="single" w:sz="4" w:space="0" w:color="auto"/>
            </w:tcBorders>
            <w:noWrap/>
            <w:vAlign w:val="center"/>
            <w:hideMark/>
          </w:tcPr>
          <w:p w14:paraId="43CB7660"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7,264</w:t>
            </w:r>
          </w:p>
        </w:tc>
        <w:tc>
          <w:tcPr>
            <w:tcW w:w="261" w:type="pct"/>
            <w:tcBorders>
              <w:top w:val="nil"/>
              <w:left w:val="nil"/>
              <w:bottom w:val="single" w:sz="4" w:space="0" w:color="auto"/>
              <w:right w:val="single" w:sz="4" w:space="0" w:color="auto"/>
            </w:tcBorders>
            <w:noWrap/>
            <w:vAlign w:val="center"/>
            <w:hideMark/>
          </w:tcPr>
          <w:p w14:paraId="6F890BE0"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7,337</w:t>
            </w:r>
          </w:p>
        </w:tc>
        <w:tc>
          <w:tcPr>
            <w:tcW w:w="261" w:type="pct"/>
            <w:tcBorders>
              <w:top w:val="nil"/>
              <w:left w:val="nil"/>
              <w:bottom w:val="single" w:sz="4" w:space="0" w:color="auto"/>
              <w:right w:val="single" w:sz="4" w:space="0" w:color="auto"/>
            </w:tcBorders>
            <w:noWrap/>
            <w:vAlign w:val="center"/>
            <w:hideMark/>
          </w:tcPr>
          <w:p w14:paraId="779989C1"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7,410</w:t>
            </w:r>
          </w:p>
        </w:tc>
        <w:tc>
          <w:tcPr>
            <w:tcW w:w="261" w:type="pct"/>
            <w:tcBorders>
              <w:top w:val="nil"/>
              <w:left w:val="nil"/>
              <w:bottom w:val="single" w:sz="4" w:space="0" w:color="auto"/>
              <w:right w:val="single" w:sz="4" w:space="0" w:color="auto"/>
            </w:tcBorders>
            <w:noWrap/>
            <w:vAlign w:val="center"/>
            <w:hideMark/>
          </w:tcPr>
          <w:p w14:paraId="5846BB34"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7,484</w:t>
            </w:r>
          </w:p>
        </w:tc>
        <w:tc>
          <w:tcPr>
            <w:tcW w:w="261" w:type="pct"/>
            <w:tcBorders>
              <w:top w:val="nil"/>
              <w:left w:val="nil"/>
              <w:bottom w:val="single" w:sz="4" w:space="0" w:color="auto"/>
              <w:right w:val="single" w:sz="4" w:space="0" w:color="auto"/>
            </w:tcBorders>
            <w:noWrap/>
            <w:vAlign w:val="center"/>
            <w:hideMark/>
          </w:tcPr>
          <w:p w14:paraId="2C88B11A"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7,559</w:t>
            </w:r>
          </w:p>
        </w:tc>
        <w:tc>
          <w:tcPr>
            <w:tcW w:w="261" w:type="pct"/>
            <w:tcBorders>
              <w:top w:val="nil"/>
              <w:left w:val="nil"/>
              <w:bottom w:val="single" w:sz="4" w:space="0" w:color="auto"/>
              <w:right w:val="single" w:sz="4" w:space="0" w:color="auto"/>
            </w:tcBorders>
            <w:noWrap/>
            <w:vAlign w:val="center"/>
            <w:hideMark/>
          </w:tcPr>
          <w:p w14:paraId="12FF0BEA"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7,635</w:t>
            </w:r>
          </w:p>
        </w:tc>
        <w:tc>
          <w:tcPr>
            <w:tcW w:w="255" w:type="pct"/>
            <w:tcBorders>
              <w:top w:val="nil"/>
              <w:left w:val="nil"/>
              <w:bottom w:val="single" w:sz="4" w:space="0" w:color="auto"/>
              <w:right w:val="single" w:sz="4" w:space="0" w:color="auto"/>
            </w:tcBorders>
            <w:noWrap/>
            <w:vAlign w:val="center"/>
            <w:hideMark/>
          </w:tcPr>
          <w:p w14:paraId="5D78BED6" w14:textId="77777777" w:rsidR="00590678" w:rsidRPr="003519B9" w:rsidRDefault="00590678" w:rsidP="00A4705C">
            <w:pPr>
              <w:jc w:val="right"/>
              <w:rPr>
                <w:rFonts w:ascii="Arial" w:hAnsi="Arial" w:cs="Arial"/>
                <w:b/>
                <w:bCs/>
                <w:sz w:val="16"/>
                <w:szCs w:val="16"/>
                <w:lang w:val="en-GB" w:eastAsia="en-IN"/>
              </w:rPr>
            </w:pPr>
            <w:r w:rsidRPr="003519B9">
              <w:rPr>
                <w:rFonts w:ascii="Arial" w:hAnsi="Arial" w:cs="Arial"/>
                <w:b/>
                <w:sz w:val="16"/>
                <w:szCs w:val="16"/>
                <w:lang w:val="en-GB"/>
              </w:rPr>
              <w:t>7,711</w:t>
            </w:r>
          </w:p>
        </w:tc>
      </w:tr>
      <w:tr w:rsidR="00590678" w:rsidRPr="003519B9" w14:paraId="52C06ED8" w14:textId="77777777" w:rsidTr="005838D7">
        <w:trPr>
          <w:trHeight w:val="260"/>
          <w:jc w:val="center"/>
        </w:trPr>
        <w:tc>
          <w:tcPr>
            <w:tcW w:w="1086" w:type="pct"/>
            <w:tcBorders>
              <w:top w:val="nil"/>
              <w:left w:val="single" w:sz="4" w:space="0" w:color="auto"/>
              <w:bottom w:val="single" w:sz="4" w:space="0" w:color="auto"/>
              <w:right w:val="single" w:sz="4" w:space="0" w:color="auto"/>
            </w:tcBorders>
            <w:noWrap/>
            <w:vAlign w:val="bottom"/>
            <w:hideMark/>
          </w:tcPr>
          <w:p w14:paraId="726EF002" w14:textId="77777777" w:rsidR="00590678" w:rsidRPr="003519B9" w:rsidRDefault="00590678" w:rsidP="006D5C35">
            <w:pPr>
              <w:rPr>
                <w:rFonts w:ascii="Arial" w:hAnsi="Arial" w:cs="Arial"/>
                <w:b/>
                <w:bCs/>
                <w:sz w:val="16"/>
                <w:szCs w:val="16"/>
                <w:lang w:val="en-GB" w:eastAsia="en-IN"/>
              </w:rPr>
            </w:pPr>
            <w:r w:rsidRPr="003519B9">
              <w:rPr>
                <w:rFonts w:ascii="Arial" w:hAnsi="Arial" w:cs="Arial"/>
                <w:b/>
                <w:bCs/>
                <w:sz w:val="16"/>
                <w:szCs w:val="16"/>
                <w:lang w:val="en-GB" w:eastAsia="en-IN"/>
              </w:rPr>
              <w:t>Expenditure</w:t>
            </w:r>
          </w:p>
        </w:tc>
        <w:tc>
          <w:tcPr>
            <w:tcW w:w="261" w:type="pct"/>
            <w:tcBorders>
              <w:top w:val="nil"/>
              <w:left w:val="nil"/>
              <w:bottom w:val="single" w:sz="4" w:space="0" w:color="auto"/>
              <w:right w:val="single" w:sz="4" w:space="0" w:color="auto"/>
            </w:tcBorders>
            <w:noWrap/>
            <w:vAlign w:val="center"/>
            <w:hideMark/>
          </w:tcPr>
          <w:p w14:paraId="24FA8087"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39218200"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5585145D"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6D6B0FDF"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3F4CC0EB"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7E91C837"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39BAE5CF"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520F0B8B"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263AA911"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3374B549"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1F5B8FA2"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16A1F2BA"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5DE977E0" w14:textId="77777777" w:rsidR="00590678" w:rsidRPr="003519B9" w:rsidRDefault="00590678" w:rsidP="00A4705C">
            <w:pPr>
              <w:jc w:val="right"/>
              <w:rPr>
                <w:rFonts w:ascii="Arial" w:hAnsi="Arial" w:cs="Arial"/>
                <w:sz w:val="16"/>
                <w:szCs w:val="16"/>
                <w:lang w:val="en-GB" w:eastAsia="en-IN"/>
              </w:rPr>
            </w:pPr>
          </w:p>
        </w:tc>
        <w:tc>
          <w:tcPr>
            <w:tcW w:w="261" w:type="pct"/>
            <w:tcBorders>
              <w:top w:val="nil"/>
              <w:left w:val="nil"/>
              <w:bottom w:val="single" w:sz="4" w:space="0" w:color="auto"/>
              <w:right w:val="single" w:sz="4" w:space="0" w:color="auto"/>
            </w:tcBorders>
            <w:noWrap/>
            <w:vAlign w:val="center"/>
            <w:hideMark/>
          </w:tcPr>
          <w:p w14:paraId="60A8AFF4" w14:textId="77777777" w:rsidR="00590678" w:rsidRPr="003519B9" w:rsidRDefault="00590678" w:rsidP="00A4705C">
            <w:pPr>
              <w:jc w:val="right"/>
              <w:rPr>
                <w:rFonts w:ascii="Arial" w:hAnsi="Arial" w:cs="Arial"/>
                <w:sz w:val="16"/>
                <w:szCs w:val="16"/>
                <w:lang w:val="en-GB" w:eastAsia="en-IN"/>
              </w:rPr>
            </w:pPr>
          </w:p>
        </w:tc>
        <w:tc>
          <w:tcPr>
            <w:tcW w:w="255" w:type="pct"/>
            <w:tcBorders>
              <w:top w:val="nil"/>
              <w:left w:val="nil"/>
              <w:bottom w:val="single" w:sz="4" w:space="0" w:color="auto"/>
              <w:right w:val="single" w:sz="4" w:space="0" w:color="auto"/>
            </w:tcBorders>
            <w:noWrap/>
            <w:vAlign w:val="center"/>
            <w:hideMark/>
          </w:tcPr>
          <w:p w14:paraId="42730CD7" w14:textId="77777777" w:rsidR="00590678" w:rsidRPr="003519B9" w:rsidRDefault="00590678" w:rsidP="00A4705C">
            <w:pPr>
              <w:jc w:val="right"/>
              <w:rPr>
                <w:rFonts w:ascii="Arial" w:hAnsi="Arial" w:cs="Arial"/>
                <w:sz w:val="16"/>
                <w:szCs w:val="16"/>
                <w:lang w:val="en-GB" w:eastAsia="en-IN"/>
              </w:rPr>
            </w:pPr>
          </w:p>
        </w:tc>
      </w:tr>
      <w:tr w:rsidR="00590678" w:rsidRPr="003519B9" w14:paraId="7FAD0BCA" w14:textId="77777777" w:rsidTr="005838D7">
        <w:trPr>
          <w:trHeight w:val="260"/>
          <w:jc w:val="center"/>
        </w:trPr>
        <w:tc>
          <w:tcPr>
            <w:tcW w:w="1086" w:type="pct"/>
            <w:tcBorders>
              <w:top w:val="nil"/>
              <w:left w:val="single" w:sz="4" w:space="0" w:color="auto"/>
              <w:bottom w:val="single" w:sz="4" w:space="0" w:color="auto"/>
              <w:right w:val="single" w:sz="4" w:space="0" w:color="auto"/>
            </w:tcBorders>
            <w:noWrap/>
            <w:vAlign w:val="bottom"/>
            <w:hideMark/>
          </w:tcPr>
          <w:p w14:paraId="3B692D09"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Cost of fuel</w:t>
            </w:r>
          </w:p>
        </w:tc>
        <w:tc>
          <w:tcPr>
            <w:tcW w:w="261" w:type="pct"/>
            <w:tcBorders>
              <w:top w:val="nil"/>
              <w:left w:val="nil"/>
              <w:bottom w:val="single" w:sz="4" w:space="0" w:color="auto"/>
              <w:right w:val="single" w:sz="4" w:space="0" w:color="auto"/>
            </w:tcBorders>
            <w:noWrap/>
            <w:vAlign w:val="center"/>
            <w:hideMark/>
          </w:tcPr>
          <w:p w14:paraId="4CF1809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3,036</w:t>
            </w:r>
          </w:p>
        </w:tc>
        <w:tc>
          <w:tcPr>
            <w:tcW w:w="261" w:type="pct"/>
            <w:tcBorders>
              <w:top w:val="nil"/>
              <w:left w:val="nil"/>
              <w:bottom w:val="single" w:sz="4" w:space="0" w:color="auto"/>
              <w:right w:val="single" w:sz="4" w:space="0" w:color="auto"/>
            </w:tcBorders>
            <w:noWrap/>
            <w:vAlign w:val="center"/>
            <w:hideMark/>
          </w:tcPr>
          <w:p w14:paraId="67DE33C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3,127</w:t>
            </w:r>
          </w:p>
        </w:tc>
        <w:tc>
          <w:tcPr>
            <w:tcW w:w="261" w:type="pct"/>
            <w:tcBorders>
              <w:top w:val="nil"/>
              <w:left w:val="nil"/>
              <w:bottom w:val="single" w:sz="4" w:space="0" w:color="auto"/>
              <w:right w:val="single" w:sz="4" w:space="0" w:color="auto"/>
            </w:tcBorders>
            <w:noWrap/>
            <w:vAlign w:val="center"/>
            <w:hideMark/>
          </w:tcPr>
          <w:p w14:paraId="527487B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3,221</w:t>
            </w:r>
          </w:p>
        </w:tc>
        <w:tc>
          <w:tcPr>
            <w:tcW w:w="261" w:type="pct"/>
            <w:tcBorders>
              <w:top w:val="nil"/>
              <w:left w:val="nil"/>
              <w:bottom w:val="single" w:sz="4" w:space="0" w:color="auto"/>
              <w:right w:val="single" w:sz="4" w:space="0" w:color="auto"/>
            </w:tcBorders>
            <w:noWrap/>
            <w:vAlign w:val="center"/>
            <w:hideMark/>
          </w:tcPr>
          <w:p w14:paraId="5B8698E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3,317</w:t>
            </w:r>
          </w:p>
        </w:tc>
        <w:tc>
          <w:tcPr>
            <w:tcW w:w="261" w:type="pct"/>
            <w:tcBorders>
              <w:top w:val="nil"/>
              <w:left w:val="nil"/>
              <w:bottom w:val="single" w:sz="4" w:space="0" w:color="auto"/>
              <w:right w:val="single" w:sz="4" w:space="0" w:color="auto"/>
            </w:tcBorders>
            <w:noWrap/>
            <w:vAlign w:val="center"/>
            <w:hideMark/>
          </w:tcPr>
          <w:p w14:paraId="55A566B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3,417</w:t>
            </w:r>
          </w:p>
        </w:tc>
        <w:tc>
          <w:tcPr>
            <w:tcW w:w="261" w:type="pct"/>
            <w:tcBorders>
              <w:top w:val="nil"/>
              <w:left w:val="nil"/>
              <w:bottom w:val="single" w:sz="4" w:space="0" w:color="auto"/>
              <w:right w:val="single" w:sz="4" w:space="0" w:color="auto"/>
            </w:tcBorders>
            <w:noWrap/>
            <w:vAlign w:val="center"/>
            <w:hideMark/>
          </w:tcPr>
          <w:p w14:paraId="4562FB56"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3,519</w:t>
            </w:r>
          </w:p>
        </w:tc>
        <w:tc>
          <w:tcPr>
            <w:tcW w:w="261" w:type="pct"/>
            <w:tcBorders>
              <w:top w:val="nil"/>
              <w:left w:val="nil"/>
              <w:bottom w:val="single" w:sz="4" w:space="0" w:color="auto"/>
              <w:right w:val="single" w:sz="4" w:space="0" w:color="auto"/>
            </w:tcBorders>
            <w:noWrap/>
            <w:vAlign w:val="center"/>
            <w:hideMark/>
          </w:tcPr>
          <w:p w14:paraId="0150DF33"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3,625</w:t>
            </w:r>
          </w:p>
        </w:tc>
        <w:tc>
          <w:tcPr>
            <w:tcW w:w="261" w:type="pct"/>
            <w:tcBorders>
              <w:top w:val="nil"/>
              <w:left w:val="nil"/>
              <w:bottom w:val="single" w:sz="4" w:space="0" w:color="auto"/>
              <w:right w:val="single" w:sz="4" w:space="0" w:color="auto"/>
            </w:tcBorders>
            <w:noWrap/>
            <w:vAlign w:val="center"/>
            <w:hideMark/>
          </w:tcPr>
          <w:p w14:paraId="168F498C"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3,734</w:t>
            </w:r>
          </w:p>
        </w:tc>
        <w:tc>
          <w:tcPr>
            <w:tcW w:w="261" w:type="pct"/>
            <w:tcBorders>
              <w:top w:val="nil"/>
              <w:left w:val="nil"/>
              <w:bottom w:val="single" w:sz="4" w:space="0" w:color="auto"/>
              <w:right w:val="single" w:sz="4" w:space="0" w:color="auto"/>
            </w:tcBorders>
            <w:noWrap/>
            <w:vAlign w:val="center"/>
            <w:hideMark/>
          </w:tcPr>
          <w:p w14:paraId="1205452C"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3,846</w:t>
            </w:r>
          </w:p>
        </w:tc>
        <w:tc>
          <w:tcPr>
            <w:tcW w:w="261" w:type="pct"/>
            <w:tcBorders>
              <w:top w:val="nil"/>
              <w:left w:val="nil"/>
              <w:bottom w:val="single" w:sz="4" w:space="0" w:color="auto"/>
              <w:right w:val="single" w:sz="4" w:space="0" w:color="auto"/>
            </w:tcBorders>
            <w:noWrap/>
            <w:vAlign w:val="center"/>
            <w:hideMark/>
          </w:tcPr>
          <w:p w14:paraId="6F3B68A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3,961</w:t>
            </w:r>
          </w:p>
        </w:tc>
        <w:tc>
          <w:tcPr>
            <w:tcW w:w="261" w:type="pct"/>
            <w:tcBorders>
              <w:top w:val="nil"/>
              <w:left w:val="nil"/>
              <w:bottom w:val="single" w:sz="4" w:space="0" w:color="auto"/>
              <w:right w:val="single" w:sz="4" w:space="0" w:color="auto"/>
            </w:tcBorders>
            <w:noWrap/>
            <w:vAlign w:val="center"/>
            <w:hideMark/>
          </w:tcPr>
          <w:p w14:paraId="552A0786"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4,080</w:t>
            </w:r>
          </w:p>
        </w:tc>
        <w:tc>
          <w:tcPr>
            <w:tcW w:w="261" w:type="pct"/>
            <w:tcBorders>
              <w:top w:val="nil"/>
              <w:left w:val="nil"/>
              <w:bottom w:val="single" w:sz="4" w:space="0" w:color="auto"/>
              <w:right w:val="single" w:sz="4" w:space="0" w:color="auto"/>
            </w:tcBorders>
            <w:noWrap/>
            <w:vAlign w:val="center"/>
            <w:hideMark/>
          </w:tcPr>
          <w:p w14:paraId="486F7AD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4,202</w:t>
            </w:r>
          </w:p>
        </w:tc>
        <w:tc>
          <w:tcPr>
            <w:tcW w:w="261" w:type="pct"/>
            <w:tcBorders>
              <w:top w:val="nil"/>
              <w:left w:val="nil"/>
              <w:bottom w:val="single" w:sz="4" w:space="0" w:color="auto"/>
              <w:right w:val="single" w:sz="4" w:space="0" w:color="auto"/>
            </w:tcBorders>
            <w:noWrap/>
            <w:vAlign w:val="center"/>
            <w:hideMark/>
          </w:tcPr>
          <w:p w14:paraId="77C972A8"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4,328</w:t>
            </w:r>
          </w:p>
        </w:tc>
        <w:tc>
          <w:tcPr>
            <w:tcW w:w="261" w:type="pct"/>
            <w:tcBorders>
              <w:top w:val="nil"/>
              <w:left w:val="nil"/>
              <w:bottom w:val="single" w:sz="4" w:space="0" w:color="auto"/>
              <w:right w:val="single" w:sz="4" w:space="0" w:color="auto"/>
            </w:tcBorders>
            <w:noWrap/>
            <w:vAlign w:val="center"/>
            <w:hideMark/>
          </w:tcPr>
          <w:p w14:paraId="06409956"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4,458</w:t>
            </w:r>
          </w:p>
        </w:tc>
        <w:tc>
          <w:tcPr>
            <w:tcW w:w="255" w:type="pct"/>
            <w:tcBorders>
              <w:top w:val="nil"/>
              <w:left w:val="nil"/>
              <w:bottom w:val="single" w:sz="4" w:space="0" w:color="auto"/>
              <w:right w:val="single" w:sz="4" w:space="0" w:color="auto"/>
            </w:tcBorders>
            <w:noWrap/>
            <w:vAlign w:val="center"/>
            <w:hideMark/>
          </w:tcPr>
          <w:p w14:paraId="774726E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4,592</w:t>
            </w:r>
          </w:p>
        </w:tc>
      </w:tr>
      <w:tr w:rsidR="00590678" w:rsidRPr="003519B9" w14:paraId="766B0B7C" w14:textId="77777777" w:rsidTr="005838D7">
        <w:trPr>
          <w:trHeight w:val="251"/>
          <w:jc w:val="center"/>
        </w:trPr>
        <w:tc>
          <w:tcPr>
            <w:tcW w:w="1086" w:type="pct"/>
            <w:tcBorders>
              <w:top w:val="nil"/>
              <w:left w:val="single" w:sz="4" w:space="0" w:color="auto"/>
              <w:bottom w:val="single" w:sz="4" w:space="0" w:color="auto"/>
              <w:right w:val="single" w:sz="4" w:space="0" w:color="auto"/>
            </w:tcBorders>
            <w:noWrap/>
            <w:vAlign w:val="bottom"/>
            <w:hideMark/>
          </w:tcPr>
          <w:p w14:paraId="2CAA3F7E" w14:textId="31055133"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Operation &amp;</w:t>
            </w:r>
            <w:r w:rsidR="00A22F0E" w:rsidRPr="003519B9">
              <w:rPr>
                <w:rFonts w:ascii="Arial" w:hAnsi="Arial" w:cs="Arial"/>
                <w:sz w:val="16"/>
                <w:szCs w:val="16"/>
                <w:lang w:val="en-GB" w:eastAsia="en-IN"/>
              </w:rPr>
              <w:t xml:space="preserve"> </w:t>
            </w:r>
            <w:r w:rsidRPr="003519B9">
              <w:rPr>
                <w:rFonts w:ascii="Arial" w:hAnsi="Arial" w:cs="Arial"/>
                <w:sz w:val="16"/>
                <w:szCs w:val="16"/>
                <w:lang w:val="en-GB" w:eastAsia="en-IN"/>
              </w:rPr>
              <w:t xml:space="preserve">maintenance expenses </w:t>
            </w:r>
          </w:p>
        </w:tc>
        <w:tc>
          <w:tcPr>
            <w:tcW w:w="261" w:type="pct"/>
            <w:tcBorders>
              <w:top w:val="nil"/>
              <w:left w:val="nil"/>
              <w:bottom w:val="single" w:sz="4" w:space="0" w:color="auto"/>
              <w:right w:val="single" w:sz="4" w:space="0" w:color="auto"/>
            </w:tcBorders>
            <w:noWrap/>
            <w:vAlign w:val="center"/>
            <w:hideMark/>
          </w:tcPr>
          <w:p w14:paraId="1A528909"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484</w:t>
            </w:r>
          </w:p>
        </w:tc>
        <w:tc>
          <w:tcPr>
            <w:tcW w:w="261" w:type="pct"/>
            <w:tcBorders>
              <w:top w:val="nil"/>
              <w:left w:val="nil"/>
              <w:bottom w:val="single" w:sz="4" w:space="0" w:color="auto"/>
              <w:right w:val="single" w:sz="4" w:space="0" w:color="auto"/>
            </w:tcBorders>
            <w:noWrap/>
            <w:vAlign w:val="center"/>
            <w:hideMark/>
          </w:tcPr>
          <w:p w14:paraId="6B5FE3F3"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503</w:t>
            </w:r>
          </w:p>
        </w:tc>
        <w:tc>
          <w:tcPr>
            <w:tcW w:w="261" w:type="pct"/>
            <w:tcBorders>
              <w:top w:val="nil"/>
              <w:left w:val="nil"/>
              <w:bottom w:val="single" w:sz="4" w:space="0" w:color="auto"/>
              <w:right w:val="single" w:sz="4" w:space="0" w:color="auto"/>
            </w:tcBorders>
            <w:noWrap/>
            <w:vAlign w:val="center"/>
            <w:hideMark/>
          </w:tcPr>
          <w:p w14:paraId="58B8DEA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523</w:t>
            </w:r>
          </w:p>
        </w:tc>
        <w:tc>
          <w:tcPr>
            <w:tcW w:w="261" w:type="pct"/>
            <w:tcBorders>
              <w:top w:val="nil"/>
              <w:left w:val="nil"/>
              <w:bottom w:val="single" w:sz="4" w:space="0" w:color="auto"/>
              <w:right w:val="single" w:sz="4" w:space="0" w:color="auto"/>
            </w:tcBorders>
            <w:noWrap/>
            <w:vAlign w:val="center"/>
            <w:hideMark/>
          </w:tcPr>
          <w:p w14:paraId="4741C258"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544</w:t>
            </w:r>
          </w:p>
        </w:tc>
        <w:tc>
          <w:tcPr>
            <w:tcW w:w="261" w:type="pct"/>
            <w:tcBorders>
              <w:top w:val="nil"/>
              <w:left w:val="nil"/>
              <w:bottom w:val="single" w:sz="4" w:space="0" w:color="auto"/>
              <w:right w:val="single" w:sz="4" w:space="0" w:color="auto"/>
            </w:tcBorders>
            <w:noWrap/>
            <w:vAlign w:val="center"/>
            <w:hideMark/>
          </w:tcPr>
          <w:p w14:paraId="40C98D79"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566</w:t>
            </w:r>
          </w:p>
        </w:tc>
        <w:tc>
          <w:tcPr>
            <w:tcW w:w="261" w:type="pct"/>
            <w:tcBorders>
              <w:top w:val="nil"/>
              <w:left w:val="nil"/>
              <w:bottom w:val="single" w:sz="4" w:space="0" w:color="auto"/>
              <w:right w:val="single" w:sz="4" w:space="0" w:color="auto"/>
            </w:tcBorders>
            <w:noWrap/>
            <w:vAlign w:val="center"/>
            <w:hideMark/>
          </w:tcPr>
          <w:p w14:paraId="0F453D31"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588</w:t>
            </w:r>
          </w:p>
        </w:tc>
        <w:tc>
          <w:tcPr>
            <w:tcW w:w="261" w:type="pct"/>
            <w:tcBorders>
              <w:top w:val="nil"/>
              <w:left w:val="nil"/>
              <w:bottom w:val="single" w:sz="4" w:space="0" w:color="auto"/>
              <w:right w:val="single" w:sz="4" w:space="0" w:color="auto"/>
            </w:tcBorders>
            <w:noWrap/>
            <w:vAlign w:val="center"/>
            <w:hideMark/>
          </w:tcPr>
          <w:p w14:paraId="6E49394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612</w:t>
            </w:r>
          </w:p>
        </w:tc>
        <w:tc>
          <w:tcPr>
            <w:tcW w:w="261" w:type="pct"/>
            <w:tcBorders>
              <w:top w:val="nil"/>
              <w:left w:val="nil"/>
              <w:bottom w:val="single" w:sz="4" w:space="0" w:color="auto"/>
              <w:right w:val="single" w:sz="4" w:space="0" w:color="auto"/>
            </w:tcBorders>
            <w:noWrap/>
            <w:vAlign w:val="center"/>
            <w:hideMark/>
          </w:tcPr>
          <w:p w14:paraId="0A27F0C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636</w:t>
            </w:r>
          </w:p>
        </w:tc>
        <w:tc>
          <w:tcPr>
            <w:tcW w:w="261" w:type="pct"/>
            <w:tcBorders>
              <w:top w:val="nil"/>
              <w:left w:val="nil"/>
              <w:bottom w:val="single" w:sz="4" w:space="0" w:color="auto"/>
              <w:right w:val="single" w:sz="4" w:space="0" w:color="auto"/>
            </w:tcBorders>
            <w:noWrap/>
            <w:vAlign w:val="center"/>
            <w:hideMark/>
          </w:tcPr>
          <w:p w14:paraId="394DBA5F"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662</w:t>
            </w:r>
          </w:p>
        </w:tc>
        <w:tc>
          <w:tcPr>
            <w:tcW w:w="261" w:type="pct"/>
            <w:tcBorders>
              <w:top w:val="nil"/>
              <w:left w:val="nil"/>
              <w:bottom w:val="single" w:sz="4" w:space="0" w:color="auto"/>
              <w:right w:val="single" w:sz="4" w:space="0" w:color="auto"/>
            </w:tcBorders>
            <w:noWrap/>
            <w:vAlign w:val="center"/>
            <w:hideMark/>
          </w:tcPr>
          <w:p w14:paraId="75F39671"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688</w:t>
            </w:r>
          </w:p>
        </w:tc>
        <w:tc>
          <w:tcPr>
            <w:tcW w:w="261" w:type="pct"/>
            <w:tcBorders>
              <w:top w:val="nil"/>
              <w:left w:val="nil"/>
              <w:bottom w:val="single" w:sz="4" w:space="0" w:color="auto"/>
              <w:right w:val="single" w:sz="4" w:space="0" w:color="auto"/>
            </w:tcBorders>
            <w:noWrap/>
            <w:vAlign w:val="center"/>
            <w:hideMark/>
          </w:tcPr>
          <w:p w14:paraId="1CDF5547"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716</w:t>
            </w:r>
          </w:p>
        </w:tc>
        <w:tc>
          <w:tcPr>
            <w:tcW w:w="261" w:type="pct"/>
            <w:tcBorders>
              <w:top w:val="nil"/>
              <w:left w:val="nil"/>
              <w:bottom w:val="single" w:sz="4" w:space="0" w:color="auto"/>
              <w:right w:val="single" w:sz="4" w:space="0" w:color="auto"/>
            </w:tcBorders>
            <w:noWrap/>
            <w:vAlign w:val="center"/>
            <w:hideMark/>
          </w:tcPr>
          <w:p w14:paraId="3ED751BF"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744</w:t>
            </w:r>
          </w:p>
        </w:tc>
        <w:tc>
          <w:tcPr>
            <w:tcW w:w="261" w:type="pct"/>
            <w:tcBorders>
              <w:top w:val="nil"/>
              <w:left w:val="nil"/>
              <w:bottom w:val="single" w:sz="4" w:space="0" w:color="auto"/>
              <w:right w:val="single" w:sz="4" w:space="0" w:color="auto"/>
            </w:tcBorders>
            <w:noWrap/>
            <w:vAlign w:val="center"/>
            <w:hideMark/>
          </w:tcPr>
          <w:p w14:paraId="6567D4C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774</w:t>
            </w:r>
          </w:p>
        </w:tc>
        <w:tc>
          <w:tcPr>
            <w:tcW w:w="261" w:type="pct"/>
            <w:tcBorders>
              <w:top w:val="nil"/>
              <w:left w:val="nil"/>
              <w:bottom w:val="single" w:sz="4" w:space="0" w:color="auto"/>
              <w:right w:val="single" w:sz="4" w:space="0" w:color="auto"/>
            </w:tcBorders>
            <w:noWrap/>
            <w:vAlign w:val="center"/>
            <w:hideMark/>
          </w:tcPr>
          <w:p w14:paraId="5B5A4EE0"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805</w:t>
            </w:r>
          </w:p>
        </w:tc>
        <w:tc>
          <w:tcPr>
            <w:tcW w:w="255" w:type="pct"/>
            <w:tcBorders>
              <w:top w:val="nil"/>
              <w:left w:val="nil"/>
              <w:bottom w:val="single" w:sz="4" w:space="0" w:color="auto"/>
              <w:right w:val="single" w:sz="4" w:space="0" w:color="auto"/>
            </w:tcBorders>
            <w:noWrap/>
            <w:vAlign w:val="center"/>
            <w:hideMark/>
          </w:tcPr>
          <w:p w14:paraId="3290C1E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837</w:t>
            </w:r>
          </w:p>
        </w:tc>
      </w:tr>
      <w:tr w:rsidR="00590678" w:rsidRPr="003519B9" w14:paraId="360F1908" w14:textId="77777777" w:rsidTr="005838D7">
        <w:trPr>
          <w:trHeight w:val="260"/>
          <w:jc w:val="center"/>
        </w:trPr>
        <w:tc>
          <w:tcPr>
            <w:tcW w:w="1086" w:type="pct"/>
            <w:tcBorders>
              <w:top w:val="nil"/>
              <w:left w:val="single" w:sz="4" w:space="0" w:color="auto"/>
              <w:bottom w:val="single" w:sz="4" w:space="0" w:color="auto"/>
              <w:right w:val="single" w:sz="4" w:space="0" w:color="auto"/>
            </w:tcBorders>
            <w:noWrap/>
            <w:vAlign w:val="bottom"/>
            <w:hideMark/>
          </w:tcPr>
          <w:p w14:paraId="03A49514" w14:textId="77777777" w:rsidR="00590678" w:rsidRPr="003519B9" w:rsidRDefault="00590678" w:rsidP="006D5C35">
            <w:pPr>
              <w:rPr>
                <w:rFonts w:ascii="Arial" w:hAnsi="Arial" w:cs="Arial"/>
                <w:b/>
                <w:bCs/>
                <w:sz w:val="16"/>
                <w:szCs w:val="16"/>
                <w:lang w:val="en-GB" w:eastAsia="en-IN"/>
              </w:rPr>
            </w:pPr>
            <w:r w:rsidRPr="003519B9">
              <w:rPr>
                <w:rFonts w:ascii="Arial" w:hAnsi="Arial" w:cs="Arial"/>
                <w:b/>
                <w:bCs/>
                <w:sz w:val="16"/>
                <w:szCs w:val="16"/>
                <w:lang w:val="en-GB" w:eastAsia="en-IN"/>
              </w:rPr>
              <w:t>Total Expenditure</w:t>
            </w:r>
          </w:p>
        </w:tc>
        <w:tc>
          <w:tcPr>
            <w:tcW w:w="261" w:type="pct"/>
            <w:tcBorders>
              <w:top w:val="nil"/>
              <w:left w:val="nil"/>
              <w:bottom w:val="single" w:sz="4" w:space="0" w:color="auto"/>
              <w:right w:val="single" w:sz="4" w:space="0" w:color="auto"/>
            </w:tcBorders>
            <w:noWrap/>
            <w:vAlign w:val="center"/>
            <w:hideMark/>
          </w:tcPr>
          <w:p w14:paraId="5BF7CBA6"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3,519</w:t>
            </w:r>
          </w:p>
        </w:tc>
        <w:tc>
          <w:tcPr>
            <w:tcW w:w="261" w:type="pct"/>
            <w:tcBorders>
              <w:top w:val="nil"/>
              <w:left w:val="nil"/>
              <w:bottom w:val="single" w:sz="4" w:space="0" w:color="auto"/>
              <w:right w:val="single" w:sz="4" w:space="0" w:color="auto"/>
            </w:tcBorders>
            <w:noWrap/>
            <w:vAlign w:val="center"/>
            <w:hideMark/>
          </w:tcPr>
          <w:p w14:paraId="4C4C7FA9"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3,630</w:t>
            </w:r>
          </w:p>
        </w:tc>
        <w:tc>
          <w:tcPr>
            <w:tcW w:w="261" w:type="pct"/>
            <w:tcBorders>
              <w:top w:val="nil"/>
              <w:left w:val="nil"/>
              <w:bottom w:val="single" w:sz="4" w:space="0" w:color="auto"/>
              <w:right w:val="single" w:sz="4" w:space="0" w:color="auto"/>
            </w:tcBorders>
            <w:noWrap/>
            <w:vAlign w:val="center"/>
            <w:hideMark/>
          </w:tcPr>
          <w:p w14:paraId="2DCA66D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3,744</w:t>
            </w:r>
          </w:p>
        </w:tc>
        <w:tc>
          <w:tcPr>
            <w:tcW w:w="261" w:type="pct"/>
            <w:tcBorders>
              <w:top w:val="nil"/>
              <w:left w:val="nil"/>
              <w:bottom w:val="single" w:sz="4" w:space="0" w:color="auto"/>
              <w:right w:val="single" w:sz="4" w:space="0" w:color="auto"/>
            </w:tcBorders>
            <w:noWrap/>
            <w:vAlign w:val="center"/>
            <w:hideMark/>
          </w:tcPr>
          <w:p w14:paraId="48D8F869"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3,861</w:t>
            </w:r>
          </w:p>
        </w:tc>
        <w:tc>
          <w:tcPr>
            <w:tcW w:w="261" w:type="pct"/>
            <w:tcBorders>
              <w:top w:val="nil"/>
              <w:left w:val="nil"/>
              <w:bottom w:val="single" w:sz="4" w:space="0" w:color="auto"/>
              <w:right w:val="single" w:sz="4" w:space="0" w:color="auto"/>
            </w:tcBorders>
            <w:noWrap/>
            <w:vAlign w:val="center"/>
            <w:hideMark/>
          </w:tcPr>
          <w:p w14:paraId="46BEC2F7"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3,983</w:t>
            </w:r>
          </w:p>
        </w:tc>
        <w:tc>
          <w:tcPr>
            <w:tcW w:w="261" w:type="pct"/>
            <w:tcBorders>
              <w:top w:val="nil"/>
              <w:left w:val="nil"/>
              <w:bottom w:val="single" w:sz="4" w:space="0" w:color="auto"/>
              <w:right w:val="single" w:sz="4" w:space="0" w:color="auto"/>
            </w:tcBorders>
            <w:noWrap/>
            <w:vAlign w:val="center"/>
            <w:hideMark/>
          </w:tcPr>
          <w:p w14:paraId="1F4A4A03"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4,108</w:t>
            </w:r>
          </w:p>
        </w:tc>
        <w:tc>
          <w:tcPr>
            <w:tcW w:w="261" w:type="pct"/>
            <w:tcBorders>
              <w:top w:val="nil"/>
              <w:left w:val="nil"/>
              <w:bottom w:val="single" w:sz="4" w:space="0" w:color="auto"/>
              <w:right w:val="single" w:sz="4" w:space="0" w:color="auto"/>
            </w:tcBorders>
            <w:noWrap/>
            <w:vAlign w:val="center"/>
            <w:hideMark/>
          </w:tcPr>
          <w:p w14:paraId="00060520"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4,237</w:t>
            </w:r>
          </w:p>
        </w:tc>
        <w:tc>
          <w:tcPr>
            <w:tcW w:w="261" w:type="pct"/>
            <w:tcBorders>
              <w:top w:val="nil"/>
              <w:left w:val="nil"/>
              <w:bottom w:val="single" w:sz="4" w:space="0" w:color="auto"/>
              <w:right w:val="single" w:sz="4" w:space="0" w:color="auto"/>
            </w:tcBorders>
            <w:noWrap/>
            <w:vAlign w:val="center"/>
            <w:hideMark/>
          </w:tcPr>
          <w:p w14:paraId="01FF3A4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4,370</w:t>
            </w:r>
          </w:p>
        </w:tc>
        <w:tc>
          <w:tcPr>
            <w:tcW w:w="261" w:type="pct"/>
            <w:tcBorders>
              <w:top w:val="nil"/>
              <w:left w:val="nil"/>
              <w:bottom w:val="single" w:sz="4" w:space="0" w:color="auto"/>
              <w:right w:val="single" w:sz="4" w:space="0" w:color="auto"/>
            </w:tcBorders>
            <w:noWrap/>
            <w:vAlign w:val="center"/>
            <w:hideMark/>
          </w:tcPr>
          <w:p w14:paraId="376C4CC1"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4,507</w:t>
            </w:r>
          </w:p>
        </w:tc>
        <w:tc>
          <w:tcPr>
            <w:tcW w:w="261" w:type="pct"/>
            <w:tcBorders>
              <w:top w:val="nil"/>
              <w:left w:val="nil"/>
              <w:bottom w:val="single" w:sz="4" w:space="0" w:color="auto"/>
              <w:right w:val="single" w:sz="4" w:space="0" w:color="auto"/>
            </w:tcBorders>
            <w:noWrap/>
            <w:vAlign w:val="center"/>
            <w:hideMark/>
          </w:tcPr>
          <w:p w14:paraId="50C952C3"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4,649</w:t>
            </w:r>
          </w:p>
        </w:tc>
        <w:tc>
          <w:tcPr>
            <w:tcW w:w="261" w:type="pct"/>
            <w:tcBorders>
              <w:top w:val="nil"/>
              <w:left w:val="nil"/>
              <w:bottom w:val="single" w:sz="4" w:space="0" w:color="auto"/>
              <w:right w:val="single" w:sz="4" w:space="0" w:color="auto"/>
            </w:tcBorders>
            <w:noWrap/>
            <w:vAlign w:val="center"/>
            <w:hideMark/>
          </w:tcPr>
          <w:p w14:paraId="5678D183"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4,796</w:t>
            </w:r>
          </w:p>
        </w:tc>
        <w:tc>
          <w:tcPr>
            <w:tcW w:w="261" w:type="pct"/>
            <w:tcBorders>
              <w:top w:val="nil"/>
              <w:left w:val="nil"/>
              <w:bottom w:val="single" w:sz="4" w:space="0" w:color="auto"/>
              <w:right w:val="single" w:sz="4" w:space="0" w:color="auto"/>
            </w:tcBorders>
            <w:noWrap/>
            <w:vAlign w:val="center"/>
            <w:hideMark/>
          </w:tcPr>
          <w:p w14:paraId="740A8426"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4,947</w:t>
            </w:r>
          </w:p>
        </w:tc>
        <w:tc>
          <w:tcPr>
            <w:tcW w:w="261" w:type="pct"/>
            <w:tcBorders>
              <w:top w:val="nil"/>
              <w:left w:val="nil"/>
              <w:bottom w:val="single" w:sz="4" w:space="0" w:color="auto"/>
              <w:right w:val="single" w:sz="4" w:space="0" w:color="auto"/>
            </w:tcBorders>
            <w:noWrap/>
            <w:vAlign w:val="center"/>
            <w:hideMark/>
          </w:tcPr>
          <w:p w14:paraId="527CA5C8"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5,103</w:t>
            </w:r>
          </w:p>
        </w:tc>
        <w:tc>
          <w:tcPr>
            <w:tcW w:w="261" w:type="pct"/>
            <w:tcBorders>
              <w:top w:val="nil"/>
              <w:left w:val="nil"/>
              <w:bottom w:val="single" w:sz="4" w:space="0" w:color="auto"/>
              <w:right w:val="single" w:sz="4" w:space="0" w:color="auto"/>
            </w:tcBorders>
            <w:noWrap/>
            <w:vAlign w:val="center"/>
            <w:hideMark/>
          </w:tcPr>
          <w:p w14:paraId="12F0CCCA"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5,263</w:t>
            </w:r>
          </w:p>
        </w:tc>
        <w:tc>
          <w:tcPr>
            <w:tcW w:w="255" w:type="pct"/>
            <w:tcBorders>
              <w:top w:val="nil"/>
              <w:left w:val="nil"/>
              <w:bottom w:val="single" w:sz="4" w:space="0" w:color="auto"/>
              <w:right w:val="single" w:sz="4" w:space="0" w:color="auto"/>
            </w:tcBorders>
            <w:noWrap/>
            <w:vAlign w:val="center"/>
            <w:hideMark/>
          </w:tcPr>
          <w:p w14:paraId="3AED20C6"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5,429</w:t>
            </w:r>
          </w:p>
        </w:tc>
      </w:tr>
      <w:tr w:rsidR="00590678" w:rsidRPr="003519B9" w14:paraId="2E926330" w14:textId="77777777" w:rsidTr="005838D7">
        <w:trPr>
          <w:trHeight w:val="347"/>
          <w:jc w:val="center"/>
        </w:trPr>
        <w:tc>
          <w:tcPr>
            <w:tcW w:w="1086" w:type="pct"/>
            <w:tcBorders>
              <w:top w:val="nil"/>
              <w:left w:val="single" w:sz="4" w:space="0" w:color="auto"/>
              <w:bottom w:val="single" w:sz="4" w:space="0" w:color="auto"/>
              <w:right w:val="single" w:sz="4" w:space="0" w:color="auto"/>
            </w:tcBorders>
            <w:vAlign w:val="bottom"/>
            <w:hideMark/>
          </w:tcPr>
          <w:p w14:paraId="7C401E38" w14:textId="77777777" w:rsidR="00590678" w:rsidRPr="003519B9" w:rsidRDefault="00590678" w:rsidP="000C3650">
            <w:pPr>
              <w:rPr>
                <w:rFonts w:ascii="Arial" w:hAnsi="Arial" w:cs="Arial"/>
                <w:b/>
                <w:bCs/>
                <w:color w:val="000000"/>
                <w:sz w:val="16"/>
                <w:szCs w:val="16"/>
                <w:lang w:val="en-GB" w:eastAsia="en-IN"/>
              </w:rPr>
            </w:pPr>
            <w:r w:rsidRPr="003519B9">
              <w:rPr>
                <w:rFonts w:ascii="Arial" w:hAnsi="Arial" w:cs="Arial"/>
                <w:b/>
                <w:bCs/>
                <w:color w:val="000000"/>
                <w:sz w:val="16"/>
                <w:szCs w:val="16"/>
                <w:lang w:val="en-GB" w:eastAsia="en-IN"/>
              </w:rPr>
              <w:t xml:space="preserve">Profit </w:t>
            </w:r>
            <w:r w:rsidR="000C3650" w:rsidRPr="003519B9">
              <w:rPr>
                <w:rFonts w:ascii="Arial" w:hAnsi="Arial" w:cs="Arial"/>
                <w:b/>
                <w:bCs/>
                <w:color w:val="000000"/>
                <w:sz w:val="16"/>
                <w:szCs w:val="16"/>
                <w:lang w:val="en-GB" w:eastAsia="en-IN"/>
              </w:rPr>
              <w:t>B</w:t>
            </w:r>
            <w:r w:rsidRPr="003519B9">
              <w:rPr>
                <w:rFonts w:ascii="Arial" w:hAnsi="Arial" w:cs="Arial"/>
                <w:b/>
                <w:bCs/>
                <w:color w:val="000000"/>
                <w:sz w:val="16"/>
                <w:szCs w:val="16"/>
                <w:lang w:val="en-GB" w:eastAsia="en-IN"/>
              </w:rPr>
              <w:t xml:space="preserve">efore </w:t>
            </w:r>
            <w:r w:rsidR="000C3650" w:rsidRPr="003519B9">
              <w:rPr>
                <w:rFonts w:ascii="Arial" w:hAnsi="Arial" w:cs="Arial"/>
                <w:b/>
                <w:bCs/>
                <w:color w:val="000000"/>
                <w:sz w:val="16"/>
                <w:szCs w:val="16"/>
                <w:lang w:val="en-GB" w:eastAsia="en-IN"/>
              </w:rPr>
              <w:t>D</w:t>
            </w:r>
            <w:r w:rsidRPr="003519B9">
              <w:rPr>
                <w:rFonts w:ascii="Arial" w:hAnsi="Arial" w:cs="Arial"/>
                <w:b/>
                <w:bCs/>
                <w:color w:val="000000"/>
                <w:sz w:val="16"/>
                <w:szCs w:val="16"/>
                <w:lang w:val="en-GB" w:eastAsia="en-IN"/>
              </w:rPr>
              <w:t>epreciation, interest</w:t>
            </w:r>
            <w:r w:rsidR="000C3650" w:rsidRPr="003519B9">
              <w:rPr>
                <w:rFonts w:ascii="Arial" w:hAnsi="Arial" w:cs="Arial"/>
                <w:b/>
                <w:bCs/>
                <w:color w:val="000000"/>
                <w:sz w:val="16"/>
                <w:szCs w:val="16"/>
                <w:lang w:val="en-GB" w:eastAsia="en-IN"/>
              </w:rPr>
              <w:t>,</w:t>
            </w:r>
            <w:r w:rsidRPr="003519B9">
              <w:rPr>
                <w:rFonts w:ascii="Arial" w:hAnsi="Arial" w:cs="Arial"/>
                <w:b/>
                <w:bCs/>
                <w:color w:val="000000"/>
                <w:sz w:val="16"/>
                <w:szCs w:val="16"/>
                <w:lang w:val="en-GB" w:eastAsia="en-IN"/>
              </w:rPr>
              <w:t xml:space="preserve"> and </w:t>
            </w:r>
            <w:r w:rsidR="000C3650" w:rsidRPr="003519B9">
              <w:rPr>
                <w:rFonts w:ascii="Arial" w:hAnsi="Arial" w:cs="Arial"/>
                <w:b/>
                <w:bCs/>
                <w:color w:val="000000"/>
                <w:sz w:val="16"/>
                <w:szCs w:val="16"/>
                <w:lang w:val="en-GB" w:eastAsia="en-IN"/>
              </w:rPr>
              <w:t>T</w:t>
            </w:r>
            <w:r w:rsidRPr="003519B9">
              <w:rPr>
                <w:rFonts w:ascii="Arial" w:hAnsi="Arial" w:cs="Arial"/>
                <w:b/>
                <w:bCs/>
                <w:color w:val="000000"/>
                <w:sz w:val="16"/>
                <w:szCs w:val="16"/>
                <w:lang w:val="en-GB" w:eastAsia="en-IN"/>
              </w:rPr>
              <w:t>ax (PBDIT)</w:t>
            </w:r>
          </w:p>
        </w:tc>
        <w:tc>
          <w:tcPr>
            <w:tcW w:w="261" w:type="pct"/>
            <w:tcBorders>
              <w:top w:val="nil"/>
              <w:left w:val="nil"/>
              <w:bottom w:val="single" w:sz="4" w:space="0" w:color="auto"/>
              <w:right w:val="single" w:sz="4" w:space="0" w:color="auto"/>
            </w:tcBorders>
            <w:noWrap/>
            <w:vAlign w:val="center"/>
            <w:hideMark/>
          </w:tcPr>
          <w:p w14:paraId="42D45423"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3,189</w:t>
            </w:r>
          </w:p>
        </w:tc>
        <w:tc>
          <w:tcPr>
            <w:tcW w:w="261" w:type="pct"/>
            <w:tcBorders>
              <w:top w:val="nil"/>
              <w:left w:val="nil"/>
              <w:bottom w:val="single" w:sz="4" w:space="0" w:color="auto"/>
              <w:right w:val="single" w:sz="4" w:space="0" w:color="auto"/>
            </w:tcBorders>
            <w:noWrap/>
            <w:vAlign w:val="center"/>
            <w:hideMark/>
          </w:tcPr>
          <w:p w14:paraId="66AC9E0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3,146</w:t>
            </w:r>
          </w:p>
        </w:tc>
        <w:tc>
          <w:tcPr>
            <w:tcW w:w="261" w:type="pct"/>
            <w:tcBorders>
              <w:top w:val="nil"/>
              <w:left w:val="nil"/>
              <w:bottom w:val="single" w:sz="4" w:space="0" w:color="auto"/>
              <w:right w:val="single" w:sz="4" w:space="0" w:color="auto"/>
            </w:tcBorders>
            <w:noWrap/>
            <w:vAlign w:val="center"/>
            <w:hideMark/>
          </w:tcPr>
          <w:p w14:paraId="073842A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3,099</w:t>
            </w:r>
          </w:p>
        </w:tc>
        <w:tc>
          <w:tcPr>
            <w:tcW w:w="261" w:type="pct"/>
            <w:tcBorders>
              <w:top w:val="nil"/>
              <w:left w:val="nil"/>
              <w:bottom w:val="single" w:sz="4" w:space="0" w:color="auto"/>
              <w:right w:val="single" w:sz="4" w:space="0" w:color="auto"/>
            </w:tcBorders>
            <w:noWrap/>
            <w:vAlign w:val="center"/>
            <w:hideMark/>
          </w:tcPr>
          <w:p w14:paraId="1462942F"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3,050</w:t>
            </w:r>
          </w:p>
        </w:tc>
        <w:tc>
          <w:tcPr>
            <w:tcW w:w="261" w:type="pct"/>
            <w:tcBorders>
              <w:top w:val="nil"/>
              <w:left w:val="nil"/>
              <w:bottom w:val="single" w:sz="4" w:space="0" w:color="auto"/>
              <w:right w:val="single" w:sz="4" w:space="0" w:color="auto"/>
            </w:tcBorders>
            <w:noWrap/>
            <w:vAlign w:val="center"/>
            <w:hideMark/>
          </w:tcPr>
          <w:p w14:paraId="24DB7E6E"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2,998</w:t>
            </w:r>
          </w:p>
        </w:tc>
        <w:tc>
          <w:tcPr>
            <w:tcW w:w="261" w:type="pct"/>
            <w:tcBorders>
              <w:top w:val="nil"/>
              <w:left w:val="nil"/>
              <w:bottom w:val="single" w:sz="4" w:space="0" w:color="auto"/>
              <w:right w:val="single" w:sz="4" w:space="0" w:color="auto"/>
            </w:tcBorders>
            <w:noWrap/>
            <w:vAlign w:val="center"/>
            <w:hideMark/>
          </w:tcPr>
          <w:p w14:paraId="138E1403"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2,943</w:t>
            </w:r>
          </w:p>
        </w:tc>
        <w:tc>
          <w:tcPr>
            <w:tcW w:w="261" w:type="pct"/>
            <w:tcBorders>
              <w:top w:val="nil"/>
              <w:left w:val="nil"/>
              <w:bottom w:val="single" w:sz="4" w:space="0" w:color="auto"/>
              <w:right w:val="single" w:sz="4" w:space="0" w:color="auto"/>
            </w:tcBorders>
            <w:noWrap/>
            <w:vAlign w:val="center"/>
            <w:hideMark/>
          </w:tcPr>
          <w:p w14:paraId="4CA26698"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2,884</w:t>
            </w:r>
          </w:p>
        </w:tc>
        <w:tc>
          <w:tcPr>
            <w:tcW w:w="261" w:type="pct"/>
            <w:tcBorders>
              <w:top w:val="nil"/>
              <w:left w:val="nil"/>
              <w:bottom w:val="single" w:sz="4" w:space="0" w:color="auto"/>
              <w:right w:val="single" w:sz="4" w:space="0" w:color="auto"/>
            </w:tcBorders>
            <w:noWrap/>
            <w:vAlign w:val="center"/>
            <w:hideMark/>
          </w:tcPr>
          <w:p w14:paraId="0D46B535"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2,822</w:t>
            </w:r>
          </w:p>
        </w:tc>
        <w:tc>
          <w:tcPr>
            <w:tcW w:w="261" w:type="pct"/>
            <w:tcBorders>
              <w:top w:val="nil"/>
              <w:left w:val="nil"/>
              <w:bottom w:val="single" w:sz="4" w:space="0" w:color="auto"/>
              <w:right w:val="single" w:sz="4" w:space="0" w:color="auto"/>
            </w:tcBorders>
            <w:noWrap/>
            <w:vAlign w:val="center"/>
            <w:hideMark/>
          </w:tcPr>
          <w:p w14:paraId="6CA25984"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2,757</w:t>
            </w:r>
          </w:p>
        </w:tc>
        <w:tc>
          <w:tcPr>
            <w:tcW w:w="261" w:type="pct"/>
            <w:tcBorders>
              <w:top w:val="nil"/>
              <w:left w:val="nil"/>
              <w:bottom w:val="single" w:sz="4" w:space="0" w:color="auto"/>
              <w:right w:val="single" w:sz="4" w:space="0" w:color="auto"/>
            </w:tcBorders>
            <w:noWrap/>
            <w:vAlign w:val="center"/>
            <w:hideMark/>
          </w:tcPr>
          <w:p w14:paraId="2B50FDB0"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2,687</w:t>
            </w:r>
          </w:p>
        </w:tc>
        <w:tc>
          <w:tcPr>
            <w:tcW w:w="261" w:type="pct"/>
            <w:tcBorders>
              <w:top w:val="nil"/>
              <w:left w:val="nil"/>
              <w:bottom w:val="single" w:sz="4" w:space="0" w:color="auto"/>
              <w:right w:val="single" w:sz="4" w:space="0" w:color="auto"/>
            </w:tcBorders>
            <w:noWrap/>
            <w:vAlign w:val="center"/>
            <w:hideMark/>
          </w:tcPr>
          <w:p w14:paraId="5D210F98"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2,614</w:t>
            </w:r>
          </w:p>
        </w:tc>
        <w:tc>
          <w:tcPr>
            <w:tcW w:w="261" w:type="pct"/>
            <w:tcBorders>
              <w:top w:val="nil"/>
              <w:left w:val="nil"/>
              <w:bottom w:val="single" w:sz="4" w:space="0" w:color="auto"/>
              <w:right w:val="single" w:sz="4" w:space="0" w:color="auto"/>
            </w:tcBorders>
            <w:noWrap/>
            <w:vAlign w:val="center"/>
            <w:hideMark/>
          </w:tcPr>
          <w:p w14:paraId="58601F12"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2,537</w:t>
            </w:r>
          </w:p>
        </w:tc>
        <w:tc>
          <w:tcPr>
            <w:tcW w:w="261" w:type="pct"/>
            <w:tcBorders>
              <w:top w:val="nil"/>
              <w:left w:val="nil"/>
              <w:bottom w:val="single" w:sz="4" w:space="0" w:color="auto"/>
              <w:right w:val="single" w:sz="4" w:space="0" w:color="auto"/>
            </w:tcBorders>
            <w:noWrap/>
            <w:vAlign w:val="center"/>
            <w:hideMark/>
          </w:tcPr>
          <w:p w14:paraId="7A94E21B"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2,456</w:t>
            </w:r>
          </w:p>
        </w:tc>
        <w:tc>
          <w:tcPr>
            <w:tcW w:w="261" w:type="pct"/>
            <w:tcBorders>
              <w:top w:val="nil"/>
              <w:left w:val="nil"/>
              <w:bottom w:val="single" w:sz="4" w:space="0" w:color="auto"/>
              <w:right w:val="single" w:sz="4" w:space="0" w:color="auto"/>
            </w:tcBorders>
            <w:noWrap/>
            <w:vAlign w:val="center"/>
            <w:hideMark/>
          </w:tcPr>
          <w:p w14:paraId="3CB32D94"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2,371</w:t>
            </w:r>
          </w:p>
        </w:tc>
        <w:tc>
          <w:tcPr>
            <w:tcW w:w="255" w:type="pct"/>
            <w:tcBorders>
              <w:top w:val="nil"/>
              <w:left w:val="nil"/>
              <w:bottom w:val="single" w:sz="4" w:space="0" w:color="auto"/>
              <w:right w:val="single" w:sz="4" w:space="0" w:color="auto"/>
            </w:tcBorders>
            <w:noWrap/>
            <w:vAlign w:val="center"/>
            <w:hideMark/>
          </w:tcPr>
          <w:p w14:paraId="40E865B3"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2,282</w:t>
            </w:r>
          </w:p>
        </w:tc>
      </w:tr>
      <w:tr w:rsidR="00590678" w:rsidRPr="003519B9" w14:paraId="1FC72187" w14:textId="77777777" w:rsidTr="005838D7">
        <w:trPr>
          <w:trHeight w:val="251"/>
          <w:jc w:val="center"/>
        </w:trPr>
        <w:tc>
          <w:tcPr>
            <w:tcW w:w="1086" w:type="pct"/>
            <w:tcBorders>
              <w:top w:val="nil"/>
              <w:left w:val="single" w:sz="4" w:space="0" w:color="auto"/>
              <w:bottom w:val="single" w:sz="4" w:space="0" w:color="auto"/>
              <w:right w:val="single" w:sz="4" w:space="0" w:color="auto"/>
            </w:tcBorders>
            <w:noWrap/>
            <w:vAlign w:val="bottom"/>
            <w:hideMark/>
          </w:tcPr>
          <w:p w14:paraId="40F3F623"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Interest on term loan</w:t>
            </w:r>
          </w:p>
        </w:tc>
        <w:tc>
          <w:tcPr>
            <w:tcW w:w="261" w:type="pct"/>
            <w:tcBorders>
              <w:top w:val="nil"/>
              <w:left w:val="nil"/>
              <w:bottom w:val="single" w:sz="4" w:space="0" w:color="auto"/>
              <w:right w:val="single" w:sz="4" w:space="0" w:color="auto"/>
            </w:tcBorders>
            <w:noWrap/>
            <w:vAlign w:val="center"/>
            <w:hideMark/>
          </w:tcPr>
          <w:p w14:paraId="6A36846A"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1,132</w:t>
            </w:r>
          </w:p>
        </w:tc>
        <w:tc>
          <w:tcPr>
            <w:tcW w:w="261" w:type="pct"/>
            <w:tcBorders>
              <w:top w:val="nil"/>
              <w:left w:val="nil"/>
              <w:bottom w:val="single" w:sz="4" w:space="0" w:color="auto"/>
              <w:right w:val="single" w:sz="4" w:space="0" w:color="auto"/>
            </w:tcBorders>
            <w:noWrap/>
            <w:vAlign w:val="center"/>
            <w:hideMark/>
          </w:tcPr>
          <w:p w14:paraId="4882BF55"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1,033</w:t>
            </w:r>
          </w:p>
        </w:tc>
        <w:tc>
          <w:tcPr>
            <w:tcW w:w="261" w:type="pct"/>
            <w:tcBorders>
              <w:top w:val="nil"/>
              <w:left w:val="nil"/>
              <w:bottom w:val="single" w:sz="4" w:space="0" w:color="auto"/>
              <w:right w:val="single" w:sz="4" w:space="0" w:color="auto"/>
            </w:tcBorders>
            <w:noWrap/>
            <w:vAlign w:val="center"/>
            <w:hideMark/>
          </w:tcPr>
          <w:p w14:paraId="5AF2FE23"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903</w:t>
            </w:r>
          </w:p>
        </w:tc>
        <w:tc>
          <w:tcPr>
            <w:tcW w:w="261" w:type="pct"/>
            <w:tcBorders>
              <w:top w:val="nil"/>
              <w:left w:val="nil"/>
              <w:bottom w:val="single" w:sz="4" w:space="0" w:color="auto"/>
              <w:right w:val="single" w:sz="4" w:space="0" w:color="auto"/>
            </w:tcBorders>
            <w:noWrap/>
            <w:vAlign w:val="center"/>
            <w:hideMark/>
          </w:tcPr>
          <w:p w14:paraId="370C71E3"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774</w:t>
            </w:r>
          </w:p>
        </w:tc>
        <w:tc>
          <w:tcPr>
            <w:tcW w:w="261" w:type="pct"/>
            <w:tcBorders>
              <w:top w:val="nil"/>
              <w:left w:val="nil"/>
              <w:bottom w:val="single" w:sz="4" w:space="0" w:color="auto"/>
              <w:right w:val="single" w:sz="4" w:space="0" w:color="auto"/>
            </w:tcBorders>
            <w:noWrap/>
            <w:vAlign w:val="center"/>
            <w:hideMark/>
          </w:tcPr>
          <w:p w14:paraId="7379DDE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645</w:t>
            </w:r>
          </w:p>
        </w:tc>
        <w:tc>
          <w:tcPr>
            <w:tcW w:w="261" w:type="pct"/>
            <w:tcBorders>
              <w:top w:val="nil"/>
              <w:left w:val="nil"/>
              <w:bottom w:val="single" w:sz="4" w:space="0" w:color="auto"/>
              <w:right w:val="single" w:sz="4" w:space="0" w:color="auto"/>
            </w:tcBorders>
            <w:noWrap/>
            <w:vAlign w:val="center"/>
            <w:hideMark/>
          </w:tcPr>
          <w:p w14:paraId="25425829"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516</w:t>
            </w:r>
          </w:p>
        </w:tc>
        <w:tc>
          <w:tcPr>
            <w:tcW w:w="261" w:type="pct"/>
            <w:tcBorders>
              <w:top w:val="nil"/>
              <w:left w:val="nil"/>
              <w:bottom w:val="single" w:sz="4" w:space="0" w:color="auto"/>
              <w:right w:val="single" w:sz="4" w:space="0" w:color="auto"/>
            </w:tcBorders>
            <w:noWrap/>
            <w:vAlign w:val="center"/>
            <w:hideMark/>
          </w:tcPr>
          <w:p w14:paraId="7D3CD8C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387</w:t>
            </w:r>
          </w:p>
        </w:tc>
        <w:tc>
          <w:tcPr>
            <w:tcW w:w="261" w:type="pct"/>
            <w:tcBorders>
              <w:top w:val="nil"/>
              <w:left w:val="nil"/>
              <w:bottom w:val="single" w:sz="4" w:space="0" w:color="auto"/>
              <w:right w:val="single" w:sz="4" w:space="0" w:color="auto"/>
            </w:tcBorders>
            <w:noWrap/>
            <w:vAlign w:val="center"/>
            <w:hideMark/>
          </w:tcPr>
          <w:p w14:paraId="22548FB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258</w:t>
            </w:r>
          </w:p>
        </w:tc>
        <w:tc>
          <w:tcPr>
            <w:tcW w:w="261" w:type="pct"/>
            <w:tcBorders>
              <w:top w:val="nil"/>
              <w:left w:val="nil"/>
              <w:bottom w:val="single" w:sz="4" w:space="0" w:color="auto"/>
              <w:right w:val="single" w:sz="4" w:space="0" w:color="auto"/>
            </w:tcBorders>
            <w:noWrap/>
            <w:vAlign w:val="center"/>
            <w:hideMark/>
          </w:tcPr>
          <w:p w14:paraId="21199E5F"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129</w:t>
            </w:r>
          </w:p>
        </w:tc>
        <w:tc>
          <w:tcPr>
            <w:tcW w:w="261" w:type="pct"/>
            <w:tcBorders>
              <w:top w:val="nil"/>
              <w:left w:val="nil"/>
              <w:bottom w:val="single" w:sz="4" w:space="0" w:color="auto"/>
              <w:right w:val="single" w:sz="4" w:space="0" w:color="auto"/>
            </w:tcBorders>
            <w:noWrap/>
            <w:vAlign w:val="center"/>
            <w:hideMark/>
          </w:tcPr>
          <w:p w14:paraId="6EDD5BE7" w14:textId="1A14366A"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32</w:t>
            </w:r>
          </w:p>
        </w:tc>
        <w:tc>
          <w:tcPr>
            <w:tcW w:w="261" w:type="pct"/>
            <w:tcBorders>
              <w:top w:val="nil"/>
              <w:left w:val="nil"/>
              <w:bottom w:val="single" w:sz="4" w:space="0" w:color="auto"/>
              <w:right w:val="single" w:sz="4" w:space="0" w:color="auto"/>
            </w:tcBorders>
            <w:noWrap/>
            <w:vAlign w:val="center"/>
            <w:hideMark/>
          </w:tcPr>
          <w:p w14:paraId="3D1BB25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6A9686F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2BC4316F"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20A92D4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55" w:type="pct"/>
            <w:tcBorders>
              <w:top w:val="nil"/>
              <w:left w:val="nil"/>
              <w:bottom w:val="single" w:sz="4" w:space="0" w:color="auto"/>
              <w:right w:val="single" w:sz="4" w:space="0" w:color="auto"/>
            </w:tcBorders>
            <w:noWrap/>
            <w:vAlign w:val="center"/>
            <w:hideMark/>
          </w:tcPr>
          <w:p w14:paraId="153B520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r>
      <w:tr w:rsidR="00590678" w:rsidRPr="003519B9" w14:paraId="3F17F33C" w14:textId="77777777" w:rsidTr="005838D7">
        <w:trPr>
          <w:trHeight w:val="260"/>
          <w:jc w:val="center"/>
        </w:trPr>
        <w:tc>
          <w:tcPr>
            <w:tcW w:w="1086" w:type="pct"/>
            <w:tcBorders>
              <w:top w:val="nil"/>
              <w:left w:val="single" w:sz="4" w:space="0" w:color="auto"/>
              <w:bottom w:val="single" w:sz="4" w:space="0" w:color="auto"/>
              <w:right w:val="single" w:sz="4" w:space="0" w:color="auto"/>
            </w:tcBorders>
            <w:noWrap/>
            <w:vAlign w:val="bottom"/>
            <w:hideMark/>
          </w:tcPr>
          <w:p w14:paraId="355DEDFE"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Interest on working capital</w:t>
            </w:r>
          </w:p>
        </w:tc>
        <w:tc>
          <w:tcPr>
            <w:tcW w:w="261" w:type="pct"/>
            <w:tcBorders>
              <w:top w:val="nil"/>
              <w:left w:val="nil"/>
              <w:bottom w:val="single" w:sz="4" w:space="0" w:color="auto"/>
              <w:right w:val="single" w:sz="4" w:space="0" w:color="auto"/>
            </w:tcBorders>
            <w:noWrap/>
            <w:vAlign w:val="center"/>
            <w:hideMark/>
          </w:tcPr>
          <w:p w14:paraId="6F7FFAB8"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112</w:t>
            </w:r>
          </w:p>
        </w:tc>
        <w:tc>
          <w:tcPr>
            <w:tcW w:w="261" w:type="pct"/>
            <w:tcBorders>
              <w:top w:val="nil"/>
              <w:left w:val="nil"/>
              <w:bottom w:val="single" w:sz="4" w:space="0" w:color="auto"/>
              <w:right w:val="single" w:sz="4" w:space="0" w:color="auto"/>
            </w:tcBorders>
            <w:noWrap/>
            <w:vAlign w:val="center"/>
            <w:hideMark/>
          </w:tcPr>
          <w:p w14:paraId="1BC24FB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112</w:t>
            </w:r>
          </w:p>
        </w:tc>
        <w:tc>
          <w:tcPr>
            <w:tcW w:w="261" w:type="pct"/>
            <w:tcBorders>
              <w:top w:val="nil"/>
              <w:left w:val="nil"/>
              <w:bottom w:val="single" w:sz="4" w:space="0" w:color="auto"/>
              <w:right w:val="single" w:sz="4" w:space="0" w:color="auto"/>
            </w:tcBorders>
            <w:noWrap/>
            <w:vAlign w:val="center"/>
            <w:hideMark/>
          </w:tcPr>
          <w:p w14:paraId="0878140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114</w:t>
            </w:r>
          </w:p>
        </w:tc>
        <w:tc>
          <w:tcPr>
            <w:tcW w:w="261" w:type="pct"/>
            <w:tcBorders>
              <w:top w:val="nil"/>
              <w:left w:val="nil"/>
              <w:bottom w:val="single" w:sz="4" w:space="0" w:color="auto"/>
              <w:right w:val="single" w:sz="4" w:space="0" w:color="auto"/>
            </w:tcBorders>
            <w:noWrap/>
            <w:vAlign w:val="center"/>
            <w:hideMark/>
          </w:tcPr>
          <w:p w14:paraId="01A59C3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116</w:t>
            </w:r>
          </w:p>
        </w:tc>
        <w:tc>
          <w:tcPr>
            <w:tcW w:w="261" w:type="pct"/>
            <w:tcBorders>
              <w:top w:val="nil"/>
              <w:left w:val="nil"/>
              <w:bottom w:val="single" w:sz="4" w:space="0" w:color="auto"/>
              <w:right w:val="single" w:sz="4" w:space="0" w:color="auto"/>
            </w:tcBorders>
            <w:noWrap/>
            <w:vAlign w:val="center"/>
            <w:hideMark/>
          </w:tcPr>
          <w:p w14:paraId="49661ED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118</w:t>
            </w:r>
          </w:p>
        </w:tc>
        <w:tc>
          <w:tcPr>
            <w:tcW w:w="261" w:type="pct"/>
            <w:tcBorders>
              <w:top w:val="nil"/>
              <w:left w:val="nil"/>
              <w:bottom w:val="single" w:sz="4" w:space="0" w:color="auto"/>
              <w:right w:val="single" w:sz="4" w:space="0" w:color="auto"/>
            </w:tcBorders>
            <w:noWrap/>
            <w:vAlign w:val="center"/>
            <w:hideMark/>
          </w:tcPr>
          <w:p w14:paraId="6DB97DBC"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120</w:t>
            </w:r>
          </w:p>
        </w:tc>
        <w:tc>
          <w:tcPr>
            <w:tcW w:w="261" w:type="pct"/>
            <w:tcBorders>
              <w:top w:val="nil"/>
              <w:left w:val="nil"/>
              <w:bottom w:val="single" w:sz="4" w:space="0" w:color="auto"/>
              <w:right w:val="single" w:sz="4" w:space="0" w:color="auto"/>
            </w:tcBorders>
            <w:noWrap/>
            <w:vAlign w:val="center"/>
            <w:hideMark/>
          </w:tcPr>
          <w:p w14:paraId="00198EFC"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122</w:t>
            </w:r>
          </w:p>
        </w:tc>
        <w:tc>
          <w:tcPr>
            <w:tcW w:w="261" w:type="pct"/>
            <w:tcBorders>
              <w:top w:val="nil"/>
              <w:left w:val="nil"/>
              <w:bottom w:val="single" w:sz="4" w:space="0" w:color="auto"/>
              <w:right w:val="single" w:sz="4" w:space="0" w:color="auto"/>
            </w:tcBorders>
            <w:noWrap/>
            <w:vAlign w:val="center"/>
            <w:hideMark/>
          </w:tcPr>
          <w:p w14:paraId="6F8F0C6C"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125</w:t>
            </w:r>
          </w:p>
        </w:tc>
        <w:tc>
          <w:tcPr>
            <w:tcW w:w="261" w:type="pct"/>
            <w:tcBorders>
              <w:top w:val="nil"/>
              <w:left w:val="nil"/>
              <w:bottom w:val="single" w:sz="4" w:space="0" w:color="auto"/>
              <w:right w:val="single" w:sz="4" w:space="0" w:color="auto"/>
            </w:tcBorders>
            <w:noWrap/>
            <w:vAlign w:val="center"/>
            <w:hideMark/>
          </w:tcPr>
          <w:p w14:paraId="5DDC71E3"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127</w:t>
            </w:r>
          </w:p>
        </w:tc>
        <w:tc>
          <w:tcPr>
            <w:tcW w:w="261" w:type="pct"/>
            <w:tcBorders>
              <w:top w:val="nil"/>
              <w:left w:val="nil"/>
              <w:bottom w:val="single" w:sz="4" w:space="0" w:color="auto"/>
              <w:right w:val="single" w:sz="4" w:space="0" w:color="auto"/>
            </w:tcBorders>
            <w:noWrap/>
            <w:vAlign w:val="center"/>
            <w:hideMark/>
          </w:tcPr>
          <w:p w14:paraId="6D09F33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130</w:t>
            </w:r>
          </w:p>
        </w:tc>
        <w:tc>
          <w:tcPr>
            <w:tcW w:w="261" w:type="pct"/>
            <w:tcBorders>
              <w:top w:val="nil"/>
              <w:left w:val="nil"/>
              <w:bottom w:val="single" w:sz="4" w:space="0" w:color="auto"/>
              <w:right w:val="single" w:sz="4" w:space="0" w:color="auto"/>
            </w:tcBorders>
            <w:noWrap/>
            <w:vAlign w:val="center"/>
            <w:hideMark/>
          </w:tcPr>
          <w:p w14:paraId="31C5934D"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132</w:t>
            </w:r>
          </w:p>
        </w:tc>
        <w:tc>
          <w:tcPr>
            <w:tcW w:w="261" w:type="pct"/>
            <w:tcBorders>
              <w:top w:val="nil"/>
              <w:left w:val="nil"/>
              <w:bottom w:val="single" w:sz="4" w:space="0" w:color="auto"/>
              <w:right w:val="single" w:sz="4" w:space="0" w:color="auto"/>
            </w:tcBorders>
            <w:noWrap/>
            <w:vAlign w:val="center"/>
            <w:hideMark/>
          </w:tcPr>
          <w:p w14:paraId="03B0BB88"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134</w:t>
            </w:r>
          </w:p>
        </w:tc>
        <w:tc>
          <w:tcPr>
            <w:tcW w:w="261" w:type="pct"/>
            <w:tcBorders>
              <w:top w:val="nil"/>
              <w:left w:val="nil"/>
              <w:bottom w:val="single" w:sz="4" w:space="0" w:color="auto"/>
              <w:right w:val="single" w:sz="4" w:space="0" w:color="auto"/>
            </w:tcBorders>
            <w:noWrap/>
            <w:vAlign w:val="center"/>
            <w:hideMark/>
          </w:tcPr>
          <w:p w14:paraId="2E16F99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137</w:t>
            </w:r>
          </w:p>
        </w:tc>
        <w:tc>
          <w:tcPr>
            <w:tcW w:w="261" w:type="pct"/>
            <w:tcBorders>
              <w:top w:val="nil"/>
              <w:left w:val="nil"/>
              <w:bottom w:val="single" w:sz="4" w:space="0" w:color="auto"/>
              <w:right w:val="single" w:sz="4" w:space="0" w:color="auto"/>
            </w:tcBorders>
            <w:noWrap/>
            <w:vAlign w:val="center"/>
            <w:hideMark/>
          </w:tcPr>
          <w:p w14:paraId="4272F87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140</w:t>
            </w:r>
          </w:p>
        </w:tc>
        <w:tc>
          <w:tcPr>
            <w:tcW w:w="255" w:type="pct"/>
            <w:tcBorders>
              <w:top w:val="nil"/>
              <w:left w:val="nil"/>
              <w:bottom w:val="single" w:sz="4" w:space="0" w:color="auto"/>
              <w:right w:val="single" w:sz="4" w:space="0" w:color="auto"/>
            </w:tcBorders>
            <w:noWrap/>
            <w:vAlign w:val="center"/>
            <w:hideMark/>
          </w:tcPr>
          <w:p w14:paraId="4FB3C84C"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143</w:t>
            </w:r>
          </w:p>
        </w:tc>
      </w:tr>
      <w:tr w:rsidR="00590678" w:rsidRPr="003519B9" w14:paraId="22C51E68" w14:textId="77777777" w:rsidTr="005838D7">
        <w:trPr>
          <w:trHeight w:val="251"/>
          <w:jc w:val="center"/>
        </w:trPr>
        <w:tc>
          <w:tcPr>
            <w:tcW w:w="1086" w:type="pct"/>
            <w:tcBorders>
              <w:top w:val="nil"/>
              <w:left w:val="single" w:sz="4" w:space="0" w:color="auto"/>
              <w:bottom w:val="single" w:sz="4" w:space="0" w:color="auto"/>
              <w:right w:val="single" w:sz="4" w:space="0" w:color="auto"/>
            </w:tcBorders>
            <w:noWrap/>
            <w:vAlign w:val="bottom"/>
            <w:hideMark/>
          </w:tcPr>
          <w:p w14:paraId="14DB26A8"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Depreciation</w:t>
            </w:r>
          </w:p>
        </w:tc>
        <w:tc>
          <w:tcPr>
            <w:tcW w:w="261" w:type="pct"/>
            <w:tcBorders>
              <w:top w:val="nil"/>
              <w:left w:val="nil"/>
              <w:bottom w:val="single" w:sz="4" w:space="0" w:color="auto"/>
              <w:right w:val="single" w:sz="4" w:space="0" w:color="auto"/>
            </w:tcBorders>
            <w:noWrap/>
            <w:vAlign w:val="center"/>
            <w:hideMark/>
          </w:tcPr>
          <w:p w14:paraId="3666B70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1D893428"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33A2B27B"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03A5EB42"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0F3EFCE6"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7E78C6B0"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7A6B448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00319D62"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0A6F6915"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6F1F121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1606AF55"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1980FB1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042E59F6"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61" w:type="pct"/>
            <w:tcBorders>
              <w:top w:val="nil"/>
              <w:left w:val="nil"/>
              <w:bottom w:val="single" w:sz="4" w:space="0" w:color="auto"/>
              <w:right w:val="single" w:sz="4" w:space="0" w:color="auto"/>
            </w:tcBorders>
            <w:noWrap/>
            <w:vAlign w:val="center"/>
            <w:hideMark/>
          </w:tcPr>
          <w:p w14:paraId="013DDE5B"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c>
          <w:tcPr>
            <w:tcW w:w="255" w:type="pct"/>
            <w:tcBorders>
              <w:top w:val="nil"/>
              <w:left w:val="nil"/>
              <w:bottom w:val="single" w:sz="4" w:space="0" w:color="auto"/>
              <w:right w:val="single" w:sz="4" w:space="0" w:color="auto"/>
            </w:tcBorders>
            <w:noWrap/>
            <w:vAlign w:val="center"/>
            <w:hideMark/>
          </w:tcPr>
          <w:p w14:paraId="3D87EE13"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680</w:t>
            </w:r>
          </w:p>
        </w:tc>
      </w:tr>
      <w:tr w:rsidR="00590678" w:rsidRPr="003519B9" w14:paraId="18CFB7E4" w14:textId="77777777" w:rsidTr="005838D7">
        <w:trPr>
          <w:trHeight w:val="260"/>
          <w:jc w:val="center"/>
        </w:trPr>
        <w:tc>
          <w:tcPr>
            <w:tcW w:w="1086" w:type="pct"/>
            <w:tcBorders>
              <w:top w:val="nil"/>
              <w:left w:val="single" w:sz="4" w:space="0" w:color="auto"/>
              <w:bottom w:val="single" w:sz="4" w:space="0" w:color="auto"/>
              <w:right w:val="single" w:sz="4" w:space="0" w:color="auto"/>
            </w:tcBorders>
            <w:noWrap/>
            <w:vAlign w:val="bottom"/>
            <w:hideMark/>
          </w:tcPr>
          <w:p w14:paraId="7F2C3001" w14:textId="77777777" w:rsidR="00590678" w:rsidRPr="003519B9" w:rsidRDefault="00590678" w:rsidP="006D5C35">
            <w:pPr>
              <w:rPr>
                <w:rFonts w:ascii="Arial" w:hAnsi="Arial" w:cs="Arial"/>
                <w:b/>
                <w:bCs/>
                <w:color w:val="000000"/>
                <w:sz w:val="16"/>
                <w:szCs w:val="16"/>
                <w:lang w:val="en-GB" w:eastAsia="en-IN"/>
              </w:rPr>
            </w:pPr>
            <w:r w:rsidRPr="003519B9">
              <w:rPr>
                <w:rFonts w:ascii="Arial" w:hAnsi="Arial" w:cs="Arial"/>
                <w:b/>
                <w:bCs/>
                <w:color w:val="000000"/>
                <w:sz w:val="16"/>
                <w:szCs w:val="16"/>
                <w:lang w:val="en-GB" w:eastAsia="en-IN"/>
              </w:rPr>
              <w:t xml:space="preserve">Profit Before Tax </w:t>
            </w:r>
          </w:p>
        </w:tc>
        <w:tc>
          <w:tcPr>
            <w:tcW w:w="261" w:type="pct"/>
            <w:tcBorders>
              <w:top w:val="nil"/>
              <w:left w:val="nil"/>
              <w:bottom w:val="single" w:sz="4" w:space="0" w:color="auto"/>
              <w:right w:val="single" w:sz="4" w:space="0" w:color="auto"/>
            </w:tcBorders>
            <w:noWrap/>
            <w:vAlign w:val="center"/>
            <w:hideMark/>
          </w:tcPr>
          <w:p w14:paraId="5D3A875B"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1,266</w:t>
            </w:r>
          </w:p>
        </w:tc>
        <w:tc>
          <w:tcPr>
            <w:tcW w:w="261" w:type="pct"/>
            <w:tcBorders>
              <w:top w:val="nil"/>
              <w:left w:val="nil"/>
              <w:bottom w:val="single" w:sz="4" w:space="0" w:color="auto"/>
              <w:right w:val="single" w:sz="4" w:space="0" w:color="auto"/>
            </w:tcBorders>
            <w:noWrap/>
            <w:vAlign w:val="center"/>
            <w:hideMark/>
          </w:tcPr>
          <w:p w14:paraId="2967849A"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1,320</w:t>
            </w:r>
          </w:p>
        </w:tc>
        <w:tc>
          <w:tcPr>
            <w:tcW w:w="261" w:type="pct"/>
            <w:tcBorders>
              <w:top w:val="nil"/>
              <w:left w:val="nil"/>
              <w:bottom w:val="single" w:sz="4" w:space="0" w:color="auto"/>
              <w:right w:val="single" w:sz="4" w:space="0" w:color="auto"/>
            </w:tcBorders>
            <w:noWrap/>
            <w:vAlign w:val="center"/>
            <w:hideMark/>
          </w:tcPr>
          <w:p w14:paraId="0356D9E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1,402</w:t>
            </w:r>
          </w:p>
        </w:tc>
        <w:tc>
          <w:tcPr>
            <w:tcW w:w="261" w:type="pct"/>
            <w:tcBorders>
              <w:top w:val="nil"/>
              <w:left w:val="nil"/>
              <w:bottom w:val="single" w:sz="4" w:space="0" w:color="auto"/>
              <w:right w:val="single" w:sz="4" w:space="0" w:color="auto"/>
            </w:tcBorders>
            <w:noWrap/>
            <w:vAlign w:val="center"/>
            <w:hideMark/>
          </w:tcPr>
          <w:p w14:paraId="35F2DB46"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1,480</w:t>
            </w:r>
          </w:p>
        </w:tc>
        <w:tc>
          <w:tcPr>
            <w:tcW w:w="261" w:type="pct"/>
            <w:tcBorders>
              <w:top w:val="nil"/>
              <w:left w:val="nil"/>
              <w:bottom w:val="single" w:sz="4" w:space="0" w:color="auto"/>
              <w:right w:val="single" w:sz="4" w:space="0" w:color="auto"/>
            </w:tcBorders>
            <w:noWrap/>
            <w:vAlign w:val="center"/>
            <w:hideMark/>
          </w:tcPr>
          <w:p w14:paraId="40D2CA2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1,555</w:t>
            </w:r>
          </w:p>
        </w:tc>
        <w:tc>
          <w:tcPr>
            <w:tcW w:w="261" w:type="pct"/>
            <w:tcBorders>
              <w:top w:val="nil"/>
              <w:left w:val="nil"/>
              <w:bottom w:val="single" w:sz="4" w:space="0" w:color="auto"/>
              <w:right w:val="single" w:sz="4" w:space="0" w:color="auto"/>
            </w:tcBorders>
            <w:noWrap/>
            <w:vAlign w:val="center"/>
            <w:hideMark/>
          </w:tcPr>
          <w:p w14:paraId="71A2C73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1,627</w:t>
            </w:r>
          </w:p>
        </w:tc>
        <w:tc>
          <w:tcPr>
            <w:tcW w:w="261" w:type="pct"/>
            <w:tcBorders>
              <w:top w:val="nil"/>
              <w:left w:val="nil"/>
              <w:bottom w:val="single" w:sz="4" w:space="0" w:color="auto"/>
              <w:right w:val="single" w:sz="4" w:space="0" w:color="auto"/>
            </w:tcBorders>
            <w:noWrap/>
            <w:vAlign w:val="center"/>
            <w:hideMark/>
          </w:tcPr>
          <w:p w14:paraId="0CC22D0E"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1,695</w:t>
            </w:r>
          </w:p>
        </w:tc>
        <w:tc>
          <w:tcPr>
            <w:tcW w:w="261" w:type="pct"/>
            <w:tcBorders>
              <w:top w:val="nil"/>
              <w:left w:val="nil"/>
              <w:bottom w:val="single" w:sz="4" w:space="0" w:color="auto"/>
              <w:right w:val="single" w:sz="4" w:space="0" w:color="auto"/>
            </w:tcBorders>
            <w:noWrap/>
            <w:vAlign w:val="center"/>
            <w:hideMark/>
          </w:tcPr>
          <w:p w14:paraId="10472710"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1,759</w:t>
            </w:r>
          </w:p>
        </w:tc>
        <w:tc>
          <w:tcPr>
            <w:tcW w:w="261" w:type="pct"/>
            <w:tcBorders>
              <w:top w:val="nil"/>
              <w:left w:val="nil"/>
              <w:bottom w:val="single" w:sz="4" w:space="0" w:color="auto"/>
              <w:right w:val="single" w:sz="4" w:space="0" w:color="auto"/>
            </w:tcBorders>
            <w:noWrap/>
            <w:vAlign w:val="center"/>
            <w:hideMark/>
          </w:tcPr>
          <w:p w14:paraId="14B25467"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1,820</w:t>
            </w:r>
          </w:p>
        </w:tc>
        <w:tc>
          <w:tcPr>
            <w:tcW w:w="261" w:type="pct"/>
            <w:tcBorders>
              <w:top w:val="nil"/>
              <w:left w:val="nil"/>
              <w:bottom w:val="single" w:sz="4" w:space="0" w:color="auto"/>
              <w:right w:val="single" w:sz="4" w:space="0" w:color="auto"/>
            </w:tcBorders>
            <w:noWrap/>
            <w:vAlign w:val="center"/>
            <w:hideMark/>
          </w:tcPr>
          <w:p w14:paraId="185CA0C1"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1,845</w:t>
            </w:r>
          </w:p>
        </w:tc>
        <w:tc>
          <w:tcPr>
            <w:tcW w:w="261" w:type="pct"/>
            <w:tcBorders>
              <w:top w:val="nil"/>
              <w:left w:val="nil"/>
              <w:bottom w:val="single" w:sz="4" w:space="0" w:color="auto"/>
              <w:right w:val="single" w:sz="4" w:space="0" w:color="auto"/>
            </w:tcBorders>
            <w:noWrap/>
            <w:vAlign w:val="center"/>
            <w:hideMark/>
          </w:tcPr>
          <w:p w14:paraId="348FBB78"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1,802</w:t>
            </w:r>
          </w:p>
        </w:tc>
        <w:tc>
          <w:tcPr>
            <w:tcW w:w="261" w:type="pct"/>
            <w:tcBorders>
              <w:top w:val="nil"/>
              <w:left w:val="nil"/>
              <w:bottom w:val="single" w:sz="4" w:space="0" w:color="auto"/>
              <w:right w:val="single" w:sz="4" w:space="0" w:color="auto"/>
            </w:tcBorders>
            <w:noWrap/>
            <w:vAlign w:val="center"/>
            <w:hideMark/>
          </w:tcPr>
          <w:p w14:paraId="0917BCA5"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1,723</w:t>
            </w:r>
          </w:p>
        </w:tc>
        <w:tc>
          <w:tcPr>
            <w:tcW w:w="261" w:type="pct"/>
            <w:tcBorders>
              <w:top w:val="nil"/>
              <w:left w:val="nil"/>
              <w:bottom w:val="single" w:sz="4" w:space="0" w:color="auto"/>
              <w:right w:val="single" w:sz="4" w:space="0" w:color="auto"/>
            </w:tcBorders>
            <w:noWrap/>
            <w:vAlign w:val="center"/>
            <w:hideMark/>
          </w:tcPr>
          <w:p w14:paraId="6EACB572"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1,639</w:t>
            </w:r>
          </w:p>
        </w:tc>
        <w:tc>
          <w:tcPr>
            <w:tcW w:w="261" w:type="pct"/>
            <w:tcBorders>
              <w:top w:val="nil"/>
              <w:left w:val="nil"/>
              <w:bottom w:val="single" w:sz="4" w:space="0" w:color="auto"/>
              <w:right w:val="single" w:sz="4" w:space="0" w:color="auto"/>
            </w:tcBorders>
            <w:noWrap/>
            <w:vAlign w:val="center"/>
            <w:hideMark/>
          </w:tcPr>
          <w:p w14:paraId="72B9B665"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1,551</w:t>
            </w:r>
          </w:p>
        </w:tc>
        <w:tc>
          <w:tcPr>
            <w:tcW w:w="255" w:type="pct"/>
            <w:tcBorders>
              <w:top w:val="nil"/>
              <w:left w:val="nil"/>
              <w:bottom w:val="single" w:sz="4" w:space="0" w:color="auto"/>
              <w:right w:val="single" w:sz="4" w:space="0" w:color="auto"/>
            </w:tcBorders>
            <w:noWrap/>
            <w:vAlign w:val="center"/>
            <w:hideMark/>
          </w:tcPr>
          <w:p w14:paraId="599734C1"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1,459</w:t>
            </w:r>
          </w:p>
        </w:tc>
      </w:tr>
      <w:tr w:rsidR="00590678" w:rsidRPr="003519B9" w14:paraId="4CFBB359"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73CE6F41"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Current tax</w:t>
            </w:r>
          </w:p>
        </w:tc>
        <w:tc>
          <w:tcPr>
            <w:tcW w:w="261" w:type="pct"/>
            <w:tcBorders>
              <w:top w:val="nil"/>
              <w:left w:val="nil"/>
              <w:bottom w:val="single" w:sz="4" w:space="0" w:color="auto"/>
              <w:right w:val="single" w:sz="4" w:space="0" w:color="auto"/>
            </w:tcBorders>
            <w:noWrap/>
            <w:vAlign w:val="center"/>
            <w:hideMark/>
          </w:tcPr>
          <w:p w14:paraId="518F111D"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200</w:t>
            </w:r>
          </w:p>
        </w:tc>
        <w:tc>
          <w:tcPr>
            <w:tcW w:w="261" w:type="pct"/>
            <w:tcBorders>
              <w:top w:val="nil"/>
              <w:left w:val="nil"/>
              <w:bottom w:val="single" w:sz="4" w:space="0" w:color="auto"/>
              <w:right w:val="single" w:sz="4" w:space="0" w:color="auto"/>
            </w:tcBorders>
            <w:noWrap/>
            <w:vAlign w:val="center"/>
            <w:hideMark/>
          </w:tcPr>
          <w:p w14:paraId="78907327"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210</w:t>
            </w:r>
          </w:p>
        </w:tc>
        <w:tc>
          <w:tcPr>
            <w:tcW w:w="261" w:type="pct"/>
            <w:tcBorders>
              <w:top w:val="nil"/>
              <w:left w:val="nil"/>
              <w:bottom w:val="single" w:sz="4" w:space="0" w:color="auto"/>
              <w:right w:val="single" w:sz="4" w:space="0" w:color="auto"/>
            </w:tcBorders>
            <w:noWrap/>
            <w:vAlign w:val="center"/>
            <w:hideMark/>
          </w:tcPr>
          <w:p w14:paraId="589E9567"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220</w:t>
            </w:r>
          </w:p>
        </w:tc>
        <w:tc>
          <w:tcPr>
            <w:tcW w:w="261" w:type="pct"/>
            <w:tcBorders>
              <w:top w:val="nil"/>
              <w:left w:val="nil"/>
              <w:bottom w:val="single" w:sz="4" w:space="0" w:color="auto"/>
              <w:right w:val="single" w:sz="4" w:space="0" w:color="auto"/>
            </w:tcBorders>
            <w:noWrap/>
            <w:vAlign w:val="center"/>
            <w:hideMark/>
          </w:tcPr>
          <w:p w14:paraId="56D68288"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240</w:t>
            </w:r>
          </w:p>
        </w:tc>
        <w:tc>
          <w:tcPr>
            <w:tcW w:w="261" w:type="pct"/>
            <w:tcBorders>
              <w:top w:val="nil"/>
              <w:left w:val="nil"/>
              <w:bottom w:val="single" w:sz="4" w:space="0" w:color="auto"/>
              <w:right w:val="single" w:sz="4" w:space="0" w:color="auto"/>
            </w:tcBorders>
            <w:noWrap/>
            <w:vAlign w:val="center"/>
            <w:hideMark/>
          </w:tcPr>
          <w:p w14:paraId="7E5A8DB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250</w:t>
            </w:r>
          </w:p>
        </w:tc>
        <w:tc>
          <w:tcPr>
            <w:tcW w:w="261" w:type="pct"/>
            <w:tcBorders>
              <w:top w:val="nil"/>
              <w:left w:val="nil"/>
              <w:bottom w:val="single" w:sz="4" w:space="0" w:color="auto"/>
              <w:right w:val="single" w:sz="4" w:space="0" w:color="auto"/>
            </w:tcBorders>
            <w:noWrap/>
            <w:vAlign w:val="center"/>
            <w:hideMark/>
          </w:tcPr>
          <w:p w14:paraId="72FCB94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260</w:t>
            </w:r>
          </w:p>
        </w:tc>
        <w:tc>
          <w:tcPr>
            <w:tcW w:w="261" w:type="pct"/>
            <w:tcBorders>
              <w:top w:val="nil"/>
              <w:left w:val="nil"/>
              <w:bottom w:val="single" w:sz="4" w:space="0" w:color="auto"/>
              <w:right w:val="single" w:sz="4" w:space="0" w:color="auto"/>
            </w:tcBorders>
            <w:noWrap/>
            <w:vAlign w:val="center"/>
            <w:hideMark/>
          </w:tcPr>
          <w:p w14:paraId="645C60A9"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270</w:t>
            </w:r>
          </w:p>
        </w:tc>
        <w:tc>
          <w:tcPr>
            <w:tcW w:w="261" w:type="pct"/>
            <w:tcBorders>
              <w:top w:val="nil"/>
              <w:left w:val="nil"/>
              <w:bottom w:val="single" w:sz="4" w:space="0" w:color="auto"/>
              <w:right w:val="single" w:sz="4" w:space="0" w:color="auto"/>
            </w:tcBorders>
            <w:noWrap/>
            <w:vAlign w:val="center"/>
            <w:hideMark/>
          </w:tcPr>
          <w:p w14:paraId="46F51015"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280</w:t>
            </w:r>
          </w:p>
        </w:tc>
        <w:tc>
          <w:tcPr>
            <w:tcW w:w="261" w:type="pct"/>
            <w:tcBorders>
              <w:top w:val="nil"/>
              <w:left w:val="nil"/>
              <w:bottom w:val="single" w:sz="4" w:space="0" w:color="auto"/>
              <w:right w:val="single" w:sz="4" w:space="0" w:color="auto"/>
            </w:tcBorders>
            <w:noWrap/>
            <w:vAlign w:val="center"/>
            <w:hideMark/>
          </w:tcPr>
          <w:p w14:paraId="4276C38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290</w:t>
            </w:r>
          </w:p>
        </w:tc>
        <w:tc>
          <w:tcPr>
            <w:tcW w:w="261" w:type="pct"/>
            <w:tcBorders>
              <w:top w:val="nil"/>
              <w:left w:val="nil"/>
              <w:bottom w:val="single" w:sz="4" w:space="0" w:color="auto"/>
              <w:right w:val="single" w:sz="4" w:space="0" w:color="auto"/>
            </w:tcBorders>
            <w:noWrap/>
            <w:vAlign w:val="center"/>
            <w:hideMark/>
          </w:tcPr>
          <w:p w14:paraId="6138F4D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300</w:t>
            </w:r>
          </w:p>
        </w:tc>
        <w:tc>
          <w:tcPr>
            <w:tcW w:w="261" w:type="pct"/>
            <w:tcBorders>
              <w:top w:val="nil"/>
              <w:left w:val="nil"/>
              <w:bottom w:val="single" w:sz="4" w:space="0" w:color="auto"/>
              <w:right w:val="single" w:sz="4" w:space="0" w:color="auto"/>
            </w:tcBorders>
            <w:noWrap/>
            <w:vAlign w:val="center"/>
            <w:hideMark/>
          </w:tcPr>
          <w:p w14:paraId="6115457A"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290</w:t>
            </w:r>
          </w:p>
        </w:tc>
        <w:tc>
          <w:tcPr>
            <w:tcW w:w="261" w:type="pct"/>
            <w:tcBorders>
              <w:top w:val="nil"/>
              <w:left w:val="nil"/>
              <w:bottom w:val="single" w:sz="4" w:space="0" w:color="auto"/>
              <w:right w:val="single" w:sz="4" w:space="0" w:color="auto"/>
            </w:tcBorders>
            <w:noWrap/>
            <w:vAlign w:val="center"/>
            <w:hideMark/>
          </w:tcPr>
          <w:p w14:paraId="081738B5"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280</w:t>
            </w:r>
          </w:p>
        </w:tc>
        <w:tc>
          <w:tcPr>
            <w:tcW w:w="261" w:type="pct"/>
            <w:tcBorders>
              <w:top w:val="nil"/>
              <w:left w:val="nil"/>
              <w:bottom w:val="single" w:sz="4" w:space="0" w:color="auto"/>
              <w:right w:val="single" w:sz="4" w:space="0" w:color="auto"/>
            </w:tcBorders>
            <w:noWrap/>
            <w:vAlign w:val="center"/>
            <w:hideMark/>
          </w:tcPr>
          <w:p w14:paraId="7DE733FE"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260</w:t>
            </w:r>
          </w:p>
        </w:tc>
        <w:tc>
          <w:tcPr>
            <w:tcW w:w="261" w:type="pct"/>
            <w:tcBorders>
              <w:top w:val="nil"/>
              <w:left w:val="nil"/>
              <w:bottom w:val="single" w:sz="4" w:space="0" w:color="auto"/>
              <w:right w:val="single" w:sz="4" w:space="0" w:color="auto"/>
            </w:tcBorders>
            <w:noWrap/>
            <w:vAlign w:val="center"/>
            <w:hideMark/>
          </w:tcPr>
          <w:p w14:paraId="29C298FA"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250</w:t>
            </w:r>
          </w:p>
        </w:tc>
        <w:tc>
          <w:tcPr>
            <w:tcW w:w="255" w:type="pct"/>
            <w:tcBorders>
              <w:top w:val="nil"/>
              <w:left w:val="nil"/>
              <w:bottom w:val="single" w:sz="4" w:space="0" w:color="auto"/>
              <w:right w:val="single" w:sz="4" w:space="0" w:color="auto"/>
            </w:tcBorders>
            <w:noWrap/>
            <w:vAlign w:val="center"/>
            <w:hideMark/>
          </w:tcPr>
          <w:p w14:paraId="2973727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230</w:t>
            </w:r>
          </w:p>
        </w:tc>
      </w:tr>
      <w:tr w:rsidR="00590678" w:rsidRPr="003519B9" w14:paraId="1D7D2286"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6F1C2EED" w14:textId="77777777" w:rsidR="00590678" w:rsidRPr="003519B9" w:rsidRDefault="00590678" w:rsidP="006D5C35">
            <w:pPr>
              <w:rPr>
                <w:rFonts w:ascii="Arial" w:hAnsi="Arial" w:cs="Arial"/>
                <w:sz w:val="16"/>
                <w:szCs w:val="16"/>
                <w:lang w:val="en-GB" w:eastAsia="en-IN"/>
              </w:rPr>
            </w:pPr>
            <w:r w:rsidRPr="003519B9">
              <w:rPr>
                <w:rFonts w:ascii="Arial" w:hAnsi="Arial" w:cs="Arial"/>
                <w:sz w:val="16"/>
                <w:szCs w:val="16"/>
                <w:lang w:val="en-GB" w:eastAsia="en-IN"/>
              </w:rPr>
              <w:t>Deferred tax</w:t>
            </w:r>
          </w:p>
        </w:tc>
        <w:tc>
          <w:tcPr>
            <w:tcW w:w="261" w:type="pct"/>
            <w:tcBorders>
              <w:top w:val="nil"/>
              <w:left w:val="nil"/>
              <w:bottom w:val="single" w:sz="4" w:space="0" w:color="auto"/>
              <w:right w:val="single" w:sz="4" w:space="0" w:color="auto"/>
            </w:tcBorders>
            <w:noWrap/>
            <w:vAlign w:val="center"/>
            <w:hideMark/>
          </w:tcPr>
          <w:p w14:paraId="274132E2"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0B49DA74"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2B4E3928"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72F38307"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02F69909"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49599A8D"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0D8AFA7B" w14:textId="77777777" w:rsidR="00590678" w:rsidRPr="003519B9" w:rsidRDefault="00590678" w:rsidP="00A4705C">
            <w:pPr>
              <w:jc w:val="right"/>
              <w:rPr>
                <w:rFonts w:ascii="Arial" w:hAnsi="Arial" w:cs="Arial"/>
                <w:sz w:val="16"/>
                <w:szCs w:val="16"/>
                <w:lang w:val="en-GB"/>
              </w:rPr>
            </w:pPr>
            <w:r w:rsidRPr="003519B9">
              <w:rPr>
                <w:rFonts w:ascii="Arial" w:hAnsi="Arial" w:cs="Arial"/>
                <w:sz w:val="16"/>
                <w:szCs w:val="16"/>
                <w:lang w:val="en-GB"/>
              </w:rPr>
              <w:t>0</w:t>
            </w:r>
          </w:p>
        </w:tc>
        <w:tc>
          <w:tcPr>
            <w:tcW w:w="261" w:type="pct"/>
            <w:tcBorders>
              <w:top w:val="nil"/>
              <w:left w:val="nil"/>
              <w:bottom w:val="single" w:sz="4" w:space="0" w:color="auto"/>
              <w:right w:val="single" w:sz="4" w:space="0" w:color="auto"/>
            </w:tcBorders>
            <w:noWrap/>
            <w:vAlign w:val="center"/>
            <w:hideMark/>
          </w:tcPr>
          <w:p w14:paraId="27B7F057" w14:textId="23125510"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10</w:t>
            </w:r>
          </w:p>
        </w:tc>
        <w:tc>
          <w:tcPr>
            <w:tcW w:w="261" w:type="pct"/>
            <w:tcBorders>
              <w:top w:val="nil"/>
              <w:left w:val="nil"/>
              <w:bottom w:val="single" w:sz="4" w:space="0" w:color="auto"/>
              <w:right w:val="single" w:sz="4" w:space="0" w:color="auto"/>
            </w:tcBorders>
            <w:noWrap/>
            <w:vAlign w:val="center"/>
            <w:hideMark/>
          </w:tcPr>
          <w:p w14:paraId="568C0129" w14:textId="11561E68"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40</w:t>
            </w:r>
          </w:p>
        </w:tc>
        <w:tc>
          <w:tcPr>
            <w:tcW w:w="261" w:type="pct"/>
            <w:tcBorders>
              <w:top w:val="nil"/>
              <w:left w:val="nil"/>
              <w:bottom w:val="single" w:sz="4" w:space="0" w:color="auto"/>
              <w:right w:val="single" w:sz="4" w:space="0" w:color="auto"/>
            </w:tcBorders>
            <w:noWrap/>
            <w:vAlign w:val="center"/>
            <w:hideMark/>
          </w:tcPr>
          <w:p w14:paraId="54156DA4" w14:textId="2FD93C39"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70</w:t>
            </w:r>
          </w:p>
        </w:tc>
        <w:tc>
          <w:tcPr>
            <w:tcW w:w="261" w:type="pct"/>
            <w:tcBorders>
              <w:top w:val="nil"/>
              <w:left w:val="nil"/>
              <w:bottom w:val="single" w:sz="4" w:space="0" w:color="auto"/>
              <w:right w:val="single" w:sz="4" w:space="0" w:color="auto"/>
            </w:tcBorders>
            <w:noWrap/>
            <w:vAlign w:val="center"/>
            <w:hideMark/>
          </w:tcPr>
          <w:p w14:paraId="551C0E0F" w14:textId="3BE81247"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90</w:t>
            </w:r>
          </w:p>
        </w:tc>
        <w:tc>
          <w:tcPr>
            <w:tcW w:w="261" w:type="pct"/>
            <w:tcBorders>
              <w:top w:val="nil"/>
              <w:left w:val="nil"/>
              <w:bottom w:val="single" w:sz="4" w:space="0" w:color="auto"/>
              <w:right w:val="single" w:sz="4" w:space="0" w:color="auto"/>
            </w:tcBorders>
            <w:noWrap/>
            <w:vAlign w:val="center"/>
            <w:hideMark/>
          </w:tcPr>
          <w:p w14:paraId="30543B5A" w14:textId="5111F0C7"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110</w:t>
            </w:r>
          </w:p>
        </w:tc>
        <w:tc>
          <w:tcPr>
            <w:tcW w:w="261" w:type="pct"/>
            <w:tcBorders>
              <w:top w:val="nil"/>
              <w:left w:val="nil"/>
              <w:bottom w:val="single" w:sz="4" w:space="0" w:color="auto"/>
              <w:right w:val="single" w:sz="4" w:space="0" w:color="auto"/>
            </w:tcBorders>
            <w:noWrap/>
            <w:vAlign w:val="center"/>
            <w:hideMark/>
          </w:tcPr>
          <w:p w14:paraId="2A75C6BC" w14:textId="384EEAF8"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130</w:t>
            </w:r>
          </w:p>
        </w:tc>
        <w:tc>
          <w:tcPr>
            <w:tcW w:w="261" w:type="pct"/>
            <w:tcBorders>
              <w:top w:val="nil"/>
              <w:left w:val="nil"/>
              <w:bottom w:val="single" w:sz="4" w:space="0" w:color="auto"/>
              <w:right w:val="single" w:sz="4" w:space="0" w:color="auto"/>
            </w:tcBorders>
            <w:noWrap/>
            <w:vAlign w:val="center"/>
            <w:hideMark/>
          </w:tcPr>
          <w:p w14:paraId="0355E860" w14:textId="4698FC6B"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140</w:t>
            </w:r>
          </w:p>
        </w:tc>
        <w:tc>
          <w:tcPr>
            <w:tcW w:w="255" w:type="pct"/>
            <w:tcBorders>
              <w:top w:val="nil"/>
              <w:left w:val="nil"/>
              <w:bottom w:val="single" w:sz="4" w:space="0" w:color="auto"/>
              <w:right w:val="single" w:sz="4" w:space="0" w:color="auto"/>
            </w:tcBorders>
            <w:noWrap/>
            <w:vAlign w:val="center"/>
            <w:hideMark/>
          </w:tcPr>
          <w:p w14:paraId="11C068B2" w14:textId="761863EB" w:rsidR="00590678" w:rsidRPr="003519B9" w:rsidRDefault="00A22F0E" w:rsidP="00A4705C">
            <w:pPr>
              <w:jc w:val="right"/>
              <w:rPr>
                <w:rFonts w:ascii="Arial" w:hAnsi="Arial" w:cs="Arial"/>
                <w:sz w:val="16"/>
                <w:szCs w:val="16"/>
                <w:lang w:val="en-GB"/>
              </w:rPr>
            </w:pPr>
            <w:r w:rsidRPr="003519B9">
              <w:rPr>
                <w:rFonts w:ascii="Arial" w:hAnsi="Arial" w:cs="Arial"/>
                <w:sz w:val="16"/>
                <w:szCs w:val="16"/>
                <w:lang w:val="en-GB"/>
              </w:rPr>
              <w:t>−</w:t>
            </w:r>
            <w:r w:rsidR="00590678" w:rsidRPr="003519B9">
              <w:rPr>
                <w:rFonts w:ascii="Arial" w:hAnsi="Arial" w:cs="Arial"/>
                <w:sz w:val="16"/>
                <w:szCs w:val="16"/>
                <w:lang w:val="en-GB"/>
              </w:rPr>
              <w:t>150</w:t>
            </w:r>
          </w:p>
        </w:tc>
      </w:tr>
      <w:tr w:rsidR="00590678" w:rsidRPr="003519B9" w14:paraId="67B96533"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bottom"/>
            <w:hideMark/>
          </w:tcPr>
          <w:p w14:paraId="64A22873" w14:textId="77777777" w:rsidR="00590678" w:rsidRPr="003519B9" w:rsidRDefault="00590678" w:rsidP="006D5C35">
            <w:pPr>
              <w:rPr>
                <w:rFonts w:ascii="Arial" w:hAnsi="Arial" w:cs="Arial"/>
                <w:b/>
                <w:bCs/>
                <w:color w:val="000000"/>
                <w:sz w:val="16"/>
                <w:szCs w:val="16"/>
                <w:lang w:val="en-GB" w:eastAsia="en-IN"/>
              </w:rPr>
            </w:pPr>
            <w:r w:rsidRPr="003519B9">
              <w:rPr>
                <w:rFonts w:ascii="Arial" w:hAnsi="Arial" w:cs="Arial"/>
                <w:b/>
                <w:bCs/>
                <w:color w:val="000000"/>
                <w:sz w:val="16"/>
                <w:szCs w:val="16"/>
                <w:lang w:val="en-GB" w:eastAsia="en-IN"/>
              </w:rPr>
              <w:t xml:space="preserve">Profit After Tax </w:t>
            </w:r>
          </w:p>
        </w:tc>
        <w:tc>
          <w:tcPr>
            <w:tcW w:w="261" w:type="pct"/>
            <w:tcBorders>
              <w:top w:val="nil"/>
              <w:left w:val="nil"/>
              <w:bottom w:val="single" w:sz="4" w:space="0" w:color="auto"/>
              <w:right w:val="single" w:sz="4" w:space="0" w:color="auto"/>
            </w:tcBorders>
            <w:noWrap/>
            <w:vAlign w:val="center"/>
            <w:hideMark/>
          </w:tcPr>
          <w:p w14:paraId="3BF69F57"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1,066</w:t>
            </w:r>
          </w:p>
        </w:tc>
        <w:tc>
          <w:tcPr>
            <w:tcW w:w="261" w:type="pct"/>
            <w:tcBorders>
              <w:top w:val="nil"/>
              <w:left w:val="nil"/>
              <w:bottom w:val="single" w:sz="4" w:space="0" w:color="auto"/>
              <w:right w:val="single" w:sz="4" w:space="0" w:color="auto"/>
            </w:tcBorders>
            <w:noWrap/>
            <w:vAlign w:val="center"/>
            <w:hideMark/>
          </w:tcPr>
          <w:p w14:paraId="7F4BA518"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1,110</w:t>
            </w:r>
          </w:p>
        </w:tc>
        <w:tc>
          <w:tcPr>
            <w:tcW w:w="261" w:type="pct"/>
            <w:tcBorders>
              <w:top w:val="nil"/>
              <w:left w:val="nil"/>
              <w:bottom w:val="single" w:sz="4" w:space="0" w:color="auto"/>
              <w:right w:val="single" w:sz="4" w:space="0" w:color="auto"/>
            </w:tcBorders>
            <w:noWrap/>
            <w:vAlign w:val="center"/>
            <w:hideMark/>
          </w:tcPr>
          <w:p w14:paraId="1409776B"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1,182</w:t>
            </w:r>
          </w:p>
        </w:tc>
        <w:tc>
          <w:tcPr>
            <w:tcW w:w="261" w:type="pct"/>
            <w:tcBorders>
              <w:top w:val="nil"/>
              <w:left w:val="nil"/>
              <w:bottom w:val="single" w:sz="4" w:space="0" w:color="auto"/>
              <w:right w:val="single" w:sz="4" w:space="0" w:color="auto"/>
            </w:tcBorders>
            <w:noWrap/>
            <w:vAlign w:val="center"/>
            <w:hideMark/>
          </w:tcPr>
          <w:p w14:paraId="4A36F459"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1,240</w:t>
            </w:r>
          </w:p>
        </w:tc>
        <w:tc>
          <w:tcPr>
            <w:tcW w:w="261" w:type="pct"/>
            <w:tcBorders>
              <w:top w:val="nil"/>
              <w:left w:val="nil"/>
              <w:bottom w:val="single" w:sz="4" w:space="0" w:color="auto"/>
              <w:right w:val="single" w:sz="4" w:space="0" w:color="auto"/>
            </w:tcBorders>
            <w:noWrap/>
            <w:vAlign w:val="center"/>
            <w:hideMark/>
          </w:tcPr>
          <w:p w14:paraId="3948E82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1,305</w:t>
            </w:r>
          </w:p>
        </w:tc>
        <w:tc>
          <w:tcPr>
            <w:tcW w:w="261" w:type="pct"/>
            <w:tcBorders>
              <w:top w:val="nil"/>
              <w:left w:val="nil"/>
              <w:bottom w:val="single" w:sz="4" w:space="0" w:color="auto"/>
              <w:right w:val="single" w:sz="4" w:space="0" w:color="auto"/>
            </w:tcBorders>
            <w:noWrap/>
            <w:vAlign w:val="center"/>
            <w:hideMark/>
          </w:tcPr>
          <w:p w14:paraId="3CFFEB20"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1,367</w:t>
            </w:r>
          </w:p>
        </w:tc>
        <w:tc>
          <w:tcPr>
            <w:tcW w:w="261" w:type="pct"/>
            <w:tcBorders>
              <w:top w:val="nil"/>
              <w:left w:val="nil"/>
              <w:bottom w:val="single" w:sz="4" w:space="0" w:color="auto"/>
              <w:right w:val="single" w:sz="4" w:space="0" w:color="auto"/>
            </w:tcBorders>
            <w:noWrap/>
            <w:vAlign w:val="center"/>
            <w:hideMark/>
          </w:tcPr>
          <w:p w14:paraId="40EC103A"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1,425</w:t>
            </w:r>
          </w:p>
        </w:tc>
        <w:tc>
          <w:tcPr>
            <w:tcW w:w="261" w:type="pct"/>
            <w:tcBorders>
              <w:top w:val="nil"/>
              <w:left w:val="nil"/>
              <w:bottom w:val="single" w:sz="4" w:space="0" w:color="auto"/>
              <w:right w:val="single" w:sz="4" w:space="0" w:color="auto"/>
            </w:tcBorders>
            <w:noWrap/>
            <w:vAlign w:val="center"/>
            <w:hideMark/>
          </w:tcPr>
          <w:p w14:paraId="3B376699"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1,489</w:t>
            </w:r>
          </w:p>
        </w:tc>
        <w:tc>
          <w:tcPr>
            <w:tcW w:w="261" w:type="pct"/>
            <w:tcBorders>
              <w:top w:val="nil"/>
              <w:left w:val="nil"/>
              <w:bottom w:val="single" w:sz="4" w:space="0" w:color="auto"/>
              <w:right w:val="single" w:sz="4" w:space="0" w:color="auto"/>
            </w:tcBorders>
            <w:noWrap/>
            <w:vAlign w:val="center"/>
            <w:hideMark/>
          </w:tcPr>
          <w:p w14:paraId="5767DA24"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1,570</w:t>
            </w:r>
          </w:p>
        </w:tc>
        <w:tc>
          <w:tcPr>
            <w:tcW w:w="261" w:type="pct"/>
            <w:tcBorders>
              <w:top w:val="nil"/>
              <w:left w:val="nil"/>
              <w:bottom w:val="single" w:sz="4" w:space="0" w:color="auto"/>
              <w:right w:val="single" w:sz="4" w:space="0" w:color="auto"/>
            </w:tcBorders>
            <w:noWrap/>
            <w:vAlign w:val="center"/>
            <w:hideMark/>
          </w:tcPr>
          <w:p w14:paraId="462879C2"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1,615</w:t>
            </w:r>
          </w:p>
        </w:tc>
        <w:tc>
          <w:tcPr>
            <w:tcW w:w="261" w:type="pct"/>
            <w:tcBorders>
              <w:top w:val="nil"/>
              <w:left w:val="nil"/>
              <w:bottom w:val="single" w:sz="4" w:space="0" w:color="auto"/>
              <w:right w:val="single" w:sz="4" w:space="0" w:color="auto"/>
            </w:tcBorders>
            <w:noWrap/>
            <w:vAlign w:val="center"/>
            <w:hideMark/>
          </w:tcPr>
          <w:p w14:paraId="19D3E9C9"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1,602</w:t>
            </w:r>
          </w:p>
        </w:tc>
        <w:tc>
          <w:tcPr>
            <w:tcW w:w="261" w:type="pct"/>
            <w:tcBorders>
              <w:top w:val="nil"/>
              <w:left w:val="nil"/>
              <w:bottom w:val="single" w:sz="4" w:space="0" w:color="auto"/>
              <w:right w:val="single" w:sz="4" w:space="0" w:color="auto"/>
            </w:tcBorders>
            <w:noWrap/>
            <w:vAlign w:val="center"/>
            <w:hideMark/>
          </w:tcPr>
          <w:p w14:paraId="71BC837B"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1,553</w:t>
            </w:r>
          </w:p>
        </w:tc>
        <w:tc>
          <w:tcPr>
            <w:tcW w:w="261" w:type="pct"/>
            <w:tcBorders>
              <w:top w:val="nil"/>
              <w:left w:val="nil"/>
              <w:bottom w:val="single" w:sz="4" w:space="0" w:color="auto"/>
              <w:right w:val="single" w:sz="4" w:space="0" w:color="auto"/>
            </w:tcBorders>
            <w:noWrap/>
            <w:vAlign w:val="center"/>
            <w:hideMark/>
          </w:tcPr>
          <w:p w14:paraId="680D001D"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1,509</w:t>
            </w:r>
          </w:p>
        </w:tc>
        <w:tc>
          <w:tcPr>
            <w:tcW w:w="261" w:type="pct"/>
            <w:tcBorders>
              <w:top w:val="nil"/>
              <w:left w:val="nil"/>
              <w:bottom w:val="single" w:sz="4" w:space="0" w:color="auto"/>
              <w:right w:val="single" w:sz="4" w:space="0" w:color="auto"/>
            </w:tcBorders>
            <w:noWrap/>
            <w:vAlign w:val="center"/>
            <w:hideMark/>
          </w:tcPr>
          <w:p w14:paraId="55CA513E"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1,441</w:t>
            </w:r>
          </w:p>
        </w:tc>
        <w:tc>
          <w:tcPr>
            <w:tcW w:w="255" w:type="pct"/>
            <w:tcBorders>
              <w:top w:val="nil"/>
              <w:left w:val="nil"/>
              <w:bottom w:val="single" w:sz="4" w:space="0" w:color="auto"/>
              <w:right w:val="single" w:sz="4" w:space="0" w:color="auto"/>
            </w:tcBorders>
            <w:noWrap/>
            <w:vAlign w:val="center"/>
            <w:hideMark/>
          </w:tcPr>
          <w:p w14:paraId="4D9BA944"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1,379</w:t>
            </w:r>
          </w:p>
        </w:tc>
      </w:tr>
      <w:tr w:rsidR="00590678" w:rsidRPr="003519B9" w14:paraId="337B219A" w14:textId="77777777" w:rsidTr="005838D7">
        <w:trPr>
          <w:trHeight w:val="315"/>
          <w:jc w:val="center"/>
        </w:trPr>
        <w:tc>
          <w:tcPr>
            <w:tcW w:w="1086" w:type="pct"/>
            <w:tcBorders>
              <w:top w:val="nil"/>
              <w:left w:val="single" w:sz="4" w:space="0" w:color="auto"/>
              <w:bottom w:val="single" w:sz="4" w:space="0" w:color="auto"/>
              <w:right w:val="single" w:sz="4" w:space="0" w:color="auto"/>
            </w:tcBorders>
            <w:noWrap/>
            <w:vAlign w:val="center"/>
            <w:hideMark/>
          </w:tcPr>
          <w:p w14:paraId="4E6C4B04" w14:textId="77777777" w:rsidR="00590678" w:rsidRPr="003519B9" w:rsidRDefault="00590678" w:rsidP="000C3650">
            <w:pPr>
              <w:rPr>
                <w:rFonts w:ascii="Arial" w:hAnsi="Arial" w:cs="Arial"/>
                <w:b/>
                <w:bCs/>
                <w:color w:val="000000"/>
                <w:sz w:val="16"/>
                <w:szCs w:val="16"/>
                <w:lang w:val="en-GB" w:eastAsia="en-IN"/>
              </w:rPr>
            </w:pPr>
            <w:r w:rsidRPr="003519B9">
              <w:rPr>
                <w:rFonts w:ascii="Arial" w:hAnsi="Arial" w:cs="Arial"/>
                <w:b/>
                <w:bCs/>
                <w:color w:val="000000"/>
                <w:sz w:val="16"/>
                <w:szCs w:val="16"/>
                <w:lang w:val="en-GB" w:eastAsia="en-IN"/>
              </w:rPr>
              <w:t xml:space="preserve">Gross </w:t>
            </w:r>
            <w:r w:rsidR="000C3650" w:rsidRPr="003519B9">
              <w:rPr>
                <w:rFonts w:ascii="Arial" w:hAnsi="Arial" w:cs="Arial"/>
                <w:b/>
                <w:bCs/>
                <w:color w:val="000000"/>
                <w:sz w:val="16"/>
                <w:szCs w:val="16"/>
                <w:lang w:val="en-GB" w:eastAsia="en-IN"/>
              </w:rPr>
              <w:t>C</w:t>
            </w:r>
            <w:r w:rsidRPr="003519B9">
              <w:rPr>
                <w:rFonts w:ascii="Arial" w:hAnsi="Arial" w:cs="Arial"/>
                <w:b/>
                <w:bCs/>
                <w:color w:val="000000"/>
                <w:sz w:val="16"/>
                <w:szCs w:val="16"/>
                <w:lang w:val="en-GB" w:eastAsia="en-IN"/>
              </w:rPr>
              <w:t xml:space="preserve">ash </w:t>
            </w:r>
            <w:r w:rsidR="000C3650" w:rsidRPr="003519B9">
              <w:rPr>
                <w:rFonts w:ascii="Arial" w:hAnsi="Arial" w:cs="Arial"/>
                <w:b/>
                <w:bCs/>
                <w:color w:val="000000"/>
                <w:sz w:val="16"/>
                <w:szCs w:val="16"/>
                <w:lang w:val="en-GB" w:eastAsia="en-IN"/>
              </w:rPr>
              <w:t>A</w:t>
            </w:r>
            <w:r w:rsidRPr="003519B9">
              <w:rPr>
                <w:rFonts w:ascii="Arial" w:hAnsi="Arial" w:cs="Arial"/>
                <w:b/>
                <w:bCs/>
                <w:color w:val="000000"/>
                <w:sz w:val="16"/>
                <w:szCs w:val="16"/>
                <w:lang w:val="en-GB" w:eastAsia="en-IN"/>
              </w:rPr>
              <w:t>ccruals</w:t>
            </w:r>
          </w:p>
        </w:tc>
        <w:tc>
          <w:tcPr>
            <w:tcW w:w="261" w:type="pct"/>
            <w:tcBorders>
              <w:top w:val="nil"/>
              <w:left w:val="nil"/>
              <w:bottom w:val="single" w:sz="4" w:space="0" w:color="auto"/>
              <w:right w:val="single" w:sz="4" w:space="0" w:color="auto"/>
            </w:tcBorders>
            <w:noWrap/>
            <w:vAlign w:val="center"/>
            <w:hideMark/>
          </w:tcPr>
          <w:p w14:paraId="2B86AB1A"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1,746</w:t>
            </w:r>
          </w:p>
        </w:tc>
        <w:tc>
          <w:tcPr>
            <w:tcW w:w="261" w:type="pct"/>
            <w:tcBorders>
              <w:top w:val="nil"/>
              <w:left w:val="nil"/>
              <w:bottom w:val="single" w:sz="4" w:space="0" w:color="auto"/>
              <w:right w:val="single" w:sz="4" w:space="0" w:color="auto"/>
            </w:tcBorders>
            <w:noWrap/>
            <w:vAlign w:val="center"/>
            <w:hideMark/>
          </w:tcPr>
          <w:p w14:paraId="685EC555"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1,790</w:t>
            </w:r>
          </w:p>
        </w:tc>
        <w:tc>
          <w:tcPr>
            <w:tcW w:w="261" w:type="pct"/>
            <w:tcBorders>
              <w:top w:val="nil"/>
              <w:left w:val="nil"/>
              <w:bottom w:val="single" w:sz="4" w:space="0" w:color="auto"/>
              <w:right w:val="single" w:sz="4" w:space="0" w:color="auto"/>
            </w:tcBorders>
            <w:noWrap/>
            <w:vAlign w:val="center"/>
            <w:hideMark/>
          </w:tcPr>
          <w:p w14:paraId="16C53342"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1,862</w:t>
            </w:r>
          </w:p>
        </w:tc>
        <w:tc>
          <w:tcPr>
            <w:tcW w:w="261" w:type="pct"/>
            <w:tcBorders>
              <w:top w:val="nil"/>
              <w:left w:val="nil"/>
              <w:bottom w:val="single" w:sz="4" w:space="0" w:color="auto"/>
              <w:right w:val="single" w:sz="4" w:space="0" w:color="auto"/>
            </w:tcBorders>
            <w:noWrap/>
            <w:vAlign w:val="center"/>
            <w:hideMark/>
          </w:tcPr>
          <w:p w14:paraId="264C3B9A"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1,920</w:t>
            </w:r>
          </w:p>
        </w:tc>
        <w:tc>
          <w:tcPr>
            <w:tcW w:w="261" w:type="pct"/>
            <w:tcBorders>
              <w:top w:val="nil"/>
              <w:left w:val="nil"/>
              <w:bottom w:val="single" w:sz="4" w:space="0" w:color="auto"/>
              <w:right w:val="single" w:sz="4" w:space="0" w:color="auto"/>
            </w:tcBorders>
            <w:noWrap/>
            <w:vAlign w:val="center"/>
            <w:hideMark/>
          </w:tcPr>
          <w:p w14:paraId="55974781"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1,985</w:t>
            </w:r>
          </w:p>
        </w:tc>
        <w:tc>
          <w:tcPr>
            <w:tcW w:w="261" w:type="pct"/>
            <w:tcBorders>
              <w:top w:val="nil"/>
              <w:left w:val="nil"/>
              <w:bottom w:val="single" w:sz="4" w:space="0" w:color="auto"/>
              <w:right w:val="single" w:sz="4" w:space="0" w:color="auto"/>
            </w:tcBorders>
            <w:noWrap/>
            <w:vAlign w:val="center"/>
            <w:hideMark/>
          </w:tcPr>
          <w:p w14:paraId="279F016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2,047</w:t>
            </w:r>
          </w:p>
        </w:tc>
        <w:tc>
          <w:tcPr>
            <w:tcW w:w="261" w:type="pct"/>
            <w:tcBorders>
              <w:top w:val="nil"/>
              <w:left w:val="nil"/>
              <w:bottom w:val="single" w:sz="4" w:space="0" w:color="auto"/>
              <w:right w:val="single" w:sz="4" w:space="0" w:color="auto"/>
            </w:tcBorders>
            <w:noWrap/>
            <w:vAlign w:val="center"/>
            <w:hideMark/>
          </w:tcPr>
          <w:p w14:paraId="1A0652BF"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2,105</w:t>
            </w:r>
          </w:p>
        </w:tc>
        <w:tc>
          <w:tcPr>
            <w:tcW w:w="261" w:type="pct"/>
            <w:tcBorders>
              <w:top w:val="nil"/>
              <w:left w:val="nil"/>
              <w:bottom w:val="single" w:sz="4" w:space="0" w:color="auto"/>
              <w:right w:val="single" w:sz="4" w:space="0" w:color="auto"/>
            </w:tcBorders>
            <w:noWrap/>
            <w:vAlign w:val="center"/>
            <w:hideMark/>
          </w:tcPr>
          <w:p w14:paraId="7FA119F0"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2,159</w:t>
            </w:r>
          </w:p>
        </w:tc>
        <w:tc>
          <w:tcPr>
            <w:tcW w:w="261" w:type="pct"/>
            <w:tcBorders>
              <w:top w:val="nil"/>
              <w:left w:val="nil"/>
              <w:bottom w:val="single" w:sz="4" w:space="0" w:color="auto"/>
              <w:right w:val="single" w:sz="4" w:space="0" w:color="auto"/>
            </w:tcBorders>
            <w:noWrap/>
            <w:vAlign w:val="center"/>
            <w:hideMark/>
          </w:tcPr>
          <w:p w14:paraId="626D0100"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2,210</w:t>
            </w:r>
          </w:p>
        </w:tc>
        <w:tc>
          <w:tcPr>
            <w:tcW w:w="261" w:type="pct"/>
            <w:tcBorders>
              <w:top w:val="nil"/>
              <w:left w:val="nil"/>
              <w:bottom w:val="single" w:sz="4" w:space="0" w:color="auto"/>
              <w:right w:val="single" w:sz="4" w:space="0" w:color="auto"/>
            </w:tcBorders>
            <w:noWrap/>
            <w:vAlign w:val="center"/>
            <w:hideMark/>
          </w:tcPr>
          <w:p w14:paraId="0ACC3DB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2,225</w:t>
            </w:r>
          </w:p>
        </w:tc>
        <w:tc>
          <w:tcPr>
            <w:tcW w:w="261" w:type="pct"/>
            <w:tcBorders>
              <w:top w:val="nil"/>
              <w:left w:val="nil"/>
              <w:bottom w:val="single" w:sz="4" w:space="0" w:color="auto"/>
              <w:right w:val="single" w:sz="4" w:space="0" w:color="auto"/>
            </w:tcBorders>
            <w:noWrap/>
            <w:vAlign w:val="center"/>
            <w:hideMark/>
          </w:tcPr>
          <w:p w14:paraId="58691BE1"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2,192</w:t>
            </w:r>
          </w:p>
        </w:tc>
        <w:tc>
          <w:tcPr>
            <w:tcW w:w="261" w:type="pct"/>
            <w:tcBorders>
              <w:top w:val="nil"/>
              <w:left w:val="nil"/>
              <w:bottom w:val="single" w:sz="4" w:space="0" w:color="auto"/>
              <w:right w:val="single" w:sz="4" w:space="0" w:color="auto"/>
            </w:tcBorders>
            <w:noWrap/>
            <w:vAlign w:val="center"/>
            <w:hideMark/>
          </w:tcPr>
          <w:p w14:paraId="535F649F"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2,123</w:t>
            </w:r>
          </w:p>
        </w:tc>
        <w:tc>
          <w:tcPr>
            <w:tcW w:w="261" w:type="pct"/>
            <w:tcBorders>
              <w:top w:val="nil"/>
              <w:left w:val="nil"/>
              <w:bottom w:val="single" w:sz="4" w:space="0" w:color="auto"/>
              <w:right w:val="single" w:sz="4" w:space="0" w:color="auto"/>
            </w:tcBorders>
            <w:noWrap/>
            <w:vAlign w:val="center"/>
            <w:hideMark/>
          </w:tcPr>
          <w:p w14:paraId="0DA41875"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2,059</w:t>
            </w:r>
          </w:p>
        </w:tc>
        <w:tc>
          <w:tcPr>
            <w:tcW w:w="261" w:type="pct"/>
            <w:tcBorders>
              <w:top w:val="nil"/>
              <w:left w:val="nil"/>
              <w:bottom w:val="single" w:sz="4" w:space="0" w:color="auto"/>
              <w:right w:val="single" w:sz="4" w:space="0" w:color="auto"/>
            </w:tcBorders>
            <w:noWrap/>
            <w:vAlign w:val="center"/>
            <w:hideMark/>
          </w:tcPr>
          <w:p w14:paraId="6B4AFB2C"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1,981</w:t>
            </w:r>
          </w:p>
        </w:tc>
        <w:tc>
          <w:tcPr>
            <w:tcW w:w="255" w:type="pct"/>
            <w:tcBorders>
              <w:top w:val="nil"/>
              <w:left w:val="nil"/>
              <w:bottom w:val="single" w:sz="4" w:space="0" w:color="auto"/>
              <w:right w:val="single" w:sz="4" w:space="0" w:color="auto"/>
            </w:tcBorders>
            <w:noWrap/>
            <w:vAlign w:val="center"/>
            <w:hideMark/>
          </w:tcPr>
          <w:p w14:paraId="3692A971" w14:textId="77777777" w:rsidR="00590678" w:rsidRPr="003519B9" w:rsidRDefault="00590678" w:rsidP="00A4705C">
            <w:pPr>
              <w:jc w:val="right"/>
              <w:rPr>
                <w:rFonts w:ascii="Arial" w:hAnsi="Arial" w:cs="Arial"/>
                <w:b/>
                <w:sz w:val="16"/>
                <w:szCs w:val="16"/>
                <w:lang w:val="en-GB"/>
              </w:rPr>
            </w:pPr>
            <w:r w:rsidRPr="003519B9">
              <w:rPr>
                <w:rFonts w:ascii="Arial" w:hAnsi="Arial" w:cs="Arial"/>
                <w:b/>
                <w:sz w:val="16"/>
                <w:szCs w:val="16"/>
                <w:lang w:val="en-GB"/>
              </w:rPr>
              <w:t>1,909</w:t>
            </w:r>
          </w:p>
        </w:tc>
      </w:tr>
    </w:tbl>
    <w:p w14:paraId="15C4EAB6" w14:textId="77777777" w:rsidR="00590678" w:rsidRPr="003519B9" w:rsidRDefault="00590678" w:rsidP="00590678">
      <w:pPr>
        <w:rPr>
          <w:sz w:val="22"/>
          <w:szCs w:val="22"/>
          <w:u w:val="single"/>
          <w:lang w:val="en-GB"/>
        </w:rPr>
      </w:pPr>
    </w:p>
    <w:p w14:paraId="3E6D12D2" w14:textId="77777777" w:rsidR="00590678" w:rsidRPr="003519B9" w:rsidRDefault="00590678" w:rsidP="00590678">
      <w:pPr>
        <w:rPr>
          <w:sz w:val="22"/>
          <w:szCs w:val="22"/>
          <w:u w:val="single"/>
          <w:lang w:val="en-GB"/>
        </w:rPr>
      </w:pPr>
    </w:p>
    <w:p w14:paraId="7977DFCC" w14:textId="77777777" w:rsidR="00590678" w:rsidRPr="003519B9" w:rsidRDefault="00590678">
      <w:pPr>
        <w:spacing w:after="200" w:line="276" w:lineRule="auto"/>
        <w:rPr>
          <w:rFonts w:ascii="Arial" w:hAnsi="Arial" w:cs="Arial"/>
          <w:sz w:val="17"/>
          <w:szCs w:val="17"/>
          <w:lang w:val="en-GB"/>
        </w:rPr>
      </w:pPr>
      <w:r w:rsidRPr="003519B9">
        <w:rPr>
          <w:lang w:val="en-GB"/>
        </w:rPr>
        <w:br w:type="page"/>
      </w:r>
    </w:p>
    <w:p w14:paraId="06D18954" w14:textId="77777777" w:rsidR="00590678" w:rsidRPr="003519B9" w:rsidRDefault="00B1213B" w:rsidP="00590678">
      <w:pPr>
        <w:pStyle w:val="ExhibitHeading"/>
        <w:rPr>
          <w:lang w:val="en-GB"/>
        </w:rPr>
      </w:pPr>
      <w:r w:rsidRPr="003519B9">
        <w:rPr>
          <w:lang w:val="en-GB"/>
        </w:rPr>
        <w:lastRenderedPageBreak/>
        <w:t>Exhibit 6</w:t>
      </w:r>
      <w:r w:rsidR="00590678" w:rsidRPr="003519B9">
        <w:rPr>
          <w:lang w:val="en-GB"/>
        </w:rPr>
        <w:t xml:space="preserve"> (CONTINUED) </w:t>
      </w:r>
    </w:p>
    <w:p w14:paraId="2F8E0481" w14:textId="77777777" w:rsidR="00590678" w:rsidRPr="003519B9" w:rsidRDefault="00590678" w:rsidP="00590678">
      <w:pPr>
        <w:pStyle w:val="ExhibitHeading"/>
        <w:rPr>
          <w:lang w:val="en-GB"/>
        </w:rPr>
      </w:pPr>
    </w:p>
    <w:tbl>
      <w:tblPr>
        <w:tblW w:w="4918" w:type="pct"/>
        <w:jc w:val="center"/>
        <w:tblLayout w:type="fixed"/>
        <w:tblLook w:val="04A0" w:firstRow="1" w:lastRow="0" w:firstColumn="1" w:lastColumn="0" w:noHBand="0" w:noVBand="1"/>
      </w:tblPr>
      <w:tblGrid>
        <w:gridCol w:w="1199"/>
        <w:gridCol w:w="543"/>
        <w:gridCol w:w="543"/>
        <w:gridCol w:w="637"/>
        <w:gridCol w:w="637"/>
        <w:gridCol w:w="637"/>
        <w:gridCol w:w="637"/>
        <w:gridCol w:w="726"/>
        <w:gridCol w:w="637"/>
        <w:gridCol w:w="637"/>
        <w:gridCol w:w="637"/>
        <w:gridCol w:w="726"/>
        <w:gridCol w:w="729"/>
        <w:gridCol w:w="724"/>
        <w:gridCol w:w="614"/>
        <w:gridCol w:w="611"/>
        <w:gridCol w:w="611"/>
        <w:gridCol w:w="611"/>
        <w:gridCol w:w="642"/>
      </w:tblGrid>
      <w:tr w:rsidR="00AF73D3" w:rsidRPr="003519B9" w14:paraId="7F18CAA1" w14:textId="77777777" w:rsidTr="00AF73D3">
        <w:trPr>
          <w:trHeight w:val="315"/>
          <w:jc w:val="center"/>
        </w:trPr>
        <w:tc>
          <w:tcPr>
            <w:tcW w:w="471" w:type="pct"/>
            <w:tcBorders>
              <w:top w:val="single" w:sz="4" w:space="0" w:color="auto"/>
              <w:left w:val="single" w:sz="4" w:space="0" w:color="auto"/>
              <w:bottom w:val="single" w:sz="4" w:space="0" w:color="auto"/>
              <w:right w:val="single" w:sz="4" w:space="0" w:color="auto"/>
            </w:tcBorders>
            <w:noWrap/>
            <w:vAlign w:val="bottom"/>
            <w:hideMark/>
          </w:tcPr>
          <w:p w14:paraId="764F8A0C" w14:textId="20BE206A" w:rsidR="00590678" w:rsidRPr="003519B9" w:rsidRDefault="00590678" w:rsidP="006D5C35">
            <w:pPr>
              <w:rPr>
                <w:rFonts w:ascii="Arial" w:hAnsi="Arial" w:cs="Arial"/>
                <w:b/>
                <w:bCs/>
                <w:sz w:val="12"/>
                <w:szCs w:val="12"/>
                <w:lang w:val="en-GB" w:eastAsia="en-IN"/>
              </w:rPr>
            </w:pPr>
            <w:r w:rsidRPr="003519B9">
              <w:rPr>
                <w:rFonts w:ascii="Arial" w:hAnsi="Arial" w:cs="Arial"/>
                <w:b/>
                <w:bCs/>
                <w:sz w:val="12"/>
                <w:szCs w:val="12"/>
                <w:lang w:val="en-GB" w:eastAsia="en-IN"/>
              </w:rPr>
              <w:t>As on March 31</w:t>
            </w:r>
          </w:p>
        </w:tc>
        <w:tc>
          <w:tcPr>
            <w:tcW w:w="213" w:type="pct"/>
            <w:tcBorders>
              <w:top w:val="single" w:sz="4" w:space="0" w:color="auto"/>
              <w:left w:val="nil"/>
              <w:bottom w:val="single" w:sz="4" w:space="0" w:color="auto"/>
              <w:right w:val="single" w:sz="4" w:space="0" w:color="auto"/>
            </w:tcBorders>
            <w:noWrap/>
            <w:vAlign w:val="bottom"/>
            <w:hideMark/>
          </w:tcPr>
          <w:p w14:paraId="646FEF9C"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2010</w:t>
            </w:r>
          </w:p>
        </w:tc>
        <w:tc>
          <w:tcPr>
            <w:tcW w:w="213" w:type="pct"/>
            <w:tcBorders>
              <w:top w:val="single" w:sz="4" w:space="0" w:color="auto"/>
              <w:left w:val="nil"/>
              <w:bottom w:val="single" w:sz="4" w:space="0" w:color="auto"/>
              <w:right w:val="single" w:sz="4" w:space="0" w:color="auto"/>
            </w:tcBorders>
            <w:noWrap/>
            <w:vAlign w:val="bottom"/>
            <w:hideMark/>
          </w:tcPr>
          <w:p w14:paraId="35481A40"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2011</w:t>
            </w:r>
          </w:p>
        </w:tc>
        <w:tc>
          <w:tcPr>
            <w:tcW w:w="250" w:type="pct"/>
            <w:tcBorders>
              <w:top w:val="single" w:sz="4" w:space="0" w:color="auto"/>
              <w:left w:val="nil"/>
              <w:bottom w:val="single" w:sz="4" w:space="0" w:color="auto"/>
              <w:right w:val="single" w:sz="4" w:space="0" w:color="auto"/>
            </w:tcBorders>
            <w:noWrap/>
            <w:vAlign w:val="bottom"/>
            <w:hideMark/>
          </w:tcPr>
          <w:p w14:paraId="2A23D647"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2012</w:t>
            </w:r>
          </w:p>
        </w:tc>
        <w:tc>
          <w:tcPr>
            <w:tcW w:w="250" w:type="pct"/>
            <w:tcBorders>
              <w:top w:val="single" w:sz="4" w:space="0" w:color="auto"/>
              <w:left w:val="nil"/>
              <w:bottom w:val="single" w:sz="4" w:space="0" w:color="auto"/>
              <w:right w:val="single" w:sz="4" w:space="0" w:color="auto"/>
            </w:tcBorders>
            <w:noWrap/>
            <w:vAlign w:val="bottom"/>
            <w:hideMark/>
          </w:tcPr>
          <w:p w14:paraId="3BE03125"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2013</w:t>
            </w:r>
          </w:p>
        </w:tc>
        <w:tc>
          <w:tcPr>
            <w:tcW w:w="250" w:type="pct"/>
            <w:tcBorders>
              <w:top w:val="single" w:sz="4" w:space="0" w:color="auto"/>
              <w:left w:val="nil"/>
              <w:bottom w:val="single" w:sz="4" w:space="0" w:color="auto"/>
              <w:right w:val="single" w:sz="4" w:space="0" w:color="auto"/>
            </w:tcBorders>
            <w:noWrap/>
            <w:vAlign w:val="bottom"/>
            <w:hideMark/>
          </w:tcPr>
          <w:p w14:paraId="22CA19A2"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2014</w:t>
            </w:r>
          </w:p>
        </w:tc>
        <w:tc>
          <w:tcPr>
            <w:tcW w:w="250" w:type="pct"/>
            <w:tcBorders>
              <w:top w:val="single" w:sz="4" w:space="0" w:color="auto"/>
              <w:left w:val="nil"/>
              <w:bottom w:val="single" w:sz="4" w:space="0" w:color="auto"/>
              <w:right w:val="single" w:sz="4" w:space="0" w:color="auto"/>
            </w:tcBorders>
            <w:noWrap/>
            <w:vAlign w:val="bottom"/>
            <w:hideMark/>
          </w:tcPr>
          <w:p w14:paraId="3E461060"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2015</w:t>
            </w:r>
          </w:p>
        </w:tc>
        <w:tc>
          <w:tcPr>
            <w:tcW w:w="285" w:type="pct"/>
            <w:tcBorders>
              <w:top w:val="single" w:sz="4" w:space="0" w:color="auto"/>
              <w:left w:val="nil"/>
              <w:bottom w:val="single" w:sz="4" w:space="0" w:color="auto"/>
              <w:right w:val="single" w:sz="4" w:space="0" w:color="auto"/>
            </w:tcBorders>
            <w:noWrap/>
            <w:vAlign w:val="bottom"/>
            <w:hideMark/>
          </w:tcPr>
          <w:p w14:paraId="20EF1961"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2016</w:t>
            </w:r>
          </w:p>
        </w:tc>
        <w:tc>
          <w:tcPr>
            <w:tcW w:w="250" w:type="pct"/>
            <w:tcBorders>
              <w:top w:val="single" w:sz="4" w:space="0" w:color="auto"/>
              <w:left w:val="nil"/>
              <w:bottom w:val="single" w:sz="4" w:space="0" w:color="auto"/>
              <w:right w:val="single" w:sz="4" w:space="0" w:color="auto"/>
            </w:tcBorders>
            <w:noWrap/>
            <w:vAlign w:val="bottom"/>
            <w:hideMark/>
          </w:tcPr>
          <w:p w14:paraId="0FAD644D"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2017</w:t>
            </w:r>
          </w:p>
        </w:tc>
        <w:tc>
          <w:tcPr>
            <w:tcW w:w="250" w:type="pct"/>
            <w:tcBorders>
              <w:top w:val="single" w:sz="4" w:space="0" w:color="auto"/>
              <w:left w:val="nil"/>
              <w:bottom w:val="single" w:sz="4" w:space="0" w:color="auto"/>
              <w:right w:val="single" w:sz="4" w:space="0" w:color="auto"/>
            </w:tcBorders>
            <w:noWrap/>
            <w:vAlign w:val="bottom"/>
            <w:hideMark/>
          </w:tcPr>
          <w:p w14:paraId="09ED8B15"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2018</w:t>
            </w:r>
          </w:p>
        </w:tc>
        <w:tc>
          <w:tcPr>
            <w:tcW w:w="250" w:type="pct"/>
            <w:tcBorders>
              <w:top w:val="single" w:sz="4" w:space="0" w:color="auto"/>
              <w:left w:val="nil"/>
              <w:bottom w:val="single" w:sz="4" w:space="0" w:color="auto"/>
              <w:right w:val="single" w:sz="4" w:space="0" w:color="auto"/>
            </w:tcBorders>
            <w:noWrap/>
            <w:vAlign w:val="bottom"/>
            <w:hideMark/>
          </w:tcPr>
          <w:p w14:paraId="78FD6570"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2019</w:t>
            </w:r>
          </w:p>
        </w:tc>
        <w:tc>
          <w:tcPr>
            <w:tcW w:w="285" w:type="pct"/>
            <w:tcBorders>
              <w:top w:val="single" w:sz="4" w:space="0" w:color="auto"/>
              <w:left w:val="nil"/>
              <w:bottom w:val="single" w:sz="4" w:space="0" w:color="auto"/>
              <w:right w:val="single" w:sz="4" w:space="0" w:color="auto"/>
            </w:tcBorders>
            <w:noWrap/>
            <w:vAlign w:val="bottom"/>
            <w:hideMark/>
          </w:tcPr>
          <w:p w14:paraId="2C297E76"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2020</w:t>
            </w:r>
          </w:p>
        </w:tc>
        <w:tc>
          <w:tcPr>
            <w:tcW w:w="286" w:type="pct"/>
            <w:tcBorders>
              <w:top w:val="single" w:sz="4" w:space="0" w:color="auto"/>
              <w:left w:val="nil"/>
              <w:bottom w:val="single" w:sz="4" w:space="0" w:color="auto"/>
              <w:right w:val="single" w:sz="4" w:space="0" w:color="auto"/>
            </w:tcBorders>
            <w:noWrap/>
            <w:vAlign w:val="bottom"/>
            <w:hideMark/>
          </w:tcPr>
          <w:p w14:paraId="4EE5499C"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2021</w:t>
            </w:r>
          </w:p>
        </w:tc>
        <w:tc>
          <w:tcPr>
            <w:tcW w:w="284" w:type="pct"/>
            <w:tcBorders>
              <w:top w:val="single" w:sz="4" w:space="0" w:color="auto"/>
              <w:left w:val="nil"/>
              <w:bottom w:val="single" w:sz="4" w:space="0" w:color="auto"/>
              <w:right w:val="single" w:sz="4" w:space="0" w:color="auto"/>
            </w:tcBorders>
            <w:noWrap/>
            <w:vAlign w:val="bottom"/>
            <w:hideMark/>
          </w:tcPr>
          <w:p w14:paraId="4D45D038"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2022</w:t>
            </w:r>
          </w:p>
        </w:tc>
        <w:tc>
          <w:tcPr>
            <w:tcW w:w="241" w:type="pct"/>
            <w:tcBorders>
              <w:top w:val="single" w:sz="4" w:space="0" w:color="auto"/>
              <w:left w:val="nil"/>
              <w:bottom w:val="single" w:sz="4" w:space="0" w:color="auto"/>
              <w:right w:val="single" w:sz="4" w:space="0" w:color="auto"/>
            </w:tcBorders>
            <w:noWrap/>
            <w:vAlign w:val="bottom"/>
            <w:hideMark/>
          </w:tcPr>
          <w:p w14:paraId="0A51D96D"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2023</w:t>
            </w:r>
          </w:p>
        </w:tc>
        <w:tc>
          <w:tcPr>
            <w:tcW w:w="240" w:type="pct"/>
            <w:tcBorders>
              <w:top w:val="single" w:sz="4" w:space="0" w:color="auto"/>
              <w:left w:val="nil"/>
              <w:bottom w:val="single" w:sz="4" w:space="0" w:color="auto"/>
              <w:right w:val="single" w:sz="4" w:space="0" w:color="auto"/>
            </w:tcBorders>
            <w:noWrap/>
            <w:vAlign w:val="bottom"/>
            <w:hideMark/>
          </w:tcPr>
          <w:p w14:paraId="010EDF5A"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2024</w:t>
            </w:r>
          </w:p>
        </w:tc>
        <w:tc>
          <w:tcPr>
            <w:tcW w:w="240" w:type="pct"/>
            <w:tcBorders>
              <w:top w:val="single" w:sz="4" w:space="0" w:color="auto"/>
              <w:left w:val="nil"/>
              <w:bottom w:val="single" w:sz="4" w:space="0" w:color="auto"/>
              <w:right w:val="single" w:sz="4" w:space="0" w:color="auto"/>
            </w:tcBorders>
            <w:noWrap/>
            <w:vAlign w:val="bottom"/>
            <w:hideMark/>
          </w:tcPr>
          <w:p w14:paraId="329B2E60"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2025</w:t>
            </w:r>
          </w:p>
        </w:tc>
        <w:tc>
          <w:tcPr>
            <w:tcW w:w="240" w:type="pct"/>
            <w:tcBorders>
              <w:top w:val="single" w:sz="4" w:space="0" w:color="auto"/>
              <w:left w:val="nil"/>
              <w:bottom w:val="single" w:sz="4" w:space="0" w:color="auto"/>
              <w:right w:val="single" w:sz="4" w:space="0" w:color="auto"/>
            </w:tcBorders>
            <w:noWrap/>
            <w:vAlign w:val="bottom"/>
            <w:hideMark/>
          </w:tcPr>
          <w:p w14:paraId="064EF8F0"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2026</w:t>
            </w:r>
          </w:p>
        </w:tc>
        <w:tc>
          <w:tcPr>
            <w:tcW w:w="252" w:type="pct"/>
            <w:tcBorders>
              <w:top w:val="single" w:sz="4" w:space="0" w:color="auto"/>
              <w:left w:val="nil"/>
              <w:bottom w:val="single" w:sz="4" w:space="0" w:color="auto"/>
              <w:right w:val="single" w:sz="4" w:space="0" w:color="auto"/>
            </w:tcBorders>
            <w:noWrap/>
            <w:vAlign w:val="bottom"/>
            <w:hideMark/>
          </w:tcPr>
          <w:p w14:paraId="1EB0C8EC" w14:textId="77777777" w:rsidR="00590678" w:rsidRPr="003519B9" w:rsidRDefault="00590678" w:rsidP="006D5C35">
            <w:pPr>
              <w:jc w:val="right"/>
              <w:rPr>
                <w:rFonts w:ascii="Arial" w:hAnsi="Arial" w:cs="Arial"/>
                <w:b/>
                <w:bCs/>
                <w:sz w:val="12"/>
                <w:szCs w:val="12"/>
                <w:lang w:val="en-GB" w:eastAsia="en-IN"/>
              </w:rPr>
            </w:pPr>
            <w:r w:rsidRPr="003519B9">
              <w:rPr>
                <w:rFonts w:ascii="Arial" w:hAnsi="Arial" w:cs="Arial"/>
                <w:b/>
                <w:bCs/>
                <w:sz w:val="12"/>
                <w:szCs w:val="12"/>
                <w:lang w:val="en-GB" w:eastAsia="en-IN"/>
              </w:rPr>
              <w:t>2027</w:t>
            </w:r>
          </w:p>
        </w:tc>
      </w:tr>
      <w:tr w:rsidR="00AF73D3" w:rsidRPr="003519B9" w14:paraId="00647ECC"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bottom"/>
            <w:hideMark/>
          </w:tcPr>
          <w:p w14:paraId="75227038" w14:textId="77777777" w:rsidR="00590678" w:rsidRPr="003519B9" w:rsidRDefault="00590678" w:rsidP="006D5C35">
            <w:pPr>
              <w:rPr>
                <w:rFonts w:ascii="Arial" w:hAnsi="Arial" w:cs="Arial"/>
                <w:b/>
                <w:bCs/>
                <w:color w:val="000000"/>
                <w:sz w:val="12"/>
                <w:szCs w:val="12"/>
                <w:u w:val="single"/>
                <w:lang w:val="en-GB" w:eastAsia="en-IN"/>
              </w:rPr>
            </w:pPr>
            <w:r w:rsidRPr="003519B9">
              <w:rPr>
                <w:rFonts w:ascii="Arial" w:hAnsi="Arial" w:cs="Arial"/>
                <w:b/>
                <w:bCs/>
                <w:color w:val="000000"/>
                <w:sz w:val="12"/>
                <w:szCs w:val="12"/>
                <w:u w:val="single"/>
                <w:lang w:val="en-GB" w:eastAsia="en-IN"/>
              </w:rPr>
              <w:t>Liabilities</w:t>
            </w:r>
          </w:p>
        </w:tc>
        <w:tc>
          <w:tcPr>
            <w:tcW w:w="213" w:type="pct"/>
            <w:tcBorders>
              <w:top w:val="nil"/>
              <w:left w:val="nil"/>
              <w:bottom w:val="single" w:sz="4" w:space="0" w:color="auto"/>
              <w:right w:val="single" w:sz="4" w:space="0" w:color="auto"/>
            </w:tcBorders>
            <w:noWrap/>
            <w:vAlign w:val="center"/>
            <w:hideMark/>
          </w:tcPr>
          <w:p w14:paraId="453801F7" w14:textId="77777777" w:rsidR="00590678" w:rsidRPr="003519B9" w:rsidRDefault="00590678" w:rsidP="007419D3">
            <w:pPr>
              <w:jc w:val="right"/>
              <w:rPr>
                <w:rFonts w:ascii="Arial" w:hAnsi="Arial" w:cs="Arial"/>
                <w:sz w:val="12"/>
                <w:szCs w:val="12"/>
                <w:lang w:val="en-GB" w:eastAsia="en-IN"/>
              </w:rPr>
            </w:pPr>
          </w:p>
        </w:tc>
        <w:tc>
          <w:tcPr>
            <w:tcW w:w="213" w:type="pct"/>
            <w:tcBorders>
              <w:top w:val="nil"/>
              <w:left w:val="nil"/>
              <w:bottom w:val="single" w:sz="4" w:space="0" w:color="auto"/>
              <w:right w:val="single" w:sz="4" w:space="0" w:color="auto"/>
            </w:tcBorders>
            <w:noWrap/>
            <w:vAlign w:val="center"/>
            <w:hideMark/>
          </w:tcPr>
          <w:p w14:paraId="10B030AF"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524855C8"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3C0FB9F1"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425D15B0"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0815D130"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4806E685"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4BC64C1D"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1162DF89"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19264CEF"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6D622F35" w14:textId="77777777" w:rsidR="00590678" w:rsidRPr="003519B9" w:rsidRDefault="00590678" w:rsidP="007419D3">
            <w:pPr>
              <w:jc w:val="right"/>
              <w:rPr>
                <w:rFonts w:ascii="Arial" w:hAnsi="Arial" w:cs="Arial"/>
                <w:sz w:val="12"/>
                <w:szCs w:val="12"/>
                <w:lang w:val="en-GB" w:eastAsia="en-IN"/>
              </w:rPr>
            </w:pPr>
          </w:p>
        </w:tc>
        <w:tc>
          <w:tcPr>
            <w:tcW w:w="286" w:type="pct"/>
            <w:tcBorders>
              <w:top w:val="nil"/>
              <w:left w:val="nil"/>
              <w:bottom w:val="single" w:sz="4" w:space="0" w:color="auto"/>
              <w:right w:val="single" w:sz="4" w:space="0" w:color="auto"/>
            </w:tcBorders>
            <w:noWrap/>
            <w:vAlign w:val="center"/>
            <w:hideMark/>
          </w:tcPr>
          <w:p w14:paraId="6ABA01E8" w14:textId="77777777" w:rsidR="00590678" w:rsidRPr="003519B9" w:rsidRDefault="00590678" w:rsidP="007419D3">
            <w:pPr>
              <w:jc w:val="right"/>
              <w:rPr>
                <w:rFonts w:ascii="Arial" w:hAnsi="Arial" w:cs="Arial"/>
                <w:sz w:val="12"/>
                <w:szCs w:val="12"/>
                <w:lang w:val="en-GB" w:eastAsia="en-IN"/>
              </w:rPr>
            </w:pPr>
          </w:p>
        </w:tc>
        <w:tc>
          <w:tcPr>
            <w:tcW w:w="284" w:type="pct"/>
            <w:tcBorders>
              <w:top w:val="nil"/>
              <w:left w:val="nil"/>
              <w:bottom w:val="single" w:sz="4" w:space="0" w:color="auto"/>
              <w:right w:val="single" w:sz="4" w:space="0" w:color="auto"/>
            </w:tcBorders>
            <w:noWrap/>
            <w:vAlign w:val="center"/>
            <w:hideMark/>
          </w:tcPr>
          <w:p w14:paraId="7CE812A5" w14:textId="77777777" w:rsidR="00590678" w:rsidRPr="003519B9" w:rsidRDefault="00590678" w:rsidP="007419D3">
            <w:pPr>
              <w:jc w:val="right"/>
              <w:rPr>
                <w:rFonts w:ascii="Arial" w:hAnsi="Arial" w:cs="Arial"/>
                <w:sz w:val="12"/>
                <w:szCs w:val="12"/>
                <w:lang w:val="en-GB" w:eastAsia="en-IN"/>
              </w:rPr>
            </w:pPr>
          </w:p>
        </w:tc>
        <w:tc>
          <w:tcPr>
            <w:tcW w:w="241" w:type="pct"/>
            <w:tcBorders>
              <w:top w:val="nil"/>
              <w:left w:val="nil"/>
              <w:bottom w:val="single" w:sz="4" w:space="0" w:color="auto"/>
              <w:right w:val="single" w:sz="4" w:space="0" w:color="auto"/>
            </w:tcBorders>
            <w:noWrap/>
            <w:vAlign w:val="center"/>
            <w:hideMark/>
          </w:tcPr>
          <w:p w14:paraId="6E203D53"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65DD7CE1"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7D0CBAF2"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6C6CD5BD" w14:textId="77777777" w:rsidR="00590678" w:rsidRPr="003519B9" w:rsidRDefault="00590678" w:rsidP="007419D3">
            <w:pPr>
              <w:jc w:val="right"/>
              <w:rPr>
                <w:rFonts w:ascii="Arial" w:hAnsi="Arial" w:cs="Arial"/>
                <w:sz w:val="12"/>
                <w:szCs w:val="12"/>
                <w:lang w:val="en-GB" w:eastAsia="en-IN"/>
              </w:rPr>
            </w:pPr>
          </w:p>
        </w:tc>
        <w:tc>
          <w:tcPr>
            <w:tcW w:w="252" w:type="pct"/>
            <w:tcBorders>
              <w:top w:val="nil"/>
              <w:left w:val="nil"/>
              <w:bottom w:val="single" w:sz="4" w:space="0" w:color="auto"/>
              <w:right w:val="single" w:sz="4" w:space="0" w:color="auto"/>
            </w:tcBorders>
            <w:noWrap/>
            <w:vAlign w:val="center"/>
            <w:hideMark/>
          </w:tcPr>
          <w:p w14:paraId="2650AF5E" w14:textId="77777777" w:rsidR="00590678" w:rsidRPr="003519B9" w:rsidRDefault="00590678" w:rsidP="007419D3">
            <w:pPr>
              <w:jc w:val="right"/>
              <w:rPr>
                <w:rFonts w:ascii="Arial" w:hAnsi="Arial" w:cs="Arial"/>
                <w:sz w:val="12"/>
                <w:szCs w:val="12"/>
                <w:lang w:val="en-GB" w:eastAsia="en-IN"/>
              </w:rPr>
            </w:pPr>
          </w:p>
        </w:tc>
      </w:tr>
      <w:tr w:rsidR="00AF73D3" w:rsidRPr="003519B9" w14:paraId="610D7156"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2A60FCD3" w14:textId="58A753FD" w:rsidR="00590678" w:rsidRPr="003519B9" w:rsidRDefault="00590678" w:rsidP="00DD55F4">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Shareholders</w:t>
            </w:r>
            <w:r w:rsidR="00DD55F4" w:rsidRPr="003519B9">
              <w:rPr>
                <w:rFonts w:ascii="Arial" w:hAnsi="Arial" w:cs="Arial"/>
                <w:b/>
                <w:bCs/>
                <w:color w:val="000000"/>
                <w:sz w:val="12"/>
                <w:szCs w:val="12"/>
                <w:lang w:val="en-GB" w:eastAsia="en-IN"/>
              </w:rPr>
              <w:t>’</w:t>
            </w:r>
            <w:r w:rsidR="00381B2D" w:rsidRPr="003519B9">
              <w:rPr>
                <w:rFonts w:ascii="Arial" w:hAnsi="Arial" w:cs="Arial"/>
                <w:b/>
                <w:bCs/>
                <w:color w:val="000000"/>
                <w:sz w:val="12"/>
                <w:szCs w:val="12"/>
                <w:lang w:val="en-GB" w:eastAsia="en-IN"/>
              </w:rPr>
              <w:t xml:space="preserve"> </w:t>
            </w:r>
            <w:r w:rsidR="00DD55F4" w:rsidRPr="003519B9">
              <w:rPr>
                <w:rFonts w:ascii="Arial" w:hAnsi="Arial" w:cs="Arial"/>
                <w:b/>
                <w:bCs/>
                <w:color w:val="000000"/>
                <w:sz w:val="12"/>
                <w:szCs w:val="12"/>
                <w:lang w:val="en-GB" w:eastAsia="en-IN"/>
              </w:rPr>
              <w:t>F</w:t>
            </w:r>
            <w:r w:rsidRPr="003519B9">
              <w:rPr>
                <w:rFonts w:ascii="Arial" w:hAnsi="Arial" w:cs="Arial"/>
                <w:b/>
                <w:bCs/>
                <w:color w:val="000000"/>
                <w:sz w:val="12"/>
                <w:szCs w:val="12"/>
                <w:lang w:val="en-GB" w:eastAsia="en-IN"/>
              </w:rPr>
              <w:t>unds</w:t>
            </w:r>
          </w:p>
        </w:tc>
        <w:tc>
          <w:tcPr>
            <w:tcW w:w="213" w:type="pct"/>
            <w:tcBorders>
              <w:top w:val="nil"/>
              <w:left w:val="nil"/>
              <w:bottom w:val="single" w:sz="4" w:space="0" w:color="auto"/>
              <w:right w:val="single" w:sz="4" w:space="0" w:color="auto"/>
            </w:tcBorders>
            <w:noWrap/>
            <w:vAlign w:val="center"/>
            <w:hideMark/>
          </w:tcPr>
          <w:p w14:paraId="65D004A4" w14:textId="77777777" w:rsidR="00590678" w:rsidRPr="003519B9" w:rsidRDefault="00590678" w:rsidP="007419D3">
            <w:pPr>
              <w:jc w:val="right"/>
              <w:rPr>
                <w:rFonts w:ascii="Arial" w:hAnsi="Arial" w:cs="Arial"/>
                <w:sz w:val="12"/>
                <w:szCs w:val="12"/>
                <w:lang w:val="en-GB" w:eastAsia="en-IN"/>
              </w:rPr>
            </w:pPr>
          </w:p>
        </w:tc>
        <w:tc>
          <w:tcPr>
            <w:tcW w:w="213" w:type="pct"/>
            <w:tcBorders>
              <w:top w:val="nil"/>
              <w:left w:val="nil"/>
              <w:bottom w:val="single" w:sz="4" w:space="0" w:color="auto"/>
              <w:right w:val="single" w:sz="4" w:space="0" w:color="auto"/>
            </w:tcBorders>
            <w:noWrap/>
            <w:vAlign w:val="center"/>
            <w:hideMark/>
          </w:tcPr>
          <w:p w14:paraId="784EF592"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082FD4C2"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2E01CD8D"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1637611C"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65951C34"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2467D71A"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3EB3BC9D"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1057A768"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0DBE087E"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4E5876BB" w14:textId="77777777" w:rsidR="00590678" w:rsidRPr="003519B9" w:rsidRDefault="00590678" w:rsidP="007419D3">
            <w:pPr>
              <w:jc w:val="right"/>
              <w:rPr>
                <w:rFonts w:ascii="Arial" w:hAnsi="Arial" w:cs="Arial"/>
                <w:sz w:val="12"/>
                <w:szCs w:val="12"/>
                <w:lang w:val="en-GB" w:eastAsia="en-IN"/>
              </w:rPr>
            </w:pPr>
          </w:p>
        </w:tc>
        <w:tc>
          <w:tcPr>
            <w:tcW w:w="286" w:type="pct"/>
            <w:tcBorders>
              <w:top w:val="nil"/>
              <w:left w:val="nil"/>
              <w:bottom w:val="single" w:sz="4" w:space="0" w:color="auto"/>
              <w:right w:val="single" w:sz="4" w:space="0" w:color="auto"/>
            </w:tcBorders>
            <w:noWrap/>
            <w:vAlign w:val="center"/>
            <w:hideMark/>
          </w:tcPr>
          <w:p w14:paraId="32CFBD2D" w14:textId="77777777" w:rsidR="00590678" w:rsidRPr="003519B9" w:rsidRDefault="00590678" w:rsidP="007419D3">
            <w:pPr>
              <w:jc w:val="right"/>
              <w:rPr>
                <w:rFonts w:ascii="Arial" w:hAnsi="Arial" w:cs="Arial"/>
                <w:sz w:val="12"/>
                <w:szCs w:val="12"/>
                <w:lang w:val="en-GB" w:eastAsia="en-IN"/>
              </w:rPr>
            </w:pPr>
          </w:p>
        </w:tc>
        <w:tc>
          <w:tcPr>
            <w:tcW w:w="284" w:type="pct"/>
            <w:tcBorders>
              <w:top w:val="nil"/>
              <w:left w:val="nil"/>
              <w:bottom w:val="single" w:sz="4" w:space="0" w:color="auto"/>
              <w:right w:val="single" w:sz="4" w:space="0" w:color="auto"/>
            </w:tcBorders>
            <w:noWrap/>
            <w:vAlign w:val="center"/>
            <w:hideMark/>
          </w:tcPr>
          <w:p w14:paraId="669927A2" w14:textId="77777777" w:rsidR="00590678" w:rsidRPr="003519B9" w:rsidRDefault="00590678" w:rsidP="007419D3">
            <w:pPr>
              <w:jc w:val="right"/>
              <w:rPr>
                <w:rFonts w:ascii="Arial" w:hAnsi="Arial" w:cs="Arial"/>
                <w:sz w:val="12"/>
                <w:szCs w:val="12"/>
                <w:lang w:val="en-GB" w:eastAsia="en-IN"/>
              </w:rPr>
            </w:pPr>
          </w:p>
        </w:tc>
        <w:tc>
          <w:tcPr>
            <w:tcW w:w="241" w:type="pct"/>
            <w:tcBorders>
              <w:top w:val="nil"/>
              <w:left w:val="nil"/>
              <w:bottom w:val="single" w:sz="4" w:space="0" w:color="auto"/>
              <w:right w:val="single" w:sz="4" w:space="0" w:color="auto"/>
            </w:tcBorders>
            <w:noWrap/>
            <w:vAlign w:val="center"/>
            <w:hideMark/>
          </w:tcPr>
          <w:p w14:paraId="1C926C36"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384E1ED9"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28022C65"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766DF60E" w14:textId="77777777" w:rsidR="00590678" w:rsidRPr="003519B9" w:rsidRDefault="00590678" w:rsidP="007419D3">
            <w:pPr>
              <w:jc w:val="right"/>
              <w:rPr>
                <w:rFonts w:ascii="Arial" w:hAnsi="Arial" w:cs="Arial"/>
                <w:sz w:val="12"/>
                <w:szCs w:val="12"/>
                <w:lang w:val="en-GB" w:eastAsia="en-IN"/>
              </w:rPr>
            </w:pPr>
          </w:p>
        </w:tc>
        <w:tc>
          <w:tcPr>
            <w:tcW w:w="252" w:type="pct"/>
            <w:tcBorders>
              <w:top w:val="nil"/>
              <w:left w:val="nil"/>
              <w:bottom w:val="single" w:sz="4" w:space="0" w:color="auto"/>
              <w:right w:val="single" w:sz="4" w:space="0" w:color="auto"/>
            </w:tcBorders>
            <w:noWrap/>
            <w:vAlign w:val="center"/>
            <w:hideMark/>
          </w:tcPr>
          <w:p w14:paraId="73856F58" w14:textId="77777777" w:rsidR="00590678" w:rsidRPr="003519B9" w:rsidRDefault="00590678" w:rsidP="007419D3">
            <w:pPr>
              <w:jc w:val="right"/>
              <w:rPr>
                <w:rFonts w:ascii="Arial" w:hAnsi="Arial" w:cs="Arial"/>
                <w:sz w:val="12"/>
                <w:szCs w:val="12"/>
                <w:lang w:val="en-GB" w:eastAsia="en-IN"/>
              </w:rPr>
            </w:pPr>
          </w:p>
        </w:tc>
      </w:tr>
      <w:tr w:rsidR="00AF73D3" w:rsidRPr="003519B9" w14:paraId="6658F853"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5BC1DF82" w14:textId="77777777" w:rsidR="00590678" w:rsidRPr="003519B9" w:rsidRDefault="00590678" w:rsidP="0058410C">
            <w:pPr>
              <w:rPr>
                <w:rFonts w:ascii="Arial" w:hAnsi="Arial" w:cs="Arial"/>
                <w:i/>
                <w:iCs/>
                <w:color w:val="000000"/>
                <w:sz w:val="12"/>
                <w:szCs w:val="12"/>
                <w:lang w:val="en-GB" w:eastAsia="en-IN"/>
              </w:rPr>
            </w:pPr>
            <w:r w:rsidRPr="003519B9">
              <w:rPr>
                <w:rFonts w:ascii="Arial" w:hAnsi="Arial" w:cs="Arial"/>
                <w:i/>
                <w:iCs/>
                <w:color w:val="000000"/>
                <w:sz w:val="12"/>
                <w:szCs w:val="12"/>
                <w:lang w:val="en-GB" w:eastAsia="en-IN"/>
              </w:rPr>
              <w:t xml:space="preserve">Equity </w:t>
            </w:r>
          </w:p>
        </w:tc>
        <w:tc>
          <w:tcPr>
            <w:tcW w:w="213" w:type="pct"/>
            <w:tcBorders>
              <w:top w:val="nil"/>
              <w:left w:val="nil"/>
              <w:bottom w:val="single" w:sz="4" w:space="0" w:color="auto"/>
              <w:right w:val="single" w:sz="4" w:space="0" w:color="auto"/>
            </w:tcBorders>
            <w:noWrap/>
            <w:vAlign w:val="center"/>
            <w:hideMark/>
          </w:tcPr>
          <w:p w14:paraId="37A8745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1,040</w:t>
            </w:r>
          </w:p>
        </w:tc>
        <w:tc>
          <w:tcPr>
            <w:tcW w:w="213" w:type="pct"/>
            <w:tcBorders>
              <w:top w:val="nil"/>
              <w:left w:val="nil"/>
              <w:bottom w:val="single" w:sz="4" w:space="0" w:color="auto"/>
              <w:right w:val="single" w:sz="4" w:space="0" w:color="auto"/>
            </w:tcBorders>
            <w:noWrap/>
            <w:vAlign w:val="center"/>
            <w:hideMark/>
          </w:tcPr>
          <w:p w14:paraId="5483051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2,690</w:t>
            </w:r>
          </w:p>
        </w:tc>
        <w:tc>
          <w:tcPr>
            <w:tcW w:w="250" w:type="pct"/>
            <w:tcBorders>
              <w:top w:val="nil"/>
              <w:left w:val="nil"/>
              <w:bottom w:val="single" w:sz="4" w:space="0" w:color="auto"/>
              <w:right w:val="single" w:sz="4" w:space="0" w:color="auto"/>
            </w:tcBorders>
            <w:noWrap/>
            <w:vAlign w:val="center"/>
            <w:hideMark/>
          </w:tcPr>
          <w:p w14:paraId="41673000" w14:textId="77777777" w:rsidR="00590678" w:rsidRPr="003519B9" w:rsidRDefault="00590678" w:rsidP="007419D3">
            <w:pPr>
              <w:tabs>
                <w:tab w:val="left" w:pos="594"/>
              </w:tabs>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50" w:type="pct"/>
            <w:tcBorders>
              <w:top w:val="nil"/>
              <w:left w:val="nil"/>
              <w:bottom w:val="single" w:sz="4" w:space="0" w:color="auto"/>
              <w:right w:val="single" w:sz="4" w:space="0" w:color="auto"/>
            </w:tcBorders>
            <w:noWrap/>
            <w:vAlign w:val="center"/>
            <w:hideMark/>
          </w:tcPr>
          <w:p w14:paraId="2EA9586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50" w:type="pct"/>
            <w:tcBorders>
              <w:top w:val="nil"/>
              <w:left w:val="nil"/>
              <w:bottom w:val="single" w:sz="4" w:space="0" w:color="auto"/>
              <w:right w:val="single" w:sz="4" w:space="0" w:color="auto"/>
            </w:tcBorders>
            <w:noWrap/>
            <w:vAlign w:val="center"/>
            <w:hideMark/>
          </w:tcPr>
          <w:p w14:paraId="31B035B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50" w:type="pct"/>
            <w:tcBorders>
              <w:top w:val="nil"/>
              <w:left w:val="nil"/>
              <w:bottom w:val="single" w:sz="4" w:space="0" w:color="auto"/>
              <w:right w:val="single" w:sz="4" w:space="0" w:color="auto"/>
            </w:tcBorders>
            <w:noWrap/>
            <w:vAlign w:val="center"/>
            <w:hideMark/>
          </w:tcPr>
          <w:p w14:paraId="5008807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85" w:type="pct"/>
            <w:tcBorders>
              <w:top w:val="nil"/>
              <w:left w:val="nil"/>
              <w:bottom w:val="single" w:sz="4" w:space="0" w:color="auto"/>
              <w:right w:val="single" w:sz="4" w:space="0" w:color="auto"/>
            </w:tcBorders>
            <w:noWrap/>
            <w:vAlign w:val="center"/>
            <w:hideMark/>
          </w:tcPr>
          <w:p w14:paraId="71356C2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50" w:type="pct"/>
            <w:tcBorders>
              <w:top w:val="nil"/>
              <w:left w:val="nil"/>
              <w:bottom w:val="single" w:sz="4" w:space="0" w:color="auto"/>
              <w:right w:val="single" w:sz="4" w:space="0" w:color="auto"/>
            </w:tcBorders>
            <w:noWrap/>
            <w:vAlign w:val="center"/>
            <w:hideMark/>
          </w:tcPr>
          <w:p w14:paraId="29824DD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50" w:type="pct"/>
            <w:tcBorders>
              <w:top w:val="nil"/>
              <w:left w:val="nil"/>
              <w:bottom w:val="single" w:sz="4" w:space="0" w:color="auto"/>
              <w:right w:val="single" w:sz="4" w:space="0" w:color="auto"/>
            </w:tcBorders>
            <w:noWrap/>
            <w:vAlign w:val="center"/>
            <w:hideMark/>
          </w:tcPr>
          <w:p w14:paraId="06EFE8F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50" w:type="pct"/>
            <w:tcBorders>
              <w:top w:val="nil"/>
              <w:left w:val="nil"/>
              <w:bottom w:val="single" w:sz="4" w:space="0" w:color="auto"/>
              <w:right w:val="single" w:sz="4" w:space="0" w:color="auto"/>
            </w:tcBorders>
            <w:noWrap/>
            <w:vAlign w:val="center"/>
            <w:hideMark/>
          </w:tcPr>
          <w:p w14:paraId="3CC96C1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85" w:type="pct"/>
            <w:tcBorders>
              <w:top w:val="nil"/>
              <w:left w:val="nil"/>
              <w:bottom w:val="single" w:sz="4" w:space="0" w:color="auto"/>
              <w:right w:val="single" w:sz="4" w:space="0" w:color="auto"/>
            </w:tcBorders>
            <w:noWrap/>
            <w:vAlign w:val="center"/>
            <w:hideMark/>
          </w:tcPr>
          <w:p w14:paraId="16440A0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86" w:type="pct"/>
            <w:tcBorders>
              <w:top w:val="nil"/>
              <w:left w:val="nil"/>
              <w:bottom w:val="single" w:sz="4" w:space="0" w:color="auto"/>
              <w:right w:val="single" w:sz="4" w:space="0" w:color="auto"/>
            </w:tcBorders>
            <w:noWrap/>
            <w:vAlign w:val="center"/>
            <w:hideMark/>
          </w:tcPr>
          <w:p w14:paraId="4B41119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84" w:type="pct"/>
            <w:tcBorders>
              <w:top w:val="nil"/>
              <w:left w:val="nil"/>
              <w:bottom w:val="single" w:sz="4" w:space="0" w:color="auto"/>
              <w:right w:val="single" w:sz="4" w:space="0" w:color="auto"/>
            </w:tcBorders>
            <w:noWrap/>
            <w:vAlign w:val="center"/>
            <w:hideMark/>
          </w:tcPr>
          <w:p w14:paraId="1A4DD64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41" w:type="pct"/>
            <w:tcBorders>
              <w:top w:val="nil"/>
              <w:left w:val="nil"/>
              <w:bottom w:val="single" w:sz="4" w:space="0" w:color="auto"/>
              <w:right w:val="single" w:sz="4" w:space="0" w:color="auto"/>
            </w:tcBorders>
            <w:noWrap/>
            <w:vAlign w:val="center"/>
            <w:hideMark/>
          </w:tcPr>
          <w:p w14:paraId="37215F1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40" w:type="pct"/>
            <w:tcBorders>
              <w:top w:val="nil"/>
              <w:left w:val="nil"/>
              <w:bottom w:val="single" w:sz="4" w:space="0" w:color="auto"/>
              <w:right w:val="single" w:sz="4" w:space="0" w:color="auto"/>
            </w:tcBorders>
            <w:noWrap/>
            <w:vAlign w:val="center"/>
            <w:hideMark/>
          </w:tcPr>
          <w:p w14:paraId="164AE42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40" w:type="pct"/>
            <w:tcBorders>
              <w:top w:val="nil"/>
              <w:left w:val="nil"/>
              <w:bottom w:val="single" w:sz="4" w:space="0" w:color="auto"/>
              <w:right w:val="single" w:sz="4" w:space="0" w:color="auto"/>
            </w:tcBorders>
            <w:noWrap/>
            <w:vAlign w:val="center"/>
            <w:hideMark/>
          </w:tcPr>
          <w:p w14:paraId="521EA4D9"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40" w:type="pct"/>
            <w:tcBorders>
              <w:top w:val="nil"/>
              <w:left w:val="nil"/>
              <w:bottom w:val="single" w:sz="4" w:space="0" w:color="auto"/>
              <w:right w:val="single" w:sz="4" w:space="0" w:color="auto"/>
            </w:tcBorders>
            <w:noWrap/>
            <w:vAlign w:val="center"/>
            <w:hideMark/>
          </w:tcPr>
          <w:p w14:paraId="7CA6F10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c>
          <w:tcPr>
            <w:tcW w:w="252" w:type="pct"/>
            <w:tcBorders>
              <w:top w:val="nil"/>
              <w:left w:val="nil"/>
              <w:bottom w:val="single" w:sz="4" w:space="0" w:color="auto"/>
              <w:right w:val="single" w:sz="4" w:space="0" w:color="auto"/>
            </w:tcBorders>
            <w:noWrap/>
            <w:vAlign w:val="center"/>
            <w:hideMark/>
          </w:tcPr>
          <w:p w14:paraId="2B794501"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4,160</w:t>
            </w:r>
          </w:p>
        </w:tc>
      </w:tr>
      <w:tr w:rsidR="00AF73D3" w:rsidRPr="003519B9" w14:paraId="10839594"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7E3B747F" w14:textId="77777777" w:rsidR="00590678" w:rsidRPr="003519B9" w:rsidRDefault="00590678" w:rsidP="0058410C">
            <w:pPr>
              <w:ind w:left="1" w:hanging="1"/>
              <w:rPr>
                <w:rFonts w:ascii="Arial" w:hAnsi="Arial" w:cs="Arial"/>
                <w:color w:val="000000"/>
                <w:sz w:val="12"/>
                <w:szCs w:val="12"/>
                <w:lang w:val="en-GB" w:eastAsia="en-IN"/>
              </w:rPr>
            </w:pPr>
            <w:r w:rsidRPr="003519B9">
              <w:rPr>
                <w:rFonts w:ascii="Arial" w:hAnsi="Arial" w:cs="Arial"/>
                <w:color w:val="000000"/>
                <w:sz w:val="12"/>
                <w:szCs w:val="12"/>
                <w:lang w:val="en-GB" w:eastAsia="en-IN"/>
              </w:rPr>
              <w:t xml:space="preserve">Reserves &amp; Surplus </w:t>
            </w:r>
          </w:p>
        </w:tc>
        <w:tc>
          <w:tcPr>
            <w:tcW w:w="213" w:type="pct"/>
            <w:tcBorders>
              <w:top w:val="nil"/>
              <w:left w:val="nil"/>
              <w:bottom w:val="single" w:sz="4" w:space="0" w:color="auto"/>
              <w:right w:val="single" w:sz="4" w:space="0" w:color="auto"/>
            </w:tcBorders>
            <w:noWrap/>
            <w:vAlign w:val="center"/>
            <w:hideMark/>
          </w:tcPr>
          <w:p w14:paraId="49F11F0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13" w:type="pct"/>
            <w:tcBorders>
              <w:top w:val="nil"/>
              <w:left w:val="nil"/>
              <w:bottom w:val="single" w:sz="4" w:space="0" w:color="auto"/>
              <w:right w:val="single" w:sz="4" w:space="0" w:color="auto"/>
            </w:tcBorders>
            <w:noWrap/>
            <w:vAlign w:val="center"/>
            <w:hideMark/>
          </w:tcPr>
          <w:p w14:paraId="423F2E5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0CE2D78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7572B71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970</w:t>
            </w:r>
          </w:p>
        </w:tc>
        <w:tc>
          <w:tcPr>
            <w:tcW w:w="250" w:type="pct"/>
            <w:tcBorders>
              <w:top w:val="nil"/>
              <w:left w:val="nil"/>
              <w:bottom w:val="single" w:sz="4" w:space="0" w:color="auto"/>
              <w:right w:val="single" w:sz="4" w:space="0" w:color="auto"/>
            </w:tcBorders>
            <w:noWrap/>
            <w:vAlign w:val="center"/>
            <w:hideMark/>
          </w:tcPr>
          <w:p w14:paraId="4CE7133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1,990</w:t>
            </w:r>
          </w:p>
        </w:tc>
        <w:tc>
          <w:tcPr>
            <w:tcW w:w="250" w:type="pct"/>
            <w:tcBorders>
              <w:top w:val="nil"/>
              <w:left w:val="nil"/>
              <w:bottom w:val="single" w:sz="4" w:space="0" w:color="auto"/>
              <w:right w:val="single" w:sz="4" w:space="0" w:color="auto"/>
            </w:tcBorders>
            <w:noWrap/>
            <w:vAlign w:val="center"/>
            <w:hideMark/>
          </w:tcPr>
          <w:p w14:paraId="57DA37B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3,080</w:t>
            </w:r>
          </w:p>
        </w:tc>
        <w:tc>
          <w:tcPr>
            <w:tcW w:w="285" w:type="pct"/>
            <w:tcBorders>
              <w:top w:val="nil"/>
              <w:left w:val="nil"/>
              <w:bottom w:val="single" w:sz="4" w:space="0" w:color="auto"/>
              <w:right w:val="single" w:sz="4" w:space="0" w:color="auto"/>
            </w:tcBorders>
            <w:noWrap/>
            <w:vAlign w:val="center"/>
            <w:hideMark/>
          </w:tcPr>
          <w:p w14:paraId="699873E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4,230</w:t>
            </w:r>
          </w:p>
        </w:tc>
        <w:tc>
          <w:tcPr>
            <w:tcW w:w="250" w:type="pct"/>
            <w:tcBorders>
              <w:top w:val="nil"/>
              <w:left w:val="nil"/>
              <w:bottom w:val="single" w:sz="4" w:space="0" w:color="auto"/>
              <w:right w:val="single" w:sz="4" w:space="0" w:color="auto"/>
            </w:tcBorders>
            <w:noWrap/>
            <w:vAlign w:val="center"/>
            <w:hideMark/>
          </w:tcPr>
          <w:p w14:paraId="18A3012B"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5,440</w:t>
            </w:r>
          </w:p>
        </w:tc>
        <w:tc>
          <w:tcPr>
            <w:tcW w:w="250" w:type="pct"/>
            <w:tcBorders>
              <w:top w:val="nil"/>
              <w:left w:val="nil"/>
              <w:bottom w:val="single" w:sz="4" w:space="0" w:color="auto"/>
              <w:right w:val="single" w:sz="4" w:space="0" w:color="auto"/>
            </w:tcBorders>
            <w:noWrap/>
            <w:vAlign w:val="center"/>
            <w:hideMark/>
          </w:tcPr>
          <w:p w14:paraId="4070947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6,710</w:t>
            </w:r>
          </w:p>
        </w:tc>
        <w:tc>
          <w:tcPr>
            <w:tcW w:w="250" w:type="pct"/>
            <w:tcBorders>
              <w:top w:val="nil"/>
              <w:left w:val="nil"/>
              <w:bottom w:val="single" w:sz="4" w:space="0" w:color="auto"/>
              <w:right w:val="single" w:sz="4" w:space="0" w:color="auto"/>
            </w:tcBorders>
            <w:noWrap/>
            <w:vAlign w:val="center"/>
            <w:hideMark/>
          </w:tcPr>
          <w:p w14:paraId="39FC0B1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8,040</w:t>
            </w:r>
          </w:p>
        </w:tc>
        <w:tc>
          <w:tcPr>
            <w:tcW w:w="285" w:type="pct"/>
            <w:tcBorders>
              <w:top w:val="nil"/>
              <w:left w:val="nil"/>
              <w:bottom w:val="single" w:sz="4" w:space="0" w:color="auto"/>
              <w:right w:val="single" w:sz="4" w:space="0" w:color="auto"/>
            </w:tcBorders>
            <w:noWrap/>
            <w:vAlign w:val="center"/>
            <w:hideMark/>
          </w:tcPr>
          <w:p w14:paraId="15417EB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9,430</w:t>
            </w:r>
          </w:p>
        </w:tc>
        <w:tc>
          <w:tcPr>
            <w:tcW w:w="286" w:type="pct"/>
            <w:tcBorders>
              <w:top w:val="nil"/>
              <w:left w:val="nil"/>
              <w:bottom w:val="single" w:sz="4" w:space="0" w:color="auto"/>
              <w:right w:val="single" w:sz="4" w:space="0" w:color="auto"/>
            </w:tcBorders>
            <w:noWrap/>
            <w:vAlign w:val="center"/>
            <w:hideMark/>
          </w:tcPr>
          <w:p w14:paraId="0CA70FC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10,900</w:t>
            </w:r>
          </w:p>
        </w:tc>
        <w:tc>
          <w:tcPr>
            <w:tcW w:w="284" w:type="pct"/>
            <w:tcBorders>
              <w:top w:val="nil"/>
              <w:left w:val="nil"/>
              <w:bottom w:val="single" w:sz="4" w:space="0" w:color="auto"/>
              <w:right w:val="single" w:sz="4" w:space="0" w:color="auto"/>
            </w:tcBorders>
            <w:noWrap/>
            <w:vAlign w:val="center"/>
            <w:hideMark/>
          </w:tcPr>
          <w:p w14:paraId="0014B18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12,430</w:t>
            </w:r>
          </w:p>
        </w:tc>
        <w:tc>
          <w:tcPr>
            <w:tcW w:w="241" w:type="pct"/>
            <w:tcBorders>
              <w:top w:val="nil"/>
              <w:left w:val="nil"/>
              <w:bottom w:val="single" w:sz="4" w:space="0" w:color="auto"/>
              <w:right w:val="single" w:sz="4" w:space="0" w:color="auto"/>
            </w:tcBorders>
            <w:noWrap/>
            <w:vAlign w:val="center"/>
            <w:hideMark/>
          </w:tcPr>
          <w:p w14:paraId="34EACA3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13,930</w:t>
            </w:r>
          </w:p>
        </w:tc>
        <w:tc>
          <w:tcPr>
            <w:tcW w:w="240" w:type="pct"/>
            <w:tcBorders>
              <w:top w:val="nil"/>
              <w:left w:val="nil"/>
              <w:bottom w:val="single" w:sz="4" w:space="0" w:color="auto"/>
              <w:right w:val="single" w:sz="4" w:space="0" w:color="auto"/>
            </w:tcBorders>
            <w:noWrap/>
            <w:vAlign w:val="center"/>
            <w:hideMark/>
          </w:tcPr>
          <w:p w14:paraId="2E5CF28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15,390</w:t>
            </w:r>
          </w:p>
        </w:tc>
        <w:tc>
          <w:tcPr>
            <w:tcW w:w="240" w:type="pct"/>
            <w:tcBorders>
              <w:top w:val="nil"/>
              <w:left w:val="nil"/>
              <w:bottom w:val="single" w:sz="4" w:space="0" w:color="auto"/>
              <w:right w:val="single" w:sz="4" w:space="0" w:color="auto"/>
            </w:tcBorders>
            <w:noWrap/>
            <w:vAlign w:val="center"/>
            <w:hideMark/>
          </w:tcPr>
          <w:p w14:paraId="3ED11C41"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16,790</w:t>
            </w:r>
          </w:p>
        </w:tc>
        <w:tc>
          <w:tcPr>
            <w:tcW w:w="240" w:type="pct"/>
            <w:tcBorders>
              <w:top w:val="nil"/>
              <w:left w:val="nil"/>
              <w:bottom w:val="single" w:sz="4" w:space="0" w:color="auto"/>
              <w:right w:val="single" w:sz="4" w:space="0" w:color="auto"/>
            </w:tcBorders>
            <w:noWrap/>
            <w:vAlign w:val="center"/>
            <w:hideMark/>
          </w:tcPr>
          <w:p w14:paraId="7735C313"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18,130</w:t>
            </w:r>
          </w:p>
        </w:tc>
        <w:tc>
          <w:tcPr>
            <w:tcW w:w="252" w:type="pct"/>
            <w:tcBorders>
              <w:top w:val="nil"/>
              <w:left w:val="nil"/>
              <w:bottom w:val="single" w:sz="4" w:space="0" w:color="auto"/>
              <w:right w:val="single" w:sz="4" w:space="0" w:color="auto"/>
            </w:tcBorders>
            <w:noWrap/>
            <w:vAlign w:val="center"/>
            <w:hideMark/>
          </w:tcPr>
          <w:p w14:paraId="6489AB7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19,410</w:t>
            </w:r>
          </w:p>
        </w:tc>
      </w:tr>
      <w:tr w:rsidR="00AF73D3" w:rsidRPr="003519B9" w14:paraId="324100FD"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230DFBBA" w14:textId="77777777" w:rsidR="00590678" w:rsidRPr="003519B9" w:rsidRDefault="00590678" w:rsidP="007419D3">
            <w:pPr>
              <w:ind w:firstLineChars="100" w:firstLine="120"/>
              <w:rPr>
                <w:rFonts w:ascii="Arial" w:hAnsi="Arial" w:cs="Arial"/>
                <w:color w:val="000000"/>
                <w:sz w:val="12"/>
                <w:szCs w:val="12"/>
                <w:lang w:val="en-GB" w:eastAsia="en-IN"/>
              </w:rPr>
            </w:pPr>
            <w:r w:rsidRPr="003519B9">
              <w:rPr>
                <w:rFonts w:ascii="Arial" w:hAnsi="Arial" w:cs="Arial"/>
                <w:color w:val="000000"/>
                <w:sz w:val="12"/>
                <w:szCs w:val="12"/>
                <w:lang w:val="en-GB" w:eastAsia="en-IN"/>
              </w:rPr>
              <w:t> </w:t>
            </w:r>
          </w:p>
        </w:tc>
        <w:tc>
          <w:tcPr>
            <w:tcW w:w="213" w:type="pct"/>
            <w:tcBorders>
              <w:top w:val="nil"/>
              <w:left w:val="nil"/>
              <w:bottom w:val="single" w:sz="4" w:space="0" w:color="auto"/>
              <w:right w:val="single" w:sz="4" w:space="0" w:color="auto"/>
            </w:tcBorders>
            <w:noWrap/>
            <w:vAlign w:val="center"/>
            <w:hideMark/>
          </w:tcPr>
          <w:p w14:paraId="6A7EC172" w14:textId="77777777" w:rsidR="00590678" w:rsidRPr="003519B9" w:rsidRDefault="00590678" w:rsidP="007419D3">
            <w:pPr>
              <w:jc w:val="right"/>
              <w:rPr>
                <w:rFonts w:ascii="Arial" w:hAnsi="Arial" w:cs="Arial"/>
                <w:color w:val="000000"/>
                <w:sz w:val="12"/>
                <w:szCs w:val="12"/>
                <w:lang w:val="en-GB" w:eastAsia="en-IN"/>
              </w:rPr>
            </w:pPr>
          </w:p>
        </w:tc>
        <w:tc>
          <w:tcPr>
            <w:tcW w:w="213" w:type="pct"/>
            <w:tcBorders>
              <w:top w:val="nil"/>
              <w:left w:val="nil"/>
              <w:bottom w:val="single" w:sz="4" w:space="0" w:color="auto"/>
              <w:right w:val="single" w:sz="4" w:space="0" w:color="auto"/>
            </w:tcBorders>
            <w:noWrap/>
            <w:vAlign w:val="center"/>
            <w:hideMark/>
          </w:tcPr>
          <w:p w14:paraId="1BD01911" w14:textId="77777777" w:rsidR="00590678" w:rsidRPr="003519B9" w:rsidRDefault="00590678" w:rsidP="007419D3">
            <w:pPr>
              <w:jc w:val="right"/>
              <w:rPr>
                <w:rFonts w:ascii="Arial" w:eastAsia="Calibri" w:hAnsi="Arial" w:cs="Arial"/>
                <w:sz w:val="12"/>
                <w:szCs w:val="12"/>
                <w:lang w:val="en-GB" w:eastAsia="zh-CN"/>
              </w:rPr>
            </w:pPr>
          </w:p>
        </w:tc>
        <w:tc>
          <w:tcPr>
            <w:tcW w:w="250" w:type="pct"/>
            <w:tcBorders>
              <w:top w:val="nil"/>
              <w:left w:val="nil"/>
              <w:bottom w:val="single" w:sz="4" w:space="0" w:color="auto"/>
              <w:right w:val="single" w:sz="4" w:space="0" w:color="auto"/>
            </w:tcBorders>
            <w:noWrap/>
            <w:vAlign w:val="center"/>
            <w:hideMark/>
          </w:tcPr>
          <w:p w14:paraId="195E752C" w14:textId="77777777" w:rsidR="00590678" w:rsidRPr="003519B9" w:rsidRDefault="00590678" w:rsidP="007419D3">
            <w:pPr>
              <w:jc w:val="right"/>
              <w:rPr>
                <w:rFonts w:ascii="Arial" w:eastAsia="Calibri" w:hAnsi="Arial" w:cs="Arial"/>
                <w:sz w:val="12"/>
                <w:szCs w:val="12"/>
                <w:lang w:val="en-GB" w:eastAsia="zh-CN"/>
              </w:rPr>
            </w:pPr>
          </w:p>
        </w:tc>
        <w:tc>
          <w:tcPr>
            <w:tcW w:w="250" w:type="pct"/>
            <w:tcBorders>
              <w:top w:val="nil"/>
              <w:left w:val="nil"/>
              <w:bottom w:val="single" w:sz="4" w:space="0" w:color="auto"/>
              <w:right w:val="single" w:sz="4" w:space="0" w:color="auto"/>
            </w:tcBorders>
            <w:noWrap/>
            <w:vAlign w:val="center"/>
            <w:hideMark/>
          </w:tcPr>
          <w:p w14:paraId="57C1E436" w14:textId="77777777" w:rsidR="00590678" w:rsidRPr="003519B9" w:rsidRDefault="00590678" w:rsidP="007419D3">
            <w:pPr>
              <w:jc w:val="right"/>
              <w:rPr>
                <w:rFonts w:ascii="Arial" w:eastAsia="Calibri" w:hAnsi="Arial" w:cs="Arial"/>
                <w:sz w:val="12"/>
                <w:szCs w:val="12"/>
                <w:lang w:val="en-GB" w:eastAsia="zh-CN"/>
              </w:rPr>
            </w:pPr>
          </w:p>
        </w:tc>
        <w:tc>
          <w:tcPr>
            <w:tcW w:w="250" w:type="pct"/>
            <w:tcBorders>
              <w:top w:val="nil"/>
              <w:left w:val="nil"/>
              <w:bottom w:val="single" w:sz="4" w:space="0" w:color="auto"/>
              <w:right w:val="single" w:sz="4" w:space="0" w:color="auto"/>
            </w:tcBorders>
            <w:noWrap/>
            <w:vAlign w:val="center"/>
            <w:hideMark/>
          </w:tcPr>
          <w:p w14:paraId="445CD38B" w14:textId="77777777" w:rsidR="00590678" w:rsidRPr="003519B9" w:rsidRDefault="00590678" w:rsidP="007419D3">
            <w:pPr>
              <w:jc w:val="right"/>
              <w:rPr>
                <w:rFonts w:ascii="Arial" w:eastAsia="Calibri" w:hAnsi="Arial" w:cs="Arial"/>
                <w:sz w:val="12"/>
                <w:szCs w:val="12"/>
                <w:lang w:val="en-GB" w:eastAsia="zh-CN"/>
              </w:rPr>
            </w:pPr>
          </w:p>
        </w:tc>
        <w:tc>
          <w:tcPr>
            <w:tcW w:w="250" w:type="pct"/>
            <w:tcBorders>
              <w:top w:val="nil"/>
              <w:left w:val="nil"/>
              <w:bottom w:val="single" w:sz="4" w:space="0" w:color="auto"/>
              <w:right w:val="single" w:sz="4" w:space="0" w:color="auto"/>
            </w:tcBorders>
            <w:noWrap/>
            <w:vAlign w:val="center"/>
            <w:hideMark/>
          </w:tcPr>
          <w:p w14:paraId="382C52DD" w14:textId="77777777" w:rsidR="00590678" w:rsidRPr="003519B9" w:rsidRDefault="00590678" w:rsidP="007419D3">
            <w:pPr>
              <w:jc w:val="right"/>
              <w:rPr>
                <w:rFonts w:ascii="Arial" w:eastAsia="Calibri" w:hAnsi="Arial" w:cs="Arial"/>
                <w:sz w:val="12"/>
                <w:szCs w:val="12"/>
                <w:lang w:val="en-GB" w:eastAsia="zh-CN"/>
              </w:rPr>
            </w:pPr>
          </w:p>
        </w:tc>
        <w:tc>
          <w:tcPr>
            <w:tcW w:w="285" w:type="pct"/>
            <w:tcBorders>
              <w:top w:val="nil"/>
              <w:left w:val="nil"/>
              <w:bottom w:val="single" w:sz="4" w:space="0" w:color="auto"/>
              <w:right w:val="single" w:sz="4" w:space="0" w:color="auto"/>
            </w:tcBorders>
            <w:noWrap/>
            <w:vAlign w:val="center"/>
            <w:hideMark/>
          </w:tcPr>
          <w:p w14:paraId="1773BA2F" w14:textId="77777777" w:rsidR="00590678" w:rsidRPr="003519B9" w:rsidRDefault="00590678" w:rsidP="007419D3">
            <w:pPr>
              <w:jc w:val="right"/>
              <w:rPr>
                <w:rFonts w:ascii="Arial" w:eastAsia="Calibri" w:hAnsi="Arial" w:cs="Arial"/>
                <w:sz w:val="12"/>
                <w:szCs w:val="12"/>
                <w:lang w:val="en-GB" w:eastAsia="zh-CN"/>
              </w:rPr>
            </w:pPr>
          </w:p>
        </w:tc>
        <w:tc>
          <w:tcPr>
            <w:tcW w:w="250" w:type="pct"/>
            <w:tcBorders>
              <w:top w:val="nil"/>
              <w:left w:val="nil"/>
              <w:bottom w:val="single" w:sz="4" w:space="0" w:color="auto"/>
              <w:right w:val="single" w:sz="4" w:space="0" w:color="auto"/>
            </w:tcBorders>
            <w:noWrap/>
            <w:vAlign w:val="center"/>
            <w:hideMark/>
          </w:tcPr>
          <w:p w14:paraId="4DBA6501" w14:textId="77777777" w:rsidR="00590678" w:rsidRPr="003519B9" w:rsidRDefault="00590678" w:rsidP="007419D3">
            <w:pPr>
              <w:jc w:val="right"/>
              <w:rPr>
                <w:rFonts w:ascii="Arial" w:eastAsia="Calibri" w:hAnsi="Arial" w:cs="Arial"/>
                <w:sz w:val="12"/>
                <w:szCs w:val="12"/>
                <w:lang w:val="en-GB" w:eastAsia="zh-CN"/>
              </w:rPr>
            </w:pPr>
          </w:p>
        </w:tc>
        <w:tc>
          <w:tcPr>
            <w:tcW w:w="250" w:type="pct"/>
            <w:tcBorders>
              <w:top w:val="nil"/>
              <w:left w:val="nil"/>
              <w:bottom w:val="single" w:sz="4" w:space="0" w:color="auto"/>
              <w:right w:val="single" w:sz="4" w:space="0" w:color="auto"/>
            </w:tcBorders>
            <w:noWrap/>
            <w:vAlign w:val="center"/>
            <w:hideMark/>
          </w:tcPr>
          <w:p w14:paraId="02C1BF98" w14:textId="77777777" w:rsidR="00590678" w:rsidRPr="003519B9" w:rsidRDefault="00590678" w:rsidP="007419D3">
            <w:pPr>
              <w:jc w:val="right"/>
              <w:rPr>
                <w:rFonts w:ascii="Arial" w:eastAsia="Calibri" w:hAnsi="Arial" w:cs="Arial"/>
                <w:sz w:val="12"/>
                <w:szCs w:val="12"/>
                <w:lang w:val="en-GB" w:eastAsia="zh-CN"/>
              </w:rPr>
            </w:pPr>
          </w:p>
        </w:tc>
        <w:tc>
          <w:tcPr>
            <w:tcW w:w="250" w:type="pct"/>
            <w:tcBorders>
              <w:top w:val="nil"/>
              <w:left w:val="nil"/>
              <w:bottom w:val="single" w:sz="4" w:space="0" w:color="auto"/>
              <w:right w:val="single" w:sz="4" w:space="0" w:color="auto"/>
            </w:tcBorders>
            <w:noWrap/>
            <w:vAlign w:val="center"/>
            <w:hideMark/>
          </w:tcPr>
          <w:p w14:paraId="5DDFD0BB" w14:textId="77777777" w:rsidR="00590678" w:rsidRPr="003519B9" w:rsidRDefault="00590678" w:rsidP="007419D3">
            <w:pPr>
              <w:jc w:val="right"/>
              <w:rPr>
                <w:rFonts w:ascii="Arial" w:eastAsia="Calibri" w:hAnsi="Arial" w:cs="Arial"/>
                <w:sz w:val="12"/>
                <w:szCs w:val="12"/>
                <w:lang w:val="en-GB" w:eastAsia="zh-CN"/>
              </w:rPr>
            </w:pPr>
          </w:p>
        </w:tc>
        <w:tc>
          <w:tcPr>
            <w:tcW w:w="285" w:type="pct"/>
            <w:tcBorders>
              <w:top w:val="nil"/>
              <w:left w:val="nil"/>
              <w:bottom w:val="single" w:sz="4" w:space="0" w:color="auto"/>
              <w:right w:val="single" w:sz="4" w:space="0" w:color="auto"/>
            </w:tcBorders>
            <w:noWrap/>
            <w:vAlign w:val="center"/>
            <w:hideMark/>
          </w:tcPr>
          <w:p w14:paraId="6E577DB6" w14:textId="77777777" w:rsidR="00590678" w:rsidRPr="003519B9" w:rsidRDefault="00590678" w:rsidP="007419D3">
            <w:pPr>
              <w:jc w:val="right"/>
              <w:rPr>
                <w:rFonts w:ascii="Arial" w:eastAsia="Calibri" w:hAnsi="Arial" w:cs="Arial"/>
                <w:sz w:val="12"/>
                <w:szCs w:val="12"/>
                <w:lang w:val="en-GB" w:eastAsia="zh-CN"/>
              </w:rPr>
            </w:pPr>
          </w:p>
        </w:tc>
        <w:tc>
          <w:tcPr>
            <w:tcW w:w="286" w:type="pct"/>
            <w:tcBorders>
              <w:top w:val="nil"/>
              <w:left w:val="nil"/>
              <w:bottom w:val="single" w:sz="4" w:space="0" w:color="auto"/>
              <w:right w:val="single" w:sz="4" w:space="0" w:color="auto"/>
            </w:tcBorders>
            <w:noWrap/>
            <w:vAlign w:val="center"/>
            <w:hideMark/>
          </w:tcPr>
          <w:p w14:paraId="2D7E8F8D" w14:textId="77777777" w:rsidR="00590678" w:rsidRPr="003519B9" w:rsidRDefault="00590678" w:rsidP="007419D3">
            <w:pPr>
              <w:jc w:val="right"/>
              <w:rPr>
                <w:rFonts w:ascii="Arial" w:eastAsia="Calibri" w:hAnsi="Arial" w:cs="Arial"/>
                <w:sz w:val="12"/>
                <w:szCs w:val="12"/>
                <w:lang w:val="en-GB" w:eastAsia="zh-CN"/>
              </w:rPr>
            </w:pPr>
          </w:p>
        </w:tc>
        <w:tc>
          <w:tcPr>
            <w:tcW w:w="284" w:type="pct"/>
            <w:tcBorders>
              <w:top w:val="nil"/>
              <w:left w:val="nil"/>
              <w:bottom w:val="single" w:sz="4" w:space="0" w:color="auto"/>
              <w:right w:val="single" w:sz="4" w:space="0" w:color="auto"/>
            </w:tcBorders>
            <w:noWrap/>
            <w:vAlign w:val="center"/>
            <w:hideMark/>
          </w:tcPr>
          <w:p w14:paraId="6B55E55E" w14:textId="77777777" w:rsidR="00590678" w:rsidRPr="003519B9" w:rsidRDefault="00590678" w:rsidP="007419D3">
            <w:pPr>
              <w:jc w:val="right"/>
              <w:rPr>
                <w:rFonts w:ascii="Arial" w:eastAsia="Calibri" w:hAnsi="Arial" w:cs="Arial"/>
                <w:sz w:val="12"/>
                <w:szCs w:val="12"/>
                <w:lang w:val="en-GB" w:eastAsia="zh-CN"/>
              </w:rPr>
            </w:pPr>
          </w:p>
        </w:tc>
        <w:tc>
          <w:tcPr>
            <w:tcW w:w="241" w:type="pct"/>
            <w:tcBorders>
              <w:top w:val="nil"/>
              <w:left w:val="nil"/>
              <w:bottom w:val="single" w:sz="4" w:space="0" w:color="auto"/>
              <w:right w:val="single" w:sz="4" w:space="0" w:color="auto"/>
            </w:tcBorders>
            <w:noWrap/>
            <w:vAlign w:val="center"/>
            <w:hideMark/>
          </w:tcPr>
          <w:p w14:paraId="594D3C7C" w14:textId="77777777" w:rsidR="00590678" w:rsidRPr="003519B9" w:rsidRDefault="00590678" w:rsidP="007419D3">
            <w:pPr>
              <w:jc w:val="right"/>
              <w:rPr>
                <w:rFonts w:ascii="Arial" w:eastAsia="Calibri" w:hAnsi="Arial" w:cs="Arial"/>
                <w:sz w:val="12"/>
                <w:szCs w:val="12"/>
                <w:lang w:val="en-GB" w:eastAsia="zh-CN"/>
              </w:rPr>
            </w:pPr>
          </w:p>
        </w:tc>
        <w:tc>
          <w:tcPr>
            <w:tcW w:w="240" w:type="pct"/>
            <w:tcBorders>
              <w:top w:val="nil"/>
              <w:left w:val="nil"/>
              <w:bottom w:val="single" w:sz="4" w:space="0" w:color="auto"/>
              <w:right w:val="single" w:sz="4" w:space="0" w:color="auto"/>
            </w:tcBorders>
            <w:noWrap/>
            <w:vAlign w:val="center"/>
            <w:hideMark/>
          </w:tcPr>
          <w:p w14:paraId="03164C46" w14:textId="77777777" w:rsidR="00590678" w:rsidRPr="003519B9" w:rsidRDefault="00590678" w:rsidP="007419D3">
            <w:pPr>
              <w:jc w:val="right"/>
              <w:rPr>
                <w:rFonts w:ascii="Arial" w:eastAsia="Calibri" w:hAnsi="Arial" w:cs="Arial"/>
                <w:sz w:val="12"/>
                <w:szCs w:val="12"/>
                <w:lang w:val="en-GB" w:eastAsia="zh-CN"/>
              </w:rPr>
            </w:pPr>
          </w:p>
        </w:tc>
        <w:tc>
          <w:tcPr>
            <w:tcW w:w="240" w:type="pct"/>
            <w:tcBorders>
              <w:top w:val="nil"/>
              <w:left w:val="nil"/>
              <w:bottom w:val="single" w:sz="4" w:space="0" w:color="auto"/>
              <w:right w:val="single" w:sz="4" w:space="0" w:color="auto"/>
            </w:tcBorders>
            <w:noWrap/>
            <w:vAlign w:val="center"/>
            <w:hideMark/>
          </w:tcPr>
          <w:p w14:paraId="0978CA23" w14:textId="77777777" w:rsidR="00590678" w:rsidRPr="003519B9" w:rsidRDefault="00590678" w:rsidP="007419D3">
            <w:pPr>
              <w:jc w:val="right"/>
              <w:rPr>
                <w:rFonts w:ascii="Arial" w:eastAsia="Calibri" w:hAnsi="Arial" w:cs="Arial"/>
                <w:sz w:val="12"/>
                <w:szCs w:val="12"/>
                <w:lang w:val="en-GB" w:eastAsia="zh-CN"/>
              </w:rPr>
            </w:pPr>
          </w:p>
        </w:tc>
        <w:tc>
          <w:tcPr>
            <w:tcW w:w="240" w:type="pct"/>
            <w:tcBorders>
              <w:top w:val="nil"/>
              <w:left w:val="nil"/>
              <w:bottom w:val="single" w:sz="4" w:space="0" w:color="auto"/>
              <w:right w:val="single" w:sz="4" w:space="0" w:color="auto"/>
            </w:tcBorders>
            <w:noWrap/>
            <w:vAlign w:val="center"/>
            <w:hideMark/>
          </w:tcPr>
          <w:p w14:paraId="79EF56BD" w14:textId="77777777" w:rsidR="00590678" w:rsidRPr="003519B9" w:rsidRDefault="00590678" w:rsidP="007419D3">
            <w:pPr>
              <w:jc w:val="right"/>
              <w:rPr>
                <w:rFonts w:ascii="Arial" w:eastAsia="Calibri" w:hAnsi="Arial" w:cs="Arial"/>
                <w:sz w:val="12"/>
                <w:szCs w:val="12"/>
                <w:lang w:val="en-GB" w:eastAsia="zh-CN"/>
              </w:rPr>
            </w:pPr>
          </w:p>
        </w:tc>
        <w:tc>
          <w:tcPr>
            <w:tcW w:w="252" w:type="pct"/>
            <w:tcBorders>
              <w:top w:val="nil"/>
              <w:left w:val="nil"/>
              <w:bottom w:val="single" w:sz="4" w:space="0" w:color="auto"/>
              <w:right w:val="single" w:sz="4" w:space="0" w:color="auto"/>
            </w:tcBorders>
            <w:noWrap/>
            <w:vAlign w:val="center"/>
            <w:hideMark/>
          </w:tcPr>
          <w:p w14:paraId="6DDF8011" w14:textId="77777777" w:rsidR="00590678" w:rsidRPr="003519B9" w:rsidRDefault="00590678" w:rsidP="007419D3">
            <w:pPr>
              <w:jc w:val="right"/>
              <w:rPr>
                <w:rFonts w:ascii="Arial" w:eastAsia="Calibri" w:hAnsi="Arial" w:cs="Arial"/>
                <w:sz w:val="12"/>
                <w:szCs w:val="12"/>
                <w:lang w:val="en-GB" w:eastAsia="zh-CN"/>
              </w:rPr>
            </w:pPr>
          </w:p>
        </w:tc>
      </w:tr>
      <w:tr w:rsidR="00AF73D3" w:rsidRPr="003519B9" w14:paraId="4F08A184"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02CFCAA6" w14:textId="38EE47AB" w:rsidR="00590678" w:rsidRPr="003519B9" w:rsidRDefault="00590678" w:rsidP="009542DB">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 xml:space="preserve">Net </w:t>
            </w:r>
            <w:r w:rsidR="00A22F0E" w:rsidRPr="003519B9">
              <w:rPr>
                <w:rFonts w:ascii="Arial" w:hAnsi="Arial" w:cs="Arial"/>
                <w:b/>
                <w:bCs/>
                <w:color w:val="000000"/>
                <w:sz w:val="12"/>
                <w:szCs w:val="12"/>
                <w:lang w:val="en-GB" w:eastAsia="en-IN"/>
              </w:rPr>
              <w:t>Worth</w:t>
            </w:r>
          </w:p>
        </w:tc>
        <w:tc>
          <w:tcPr>
            <w:tcW w:w="213" w:type="pct"/>
            <w:tcBorders>
              <w:top w:val="nil"/>
              <w:left w:val="nil"/>
              <w:bottom w:val="single" w:sz="4" w:space="0" w:color="auto"/>
              <w:right w:val="single" w:sz="4" w:space="0" w:color="auto"/>
            </w:tcBorders>
            <w:noWrap/>
            <w:vAlign w:val="center"/>
            <w:hideMark/>
          </w:tcPr>
          <w:p w14:paraId="789DE285" w14:textId="77777777" w:rsidR="00590678" w:rsidRPr="003519B9" w:rsidRDefault="00590678" w:rsidP="007419D3">
            <w:pPr>
              <w:ind w:left="-79" w:hanging="615"/>
              <w:jc w:val="right"/>
              <w:rPr>
                <w:rFonts w:ascii="Arial" w:hAnsi="Arial" w:cs="Arial"/>
                <w:b/>
                <w:sz w:val="12"/>
                <w:szCs w:val="12"/>
                <w:lang w:val="en-GB" w:eastAsia="en-IN"/>
              </w:rPr>
            </w:pPr>
            <w:r w:rsidRPr="003519B9">
              <w:rPr>
                <w:rFonts w:ascii="Arial" w:hAnsi="Arial" w:cs="Arial"/>
                <w:b/>
                <w:sz w:val="12"/>
                <w:szCs w:val="12"/>
                <w:lang w:val="en-GB" w:eastAsia="en-IN"/>
              </w:rPr>
              <w:t>1,040</w:t>
            </w:r>
          </w:p>
        </w:tc>
        <w:tc>
          <w:tcPr>
            <w:tcW w:w="213" w:type="pct"/>
            <w:tcBorders>
              <w:top w:val="nil"/>
              <w:left w:val="nil"/>
              <w:bottom w:val="single" w:sz="4" w:space="0" w:color="auto"/>
              <w:right w:val="single" w:sz="4" w:space="0" w:color="auto"/>
            </w:tcBorders>
            <w:noWrap/>
            <w:vAlign w:val="center"/>
            <w:hideMark/>
          </w:tcPr>
          <w:p w14:paraId="5C080C91"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2,690</w:t>
            </w:r>
          </w:p>
        </w:tc>
        <w:tc>
          <w:tcPr>
            <w:tcW w:w="250" w:type="pct"/>
            <w:tcBorders>
              <w:top w:val="nil"/>
              <w:left w:val="nil"/>
              <w:bottom w:val="single" w:sz="4" w:space="0" w:color="auto"/>
              <w:right w:val="single" w:sz="4" w:space="0" w:color="auto"/>
            </w:tcBorders>
            <w:noWrap/>
            <w:vAlign w:val="center"/>
            <w:hideMark/>
          </w:tcPr>
          <w:p w14:paraId="3BD6F80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4,160</w:t>
            </w:r>
          </w:p>
        </w:tc>
        <w:tc>
          <w:tcPr>
            <w:tcW w:w="250" w:type="pct"/>
            <w:tcBorders>
              <w:top w:val="nil"/>
              <w:left w:val="nil"/>
              <w:bottom w:val="single" w:sz="4" w:space="0" w:color="auto"/>
              <w:right w:val="single" w:sz="4" w:space="0" w:color="auto"/>
            </w:tcBorders>
            <w:noWrap/>
            <w:vAlign w:val="center"/>
            <w:hideMark/>
          </w:tcPr>
          <w:p w14:paraId="40F53CB1"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5,130</w:t>
            </w:r>
          </w:p>
        </w:tc>
        <w:tc>
          <w:tcPr>
            <w:tcW w:w="250" w:type="pct"/>
            <w:tcBorders>
              <w:top w:val="nil"/>
              <w:left w:val="nil"/>
              <w:bottom w:val="single" w:sz="4" w:space="0" w:color="auto"/>
              <w:right w:val="single" w:sz="4" w:space="0" w:color="auto"/>
            </w:tcBorders>
            <w:noWrap/>
            <w:vAlign w:val="center"/>
            <w:hideMark/>
          </w:tcPr>
          <w:p w14:paraId="1B263595"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6,150</w:t>
            </w:r>
          </w:p>
        </w:tc>
        <w:tc>
          <w:tcPr>
            <w:tcW w:w="250" w:type="pct"/>
            <w:tcBorders>
              <w:top w:val="nil"/>
              <w:left w:val="nil"/>
              <w:bottom w:val="single" w:sz="4" w:space="0" w:color="auto"/>
              <w:right w:val="single" w:sz="4" w:space="0" w:color="auto"/>
            </w:tcBorders>
            <w:noWrap/>
            <w:vAlign w:val="center"/>
            <w:hideMark/>
          </w:tcPr>
          <w:p w14:paraId="23E26275"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7,240</w:t>
            </w:r>
          </w:p>
        </w:tc>
        <w:tc>
          <w:tcPr>
            <w:tcW w:w="285" w:type="pct"/>
            <w:tcBorders>
              <w:top w:val="nil"/>
              <w:left w:val="nil"/>
              <w:bottom w:val="single" w:sz="4" w:space="0" w:color="auto"/>
              <w:right w:val="single" w:sz="4" w:space="0" w:color="auto"/>
            </w:tcBorders>
            <w:noWrap/>
            <w:vAlign w:val="center"/>
            <w:hideMark/>
          </w:tcPr>
          <w:p w14:paraId="3EE7E75D"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8,390</w:t>
            </w:r>
          </w:p>
        </w:tc>
        <w:tc>
          <w:tcPr>
            <w:tcW w:w="250" w:type="pct"/>
            <w:tcBorders>
              <w:top w:val="nil"/>
              <w:left w:val="nil"/>
              <w:bottom w:val="single" w:sz="4" w:space="0" w:color="auto"/>
              <w:right w:val="single" w:sz="4" w:space="0" w:color="auto"/>
            </w:tcBorders>
            <w:noWrap/>
            <w:vAlign w:val="center"/>
            <w:hideMark/>
          </w:tcPr>
          <w:p w14:paraId="61A3B1DA"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9,600</w:t>
            </w:r>
          </w:p>
        </w:tc>
        <w:tc>
          <w:tcPr>
            <w:tcW w:w="250" w:type="pct"/>
            <w:tcBorders>
              <w:top w:val="nil"/>
              <w:left w:val="nil"/>
              <w:bottom w:val="single" w:sz="4" w:space="0" w:color="auto"/>
              <w:right w:val="single" w:sz="4" w:space="0" w:color="auto"/>
            </w:tcBorders>
            <w:noWrap/>
            <w:vAlign w:val="center"/>
            <w:hideMark/>
          </w:tcPr>
          <w:p w14:paraId="5FEAD495"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10,870</w:t>
            </w:r>
          </w:p>
        </w:tc>
        <w:tc>
          <w:tcPr>
            <w:tcW w:w="250" w:type="pct"/>
            <w:tcBorders>
              <w:top w:val="nil"/>
              <w:left w:val="nil"/>
              <w:bottom w:val="single" w:sz="4" w:space="0" w:color="auto"/>
              <w:right w:val="single" w:sz="4" w:space="0" w:color="auto"/>
            </w:tcBorders>
            <w:noWrap/>
            <w:vAlign w:val="center"/>
            <w:hideMark/>
          </w:tcPr>
          <w:p w14:paraId="4EEA308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12,200</w:t>
            </w:r>
          </w:p>
        </w:tc>
        <w:tc>
          <w:tcPr>
            <w:tcW w:w="285" w:type="pct"/>
            <w:tcBorders>
              <w:top w:val="nil"/>
              <w:left w:val="nil"/>
              <w:bottom w:val="single" w:sz="4" w:space="0" w:color="auto"/>
              <w:right w:val="single" w:sz="4" w:space="0" w:color="auto"/>
            </w:tcBorders>
            <w:noWrap/>
            <w:vAlign w:val="center"/>
            <w:hideMark/>
          </w:tcPr>
          <w:p w14:paraId="09552B3A"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13,590</w:t>
            </w:r>
          </w:p>
        </w:tc>
        <w:tc>
          <w:tcPr>
            <w:tcW w:w="286" w:type="pct"/>
            <w:tcBorders>
              <w:top w:val="nil"/>
              <w:left w:val="nil"/>
              <w:bottom w:val="single" w:sz="4" w:space="0" w:color="auto"/>
              <w:right w:val="single" w:sz="4" w:space="0" w:color="auto"/>
            </w:tcBorders>
            <w:noWrap/>
            <w:vAlign w:val="center"/>
            <w:hideMark/>
          </w:tcPr>
          <w:p w14:paraId="236804A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15,060</w:t>
            </w:r>
          </w:p>
        </w:tc>
        <w:tc>
          <w:tcPr>
            <w:tcW w:w="284" w:type="pct"/>
            <w:tcBorders>
              <w:top w:val="nil"/>
              <w:left w:val="nil"/>
              <w:bottom w:val="single" w:sz="4" w:space="0" w:color="auto"/>
              <w:right w:val="single" w:sz="4" w:space="0" w:color="auto"/>
            </w:tcBorders>
            <w:noWrap/>
            <w:vAlign w:val="center"/>
            <w:hideMark/>
          </w:tcPr>
          <w:p w14:paraId="68880197"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16,590</w:t>
            </w:r>
          </w:p>
        </w:tc>
        <w:tc>
          <w:tcPr>
            <w:tcW w:w="241" w:type="pct"/>
            <w:tcBorders>
              <w:top w:val="nil"/>
              <w:left w:val="nil"/>
              <w:bottom w:val="single" w:sz="4" w:space="0" w:color="auto"/>
              <w:right w:val="single" w:sz="4" w:space="0" w:color="auto"/>
            </w:tcBorders>
            <w:noWrap/>
            <w:vAlign w:val="center"/>
            <w:hideMark/>
          </w:tcPr>
          <w:p w14:paraId="44B1E628"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18,090</w:t>
            </w:r>
          </w:p>
        </w:tc>
        <w:tc>
          <w:tcPr>
            <w:tcW w:w="240" w:type="pct"/>
            <w:tcBorders>
              <w:top w:val="nil"/>
              <w:left w:val="nil"/>
              <w:bottom w:val="single" w:sz="4" w:space="0" w:color="auto"/>
              <w:right w:val="single" w:sz="4" w:space="0" w:color="auto"/>
            </w:tcBorders>
            <w:noWrap/>
            <w:vAlign w:val="center"/>
            <w:hideMark/>
          </w:tcPr>
          <w:p w14:paraId="77D7605F"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19,550</w:t>
            </w:r>
          </w:p>
        </w:tc>
        <w:tc>
          <w:tcPr>
            <w:tcW w:w="240" w:type="pct"/>
            <w:tcBorders>
              <w:top w:val="nil"/>
              <w:left w:val="nil"/>
              <w:bottom w:val="single" w:sz="4" w:space="0" w:color="auto"/>
              <w:right w:val="single" w:sz="4" w:space="0" w:color="auto"/>
            </w:tcBorders>
            <w:noWrap/>
            <w:vAlign w:val="center"/>
            <w:hideMark/>
          </w:tcPr>
          <w:p w14:paraId="1C992688"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20,950</w:t>
            </w:r>
          </w:p>
        </w:tc>
        <w:tc>
          <w:tcPr>
            <w:tcW w:w="240" w:type="pct"/>
            <w:tcBorders>
              <w:top w:val="nil"/>
              <w:left w:val="nil"/>
              <w:bottom w:val="single" w:sz="4" w:space="0" w:color="auto"/>
              <w:right w:val="single" w:sz="4" w:space="0" w:color="auto"/>
            </w:tcBorders>
            <w:noWrap/>
            <w:vAlign w:val="center"/>
            <w:hideMark/>
          </w:tcPr>
          <w:p w14:paraId="3A67F95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22,290</w:t>
            </w:r>
          </w:p>
        </w:tc>
        <w:tc>
          <w:tcPr>
            <w:tcW w:w="252" w:type="pct"/>
            <w:tcBorders>
              <w:top w:val="nil"/>
              <w:left w:val="nil"/>
              <w:bottom w:val="single" w:sz="4" w:space="0" w:color="auto"/>
              <w:right w:val="single" w:sz="4" w:space="0" w:color="auto"/>
            </w:tcBorders>
            <w:noWrap/>
            <w:vAlign w:val="center"/>
            <w:hideMark/>
          </w:tcPr>
          <w:p w14:paraId="41D622FA"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23,570</w:t>
            </w:r>
          </w:p>
        </w:tc>
      </w:tr>
      <w:tr w:rsidR="00AF73D3" w:rsidRPr="003519B9" w14:paraId="03D204CC"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192936D9" w14:textId="77777777" w:rsidR="00590678" w:rsidRPr="003519B9" w:rsidRDefault="00590678" w:rsidP="007419D3">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Borrowed Funds</w:t>
            </w:r>
          </w:p>
        </w:tc>
        <w:tc>
          <w:tcPr>
            <w:tcW w:w="213" w:type="pct"/>
            <w:tcBorders>
              <w:top w:val="nil"/>
              <w:left w:val="nil"/>
              <w:bottom w:val="single" w:sz="4" w:space="0" w:color="auto"/>
              <w:right w:val="single" w:sz="4" w:space="0" w:color="auto"/>
            </w:tcBorders>
            <w:noWrap/>
            <w:vAlign w:val="center"/>
            <w:hideMark/>
          </w:tcPr>
          <w:p w14:paraId="5D29D9E7" w14:textId="77777777" w:rsidR="00590678" w:rsidRPr="003519B9" w:rsidRDefault="00590678" w:rsidP="007419D3">
            <w:pPr>
              <w:jc w:val="right"/>
              <w:rPr>
                <w:rFonts w:ascii="Arial" w:hAnsi="Arial" w:cs="Arial"/>
                <w:sz w:val="12"/>
                <w:szCs w:val="12"/>
                <w:lang w:val="en-GB" w:eastAsia="en-IN"/>
              </w:rPr>
            </w:pPr>
          </w:p>
        </w:tc>
        <w:tc>
          <w:tcPr>
            <w:tcW w:w="213" w:type="pct"/>
            <w:tcBorders>
              <w:top w:val="nil"/>
              <w:left w:val="nil"/>
              <w:bottom w:val="single" w:sz="4" w:space="0" w:color="auto"/>
              <w:right w:val="single" w:sz="4" w:space="0" w:color="auto"/>
            </w:tcBorders>
            <w:noWrap/>
            <w:vAlign w:val="center"/>
            <w:hideMark/>
          </w:tcPr>
          <w:p w14:paraId="2999602A"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7C0AFEA6"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4CD82CE0"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1C3E6FE9"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2257EBA7"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21F82D60"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48F18F32"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760F4A67"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43A63812"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5AC1DEAF" w14:textId="77777777" w:rsidR="00590678" w:rsidRPr="003519B9" w:rsidRDefault="00590678" w:rsidP="007419D3">
            <w:pPr>
              <w:jc w:val="right"/>
              <w:rPr>
                <w:rFonts w:ascii="Arial" w:hAnsi="Arial" w:cs="Arial"/>
                <w:sz w:val="12"/>
                <w:szCs w:val="12"/>
                <w:lang w:val="en-GB" w:eastAsia="en-IN"/>
              </w:rPr>
            </w:pPr>
          </w:p>
        </w:tc>
        <w:tc>
          <w:tcPr>
            <w:tcW w:w="286" w:type="pct"/>
            <w:tcBorders>
              <w:top w:val="nil"/>
              <w:left w:val="nil"/>
              <w:bottom w:val="single" w:sz="4" w:space="0" w:color="auto"/>
              <w:right w:val="single" w:sz="4" w:space="0" w:color="auto"/>
            </w:tcBorders>
            <w:noWrap/>
            <w:vAlign w:val="center"/>
            <w:hideMark/>
          </w:tcPr>
          <w:p w14:paraId="5A88B8BD" w14:textId="77777777" w:rsidR="00590678" w:rsidRPr="003519B9" w:rsidRDefault="00590678" w:rsidP="007419D3">
            <w:pPr>
              <w:jc w:val="right"/>
              <w:rPr>
                <w:rFonts w:ascii="Arial" w:hAnsi="Arial" w:cs="Arial"/>
                <w:sz w:val="12"/>
                <w:szCs w:val="12"/>
                <w:lang w:val="en-GB" w:eastAsia="en-IN"/>
              </w:rPr>
            </w:pPr>
          </w:p>
        </w:tc>
        <w:tc>
          <w:tcPr>
            <w:tcW w:w="284" w:type="pct"/>
            <w:tcBorders>
              <w:top w:val="nil"/>
              <w:left w:val="nil"/>
              <w:bottom w:val="single" w:sz="4" w:space="0" w:color="auto"/>
              <w:right w:val="single" w:sz="4" w:space="0" w:color="auto"/>
            </w:tcBorders>
            <w:noWrap/>
            <w:vAlign w:val="center"/>
            <w:hideMark/>
          </w:tcPr>
          <w:p w14:paraId="4A240A58" w14:textId="77777777" w:rsidR="00590678" w:rsidRPr="003519B9" w:rsidRDefault="00590678" w:rsidP="007419D3">
            <w:pPr>
              <w:jc w:val="right"/>
              <w:rPr>
                <w:rFonts w:ascii="Arial" w:hAnsi="Arial" w:cs="Arial"/>
                <w:sz w:val="12"/>
                <w:szCs w:val="12"/>
                <w:lang w:val="en-GB" w:eastAsia="en-IN"/>
              </w:rPr>
            </w:pPr>
          </w:p>
        </w:tc>
        <w:tc>
          <w:tcPr>
            <w:tcW w:w="241" w:type="pct"/>
            <w:tcBorders>
              <w:top w:val="nil"/>
              <w:left w:val="nil"/>
              <w:bottom w:val="single" w:sz="4" w:space="0" w:color="auto"/>
              <w:right w:val="single" w:sz="4" w:space="0" w:color="auto"/>
            </w:tcBorders>
            <w:noWrap/>
            <w:vAlign w:val="center"/>
            <w:hideMark/>
          </w:tcPr>
          <w:p w14:paraId="63ADAA15"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1862D8D9"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2325C1EB"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7A8D19FA" w14:textId="77777777" w:rsidR="00590678" w:rsidRPr="003519B9" w:rsidRDefault="00590678" w:rsidP="007419D3">
            <w:pPr>
              <w:jc w:val="right"/>
              <w:rPr>
                <w:rFonts w:ascii="Arial" w:hAnsi="Arial" w:cs="Arial"/>
                <w:sz w:val="12"/>
                <w:szCs w:val="12"/>
                <w:lang w:val="en-GB" w:eastAsia="en-IN"/>
              </w:rPr>
            </w:pPr>
          </w:p>
        </w:tc>
        <w:tc>
          <w:tcPr>
            <w:tcW w:w="252" w:type="pct"/>
            <w:tcBorders>
              <w:top w:val="nil"/>
              <w:left w:val="nil"/>
              <w:bottom w:val="single" w:sz="4" w:space="0" w:color="auto"/>
              <w:right w:val="single" w:sz="4" w:space="0" w:color="auto"/>
            </w:tcBorders>
            <w:noWrap/>
            <w:vAlign w:val="center"/>
            <w:hideMark/>
          </w:tcPr>
          <w:p w14:paraId="122A8236" w14:textId="77777777" w:rsidR="00590678" w:rsidRPr="003519B9" w:rsidRDefault="00590678" w:rsidP="007419D3">
            <w:pPr>
              <w:jc w:val="right"/>
              <w:rPr>
                <w:rFonts w:ascii="Arial" w:hAnsi="Arial" w:cs="Arial"/>
                <w:sz w:val="12"/>
                <w:szCs w:val="12"/>
                <w:lang w:val="en-GB" w:eastAsia="en-IN"/>
              </w:rPr>
            </w:pPr>
          </w:p>
        </w:tc>
      </w:tr>
      <w:tr w:rsidR="00AF73D3" w:rsidRPr="003519B9" w14:paraId="0243AF1F"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2B0EBBE9" w14:textId="77777777" w:rsidR="00590678" w:rsidRPr="003519B9" w:rsidRDefault="00590678" w:rsidP="0058410C">
            <w:pPr>
              <w:rPr>
                <w:rFonts w:ascii="Arial" w:hAnsi="Arial" w:cs="Arial"/>
                <w:color w:val="000000"/>
                <w:sz w:val="12"/>
                <w:szCs w:val="12"/>
                <w:lang w:val="en-GB" w:eastAsia="en-IN"/>
              </w:rPr>
            </w:pPr>
            <w:r w:rsidRPr="003519B9">
              <w:rPr>
                <w:rFonts w:ascii="Arial" w:hAnsi="Arial" w:cs="Arial"/>
                <w:color w:val="000000"/>
                <w:sz w:val="12"/>
                <w:szCs w:val="12"/>
                <w:lang w:val="en-GB" w:eastAsia="en-IN"/>
              </w:rPr>
              <w:t>Long</w:t>
            </w:r>
            <w:r w:rsidR="00DD55F4" w:rsidRPr="003519B9">
              <w:rPr>
                <w:rFonts w:ascii="Arial" w:hAnsi="Arial" w:cs="Arial"/>
                <w:color w:val="000000"/>
                <w:sz w:val="12"/>
                <w:szCs w:val="12"/>
                <w:lang w:val="en-GB" w:eastAsia="en-IN"/>
              </w:rPr>
              <w:t>-T</w:t>
            </w:r>
            <w:r w:rsidRPr="003519B9">
              <w:rPr>
                <w:rFonts w:ascii="Arial" w:hAnsi="Arial" w:cs="Arial"/>
                <w:color w:val="000000"/>
                <w:sz w:val="12"/>
                <w:szCs w:val="12"/>
                <w:lang w:val="en-GB" w:eastAsia="en-IN"/>
              </w:rPr>
              <w:t xml:space="preserve">erm </w:t>
            </w:r>
            <w:r w:rsidR="00DD55F4" w:rsidRPr="003519B9">
              <w:rPr>
                <w:rFonts w:ascii="Arial" w:hAnsi="Arial" w:cs="Arial"/>
                <w:color w:val="000000"/>
                <w:sz w:val="12"/>
                <w:szCs w:val="12"/>
                <w:lang w:val="en-GB" w:eastAsia="en-IN"/>
              </w:rPr>
              <w:t>D</w:t>
            </w:r>
            <w:r w:rsidRPr="003519B9">
              <w:rPr>
                <w:rFonts w:ascii="Arial" w:hAnsi="Arial" w:cs="Arial"/>
                <w:color w:val="000000"/>
                <w:sz w:val="12"/>
                <w:szCs w:val="12"/>
                <w:lang w:val="en-GB" w:eastAsia="en-IN"/>
              </w:rPr>
              <w:t xml:space="preserve">ebt </w:t>
            </w:r>
          </w:p>
        </w:tc>
        <w:tc>
          <w:tcPr>
            <w:tcW w:w="213" w:type="pct"/>
            <w:tcBorders>
              <w:top w:val="nil"/>
              <w:left w:val="nil"/>
              <w:bottom w:val="single" w:sz="4" w:space="0" w:color="auto"/>
              <w:right w:val="single" w:sz="4" w:space="0" w:color="auto"/>
            </w:tcBorders>
            <w:noWrap/>
            <w:vAlign w:val="center"/>
            <w:hideMark/>
          </w:tcPr>
          <w:p w14:paraId="6F4B9D2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2,420</w:t>
            </w:r>
          </w:p>
        </w:tc>
        <w:tc>
          <w:tcPr>
            <w:tcW w:w="213" w:type="pct"/>
            <w:tcBorders>
              <w:top w:val="nil"/>
              <w:left w:val="nil"/>
              <w:bottom w:val="single" w:sz="4" w:space="0" w:color="auto"/>
              <w:right w:val="single" w:sz="4" w:space="0" w:color="auto"/>
            </w:tcBorders>
            <w:noWrap/>
            <w:vAlign w:val="center"/>
            <w:hideMark/>
          </w:tcPr>
          <w:p w14:paraId="42D8D44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6,290</w:t>
            </w:r>
          </w:p>
        </w:tc>
        <w:tc>
          <w:tcPr>
            <w:tcW w:w="250" w:type="pct"/>
            <w:tcBorders>
              <w:top w:val="nil"/>
              <w:left w:val="nil"/>
              <w:bottom w:val="single" w:sz="4" w:space="0" w:color="auto"/>
              <w:right w:val="single" w:sz="4" w:space="0" w:color="auto"/>
            </w:tcBorders>
            <w:noWrap/>
            <w:vAlign w:val="center"/>
            <w:hideMark/>
          </w:tcPr>
          <w:p w14:paraId="1353C1D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9,700</w:t>
            </w:r>
          </w:p>
        </w:tc>
        <w:tc>
          <w:tcPr>
            <w:tcW w:w="250" w:type="pct"/>
            <w:tcBorders>
              <w:top w:val="nil"/>
              <w:left w:val="nil"/>
              <w:bottom w:val="single" w:sz="4" w:space="0" w:color="auto"/>
              <w:right w:val="single" w:sz="4" w:space="0" w:color="auto"/>
            </w:tcBorders>
            <w:noWrap/>
            <w:vAlign w:val="center"/>
            <w:hideMark/>
          </w:tcPr>
          <w:p w14:paraId="0F3F409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9,160</w:t>
            </w:r>
          </w:p>
        </w:tc>
        <w:tc>
          <w:tcPr>
            <w:tcW w:w="250" w:type="pct"/>
            <w:tcBorders>
              <w:top w:val="nil"/>
              <w:left w:val="nil"/>
              <w:bottom w:val="single" w:sz="4" w:space="0" w:color="auto"/>
              <w:right w:val="single" w:sz="4" w:space="0" w:color="auto"/>
            </w:tcBorders>
            <w:noWrap/>
            <w:vAlign w:val="center"/>
            <w:hideMark/>
          </w:tcPr>
          <w:p w14:paraId="089E06F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8,060</w:t>
            </w:r>
          </w:p>
        </w:tc>
        <w:tc>
          <w:tcPr>
            <w:tcW w:w="250" w:type="pct"/>
            <w:tcBorders>
              <w:top w:val="nil"/>
              <w:left w:val="nil"/>
              <w:bottom w:val="single" w:sz="4" w:space="0" w:color="auto"/>
              <w:right w:val="single" w:sz="4" w:space="0" w:color="auto"/>
            </w:tcBorders>
            <w:noWrap/>
            <w:vAlign w:val="center"/>
            <w:hideMark/>
          </w:tcPr>
          <w:p w14:paraId="317E4CA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6,990</w:t>
            </w:r>
          </w:p>
        </w:tc>
        <w:tc>
          <w:tcPr>
            <w:tcW w:w="285" w:type="pct"/>
            <w:tcBorders>
              <w:top w:val="nil"/>
              <w:left w:val="nil"/>
              <w:bottom w:val="single" w:sz="4" w:space="0" w:color="auto"/>
              <w:right w:val="single" w:sz="4" w:space="0" w:color="auto"/>
            </w:tcBorders>
            <w:noWrap/>
            <w:vAlign w:val="center"/>
            <w:hideMark/>
          </w:tcPr>
          <w:p w14:paraId="5550A153"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5,910</w:t>
            </w:r>
          </w:p>
        </w:tc>
        <w:tc>
          <w:tcPr>
            <w:tcW w:w="250" w:type="pct"/>
            <w:tcBorders>
              <w:top w:val="nil"/>
              <w:left w:val="nil"/>
              <w:bottom w:val="single" w:sz="4" w:space="0" w:color="auto"/>
              <w:right w:val="single" w:sz="4" w:space="0" w:color="auto"/>
            </w:tcBorders>
            <w:noWrap/>
            <w:vAlign w:val="center"/>
            <w:hideMark/>
          </w:tcPr>
          <w:p w14:paraId="1149DF7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4,840</w:t>
            </w:r>
          </w:p>
        </w:tc>
        <w:tc>
          <w:tcPr>
            <w:tcW w:w="250" w:type="pct"/>
            <w:tcBorders>
              <w:top w:val="nil"/>
              <w:left w:val="nil"/>
              <w:bottom w:val="single" w:sz="4" w:space="0" w:color="auto"/>
              <w:right w:val="single" w:sz="4" w:space="0" w:color="auto"/>
            </w:tcBorders>
            <w:noWrap/>
            <w:vAlign w:val="center"/>
            <w:hideMark/>
          </w:tcPr>
          <w:p w14:paraId="5A0FC5A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3,760</w:t>
            </w:r>
          </w:p>
        </w:tc>
        <w:tc>
          <w:tcPr>
            <w:tcW w:w="250" w:type="pct"/>
            <w:tcBorders>
              <w:top w:val="nil"/>
              <w:left w:val="nil"/>
              <w:bottom w:val="single" w:sz="4" w:space="0" w:color="auto"/>
              <w:right w:val="single" w:sz="4" w:space="0" w:color="auto"/>
            </w:tcBorders>
            <w:noWrap/>
            <w:vAlign w:val="center"/>
            <w:hideMark/>
          </w:tcPr>
          <w:p w14:paraId="2A1E928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2,690</w:t>
            </w:r>
          </w:p>
        </w:tc>
        <w:tc>
          <w:tcPr>
            <w:tcW w:w="285" w:type="pct"/>
            <w:tcBorders>
              <w:top w:val="nil"/>
              <w:left w:val="nil"/>
              <w:bottom w:val="single" w:sz="4" w:space="0" w:color="auto"/>
              <w:right w:val="single" w:sz="4" w:space="0" w:color="auto"/>
            </w:tcBorders>
            <w:noWrap/>
            <w:vAlign w:val="center"/>
            <w:hideMark/>
          </w:tcPr>
          <w:p w14:paraId="71E900D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1,610</w:t>
            </w:r>
          </w:p>
        </w:tc>
        <w:tc>
          <w:tcPr>
            <w:tcW w:w="286" w:type="pct"/>
            <w:tcBorders>
              <w:top w:val="nil"/>
              <w:left w:val="nil"/>
              <w:bottom w:val="single" w:sz="4" w:space="0" w:color="auto"/>
              <w:right w:val="single" w:sz="4" w:space="0" w:color="auto"/>
            </w:tcBorders>
            <w:noWrap/>
            <w:vAlign w:val="center"/>
            <w:hideMark/>
          </w:tcPr>
          <w:p w14:paraId="12D30FBB"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540</w:t>
            </w:r>
          </w:p>
        </w:tc>
        <w:tc>
          <w:tcPr>
            <w:tcW w:w="284" w:type="pct"/>
            <w:tcBorders>
              <w:top w:val="nil"/>
              <w:left w:val="nil"/>
              <w:bottom w:val="single" w:sz="4" w:space="0" w:color="auto"/>
              <w:right w:val="single" w:sz="4" w:space="0" w:color="auto"/>
            </w:tcBorders>
            <w:noWrap/>
            <w:vAlign w:val="center"/>
            <w:hideMark/>
          </w:tcPr>
          <w:p w14:paraId="460F2CB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41" w:type="pct"/>
            <w:tcBorders>
              <w:top w:val="nil"/>
              <w:left w:val="nil"/>
              <w:bottom w:val="single" w:sz="4" w:space="0" w:color="auto"/>
              <w:right w:val="single" w:sz="4" w:space="0" w:color="auto"/>
            </w:tcBorders>
            <w:noWrap/>
            <w:vAlign w:val="center"/>
            <w:hideMark/>
          </w:tcPr>
          <w:p w14:paraId="4F33094C"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40" w:type="pct"/>
            <w:tcBorders>
              <w:top w:val="nil"/>
              <w:left w:val="nil"/>
              <w:bottom w:val="single" w:sz="4" w:space="0" w:color="auto"/>
              <w:right w:val="single" w:sz="4" w:space="0" w:color="auto"/>
            </w:tcBorders>
            <w:noWrap/>
            <w:vAlign w:val="center"/>
            <w:hideMark/>
          </w:tcPr>
          <w:p w14:paraId="73F897E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40" w:type="pct"/>
            <w:tcBorders>
              <w:top w:val="nil"/>
              <w:left w:val="nil"/>
              <w:bottom w:val="single" w:sz="4" w:space="0" w:color="auto"/>
              <w:right w:val="single" w:sz="4" w:space="0" w:color="auto"/>
            </w:tcBorders>
            <w:noWrap/>
            <w:vAlign w:val="center"/>
            <w:hideMark/>
          </w:tcPr>
          <w:p w14:paraId="22E7627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40" w:type="pct"/>
            <w:tcBorders>
              <w:top w:val="nil"/>
              <w:left w:val="nil"/>
              <w:bottom w:val="single" w:sz="4" w:space="0" w:color="auto"/>
              <w:right w:val="single" w:sz="4" w:space="0" w:color="auto"/>
            </w:tcBorders>
            <w:noWrap/>
            <w:vAlign w:val="center"/>
            <w:hideMark/>
          </w:tcPr>
          <w:p w14:paraId="21B92CE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2" w:type="pct"/>
            <w:tcBorders>
              <w:top w:val="nil"/>
              <w:left w:val="nil"/>
              <w:bottom w:val="single" w:sz="4" w:space="0" w:color="auto"/>
              <w:right w:val="single" w:sz="4" w:space="0" w:color="auto"/>
            </w:tcBorders>
            <w:noWrap/>
            <w:vAlign w:val="center"/>
            <w:hideMark/>
          </w:tcPr>
          <w:p w14:paraId="57FC39D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r>
      <w:tr w:rsidR="00AF73D3" w:rsidRPr="003519B9" w14:paraId="6A12DF89"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79A1ECB5" w14:textId="77777777" w:rsidR="00B1213B" w:rsidRPr="003519B9" w:rsidRDefault="00590678" w:rsidP="00AF73D3">
            <w:pPr>
              <w:rPr>
                <w:rFonts w:ascii="Arial" w:hAnsi="Arial" w:cs="Arial"/>
                <w:color w:val="000000"/>
                <w:sz w:val="12"/>
                <w:szCs w:val="12"/>
                <w:lang w:val="en-GB" w:eastAsia="en-IN"/>
              </w:rPr>
            </w:pPr>
            <w:r w:rsidRPr="003519B9">
              <w:rPr>
                <w:rFonts w:ascii="Arial" w:hAnsi="Arial" w:cs="Arial"/>
                <w:color w:val="000000"/>
                <w:sz w:val="12"/>
                <w:szCs w:val="12"/>
                <w:lang w:val="en-GB" w:eastAsia="en-IN"/>
              </w:rPr>
              <w:t xml:space="preserve">Working </w:t>
            </w:r>
            <w:r w:rsidR="00DD55F4" w:rsidRPr="003519B9">
              <w:rPr>
                <w:rFonts w:ascii="Arial" w:hAnsi="Arial" w:cs="Arial"/>
                <w:color w:val="000000"/>
                <w:sz w:val="12"/>
                <w:szCs w:val="12"/>
                <w:lang w:val="en-GB" w:eastAsia="en-IN"/>
              </w:rPr>
              <w:t>C</w:t>
            </w:r>
            <w:r w:rsidRPr="003519B9">
              <w:rPr>
                <w:rFonts w:ascii="Arial" w:hAnsi="Arial" w:cs="Arial"/>
                <w:color w:val="000000"/>
                <w:sz w:val="12"/>
                <w:szCs w:val="12"/>
                <w:lang w:val="en-GB" w:eastAsia="en-IN"/>
              </w:rPr>
              <w:t xml:space="preserve">apital </w:t>
            </w:r>
            <w:r w:rsidR="00DD55F4" w:rsidRPr="003519B9">
              <w:rPr>
                <w:rFonts w:ascii="Arial" w:hAnsi="Arial" w:cs="Arial"/>
                <w:color w:val="000000"/>
                <w:sz w:val="12"/>
                <w:szCs w:val="12"/>
                <w:lang w:val="en-GB" w:eastAsia="en-IN"/>
              </w:rPr>
              <w:t>B</w:t>
            </w:r>
            <w:r w:rsidRPr="003519B9">
              <w:rPr>
                <w:rFonts w:ascii="Arial" w:hAnsi="Arial" w:cs="Arial"/>
                <w:color w:val="000000"/>
                <w:sz w:val="12"/>
                <w:szCs w:val="12"/>
                <w:lang w:val="en-GB" w:eastAsia="en-IN"/>
              </w:rPr>
              <w:t xml:space="preserve">orrowings </w:t>
            </w:r>
          </w:p>
        </w:tc>
        <w:tc>
          <w:tcPr>
            <w:tcW w:w="213" w:type="pct"/>
            <w:tcBorders>
              <w:top w:val="nil"/>
              <w:left w:val="nil"/>
              <w:bottom w:val="single" w:sz="4" w:space="0" w:color="auto"/>
              <w:right w:val="single" w:sz="4" w:space="0" w:color="auto"/>
            </w:tcBorders>
            <w:noWrap/>
            <w:vAlign w:val="center"/>
            <w:hideMark/>
          </w:tcPr>
          <w:p w14:paraId="5402E1A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13" w:type="pct"/>
            <w:tcBorders>
              <w:top w:val="nil"/>
              <w:left w:val="nil"/>
              <w:bottom w:val="single" w:sz="4" w:space="0" w:color="auto"/>
              <w:right w:val="single" w:sz="4" w:space="0" w:color="auto"/>
            </w:tcBorders>
            <w:noWrap/>
            <w:vAlign w:val="center"/>
            <w:hideMark/>
          </w:tcPr>
          <w:p w14:paraId="0D97A4D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0D9C093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361ABB3B"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930</w:t>
            </w:r>
          </w:p>
        </w:tc>
        <w:tc>
          <w:tcPr>
            <w:tcW w:w="250" w:type="pct"/>
            <w:tcBorders>
              <w:top w:val="nil"/>
              <w:left w:val="nil"/>
              <w:bottom w:val="single" w:sz="4" w:space="0" w:color="auto"/>
              <w:right w:val="single" w:sz="4" w:space="0" w:color="auto"/>
            </w:tcBorders>
            <w:noWrap/>
            <w:vAlign w:val="center"/>
            <w:hideMark/>
          </w:tcPr>
          <w:p w14:paraId="3A8D9303"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940</w:t>
            </w:r>
          </w:p>
        </w:tc>
        <w:tc>
          <w:tcPr>
            <w:tcW w:w="250" w:type="pct"/>
            <w:tcBorders>
              <w:top w:val="nil"/>
              <w:left w:val="nil"/>
              <w:bottom w:val="single" w:sz="4" w:space="0" w:color="auto"/>
              <w:right w:val="single" w:sz="4" w:space="0" w:color="auto"/>
            </w:tcBorders>
            <w:noWrap/>
            <w:vAlign w:val="center"/>
            <w:hideMark/>
          </w:tcPr>
          <w:p w14:paraId="644DA5F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960</w:t>
            </w:r>
          </w:p>
        </w:tc>
        <w:tc>
          <w:tcPr>
            <w:tcW w:w="285" w:type="pct"/>
            <w:tcBorders>
              <w:top w:val="nil"/>
              <w:left w:val="nil"/>
              <w:bottom w:val="single" w:sz="4" w:space="0" w:color="auto"/>
              <w:right w:val="single" w:sz="4" w:space="0" w:color="auto"/>
            </w:tcBorders>
            <w:noWrap/>
            <w:vAlign w:val="center"/>
            <w:hideMark/>
          </w:tcPr>
          <w:p w14:paraId="11E5DB31"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980</w:t>
            </w:r>
          </w:p>
        </w:tc>
        <w:tc>
          <w:tcPr>
            <w:tcW w:w="250" w:type="pct"/>
            <w:tcBorders>
              <w:top w:val="nil"/>
              <w:left w:val="nil"/>
              <w:bottom w:val="single" w:sz="4" w:space="0" w:color="auto"/>
              <w:right w:val="single" w:sz="4" w:space="0" w:color="auto"/>
            </w:tcBorders>
            <w:noWrap/>
            <w:vAlign w:val="center"/>
            <w:hideMark/>
          </w:tcPr>
          <w:p w14:paraId="3A16991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990</w:t>
            </w:r>
          </w:p>
        </w:tc>
        <w:tc>
          <w:tcPr>
            <w:tcW w:w="250" w:type="pct"/>
            <w:tcBorders>
              <w:top w:val="nil"/>
              <w:left w:val="nil"/>
              <w:bottom w:val="single" w:sz="4" w:space="0" w:color="auto"/>
              <w:right w:val="single" w:sz="4" w:space="0" w:color="auto"/>
            </w:tcBorders>
            <w:noWrap/>
            <w:vAlign w:val="center"/>
            <w:hideMark/>
          </w:tcPr>
          <w:p w14:paraId="0FFB698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1,010</w:t>
            </w:r>
          </w:p>
        </w:tc>
        <w:tc>
          <w:tcPr>
            <w:tcW w:w="250" w:type="pct"/>
            <w:tcBorders>
              <w:top w:val="nil"/>
              <w:left w:val="nil"/>
              <w:bottom w:val="single" w:sz="4" w:space="0" w:color="auto"/>
              <w:right w:val="single" w:sz="4" w:space="0" w:color="auto"/>
            </w:tcBorders>
            <w:noWrap/>
            <w:vAlign w:val="center"/>
            <w:hideMark/>
          </w:tcPr>
          <w:p w14:paraId="3B0C7B5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1,030</w:t>
            </w:r>
          </w:p>
        </w:tc>
        <w:tc>
          <w:tcPr>
            <w:tcW w:w="285" w:type="pct"/>
            <w:tcBorders>
              <w:top w:val="nil"/>
              <w:left w:val="nil"/>
              <w:bottom w:val="single" w:sz="4" w:space="0" w:color="auto"/>
              <w:right w:val="single" w:sz="4" w:space="0" w:color="auto"/>
            </w:tcBorders>
            <w:noWrap/>
            <w:vAlign w:val="center"/>
            <w:hideMark/>
          </w:tcPr>
          <w:p w14:paraId="68E5B3B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1,050</w:t>
            </w:r>
          </w:p>
        </w:tc>
        <w:tc>
          <w:tcPr>
            <w:tcW w:w="286" w:type="pct"/>
            <w:tcBorders>
              <w:top w:val="nil"/>
              <w:left w:val="nil"/>
              <w:bottom w:val="single" w:sz="4" w:space="0" w:color="auto"/>
              <w:right w:val="single" w:sz="4" w:space="0" w:color="auto"/>
            </w:tcBorders>
            <w:noWrap/>
            <w:vAlign w:val="center"/>
            <w:hideMark/>
          </w:tcPr>
          <w:p w14:paraId="4F2D5DC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1,070</w:t>
            </w:r>
          </w:p>
        </w:tc>
        <w:tc>
          <w:tcPr>
            <w:tcW w:w="284" w:type="pct"/>
            <w:tcBorders>
              <w:top w:val="nil"/>
              <w:left w:val="nil"/>
              <w:bottom w:val="single" w:sz="4" w:space="0" w:color="auto"/>
              <w:right w:val="single" w:sz="4" w:space="0" w:color="auto"/>
            </w:tcBorders>
            <w:noWrap/>
            <w:vAlign w:val="center"/>
            <w:hideMark/>
          </w:tcPr>
          <w:p w14:paraId="1A72BE3C"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1,090</w:t>
            </w:r>
          </w:p>
        </w:tc>
        <w:tc>
          <w:tcPr>
            <w:tcW w:w="241" w:type="pct"/>
            <w:tcBorders>
              <w:top w:val="nil"/>
              <w:left w:val="nil"/>
              <w:bottom w:val="single" w:sz="4" w:space="0" w:color="auto"/>
              <w:right w:val="single" w:sz="4" w:space="0" w:color="auto"/>
            </w:tcBorders>
            <w:noWrap/>
            <w:vAlign w:val="center"/>
            <w:hideMark/>
          </w:tcPr>
          <w:p w14:paraId="3EF8C6B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1,110</w:t>
            </w:r>
          </w:p>
        </w:tc>
        <w:tc>
          <w:tcPr>
            <w:tcW w:w="240" w:type="pct"/>
            <w:tcBorders>
              <w:top w:val="nil"/>
              <w:left w:val="nil"/>
              <w:bottom w:val="single" w:sz="4" w:space="0" w:color="auto"/>
              <w:right w:val="single" w:sz="4" w:space="0" w:color="auto"/>
            </w:tcBorders>
            <w:noWrap/>
            <w:vAlign w:val="center"/>
            <w:hideMark/>
          </w:tcPr>
          <w:p w14:paraId="68EBEF7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1,130</w:t>
            </w:r>
          </w:p>
        </w:tc>
        <w:tc>
          <w:tcPr>
            <w:tcW w:w="240" w:type="pct"/>
            <w:tcBorders>
              <w:top w:val="nil"/>
              <w:left w:val="nil"/>
              <w:bottom w:val="single" w:sz="4" w:space="0" w:color="auto"/>
              <w:right w:val="single" w:sz="4" w:space="0" w:color="auto"/>
            </w:tcBorders>
            <w:noWrap/>
            <w:vAlign w:val="center"/>
            <w:hideMark/>
          </w:tcPr>
          <w:p w14:paraId="3E4E565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1,160</w:t>
            </w:r>
          </w:p>
        </w:tc>
        <w:tc>
          <w:tcPr>
            <w:tcW w:w="240" w:type="pct"/>
            <w:tcBorders>
              <w:top w:val="nil"/>
              <w:left w:val="nil"/>
              <w:bottom w:val="single" w:sz="4" w:space="0" w:color="auto"/>
              <w:right w:val="single" w:sz="4" w:space="0" w:color="auto"/>
            </w:tcBorders>
            <w:noWrap/>
            <w:vAlign w:val="center"/>
            <w:hideMark/>
          </w:tcPr>
          <w:p w14:paraId="5E5209BC"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1,180</w:t>
            </w:r>
          </w:p>
        </w:tc>
        <w:tc>
          <w:tcPr>
            <w:tcW w:w="252" w:type="pct"/>
            <w:tcBorders>
              <w:top w:val="nil"/>
              <w:left w:val="nil"/>
              <w:bottom w:val="single" w:sz="4" w:space="0" w:color="auto"/>
              <w:right w:val="single" w:sz="4" w:space="0" w:color="auto"/>
            </w:tcBorders>
            <w:noWrap/>
            <w:vAlign w:val="center"/>
            <w:hideMark/>
          </w:tcPr>
          <w:p w14:paraId="0C4C66D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1,200</w:t>
            </w:r>
          </w:p>
        </w:tc>
      </w:tr>
      <w:tr w:rsidR="00AF73D3" w:rsidRPr="003519B9" w14:paraId="7E4F41A3"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71166DE6" w14:textId="77777777" w:rsidR="00590678" w:rsidRPr="003519B9" w:rsidRDefault="00590678" w:rsidP="007419D3">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Total Borrowed Funds</w:t>
            </w:r>
          </w:p>
        </w:tc>
        <w:tc>
          <w:tcPr>
            <w:tcW w:w="213" w:type="pct"/>
            <w:tcBorders>
              <w:top w:val="nil"/>
              <w:left w:val="nil"/>
              <w:bottom w:val="single" w:sz="4" w:space="0" w:color="auto"/>
              <w:right w:val="single" w:sz="4" w:space="0" w:color="auto"/>
            </w:tcBorders>
            <w:noWrap/>
            <w:vAlign w:val="center"/>
            <w:hideMark/>
          </w:tcPr>
          <w:p w14:paraId="0482F650"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2,420</w:t>
            </w:r>
          </w:p>
        </w:tc>
        <w:tc>
          <w:tcPr>
            <w:tcW w:w="213" w:type="pct"/>
            <w:tcBorders>
              <w:top w:val="nil"/>
              <w:left w:val="nil"/>
              <w:bottom w:val="single" w:sz="4" w:space="0" w:color="auto"/>
              <w:right w:val="single" w:sz="4" w:space="0" w:color="auto"/>
            </w:tcBorders>
            <w:noWrap/>
            <w:vAlign w:val="center"/>
            <w:hideMark/>
          </w:tcPr>
          <w:p w14:paraId="2F3001F4"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6,290</w:t>
            </w:r>
          </w:p>
        </w:tc>
        <w:tc>
          <w:tcPr>
            <w:tcW w:w="250" w:type="pct"/>
            <w:tcBorders>
              <w:top w:val="nil"/>
              <w:left w:val="nil"/>
              <w:bottom w:val="single" w:sz="4" w:space="0" w:color="auto"/>
              <w:right w:val="single" w:sz="4" w:space="0" w:color="auto"/>
            </w:tcBorders>
            <w:noWrap/>
            <w:vAlign w:val="center"/>
            <w:hideMark/>
          </w:tcPr>
          <w:p w14:paraId="5FC7AB88"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9,700</w:t>
            </w:r>
          </w:p>
        </w:tc>
        <w:tc>
          <w:tcPr>
            <w:tcW w:w="250" w:type="pct"/>
            <w:tcBorders>
              <w:top w:val="nil"/>
              <w:left w:val="nil"/>
              <w:bottom w:val="single" w:sz="4" w:space="0" w:color="auto"/>
              <w:right w:val="single" w:sz="4" w:space="0" w:color="auto"/>
            </w:tcBorders>
            <w:noWrap/>
            <w:vAlign w:val="center"/>
            <w:hideMark/>
          </w:tcPr>
          <w:p w14:paraId="0A0C5B99"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10,090</w:t>
            </w:r>
          </w:p>
        </w:tc>
        <w:tc>
          <w:tcPr>
            <w:tcW w:w="250" w:type="pct"/>
            <w:tcBorders>
              <w:top w:val="nil"/>
              <w:left w:val="nil"/>
              <w:bottom w:val="single" w:sz="4" w:space="0" w:color="auto"/>
              <w:right w:val="single" w:sz="4" w:space="0" w:color="auto"/>
            </w:tcBorders>
            <w:noWrap/>
            <w:vAlign w:val="center"/>
            <w:hideMark/>
          </w:tcPr>
          <w:p w14:paraId="1722B23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9,000</w:t>
            </w:r>
          </w:p>
        </w:tc>
        <w:tc>
          <w:tcPr>
            <w:tcW w:w="250" w:type="pct"/>
            <w:tcBorders>
              <w:top w:val="nil"/>
              <w:left w:val="nil"/>
              <w:bottom w:val="single" w:sz="4" w:space="0" w:color="auto"/>
              <w:right w:val="single" w:sz="4" w:space="0" w:color="auto"/>
            </w:tcBorders>
            <w:noWrap/>
            <w:vAlign w:val="center"/>
            <w:hideMark/>
          </w:tcPr>
          <w:p w14:paraId="291C5D5F"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7,950</w:t>
            </w:r>
          </w:p>
        </w:tc>
        <w:tc>
          <w:tcPr>
            <w:tcW w:w="285" w:type="pct"/>
            <w:tcBorders>
              <w:top w:val="nil"/>
              <w:left w:val="nil"/>
              <w:bottom w:val="single" w:sz="4" w:space="0" w:color="auto"/>
              <w:right w:val="single" w:sz="4" w:space="0" w:color="auto"/>
            </w:tcBorders>
            <w:noWrap/>
            <w:vAlign w:val="center"/>
            <w:hideMark/>
          </w:tcPr>
          <w:p w14:paraId="4036DA7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6,890</w:t>
            </w:r>
          </w:p>
        </w:tc>
        <w:tc>
          <w:tcPr>
            <w:tcW w:w="250" w:type="pct"/>
            <w:tcBorders>
              <w:top w:val="nil"/>
              <w:left w:val="nil"/>
              <w:bottom w:val="single" w:sz="4" w:space="0" w:color="auto"/>
              <w:right w:val="single" w:sz="4" w:space="0" w:color="auto"/>
            </w:tcBorders>
            <w:noWrap/>
            <w:vAlign w:val="center"/>
            <w:hideMark/>
          </w:tcPr>
          <w:p w14:paraId="136879C7"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5,830</w:t>
            </w:r>
          </w:p>
        </w:tc>
        <w:tc>
          <w:tcPr>
            <w:tcW w:w="250" w:type="pct"/>
            <w:tcBorders>
              <w:top w:val="nil"/>
              <w:left w:val="nil"/>
              <w:bottom w:val="single" w:sz="4" w:space="0" w:color="auto"/>
              <w:right w:val="single" w:sz="4" w:space="0" w:color="auto"/>
            </w:tcBorders>
            <w:noWrap/>
            <w:vAlign w:val="center"/>
            <w:hideMark/>
          </w:tcPr>
          <w:p w14:paraId="2A1479A5"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4,770</w:t>
            </w:r>
          </w:p>
        </w:tc>
        <w:tc>
          <w:tcPr>
            <w:tcW w:w="250" w:type="pct"/>
            <w:tcBorders>
              <w:top w:val="nil"/>
              <w:left w:val="nil"/>
              <w:bottom w:val="single" w:sz="4" w:space="0" w:color="auto"/>
              <w:right w:val="single" w:sz="4" w:space="0" w:color="auto"/>
            </w:tcBorders>
            <w:noWrap/>
            <w:vAlign w:val="center"/>
            <w:hideMark/>
          </w:tcPr>
          <w:p w14:paraId="6E8B8B2D"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3,720</w:t>
            </w:r>
          </w:p>
        </w:tc>
        <w:tc>
          <w:tcPr>
            <w:tcW w:w="285" w:type="pct"/>
            <w:tcBorders>
              <w:top w:val="nil"/>
              <w:left w:val="nil"/>
              <w:bottom w:val="single" w:sz="4" w:space="0" w:color="auto"/>
              <w:right w:val="single" w:sz="4" w:space="0" w:color="auto"/>
            </w:tcBorders>
            <w:noWrap/>
            <w:vAlign w:val="center"/>
            <w:hideMark/>
          </w:tcPr>
          <w:p w14:paraId="7A672E30"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2,660</w:t>
            </w:r>
          </w:p>
        </w:tc>
        <w:tc>
          <w:tcPr>
            <w:tcW w:w="286" w:type="pct"/>
            <w:tcBorders>
              <w:top w:val="nil"/>
              <w:left w:val="nil"/>
              <w:bottom w:val="single" w:sz="4" w:space="0" w:color="auto"/>
              <w:right w:val="single" w:sz="4" w:space="0" w:color="auto"/>
            </w:tcBorders>
            <w:noWrap/>
            <w:vAlign w:val="center"/>
            <w:hideMark/>
          </w:tcPr>
          <w:p w14:paraId="6363D68E"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1,610</w:t>
            </w:r>
          </w:p>
        </w:tc>
        <w:tc>
          <w:tcPr>
            <w:tcW w:w="284" w:type="pct"/>
            <w:tcBorders>
              <w:top w:val="nil"/>
              <w:left w:val="nil"/>
              <w:bottom w:val="single" w:sz="4" w:space="0" w:color="auto"/>
              <w:right w:val="single" w:sz="4" w:space="0" w:color="auto"/>
            </w:tcBorders>
            <w:noWrap/>
            <w:vAlign w:val="center"/>
            <w:hideMark/>
          </w:tcPr>
          <w:p w14:paraId="082AEDD1"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1,090</w:t>
            </w:r>
          </w:p>
        </w:tc>
        <w:tc>
          <w:tcPr>
            <w:tcW w:w="241" w:type="pct"/>
            <w:tcBorders>
              <w:top w:val="nil"/>
              <w:left w:val="nil"/>
              <w:bottom w:val="single" w:sz="4" w:space="0" w:color="auto"/>
              <w:right w:val="single" w:sz="4" w:space="0" w:color="auto"/>
            </w:tcBorders>
            <w:noWrap/>
            <w:vAlign w:val="center"/>
            <w:hideMark/>
          </w:tcPr>
          <w:p w14:paraId="71F21170"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1,110</w:t>
            </w:r>
          </w:p>
        </w:tc>
        <w:tc>
          <w:tcPr>
            <w:tcW w:w="240" w:type="pct"/>
            <w:tcBorders>
              <w:top w:val="nil"/>
              <w:left w:val="nil"/>
              <w:bottom w:val="single" w:sz="4" w:space="0" w:color="auto"/>
              <w:right w:val="single" w:sz="4" w:space="0" w:color="auto"/>
            </w:tcBorders>
            <w:noWrap/>
            <w:vAlign w:val="center"/>
            <w:hideMark/>
          </w:tcPr>
          <w:p w14:paraId="6E93DD76"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1,130</w:t>
            </w:r>
          </w:p>
        </w:tc>
        <w:tc>
          <w:tcPr>
            <w:tcW w:w="240" w:type="pct"/>
            <w:tcBorders>
              <w:top w:val="nil"/>
              <w:left w:val="nil"/>
              <w:bottom w:val="single" w:sz="4" w:space="0" w:color="auto"/>
              <w:right w:val="single" w:sz="4" w:space="0" w:color="auto"/>
            </w:tcBorders>
            <w:noWrap/>
            <w:vAlign w:val="center"/>
            <w:hideMark/>
          </w:tcPr>
          <w:p w14:paraId="39A3E7B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1,160</w:t>
            </w:r>
          </w:p>
        </w:tc>
        <w:tc>
          <w:tcPr>
            <w:tcW w:w="240" w:type="pct"/>
            <w:tcBorders>
              <w:top w:val="nil"/>
              <w:left w:val="nil"/>
              <w:bottom w:val="single" w:sz="4" w:space="0" w:color="auto"/>
              <w:right w:val="single" w:sz="4" w:space="0" w:color="auto"/>
            </w:tcBorders>
            <w:noWrap/>
            <w:vAlign w:val="center"/>
            <w:hideMark/>
          </w:tcPr>
          <w:p w14:paraId="5FFDF87A"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1,180</w:t>
            </w:r>
          </w:p>
        </w:tc>
        <w:tc>
          <w:tcPr>
            <w:tcW w:w="252" w:type="pct"/>
            <w:tcBorders>
              <w:top w:val="nil"/>
              <w:left w:val="nil"/>
              <w:bottom w:val="single" w:sz="4" w:space="0" w:color="auto"/>
              <w:right w:val="single" w:sz="4" w:space="0" w:color="auto"/>
            </w:tcBorders>
            <w:noWrap/>
            <w:vAlign w:val="center"/>
            <w:hideMark/>
          </w:tcPr>
          <w:p w14:paraId="2D3250B7"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1,200</w:t>
            </w:r>
          </w:p>
        </w:tc>
      </w:tr>
      <w:tr w:rsidR="00AF73D3" w:rsidRPr="003519B9" w14:paraId="195D2221" w14:textId="77777777" w:rsidTr="00AF73D3">
        <w:trPr>
          <w:trHeight w:val="197"/>
          <w:jc w:val="center"/>
        </w:trPr>
        <w:tc>
          <w:tcPr>
            <w:tcW w:w="471" w:type="pct"/>
            <w:tcBorders>
              <w:top w:val="nil"/>
              <w:left w:val="single" w:sz="4" w:space="0" w:color="auto"/>
              <w:bottom w:val="single" w:sz="4" w:space="0" w:color="auto"/>
              <w:right w:val="single" w:sz="4" w:space="0" w:color="auto"/>
            </w:tcBorders>
            <w:noWrap/>
            <w:vAlign w:val="center"/>
            <w:hideMark/>
          </w:tcPr>
          <w:p w14:paraId="4195FD28" w14:textId="77777777" w:rsidR="00590678" w:rsidRPr="003519B9" w:rsidRDefault="00590678" w:rsidP="007419D3">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Total Liabilities</w:t>
            </w:r>
          </w:p>
        </w:tc>
        <w:tc>
          <w:tcPr>
            <w:tcW w:w="213" w:type="pct"/>
            <w:tcBorders>
              <w:top w:val="nil"/>
              <w:left w:val="nil"/>
              <w:bottom w:val="single" w:sz="4" w:space="0" w:color="auto"/>
              <w:right w:val="single" w:sz="4" w:space="0" w:color="auto"/>
            </w:tcBorders>
            <w:noWrap/>
            <w:vAlign w:val="center"/>
            <w:hideMark/>
          </w:tcPr>
          <w:p w14:paraId="321DB396"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3,460</w:t>
            </w:r>
          </w:p>
        </w:tc>
        <w:tc>
          <w:tcPr>
            <w:tcW w:w="213" w:type="pct"/>
            <w:tcBorders>
              <w:top w:val="nil"/>
              <w:left w:val="nil"/>
              <w:bottom w:val="single" w:sz="4" w:space="0" w:color="auto"/>
              <w:right w:val="single" w:sz="4" w:space="0" w:color="auto"/>
            </w:tcBorders>
            <w:noWrap/>
            <w:vAlign w:val="center"/>
            <w:hideMark/>
          </w:tcPr>
          <w:p w14:paraId="387F42F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8,980</w:t>
            </w:r>
          </w:p>
        </w:tc>
        <w:tc>
          <w:tcPr>
            <w:tcW w:w="250" w:type="pct"/>
            <w:tcBorders>
              <w:top w:val="nil"/>
              <w:left w:val="nil"/>
              <w:bottom w:val="single" w:sz="4" w:space="0" w:color="auto"/>
              <w:right w:val="single" w:sz="4" w:space="0" w:color="auto"/>
            </w:tcBorders>
            <w:noWrap/>
            <w:vAlign w:val="center"/>
            <w:hideMark/>
          </w:tcPr>
          <w:p w14:paraId="05396796"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13,860</w:t>
            </w:r>
          </w:p>
        </w:tc>
        <w:tc>
          <w:tcPr>
            <w:tcW w:w="250" w:type="pct"/>
            <w:tcBorders>
              <w:top w:val="nil"/>
              <w:left w:val="nil"/>
              <w:bottom w:val="single" w:sz="4" w:space="0" w:color="auto"/>
              <w:right w:val="single" w:sz="4" w:space="0" w:color="auto"/>
            </w:tcBorders>
            <w:noWrap/>
            <w:vAlign w:val="center"/>
            <w:hideMark/>
          </w:tcPr>
          <w:p w14:paraId="06479527"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15,220</w:t>
            </w:r>
          </w:p>
        </w:tc>
        <w:tc>
          <w:tcPr>
            <w:tcW w:w="250" w:type="pct"/>
            <w:tcBorders>
              <w:top w:val="nil"/>
              <w:left w:val="nil"/>
              <w:bottom w:val="single" w:sz="4" w:space="0" w:color="auto"/>
              <w:right w:val="single" w:sz="4" w:space="0" w:color="auto"/>
            </w:tcBorders>
            <w:noWrap/>
            <w:vAlign w:val="center"/>
            <w:hideMark/>
          </w:tcPr>
          <w:p w14:paraId="03319A5E"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15,150</w:t>
            </w:r>
          </w:p>
        </w:tc>
        <w:tc>
          <w:tcPr>
            <w:tcW w:w="250" w:type="pct"/>
            <w:tcBorders>
              <w:top w:val="nil"/>
              <w:left w:val="nil"/>
              <w:bottom w:val="single" w:sz="4" w:space="0" w:color="auto"/>
              <w:right w:val="single" w:sz="4" w:space="0" w:color="auto"/>
            </w:tcBorders>
            <w:noWrap/>
            <w:vAlign w:val="center"/>
            <w:hideMark/>
          </w:tcPr>
          <w:p w14:paraId="20FBA72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15,190</w:t>
            </w:r>
          </w:p>
        </w:tc>
        <w:tc>
          <w:tcPr>
            <w:tcW w:w="285" w:type="pct"/>
            <w:tcBorders>
              <w:top w:val="nil"/>
              <w:left w:val="nil"/>
              <w:bottom w:val="single" w:sz="4" w:space="0" w:color="auto"/>
              <w:right w:val="single" w:sz="4" w:space="0" w:color="auto"/>
            </w:tcBorders>
            <w:noWrap/>
            <w:vAlign w:val="center"/>
            <w:hideMark/>
          </w:tcPr>
          <w:p w14:paraId="7148FE1A"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15,280</w:t>
            </w:r>
          </w:p>
        </w:tc>
        <w:tc>
          <w:tcPr>
            <w:tcW w:w="250" w:type="pct"/>
            <w:tcBorders>
              <w:top w:val="nil"/>
              <w:left w:val="nil"/>
              <w:bottom w:val="single" w:sz="4" w:space="0" w:color="auto"/>
              <w:right w:val="single" w:sz="4" w:space="0" w:color="auto"/>
            </w:tcBorders>
            <w:noWrap/>
            <w:vAlign w:val="center"/>
            <w:hideMark/>
          </w:tcPr>
          <w:p w14:paraId="1849285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15,430</w:t>
            </w:r>
          </w:p>
        </w:tc>
        <w:tc>
          <w:tcPr>
            <w:tcW w:w="250" w:type="pct"/>
            <w:tcBorders>
              <w:top w:val="nil"/>
              <w:left w:val="nil"/>
              <w:bottom w:val="single" w:sz="4" w:space="0" w:color="auto"/>
              <w:right w:val="single" w:sz="4" w:space="0" w:color="auto"/>
            </w:tcBorders>
            <w:noWrap/>
            <w:vAlign w:val="center"/>
            <w:hideMark/>
          </w:tcPr>
          <w:p w14:paraId="499DD6BE"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15,640</w:t>
            </w:r>
          </w:p>
        </w:tc>
        <w:tc>
          <w:tcPr>
            <w:tcW w:w="250" w:type="pct"/>
            <w:tcBorders>
              <w:top w:val="nil"/>
              <w:left w:val="nil"/>
              <w:bottom w:val="single" w:sz="4" w:space="0" w:color="auto"/>
              <w:right w:val="single" w:sz="4" w:space="0" w:color="auto"/>
            </w:tcBorders>
            <w:noWrap/>
            <w:vAlign w:val="center"/>
            <w:hideMark/>
          </w:tcPr>
          <w:p w14:paraId="47440CE4"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15,920</w:t>
            </w:r>
          </w:p>
        </w:tc>
        <w:tc>
          <w:tcPr>
            <w:tcW w:w="285" w:type="pct"/>
            <w:tcBorders>
              <w:top w:val="nil"/>
              <w:left w:val="nil"/>
              <w:bottom w:val="single" w:sz="4" w:space="0" w:color="auto"/>
              <w:right w:val="single" w:sz="4" w:space="0" w:color="auto"/>
            </w:tcBorders>
            <w:noWrap/>
            <w:vAlign w:val="center"/>
            <w:hideMark/>
          </w:tcPr>
          <w:p w14:paraId="18AF66D0"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16,250</w:t>
            </w:r>
          </w:p>
        </w:tc>
        <w:tc>
          <w:tcPr>
            <w:tcW w:w="286" w:type="pct"/>
            <w:tcBorders>
              <w:top w:val="nil"/>
              <w:left w:val="nil"/>
              <w:bottom w:val="single" w:sz="4" w:space="0" w:color="auto"/>
              <w:right w:val="single" w:sz="4" w:space="0" w:color="auto"/>
            </w:tcBorders>
            <w:noWrap/>
            <w:vAlign w:val="center"/>
            <w:hideMark/>
          </w:tcPr>
          <w:p w14:paraId="1C080731"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16,670</w:t>
            </w:r>
          </w:p>
        </w:tc>
        <w:tc>
          <w:tcPr>
            <w:tcW w:w="284" w:type="pct"/>
            <w:tcBorders>
              <w:top w:val="nil"/>
              <w:left w:val="nil"/>
              <w:bottom w:val="single" w:sz="4" w:space="0" w:color="auto"/>
              <w:right w:val="single" w:sz="4" w:space="0" w:color="auto"/>
            </w:tcBorders>
            <w:noWrap/>
            <w:vAlign w:val="center"/>
            <w:hideMark/>
          </w:tcPr>
          <w:p w14:paraId="7B089D2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17,680</w:t>
            </w:r>
          </w:p>
        </w:tc>
        <w:tc>
          <w:tcPr>
            <w:tcW w:w="241" w:type="pct"/>
            <w:tcBorders>
              <w:top w:val="nil"/>
              <w:left w:val="nil"/>
              <w:bottom w:val="single" w:sz="4" w:space="0" w:color="auto"/>
              <w:right w:val="single" w:sz="4" w:space="0" w:color="auto"/>
            </w:tcBorders>
            <w:noWrap/>
            <w:vAlign w:val="center"/>
            <w:hideMark/>
          </w:tcPr>
          <w:p w14:paraId="1482679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19,200</w:t>
            </w:r>
          </w:p>
        </w:tc>
        <w:tc>
          <w:tcPr>
            <w:tcW w:w="240" w:type="pct"/>
            <w:tcBorders>
              <w:top w:val="nil"/>
              <w:left w:val="nil"/>
              <w:bottom w:val="single" w:sz="4" w:space="0" w:color="auto"/>
              <w:right w:val="single" w:sz="4" w:space="0" w:color="auto"/>
            </w:tcBorders>
            <w:noWrap/>
            <w:vAlign w:val="center"/>
            <w:hideMark/>
          </w:tcPr>
          <w:p w14:paraId="69CC03B5"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20,680</w:t>
            </w:r>
          </w:p>
        </w:tc>
        <w:tc>
          <w:tcPr>
            <w:tcW w:w="240" w:type="pct"/>
            <w:tcBorders>
              <w:top w:val="nil"/>
              <w:left w:val="nil"/>
              <w:bottom w:val="single" w:sz="4" w:space="0" w:color="auto"/>
              <w:right w:val="single" w:sz="4" w:space="0" w:color="auto"/>
            </w:tcBorders>
            <w:noWrap/>
            <w:vAlign w:val="center"/>
            <w:hideMark/>
          </w:tcPr>
          <w:p w14:paraId="52B7356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22,110</w:t>
            </w:r>
          </w:p>
        </w:tc>
        <w:tc>
          <w:tcPr>
            <w:tcW w:w="240" w:type="pct"/>
            <w:tcBorders>
              <w:top w:val="nil"/>
              <w:left w:val="nil"/>
              <w:bottom w:val="single" w:sz="4" w:space="0" w:color="auto"/>
              <w:right w:val="single" w:sz="4" w:space="0" w:color="auto"/>
            </w:tcBorders>
            <w:noWrap/>
            <w:vAlign w:val="center"/>
            <w:hideMark/>
          </w:tcPr>
          <w:p w14:paraId="5987C964"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23,470</w:t>
            </w:r>
          </w:p>
        </w:tc>
        <w:tc>
          <w:tcPr>
            <w:tcW w:w="252" w:type="pct"/>
            <w:tcBorders>
              <w:top w:val="nil"/>
              <w:left w:val="nil"/>
              <w:bottom w:val="single" w:sz="4" w:space="0" w:color="auto"/>
              <w:right w:val="single" w:sz="4" w:space="0" w:color="auto"/>
            </w:tcBorders>
            <w:noWrap/>
            <w:vAlign w:val="center"/>
            <w:hideMark/>
          </w:tcPr>
          <w:p w14:paraId="4945E488"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24,770</w:t>
            </w:r>
          </w:p>
        </w:tc>
      </w:tr>
      <w:tr w:rsidR="00AF73D3" w:rsidRPr="003519B9" w14:paraId="1E5C0AC5" w14:textId="77777777" w:rsidTr="00AF73D3">
        <w:trPr>
          <w:trHeight w:val="287"/>
          <w:jc w:val="center"/>
        </w:trPr>
        <w:tc>
          <w:tcPr>
            <w:tcW w:w="471" w:type="pct"/>
            <w:tcBorders>
              <w:top w:val="nil"/>
              <w:left w:val="single" w:sz="4" w:space="0" w:color="auto"/>
              <w:bottom w:val="single" w:sz="4" w:space="0" w:color="auto"/>
              <w:right w:val="single" w:sz="4" w:space="0" w:color="auto"/>
            </w:tcBorders>
            <w:noWrap/>
            <w:vAlign w:val="center"/>
            <w:hideMark/>
          </w:tcPr>
          <w:p w14:paraId="24F314F8" w14:textId="77777777" w:rsidR="00590678" w:rsidRPr="003519B9" w:rsidRDefault="00590678" w:rsidP="007419D3">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Assets</w:t>
            </w:r>
          </w:p>
        </w:tc>
        <w:tc>
          <w:tcPr>
            <w:tcW w:w="213" w:type="pct"/>
            <w:tcBorders>
              <w:top w:val="nil"/>
              <w:left w:val="nil"/>
              <w:bottom w:val="single" w:sz="4" w:space="0" w:color="auto"/>
              <w:right w:val="single" w:sz="4" w:space="0" w:color="auto"/>
            </w:tcBorders>
            <w:noWrap/>
            <w:vAlign w:val="center"/>
            <w:hideMark/>
          </w:tcPr>
          <w:p w14:paraId="1C7844CA" w14:textId="77777777" w:rsidR="00590678" w:rsidRPr="003519B9" w:rsidRDefault="00590678" w:rsidP="007419D3">
            <w:pPr>
              <w:jc w:val="right"/>
              <w:rPr>
                <w:rFonts w:ascii="Arial" w:hAnsi="Arial" w:cs="Arial"/>
                <w:sz w:val="12"/>
                <w:szCs w:val="12"/>
                <w:lang w:val="en-GB" w:eastAsia="en-IN"/>
              </w:rPr>
            </w:pPr>
          </w:p>
        </w:tc>
        <w:tc>
          <w:tcPr>
            <w:tcW w:w="213" w:type="pct"/>
            <w:tcBorders>
              <w:top w:val="nil"/>
              <w:left w:val="nil"/>
              <w:bottom w:val="single" w:sz="4" w:space="0" w:color="auto"/>
              <w:right w:val="single" w:sz="4" w:space="0" w:color="auto"/>
            </w:tcBorders>
            <w:noWrap/>
            <w:vAlign w:val="center"/>
            <w:hideMark/>
          </w:tcPr>
          <w:p w14:paraId="4CF3B2ED"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3C241B1E"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503132C0"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0A74DC53"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40351732"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4FC7B819"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3BEE763E"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463AF639" w14:textId="77777777" w:rsidR="00590678" w:rsidRPr="003519B9" w:rsidRDefault="00590678" w:rsidP="007419D3">
            <w:pPr>
              <w:jc w:val="right"/>
              <w:rPr>
                <w:rFonts w:ascii="Arial" w:hAnsi="Arial" w:cs="Arial"/>
                <w:sz w:val="12"/>
                <w:szCs w:val="12"/>
                <w:lang w:val="en-GB" w:eastAsia="en-IN"/>
              </w:rPr>
            </w:pPr>
          </w:p>
        </w:tc>
        <w:tc>
          <w:tcPr>
            <w:tcW w:w="250" w:type="pct"/>
            <w:tcBorders>
              <w:top w:val="nil"/>
              <w:left w:val="nil"/>
              <w:bottom w:val="single" w:sz="4" w:space="0" w:color="auto"/>
              <w:right w:val="single" w:sz="4" w:space="0" w:color="auto"/>
            </w:tcBorders>
            <w:noWrap/>
            <w:vAlign w:val="center"/>
            <w:hideMark/>
          </w:tcPr>
          <w:p w14:paraId="5F04D068" w14:textId="77777777" w:rsidR="00590678" w:rsidRPr="003519B9" w:rsidRDefault="00590678" w:rsidP="007419D3">
            <w:pPr>
              <w:jc w:val="right"/>
              <w:rPr>
                <w:rFonts w:ascii="Arial" w:hAnsi="Arial" w:cs="Arial"/>
                <w:sz w:val="12"/>
                <w:szCs w:val="12"/>
                <w:lang w:val="en-GB" w:eastAsia="en-IN"/>
              </w:rPr>
            </w:pPr>
          </w:p>
        </w:tc>
        <w:tc>
          <w:tcPr>
            <w:tcW w:w="285" w:type="pct"/>
            <w:tcBorders>
              <w:top w:val="nil"/>
              <w:left w:val="nil"/>
              <w:bottom w:val="single" w:sz="4" w:space="0" w:color="auto"/>
              <w:right w:val="single" w:sz="4" w:space="0" w:color="auto"/>
            </w:tcBorders>
            <w:noWrap/>
            <w:vAlign w:val="center"/>
            <w:hideMark/>
          </w:tcPr>
          <w:p w14:paraId="56BC0E9B" w14:textId="77777777" w:rsidR="00590678" w:rsidRPr="003519B9" w:rsidRDefault="00590678" w:rsidP="007419D3">
            <w:pPr>
              <w:jc w:val="right"/>
              <w:rPr>
                <w:rFonts w:ascii="Arial" w:hAnsi="Arial" w:cs="Arial"/>
                <w:sz w:val="12"/>
                <w:szCs w:val="12"/>
                <w:lang w:val="en-GB" w:eastAsia="en-IN"/>
              </w:rPr>
            </w:pPr>
          </w:p>
        </w:tc>
        <w:tc>
          <w:tcPr>
            <w:tcW w:w="286" w:type="pct"/>
            <w:tcBorders>
              <w:top w:val="nil"/>
              <w:left w:val="nil"/>
              <w:bottom w:val="single" w:sz="4" w:space="0" w:color="auto"/>
              <w:right w:val="single" w:sz="4" w:space="0" w:color="auto"/>
            </w:tcBorders>
            <w:noWrap/>
            <w:vAlign w:val="center"/>
            <w:hideMark/>
          </w:tcPr>
          <w:p w14:paraId="07892E92" w14:textId="77777777" w:rsidR="00590678" w:rsidRPr="003519B9" w:rsidRDefault="00590678" w:rsidP="007419D3">
            <w:pPr>
              <w:jc w:val="right"/>
              <w:rPr>
                <w:rFonts w:ascii="Arial" w:hAnsi="Arial" w:cs="Arial"/>
                <w:sz w:val="12"/>
                <w:szCs w:val="12"/>
                <w:lang w:val="en-GB" w:eastAsia="en-IN"/>
              </w:rPr>
            </w:pPr>
          </w:p>
        </w:tc>
        <w:tc>
          <w:tcPr>
            <w:tcW w:w="284" w:type="pct"/>
            <w:tcBorders>
              <w:top w:val="nil"/>
              <w:left w:val="nil"/>
              <w:bottom w:val="single" w:sz="4" w:space="0" w:color="auto"/>
              <w:right w:val="single" w:sz="4" w:space="0" w:color="auto"/>
            </w:tcBorders>
            <w:noWrap/>
            <w:vAlign w:val="center"/>
            <w:hideMark/>
          </w:tcPr>
          <w:p w14:paraId="34CC5DD9" w14:textId="77777777" w:rsidR="00590678" w:rsidRPr="003519B9" w:rsidRDefault="00590678" w:rsidP="007419D3">
            <w:pPr>
              <w:jc w:val="right"/>
              <w:rPr>
                <w:rFonts w:ascii="Arial" w:hAnsi="Arial" w:cs="Arial"/>
                <w:sz w:val="12"/>
                <w:szCs w:val="12"/>
                <w:lang w:val="en-GB" w:eastAsia="en-IN"/>
              </w:rPr>
            </w:pPr>
          </w:p>
        </w:tc>
        <w:tc>
          <w:tcPr>
            <w:tcW w:w="241" w:type="pct"/>
            <w:tcBorders>
              <w:top w:val="nil"/>
              <w:left w:val="nil"/>
              <w:bottom w:val="single" w:sz="4" w:space="0" w:color="auto"/>
              <w:right w:val="single" w:sz="4" w:space="0" w:color="auto"/>
            </w:tcBorders>
            <w:noWrap/>
            <w:vAlign w:val="center"/>
            <w:hideMark/>
          </w:tcPr>
          <w:p w14:paraId="1F391A43"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6CB13A4E"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6616A47D" w14:textId="77777777" w:rsidR="00590678" w:rsidRPr="003519B9" w:rsidRDefault="00590678" w:rsidP="007419D3">
            <w:pPr>
              <w:jc w:val="right"/>
              <w:rPr>
                <w:rFonts w:ascii="Arial" w:hAnsi="Arial" w:cs="Arial"/>
                <w:sz w:val="12"/>
                <w:szCs w:val="12"/>
                <w:lang w:val="en-GB" w:eastAsia="en-IN"/>
              </w:rPr>
            </w:pPr>
          </w:p>
        </w:tc>
        <w:tc>
          <w:tcPr>
            <w:tcW w:w="240" w:type="pct"/>
            <w:tcBorders>
              <w:top w:val="nil"/>
              <w:left w:val="nil"/>
              <w:bottom w:val="single" w:sz="4" w:space="0" w:color="auto"/>
              <w:right w:val="single" w:sz="4" w:space="0" w:color="auto"/>
            </w:tcBorders>
            <w:noWrap/>
            <w:vAlign w:val="center"/>
            <w:hideMark/>
          </w:tcPr>
          <w:p w14:paraId="0DB14DD1" w14:textId="77777777" w:rsidR="00590678" w:rsidRPr="003519B9" w:rsidRDefault="00590678" w:rsidP="007419D3">
            <w:pPr>
              <w:jc w:val="right"/>
              <w:rPr>
                <w:rFonts w:ascii="Arial" w:hAnsi="Arial" w:cs="Arial"/>
                <w:sz w:val="12"/>
                <w:szCs w:val="12"/>
                <w:lang w:val="en-GB" w:eastAsia="en-IN"/>
              </w:rPr>
            </w:pPr>
          </w:p>
        </w:tc>
        <w:tc>
          <w:tcPr>
            <w:tcW w:w="252" w:type="pct"/>
            <w:tcBorders>
              <w:top w:val="nil"/>
              <w:left w:val="nil"/>
              <w:bottom w:val="single" w:sz="4" w:space="0" w:color="auto"/>
              <w:right w:val="single" w:sz="4" w:space="0" w:color="auto"/>
            </w:tcBorders>
            <w:noWrap/>
            <w:vAlign w:val="center"/>
            <w:hideMark/>
          </w:tcPr>
          <w:p w14:paraId="66030ECF" w14:textId="77777777" w:rsidR="00590678" w:rsidRPr="003519B9" w:rsidRDefault="00590678" w:rsidP="007419D3">
            <w:pPr>
              <w:jc w:val="right"/>
              <w:rPr>
                <w:rFonts w:ascii="Arial" w:hAnsi="Arial" w:cs="Arial"/>
                <w:sz w:val="12"/>
                <w:szCs w:val="12"/>
                <w:lang w:val="en-GB" w:eastAsia="en-IN"/>
              </w:rPr>
            </w:pPr>
          </w:p>
        </w:tc>
      </w:tr>
      <w:tr w:rsidR="00AF73D3" w:rsidRPr="003519B9" w14:paraId="677C455F" w14:textId="77777777" w:rsidTr="00AF73D3">
        <w:trPr>
          <w:trHeight w:val="600"/>
          <w:jc w:val="center"/>
        </w:trPr>
        <w:tc>
          <w:tcPr>
            <w:tcW w:w="471" w:type="pct"/>
            <w:tcBorders>
              <w:top w:val="nil"/>
              <w:left w:val="single" w:sz="4" w:space="0" w:color="auto"/>
              <w:bottom w:val="single" w:sz="4" w:space="0" w:color="auto"/>
              <w:right w:val="single" w:sz="4" w:space="0" w:color="auto"/>
            </w:tcBorders>
            <w:vAlign w:val="center"/>
            <w:hideMark/>
          </w:tcPr>
          <w:p w14:paraId="4C15ECCD" w14:textId="77777777" w:rsidR="00590678" w:rsidRPr="003519B9" w:rsidRDefault="00590678" w:rsidP="007419D3">
            <w:pPr>
              <w:rPr>
                <w:rFonts w:ascii="Arial" w:hAnsi="Arial" w:cs="Arial"/>
                <w:color w:val="000000"/>
                <w:sz w:val="12"/>
                <w:szCs w:val="12"/>
                <w:lang w:val="en-GB" w:eastAsia="en-IN"/>
              </w:rPr>
            </w:pPr>
            <w:r w:rsidRPr="003519B9">
              <w:rPr>
                <w:rFonts w:ascii="Arial" w:hAnsi="Arial" w:cs="Arial"/>
                <w:color w:val="000000"/>
                <w:sz w:val="12"/>
                <w:szCs w:val="12"/>
                <w:lang w:val="en-GB" w:eastAsia="en-IN"/>
              </w:rPr>
              <w:t xml:space="preserve">Gross Fixed Assets </w:t>
            </w:r>
            <w:r w:rsidR="00DD55F4" w:rsidRPr="003519B9">
              <w:rPr>
                <w:rFonts w:ascii="Arial" w:hAnsi="Arial" w:cs="Arial"/>
                <w:color w:val="000000"/>
                <w:sz w:val="12"/>
                <w:szCs w:val="12"/>
                <w:lang w:val="en-GB" w:eastAsia="en-IN"/>
              </w:rPr>
              <w:t>(</w:t>
            </w:r>
            <w:r w:rsidRPr="003519B9">
              <w:rPr>
                <w:rFonts w:ascii="Arial" w:hAnsi="Arial" w:cs="Arial"/>
                <w:color w:val="000000"/>
                <w:sz w:val="12"/>
                <w:szCs w:val="12"/>
                <w:lang w:val="en-GB" w:eastAsia="en-IN"/>
              </w:rPr>
              <w:t>including capital work-in-progress</w:t>
            </w:r>
            <w:r w:rsidR="00DD55F4" w:rsidRPr="003519B9">
              <w:rPr>
                <w:rFonts w:ascii="Arial" w:hAnsi="Arial" w:cs="Arial"/>
                <w:color w:val="000000"/>
                <w:sz w:val="12"/>
                <w:szCs w:val="12"/>
                <w:lang w:val="en-GB" w:eastAsia="en-IN"/>
              </w:rPr>
              <w:t>)</w:t>
            </w:r>
          </w:p>
        </w:tc>
        <w:tc>
          <w:tcPr>
            <w:tcW w:w="213" w:type="pct"/>
            <w:tcBorders>
              <w:top w:val="nil"/>
              <w:left w:val="nil"/>
              <w:bottom w:val="single" w:sz="4" w:space="0" w:color="auto"/>
              <w:right w:val="single" w:sz="4" w:space="0" w:color="auto"/>
            </w:tcBorders>
            <w:noWrap/>
            <w:vAlign w:val="center"/>
            <w:hideMark/>
          </w:tcPr>
          <w:p w14:paraId="002A480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3,460</w:t>
            </w:r>
          </w:p>
        </w:tc>
        <w:tc>
          <w:tcPr>
            <w:tcW w:w="213" w:type="pct"/>
            <w:tcBorders>
              <w:top w:val="nil"/>
              <w:left w:val="nil"/>
              <w:bottom w:val="single" w:sz="4" w:space="0" w:color="auto"/>
              <w:right w:val="single" w:sz="4" w:space="0" w:color="auto"/>
            </w:tcBorders>
            <w:noWrap/>
            <w:vAlign w:val="center"/>
            <w:hideMark/>
          </w:tcPr>
          <w:p w14:paraId="7119AF9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8,980</w:t>
            </w:r>
          </w:p>
        </w:tc>
        <w:tc>
          <w:tcPr>
            <w:tcW w:w="250" w:type="pct"/>
            <w:tcBorders>
              <w:top w:val="nil"/>
              <w:left w:val="nil"/>
              <w:bottom w:val="single" w:sz="4" w:space="0" w:color="auto"/>
              <w:right w:val="single" w:sz="4" w:space="0" w:color="auto"/>
            </w:tcBorders>
            <w:noWrap/>
            <w:vAlign w:val="center"/>
            <w:hideMark/>
          </w:tcPr>
          <w:p w14:paraId="01725AE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50" w:type="pct"/>
            <w:tcBorders>
              <w:top w:val="nil"/>
              <w:left w:val="nil"/>
              <w:bottom w:val="single" w:sz="4" w:space="0" w:color="auto"/>
              <w:right w:val="single" w:sz="4" w:space="0" w:color="auto"/>
            </w:tcBorders>
            <w:noWrap/>
            <w:vAlign w:val="center"/>
            <w:hideMark/>
          </w:tcPr>
          <w:p w14:paraId="1B15009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50" w:type="pct"/>
            <w:tcBorders>
              <w:top w:val="nil"/>
              <w:left w:val="nil"/>
              <w:bottom w:val="single" w:sz="4" w:space="0" w:color="auto"/>
              <w:right w:val="single" w:sz="4" w:space="0" w:color="auto"/>
            </w:tcBorders>
            <w:noWrap/>
            <w:vAlign w:val="center"/>
            <w:hideMark/>
          </w:tcPr>
          <w:p w14:paraId="0FC48A0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50" w:type="pct"/>
            <w:tcBorders>
              <w:top w:val="nil"/>
              <w:left w:val="nil"/>
              <w:bottom w:val="single" w:sz="4" w:space="0" w:color="auto"/>
              <w:right w:val="single" w:sz="4" w:space="0" w:color="auto"/>
            </w:tcBorders>
            <w:noWrap/>
            <w:vAlign w:val="center"/>
            <w:hideMark/>
          </w:tcPr>
          <w:p w14:paraId="01F1215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85" w:type="pct"/>
            <w:tcBorders>
              <w:top w:val="nil"/>
              <w:left w:val="nil"/>
              <w:bottom w:val="single" w:sz="4" w:space="0" w:color="auto"/>
              <w:right w:val="single" w:sz="4" w:space="0" w:color="auto"/>
            </w:tcBorders>
            <w:noWrap/>
            <w:vAlign w:val="center"/>
            <w:hideMark/>
          </w:tcPr>
          <w:p w14:paraId="1A98545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50" w:type="pct"/>
            <w:tcBorders>
              <w:top w:val="nil"/>
              <w:left w:val="nil"/>
              <w:bottom w:val="single" w:sz="4" w:space="0" w:color="auto"/>
              <w:right w:val="single" w:sz="4" w:space="0" w:color="auto"/>
            </w:tcBorders>
            <w:noWrap/>
            <w:vAlign w:val="center"/>
            <w:hideMark/>
          </w:tcPr>
          <w:p w14:paraId="60E968DC"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50" w:type="pct"/>
            <w:tcBorders>
              <w:top w:val="nil"/>
              <w:left w:val="nil"/>
              <w:bottom w:val="single" w:sz="4" w:space="0" w:color="auto"/>
              <w:right w:val="single" w:sz="4" w:space="0" w:color="auto"/>
            </w:tcBorders>
            <w:noWrap/>
            <w:vAlign w:val="center"/>
            <w:hideMark/>
          </w:tcPr>
          <w:p w14:paraId="7568BCC9"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50" w:type="pct"/>
            <w:tcBorders>
              <w:top w:val="nil"/>
              <w:left w:val="nil"/>
              <w:bottom w:val="single" w:sz="4" w:space="0" w:color="auto"/>
              <w:right w:val="single" w:sz="4" w:space="0" w:color="auto"/>
            </w:tcBorders>
            <w:noWrap/>
            <w:vAlign w:val="center"/>
            <w:hideMark/>
          </w:tcPr>
          <w:p w14:paraId="4E1F731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85" w:type="pct"/>
            <w:tcBorders>
              <w:top w:val="nil"/>
              <w:left w:val="nil"/>
              <w:bottom w:val="single" w:sz="4" w:space="0" w:color="auto"/>
              <w:right w:val="single" w:sz="4" w:space="0" w:color="auto"/>
            </w:tcBorders>
            <w:noWrap/>
            <w:vAlign w:val="center"/>
            <w:hideMark/>
          </w:tcPr>
          <w:p w14:paraId="278F0DC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86" w:type="pct"/>
            <w:tcBorders>
              <w:top w:val="nil"/>
              <w:left w:val="nil"/>
              <w:bottom w:val="single" w:sz="4" w:space="0" w:color="auto"/>
              <w:right w:val="single" w:sz="4" w:space="0" w:color="auto"/>
            </w:tcBorders>
            <w:noWrap/>
            <w:vAlign w:val="center"/>
            <w:hideMark/>
          </w:tcPr>
          <w:p w14:paraId="3611402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84" w:type="pct"/>
            <w:tcBorders>
              <w:top w:val="nil"/>
              <w:left w:val="nil"/>
              <w:bottom w:val="single" w:sz="4" w:space="0" w:color="auto"/>
              <w:right w:val="single" w:sz="4" w:space="0" w:color="auto"/>
            </w:tcBorders>
            <w:noWrap/>
            <w:vAlign w:val="center"/>
            <w:hideMark/>
          </w:tcPr>
          <w:p w14:paraId="4ED6C101"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41" w:type="pct"/>
            <w:tcBorders>
              <w:top w:val="nil"/>
              <w:left w:val="nil"/>
              <w:bottom w:val="single" w:sz="4" w:space="0" w:color="auto"/>
              <w:right w:val="single" w:sz="4" w:space="0" w:color="auto"/>
            </w:tcBorders>
            <w:noWrap/>
            <w:vAlign w:val="center"/>
            <w:hideMark/>
          </w:tcPr>
          <w:p w14:paraId="1FB71CFB"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40" w:type="pct"/>
            <w:tcBorders>
              <w:top w:val="nil"/>
              <w:left w:val="nil"/>
              <w:bottom w:val="single" w:sz="4" w:space="0" w:color="auto"/>
              <w:right w:val="single" w:sz="4" w:space="0" w:color="auto"/>
            </w:tcBorders>
            <w:noWrap/>
            <w:vAlign w:val="center"/>
            <w:hideMark/>
          </w:tcPr>
          <w:p w14:paraId="4EDF85F3"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40" w:type="pct"/>
            <w:tcBorders>
              <w:top w:val="nil"/>
              <w:left w:val="nil"/>
              <w:bottom w:val="single" w:sz="4" w:space="0" w:color="auto"/>
              <w:right w:val="single" w:sz="4" w:space="0" w:color="auto"/>
            </w:tcBorders>
            <w:noWrap/>
            <w:vAlign w:val="center"/>
            <w:hideMark/>
          </w:tcPr>
          <w:p w14:paraId="7022A10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40" w:type="pct"/>
            <w:tcBorders>
              <w:top w:val="nil"/>
              <w:left w:val="nil"/>
              <w:bottom w:val="single" w:sz="4" w:space="0" w:color="auto"/>
              <w:right w:val="single" w:sz="4" w:space="0" w:color="auto"/>
            </w:tcBorders>
            <w:noWrap/>
            <w:vAlign w:val="center"/>
            <w:hideMark/>
          </w:tcPr>
          <w:p w14:paraId="7B887D01"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c>
          <w:tcPr>
            <w:tcW w:w="252" w:type="pct"/>
            <w:tcBorders>
              <w:top w:val="nil"/>
              <w:left w:val="nil"/>
              <w:bottom w:val="single" w:sz="4" w:space="0" w:color="auto"/>
              <w:right w:val="single" w:sz="4" w:space="0" w:color="auto"/>
            </w:tcBorders>
            <w:noWrap/>
            <w:vAlign w:val="center"/>
            <w:hideMark/>
          </w:tcPr>
          <w:p w14:paraId="3E308C1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13,550</w:t>
            </w:r>
          </w:p>
        </w:tc>
      </w:tr>
      <w:tr w:rsidR="00AF73D3" w:rsidRPr="003519B9" w14:paraId="143F607D"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257E2BA0" w14:textId="77777777" w:rsidR="00590678" w:rsidRPr="003519B9" w:rsidRDefault="00590678" w:rsidP="007419D3">
            <w:pPr>
              <w:rPr>
                <w:rFonts w:ascii="Arial" w:hAnsi="Arial" w:cs="Arial"/>
                <w:color w:val="000000"/>
                <w:sz w:val="12"/>
                <w:szCs w:val="12"/>
                <w:lang w:val="en-GB" w:eastAsia="en-IN"/>
              </w:rPr>
            </w:pPr>
            <w:r w:rsidRPr="003519B9">
              <w:rPr>
                <w:rFonts w:ascii="Arial" w:hAnsi="Arial" w:cs="Arial"/>
                <w:color w:val="000000"/>
                <w:sz w:val="12"/>
                <w:szCs w:val="12"/>
                <w:lang w:val="en-GB" w:eastAsia="en-IN"/>
              </w:rPr>
              <w:t>Less: Accumulated Depreciation</w:t>
            </w:r>
          </w:p>
        </w:tc>
        <w:tc>
          <w:tcPr>
            <w:tcW w:w="213" w:type="pct"/>
            <w:tcBorders>
              <w:top w:val="nil"/>
              <w:left w:val="nil"/>
              <w:bottom w:val="single" w:sz="4" w:space="0" w:color="auto"/>
              <w:right w:val="single" w:sz="4" w:space="0" w:color="auto"/>
            </w:tcBorders>
            <w:noWrap/>
            <w:vAlign w:val="center"/>
            <w:hideMark/>
          </w:tcPr>
          <w:p w14:paraId="745C51F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13" w:type="pct"/>
            <w:tcBorders>
              <w:top w:val="nil"/>
              <w:left w:val="nil"/>
              <w:bottom w:val="single" w:sz="4" w:space="0" w:color="auto"/>
              <w:right w:val="single" w:sz="4" w:space="0" w:color="auto"/>
            </w:tcBorders>
            <w:noWrap/>
            <w:vAlign w:val="center"/>
            <w:hideMark/>
          </w:tcPr>
          <w:p w14:paraId="14C2784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038E2C1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003D58F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680</w:t>
            </w:r>
          </w:p>
        </w:tc>
        <w:tc>
          <w:tcPr>
            <w:tcW w:w="250" w:type="pct"/>
            <w:tcBorders>
              <w:top w:val="nil"/>
              <w:left w:val="nil"/>
              <w:bottom w:val="single" w:sz="4" w:space="0" w:color="auto"/>
              <w:right w:val="single" w:sz="4" w:space="0" w:color="auto"/>
            </w:tcBorders>
            <w:noWrap/>
            <w:vAlign w:val="center"/>
            <w:hideMark/>
          </w:tcPr>
          <w:p w14:paraId="4C8A34C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1,360</w:t>
            </w:r>
          </w:p>
        </w:tc>
        <w:tc>
          <w:tcPr>
            <w:tcW w:w="250" w:type="pct"/>
            <w:tcBorders>
              <w:top w:val="nil"/>
              <w:left w:val="nil"/>
              <w:bottom w:val="single" w:sz="4" w:space="0" w:color="auto"/>
              <w:right w:val="single" w:sz="4" w:space="0" w:color="auto"/>
            </w:tcBorders>
            <w:noWrap/>
            <w:vAlign w:val="center"/>
            <w:hideMark/>
          </w:tcPr>
          <w:p w14:paraId="6D17693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2,040</w:t>
            </w:r>
          </w:p>
        </w:tc>
        <w:tc>
          <w:tcPr>
            <w:tcW w:w="285" w:type="pct"/>
            <w:tcBorders>
              <w:top w:val="nil"/>
              <w:left w:val="nil"/>
              <w:bottom w:val="single" w:sz="4" w:space="0" w:color="auto"/>
              <w:right w:val="single" w:sz="4" w:space="0" w:color="auto"/>
            </w:tcBorders>
            <w:noWrap/>
            <w:vAlign w:val="center"/>
            <w:hideMark/>
          </w:tcPr>
          <w:p w14:paraId="362D6B8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2,720</w:t>
            </w:r>
          </w:p>
        </w:tc>
        <w:tc>
          <w:tcPr>
            <w:tcW w:w="250" w:type="pct"/>
            <w:tcBorders>
              <w:top w:val="nil"/>
              <w:left w:val="nil"/>
              <w:bottom w:val="single" w:sz="4" w:space="0" w:color="auto"/>
              <w:right w:val="single" w:sz="4" w:space="0" w:color="auto"/>
            </w:tcBorders>
            <w:noWrap/>
            <w:vAlign w:val="center"/>
            <w:hideMark/>
          </w:tcPr>
          <w:p w14:paraId="07830B9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3,400</w:t>
            </w:r>
          </w:p>
        </w:tc>
        <w:tc>
          <w:tcPr>
            <w:tcW w:w="250" w:type="pct"/>
            <w:tcBorders>
              <w:top w:val="nil"/>
              <w:left w:val="nil"/>
              <w:bottom w:val="single" w:sz="4" w:space="0" w:color="auto"/>
              <w:right w:val="single" w:sz="4" w:space="0" w:color="auto"/>
            </w:tcBorders>
            <w:noWrap/>
            <w:vAlign w:val="center"/>
            <w:hideMark/>
          </w:tcPr>
          <w:p w14:paraId="495F4DE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4,080</w:t>
            </w:r>
          </w:p>
        </w:tc>
        <w:tc>
          <w:tcPr>
            <w:tcW w:w="250" w:type="pct"/>
            <w:tcBorders>
              <w:top w:val="nil"/>
              <w:left w:val="nil"/>
              <w:bottom w:val="single" w:sz="4" w:space="0" w:color="auto"/>
              <w:right w:val="single" w:sz="4" w:space="0" w:color="auto"/>
            </w:tcBorders>
            <w:noWrap/>
            <w:vAlign w:val="center"/>
            <w:hideMark/>
          </w:tcPr>
          <w:p w14:paraId="683C98C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4,760</w:t>
            </w:r>
          </w:p>
        </w:tc>
        <w:tc>
          <w:tcPr>
            <w:tcW w:w="285" w:type="pct"/>
            <w:tcBorders>
              <w:top w:val="nil"/>
              <w:left w:val="nil"/>
              <w:bottom w:val="single" w:sz="4" w:space="0" w:color="auto"/>
              <w:right w:val="single" w:sz="4" w:space="0" w:color="auto"/>
            </w:tcBorders>
            <w:noWrap/>
            <w:vAlign w:val="center"/>
            <w:hideMark/>
          </w:tcPr>
          <w:p w14:paraId="77BD8F1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5,440</w:t>
            </w:r>
          </w:p>
        </w:tc>
        <w:tc>
          <w:tcPr>
            <w:tcW w:w="286" w:type="pct"/>
            <w:tcBorders>
              <w:top w:val="nil"/>
              <w:left w:val="nil"/>
              <w:bottom w:val="single" w:sz="4" w:space="0" w:color="auto"/>
              <w:right w:val="single" w:sz="4" w:space="0" w:color="auto"/>
            </w:tcBorders>
            <w:noWrap/>
            <w:vAlign w:val="center"/>
            <w:hideMark/>
          </w:tcPr>
          <w:p w14:paraId="3E2730C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6,120</w:t>
            </w:r>
          </w:p>
        </w:tc>
        <w:tc>
          <w:tcPr>
            <w:tcW w:w="284" w:type="pct"/>
            <w:tcBorders>
              <w:top w:val="nil"/>
              <w:left w:val="nil"/>
              <w:bottom w:val="single" w:sz="4" w:space="0" w:color="auto"/>
              <w:right w:val="single" w:sz="4" w:space="0" w:color="auto"/>
            </w:tcBorders>
            <w:noWrap/>
            <w:vAlign w:val="center"/>
            <w:hideMark/>
          </w:tcPr>
          <w:p w14:paraId="00884BBF"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6,800</w:t>
            </w:r>
          </w:p>
        </w:tc>
        <w:tc>
          <w:tcPr>
            <w:tcW w:w="241" w:type="pct"/>
            <w:tcBorders>
              <w:top w:val="nil"/>
              <w:left w:val="nil"/>
              <w:bottom w:val="single" w:sz="4" w:space="0" w:color="auto"/>
              <w:right w:val="single" w:sz="4" w:space="0" w:color="auto"/>
            </w:tcBorders>
            <w:noWrap/>
            <w:vAlign w:val="center"/>
            <w:hideMark/>
          </w:tcPr>
          <w:p w14:paraId="07CE8A0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7,480</w:t>
            </w:r>
          </w:p>
        </w:tc>
        <w:tc>
          <w:tcPr>
            <w:tcW w:w="240" w:type="pct"/>
            <w:tcBorders>
              <w:top w:val="nil"/>
              <w:left w:val="nil"/>
              <w:bottom w:val="single" w:sz="4" w:space="0" w:color="auto"/>
              <w:right w:val="single" w:sz="4" w:space="0" w:color="auto"/>
            </w:tcBorders>
            <w:noWrap/>
            <w:vAlign w:val="center"/>
            <w:hideMark/>
          </w:tcPr>
          <w:p w14:paraId="1990CA8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8,160</w:t>
            </w:r>
          </w:p>
        </w:tc>
        <w:tc>
          <w:tcPr>
            <w:tcW w:w="240" w:type="pct"/>
            <w:tcBorders>
              <w:top w:val="nil"/>
              <w:left w:val="nil"/>
              <w:bottom w:val="single" w:sz="4" w:space="0" w:color="auto"/>
              <w:right w:val="single" w:sz="4" w:space="0" w:color="auto"/>
            </w:tcBorders>
            <w:noWrap/>
            <w:vAlign w:val="center"/>
            <w:hideMark/>
          </w:tcPr>
          <w:p w14:paraId="62B6D96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8,840</w:t>
            </w:r>
          </w:p>
        </w:tc>
        <w:tc>
          <w:tcPr>
            <w:tcW w:w="240" w:type="pct"/>
            <w:tcBorders>
              <w:top w:val="nil"/>
              <w:left w:val="nil"/>
              <w:bottom w:val="single" w:sz="4" w:space="0" w:color="auto"/>
              <w:right w:val="single" w:sz="4" w:space="0" w:color="auto"/>
            </w:tcBorders>
            <w:noWrap/>
            <w:vAlign w:val="center"/>
            <w:hideMark/>
          </w:tcPr>
          <w:p w14:paraId="1BBE13C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9,520</w:t>
            </w:r>
          </w:p>
        </w:tc>
        <w:tc>
          <w:tcPr>
            <w:tcW w:w="252" w:type="pct"/>
            <w:tcBorders>
              <w:top w:val="nil"/>
              <w:left w:val="nil"/>
              <w:bottom w:val="single" w:sz="4" w:space="0" w:color="auto"/>
              <w:right w:val="single" w:sz="4" w:space="0" w:color="auto"/>
            </w:tcBorders>
            <w:noWrap/>
            <w:vAlign w:val="center"/>
            <w:hideMark/>
          </w:tcPr>
          <w:p w14:paraId="660977A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10,200</w:t>
            </w:r>
          </w:p>
        </w:tc>
      </w:tr>
      <w:tr w:rsidR="00AF73D3" w:rsidRPr="003519B9" w14:paraId="2D6568A8"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5E655EB2" w14:textId="77777777" w:rsidR="00590678" w:rsidRPr="003519B9" w:rsidRDefault="00590678" w:rsidP="007419D3">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Net Fixed Assets</w:t>
            </w:r>
          </w:p>
        </w:tc>
        <w:tc>
          <w:tcPr>
            <w:tcW w:w="213" w:type="pct"/>
            <w:tcBorders>
              <w:top w:val="nil"/>
              <w:left w:val="nil"/>
              <w:bottom w:val="single" w:sz="4" w:space="0" w:color="auto"/>
              <w:right w:val="single" w:sz="4" w:space="0" w:color="auto"/>
            </w:tcBorders>
            <w:noWrap/>
            <w:vAlign w:val="center"/>
            <w:hideMark/>
          </w:tcPr>
          <w:p w14:paraId="71EEB0D9"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3,460</w:t>
            </w:r>
          </w:p>
        </w:tc>
        <w:tc>
          <w:tcPr>
            <w:tcW w:w="213" w:type="pct"/>
            <w:tcBorders>
              <w:top w:val="nil"/>
              <w:left w:val="nil"/>
              <w:bottom w:val="single" w:sz="4" w:space="0" w:color="auto"/>
              <w:right w:val="single" w:sz="4" w:space="0" w:color="auto"/>
            </w:tcBorders>
            <w:noWrap/>
            <w:vAlign w:val="center"/>
            <w:hideMark/>
          </w:tcPr>
          <w:p w14:paraId="6D035B08"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8,980</w:t>
            </w:r>
          </w:p>
        </w:tc>
        <w:tc>
          <w:tcPr>
            <w:tcW w:w="250" w:type="pct"/>
            <w:tcBorders>
              <w:top w:val="nil"/>
              <w:left w:val="nil"/>
              <w:bottom w:val="single" w:sz="4" w:space="0" w:color="auto"/>
              <w:right w:val="single" w:sz="4" w:space="0" w:color="auto"/>
            </w:tcBorders>
            <w:noWrap/>
            <w:vAlign w:val="center"/>
            <w:hideMark/>
          </w:tcPr>
          <w:p w14:paraId="34C838D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13,550</w:t>
            </w:r>
          </w:p>
        </w:tc>
        <w:tc>
          <w:tcPr>
            <w:tcW w:w="250" w:type="pct"/>
            <w:tcBorders>
              <w:top w:val="nil"/>
              <w:left w:val="nil"/>
              <w:bottom w:val="single" w:sz="4" w:space="0" w:color="auto"/>
              <w:right w:val="single" w:sz="4" w:space="0" w:color="auto"/>
            </w:tcBorders>
            <w:noWrap/>
            <w:vAlign w:val="center"/>
            <w:hideMark/>
          </w:tcPr>
          <w:p w14:paraId="00388DF6"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12,870</w:t>
            </w:r>
          </w:p>
        </w:tc>
        <w:tc>
          <w:tcPr>
            <w:tcW w:w="250" w:type="pct"/>
            <w:tcBorders>
              <w:top w:val="nil"/>
              <w:left w:val="nil"/>
              <w:bottom w:val="single" w:sz="4" w:space="0" w:color="auto"/>
              <w:right w:val="single" w:sz="4" w:space="0" w:color="auto"/>
            </w:tcBorders>
            <w:noWrap/>
            <w:vAlign w:val="center"/>
            <w:hideMark/>
          </w:tcPr>
          <w:p w14:paraId="14AAB64A"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12,190</w:t>
            </w:r>
          </w:p>
        </w:tc>
        <w:tc>
          <w:tcPr>
            <w:tcW w:w="250" w:type="pct"/>
            <w:tcBorders>
              <w:top w:val="nil"/>
              <w:left w:val="nil"/>
              <w:bottom w:val="single" w:sz="4" w:space="0" w:color="auto"/>
              <w:right w:val="single" w:sz="4" w:space="0" w:color="auto"/>
            </w:tcBorders>
            <w:noWrap/>
            <w:vAlign w:val="center"/>
            <w:hideMark/>
          </w:tcPr>
          <w:p w14:paraId="741FF6E5"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11,510</w:t>
            </w:r>
          </w:p>
        </w:tc>
        <w:tc>
          <w:tcPr>
            <w:tcW w:w="285" w:type="pct"/>
            <w:tcBorders>
              <w:top w:val="nil"/>
              <w:left w:val="nil"/>
              <w:bottom w:val="single" w:sz="4" w:space="0" w:color="auto"/>
              <w:right w:val="single" w:sz="4" w:space="0" w:color="auto"/>
            </w:tcBorders>
            <w:noWrap/>
            <w:vAlign w:val="center"/>
            <w:hideMark/>
          </w:tcPr>
          <w:p w14:paraId="094F9860"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10,830</w:t>
            </w:r>
          </w:p>
        </w:tc>
        <w:tc>
          <w:tcPr>
            <w:tcW w:w="250" w:type="pct"/>
            <w:tcBorders>
              <w:top w:val="nil"/>
              <w:left w:val="nil"/>
              <w:bottom w:val="single" w:sz="4" w:space="0" w:color="auto"/>
              <w:right w:val="single" w:sz="4" w:space="0" w:color="auto"/>
            </w:tcBorders>
            <w:noWrap/>
            <w:vAlign w:val="center"/>
            <w:hideMark/>
          </w:tcPr>
          <w:p w14:paraId="4D955731"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10,150</w:t>
            </w:r>
          </w:p>
        </w:tc>
        <w:tc>
          <w:tcPr>
            <w:tcW w:w="250" w:type="pct"/>
            <w:tcBorders>
              <w:top w:val="nil"/>
              <w:left w:val="nil"/>
              <w:bottom w:val="single" w:sz="4" w:space="0" w:color="auto"/>
              <w:right w:val="single" w:sz="4" w:space="0" w:color="auto"/>
            </w:tcBorders>
            <w:noWrap/>
            <w:vAlign w:val="center"/>
            <w:hideMark/>
          </w:tcPr>
          <w:p w14:paraId="753ED51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9,470</w:t>
            </w:r>
          </w:p>
        </w:tc>
        <w:tc>
          <w:tcPr>
            <w:tcW w:w="250" w:type="pct"/>
            <w:tcBorders>
              <w:top w:val="nil"/>
              <w:left w:val="nil"/>
              <w:bottom w:val="single" w:sz="4" w:space="0" w:color="auto"/>
              <w:right w:val="single" w:sz="4" w:space="0" w:color="auto"/>
            </w:tcBorders>
            <w:noWrap/>
            <w:vAlign w:val="center"/>
            <w:hideMark/>
          </w:tcPr>
          <w:p w14:paraId="068252A4"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8,790</w:t>
            </w:r>
          </w:p>
        </w:tc>
        <w:tc>
          <w:tcPr>
            <w:tcW w:w="285" w:type="pct"/>
            <w:tcBorders>
              <w:top w:val="nil"/>
              <w:left w:val="nil"/>
              <w:bottom w:val="single" w:sz="4" w:space="0" w:color="auto"/>
              <w:right w:val="single" w:sz="4" w:space="0" w:color="auto"/>
            </w:tcBorders>
            <w:noWrap/>
            <w:vAlign w:val="center"/>
            <w:hideMark/>
          </w:tcPr>
          <w:p w14:paraId="50A90B5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8,110</w:t>
            </w:r>
          </w:p>
        </w:tc>
        <w:tc>
          <w:tcPr>
            <w:tcW w:w="286" w:type="pct"/>
            <w:tcBorders>
              <w:top w:val="nil"/>
              <w:left w:val="nil"/>
              <w:bottom w:val="single" w:sz="4" w:space="0" w:color="auto"/>
              <w:right w:val="single" w:sz="4" w:space="0" w:color="auto"/>
            </w:tcBorders>
            <w:noWrap/>
            <w:vAlign w:val="center"/>
            <w:hideMark/>
          </w:tcPr>
          <w:p w14:paraId="0025A197"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7,430</w:t>
            </w:r>
          </w:p>
        </w:tc>
        <w:tc>
          <w:tcPr>
            <w:tcW w:w="284" w:type="pct"/>
            <w:tcBorders>
              <w:top w:val="nil"/>
              <w:left w:val="nil"/>
              <w:bottom w:val="single" w:sz="4" w:space="0" w:color="auto"/>
              <w:right w:val="single" w:sz="4" w:space="0" w:color="auto"/>
            </w:tcBorders>
            <w:noWrap/>
            <w:vAlign w:val="center"/>
            <w:hideMark/>
          </w:tcPr>
          <w:p w14:paraId="3EB4D72D"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6,750</w:t>
            </w:r>
          </w:p>
        </w:tc>
        <w:tc>
          <w:tcPr>
            <w:tcW w:w="241" w:type="pct"/>
            <w:tcBorders>
              <w:top w:val="nil"/>
              <w:left w:val="nil"/>
              <w:bottom w:val="single" w:sz="4" w:space="0" w:color="auto"/>
              <w:right w:val="single" w:sz="4" w:space="0" w:color="auto"/>
            </w:tcBorders>
            <w:noWrap/>
            <w:vAlign w:val="center"/>
            <w:hideMark/>
          </w:tcPr>
          <w:p w14:paraId="3AAFB177"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6,070</w:t>
            </w:r>
          </w:p>
        </w:tc>
        <w:tc>
          <w:tcPr>
            <w:tcW w:w="240" w:type="pct"/>
            <w:tcBorders>
              <w:top w:val="nil"/>
              <w:left w:val="nil"/>
              <w:bottom w:val="single" w:sz="4" w:space="0" w:color="auto"/>
              <w:right w:val="single" w:sz="4" w:space="0" w:color="auto"/>
            </w:tcBorders>
            <w:noWrap/>
            <w:vAlign w:val="center"/>
            <w:hideMark/>
          </w:tcPr>
          <w:p w14:paraId="0137FB79"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5,390</w:t>
            </w:r>
          </w:p>
        </w:tc>
        <w:tc>
          <w:tcPr>
            <w:tcW w:w="240" w:type="pct"/>
            <w:tcBorders>
              <w:top w:val="nil"/>
              <w:left w:val="nil"/>
              <w:bottom w:val="single" w:sz="4" w:space="0" w:color="auto"/>
              <w:right w:val="single" w:sz="4" w:space="0" w:color="auto"/>
            </w:tcBorders>
            <w:noWrap/>
            <w:vAlign w:val="center"/>
            <w:hideMark/>
          </w:tcPr>
          <w:p w14:paraId="5BB7113F"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4,710</w:t>
            </w:r>
          </w:p>
        </w:tc>
        <w:tc>
          <w:tcPr>
            <w:tcW w:w="240" w:type="pct"/>
            <w:tcBorders>
              <w:top w:val="nil"/>
              <w:left w:val="nil"/>
              <w:bottom w:val="single" w:sz="4" w:space="0" w:color="auto"/>
              <w:right w:val="single" w:sz="4" w:space="0" w:color="auto"/>
            </w:tcBorders>
            <w:noWrap/>
            <w:vAlign w:val="center"/>
            <w:hideMark/>
          </w:tcPr>
          <w:p w14:paraId="191D71E3"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4,030</w:t>
            </w:r>
          </w:p>
        </w:tc>
        <w:tc>
          <w:tcPr>
            <w:tcW w:w="252" w:type="pct"/>
            <w:tcBorders>
              <w:top w:val="nil"/>
              <w:left w:val="nil"/>
              <w:bottom w:val="single" w:sz="4" w:space="0" w:color="auto"/>
              <w:right w:val="single" w:sz="4" w:space="0" w:color="auto"/>
            </w:tcBorders>
            <w:noWrap/>
            <w:vAlign w:val="center"/>
            <w:hideMark/>
          </w:tcPr>
          <w:p w14:paraId="19A6C1C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3,350</w:t>
            </w:r>
          </w:p>
        </w:tc>
      </w:tr>
      <w:tr w:rsidR="00AF73D3" w:rsidRPr="003519B9" w14:paraId="3D83E7EF"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266CBBB1" w14:textId="77777777" w:rsidR="00590678" w:rsidRPr="003519B9" w:rsidRDefault="00590678" w:rsidP="007419D3">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Current Assets</w:t>
            </w:r>
          </w:p>
        </w:tc>
        <w:tc>
          <w:tcPr>
            <w:tcW w:w="213" w:type="pct"/>
            <w:tcBorders>
              <w:top w:val="nil"/>
              <w:left w:val="nil"/>
              <w:bottom w:val="single" w:sz="4" w:space="0" w:color="auto"/>
              <w:right w:val="single" w:sz="4" w:space="0" w:color="auto"/>
            </w:tcBorders>
            <w:noWrap/>
            <w:vAlign w:val="center"/>
            <w:hideMark/>
          </w:tcPr>
          <w:p w14:paraId="346933C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0</w:t>
            </w:r>
          </w:p>
        </w:tc>
        <w:tc>
          <w:tcPr>
            <w:tcW w:w="213" w:type="pct"/>
            <w:tcBorders>
              <w:top w:val="nil"/>
              <w:left w:val="nil"/>
              <w:bottom w:val="single" w:sz="4" w:space="0" w:color="auto"/>
              <w:right w:val="single" w:sz="4" w:space="0" w:color="auto"/>
            </w:tcBorders>
            <w:noWrap/>
            <w:vAlign w:val="center"/>
            <w:hideMark/>
          </w:tcPr>
          <w:p w14:paraId="42F4B8F4"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41684A0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58ED8D4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1,240</w:t>
            </w:r>
          </w:p>
        </w:tc>
        <w:tc>
          <w:tcPr>
            <w:tcW w:w="250" w:type="pct"/>
            <w:tcBorders>
              <w:top w:val="nil"/>
              <w:left w:val="nil"/>
              <w:bottom w:val="single" w:sz="4" w:space="0" w:color="auto"/>
              <w:right w:val="single" w:sz="4" w:space="0" w:color="auto"/>
            </w:tcBorders>
            <w:noWrap/>
            <w:vAlign w:val="center"/>
            <w:hideMark/>
          </w:tcPr>
          <w:p w14:paraId="2C525568"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1,250</w:t>
            </w:r>
          </w:p>
        </w:tc>
        <w:tc>
          <w:tcPr>
            <w:tcW w:w="250" w:type="pct"/>
            <w:tcBorders>
              <w:top w:val="nil"/>
              <w:left w:val="nil"/>
              <w:bottom w:val="single" w:sz="4" w:space="0" w:color="auto"/>
              <w:right w:val="single" w:sz="4" w:space="0" w:color="auto"/>
            </w:tcBorders>
            <w:noWrap/>
            <w:vAlign w:val="center"/>
            <w:hideMark/>
          </w:tcPr>
          <w:p w14:paraId="6DA3447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1,280</w:t>
            </w:r>
          </w:p>
        </w:tc>
        <w:tc>
          <w:tcPr>
            <w:tcW w:w="285" w:type="pct"/>
            <w:tcBorders>
              <w:top w:val="nil"/>
              <w:left w:val="nil"/>
              <w:bottom w:val="single" w:sz="4" w:space="0" w:color="auto"/>
              <w:right w:val="single" w:sz="4" w:space="0" w:color="auto"/>
            </w:tcBorders>
            <w:noWrap/>
            <w:vAlign w:val="center"/>
            <w:hideMark/>
          </w:tcPr>
          <w:p w14:paraId="2B870A63"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1,300</w:t>
            </w:r>
          </w:p>
        </w:tc>
        <w:tc>
          <w:tcPr>
            <w:tcW w:w="250" w:type="pct"/>
            <w:tcBorders>
              <w:top w:val="nil"/>
              <w:left w:val="nil"/>
              <w:bottom w:val="single" w:sz="4" w:space="0" w:color="auto"/>
              <w:right w:val="single" w:sz="4" w:space="0" w:color="auto"/>
            </w:tcBorders>
            <w:noWrap/>
            <w:vAlign w:val="center"/>
            <w:hideMark/>
          </w:tcPr>
          <w:p w14:paraId="76A63A6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1,320</w:t>
            </w:r>
          </w:p>
        </w:tc>
        <w:tc>
          <w:tcPr>
            <w:tcW w:w="250" w:type="pct"/>
            <w:tcBorders>
              <w:top w:val="nil"/>
              <w:left w:val="nil"/>
              <w:bottom w:val="single" w:sz="4" w:space="0" w:color="auto"/>
              <w:right w:val="single" w:sz="4" w:space="0" w:color="auto"/>
            </w:tcBorders>
            <w:noWrap/>
            <w:vAlign w:val="center"/>
            <w:hideMark/>
          </w:tcPr>
          <w:p w14:paraId="621C45D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1,350</w:t>
            </w:r>
          </w:p>
        </w:tc>
        <w:tc>
          <w:tcPr>
            <w:tcW w:w="250" w:type="pct"/>
            <w:tcBorders>
              <w:top w:val="nil"/>
              <w:left w:val="nil"/>
              <w:bottom w:val="single" w:sz="4" w:space="0" w:color="auto"/>
              <w:right w:val="single" w:sz="4" w:space="0" w:color="auto"/>
            </w:tcBorders>
            <w:noWrap/>
            <w:vAlign w:val="center"/>
            <w:hideMark/>
          </w:tcPr>
          <w:p w14:paraId="71B0CFE0"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1,370</w:t>
            </w:r>
          </w:p>
        </w:tc>
        <w:tc>
          <w:tcPr>
            <w:tcW w:w="285" w:type="pct"/>
            <w:tcBorders>
              <w:top w:val="nil"/>
              <w:left w:val="nil"/>
              <w:bottom w:val="single" w:sz="4" w:space="0" w:color="auto"/>
              <w:right w:val="single" w:sz="4" w:space="0" w:color="auto"/>
            </w:tcBorders>
            <w:noWrap/>
            <w:vAlign w:val="center"/>
            <w:hideMark/>
          </w:tcPr>
          <w:p w14:paraId="2723C51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1,400</w:t>
            </w:r>
          </w:p>
        </w:tc>
        <w:tc>
          <w:tcPr>
            <w:tcW w:w="286" w:type="pct"/>
            <w:tcBorders>
              <w:top w:val="nil"/>
              <w:left w:val="nil"/>
              <w:bottom w:val="single" w:sz="4" w:space="0" w:color="auto"/>
              <w:right w:val="single" w:sz="4" w:space="0" w:color="auto"/>
            </w:tcBorders>
            <w:noWrap/>
            <w:vAlign w:val="center"/>
            <w:hideMark/>
          </w:tcPr>
          <w:p w14:paraId="224D52AF"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1,430</w:t>
            </w:r>
          </w:p>
        </w:tc>
        <w:tc>
          <w:tcPr>
            <w:tcW w:w="284" w:type="pct"/>
            <w:tcBorders>
              <w:top w:val="nil"/>
              <w:left w:val="nil"/>
              <w:bottom w:val="single" w:sz="4" w:space="0" w:color="auto"/>
              <w:right w:val="single" w:sz="4" w:space="0" w:color="auto"/>
            </w:tcBorders>
            <w:noWrap/>
            <w:vAlign w:val="center"/>
            <w:hideMark/>
          </w:tcPr>
          <w:p w14:paraId="0B69CE0E"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1,450</w:t>
            </w:r>
          </w:p>
        </w:tc>
        <w:tc>
          <w:tcPr>
            <w:tcW w:w="241" w:type="pct"/>
            <w:tcBorders>
              <w:top w:val="nil"/>
              <w:left w:val="nil"/>
              <w:bottom w:val="single" w:sz="4" w:space="0" w:color="auto"/>
              <w:right w:val="single" w:sz="4" w:space="0" w:color="auto"/>
            </w:tcBorders>
            <w:noWrap/>
            <w:vAlign w:val="center"/>
            <w:hideMark/>
          </w:tcPr>
          <w:p w14:paraId="7512B7B0"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1,480</w:t>
            </w:r>
          </w:p>
        </w:tc>
        <w:tc>
          <w:tcPr>
            <w:tcW w:w="240" w:type="pct"/>
            <w:tcBorders>
              <w:top w:val="nil"/>
              <w:left w:val="nil"/>
              <w:bottom w:val="single" w:sz="4" w:space="0" w:color="auto"/>
              <w:right w:val="single" w:sz="4" w:space="0" w:color="auto"/>
            </w:tcBorders>
            <w:noWrap/>
            <w:vAlign w:val="center"/>
            <w:hideMark/>
          </w:tcPr>
          <w:p w14:paraId="6A1DDB83"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1,510</w:t>
            </w:r>
          </w:p>
        </w:tc>
        <w:tc>
          <w:tcPr>
            <w:tcW w:w="240" w:type="pct"/>
            <w:tcBorders>
              <w:top w:val="nil"/>
              <w:left w:val="nil"/>
              <w:bottom w:val="single" w:sz="4" w:space="0" w:color="auto"/>
              <w:right w:val="single" w:sz="4" w:space="0" w:color="auto"/>
            </w:tcBorders>
            <w:noWrap/>
            <w:vAlign w:val="center"/>
            <w:hideMark/>
          </w:tcPr>
          <w:p w14:paraId="167B251B"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1,540</w:t>
            </w:r>
          </w:p>
        </w:tc>
        <w:tc>
          <w:tcPr>
            <w:tcW w:w="240" w:type="pct"/>
            <w:tcBorders>
              <w:top w:val="nil"/>
              <w:left w:val="nil"/>
              <w:bottom w:val="single" w:sz="4" w:space="0" w:color="auto"/>
              <w:right w:val="single" w:sz="4" w:space="0" w:color="auto"/>
            </w:tcBorders>
            <w:noWrap/>
            <w:vAlign w:val="center"/>
            <w:hideMark/>
          </w:tcPr>
          <w:p w14:paraId="0D4B4199"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1,570</w:t>
            </w:r>
          </w:p>
        </w:tc>
        <w:tc>
          <w:tcPr>
            <w:tcW w:w="252" w:type="pct"/>
            <w:tcBorders>
              <w:top w:val="nil"/>
              <w:left w:val="nil"/>
              <w:bottom w:val="single" w:sz="4" w:space="0" w:color="auto"/>
              <w:right w:val="single" w:sz="4" w:space="0" w:color="auto"/>
            </w:tcBorders>
            <w:noWrap/>
            <w:vAlign w:val="center"/>
            <w:hideMark/>
          </w:tcPr>
          <w:p w14:paraId="1B20345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1,600</w:t>
            </w:r>
          </w:p>
        </w:tc>
      </w:tr>
      <w:tr w:rsidR="00AF73D3" w:rsidRPr="003519B9" w14:paraId="3A01AAA4"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086593DE" w14:textId="77777777" w:rsidR="00590678" w:rsidRPr="003519B9" w:rsidRDefault="00590678" w:rsidP="007419D3">
            <w:pPr>
              <w:rPr>
                <w:rFonts w:ascii="Arial" w:hAnsi="Arial" w:cs="Arial"/>
                <w:color w:val="000000"/>
                <w:sz w:val="12"/>
                <w:szCs w:val="12"/>
                <w:lang w:val="en-GB" w:eastAsia="en-IN"/>
              </w:rPr>
            </w:pPr>
            <w:r w:rsidRPr="003519B9">
              <w:rPr>
                <w:rFonts w:ascii="Arial" w:hAnsi="Arial" w:cs="Arial"/>
                <w:color w:val="000000"/>
                <w:sz w:val="12"/>
                <w:szCs w:val="12"/>
                <w:lang w:val="en-GB" w:eastAsia="en-IN"/>
              </w:rPr>
              <w:t>Cash Balance</w:t>
            </w:r>
          </w:p>
        </w:tc>
        <w:tc>
          <w:tcPr>
            <w:tcW w:w="213" w:type="pct"/>
            <w:tcBorders>
              <w:top w:val="nil"/>
              <w:left w:val="nil"/>
              <w:bottom w:val="single" w:sz="4" w:space="0" w:color="auto"/>
              <w:right w:val="single" w:sz="4" w:space="0" w:color="auto"/>
            </w:tcBorders>
            <w:noWrap/>
            <w:vAlign w:val="center"/>
            <w:hideMark/>
          </w:tcPr>
          <w:p w14:paraId="3BE66F89"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13" w:type="pct"/>
            <w:tcBorders>
              <w:top w:val="nil"/>
              <w:left w:val="nil"/>
              <w:bottom w:val="single" w:sz="4" w:space="0" w:color="auto"/>
              <w:right w:val="single" w:sz="4" w:space="0" w:color="auto"/>
            </w:tcBorders>
            <w:noWrap/>
            <w:vAlign w:val="center"/>
            <w:hideMark/>
          </w:tcPr>
          <w:p w14:paraId="1251A3F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610C730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310</w:t>
            </w:r>
          </w:p>
        </w:tc>
        <w:tc>
          <w:tcPr>
            <w:tcW w:w="250" w:type="pct"/>
            <w:tcBorders>
              <w:top w:val="nil"/>
              <w:left w:val="nil"/>
              <w:bottom w:val="single" w:sz="4" w:space="0" w:color="auto"/>
              <w:right w:val="single" w:sz="4" w:space="0" w:color="auto"/>
            </w:tcBorders>
            <w:noWrap/>
            <w:vAlign w:val="center"/>
            <w:hideMark/>
          </w:tcPr>
          <w:p w14:paraId="35A6B3A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1,110</w:t>
            </w:r>
          </w:p>
        </w:tc>
        <w:tc>
          <w:tcPr>
            <w:tcW w:w="250" w:type="pct"/>
            <w:tcBorders>
              <w:top w:val="nil"/>
              <w:left w:val="nil"/>
              <w:bottom w:val="single" w:sz="4" w:space="0" w:color="auto"/>
              <w:right w:val="single" w:sz="4" w:space="0" w:color="auto"/>
            </w:tcBorders>
            <w:noWrap/>
            <w:vAlign w:val="center"/>
            <w:hideMark/>
          </w:tcPr>
          <w:p w14:paraId="574615A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1,710</w:t>
            </w:r>
          </w:p>
        </w:tc>
        <w:tc>
          <w:tcPr>
            <w:tcW w:w="250" w:type="pct"/>
            <w:tcBorders>
              <w:top w:val="nil"/>
              <w:left w:val="nil"/>
              <w:bottom w:val="single" w:sz="4" w:space="0" w:color="auto"/>
              <w:right w:val="single" w:sz="4" w:space="0" w:color="auto"/>
            </w:tcBorders>
            <w:noWrap/>
            <w:vAlign w:val="center"/>
            <w:hideMark/>
          </w:tcPr>
          <w:p w14:paraId="36B8C22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2,400</w:t>
            </w:r>
          </w:p>
        </w:tc>
        <w:tc>
          <w:tcPr>
            <w:tcW w:w="285" w:type="pct"/>
            <w:tcBorders>
              <w:top w:val="nil"/>
              <w:left w:val="nil"/>
              <w:bottom w:val="single" w:sz="4" w:space="0" w:color="auto"/>
              <w:right w:val="single" w:sz="4" w:space="0" w:color="auto"/>
            </w:tcBorders>
            <w:noWrap/>
            <w:vAlign w:val="center"/>
            <w:hideMark/>
          </w:tcPr>
          <w:p w14:paraId="68FCB43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3,150</w:t>
            </w:r>
          </w:p>
        </w:tc>
        <w:tc>
          <w:tcPr>
            <w:tcW w:w="250" w:type="pct"/>
            <w:tcBorders>
              <w:top w:val="nil"/>
              <w:left w:val="nil"/>
              <w:bottom w:val="single" w:sz="4" w:space="0" w:color="auto"/>
              <w:right w:val="single" w:sz="4" w:space="0" w:color="auto"/>
            </w:tcBorders>
            <w:noWrap/>
            <w:vAlign w:val="center"/>
            <w:hideMark/>
          </w:tcPr>
          <w:p w14:paraId="4199C931"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3,960</w:t>
            </w:r>
          </w:p>
        </w:tc>
        <w:tc>
          <w:tcPr>
            <w:tcW w:w="250" w:type="pct"/>
            <w:tcBorders>
              <w:top w:val="nil"/>
              <w:left w:val="nil"/>
              <w:bottom w:val="single" w:sz="4" w:space="0" w:color="auto"/>
              <w:right w:val="single" w:sz="4" w:space="0" w:color="auto"/>
            </w:tcBorders>
            <w:noWrap/>
            <w:vAlign w:val="center"/>
            <w:hideMark/>
          </w:tcPr>
          <w:p w14:paraId="43C82D46"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4,820</w:t>
            </w:r>
          </w:p>
        </w:tc>
        <w:tc>
          <w:tcPr>
            <w:tcW w:w="250" w:type="pct"/>
            <w:tcBorders>
              <w:top w:val="nil"/>
              <w:left w:val="nil"/>
              <w:bottom w:val="single" w:sz="4" w:space="0" w:color="auto"/>
              <w:right w:val="single" w:sz="4" w:space="0" w:color="auto"/>
            </w:tcBorders>
            <w:noWrap/>
            <w:vAlign w:val="center"/>
            <w:hideMark/>
          </w:tcPr>
          <w:p w14:paraId="717DB36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5,760</w:t>
            </w:r>
          </w:p>
        </w:tc>
        <w:tc>
          <w:tcPr>
            <w:tcW w:w="285" w:type="pct"/>
            <w:tcBorders>
              <w:top w:val="nil"/>
              <w:left w:val="nil"/>
              <w:bottom w:val="single" w:sz="4" w:space="0" w:color="auto"/>
              <w:right w:val="single" w:sz="4" w:space="0" w:color="auto"/>
            </w:tcBorders>
            <w:noWrap/>
            <w:vAlign w:val="center"/>
            <w:hideMark/>
          </w:tcPr>
          <w:p w14:paraId="7E58D34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6,730</w:t>
            </w:r>
          </w:p>
        </w:tc>
        <w:tc>
          <w:tcPr>
            <w:tcW w:w="286" w:type="pct"/>
            <w:tcBorders>
              <w:top w:val="nil"/>
              <w:left w:val="nil"/>
              <w:bottom w:val="single" w:sz="4" w:space="0" w:color="auto"/>
              <w:right w:val="single" w:sz="4" w:space="0" w:color="auto"/>
            </w:tcBorders>
            <w:noWrap/>
            <w:vAlign w:val="center"/>
            <w:hideMark/>
          </w:tcPr>
          <w:p w14:paraId="30AF4375"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7,760</w:t>
            </w:r>
          </w:p>
        </w:tc>
        <w:tc>
          <w:tcPr>
            <w:tcW w:w="284" w:type="pct"/>
            <w:tcBorders>
              <w:top w:val="nil"/>
              <w:left w:val="nil"/>
              <w:bottom w:val="single" w:sz="4" w:space="0" w:color="auto"/>
              <w:right w:val="single" w:sz="4" w:space="0" w:color="auto"/>
            </w:tcBorders>
            <w:noWrap/>
            <w:vAlign w:val="center"/>
            <w:hideMark/>
          </w:tcPr>
          <w:p w14:paraId="4EBBBD8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9,360</w:t>
            </w:r>
          </w:p>
        </w:tc>
        <w:tc>
          <w:tcPr>
            <w:tcW w:w="241" w:type="pct"/>
            <w:tcBorders>
              <w:top w:val="nil"/>
              <w:left w:val="nil"/>
              <w:bottom w:val="single" w:sz="4" w:space="0" w:color="auto"/>
              <w:right w:val="single" w:sz="4" w:space="0" w:color="auto"/>
            </w:tcBorders>
            <w:noWrap/>
            <w:vAlign w:val="center"/>
            <w:hideMark/>
          </w:tcPr>
          <w:p w14:paraId="13632F6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11,440</w:t>
            </w:r>
          </w:p>
        </w:tc>
        <w:tc>
          <w:tcPr>
            <w:tcW w:w="240" w:type="pct"/>
            <w:tcBorders>
              <w:top w:val="nil"/>
              <w:left w:val="nil"/>
              <w:bottom w:val="single" w:sz="4" w:space="0" w:color="auto"/>
              <w:right w:val="single" w:sz="4" w:space="0" w:color="auto"/>
            </w:tcBorders>
            <w:noWrap/>
            <w:vAlign w:val="center"/>
            <w:hideMark/>
          </w:tcPr>
          <w:p w14:paraId="5F1E34D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13,460</w:t>
            </w:r>
          </w:p>
        </w:tc>
        <w:tc>
          <w:tcPr>
            <w:tcW w:w="240" w:type="pct"/>
            <w:tcBorders>
              <w:top w:val="nil"/>
              <w:left w:val="nil"/>
              <w:bottom w:val="single" w:sz="4" w:space="0" w:color="auto"/>
              <w:right w:val="single" w:sz="4" w:space="0" w:color="auto"/>
            </w:tcBorders>
            <w:noWrap/>
            <w:vAlign w:val="center"/>
            <w:hideMark/>
          </w:tcPr>
          <w:p w14:paraId="24DE25A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15,410</w:t>
            </w:r>
          </w:p>
        </w:tc>
        <w:tc>
          <w:tcPr>
            <w:tcW w:w="240" w:type="pct"/>
            <w:tcBorders>
              <w:top w:val="nil"/>
              <w:left w:val="nil"/>
              <w:bottom w:val="single" w:sz="4" w:space="0" w:color="auto"/>
              <w:right w:val="single" w:sz="4" w:space="0" w:color="auto"/>
            </w:tcBorders>
            <w:noWrap/>
            <w:vAlign w:val="center"/>
            <w:hideMark/>
          </w:tcPr>
          <w:p w14:paraId="7958243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17,280</w:t>
            </w:r>
          </w:p>
        </w:tc>
        <w:tc>
          <w:tcPr>
            <w:tcW w:w="252" w:type="pct"/>
            <w:tcBorders>
              <w:top w:val="nil"/>
              <w:left w:val="nil"/>
              <w:bottom w:val="single" w:sz="4" w:space="0" w:color="auto"/>
              <w:right w:val="single" w:sz="4" w:space="0" w:color="auto"/>
            </w:tcBorders>
            <w:noWrap/>
            <w:vAlign w:val="center"/>
            <w:hideMark/>
          </w:tcPr>
          <w:p w14:paraId="4571CE3C"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19,080</w:t>
            </w:r>
          </w:p>
        </w:tc>
      </w:tr>
      <w:tr w:rsidR="00AF73D3" w:rsidRPr="003519B9" w14:paraId="66E11834" w14:textId="77777777" w:rsidTr="00AF73D3">
        <w:trPr>
          <w:trHeight w:val="315"/>
          <w:jc w:val="center"/>
        </w:trPr>
        <w:tc>
          <w:tcPr>
            <w:tcW w:w="471" w:type="pct"/>
            <w:tcBorders>
              <w:top w:val="nil"/>
              <w:left w:val="single" w:sz="4" w:space="0" w:color="auto"/>
              <w:bottom w:val="single" w:sz="4" w:space="0" w:color="auto"/>
              <w:right w:val="single" w:sz="4" w:space="0" w:color="auto"/>
            </w:tcBorders>
            <w:noWrap/>
            <w:vAlign w:val="center"/>
            <w:hideMark/>
          </w:tcPr>
          <w:p w14:paraId="6CFC1D0F" w14:textId="77777777" w:rsidR="00590678" w:rsidRPr="003519B9" w:rsidRDefault="00590678" w:rsidP="007419D3">
            <w:pPr>
              <w:rPr>
                <w:rFonts w:ascii="Arial" w:hAnsi="Arial" w:cs="Arial"/>
                <w:color w:val="000000"/>
                <w:sz w:val="12"/>
                <w:szCs w:val="12"/>
                <w:lang w:val="en-GB" w:eastAsia="en-IN"/>
              </w:rPr>
            </w:pPr>
            <w:r w:rsidRPr="003519B9">
              <w:rPr>
                <w:rFonts w:ascii="Arial" w:hAnsi="Arial" w:cs="Arial"/>
                <w:color w:val="000000"/>
                <w:sz w:val="12"/>
                <w:szCs w:val="12"/>
                <w:lang w:val="en-GB" w:eastAsia="en-IN"/>
              </w:rPr>
              <w:t>Deferred Tax Assets</w:t>
            </w:r>
          </w:p>
        </w:tc>
        <w:tc>
          <w:tcPr>
            <w:tcW w:w="213" w:type="pct"/>
            <w:tcBorders>
              <w:top w:val="nil"/>
              <w:left w:val="nil"/>
              <w:bottom w:val="single" w:sz="4" w:space="0" w:color="auto"/>
              <w:right w:val="single" w:sz="4" w:space="0" w:color="auto"/>
            </w:tcBorders>
            <w:noWrap/>
            <w:vAlign w:val="center"/>
            <w:hideMark/>
          </w:tcPr>
          <w:p w14:paraId="1EF3AD3B"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13" w:type="pct"/>
            <w:tcBorders>
              <w:top w:val="nil"/>
              <w:left w:val="nil"/>
              <w:bottom w:val="single" w:sz="4" w:space="0" w:color="auto"/>
              <w:right w:val="single" w:sz="4" w:space="0" w:color="auto"/>
            </w:tcBorders>
            <w:noWrap/>
            <w:vAlign w:val="center"/>
            <w:hideMark/>
          </w:tcPr>
          <w:p w14:paraId="05496FC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6D50DEE1"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52835E8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14CEB744"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59596B17"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85" w:type="pct"/>
            <w:tcBorders>
              <w:top w:val="nil"/>
              <w:left w:val="nil"/>
              <w:bottom w:val="single" w:sz="4" w:space="0" w:color="auto"/>
              <w:right w:val="single" w:sz="4" w:space="0" w:color="auto"/>
            </w:tcBorders>
            <w:noWrap/>
            <w:vAlign w:val="center"/>
            <w:hideMark/>
          </w:tcPr>
          <w:p w14:paraId="566E44D2"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5F53029B"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0E97D7B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50" w:type="pct"/>
            <w:tcBorders>
              <w:top w:val="nil"/>
              <w:left w:val="nil"/>
              <w:bottom w:val="single" w:sz="4" w:space="0" w:color="auto"/>
              <w:right w:val="single" w:sz="4" w:space="0" w:color="auto"/>
            </w:tcBorders>
            <w:noWrap/>
            <w:vAlign w:val="center"/>
            <w:hideMark/>
          </w:tcPr>
          <w:p w14:paraId="723C48EC"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0</w:t>
            </w:r>
          </w:p>
        </w:tc>
        <w:tc>
          <w:tcPr>
            <w:tcW w:w="285" w:type="pct"/>
            <w:tcBorders>
              <w:top w:val="nil"/>
              <w:left w:val="nil"/>
              <w:bottom w:val="single" w:sz="4" w:space="0" w:color="auto"/>
              <w:right w:val="single" w:sz="4" w:space="0" w:color="auto"/>
            </w:tcBorders>
            <w:noWrap/>
            <w:vAlign w:val="center"/>
            <w:hideMark/>
          </w:tcPr>
          <w:p w14:paraId="0DC668B8"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10</w:t>
            </w:r>
          </w:p>
        </w:tc>
        <w:tc>
          <w:tcPr>
            <w:tcW w:w="286" w:type="pct"/>
            <w:tcBorders>
              <w:top w:val="nil"/>
              <w:left w:val="nil"/>
              <w:bottom w:val="single" w:sz="4" w:space="0" w:color="auto"/>
              <w:right w:val="single" w:sz="4" w:space="0" w:color="auto"/>
            </w:tcBorders>
            <w:noWrap/>
            <w:vAlign w:val="center"/>
            <w:hideMark/>
          </w:tcPr>
          <w:p w14:paraId="0FAC0C60"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50</w:t>
            </w:r>
          </w:p>
        </w:tc>
        <w:tc>
          <w:tcPr>
            <w:tcW w:w="284" w:type="pct"/>
            <w:tcBorders>
              <w:top w:val="nil"/>
              <w:left w:val="nil"/>
              <w:bottom w:val="single" w:sz="4" w:space="0" w:color="auto"/>
              <w:right w:val="single" w:sz="4" w:space="0" w:color="auto"/>
            </w:tcBorders>
            <w:noWrap/>
            <w:vAlign w:val="center"/>
            <w:hideMark/>
          </w:tcPr>
          <w:p w14:paraId="566374D3"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120</w:t>
            </w:r>
          </w:p>
        </w:tc>
        <w:tc>
          <w:tcPr>
            <w:tcW w:w="241" w:type="pct"/>
            <w:tcBorders>
              <w:top w:val="nil"/>
              <w:left w:val="nil"/>
              <w:bottom w:val="single" w:sz="4" w:space="0" w:color="auto"/>
              <w:right w:val="single" w:sz="4" w:space="0" w:color="auto"/>
            </w:tcBorders>
            <w:noWrap/>
            <w:vAlign w:val="center"/>
            <w:hideMark/>
          </w:tcPr>
          <w:p w14:paraId="4085941A"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210</w:t>
            </w:r>
          </w:p>
        </w:tc>
        <w:tc>
          <w:tcPr>
            <w:tcW w:w="240" w:type="pct"/>
            <w:tcBorders>
              <w:top w:val="nil"/>
              <w:left w:val="nil"/>
              <w:bottom w:val="single" w:sz="4" w:space="0" w:color="auto"/>
              <w:right w:val="single" w:sz="4" w:space="0" w:color="auto"/>
            </w:tcBorders>
            <w:noWrap/>
            <w:vAlign w:val="center"/>
            <w:hideMark/>
          </w:tcPr>
          <w:p w14:paraId="5F8F6DEE"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320</w:t>
            </w:r>
          </w:p>
        </w:tc>
        <w:tc>
          <w:tcPr>
            <w:tcW w:w="240" w:type="pct"/>
            <w:tcBorders>
              <w:top w:val="nil"/>
              <w:left w:val="nil"/>
              <w:bottom w:val="single" w:sz="4" w:space="0" w:color="auto"/>
              <w:right w:val="single" w:sz="4" w:space="0" w:color="auto"/>
            </w:tcBorders>
            <w:noWrap/>
            <w:vAlign w:val="center"/>
            <w:hideMark/>
          </w:tcPr>
          <w:p w14:paraId="1C791E0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450</w:t>
            </w:r>
          </w:p>
        </w:tc>
        <w:tc>
          <w:tcPr>
            <w:tcW w:w="240" w:type="pct"/>
            <w:tcBorders>
              <w:top w:val="nil"/>
              <w:left w:val="nil"/>
              <w:bottom w:val="single" w:sz="4" w:space="0" w:color="auto"/>
              <w:right w:val="single" w:sz="4" w:space="0" w:color="auto"/>
            </w:tcBorders>
            <w:noWrap/>
            <w:vAlign w:val="center"/>
            <w:hideMark/>
          </w:tcPr>
          <w:p w14:paraId="6D82A359"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590</w:t>
            </w:r>
          </w:p>
        </w:tc>
        <w:tc>
          <w:tcPr>
            <w:tcW w:w="252" w:type="pct"/>
            <w:tcBorders>
              <w:top w:val="nil"/>
              <w:left w:val="nil"/>
              <w:bottom w:val="single" w:sz="4" w:space="0" w:color="auto"/>
              <w:right w:val="single" w:sz="4" w:space="0" w:color="auto"/>
            </w:tcBorders>
            <w:noWrap/>
            <w:vAlign w:val="center"/>
            <w:hideMark/>
          </w:tcPr>
          <w:p w14:paraId="47C18A3D" w14:textId="77777777" w:rsidR="00590678" w:rsidRPr="003519B9" w:rsidRDefault="00590678" w:rsidP="007419D3">
            <w:pPr>
              <w:jc w:val="right"/>
              <w:rPr>
                <w:rFonts w:ascii="Arial" w:hAnsi="Arial" w:cs="Arial"/>
                <w:sz w:val="12"/>
                <w:szCs w:val="12"/>
                <w:lang w:val="en-GB" w:eastAsia="en-IN"/>
              </w:rPr>
            </w:pPr>
            <w:r w:rsidRPr="003519B9">
              <w:rPr>
                <w:rFonts w:ascii="Arial" w:hAnsi="Arial" w:cs="Arial"/>
                <w:sz w:val="12"/>
                <w:szCs w:val="12"/>
                <w:lang w:val="en-GB" w:eastAsia="en-IN"/>
              </w:rPr>
              <w:t>740</w:t>
            </w:r>
          </w:p>
        </w:tc>
      </w:tr>
      <w:tr w:rsidR="00AF73D3" w:rsidRPr="003519B9" w14:paraId="518B2676" w14:textId="77777777" w:rsidTr="00AF73D3">
        <w:trPr>
          <w:trHeight w:val="353"/>
          <w:jc w:val="center"/>
        </w:trPr>
        <w:tc>
          <w:tcPr>
            <w:tcW w:w="471" w:type="pct"/>
            <w:tcBorders>
              <w:top w:val="nil"/>
              <w:left w:val="single" w:sz="4" w:space="0" w:color="auto"/>
              <w:bottom w:val="single" w:sz="4" w:space="0" w:color="auto"/>
              <w:right w:val="single" w:sz="4" w:space="0" w:color="auto"/>
            </w:tcBorders>
            <w:noWrap/>
            <w:vAlign w:val="center"/>
            <w:hideMark/>
          </w:tcPr>
          <w:p w14:paraId="646A7F1F" w14:textId="77777777" w:rsidR="00590678" w:rsidRPr="003519B9" w:rsidRDefault="00590678" w:rsidP="007419D3">
            <w:pPr>
              <w:rPr>
                <w:rFonts w:ascii="Arial" w:hAnsi="Arial" w:cs="Arial"/>
                <w:b/>
                <w:bCs/>
                <w:color w:val="000000"/>
                <w:sz w:val="12"/>
                <w:szCs w:val="12"/>
                <w:lang w:val="en-GB" w:eastAsia="en-IN"/>
              </w:rPr>
            </w:pPr>
            <w:r w:rsidRPr="003519B9">
              <w:rPr>
                <w:rFonts w:ascii="Arial" w:hAnsi="Arial" w:cs="Arial"/>
                <w:b/>
                <w:bCs/>
                <w:color w:val="000000"/>
                <w:sz w:val="12"/>
                <w:szCs w:val="12"/>
                <w:lang w:val="en-GB" w:eastAsia="en-IN"/>
              </w:rPr>
              <w:t>Total Assets</w:t>
            </w:r>
          </w:p>
        </w:tc>
        <w:tc>
          <w:tcPr>
            <w:tcW w:w="213" w:type="pct"/>
            <w:tcBorders>
              <w:top w:val="nil"/>
              <w:left w:val="nil"/>
              <w:bottom w:val="single" w:sz="4" w:space="0" w:color="auto"/>
              <w:right w:val="single" w:sz="4" w:space="0" w:color="auto"/>
            </w:tcBorders>
            <w:noWrap/>
            <w:vAlign w:val="center"/>
            <w:hideMark/>
          </w:tcPr>
          <w:p w14:paraId="649BA83E"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3,460</w:t>
            </w:r>
          </w:p>
        </w:tc>
        <w:tc>
          <w:tcPr>
            <w:tcW w:w="213" w:type="pct"/>
            <w:tcBorders>
              <w:top w:val="nil"/>
              <w:left w:val="nil"/>
              <w:bottom w:val="single" w:sz="4" w:space="0" w:color="auto"/>
              <w:right w:val="single" w:sz="4" w:space="0" w:color="auto"/>
            </w:tcBorders>
            <w:noWrap/>
            <w:vAlign w:val="center"/>
            <w:hideMark/>
          </w:tcPr>
          <w:p w14:paraId="42924683"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8,980</w:t>
            </w:r>
          </w:p>
        </w:tc>
        <w:tc>
          <w:tcPr>
            <w:tcW w:w="250" w:type="pct"/>
            <w:tcBorders>
              <w:top w:val="nil"/>
              <w:left w:val="nil"/>
              <w:bottom w:val="single" w:sz="4" w:space="0" w:color="auto"/>
              <w:right w:val="single" w:sz="4" w:space="0" w:color="auto"/>
            </w:tcBorders>
            <w:noWrap/>
            <w:vAlign w:val="center"/>
            <w:hideMark/>
          </w:tcPr>
          <w:p w14:paraId="00A7F054"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13,860</w:t>
            </w:r>
          </w:p>
        </w:tc>
        <w:tc>
          <w:tcPr>
            <w:tcW w:w="250" w:type="pct"/>
            <w:tcBorders>
              <w:top w:val="nil"/>
              <w:left w:val="nil"/>
              <w:bottom w:val="single" w:sz="4" w:space="0" w:color="auto"/>
              <w:right w:val="single" w:sz="4" w:space="0" w:color="auto"/>
            </w:tcBorders>
            <w:noWrap/>
            <w:vAlign w:val="center"/>
            <w:hideMark/>
          </w:tcPr>
          <w:p w14:paraId="45BB66B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15,220</w:t>
            </w:r>
          </w:p>
        </w:tc>
        <w:tc>
          <w:tcPr>
            <w:tcW w:w="250" w:type="pct"/>
            <w:tcBorders>
              <w:top w:val="nil"/>
              <w:left w:val="nil"/>
              <w:bottom w:val="single" w:sz="4" w:space="0" w:color="auto"/>
              <w:right w:val="single" w:sz="4" w:space="0" w:color="auto"/>
            </w:tcBorders>
            <w:noWrap/>
            <w:vAlign w:val="center"/>
            <w:hideMark/>
          </w:tcPr>
          <w:p w14:paraId="4161182F"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15,150</w:t>
            </w:r>
          </w:p>
        </w:tc>
        <w:tc>
          <w:tcPr>
            <w:tcW w:w="250" w:type="pct"/>
            <w:tcBorders>
              <w:top w:val="nil"/>
              <w:left w:val="nil"/>
              <w:bottom w:val="single" w:sz="4" w:space="0" w:color="auto"/>
              <w:right w:val="single" w:sz="4" w:space="0" w:color="auto"/>
            </w:tcBorders>
            <w:noWrap/>
            <w:vAlign w:val="center"/>
            <w:hideMark/>
          </w:tcPr>
          <w:p w14:paraId="44E998DE"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15,190</w:t>
            </w:r>
          </w:p>
        </w:tc>
        <w:tc>
          <w:tcPr>
            <w:tcW w:w="285" w:type="pct"/>
            <w:tcBorders>
              <w:top w:val="nil"/>
              <w:left w:val="nil"/>
              <w:bottom w:val="single" w:sz="4" w:space="0" w:color="auto"/>
              <w:right w:val="single" w:sz="4" w:space="0" w:color="auto"/>
            </w:tcBorders>
            <w:noWrap/>
            <w:vAlign w:val="center"/>
            <w:hideMark/>
          </w:tcPr>
          <w:p w14:paraId="509A55AA"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15,280</w:t>
            </w:r>
          </w:p>
        </w:tc>
        <w:tc>
          <w:tcPr>
            <w:tcW w:w="250" w:type="pct"/>
            <w:tcBorders>
              <w:top w:val="nil"/>
              <w:left w:val="nil"/>
              <w:bottom w:val="single" w:sz="4" w:space="0" w:color="auto"/>
              <w:right w:val="single" w:sz="4" w:space="0" w:color="auto"/>
            </w:tcBorders>
            <w:noWrap/>
            <w:vAlign w:val="center"/>
            <w:hideMark/>
          </w:tcPr>
          <w:p w14:paraId="4BD52C81"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15,430</w:t>
            </w:r>
          </w:p>
        </w:tc>
        <w:tc>
          <w:tcPr>
            <w:tcW w:w="250" w:type="pct"/>
            <w:tcBorders>
              <w:top w:val="nil"/>
              <w:left w:val="nil"/>
              <w:bottom w:val="single" w:sz="4" w:space="0" w:color="auto"/>
              <w:right w:val="single" w:sz="4" w:space="0" w:color="auto"/>
            </w:tcBorders>
            <w:noWrap/>
            <w:vAlign w:val="center"/>
            <w:hideMark/>
          </w:tcPr>
          <w:p w14:paraId="4C193138"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15,640</w:t>
            </w:r>
          </w:p>
        </w:tc>
        <w:tc>
          <w:tcPr>
            <w:tcW w:w="250" w:type="pct"/>
            <w:tcBorders>
              <w:top w:val="nil"/>
              <w:left w:val="nil"/>
              <w:bottom w:val="single" w:sz="4" w:space="0" w:color="auto"/>
              <w:right w:val="single" w:sz="4" w:space="0" w:color="auto"/>
            </w:tcBorders>
            <w:noWrap/>
            <w:vAlign w:val="center"/>
            <w:hideMark/>
          </w:tcPr>
          <w:p w14:paraId="7D8221CF"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15,920</w:t>
            </w:r>
          </w:p>
        </w:tc>
        <w:tc>
          <w:tcPr>
            <w:tcW w:w="285" w:type="pct"/>
            <w:tcBorders>
              <w:top w:val="nil"/>
              <w:left w:val="nil"/>
              <w:bottom w:val="single" w:sz="4" w:space="0" w:color="auto"/>
              <w:right w:val="single" w:sz="4" w:space="0" w:color="auto"/>
            </w:tcBorders>
            <w:noWrap/>
            <w:vAlign w:val="center"/>
            <w:hideMark/>
          </w:tcPr>
          <w:p w14:paraId="0457F4B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16,250</w:t>
            </w:r>
          </w:p>
        </w:tc>
        <w:tc>
          <w:tcPr>
            <w:tcW w:w="286" w:type="pct"/>
            <w:tcBorders>
              <w:top w:val="nil"/>
              <w:left w:val="nil"/>
              <w:bottom w:val="single" w:sz="4" w:space="0" w:color="auto"/>
              <w:right w:val="single" w:sz="4" w:space="0" w:color="auto"/>
            </w:tcBorders>
            <w:noWrap/>
            <w:vAlign w:val="center"/>
            <w:hideMark/>
          </w:tcPr>
          <w:p w14:paraId="3D52F2C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16,670</w:t>
            </w:r>
          </w:p>
        </w:tc>
        <w:tc>
          <w:tcPr>
            <w:tcW w:w="284" w:type="pct"/>
            <w:tcBorders>
              <w:top w:val="nil"/>
              <w:left w:val="nil"/>
              <w:bottom w:val="single" w:sz="4" w:space="0" w:color="auto"/>
              <w:right w:val="single" w:sz="4" w:space="0" w:color="auto"/>
            </w:tcBorders>
            <w:noWrap/>
            <w:vAlign w:val="center"/>
            <w:hideMark/>
          </w:tcPr>
          <w:p w14:paraId="3237C8C1"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17,680</w:t>
            </w:r>
          </w:p>
        </w:tc>
        <w:tc>
          <w:tcPr>
            <w:tcW w:w="241" w:type="pct"/>
            <w:tcBorders>
              <w:top w:val="nil"/>
              <w:left w:val="nil"/>
              <w:bottom w:val="single" w:sz="4" w:space="0" w:color="auto"/>
              <w:right w:val="single" w:sz="4" w:space="0" w:color="auto"/>
            </w:tcBorders>
            <w:noWrap/>
            <w:vAlign w:val="center"/>
            <w:hideMark/>
          </w:tcPr>
          <w:p w14:paraId="211D6A82"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19,200</w:t>
            </w:r>
          </w:p>
        </w:tc>
        <w:tc>
          <w:tcPr>
            <w:tcW w:w="240" w:type="pct"/>
            <w:tcBorders>
              <w:top w:val="nil"/>
              <w:left w:val="nil"/>
              <w:bottom w:val="single" w:sz="4" w:space="0" w:color="auto"/>
              <w:right w:val="single" w:sz="4" w:space="0" w:color="auto"/>
            </w:tcBorders>
            <w:noWrap/>
            <w:vAlign w:val="center"/>
            <w:hideMark/>
          </w:tcPr>
          <w:p w14:paraId="008BC144"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20,680</w:t>
            </w:r>
          </w:p>
        </w:tc>
        <w:tc>
          <w:tcPr>
            <w:tcW w:w="240" w:type="pct"/>
            <w:tcBorders>
              <w:top w:val="nil"/>
              <w:left w:val="nil"/>
              <w:bottom w:val="single" w:sz="4" w:space="0" w:color="auto"/>
              <w:right w:val="single" w:sz="4" w:space="0" w:color="auto"/>
            </w:tcBorders>
            <w:noWrap/>
            <w:vAlign w:val="center"/>
            <w:hideMark/>
          </w:tcPr>
          <w:p w14:paraId="0C81FE7C"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22,110</w:t>
            </w:r>
          </w:p>
        </w:tc>
        <w:tc>
          <w:tcPr>
            <w:tcW w:w="240" w:type="pct"/>
            <w:tcBorders>
              <w:top w:val="nil"/>
              <w:left w:val="nil"/>
              <w:bottom w:val="single" w:sz="4" w:space="0" w:color="auto"/>
              <w:right w:val="single" w:sz="4" w:space="0" w:color="auto"/>
            </w:tcBorders>
            <w:noWrap/>
            <w:vAlign w:val="center"/>
            <w:hideMark/>
          </w:tcPr>
          <w:p w14:paraId="720C9809"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23,470</w:t>
            </w:r>
          </w:p>
        </w:tc>
        <w:tc>
          <w:tcPr>
            <w:tcW w:w="252" w:type="pct"/>
            <w:tcBorders>
              <w:top w:val="nil"/>
              <w:left w:val="nil"/>
              <w:bottom w:val="single" w:sz="4" w:space="0" w:color="auto"/>
              <w:right w:val="single" w:sz="4" w:space="0" w:color="auto"/>
            </w:tcBorders>
            <w:noWrap/>
            <w:vAlign w:val="center"/>
            <w:hideMark/>
          </w:tcPr>
          <w:p w14:paraId="6831976D" w14:textId="77777777" w:rsidR="00590678" w:rsidRPr="003519B9" w:rsidRDefault="00590678" w:rsidP="007419D3">
            <w:pPr>
              <w:jc w:val="right"/>
              <w:rPr>
                <w:rFonts w:ascii="Arial" w:hAnsi="Arial" w:cs="Arial"/>
                <w:b/>
                <w:sz w:val="12"/>
                <w:szCs w:val="12"/>
                <w:lang w:val="en-GB" w:eastAsia="en-IN"/>
              </w:rPr>
            </w:pPr>
            <w:r w:rsidRPr="003519B9">
              <w:rPr>
                <w:rFonts w:ascii="Arial" w:hAnsi="Arial" w:cs="Arial"/>
                <w:b/>
                <w:sz w:val="12"/>
                <w:szCs w:val="12"/>
                <w:lang w:val="en-GB" w:eastAsia="en-IN"/>
              </w:rPr>
              <w:t>24,770</w:t>
            </w:r>
          </w:p>
        </w:tc>
      </w:tr>
    </w:tbl>
    <w:p w14:paraId="624F4BFD" w14:textId="77777777" w:rsidR="00590678" w:rsidRPr="003519B9" w:rsidRDefault="00590678" w:rsidP="00590678">
      <w:pPr>
        <w:pStyle w:val="Footnote"/>
        <w:rPr>
          <w:sz w:val="14"/>
          <w:szCs w:val="14"/>
          <w:lang w:val="en-GB"/>
        </w:rPr>
      </w:pPr>
    </w:p>
    <w:p w14:paraId="172321EC" w14:textId="77777777" w:rsidR="0051255A" w:rsidRPr="003519B9" w:rsidRDefault="00590678" w:rsidP="00590678">
      <w:pPr>
        <w:pStyle w:val="Footnote"/>
        <w:rPr>
          <w:lang w:val="en-GB"/>
        </w:rPr>
      </w:pPr>
      <w:r w:rsidRPr="003519B9">
        <w:rPr>
          <w:lang w:val="en-GB"/>
        </w:rPr>
        <w:t>Source: Company documents.</w:t>
      </w:r>
    </w:p>
    <w:p w14:paraId="39D91B9F" w14:textId="77777777" w:rsidR="0051255A" w:rsidRPr="003519B9" w:rsidRDefault="0051255A">
      <w:pPr>
        <w:spacing w:after="200" w:line="276" w:lineRule="auto"/>
        <w:rPr>
          <w:rFonts w:ascii="Arial" w:hAnsi="Arial" w:cs="Arial"/>
          <w:sz w:val="17"/>
          <w:szCs w:val="17"/>
          <w:lang w:val="en-GB"/>
        </w:rPr>
      </w:pPr>
      <w:r w:rsidRPr="003519B9">
        <w:rPr>
          <w:lang w:val="en-GB"/>
        </w:rPr>
        <w:br w:type="page"/>
      </w:r>
    </w:p>
    <w:p w14:paraId="59058823" w14:textId="77777777" w:rsidR="0051255A" w:rsidRPr="003519B9" w:rsidRDefault="0051255A" w:rsidP="00590678">
      <w:pPr>
        <w:pStyle w:val="Footnote"/>
        <w:rPr>
          <w:lang w:val="en-GB"/>
        </w:rPr>
        <w:sectPr w:rsidR="0051255A" w:rsidRPr="003519B9" w:rsidSect="00590678">
          <w:headerReference w:type="default" r:id="rId10"/>
          <w:endnotePr>
            <w:numFmt w:val="decimal"/>
          </w:endnotePr>
          <w:pgSz w:w="15840" w:h="12240" w:orient="landscape"/>
          <w:pgMar w:top="1440" w:right="1440" w:bottom="1440" w:left="1440" w:header="1080" w:footer="720" w:gutter="0"/>
          <w:cols w:space="720"/>
          <w:docGrid w:linePitch="360"/>
        </w:sectPr>
      </w:pPr>
    </w:p>
    <w:p w14:paraId="44449DB3" w14:textId="77777777" w:rsidR="0051255A" w:rsidRPr="003519B9" w:rsidRDefault="00B1213B" w:rsidP="0051255A">
      <w:pPr>
        <w:pStyle w:val="ExhibitHeading"/>
        <w:rPr>
          <w:lang w:val="en-GB"/>
        </w:rPr>
      </w:pPr>
      <w:r w:rsidRPr="003519B9">
        <w:rPr>
          <w:lang w:val="en-GB"/>
        </w:rPr>
        <w:lastRenderedPageBreak/>
        <w:t>Exhibit 7</w:t>
      </w:r>
      <w:r w:rsidR="0051255A" w:rsidRPr="003519B9">
        <w:rPr>
          <w:lang w:val="en-GB"/>
        </w:rPr>
        <w:t xml:space="preserve">: GENERAL SANCTION NORMS </w:t>
      </w:r>
      <w:r w:rsidR="00B56D66" w:rsidRPr="003519B9">
        <w:rPr>
          <w:lang w:val="en-GB"/>
        </w:rPr>
        <w:t>for</w:t>
      </w:r>
      <w:r w:rsidR="0051255A" w:rsidRPr="003519B9">
        <w:rPr>
          <w:lang w:val="en-GB"/>
        </w:rPr>
        <w:t xml:space="preserve"> PROJECT FINANCE IN INDIA</w:t>
      </w:r>
    </w:p>
    <w:p w14:paraId="1762C6F4" w14:textId="77777777" w:rsidR="0051255A" w:rsidRPr="003519B9" w:rsidRDefault="0051255A" w:rsidP="0051255A">
      <w:pPr>
        <w:pStyle w:val="BodyTextMain"/>
        <w:rPr>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51255A" w:rsidRPr="003519B9" w14:paraId="2721A72B" w14:textId="77777777" w:rsidTr="006D5C35">
        <w:trPr>
          <w:trHeight w:val="350"/>
          <w:jc w:val="center"/>
        </w:trPr>
        <w:tc>
          <w:tcPr>
            <w:tcW w:w="2830" w:type="dxa"/>
            <w:tcBorders>
              <w:top w:val="single" w:sz="4" w:space="0" w:color="auto"/>
              <w:left w:val="single" w:sz="4" w:space="0" w:color="auto"/>
              <w:bottom w:val="single" w:sz="4" w:space="0" w:color="auto"/>
              <w:right w:val="single" w:sz="4" w:space="0" w:color="auto"/>
            </w:tcBorders>
            <w:hideMark/>
          </w:tcPr>
          <w:p w14:paraId="437739D6" w14:textId="77777777" w:rsidR="0051255A" w:rsidRPr="003519B9" w:rsidRDefault="0051255A" w:rsidP="006D5C35">
            <w:pPr>
              <w:pStyle w:val="ExhibitText"/>
              <w:rPr>
                <w:b/>
                <w:lang w:val="en-GB"/>
              </w:rPr>
            </w:pPr>
            <w:r w:rsidRPr="003519B9">
              <w:rPr>
                <w:b/>
                <w:lang w:val="en-GB"/>
              </w:rPr>
              <w:t>Criteria</w:t>
            </w:r>
          </w:p>
        </w:tc>
        <w:tc>
          <w:tcPr>
            <w:tcW w:w="6186" w:type="dxa"/>
            <w:tcBorders>
              <w:top w:val="single" w:sz="4" w:space="0" w:color="auto"/>
              <w:left w:val="single" w:sz="4" w:space="0" w:color="auto"/>
              <w:bottom w:val="single" w:sz="4" w:space="0" w:color="auto"/>
              <w:right w:val="single" w:sz="4" w:space="0" w:color="auto"/>
            </w:tcBorders>
            <w:hideMark/>
          </w:tcPr>
          <w:p w14:paraId="4FF28D40" w14:textId="77777777" w:rsidR="0051255A" w:rsidRPr="003519B9" w:rsidRDefault="0051255A" w:rsidP="006D5C35">
            <w:pPr>
              <w:pStyle w:val="ExhibitText"/>
              <w:rPr>
                <w:b/>
                <w:lang w:val="en-GB"/>
              </w:rPr>
            </w:pPr>
            <w:r w:rsidRPr="003519B9">
              <w:rPr>
                <w:b/>
                <w:lang w:val="en-GB"/>
              </w:rPr>
              <w:t xml:space="preserve">Lending Norms </w:t>
            </w:r>
          </w:p>
        </w:tc>
      </w:tr>
      <w:tr w:rsidR="0051255A" w:rsidRPr="003519B9" w14:paraId="2B0C4E25" w14:textId="77777777" w:rsidTr="006D5C35">
        <w:trPr>
          <w:trHeight w:val="314"/>
          <w:jc w:val="center"/>
        </w:trPr>
        <w:tc>
          <w:tcPr>
            <w:tcW w:w="2830" w:type="dxa"/>
            <w:tcBorders>
              <w:top w:val="single" w:sz="4" w:space="0" w:color="auto"/>
              <w:left w:val="single" w:sz="4" w:space="0" w:color="auto"/>
              <w:bottom w:val="single" w:sz="4" w:space="0" w:color="auto"/>
              <w:right w:val="single" w:sz="4" w:space="0" w:color="auto"/>
            </w:tcBorders>
            <w:hideMark/>
          </w:tcPr>
          <w:p w14:paraId="5116EB12" w14:textId="77777777" w:rsidR="0051255A" w:rsidRPr="003519B9" w:rsidRDefault="0051255A" w:rsidP="006D5C35">
            <w:pPr>
              <w:pStyle w:val="ExhibitText"/>
              <w:rPr>
                <w:lang w:val="en-GB" w:bidi="hi-IN"/>
              </w:rPr>
            </w:pPr>
            <w:r w:rsidRPr="003519B9">
              <w:rPr>
                <w:lang w:val="en-GB" w:bidi="hi-IN"/>
              </w:rPr>
              <w:t>Profitability</w:t>
            </w:r>
          </w:p>
        </w:tc>
        <w:tc>
          <w:tcPr>
            <w:tcW w:w="6186" w:type="dxa"/>
            <w:tcBorders>
              <w:top w:val="single" w:sz="4" w:space="0" w:color="auto"/>
              <w:left w:val="single" w:sz="4" w:space="0" w:color="auto"/>
              <w:bottom w:val="single" w:sz="4" w:space="0" w:color="auto"/>
              <w:right w:val="single" w:sz="4" w:space="0" w:color="auto"/>
            </w:tcBorders>
            <w:hideMark/>
          </w:tcPr>
          <w:p w14:paraId="7744F232" w14:textId="39A1C4AE" w:rsidR="0051255A" w:rsidRPr="003519B9" w:rsidRDefault="0051255A" w:rsidP="006D5C35">
            <w:pPr>
              <w:pStyle w:val="Default"/>
              <w:jc w:val="both"/>
              <w:rPr>
                <w:rFonts w:ascii="Arial" w:hAnsi="Arial" w:cs="Arial"/>
                <w:sz w:val="20"/>
                <w:szCs w:val="20"/>
                <w:lang w:val="en-GB"/>
              </w:rPr>
            </w:pPr>
            <w:r w:rsidRPr="003519B9">
              <w:rPr>
                <w:rFonts w:ascii="Arial" w:hAnsi="Arial" w:cs="Arial"/>
                <w:sz w:val="20"/>
                <w:szCs w:val="20"/>
                <w:lang w:val="en-GB"/>
              </w:rPr>
              <w:t>Promoters should have an</w:t>
            </w:r>
            <w:r w:rsidR="00C30E56" w:rsidRPr="003519B9">
              <w:rPr>
                <w:rFonts w:ascii="Arial" w:hAnsi="Arial" w:cs="Arial"/>
                <w:sz w:val="20"/>
                <w:szCs w:val="20"/>
                <w:lang w:val="en-GB"/>
              </w:rPr>
              <w:t xml:space="preserve"> </w:t>
            </w:r>
            <w:r w:rsidRPr="003519B9">
              <w:rPr>
                <w:rFonts w:ascii="Arial" w:hAnsi="Arial" w:cs="Arial"/>
                <w:sz w:val="20"/>
                <w:szCs w:val="20"/>
                <w:lang w:val="en-GB"/>
              </w:rPr>
              <w:t>impeccable track record and demonstrate</w:t>
            </w:r>
            <w:r w:rsidR="00C30E56" w:rsidRPr="003519B9">
              <w:rPr>
                <w:rFonts w:ascii="Arial" w:hAnsi="Arial" w:cs="Arial"/>
                <w:sz w:val="20"/>
                <w:szCs w:val="20"/>
                <w:lang w:val="en-GB"/>
              </w:rPr>
              <w:t xml:space="preserve"> </w:t>
            </w:r>
            <w:r w:rsidRPr="003519B9">
              <w:rPr>
                <w:rFonts w:ascii="Arial" w:hAnsi="Arial" w:cs="Arial"/>
                <w:sz w:val="20"/>
                <w:szCs w:val="20"/>
                <w:lang w:val="en-GB"/>
              </w:rPr>
              <w:t>the</w:t>
            </w:r>
            <w:r w:rsidR="00C30E56" w:rsidRPr="003519B9">
              <w:rPr>
                <w:rFonts w:ascii="Arial" w:hAnsi="Arial" w:cs="Arial"/>
                <w:sz w:val="20"/>
                <w:szCs w:val="20"/>
                <w:lang w:val="en-GB"/>
              </w:rPr>
              <w:t xml:space="preserve"> </w:t>
            </w:r>
            <w:r w:rsidRPr="003519B9">
              <w:rPr>
                <w:rFonts w:ascii="Arial" w:hAnsi="Arial" w:cs="Arial"/>
                <w:sz w:val="20"/>
                <w:szCs w:val="20"/>
                <w:lang w:val="en-GB"/>
              </w:rPr>
              <w:t>ability to withstand shocks</w:t>
            </w:r>
            <w:r w:rsidR="00DC058A" w:rsidRPr="003519B9">
              <w:rPr>
                <w:rFonts w:ascii="Arial" w:hAnsi="Arial" w:cs="Arial"/>
                <w:sz w:val="20"/>
                <w:szCs w:val="20"/>
                <w:lang w:val="en-GB"/>
              </w:rPr>
              <w:t>.</w:t>
            </w:r>
            <w:r w:rsidRPr="003519B9">
              <w:rPr>
                <w:rFonts w:ascii="Arial" w:hAnsi="Arial" w:cs="Arial"/>
                <w:sz w:val="20"/>
                <w:szCs w:val="20"/>
                <w:lang w:val="en-GB"/>
              </w:rPr>
              <w:t xml:space="preserve"> </w:t>
            </w:r>
          </w:p>
        </w:tc>
      </w:tr>
      <w:tr w:rsidR="0051255A" w:rsidRPr="003519B9" w14:paraId="385F785C" w14:textId="77777777" w:rsidTr="006D5C35">
        <w:trPr>
          <w:trHeight w:val="117"/>
          <w:jc w:val="center"/>
        </w:trPr>
        <w:tc>
          <w:tcPr>
            <w:tcW w:w="2830" w:type="dxa"/>
            <w:tcBorders>
              <w:top w:val="single" w:sz="4" w:space="0" w:color="auto"/>
              <w:left w:val="single" w:sz="4" w:space="0" w:color="auto"/>
              <w:bottom w:val="single" w:sz="4" w:space="0" w:color="auto"/>
              <w:right w:val="single" w:sz="4" w:space="0" w:color="auto"/>
            </w:tcBorders>
            <w:hideMark/>
          </w:tcPr>
          <w:p w14:paraId="121E9D2A" w14:textId="77777777" w:rsidR="0051255A" w:rsidRPr="003519B9" w:rsidRDefault="0051255A" w:rsidP="006D5C35">
            <w:pPr>
              <w:pStyle w:val="ExhibitText"/>
              <w:rPr>
                <w:lang w:val="en-GB" w:bidi="hi-IN"/>
              </w:rPr>
            </w:pPr>
            <w:r w:rsidRPr="003519B9">
              <w:rPr>
                <w:lang w:val="en-GB" w:bidi="hi-IN"/>
              </w:rPr>
              <w:t>Credit history</w:t>
            </w:r>
          </w:p>
        </w:tc>
        <w:tc>
          <w:tcPr>
            <w:tcW w:w="6186" w:type="dxa"/>
            <w:tcBorders>
              <w:top w:val="single" w:sz="4" w:space="0" w:color="auto"/>
              <w:left w:val="single" w:sz="4" w:space="0" w:color="auto"/>
              <w:bottom w:val="single" w:sz="4" w:space="0" w:color="auto"/>
              <w:right w:val="single" w:sz="4" w:space="0" w:color="auto"/>
            </w:tcBorders>
            <w:hideMark/>
          </w:tcPr>
          <w:p w14:paraId="3B7FFED1" w14:textId="77777777" w:rsidR="0051255A" w:rsidRPr="003519B9" w:rsidRDefault="0051255A" w:rsidP="006D5C35">
            <w:pPr>
              <w:pStyle w:val="ExhibitText"/>
              <w:rPr>
                <w:lang w:val="en-GB" w:bidi="hi-IN"/>
              </w:rPr>
            </w:pPr>
            <w:r w:rsidRPr="003519B9">
              <w:rPr>
                <w:lang w:val="en-GB" w:bidi="hi-IN"/>
              </w:rPr>
              <w:t>No known default by company or group</w:t>
            </w:r>
          </w:p>
        </w:tc>
      </w:tr>
      <w:tr w:rsidR="0051255A" w:rsidRPr="003519B9" w14:paraId="17B32646" w14:textId="77777777" w:rsidTr="006D5C35">
        <w:trPr>
          <w:trHeight w:val="267"/>
          <w:jc w:val="center"/>
        </w:trPr>
        <w:tc>
          <w:tcPr>
            <w:tcW w:w="2830" w:type="dxa"/>
            <w:tcBorders>
              <w:top w:val="single" w:sz="4" w:space="0" w:color="auto"/>
              <w:left w:val="single" w:sz="4" w:space="0" w:color="auto"/>
              <w:bottom w:val="single" w:sz="4" w:space="0" w:color="auto"/>
              <w:right w:val="single" w:sz="4" w:space="0" w:color="auto"/>
            </w:tcBorders>
            <w:hideMark/>
          </w:tcPr>
          <w:p w14:paraId="4199327F" w14:textId="77777777" w:rsidR="0051255A" w:rsidRPr="003519B9" w:rsidRDefault="0051255A" w:rsidP="006D5C35">
            <w:pPr>
              <w:pStyle w:val="ExhibitText"/>
              <w:rPr>
                <w:lang w:val="en-GB" w:bidi="hi-IN"/>
              </w:rPr>
            </w:pPr>
            <w:r w:rsidRPr="003519B9">
              <w:rPr>
                <w:lang w:val="en-GB" w:bidi="hi-IN"/>
              </w:rPr>
              <w:t>Promoters’ contribution</w:t>
            </w:r>
          </w:p>
        </w:tc>
        <w:tc>
          <w:tcPr>
            <w:tcW w:w="6186" w:type="dxa"/>
            <w:tcBorders>
              <w:top w:val="single" w:sz="4" w:space="0" w:color="auto"/>
              <w:left w:val="single" w:sz="4" w:space="0" w:color="auto"/>
              <w:bottom w:val="single" w:sz="4" w:space="0" w:color="auto"/>
              <w:right w:val="single" w:sz="4" w:space="0" w:color="auto"/>
            </w:tcBorders>
            <w:hideMark/>
          </w:tcPr>
          <w:p w14:paraId="2D32FA25" w14:textId="77777777" w:rsidR="0051255A" w:rsidRPr="003519B9" w:rsidRDefault="0051255A" w:rsidP="006D5C35">
            <w:pPr>
              <w:pStyle w:val="ExhibitText"/>
              <w:rPr>
                <w:lang w:val="en-GB" w:bidi="hi-IN"/>
              </w:rPr>
            </w:pPr>
            <w:r w:rsidRPr="003519B9">
              <w:rPr>
                <w:lang w:val="en-GB" w:bidi="hi-IN"/>
              </w:rPr>
              <w:t>Minimum of 25 to 30 per cent of total cost of the projects</w:t>
            </w:r>
          </w:p>
        </w:tc>
      </w:tr>
      <w:tr w:rsidR="0051255A" w:rsidRPr="003519B9" w14:paraId="538A71FA" w14:textId="77777777" w:rsidTr="006D5C35">
        <w:trPr>
          <w:trHeight w:val="117"/>
          <w:jc w:val="center"/>
        </w:trPr>
        <w:tc>
          <w:tcPr>
            <w:tcW w:w="2830" w:type="dxa"/>
            <w:tcBorders>
              <w:top w:val="single" w:sz="4" w:space="0" w:color="auto"/>
              <w:left w:val="single" w:sz="4" w:space="0" w:color="auto"/>
              <w:bottom w:val="single" w:sz="4" w:space="0" w:color="auto"/>
              <w:right w:val="single" w:sz="4" w:space="0" w:color="auto"/>
            </w:tcBorders>
            <w:hideMark/>
          </w:tcPr>
          <w:p w14:paraId="4ED0142F" w14:textId="77777777" w:rsidR="0051255A" w:rsidRPr="003519B9" w:rsidRDefault="0051255A" w:rsidP="006D5C35">
            <w:pPr>
              <w:pStyle w:val="ExhibitText"/>
              <w:rPr>
                <w:lang w:val="en-GB" w:bidi="hi-IN"/>
              </w:rPr>
            </w:pPr>
            <w:r w:rsidRPr="003519B9">
              <w:rPr>
                <w:lang w:val="en-GB" w:bidi="hi-IN"/>
              </w:rPr>
              <w:t>Interest coverage ratio</w:t>
            </w:r>
          </w:p>
        </w:tc>
        <w:tc>
          <w:tcPr>
            <w:tcW w:w="6186" w:type="dxa"/>
            <w:tcBorders>
              <w:top w:val="single" w:sz="4" w:space="0" w:color="auto"/>
              <w:left w:val="single" w:sz="4" w:space="0" w:color="auto"/>
              <w:bottom w:val="single" w:sz="4" w:space="0" w:color="auto"/>
              <w:right w:val="single" w:sz="4" w:space="0" w:color="auto"/>
            </w:tcBorders>
            <w:hideMark/>
          </w:tcPr>
          <w:p w14:paraId="1FA3373A" w14:textId="77777777" w:rsidR="0051255A" w:rsidRPr="003519B9" w:rsidRDefault="0051255A" w:rsidP="006D5C35">
            <w:pPr>
              <w:pStyle w:val="ExhibitText"/>
              <w:rPr>
                <w:lang w:val="en-GB" w:bidi="hi-IN"/>
              </w:rPr>
            </w:pPr>
            <w:r w:rsidRPr="003519B9">
              <w:rPr>
                <w:lang w:val="en-GB" w:bidi="hi-IN"/>
              </w:rPr>
              <w:t>Minimum of 2x</w:t>
            </w:r>
          </w:p>
        </w:tc>
      </w:tr>
      <w:tr w:rsidR="0051255A" w:rsidRPr="003519B9" w14:paraId="0E3F8B38" w14:textId="77777777" w:rsidTr="006D5C35">
        <w:trPr>
          <w:trHeight w:val="269"/>
          <w:jc w:val="center"/>
        </w:trPr>
        <w:tc>
          <w:tcPr>
            <w:tcW w:w="2830" w:type="dxa"/>
            <w:tcBorders>
              <w:top w:val="single" w:sz="4" w:space="0" w:color="auto"/>
              <w:left w:val="single" w:sz="4" w:space="0" w:color="auto"/>
              <w:bottom w:val="single" w:sz="4" w:space="0" w:color="auto"/>
              <w:right w:val="single" w:sz="4" w:space="0" w:color="auto"/>
            </w:tcBorders>
            <w:hideMark/>
          </w:tcPr>
          <w:p w14:paraId="01436FB9" w14:textId="77777777" w:rsidR="0051255A" w:rsidRPr="003519B9" w:rsidRDefault="0051255A" w:rsidP="006D5C35">
            <w:pPr>
              <w:pStyle w:val="ExhibitText"/>
              <w:rPr>
                <w:lang w:val="en-GB" w:bidi="hi-IN"/>
              </w:rPr>
            </w:pPr>
            <w:r w:rsidRPr="003519B9">
              <w:rPr>
                <w:lang w:val="en-GB" w:bidi="hi-IN"/>
              </w:rPr>
              <w:t xml:space="preserve">Debt service coverage ratio </w:t>
            </w:r>
          </w:p>
        </w:tc>
        <w:tc>
          <w:tcPr>
            <w:tcW w:w="6186" w:type="dxa"/>
            <w:tcBorders>
              <w:top w:val="single" w:sz="4" w:space="0" w:color="auto"/>
              <w:left w:val="single" w:sz="4" w:space="0" w:color="auto"/>
              <w:bottom w:val="single" w:sz="4" w:space="0" w:color="auto"/>
              <w:right w:val="single" w:sz="4" w:space="0" w:color="auto"/>
            </w:tcBorders>
            <w:hideMark/>
          </w:tcPr>
          <w:p w14:paraId="1321AEE7" w14:textId="77777777" w:rsidR="0051255A" w:rsidRPr="003519B9" w:rsidRDefault="0051255A" w:rsidP="006D5C35">
            <w:pPr>
              <w:pStyle w:val="ExhibitText"/>
              <w:rPr>
                <w:lang w:val="en-GB" w:bidi="hi-IN"/>
              </w:rPr>
            </w:pPr>
            <w:r w:rsidRPr="003519B9">
              <w:rPr>
                <w:lang w:val="en-GB" w:bidi="hi-IN"/>
              </w:rPr>
              <w:t>Average of 1.50x and a minimum of 1.20x in each year</w:t>
            </w:r>
          </w:p>
        </w:tc>
      </w:tr>
      <w:tr w:rsidR="0051255A" w:rsidRPr="003519B9" w14:paraId="5ADD4118" w14:textId="77777777" w:rsidTr="006D5C35">
        <w:trPr>
          <w:trHeight w:val="260"/>
          <w:jc w:val="center"/>
        </w:trPr>
        <w:tc>
          <w:tcPr>
            <w:tcW w:w="2830" w:type="dxa"/>
            <w:tcBorders>
              <w:top w:val="single" w:sz="4" w:space="0" w:color="auto"/>
              <w:left w:val="single" w:sz="4" w:space="0" w:color="auto"/>
              <w:bottom w:val="single" w:sz="4" w:space="0" w:color="auto"/>
              <w:right w:val="single" w:sz="4" w:space="0" w:color="auto"/>
            </w:tcBorders>
            <w:hideMark/>
          </w:tcPr>
          <w:p w14:paraId="36CCA445" w14:textId="77777777" w:rsidR="0051255A" w:rsidRPr="003519B9" w:rsidRDefault="0051255A" w:rsidP="00C11BA5">
            <w:pPr>
              <w:pStyle w:val="ExhibitText"/>
              <w:rPr>
                <w:lang w:val="en-GB" w:bidi="hi-IN"/>
              </w:rPr>
            </w:pPr>
            <w:r w:rsidRPr="003519B9">
              <w:rPr>
                <w:lang w:val="en-GB" w:bidi="hi-IN"/>
              </w:rPr>
              <w:t xml:space="preserve">Fixed </w:t>
            </w:r>
            <w:r w:rsidR="00C11BA5" w:rsidRPr="003519B9">
              <w:rPr>
                <w:lang w:val="en-GB" w:bidi="hi-IN"/>
              </w:rPr>
              <w:t>a</w:t>
            </w:r>
            <w:r w:rsidRPr="003519B9">
              <w:rPr>
                <w:lang w:val="en-GB" w:bidi="hi-IN"/>
              </w:rPr>
              <w:t xml:space="preserve">ssets </w:t>
            </w:r>
            <w:r w:rsidR="00C11BA5" w:rsidRPr="003519B9">
              <w:rPr>
                <w:lang w:val="en-GB" w:bidi="hi-IN"/>
              </w:rPr>
              <w:t>c</w:t>
            </w:r>
            <w:r w:rsidRPr="003519B9">
              <w:rPr>
                <w:lang w:val="en-GB" w:bidi="hi-IN"/>
              </w:rPr>
              <w:t xml:space="preserve">overage </w:t>
            </w:r>
            <w:r w:rsidR="00C11BA5" w:rsidRPr="003519B9">
              <w:rPr>
                <w:lang w:val="en-GB" w:bidi="hi-IN"/>
              </w:rPr>
              <w:t>r</w:t>
            </w:r>
            <w:r w:rsidRPr="003519B9">
              <w:rPr>
                <w:lang w:val="en-GB" w:bidi="hi-IN"/>
              </w:rPr>
              <w:t>atio</w:t>
            </w:r>
          </w:p>
        </w:tc>
        <w:tc>
          <w:tcPr>
            <w:tcW w:w="6186" w:type="dxa"/>
            <w:tcBorders>
              <w:top w:val="single" w:sz="4" w:space="0" w:color="auto"/>
              <w:left w:val="single" w:sz="4" w:space="0" w:color="auto"/>
              <w:bottom w:val="single" w:sz="4" w:space="0" w:color="auto"/>
              <w:right w:val="single" w:sz="4" w:space="0" w:color="auto"/>
            </w:tcBorders>
            <w:hideMark/>
          </w:tcPr>
          <w:p w14:paraId="63C6C0BF" w14:textId="77777777" w:rsidR="0051255A" w:rsidRPr="003519B9" w:rsidRDefault="0051255A" w:rsidP="006D5C35">
            <w:pPr>
              <w:pStyle w:val="ExhibitText"/>
              <w:rPr>
                <w:lang w:val="en-GB" w:bidi="hi-IN"/>
              </w:rPr>
            </w:pPr>
            <w:r w:rsidRPr="003519B9">
              <w:rPr>
                <w:lang w:val="en-GB" w:bidi="hi-IN"/>
              </w:rPr>
              <w:t>Minimum of 1.25x</w:t>
            </w:r>
          </w:p>
        </w:tc>
      </w:tr>
      <w:tr w:rsidR="0051255A" w:rsidRPr="003519B9" w14:paraId="2E4F8F2D" w14:textId="77777777" w:rsidTr="006D5C35">
        <w:trPr>
          <w:trHeight w:val="273"/>
          <w:jc w:val="center"/>
        </w:trPr>
        <w:tc>
          <w:tcPr>
            <w:tcW w:w="2830" w:type="dxa"/>
            <w:tcBorders>
              <w:top w:val="single" w:sz="4" w:space="0" w:color="auto"/>
              <w:left w:val="single" w:sz="4" w:space="0" w:color="auto"/>
              <w:bottom w:val="single" w:sz="4" w:space="0" w:color="auto"/>
              <w:right w:val="single" w:sz="4" w:space="0" w:color="auto"/>
            </w:tcBorders>
            <w:hideMark/>
          </w:tcPr>
          <w:p w14:paraId="75170A29" w14:textId="77777777" w:rsidR="0051255A" w:rsidRPr="003519B9" w:rsidRDefault="0051255A" w:rsidP="006D5C35">
            <w:pPr>
              <w:pStyle w:val="ExhibitText"/>
              <w:rPr>
                <w:lang w:val="en-GB" w:bidi="hi-IN"/>
              </w:rPr>
            </w:pPr>
            <w:r w:rsidRPr="003519B9">
              <w:rPr>
                <w:lang w:val="en-GB" w:bidi="hi-IN"/>
              </w:rPr>
              <w:t>Leverage</w:t>
            </w:r>
          </w:p>
        </w:tc>
        <w:tc>
          <w:tcPr>
            <w:tcW w:w="6186" w:type="dxa"/>
            <w:tcBorders>
              <w:top w:val="single" w:sz="4" w:space="0" w:color="auto"/>
              <w:left w:val="single" w:sz="4" w:space="0" w:color="auto"/>
              <w:bottom w:val="single" w:sz="4" w:space="0" w:color="auto"/>
              <w:right w:val="single" w:sz="4" w:space="0" w:color="auto"/>
            </w:tcBorders>
            <w:hideMark/>
          </w:tcPr>
          <w:p w14:paraId="0FEDBBF0" w14:textId="42A599EE" w:rsidR="0051255A" w:rsidRPr="003519B9" w:rsidRDefault="0051255A" w:rsidP="009542DB">
            <w:pPr>
              <w:pStyle w:val="Default"/>
              <w:jc w:val="both"/>
              <w:rPr>
                <w:rFonts w:ascii="Arial" w:hAnsi="Arial" w:cs="Arial"/>
                <w:sz w:val="20"/>
                <w:szCs w:val="20"/>
                <w:lang w:val="en-GB"/>
              </w:rPr>
            </w:pPr>
            <w:r w:rsidRPr="003519B9">
              <w:rPr>
                <w:rFonts w:ascii="Arial" w:hAnsi="Arial" w:cs="Arial"/>
                <w:sz w:val="20"/>
                <w:szCs w:val="20"/>
                <w:lang w:val="en-GB"/>
              </w:rPr>
              <w:t xml:space="preserve">Project’s </w:t>
            </w:r>
            <w:r w:rsidR="00DC058A" w:rsidRPr="003519B9">
              <w:rPr>
                <w:rFonts w:ascii="Arial" w:hAnsi="Arial" w:cs="Arial"/>
                <w:sz w:val="20"/>
                <w:szCs w:val="20"/>
                <w:lang w:val="en-GB"/>
              </w:rPr>
              <w:t>debt-to-</w:t>
            </w:r>
            <w:r w:rsidRPr="003519B9">
              <w:rPr>
                <w:rFonts w:ascii="Arial" w:hAnsi="Arial" w:cs="Arial"/>
                <w:sz w:val="20"/>
                <w:szCs w:val="20"/>
                <w:lang w:val="en-GB"/>
              </w:rPr>
              <w:t>equity ratio should be a maximum of 2.33x</w:t>
            </w:r>
            <w:r w:rsidR="0059330D" w:rsidRPr="003519B9">
              <w:rPr>
                <w:rFonts w:ascii="Arial" w:hAnsi="Arial" w:cs="Arial"/>
                <w:sz w:val="20"/>
                <w:szCs w:val="20"/>
                <w:lang w:val="en-GB"/>
              </w:rPr>
              <w:t>;</w:t>
            </w:r>
            <w:r w:rsidR="00DC058A" w:rsidRPr="003519B9">
              <w:rPr>
                <w:rFonts w:ascii="Arial" w:hAnsi="Arial" w:cs="Arial"/>
                <w:sz w:val="20"/>
                <w:szCs w:val="20"/>
                <w:lang w:val="en-GB"/>
              </w:rPr>
              <w:t xml:space="preserve"> </w:t>
            </w:r>
            <w:r w:rsidR="0059330D" w:rsidRPr="003519B9">
              <w:rPr>
                <w:rFonts w:ascii="Arial" w:hAnsi="Arial" w:cs="Arial"/>
                <w:sz w:val="20"/>
                <w:szCs w:val="20"/>
                <w:lang w:val="en-GB"/>
              </w:rPr>
              <w:t>i</w:t>
            </w:r>
            <w:r w:rsidRPr="003519B9">
              <w:rPr>
                <w:rFonts w:ascii="Arial" w:hAnsi="Arial" w:cs="Arial"/>
                <w:sz w:val="20"/>
                <w:szCs w:val="20"/>
                <w:lang w:val="en-GB"/>
              </w:rPr>
              <w:t>n the case of infrastructure projects, the ratio can be up to 3x</w:t>
            </w:r>
            <w:r w:rsidR="00DC058A" w:rsidRPr="003519B9">
              <w:rPr>
                <w:rFonts w:ascii="Arial" w:hAnsi="Arial" w:cs="Arial"/>
                <w:sz w:val="20"/>
                <w:szCs w:val="20"/>
                <w:lang w:val="en-GB"/>
              </w:rPr>
              <w:t>.</w:t>
            </w:r>
          </w:p>
        </w:tc>
      </w:tr>
      <w:tr w:rsidR="0051255A" w:rsidRPr="003519B9" w14:paraId="3F2A2F89" w14:textId="77777777" w:rsidTr="006D5C35">
        <w:trPr>
          <w:trHeight w:val="273"/>
          <w:jc w:val="center"/>
        </w:trPr>
        <w:tc>
          <w:tcPr>
            <w:tcW w:w="2830" w:type="dxa"/>
            <w:tcBorders>
              <w:top w:val="single" w:sz="4" w:space="0" w:color="auto"/>
              <w:left w:val="single" w:sz="4" w:space="0" w:color="auto"/>
              <w:bottom w:val="single" w:sz="4" w:space="0" w:color="auto"/>
              <w:right w:val="single" w:sz="4" w:space="0" w:color="auto"/>
            </w:tcBorders>
            <w:hideMark/>
          </w:tcPr>
          <w:p w14:paraId="3D347289" w14:textId="77777777" w:rsidR="0051255A" w:rsidRPr="003519B9" w:rsidRDefault="0051255A" w:rsidP="00C11BA5">
            <w:pPr>
              <w:pStyle w:val="ExhibitText"/>
              <w:rPr>
                <w:lang w:val="en-GB" w:bidi="hi-IN"/>
              </w:rPr>
            </w:pPr>
            <w:r w:rsidRPr="003519B9">
              <w:rPr>
                <w:lang w:val="en-GB" w:bidi="hi-IN"/>
              </w:rPr>
              <w:t xml:space="preserve">Internal </w:t>
            </w:r>
            <w:r w:rsidR="00C11BA5" w:rsidRPr="003519B9">
              <w:rPr>
                <w:lang w:val="en-GB" w:bidi="hi-IN"/>
              </w:rPr>
              <w:t>r</w:t>
            </w:r>
            <w:r w:rsidRPr="003519B9">
              <w:rPr>
                <w:lang w:val="en-GB" w:bidi="hi-IN"/>
              </w:rPr>
              <w:t xml:space="preserve">ate of </w:t>
            </w:r>
            <w:r w:rsidR="00C11BA5" w:rsidRPr="003519B9">
              <w:rPr>
                <w:lang w:val="en-GB" w:bidi="hi-IN"/>
              </w:rPr>
              <w:t>r</w:t>
            </w:r>
            <w:r w:rsidRPr="003519B9">
              <w:rPr>
                <w:lang w:val="en-GB" w:bidi="hi-IN"/>
              </w:rPr>
              <w:t>eturn</w:t>
            </w:r>
          </w:p>
        </w:tc>
        <w:tc>
          <w:tcPr>
            <w:tcW w:w="6186" w:type="dxa"/>
            <w:tcBorders>
              <w:top w:val="single" w:sz="4" w:space="0" w:color="auto"/>
              <w:left w:val="single" w:sz="4" w:space="0" w:color="auto"/>
              <w:bottom w:val="single" w:sz="4" w:space="0" w:color="auto"/>
              <w:right w:val="single" w:sz="4" w:space="0" w:color="auto"/>
            </w:tcBorders>
            <w:hideMark/>
          </w:tcPr>
          <w:p w14:paraId="201ACCA9" w14:textId="32CA1B5C" w:rsidR="0051255A" w:rsidRPr="003519B9" w:rsidRDefault="0051255A" w:rsidP="0059330D">
            <w:pPr>
              <w:pStyle w:val="Default"/>
              <w:jc w:val="both"/>
              <w:rPr>
                <w:rFonts w:ascii="Arial" w:hAnsi="Arial" w:cs="Arial"/>
                <w:sz w:val="20"/>
                <w:szCs w:val="20"/>
                <w:lang w:val="en-GB"/>
              </w:rPr>
            </w:pPr>
            <w:r w:rsidRPr="003519B9">
              <w:rPr>
                <w:rFonts w:ascii="Arial" w:hAnsi="Arial" w:cs="Arial"/>
                <w:sz w:val="20"/>
                <w:szCs w:val="20"/>
                <w:lang w:val="en-GB"/>
              </w:rPr>
              <w:t xml:space="preserve">Around 15 per cent and should be above the </w:t>
            </w:r>
            <w:r w:rsidR="0059330D" w:rsidRPr="003519B9">
              <w:rPr>
                <w:rFonts w:ascii="Arial" w:hAnsi="Arial" w:cs="Arial"/>
                <w:sz w:val="20"/>
                <w:szCs w:val="20"/>
                <w:lang w:val="en-GB"/>
              </w:rPr>
              <w:t xml:space="preserve">project’s </w:t>
            </w:r>
            <w:r w:rsidRPr="003519B9">
              <w:rPr>
                <w:rFonts w:ascii="Arial" w:hAnsi="Arial" w:cs="Arial"/>
                <w:sz w:val="20"/>
                <w:szCs w:val="20"/>
                <w:lang w:val="en-GB"/>
              </w:rPr>
              <w:t>cost of capital</w:t>
            </w:r>
            <w:r w:rsidR="00DC058A" w:rsidRPr="003519B9">
              <w:rPr>
                <w:rFonts w:ascii="Arial" w:hAnsi="Arial" w:cs="Arial"/>
                <w:sz w:val="20"/>
                <w:szCs w:val="20"/>
                <w:lang w:val="en-GB"/>
              </w:rPr>
              <w:t>.</w:t>
            </w:r>
            <w:r w:rsidRPr="003519B9">
              <w:rPr>
                <w:rFonts w:ascii="Arial" w:hAnsi="Arial" w:cs="Arial"/>
                <w:sz w:val="20"/>
                <w:szCs w:val="20"/>
                <w:lang w:val="en-GB"/>
              </w:rPr>
              <w:t xml:space="preserve"> </w:t>
            </w:r>
          </w:p>
        </w:tc>
      </w:tr>
    </w:tbl>
    <w:p w14:paraId="506E60D4" w14:textId="77777777" w:rsidR="0051255A" w:rsidRPr="003519B9" w:rsidRDefault="0051255A" w:rsidP="0051255A">
      <w:pPr>
        <w:pStyle w:val="Footnote"/>
        <w:rPr>
          <w:lang w:val="en-GB"/>
        </w:rPr>
      </w:pPr>
    </w:p>
    <w:p w14:paraId="3585787D" w14:textId="149C88C0" w:rsidR="0051255A" w:rsidRPr="003519B9" w:rsidRDefault="0051255A" w:rsidP="0051255A">
      <w:pPr>
        <w:pStyle w:val="Footnote"/>
        <w:rPr>
          <w:lang w:val="en-GB"/>
        </w:rPr>
        <w:sectPr w:rsidR="0051255A" w:rsidRPr="003519B9" w:rsidSect="006D5C35">
          <w:endnotePr>
            <w:numFmt w:val="decimal"/>
          </w:endnotePr>
          <w:pgSz w:w="12240" w:h="15840"/>
          <w:pgMar w:top="1440" w:right="1440" w:bottom="1440" w:left="1440" w:header="1080" w:footer="720" w:gutter="0"/>
          <w:cols w:space="720"/>
          <w:docGrid w:linePitch="360"/>
        </w:sectPr>
      </w:pPr>
      <w:r w:rsidRPr="003519B9">
        <w:rPr>
          <w:lang w:val="en-GB"/>
        </w:rPr>
        <w:t>Source: Chandra Prasanna</w:t>
      </w:r>
      <w:r w:rsidR="0059330D" w:rsidRPr="003519B9">
        <w:rPr>
          <w:lang w:val="en-GB"/>
        </w:rPr>
        <w:t>,</w:t>
      </w:r>
      <w:r w:rsidRPr="003519B9">
        <w:rPr>
          <w:lang w:val="en-GB"/>
        </w:rPr>
        <w:t xml:space="preserve"> </w:t>
      </w:r>
      <w:r w:rsidR="00DC058A" w:rsidRPr="003519B9">
        <w:rPr>
          <w:lang w:val="en-GB"/>
        </w:rPr>
        <w:t>Chapter 18 in</w:t>
      </w:r>
      <w:r w:rsidR="00DC058A" w:rsidRPr="003519B9" w:rsidDel="00DC058A">
        <w:rPr>
          <w:i/>
          <w:lang w:val="en-GB"/>
        </w:rPr>
        <w:t xml:space="preserve"> </w:t>
      </w:r>
      <w:r w:rsidRPr="0058410C">
        <w:rPr>
          <w:i/>
          <w:lang w:val="en-GB"/>
        </w:rPr>
        <w:t>Projects: Planning, Analysis, Selection, Financing, Implementation, and Review</w:t>
      </w:r>
      <w:r w:rsidR="0059330D" w:rsidRPr="003519B9">
        <w:rPr>
          <w:lang w:val="en-GB"/>
        </w:rPr>
        <w:t>,</w:t>
      </w:r>
      <w:r w:rsidRPr="003519B9">
        <w:rPr>
          <w:lang w:val="en-GB"/>
        </w:rPr>
        <w:t xml:space="preserve"> 8th </w:t>
      </w:r>
      <w:r w:rsidR="00DC058A" w:rsidRPr="003519B9">
        <w:rPr>
          <w:lang w:val="en-GB"/>
        </w:rPr>
        <w:t>ed.</w:t>
      </w:r>
      <w:r w:rsidRPr="003519B9">
        <w:rPr>
          <w:lang w:val="en-GB"/>
        </w:rPr>
        <w:t xml:space="preserve"> (New Delhi: McGraw Hill Education </w:t>
      </w:r>
      <w:r w:rsidR="0059330D" w:rsidRPr="003519B9">
        <w:rPr>
          <w:lang w:val="en-GB"/>
        </w:rPr>
        <w:t>[</w:t>
      </w:r>
      <w:r w:rsidRPr="003519B9">
        <w:rPr>
          <w:lang w:val="en-GB"/>
        </w:rPr>
        <w:t>India</w:t>
      </w:r>
      <w:r w:rsidR="0059330D" w:rsidRPr="003519B9">
        <w:rPr>
          <w:lang w:val="en-GB"/>
        </w:rPr>
        <w:t>]</w:t>
      </w:r>
      <w:r w:rsidRPr="003519B9">
        <w:rPr>
          <w:lang w:val="en-GB"/>
        </w:rPr>
        <w:t xml:space="preserve"> Private Limited, 2014), 18.01–18.49.</w:t>
      </w:r>
    </w:p>
    <w:p w14:paraId="5C6C1439" w14:textId="77777777" w:rsidR="0051255A" w:rsidRPr="003519B9" w:rsidRDefault="00B1213B" w:rsidP="0051255A">
      <w:pPr>
        <w:pStyle w:val="ExhibitHeading"/>
        <w:rPr>
          <w:lang w:val="en-GB"/>
        </w:rPr>
      </w:pPr>
      <w:r w:rsidRPr="003519B9">
        <w:rPr>
          <w:lang w:val="en-GB"/>
        </w:rPr>
        <w:lastRenderedPageBreak/>
        <w:t>Exhibit 8</w:t>
      </w:r>
      <w:r w:rsidR="0051255A" w:rsidRPr="003519B9">
        <w:rPr>
          <w:lang w:val="en-GB"/>
        </w:rPr>
        <w:t xml:space="preserve">: CASH FLOW WATERFALL MECHANISM </w:t>
      </w:r>
      <w:r w:rsidR="00C11BA5" w:rsidRPr="003519B9">
        <w:rPr>
          <w:lang w:val="en-GB"/>
        </w:rPr>
        <w:t>for NAVA BHARAT ENERGY INDIA LIMITED</w:t>
      </w:r>
    </w:p>
    <w:p w14:paraId="3950AD1E" w14:textId="77777777" w:rsidR="0051255A" w:rsidRPr="003519B9" w:rsidRDefault="0051255A" w:rsidP="0051255A">
      <w:pPr>
        <w:pStyle w:val="Footnote"/>
        <w:rPr>
          <w:lang w:val="en-GB"/>
        </w:rPr>
      </w:pPr>
    </w:p>
    <w:p w14:paraId="670E2CA4" w14:textId="6592C62D" w:rsidR="0051255A" w:rsidRPr="003519B9" w:rsidRDefault="00D156D0" w:rsidP="0051255A">
      <w:pPr>
        <w:pStyle w:val="Footnote"/>
        <w:rPr>
          <w:lang w:val="en-GB"/>
        </w:rPr>
      </w:pPr>
      <w:r w:rsidRPr="003519B9">
        <w:rPr>
          <w:noProof/>
        </w:rPr>
        <mc:AlternateContent>
          <mc:Choice Requires="wpg">
            <w:drawing>
              <wp:anchor distT="0" distB="0" distL="114300" distR="114300" simplePos="0" relativeHeight="251658240" behindDoc="0" locked="0" layoutInCell="1" allowOverlap="1" wp14:anchorId="06A7B349" wp14:editId="3223368D">
                <wp:simplePos x="0" y="0"/>
                <wp:positionH relativeFrom="column">
                  <wp:posOffset>508883</wp:posOffset>
                </wp:positionH>
                <wp:positionV relativeFrom="paragraph">
                  <wp:posOffset>104858</wp:posOffset>
                </wp:positionV>
                <wp:extent cx="7116445" cy="4699000"/>
                <wp:effectExtent l="0" t="0" r="27305" b="2540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16445" cy="4699000"/>
                          <a:chOff x="0" y="0"/>
                          <a:chExt cx="77057" cy="49434"/>
                        </a:xfrm>
                      </wpg:grpSpPr>
                      <wps:wsp>
                        <wps:cNvPr id="2" name="Straight Connector 64"/>
                        <wps:cNvCnPr>
                          <a:cxnSpLocks noChangeShapeType="1"/>
                        </wps:cNvCnPr>
                        <wps:spPr bwMode="auto">
                          <a:xfrm>
                            <a:off x="4691" y="6281"/>
                            <a:ext cx="0" cy="36195"/>
                          </a:xfrm>
                          <a:prstGeom prst="line">
                            <a:avLst/>
                          </a:prstGeom>
                          <a:noFill/>
                          <a:ln w="19050">
                            <a:solidFill>
                              <a:srgbClr val="000000"/>
                            </a:solidFill>
                            <a:miter lim="800000"/>
                            <a:headEnd/>
                            <a:tailEnd/>
                          </a:ln>
                          <a:extLst>
                            <a:ext uri="{909E8E84-426E-40DD-AFC4-6F175D3DCCD1}">
                              <a14:hiddenFill xmlns:a14="http://schemas.microsoft.com/office/drawing/2010/main">
                                <a:noFill/>
                              </a14:hiddenFill>
                            </a:ext>
                          </a:extLst>
                        </wps:spPr>
                        <wps:bodyPr/>
                      </wps:wsp>
                      <wpg:grpSp>
                        <wpg:cNvPr id="3" name="Group 45"/>
                        <wpg:cNvGrpSpPr>
                          <a:grpSpLocks/>
                        </wpg:cNvGrpSpPr>
                        <wpg:grpSpPr bwMode="auto">
                          <a:xfrm>
                            <a:off x="0" y="0"/>
                            <a:ext cx="77057" cy="49434"/>
                            <a:chOff x="1935" y="1410"/>
                            <a:chExt cx="12135" cy="7785"/>
                          </a:xfrm>
                        </wpg:grpSpPr>
                        <wps:wsp>
                          <wps:cNvPr id="4" name="Rectangle 29"/>
                          <wps:cNvSpPr>
                            <a:spLocks noChangeArrowheads="1"/>
                          </wps:cNvSpPr>
                          <wps:spPr bwMode="auto">
                            <a:xfrm>
                              <a:off x="2056" y="1410"/>
                              <a:ext cx="1305" cy="990"/>
                            </a:xfrm>
                            <a:prstGeom prst="rect">
                              <a:avLst/>
                            </a:prstGeom>
                            <a:solidFill>
                              <a:srgbClr val="FFFFFF"/>
                            </a:solidFill>
                            <a:ln w="12700">
                              <a:solidFill>
                                <a:srgbClr val="000000"/>
                              </a:solidFill>
                              <a:miter lim="800000"/>
                              <a:headEnd/>
                              <a:tailEnd/>
                            </a:ln>
                          </wps:spPr>
                          <wps:txbx>
                            <w:txbxContent>
                              <w:p w14:paraId="13E952D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Cash flow waterfall</w:t>
                                </w:r>
                              </w:p>
                            </w:txbxContent>
                          </wps:txbx>
                          <wps:bodyPr rot="0" vert="horz" wrap="square" lIns="91440" tIns="45720" rIns="91440" bIns="45720" anchor="ctr" anchorCtr="0" upright="1">
                            <a:noAutofit/>
                          </wps:bodyPr>
                        </wps:wsp>
                        <wpg:grpSp>
                          <wpg:cNvPr id="5" name="Group 48"/>
                          <wpg:cNvGrpSpPr>
                            <a:grpSpLocks/>
                          </wpg:cNvGrpSpPr>
                          <wpg:grpSpPr bwMode="auto">
                            <a:xfrm>
                              <a:off x="1935" y="1564"/>
                              <a:ext cx="12135" cy="7631"/>
                              <a:chOff x="1935" y="1564"/>
                              <a:chExt cx="12135" cy="7631"/>
                            </a:xfrm>
                          </wpg:grpSpPr>
                          <wps:wsp>
                            <wps:cNvPr id="6" name="Rectangle 26"/>
                            <wps:cNvSpPr>
                              <a:spLocks noChangeArrowheads="1"/>
                            </wps:cNvSpPr>
                            <wps:spPr bwMode="auto">
                              <a:xfrm>
                                <a:off x="10725" y="6960"/>
                                <a:ext cx="810" cy="690"/>
                              </a:xfrm>
                              <a:prstGeom prst="rect">
                                <a:avLst/>
                              </a:prstGeom>
                              <a:solidFill>
                                <a:srgbClr val="FFFFFF"/>
                              </a:solidFill>
                              <a:ln w="12700">
                                <a:solidFill>
                                  <a:srgbClr val="000000"/>
                                </a:solidFill>
                                <a:miter lim="800000"/>
                                <a:headEnd/>
                                <a:tailEnd/>
                              </a:ln>
                            </wps:spPr>
                            <wps:txbx>
                              <w:txbxContent>
                                <w:p w14:paraId="4A1FEB56"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Tax</w:t>
                                  </w:r>
                                </w:p>
                              </w:txbxContent>
                            </wps:txbx>
                            <wps:bodyPr rot="0" vert="horz" wrap="square" lIns="91440" tIns="45720" rIns="91440" bIns="45720" anchor="ctr" anchorCtr="0" upright="1">
                              <a:noAutofit/>
                            </wps:bodyPr>
                          </wps:wsp>
                          <wps:wsp>
                            <wps:cNvPr id="7" name="Rectangle 27"/>
                            <wps:cNvSpPr>
                              <a:spLocks noChangeArrowheads="1"/>
                            </wps:cNvSpPr>
                            <wps:spPr bwMode="auto">
                              <a:xfrm>
                                <a:off x="11535" y="7650"/>
                                <a:ext cx="1335" cy="870"/>
                              </a:xfrm>
                              <a:prstGeom prst="rect">
                                <a:avLst/>
                              </a:prstGeom>
                              <a:solidFill>
                                <a:srgbClr val="FFFFFF"/>
                              </a:solidFill>
                              <a:ln w="12700">
                                <a:solidFill>
                                  <a:srgbClr val="000000"/>
                                </a:solidFill>
                                <a:miter lim="800000"/>
                                <a:headEnd/>
                                <a:tailEnd/>
                              </a:ln>
                            </wps:spPr>
                            <wps:txbx>
                              <w:txbxContent>
                                <w:p w14:paraId="5C45B779"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Term loan installments</w:t>
                                  </w:r>
                                </w:p>
                              </w:txbxContent>
                            </wps:txbx>
                            <wps:bodyPr rot="0" vert="horz" wrap="square" lIns="91440" tIns="45720" rIns="91440" bIns="45720" anchor="ctr" anchorCtr="0" upright="1">
                              <a:noAutofit/>
                            </wps:bodyPr>
                          </wps:wsp>
                          <wps:wsp>
                            <wps:cNvPr id="8" name="Rectangle 28"/>
                            <wps:cNvSpPr>
                              <a:spLocks noChangeArrowheads="1"/>
                            </wps:cNvSpPr>
                            <wps:spPr bwMode="auto">
                              <a:xfrm>
                                <a:off x="12870" y="8535"/>
                                <a:ext cx="1200" cy="540"/>
                              </a:xfrm>
                              <a:prstGeom prst="rect">
                                <a:avLst/>
                              </a:prstGeom>
                              <a:solidFill>
                                <a:srgbClr val="FFFFFF"/>
                              </a:solidFill>
                              <a:ln w="12700">
                                <a:solidFill>
                                  <a:srgbClr val="000000"/>
                                </a:solidFill>
                                <a:miter lim="800000"/>
                                <a:headEnd/>
                                <a:tailEnd/>
                              </a:ln>
                            </wps:spPr>
                            <wps:txbx>
                              <w:txbxContent>
                                <w:p w14:paraId="06D05062"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Dividends</w:t>
                                  </w:r>
                                </w:p>
                              </w:txbxContent>
                            </wps:txbx>
                            <wps:bodyPr rot="0" vert="horz" wrap="square" lIns="91440" tIns="45720" rIns="91440" bIns="45720" anchor="ctr" anchorCtr="0" upright="1">
                              <a:noAutofit/>
                            </wps:bodyPr>
                          </wps:wsp>
                          <wpg:grpSp>
                            <wpg:cNvPr id="9" name="Group 52"/>
                            <wpg:cNvGrpSpPr>
                              <a:grpSpLocks/>
                            </wpg:cNvGrpSpPr>
                            <wpg:grpSpPr bwMode="auto">
                              <a:xfrm>
                                <a:off x="1935" y="1564"/>
                                <a:ext cx="11310" cy="7631"/>
                                <a:chOff x="1935" y="1564"/>
                                <a:chExt cx="11310" cy="7631"/>
                              </a:xfrm>
                            </wpg:grpSpPr>
                            <wps:wsp>
                              <wps:cNvPr id="10" name="Rectangle 21"/>
                              <wps:cNvSpPr>
                                <a:spLocks noChangeArrowheads="1"/>
                              </wps:cNvSpPr>
                              <wps:spPr bwMode="auto">
                                <a:xfrm>
                                  <a:off x="4890" y="3135"/>
                                  <a:ext cx="1185" cy="735"/>
                                </a:xfrm>
                                <a:prstGeom prst="rect">
                                  <a:avLst/>
                                </a:prstGeom>
                                <a:solidFill>
                                  <a:srgbClr val="FFFFFF"/>
                                </a:solidFill>
                                <a:ln w="12700">
                                  <a:solidFill>
                                    <a:srgbClr val="000000"/>
                                  </a:solidFill>
                                  <a:miter lim="800000"/>
                                  <a:headEnd/>
                                  <a:tailEnd/>
                                </a:ln>
                              </wps:spPr>
                              <wps:txbx>
                                <w:txbxContent>
                                  <w:p w14:paraId="590E9B0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O&amp;M expenses</w:t>
                                    </w:r>
                                  </w:p>
                                </w:txbxContent>
                              </wps:txbx>
                              <wps:bodyPr rot="0" vert="horz" wrap="square" lIns="91440" tIns="45720" rIns="91440" bIns="45720" anchor="ctr" anchorCtr="0" upright="1">
                                <a:noAutofit/>
                              </wps:bodyPr>
                            </wps:wsp>
                            <wps:wsp>
                              <wps:cNvPr id="11" name="Rectangle 22"/>
                              <wps:cNvSpPr>
                                <a:spLocks noChangeArrowheads="1"/>
                              </wps:cNvSpPr>
                              <wps:spPr bwMode="auto">
                                <a:xfrm>
                                  <a:off x="6075" y="3870"/>
                                  <a:ext cx="990" cy="900"/>
                                </a:xfrm>
                                <a:prstGeom prst="rect">
                                  <a:avLst/>
                                </a:prstGeom>
                                <a:solidFill>
                                  <a:srgbClr val="FFFFFF"/>
                                </a:solidFill>
                                <a:ln w="12700">
                                  <a:solidFill>
                                    <a:srgbClr val="000000"/>
                                  </a:solidFill>
                                  <a:miter lim="800000"/>
                                  <a:headEnd/>
                                  <a:tailEnd/>
                                </a:ln>
                              </wps:spPr>
                              <wps:txbx>
                                <w:txbxContent>
                                  <w:p w14:paraId="6DB3A196"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Wages and salaries</w:t>
                                    </w:r>
                                  </w:p>
                                </w:txbxContent>
                              </wps:txbx>
                              <wps:bodyPr rot="0" vert="horz" wrap="square" lIns="91440" tIns="45720" rIns="91440" bIns="45720" anchor="ctr" anchorCtr="0" upright="1">
                                <a:noAutofit/>
                              </wps:bodyPr>
                            </wps:wsp>
                            <wps:wsp>
                              <wps:cNvPr id="12" name="Rectangle 23"/>
                              <wps:cNvSpPr>
                                <a:spLocks noChangeArrowheads="1"/>
                              </wps:cNvSpPr>
                              <wps:spPr bwMode="auto">
                                <a:xfrm>
                                  <a:off x="8160" y="5535"/>
                                  <a:ext cx="1470" cy="630"/>
                                </a:xfrm>
                                <a:prstGeom prst="rect">
                                  <a:avLst/>
                                </a:prstGeom>
                                <a:solidFill>
                                  <a:srgbClr val="FFFFFF"/>
                                </a:solidFill>
                                <a:ln w="12700">
                                  <a:solidFill>
                                    <a:srgbClr val="000000"/>
                                  </a:solidFill>
                                  <a:miter lim="800000"/>
                                  <a:headEnd/>
                                  <a:tailEnd/>
                                </a:ln>
                              </wps:spPr>
                              <wps:txbx>
                                <w:txbxContent>
                                  <w:p w14:paraId="17E8320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Depreciation</w:t>
                                    </w:r>
                                  </w:p>
                                </w:txbxContent>
                              </wps:txbx>
                              <wps:bodyPr rot="0" vert="horz" wrap="square" lIns="91440" tIns="45720" rIns="91440" bIns="45720" anchor="ctr" anchorCtr="0" upright="1">
                                <a:noAutofit/>
                              </wps:bodyPr>
                            </wps:wsp>
                            <wps:wsp>
                              <wps:cNvPr id="13" name="Rectangle 24"/>
                              <wps:cNvSpPr>
                                <a:spLocks noChangeArrowheads="1"/>
                              </wps:cNvSpPr>
                              <wps:spPr bwMode="auto">
                                <a:xfrm>
                                  <a:off x="7065" y="4770"/>
                                  <a:ext cx="1095" cy="765"/>
                                </a:xfrm>
                                <a:prstGeom prst="rect">
                                  <a:avLst/>
                                </a:prstGeom>
                                <a:solidFill>
                                  <a:srgbClr val="FFFFFF"/>
                                </a:solidFill>
                                <a:ln w="12700">
                                  <a:solidFill>
                                    <a:srgbClr val="000000"/>
                                  </a:solidFill>
                                  <a:miter lim="800000"/>
                                  <a:headEnd/>
                                  <a:tailEnd/>
                                </a:ln>
                              </wps:spPr>
                              <wps:txbx>
                                <w:txbxContent>
                                  <w:p w14:paraId="0DED4B5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Statutory levies</w:t>
                                    </w:r>
                                  </w:p>
                                </w:txbxContent>
                              </wps:txbx>
                              <wps:bodyPr rot="0" vert="horz" wrap="square" lIns="91440" tIns="45720" rIns="91440" bIns="45720" anchor="ctr" anchorCtr="0" upright="1">
                                <a:noAutofit/>
                              </wps:bodyPr>
                            </wps:wsp>
                            <wps:wsp>
                              <wps:cNvPr id="14" name="Rectangle 25"/>
                              <wps:cNvSpPr>
                                <a:spLocks noChangeArrowheads="1"/>
                              </wps:cNvSpPr>
                              <wps:spPr bwMode="auto">
                                <a:xfrm>
                                  <a:off x="9630" y="6180"/>
                                  <a:ext cx="1095" cy="780"/>
                                </a:xfrm>
                                <a:prstGeom prst="rect">
                                  <a:avLst/>
                                </a:prstGeom>
                                <a:solidFill>
                                  <a:srgbClr val="FFFFFF"/>
                                </a:solidFill>
                                <a:ln w="12700">
                                  <a:solidFill>
                                    <a:srgbClr val="000000"/>
                                  </a:solidFill>
                                  <a:miter lim="800000"/>
                                  <a:headEnd/>
                                  <a:tailEnd/>
                                </a:ln>
                              </wps:spPr>
                              <wps:txbx>
                                <w:txbxContent>
                                  <w:p w14:paraId="6C5A11A9"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Interest on loans</w:t>
                                    </w:r>
                                  </w:p>
                                </w:txbxContent>
                              </wps:txbx>
                              <wps:bodyPr rot="0" vert="horz" wrap="square" lIns="91440" tIns="45720" rIns="91440" bIns="45720" anchor="ctr" anchorCtr="0" upright="1">
                                <a:noAutofit/>
                              </wps:bodyPr>
                            </wps:wsp>
                            <wpg:grpSp>
                              <wpg:cNvPr id="15" name="Group 58"/>
                              <wpg:cNvGrpSpPr>
                                <a:grpSpLocks/>
                              </wpg:cNvGrpSpPr>
                              <wpg:grpSpPr bwMode="auto">
                                <a:xfrm>
                                  <a:off x="1935" y="1564"/>
                                  <a:ext cx="11310" cy="7631"/>
                                  <a:chOff x="1935" y="1564"/>
                                  <a:chExt cx="11310" cy="7631"/>
                                </a:xfrm>
                              </wpg:grpSpPr>
                              <wps:wsp>
                                <wps:cNvPr id="16" name="Rectangle 32"/>
                                <wps:cNvSpPr>
                                  <a:spLocks noChangeArrowheads="1"/>
                                </wps:cNvSpPr>
                                <wps:spPr bwMode="auto">
                                  <a:xfrm>
                                    <a:off x="1935" y="8100"/>
                                    <a:ext cx="1706" cy="1095"/>
                                  </a:xfrm>
                                  <a:prstGeom prst="rect">
                                    <a:avLst/>
                                  </a:prstGeom>
                                  <a:solidFill>
                                    <a:srgbClr val="FFFFFF"/>
                                  </a:solidFill>
                                  <a:ln w="12700">
                                    <a:solidFill>
                                      <a:srgbClr val="000000"/>
                                    </a:solidFill>
                                    <a:miter lim="800000"/>
                                    <a:headEnd/>
                                    <a:tailEnd/>
                                  </a:ln>
                                </wps:spPr>
                                <wps:txbx>
                                  <w:txbxContent>
                                    <w:p w14:paraId="67D468D8"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Thermal power plant</w:t>
                                      </w:r>
                                    </w:p>
                                  </w:txbxContent>
                                </wps:txbx>
                                <wps:bodyPr rot="0" vert="horz" wrap="square" lIns="91440" tIns="45720" rIns="91440" bIns="45720" anchor="ctr" anchorCtr="0" upright="1">
                                  <a:noAutofit/>
                                </wps:bodyPr>
                              </wps:wsp>
                              <wps:wsp>
                                <wps:cNvPr id="17" name="Rectangle 36"/>
                                <wps:cNvSpPr>
                                  <a:spLocks noChangeArrowheads="1"/>
                                </wps:cNvSpPr>
                                <wps:spPr bwMode="auto">
                                  <a:xfrm>
                                    <a:off x="1935" y="4290"/>
                                    <a:ext cx="1530" cy="2325"/>
                                  </a:xfrm>
                                  <a:prstGeom prst="rect">
                                    <a:avLst/>
                                  </a:prstGeom>
                                  <a:solidFill>
                                    <a:srgbClr val="FFFFFF"/>
                                  </a:solidFill>
                                  <a:ln w="12700">
                                    <a:solidFill>
                                      <a:srgbClr val="000000"/>
                                    </a:solidFill>
                                    <a:miter lim="800000"/>
                                    <a:headEnd/>
                                    <a:tailEnd/>
                                  </a:ln>
                                </wps:spPr>
                                <wps:txbx>
                                  <w:txbxContent>
                                    <w:p w14:paraId="20803B92" w14:textId="77777777" w:rsidR="00D143CE" w:rsidRPr="005A7A7F" w:rsidRDefault="00D143CE" w:rsidP="0051255A">
                                      <w:pPr>
                                        <w:rPr>
                                          <w:rFonts w:ascii="Arial" w:hAnsi="Arial" w:cs="Arial"/>
                                          <w:sz w:val="17"/>
                                          <w:szCs w:val="17"/>
                                        </w:rPr>
                                      </w:pPr>
                                      <w:r w:rsidRPr="005A7A7F">
                                        <w:rPr>
                                          <w:rFonts w:ascii="Arial" w:hAnsi="Arial" w:cs="Arial"/>
                                          <w:sz w:val="17"/>
                                          <w:szCs w:val="17"/>
                                        </w:rPr>
                                        <w:t>Revenue from sale of power</w:t>
                                      </w:r>
                                    </w:p>
                                  </w:txbxContent>
                                </wps:txbx>
                                <wps:bodyPr rot="0" vert="horz" wrap="square" lIns="91440" tIns="45720" rIns="91440" bIns="45720" anchor="ctr" anchorCtr="0" upright="1">
                                  <a:noAutofit/>
                                </wps:bodyPr>
                              </wps:wsp>
                              <wpg:grpSp>
                                <wpg:cNvPr id="18" name="Group 61"/>
                                <wpg:cNvGrpSpPr>
                                  <a:grpSpLocks/>
                                </wpg:cNvGrpSpPr>
                                <wpg:grpSpPr bwMode="auto">
                                  <a:xfrm>
                                    <a:off x="3365" y="1564"/>
                                    <a:ext cx="9880" cy="6930"/>
                                    <a:chOff x="3365" y="1564"/>
                                    <a:chExt cx="9880" cy="6930"/>
                                  </a:xfrm>
                                </wpg:grpSpPr>
                                <wps:wsp>
                                  <wps:cNvPr id="19" name="Rectangle 15"/>
                                  <wps:cNvSpPr>
                                    <a:spLocks noChangeArrowheads="1"/>
                                  </wps:cNvSpPr>
                                  <wps:spPr bwMode="auto">
                                    <a:xfrm>
                                      <a:off x="3725" y="2466"/>
                                      <a:ext cx="1165" cy="645"/>
                                    </a:xfrm>
                                    <a:prstGeom prst="rect">
                                      <a:avLst/>
                                    </a:prstGeom>
                                    <a:solidFill>
                                      <a:srgbClr val="FFFFFF"/>
                                    </a:solidFill>
                                    <a:ln w="12700">
                                      <a:solidFill>
                                        <a:srgbClr val="000000"/>
                                      </a:solidFill>
                                      <a:miter lim="800000"/>
                                      <a:headEnd/>
                                      <a:tailEnd/>
                                    </a:ln>
                                  </wps:spPr>
                                  <wps:txbx>
                                    <w:txbxContent>
                                      <w:p w14:paraId="4FEDF937"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Fuel expenses</w:t>
                                        </w:r>
                                      </w:p>
                                    </w:txbxContent>
                                  </wps:txbx>
                                  <wps:bodyPr rot="0" vert="horz" wrap="square" lIns="91440" tIns="45720" rIns="91440" bIns="45720" anchor="ctr" anchorCtr="0" upright="1">
                                    <a:noAutofit/>
                                  </wps:bodyPr>
                                </wps:wsp>
                                <wps:wsp>
                                  <wps:cNvPr id="20" name="Bent Arrow 30"/>
                                  <wps:cNvSpPr>
                                    <a:spLocks/>
                                  </wps:cNvSpPr>
                                  <wps:spPr bwMode="auto">
                                    <a:xfrm rot="5400000">
                                      <a:off x="3544" y="1385"/>
                                      <a:ext cx="877" cy="1236"/>
                                    </a:xfrm>
                                    <a:custGeom>
                                      <a:avLst/>
                                      <a:gdLst>
                                        <a:gd name="T0" fmla="*/ 0 w 556895"/>
                                        <a:gd name="T1" fmla="*/ 2 h 784543"/>
                                        <a:gd name="T2" fmla="*/ 0 w 556895"/>
                                        <a:gd name="T3" fmla="*/ 1 h 784543"/>
                                        <a:gd name="T4" fmla="*/ 1 w 556895"/>
                                        <a:gd name="T5" fmla="*/ 0 h 784543"/>
                                        <a:gd name="T6" fmla="*/ 1 w 556895"/>
                                        <a:gd name="T7" fmla="*/ 0 h 784543"/>
                                        <a:gd name="T8" fmla="*/ 1 w 556895"/>
                                        <a:gd name="T9" fmla="*/ 0 h 784543"/>
                                        <a:gd name="T10" fmla="*/ 1 w 556895"/>
                                        <a:gd name="T11" fmla="*/ 0 h 784543"/>
                                        <a:gd name="T12" fmla="*/ 1 w 556895"/>
                                        <a:gd name="T13" fmla="*/ 1 h 784543"/>
                                        <a:gd name="T14" fmla="*/ 1 w 556895"/>
                                        <a:gd name="T15" fmla="*/ 1 h 784543"/>
                                        <a:gd name="T16" fmla="*/ 1 w 556895"/>
                                        <a:gd name="T17" fmla="*/ 1 h 784543"/>
                                        <a:gd name="T18" fmla="*/ 0 w 556895"/>
                                        <a:gd name="T19" fmla="*/ 1 h 784543"/>
                                        <a:gd name="T20" fmla="*/ 0 w 556895"/>
                                        <a:gd name="T21" fmla="*/ 2 h 784543"/>
                                        <a:gd name="T22" fmla="*/ 0 w 556895"/>
                                        <a:gd name="T23" fmla="*/ 2 h 784543"/>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556895" h="784543">
                                          <a:moveTo>
                                            <a:pt x="0" y="784543"/>
                                          </a:moveTo>
                                          <a:lnTo>
                                            <a:pt x="0" y="313253"/>
                                          </a:lnTo>
                                          <a:cubicBezTo>
                                            <a:pt x="0" y="178693"/>
                                            <a:pt x="109082" y="69611"/>
                                            <a:pt x="243642" y="69611"/>
                                          </a:cubicBezTo>
                                          <a:lnTo>
                                            <a:pt x="417671" y="69612"/>
                                          </a:lnTo>
                                          <a:lnTo>
                                            <a:pt x="417671" y="0"/>
                                          </a:lnTo>
                                          <a:lnTo>
                                            <a:pt x="556895" y="139224"/>
                                          </a:lnTo>
                                          <a:lnTo>
                                            <a:pt x="417671" y="278448"/>
                                          </a:lnTo>
                                          <a:lnTo>
                                            <a:pt x="417671" y="208836"/>
                                          </a:lnTo>
                                          <a:lnTo>
                                            <a:pt x="243642" y="208836"/>
                                          </a:lnTo>
                                          <a:cubicBezTo>
                                            <a:pt x="185974" y="208836"/>
                                            <a:pt x="139224" y="255586"/>
                                            <a:pt x="139224" y="313254"/>
                                          </a:cubicBezTo>
                                          <a:lnTo>
                                            <a:pt x="139224" y="784543"/>
                                          </a:lnTo>
                                          <a:lnTo>
                                            <a:pt x="0" y="784543"/>
                                          </a:lnTo>
                                          <a:close/>
                                        </a:path>
                                      </a:pathLst>
                                    </a:custGeom>
                                    <a:solidFill>
                                      <a:srgbClr val="FFFFFF"/>
                                    </a:solidFill>
                                    <a:ln w="12700">
                                      <a:solidFill>
                                        <a:srgbClr val="000000"/>
                                      </a:solidFill>
                                      <a:miter lim="800000"/>
                                      <a:headEnd/>
                                      <a:tailEnd/>
                                    </a:ln>
                                  </wps:spPr>
                                  <wps:bodyPr rot="0" vert="horz" wrap="square" lIns="91440" tIns="45720" rIns="91440" bIns="45720" anchor="ctr" anchorCtr="0" upright="1">
                                    <a:noAutofit/>
                                  </wps:bodyPr>
                                </wps:wsp>
                                <wps:wsp>
                                  <wps:cNvPr id="21" name="Freeform 9"/>
                                  <wps:cNvSpPr>
                                    <a:spLocks/>
                                  </wps:cNvSpPr>
                                  <wps:spPr bwMode="auto">
                                    <a:xfrm>
                                      <a:off x="4920" y="2404"/>
                                      <a:ext cx="8325" cy="6090"/>
                                    </a:xfrm>
                                    <a:custGeom>
                                      <a:avLst/>
                                      <a:gdLst>
                                        <a:gd name="T0" fmla="*/ 0 w 5286375"/>
                                        <a:gd name="T1" fmla="*/ 0 h 3867150"/>
                                        <a:gd name="T2" fmla="*/ 1 w 5286375"/>
                                        <a:gd name="T3" fmla="*/ 1 h 3867150"/>
                                        <a:gd name="T4" fmla="*/ 2 w 5286375"/>
                                        <a:gd name="T5" fmla="*/ 1 h 3867150"/>
                                        <a:gd name="T6" fmla="*/ 3 w 5286375"/>
                                        <a:gd name="T7" fmla="*/ 2 h 3867150"/>
                                        <a:gd name="T8" fmla="*/ 4 w 5286375"/>
                                        <a:gd name="T9" fmla="*/ 2 h 3867150"/>
                                        <a:gd name="T10" fmla="*/ 4 w 5286375"/>
                                        <a:gd name="T11" fmla="*/ 4 h 3867150"/>
                                        <a:gd name="T12" fmla="*/ 5 w 5286375"/>
                                        <a:gd name="T13" fmla="*/ 3 h 3867150"/>
                                        <a:gd name="T14" fmla="*/ 6 w 5286375"/>
                                        <a:gd name="T15" fmla="*/ 5 h 3867150"/>
                                        <a:gd name="T16" fmla="*/ 8 w 5286375"/>
                                        <a:gd name="T17" fmla="*/ 5 h 3867150"/>
                                        <a:gd name="T18" fmla="*/ 8 w 5286375"/>
                                        <a:gd name="T19" fmla="*/ 6 h 3867150"/>
                                        <a:gd name="T20" fmla="*/ 9 w 5286375"/>
                                        <a:gd name="T21" fmla="*/ 6 h 3867150"/>
                                        <a:gd name="T22" fmla="*/ 10 w 5286375"/>
                                        <a:gd name="T23" fmla="*/ 7 h 3867150"/>
                                        <a:gd name="T24" fmla="*/ 10 w 5286375"/>
                                        <a:gd name="T25" fmla="*/ 7 h 3867150"/>
                                        <a:gd name="T26" fmla="*/ 11 w 5286375"/>
                                        <a:gd name="T27" fmla="*/ 8 h 3867150"/>
                                        <a:gd name="T28" fmla="*/ 12 w 5286375"/>
                                        <a:gd name="T29" fmla="*/ 8 h 3867150"/>
                                        <a:gd name="T30" fmla="*/ 13 w 5286375"/>
                                        <a:gd name="T31" fmla="*/ 10 h 3867150"/>
                                        <a:gd name="T32" fmla="*/ 13 w 5286375"/>
                                        <a:gd name="T33" fmla="*/ 10 h 3867150"/>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5286375" h="3867150">
                                          <a:moveTo>
                                            <a:pt x="0" y="0"/>
                                          </a:moveTo>
                                          <a:cubicBezTo>
                                            <a:pt x="96837" y="177800"/>
                                            <a:pt x="193675" y="355600"/>
                                            <a:pt x="323850" y="419100"/>
                                          </a:cubicBezTo>
                                          <a:cubicBezTo>
                                            <a:pt x="454025" y="482600"/>
                                            <a:pt x="663575" y="301625"/>
                                            <a:pt x="781050" y="381000"/>
                                          </a:cubicBezTo>
                                          <a:cubicBezTo>
                                            <a:pt x="898525" y="460375"/>
                                            <a:pt x="920750" y="825500"/>
                                            <a:pt x="1028700" y="895350"/>
                                          </a:cubicBezTo>
                                          <a:cubicBezTo>
                                            <a:pt x="1136650" y="965200"/>
                                            <a:pt x="1314450" y="704850"/>
                                            <a:pt x="1428750" y="800100"/>
                                          </a:cubicBezTo>
                                          <a:cubicBezTo>
                                            <a:pt x="1543050" y="895350"/>
                                            <a:pt x="1598613" y="1370013"/>
                                            <a:pt x="1714500" y="1466850"/>
                                          </a:cubicBezTo>
                                          <a:cubicBezTo>
                                            <a:pt x="1830387" y="1563687"/>
                                            <a:pt x="2009775" y="1300163"/>
                                            <a:pt x="2124075" y="1381125"/>
                                          </a:cubicBezTo>
                                          <a:cubicBezTo>
                                            <a:pt x="2238375" y="1462087"/>
                                            <a:pt x="2249487" y="1863725"/>
                                            <a:pt x="2400300" y="1952625"/>
                                          </a:cubicBezTo>
                                          <a:cubicBezTo>
                                            <a:pt x="2551113" y="2041525"/>
                                            <a:pt x="2884488" y="1847850"/>
                                            <a:pt x="3028950" y="1914525"/>
                                          </a:cubicBezTo>
                                          <a:cubicBezTo>
                                            <a:pt x="3173412" y="1981200"/>
                                            <a:pt x="3155950" y="2281238"/>
                                            <a:pt x="3267075" y="2352675"/>
                                          </a:cubicBezTo>
                                          <a:cubicBezTo>
                                            <a:pt x="3378200" y="2424112"/>
                                            <a:pt x="3586163" y="2257425"/>
                                            <a:pt x="3695700" y="2343150"/>
                                          </a:cubicBezTo>
                                          <a:cubicBezTo>
                                            <a:pt x="3805238" y="2428875"/>
                                            <a:pt x="3840163" y="2782888"/>
                                            <a:pt x="3924300" y="2867025"/>
                                          </a:cubicBezTo>
                                          <a:cubicBezTo>
                                            <a:pt x="4008437" y="2951162"/>
                                            <a:pt x="4095750" y="2778125"/>
                                            <a:pt x="4200525" y="2847975"/>
                                          </a:cubicBezTo>
                                          <a:cubicBezTo>
                                            <a:pt x="4305300" y="2917825"/>
                                            <a:pt x="4413250" y="3211513"/>
                                            <a:pt x="4552950" y="3286125"/>
                                          </a:cubicBezTo>
                                          <a:cubicBezTo>
                                            <a:pt x="4692650" y="3360737"/>
                                            <a:pt x="4916488" y="3198813"/>
                                            <a:pt x="5038725" y="3295650"/>
                                          </a:cubicBezTo>
                                          <a:cubicBezTo>
                                            <a:pt x="5160962" y="3392487"/>
                                            <a:pt x="5286375" y="3867150"/>
                                            <a:pt x="5286375" y="3867150"/>
                                          </a:cubicBezTo>
                                        </a:path>
                                      </a:pathLst>
                                    </a:cu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06A7B349" id="Group 1" o:spid="_x0000_s1026" style="position:absolute;left:0;text-align:left;margin-left:40.05pt;margin-top:8.25pt;width:560.35pt;height:370pt;z-index:251658240;mso-width-relative:margin;mso-height-relative:margin" coordsize="77057,494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EXFA0AADtQAAAOAAAAZHJzL2Uyb0RvYy54bWzsXFtv28gVfi/Q/0DosUDWnAtvQpxF1k6C&#10;Ats2aNwfQEu0JVQiVVKOnV30v/c7c9OMJDJ0FlHg2n6wJc+ZM3Pulxny9c8P61X0uWq7ZVOfT9hP&#10;8SSq6lkzX9a355N/Xb1/lU+iblvW83LV1NX55EvVTX5+8+c/vb7fTCveLJrVvGojIKm76f3mfLLY&#10;bjfTs7NutqjWZfdTs6lqDN407brc4mt7ezZvy3tgX6/OeBynZ/dNO9+0zazqOvz3Ug9O3ij8NzfV&#10;bPuPm5uu2kar8wn2tlW/W/X7mn6fvXldTm/bcrNYzsw2ym/Yxbpc1ljUobost2V01y4PUK2Xs7bp&#10;mpvtT7Nmfdbc3CxnlaIB1LB4j5oPbXO3UbTcTu9vN45NYO0en74Z7ezvnz+20XIO2U2iulxDRGrV&#10;iBFr7je3U0B8aDefNh9bTR8+/trM/t1h+Gx/nL7fauDo+v5vzRzoyrtto1jzcNOuCQWIjh6UBL44&#10;CVQP22iGf2aMpVImk2iGMZkWRRwbGc0WEOTBvNninZ2ZxUlm5hVSSNr+WTnVi6qNmo0RVdC1bsfO&#10;7o+x89Oi3FRKSh0xy7CTW3Z+2rbl8naxjS6auoY+Nm2Uqt3RNgB/UWvOzh5qw9mobi4WZX1bKcxX&#10;XzbgohIHyPCm0JcOYvkqp8FHCBcMTXmu8JRTy2+YBHFapKxIAo6V003bbT9UzTqiD+eT1bImIstp&#10;+fnXbquZa0Ho33Xzfrla4f/ldFVH99hxESexmtE1q+WcRmmwa2+vL1Zt9Lkki1Q/ZuEAbL3cwi+s&#10;luvzSe6AyumiKufv6rlaZlsuV/oz5LyqCTnIwubMJ21/vxdx8S5/l8tXkqfvXsn48vLV2/cX8lX6&#10;nmXJpbi8uLhk/6V9MjldLOfzqqatWl/A5DjlMF5JW7HzBo4pZyF2pZrYrP2rNq2kSwLVGnrdzL98&#10;bInRRl+1OSotdpZplE1YZdO2CwPCvH3jJOf0fY33iAmWU2e4rBAwbGgbk8wZtTVfxhmNkjJmWR7q&#10;4g+wXmkZ+k9YLExxVUW80ExVFmjdYad9obPYt23b3JOSwqcEJqsnjDZZHifpHq+syTIRG0bBOxrT&#10;sa7VGqSx2RabH7LZwOICw3yvfgz2AMwYN8/gmJU9n8i496xj+3D9oHS8m2pDidpGB3ckI/iwaNrf&#10;JtE9Avv5pPvPXdlWk2j11xpiKZiUlAmoLzLJOL60/si1P1LWM6A6n8y27STSXy62On+427Tk10nQ&#10;xIi6eYtId7NUvpEErfc1yn4hUD/2yvx72+/OFhMdjHYhwbfEVJh4ccSI3cRdDD4y9UeGYFiQ5qpn&#10;xOkJjZjFGYdkKfAWqfF41opzuEDl7dJnbsQm93yCtnyCJBIJ7YEGZ6fUYJaYmJ2lSOYgJM9PCBuw&#10;8+x5xyGlwtyK5SmFoxOoMOr/AxU24e0kmRTjpJ7khHPS5VCF0UHQXjhBSoAhF60Oyp//81RKqbB4&#10;iipsGg6u3DEVUWHVTldEiTHP79fOGMqomLDRPntsRnU41enoDyiLiIwDa1YpIiW8aGZ877pI5kiX&#10;yJgFlYuhMTOUjbqA1EOOUc/SmF2L6SUeadU0joG5PqdXFbjgfQIVTuNMFwXC5E27lIoKeqXBaHu+&#10;hCPTxLKF9NMo8E+QUTHXWvY02MXuE2hwzlDNkhNODjMqSckWdfFS8aLCE9dteHHCoRN2DWtPhV3E&#10;OoEKZ3GqnbDMdPG6c8IsxlGIziMA8+yLAtdueFHhUIWPHRG4kHUCFS7Iw6rmIsuVqz2qwnroeafC&#10;rt3wlFS4p65l8E26AjOF7Q89KjisTo+e9x07Kjic6pT0RxS2R84KxCmrAtc+wMHAvjUjWOmApELT&#10;s49I7hz2KZnzKeqCI6cFwmWgJ4hITocl14daXkRKKFhRXcAFzsSevQ7rCxC7U+KnUdz2xSTX49cx&#10;KTUdwe/XbBXCpO/MhRZ7sFrkSHl0BVroEtQLSUfm7U6vD2f+0IjkOti7EgnBH5ZzolarsIfXXKbK&#10;i3jWzIj9qsrXV40co55lqxUtRSOWl4gU1Eh0tUYnq79U9TZSl6MibZTHlZjiQjBCX7reO47aa+Ls&#10;jn7UJRxzt1QkEuUZog0T+i7ZTnfzzNwSZVwHR093Z3f6yiMdc9trjrg1Nzd3Cm/nhpor0HWzXuGi&#10;8F/Ooji6j5IkzfUFSgK3UOg0OygeLaIsl4lUjTofCt08B9WPCw0TB8V6cYFoD6pvX7BdBxX34kLO&#10;6aBYL41gpoPqx4UA4aD6ccHjOah+XHQG5cD6kVGf34ENYPPZP4BtHP/ZOAFQEef21i9NNk4EzJfB&#10;ADZfCP2Kxnwp9GMj03Yk9GPjvhQGbMCXwgA2XwoD2HwpxFFK3iFK0aw2YWxnoXQ9y6NiCNKXxTBO&#10;XxzDkKFEhlb3hTKIk9LscRThat9YyFA6A/sUvoCG9zlaRnTLqJ8ieG/nn8uFvpmOhO+hNj4bn3Bt&#10;Ew9MXHGpIsSm6egpAnLhiA9XKnQDCeDI63vgSQAOFhC48t5HwdMAHNQRuK10DrFnATiUi8BVr/Uo&#10;9jwAh94QuCqEj4IXATh5TILXecqxCdAaot7yhk6Y1IRecqE8wQRDr05Qj67AwwmGYvguXQsecAiq&#10;FKxgaIZ76psQypccFNEAD9Q3YU/ChmgeEK1pMcrU4j71/oNE7STCg0TXtAgYWG5JB+1HegzCpAbR&#10;Ahfbdfyn0XXzubpqFNx291DLLkHAsjuQVX0IivsPPLE7tQCzu+vl7Jfqt0NwluVpocCxSbUieklx&#10;rknG7VStGnaMS5HKvTFiRIDeLqrRSZalGTwKWE7oVOsMUyyQ/XsAbA8JLYD9qwEt84CViYLDhLUs&#10;LZT9e4CWg5X6FvWYTfA4z10yaHHavxq3x5Kj0CFv9BxcSCkybRm7OZbHhh5iGE+SJDexyczUxNKg&#10;ErSlO1wl3KGHMNAjC2X/6hW0dRwFnK2artJ8Jn1Wt+KcYis12GXJwaMBT+sJgpdaLazVYLy6Vnvf&#10;VhU9cBm5Ruth75DU4xGFGjk6U5rJwnhmLmOl1l5pRq1B3VaAczKmbh9t+fbajOepwJUbbNkvu8Ls&#10;ZxGJHP7L3nH2MkQv+VDlwXFsft5DSXMPNj/p4VRTHcfmZzwD2PyUVPRj8/NRSpp79uYno7Ifm5+J&#10;DmALqrQBdEGZJvt3RymJywKT/u0xXxJiAJ8vinQAny+LZACfL4x8AJ8vjSF8vjiG8PnySPv3F9Rr&#10;Rf/+goJtCJ8vD6ZKtuO6jHRqJ7hsYIO+QAYR+hIZQuhLhA3YLvdFkg/s0BcJGzBfPCm4I3kAYVCr&#10;sQELDko18KbXhnFkuVt5EKMvlUGMvliGKzpfLsOQvmSGIX3RDEP6whmG9KUzCEmPCTqfMwwZRpOB&#10;CpnS6pE4fRENrz5aRvRk/cjVR8tIjpYREvKxq4+WESL2AE5kqyO7A3hhgKrGRnYH0JTwwSFUpOr9&#10;3QEUFz445EXgvd0B8bjugHhcd0A8tjsAO/B3//XugHxsdwBWEawA5SMGsd7uANrowQRolprQ2x3A&#10;eYA/4evdAZhKMMGIOOwO+A0jGcoYtarakjvtPuhwwHCCFQzRCEe6+DqcEMqZG6L1g+lUmO33sGQo&#10;aYo3Sk17WyLmhQ22D0ThRE2wjQa1gl7pj7RETKZAPRGbjBIndh0Pv0a1hcBuNKyCNWyR5rAa2i3D&#10;+wPsFRpTTRcitXfu0VEIBwXHEZFmjGSFuXyjqly/l3JsSRzmxFSwYE2Z8z20aSoSu2bMUq0FtvbP&#10;cMnHrCnovo8lMVwl/KZJyYs8sWumsStrDA84Hi3QpOToKYR0spgehDOjBS5uj1+UMZHS459EaZEm&#10;9NCcKqYMdwUeqDejWSyJmf6oxLJmFGJ5DH8ZDsssm3C6ZnZseciSIk8p2yeRC1CGz/66GcOm9J4Z&#10;DrDNtkYJluUixsMZGnWSihSfPdSgv8iMbPEyBkg3WJkzVLZuOGds5wGC/tkx8XIoIwlVESVTdI3C&#10;lbkspN0YVbWhWmHdGPvRs4uEG60bRTP0hUHOai6PJSMt82nOqZ+mHQ7LJd7QEUhZQLkKI2UYkTSz&#10;R60sWCakiSmsyNmeegmWJBY1x/trwCF/Y4KnmeU2F6AZ3MO+x60sslw9AQoV4pJLiCpAjaYcyZaE&#10;wXmSyZAlIi0Sa1BcSOxzvEWJPE6IEIUaFgITCVbOpdIqNYw95uC8Jww0B2EZWs5wpRl5obE0Q0Vy&#10;aTwlLyDzNKBZ4vK7NVcOR2qU1xqdBLus/+FQg+IR3CZjdrsu0JAO2SkldbQ1UYIzloT2LJME27XD&#10;EMxjaE4Lbv0XbgDFGej32CkLvHPK6LaABubhygn5AqxGwhDYg3kQfpSGJXhSpgCH1VwSW2jPtv2j&#10;hv3+k/asPcN7K+PrV9u07j1ELy9nOnMvZ3p87/qb3+L0FK737W5dq96uu+s3+v94Q51yvOZtevQK&#10;PP+7wrp759+b/wEAAP//AwBQSwMEFAAGAAgAAAAhAGsl1vPcAAAACgEAAA8AAABkcnMvZG93bnJl&#10;di54bWxMT0tLw0AQvgv+h2UEb3YTJbWk2ZRS1FMRbAXpbZpMk9DsbMhuk/TfOz3p8XvwPbLVZFs1&#10;UO8bxwbiWQSKuHBlw5WB7/370wKUD8glto7JwJU8rPL7uwzT0o38RcMuVEpC2KdooA6hS7X2RU0W&#10;/cx1xKKdXG8xCOwrXfY4Srht9XMUzbXFhqWhxo42NRXn3cUa+BhxXL/Eb8P2fNpcD/vk82cbkzGP&#10;D9N6CSrQFP7McJsv0yGXTUd34dKr1sAiisUp/DwBddOlTr4cDbwmQuk80/8v5L8AAAD//wMAUEsB&#10;Ai0AFAAGAAgAAAAhALaDOJL+AAAA4QEAABMAAAAAAAAAAAAAAAAAAAAAAFtDb250ZW50X1R5cGVz&#10;XS54bWxQSwECLQAUAAYACAAAACEAOP0h/9YAAACUAQAACwAAAAAAAAAAAAAAAAAvAQAAX3JlbHMv&#10;LnJlbHNQSwECLQAUAAYACAAAACEAqBPhFxQNAAA7UAAADgAAAAAAAAAAAAAAAAAuAgAAZHJzL2Uy&#10;b0RvYy54bWxQSwECLQAUAAYACAAAACEAayXW89wAAAAKAQAADwAAAAAAAAAAAAAAAABuDwAAZHJz&#10;L2Rvd25yZXYueG1sUEsFBgAAAAAEAAQA8wAAAHcQAAAAAA==&#10;">
                <v:line id="Straight Connector 64" o:spid="_x0000_s1027" style="position:absolute;visibility:visible;mso-wrap-style:square" from="4691,6281" to="4691,4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2dT8QAAADaAAAADwAAAGRycy9kb3ducmV2LnhtbESPQWvCQBSE74L/YXmF3nTTIGKjq1RB&#10;9KDQWhF7e2Rfk9Ds27i7NfHfuwWhx2FmvmFmi87U4krOV5YVvAwTEMS51RUXCo6f68EEhA/IGmvL&#10;pOBGHhbzfm+GmbYtf9D1EAoRIewzVFCG0GRS+rwkg35oG+LofVtnMETpCqkdthFuapkmyVgarDgu&#10;lNjQqqT85/BrFFD6Ojovv0ZFa93ltNvs7Lvbb5V6furepiACdeE//GhvtYIU/q7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Z1PxAAAANoAAAAPAAAAAAAAAAAA&#10;AAAAAKECAABkcnMvZG93bnJldi54bWxQSwUGAAAAAAQABAD5AAAAkgMAAAAA&#10;" strokeweight="1.5pt">
                  <v:stroke joinstyle="miter"/>
                </v:line>
                <v:group id="Group 45" o:spid="_x0000_s1028" style="position:absolute;width:77057;height:49434" coordorigin="1935,1410" coordsize="12135,7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29" o:spid="_x0000_s1029" style="position:absolute;left:2056;top:1410;width:1305;height:9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NlTsIA&#10;AADaAAAADwAAAGRycy9kb3ducmV2LnhtbESPQYvCMBSE74L/ITxhb5q6yCLVtIgo7MFLu3vQ26N5&#10;tsXmpTTRtvvrjbDgcZiZb5htOphGPKhztWUFy0UEgriwuuZSwe/Pcb4G4TyyxsYyKRjJQZpMJ1uM&#10;te05o0fuSxEg7GJUUHnfxlK6oiKDbmFb4uBdbWfQB9mVUnfYB7hp5GcUfUmDNYeFClvaV1Tc8rtR&#10;gPlwGcfx3Pcya6L68Je1+SlT6mM27DYgPA3+Hf5vf2sFK3hdCTdAJ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I2VOwgAAANoAAAAPAAAAAAAAAAAAAAAAAJgCAABkcnMvZG93&#10;bnJldi54bWxQSwUGAAAAAAQABAD1AAAAhwMAAAAA&#10;" strokeweight="1pt">
                    <v:textbox>
                      <w:txbxContent>
                        <w:p w14:paraId="13E952D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Cash flow waterfall</w:t>
                          </w:r>
                        </w:p>
                      </w:txbxContent>
                    </v:textbox>
                  </v:rect>
                  <v:group id="Group 48" o:spid="_x0000_s1030" style="position:absolute;left:1935;top:1564;width:12135;height:7631" coordorigin="1935,1564" coordsize="12135,7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6" o:spid="_x0000_s1031" style="position:absolute;left:10725;top:6960;width:810;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1eosAA&#10;AADaAAAADwAAAGRycy9kb3ducmV2LnhtbESPQYvCMBSE74L/IbwFbzZdDyLVKIsoePDS6kFvj+bZ&#10;lm1eShNt6683guBxmJlvmNWmN7V4UOsqywp+oxgEcW51xYWC82k/XYBwHlljbZkUDORgsx6PVpho&#10;23FKj8wXIkDYJaig9L5JpHR5SQZdZBvi4N1sa9AH2RZSt9gFuKnlLI7n0mDFYaHEhrYl5f/Z3SjA&#10;rL8Ow3DpOpnWcbV7pk12TJWa/PR/SxCeev8Nf9oHrWAO7yvhBs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L1eosAAAADaAAAADwAAAAAAAAAAAAAAAACYAgAAZHJzL2Rvd25y&#10;ZXYueG1sUEsFBgAAAAAEAAQA9QAAAIUDAAAAAA==&#10;" strokeweight="1pt">
                      <v:textbox>
                        <w:txbxContent>
                          <w:p w14:paraId="4A1FEB56"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Tax</w:t>
                            </w:r>
                          </w:p>
                        </w:txbxContent>
                      </v:textbox>
                    </v:rect>
                    <v:rect id="Rectangle 27" o:spid="_x0000_s1032" style="position:absolute;left:11535;top:7650;width:133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7OcIA&#10;AADaAAAADwAAAGRycy9kb3ducmV2LnhtbESPQYvCMBSE74L/ITxhb5q6B1eqaRFR2IOXdvegt0fz&#10;bIvNS2mibffXG2HB4zAz3zDbdDCNeFDnassKlosIBHFhdc2lgt+f43wNwnlkjY1lUjCSgzSZTrYY&#10;a9tzRo/clyJA2MWooPK+jaV0RUUG3cK2xMG72s6gD7Irpe6wD3DTyM8oWkmDNYeFClvaV1Tc8rtR&#10;gPlwGcfx3Pcya6L68Je1+SlT6mM27DYgPA3+Hf5vf2sFX/C6Em6AT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8fs5wgAAANoAAAAPAAAAAAAAAAAAAAAAAJgCAABkcnMvZG93&#10;bnJldi54bWxQSwUGAAAAAAQABAD1AAAAhwMAAAAA&#10;" strokeweight="1pt">
                      <v:textbox>
                        <w:txbxContent>
                          <w:p w14:paraId="5C45B779"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Term loan installments</w:t>
                            </w:r>
                          </w:p>
                        </w:txbxContent>
                      </v:textbox>
                    </v:rect>
                    <v:rect id="Rectangle 28" o:spid="_x0000_s1033" style="position:absolute;left:12870;top:8535;width:120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5vS7sA&#10;AADaAAAADwAAAGRycy9kb3ducmV2LnhtbERPvQrCMBDeBd8hnOCmqQ4i1SgiCg4urQ66Hc3ZFptL&#10;aaJtfXozCI4f3/9625lKvKlxpWUFs2kEgjizuuRcwfVynCxBOI+ssbJMCnpysN0MB2uMtW05oXfq&#10;cxFC2MWooPC+jqV0WUEG3dTWxIF72MagD7DJpW6wDeGmkvMoWkiDJYeGAmvaF5Q905dRgGl37/v+&#10;1rYyqaLy8Enq9JwoNR51uxUIT53/i3/uk1YQtoYr4QbIz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Lpub0u7AAAA2gAAAA8AAAAAAAAAAAAAAAAAmAIAAGRycy9kb3ducmV2Lnht&#10;bFBLBQYAAAAABAAEAPUAAACAAwAAAAA=&#10;" strokeweight="1pt">
                      <v:textbox>
                        <w:txbxContent>
                          <w:p w14:paraId="06D05062"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Dividends</w:t>
                            </w:r>
                          </w:p>
                        </w:txbxContent>
                      </v:textbox>
                    </v:rect>
                    <v:group id="Group 52" o:spid="_x0000_s1034" style="position:absolute;left:1935;top:1564;width:11310;height:7631" coordorigin="1935,1564" coordsize="11310,7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21" o:spid="_x0000_s1035" style="position:absolute;left:4890;top:3135;width:1185;height: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dRLsMA&#10;AADbAAAADwAAAGRycy9kb3ducmV2LnhtbESPQYvCQAyF74L/YciCN53uHhapjiLLCh720upBb6ET&#10;22InUzqjbffXm4PgLeG9vPdlvR1cox7Uhdqzgc9FAoq48Lbm0sDpuJ8vQYWIbLHxTAZGCrDdTCdr&#10;TK3vOaNHHkslIRxSNFDF2KZah6Iih2HhW2LRrr5zGGXtSm077CXcNforSb61w5qlocKWfioqbvnd&#10;GcB8uIzjeO57nTVJ/fuftflfZszsY9itQEUa4tv8uj5YwRd6+UUG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6dRLsMAAADbAAAADwAAAAAAAAAAAAAAAACYAgAAZHJzL2Rv&#10;d25yZXYueG1sUEsFBgAAAAAEAAQA9QAAAIgDAAAAAA==&#10;" strokeweight="1pt">
                        <v:textbox>
                          <w:txbxContent>
                            <w:p w14:paraId="590E9B0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O&amp;M expenses</w:t>
                              </w:r>
                            </w:p>
                          </w:txbxContent>
                        </v:textbox>
                      </v:rect>
                      <v:rect id="Rectangle 22" o:spid="_x0000_s1036" style="position:absolute;left:6075;top:3870;width:99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v0tcEA&#10;AADbAAAADwAAAGRycy9kb3ducmV2LnhtbERPPWvDMBDdA/kP4gLdEtkdSnEtm1Ba6NDFboZkO6yr&#10;bWKdhKXGdn99FAhku8f7vLyczSAuNPresoJ0l4AgbqzuuVVw+PncvoLwAVnjYJkULOShLNarHDNt&#10;J67oUodWxBD2GSroQnCZlL7pyKDfWUccuV87GgwRjq3UI04x3AzyOUlepMGeY0OHjt47as71n1GA&#10;9XxaluU4TbIakv7jv3L1d6XU02bev4EINIeH+O7+0nF+Crdf4gGyu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r9LXBAAAA2wAAAA8AAAAAAAAAAAAAAAAAmAIAAGRycy9kb3du&#10;cmV2LnhtbFBLBQYAAAAABAAEAPUAAACGAwAAAAA=&#10;" strokeweight="1pt">
                        <v:textbox>
                          <w:txbxContent>
                            <w:p w14:paraId="6DB3A196"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Wages and salaries</w:t>
                              </w:r>
                            </w:p>
                          </w:txbxContent>
                        </v:textbox>
                      </v:rect>
                      <v:rect id="Rectangle 23" o:spid="_x0000_s1037" style="position:absolute;left:8160;top:5535;width:1470;height: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lqwr8A&#10;AADbAAAADwAAAGRycy9kb3ducmV2LnhtbERPTYvCMBC9C/6HMII3m+pBpBplEQUPe2n1oLehGduy&#10;zaQ00bb7640geJvH+5zNrje1eFLrKssK5lEMgji3uuJCweV8nK1AOI+ssbZMCgZysNuORxtMtO04&#10;pWfmCxFC2CWooPS+SaR0eUkGXWQb4sDdbWvQB9gWUrfYhXBTy0UcL6XBikNDiQ3tS8r/sodRgFl/&#10;G4bh2nUyrePq8J822W+q1HTS/6xBeOr9V/xxn3SYv4D3L+EA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OWrCvwAAANsAAAAPAAAAAAAAAAAAAAAAAJgCAABkcnMvZG93bnJl&#10;di54bWxQSwUGAAAAAAQABAD1AAAAhAMAAAAA&#10;" strokeweight="1pt">
                        <v:textbox>
                          <w:txbxContent>
                            <w:p w14:paraId="17E8320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Depreciation</w:t>
                              </w:r>
                            </w:p>
                          </w:txbxContent>
                        </v:textbox>
                      </v:rect>
                      <v:rect id="Rectangle 24" o:spid="_x0000_s1038" style="position:absolute;left:7065;top:4770;width:1095;height: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XPWcAA&#10;AADbAAAADwAAAGRycy9kb3ducmV2LnhtbERPTYvCMBC9C/6HMAveNF0Fka5pWRYFD15aPbi3oZlt&#10;yzaT0kTb+uuNIHibx/ucbTqYRtyoc7VlBZ+LCARxYXXNpYLzaT/fgHAeWWNjmRSM5CBNppMtxtr2&#10;nNEt96UIIexiVFB538ZSuqIig25hW+LA/dnOoA+wK6XusA/hppHLKFpLgzWHhgpb+qmo+M+vRgHm&#10;w+84jpe+l1kT1bt71ubHTKnZx/D9BcLT4N/il/ugw/wVPH8JB8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3XPWcAAAADbAAAADwAAAAAAAAAAAAAAAACYAgAAZHJzL2Rvd25y&#10;ZXYueG1sUEsFBgAAAAAEAAQA9QAAAIUDAAAAAA==&#10;" strokeweight="1pt">
                        <v:textbox>
                          <w:txbxContent>
                            <w:p w14:paraId="0DED4B5A"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Statutory levies</w:t>
                              </w:r>
                            </w:p>
                          </w:txbxContent>
                        </v:textbox>
                      </v:rect>
                      <v:rect id="Rectangle 25" o:spid="_x0000_s1039" style="position:absolute;left:9630;top:6180;width:1095;height:7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xXLcAA&#10;AADbAAAADwAAAGRycy9kb3ducmV2LnhtbERPTYvCMBC9C/6HMAveNF0Rka5pWRYFD15aPbi3oZlt&#10;yzaT0kTb+uuNIHibx/ucbTqYRtyoc7VlBZ+LCARxYXXNpYLzaT/fgHAeWWNjmRSM5CBNppMtxtr2&#10;nNEt96UIIexiVFB538ZSuqIig25hW+LA/dnOoA+wK6XusA/hppHLKFpLgzWHhgpb+qmo+M+vRgHm&#10;w+84jpe+l1kT1bt71ubHTKnZx/D9BcLT4N/il/ugw/wVPH8JB8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JxXLcAAAADbAAAADwAAAAAAAAAAAAAAAACYAgAAZHJzL2Rvd25y&#10;ZXYueG1sUEsFBgAAAAAEAAQA9QAAAIUDAAAAAA==&#10;" strokeweight="1pt">
                        <v:textbox>
                          <w:txbxContent>
                            <w:p w14:paraId="6C5A11A9"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Interest on loans</w:t>
                              </w:r>
                            </w:p>
                          </w:txbxContent>
                        </v:textbox>
                      </v:rect>
                      <v:group id="Group 58" o:spid="_x0000_s1040" style="position:absolute;left:1935;top:1564;width:11310;height:7631" coordorigin="1935,1564" coordsize="11310,7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32" o:spid="_x0000_s1041" style="position:absolute;left:1935;top:8100;width:1706;height:1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swcAA&#10;AADbAAAADwAAAGRycy9kb3ducmV2LnhtbERPS4vCMBC+C/6HMII3TfUgSzUWEQUPXtrdg96GZmyL&#10;zaQ0sQ9//WZB2Nt8fM/ZJYOpRUetqywrWC0jEMS51RUXCn6+z4svEM4ja6wtk4KRHCT76WSHsbY9&#10;p9RlvhAhhF2MCkrvm1hKl5dk0C1tQxy4h20N+gDbQuoW+xBuarmOoo00WHFoKLGhY0n5M3sZBZgN&#10;93Ecb30v0zqqTu+0ya6pUvPZcNiC8DT4f/HHfdFh/gb+fgkHyP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wJswcAAAADbAAAADwAAAAAAAAAAAAAAAACYAgAAZHJzL2Rvd25y&#10;ZXYueG1sUEsFBgAAAAAEAAQA9QAAAIUDAAAAAA==&#10;" strokeweight="1pt">
                          <v:textbox>
                            <w:txbxContent>
                              <w:p w14:paraId="67D468D8"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Thermal power plant</w:t>
                                </w:r>
                              </w:p>
                            </w:txbxContent>
                          </v:textbox>
                        </v:rect>
                        <v:rect id="Rectangle 36" o:spid="_x0000_s1042" style="position:absolute;left:1935;top:4290;width:1530;height:2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7JWsAA&#10;AADbAAAADwAAAGRycy9kb3ducmV2LnhtbERPTYvCMBC9C/6HMAveNF0PKl3TsiwKHry0enBvQzPb&#10;lm0mpYm29dcbQfA2j/c523QwjbhR52rLCj4XEQjiwuqaSwXn036+AeE8ssbGMikYyUGaTCdbjLXt&#10;OaNb7ksRQtjFqKDyvo2ldEVFBt3CtsSB+7OdQR9gV0rdYR/CTSOXUbSSBmsODRW29FNR8Z9fjQLM&#10;h99xHC99L7Mmqnf3rM2PmVKzj+H7C4Snwb/FL/dBh/lreP4SDpD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7JWsAAAADbAAAADwAAAAAAAAAAAAAAAACYAgAAZHJzL2Rvd25y&#10;ZXYueG1sUEsFBgAAAAAEAAQA9QAAAIUDAAAAAA==&#10;" strokeweight="1pt">
                          <v:textbox>
                            <w:txbxContent>
                              <w:p w14:paraId="20803B92" w14:textId="77777777" w:rsidR="00D143CE" w:rsidRPr="005A7A7F" w:rsidRDefault="00D143CE" w:rsidP="0051255A">
                                <w:pPr>
                                  <w:rPr>
                                    <w:rFonts w:ascii="Arial" w:hAnsi="Arial" w:cs="Arial"/>
                                    <w:sz w:val="17"/>
                                    <w:szCs w:val="17"/>
                                  </w:rPr>
                                </w:pPr>
                                <w:r w:rsidRPr="005A7A7F">
                                  <w:rPr>
                                    <w:rFonts w:ascii="Arial" w:hAnsi="Arial" w:cs="Arial"/>
                                    <w:sz w:val="17"/>
                                    <w:szCs w:val="17"/>
                                  </w:rPr>
                                  <w:t>Revenue from sale of power</w:t>
                                </w:r>
                              </w:p>
                            </w:txbxContent>
                          </v:textbox>
                        </v:rect>
                        <v:group id="Group 61" o:spid="_x0000_s1043" style="position:absolute;left:3365;top:1564;width:9880;height:6930" coordorigin="3365,1564" coordsize="9880,69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5" o:spid="_x0000_s1044" style="position:absolute;left:3725;top:2466;width:1165;height:6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34s8AA&#10;AADbAAAADwAAAGRycy9kb3ducmV2LnhtbERPTYvCMBC9C/6HMAveNF0Pol3TsiwKHry0enBvQzPb&#10;lm0mpYm29dcbQfA2j/c523QwjbhR52rLCj4XEQjiwuqaSwXn036+BuE8ssbGMikYyUGaTCdbjLXt&#10;OaNb7ksRQtjFqKDyvo2ldEVFBt3CtsSB+7OdQR9gV0rdYR/CTSOXUbSSBmsODRW29FNR8Z9fjQLM&#10;h99xHC99L7Mmqnf3rM2PmVKzj+H7C4Snwb/FL/dBh/kbeP4SDpD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p34s8AAAADbAAAADwAAAAAAAAAAAAAAAACYAgAAZHJzL2Rvd25y&#10;ZXYueG1sUEsFBgAAAAAEAAQA9QAAAIUDAAAAAA==&#10;" strokeweight="1pt">
                            <v:textbox>
                              <w:txbxContent>
                                <w:p w14:paraId="4FEDF937" w14:textId="77777777" w:rsidR="00D143CE" w:rsidRPr="005A7A7F" w:rsidRDefault="00D143CE" w:rsidP="0051255A">
                                  <w:pPr>
                                    <w:jc w:val="center"/>
                                    <w:rPr>
                                      <w:rFonts w:ascii="Arial" w:hAnsi="Arial" w:cs="Arial"/>
                                      <w:sz w:val="17"/>
                                      <w:szCs w:val="17"/>
                                    </w:rPr>
                                  </w:pPr>
                                  <w:r w:rsidRPr="005A7A7F">
                                    <w:rPr>
                                      <w:rFonts w:ascii="Arial" w:hAnsi="Arial" w:cs="Arial"/>
                                      <w:sz w:val="17"/>
                                      <w:szCs w:val="17"/>
                                    </w:rPr>
                                    <w:t>Fuel expenses</w:t>
                                  </w:r>
                                </w:p>
                              </w:txbxContent>
                            </v:textbox>
                          </v:rect>
                          <v:shape id="Bent Arrow 30" o:spid="_x0000_s1045" style="position:absolute;left:3544;top:1385;width:877;height:1236;rotation:90;visibility:visible;mso-wrap-style:square;v-text-anchor:middle" coordsize="556895,78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O36cEA&#10;AADbAAAADwAAAGRycy9kb3ducmV2LnhtbERPzWrCQBC+F3yHZYTe6kZbRKKraP8opT0Y8wBDdkyC&#10;2dl0d6vx7Z1DoceP73+1GVynzhRi69nAdJKBIq68bbk2UB7eHhagYkK22HkmA1eKsFmP7laYW3/h&#10;PZ2LVCsJ4ZijgSalPtc6Vg05jBPfEwt39MFhEhhqbQNeJNx1epZlc+2wZWlosKfnhqpT8eukpKhe&#10;62n4mu9O5Xv58731ny+PT8bcj4ftElSiIf2L/9wf1sBM1ssX+QF6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nBAAAA2wAAAA8AAAAAAAAAAAAAAAAAmAIAAGRycy9kb3du&#10;cmV2LnhtbFBLBQYAAAAABAAEAPUAAACGAwAAAAA=&#10;" path="m,784543l,313253c,178693,109082,69611,243642,69611r174029,1l417671,,556895,139224,417671,278448r,-69612l243642,208836v-57668,,-104418,46750,-104418,104418l139224,784543,,784543xe" strokeweight="1pt">
                            <v:stroke joinstyle="miter"/>
                            <v:path arrowok="t" o:connecttype="custom" o:connectlocs="0,0;0,0;0,0;0,0;0,0;0,0;0,0;0,0;0,0;0,0;0,0;0,0" o:connectangles="0,0,0,0,0,0,0,0,0,0,0,0"/>
                          </v:shape>
                          <v:shape id="Freeform 9" o:spid="_x0000_s1046" style="position:absolute;left:4920;top:2404;width:8325;height:6090;visibility:visible;mso-wrap-style:square;v-text-anchor:middle" coordsize="5286375,386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4gPcAA&#10;AADbAAAADwAAAGRycy9kb3ducmV2LnhtbESPQYvCMBSE74L/ITxhb5paQaWaFhFk3aNV9Pponm2x&#10;eSlN1nb//UYQPA4z8w2zzQbTiCd1rrasYD6LQBAXVtdcKricD9M1COeRNTaWScEfOcjS8WiLibY9&#10;n+iZ+1IECLsEFVTet4mUrqjIoJvZljh4d9sZ9EF2pdQd9gFuGhlH0VIarDksVNjSvqLikf8aBY/F&#10;HvurtPrmzm3+s/7Ga7xCpb4mw24DwtPgP+F3+6gVxHN4fQk/QK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4gPcAAAADbAAAADwAAAAAAAAAAAAAAAACYAgAAZHJzL2Rvd25y&#10;ZXYueG1sUEsFBgAAAAAEAAQA9QAAAIUDAAAAAA==&#10;" path="m,c96837,177800,193675,355600,323850,419100,454025,482600,663575,301625,781050,381000v117475,79375,139700,444500,247650,514350c1136650,965200,1314450,704850,1428750,800100v114300,95250,169863,569913,285750,666750c1830387,1563687,2009775,1300163,2124075,1381125v114300,80962,125412,482600,276225,571500c2551113,2041525,2884488,1847850,3028950,1914525v144462,66675,127000,366713,238125,438150c3378200,2424112,3586163,2257425,3695700,2343150v109538,85725,144463,439738,228600,523875c4008437,2951162,4095750,2778125,4200525,2847975v104775,69850,212725,363538,352425,438150c4692650,3360737,4916488,3198813,5038725,3295650v122237,96837,247650,571500,247650,571500e" filled="f" strokeweight="1.5pt">
                            <v:stroke joinstyle="miter"/>
                            <v:path arrowok="t" o:connecttype="custom" o:connectlocs="0,0;0,0;0,0;0,0;0,0;0,0;0,0;0,0;0,0;0,0;0,0;0,0;0,0;0,0;0,0;0,0;0,0" o:connectangles="0,0,0,0,0,0,0,0,0,0,0,0,0,0,0,0,0"/>
                          </v:shape>
                        </v:group>
                      </v:group>
                    </v:group>
                  </v:group>
                </v:group>
              </v:group>
            </w:pict>
          </mc:Fallback>
        </mc:AlternateContent>
      </w:r>
    </w:p>
    <w:p w14:paraId="25D37A21" w14:textId="77777777" w:rsidR="0051255A" w:rsidRPr="003519B9" w:rsidRDefault="0051255A" w:rsidP="0051255A">
      <w:pPr>
        <w:pStyle w:val="Footnote"/>
        <w:rPr>
          <w:lang w:val="en-GB"/>
        </w:rPr>
      </w:pPr>
    </w:p>
    <w:p w14:paraId="3D0102B4" w14:textId="77777777" w:rsidR="0051255A" w:rsidRPr="003519B9" w:rsidRDefault="0051255A" w:rsidP="0051255A">
      <w:pPr>
        <w:pStyle w:val="Footnote"/>
        <w:rPr>
          <w:lang w:val="en-GB"/>
        </w:rPr>
      </w:pPr>
    </w:p>
    <w:p w14:paraId="6AD18E80" w14:textId="77777777" w:rsidR="0051255A" w:rsidRPr="003519B9" w:rsidRDefault="0051255A" w:rsidP="0051255A">
      <w:pPr>
        <w:pStyle w:val="Footnote"/>
        <w:rPr>
          <w:lang w:val="en-GB"/>
        </w:rPr>
      </w:pPr>
    </w:p>
    <w:p w14:paraId="0454BFE9" w14:textId="77777777" w:rsidR="0051255A" w:rsidRPr="003519B9" w:rsidRDefault="0051255A" w:rsidP="0051255A">
      <w:pPr>
        <w:pStyle w:val="Footnote"/>
        <w:rPr>
          <w:lang w:val="en-GB"/>
        </w:rPr>
      </w:pPr>
    </w:p>
    <w:p w14:paraId="4253076A" w14:textId="77777777" w:rsidR="0051255A" w:rsidRPr="003519B9" w:rsidRDefault="0051255A" w:rsidP="0051255A">
      <w:pPr>
        <w:pStyle w:val="Footnote"/>
        <w:rPr>
          <w:lang w:val="en-GB"/>
        </w:rPr>
      </w:pPr>
    </w:p>
    <w:p w14:paraId="06504913" w14:textId="77777777" w:rsidR="0051255A" w:rsidRPr="003519B9" w:rsidRDefault="0051255A" w:rsidP="0051255A">
      <w:pPr>
        <w:pStyle w:val="Footnote"/>
        <w:rPr>
          <w:lang w:val="en-GB"/>
        </w:rPr>
      </w:pPr>
    </w:p>
    <w:p w14:paraId="51101007" w14:textId="77777777" w:rsidR="0051255A" w:rsidRPr="003519B9" w:rsidRDefault="0051255A" w:rsidP="0051255A">
      <w:pPr>
        <w:pStyle w:val="Footnote"/>
        <w:rPr>
          <w:lang w:val="en-GB"/>
        </w:rPr>
      </w:pPr>
    </w:p>
    <w:p w14:paraId="7043CA3C" w14:textId="77777777" w:rsidR="0051255A" w:rsidRPr="003519B9" w:rsidRDefault="0051255A" w:rsidP="0051255A">
      <w:pPr>
        <w:pStyle w:val="Footnote"/>
        <w:rPr>
          <w:lang w:val="en-GB"/>
        </w:rPr>
      </w:pPr>
    </w:p>
    <w:p w14:paraId="73B25D00" w14:textId="77777777" w:rsidR="0051255A" w:rsidRPr="003519B9" w:rsidRDefault="0051255A" w:rsidP="0051255A">
      <w:pPr>
        <w:pStyle w:val="Footnote"/>
        <w:rPr>
          <w:lang w:val="en-GB"/>
        </w:rPr>
      </w:pPr>
    </w:p>
    <w:p w14:paraId="1CA6B6EC" w14:textId="77777777" w:rsidR="0051255A" w:rsidRPr="003519B9" w:rsidRDefault="0051255A" w:rsidP="0051255A">
      <w:pPr>
        <w:pStyle w:val="Footnote"/>
        <w:rPr>
          <w:lang w:val="en-GB"/>
        </w:rPr>
      </w:pPr>
    </w:p>
    <w:p w14:paraId="42C44131" w14:textId="77777777" w:rsidR="0051255A" w:rsidRPr="003519B9" w:rsidRDefault="0051255A" w:rsidP="0051255A">
      <w:pPr>
        <w:pStyle w:val="Footnote"/>
        <w:rPr>
          <w:lang w:val="en-GB"/>
        </w:rPr>
      </w:pPr>
    </w:p>
    <w:p w14:paraId="7E05DD3F" w14:textId="77777777" w:rsidR="0051255A" w:rsidRPr="003519B9" w:rsidRDefault="0051255A" w:rsidP="0051255A">
      <w:pPr>
        <w:pStyle w:val="Footnote"/>
        <w:rPr>
          <w:lang w:val="en-GB"/>
        </w:rPr>
      </w:pPr>
    </w:p>
    <w:p w14:paraId="4205C208" w14:textId="77777777" w:rsidR="0051255A" w:rsidRPr="003519B9" w:rsidRDefault="0051255A" w:rsidP="0051255A">
      <w:pPr>
        <w:pStyle w:val="Footnote"/>
        <w:rPr>
          <w:lang w:val="en-GB"/>
        </w:rPr>
      </w:pPr>
    </w:p>
    <w:p w14:paraId="71F18864" w14:textId="77777777" w:rsidR="0051255A" w:rsidRPr="003519B9" w:rsidRDefault="0051255A" w:rsidP="0051255A">
      <w:pPr>
        <w:pStyle w:val="Footnote"/>
        <w:rPr>
          <w:lang w:val="en-GB"/>
        </w:rPr>
      </w:pPr>
    </w:p>
    <w:p w14:paraId="5A0A5C36" w14:textId="77777777" w:rsidR="0051255A" w:rsidRPr="003519B9" w:rsidRDefault="0051255A" w:rsidP="0051255A">
      <w:pPr>
        <w:pStyle w:val="Footnote"/>
        <w:rPr>
          <w:lang w:val="en-GB"/>
        </w:rPr>
      </w:pPr>
    </w:p>
    <w:p w14:paraId="5A80756F" w14:textId="77777777" w:rsidR="0051255A" w:rsidRPr="003519B9" w:rsidRDefault="0051255A" w:rsidP="0051255A">
      <w:pPr>
        <w:pStyle w:val="Footnote"/>
        <w:rPr>
          <w:lang w:val="en-GB"/>
        </w:rPr>
      </w:pPr>
    </w:p>
    <w:p w14:paraId="0D25F9CB" w14:textId="77777777" w:rsidR="0051255A" w:rsidRPr="003519B9" w:rsidRDefault="0051255A" w:rsidP="0051255A">
      <w:pPr>
        <w:pStyle w:val="Footnote"/>
        <w:rPr>
          <w:lang w:val="en-GB"/>
        </w:rPr>
      </w:pPr>
    </w:p>
    <w:p w14:paraId="04ECABC1" w14:textId="77777777" w:rsidR="0051255A" w:rsidRPr="003519B9" w:rsidRDefault="0051255A" w:rsidP="0051255A">
      <w:pPr>
        <w:pStyle w:val="Footnote"/>
        <w:rPr>
          <w:lang w:val="en-GB"/>
        </w:rPr>
      </w:pPr>
    </w:p>
    <w:p w14:paraId="0685B7C6" w14:textId="77777777" w:rsidR="0051255A" w:rsidRPr="003519B9" w:rsidRDefault="0051255A" w:rsidP="0051255A">
      <w:pPr>
        <w:pStyle w:val="Footnote"/>
        <w:rPr>
          <w:lang w:val="en-GB"/>
        </w:rPr>
      </w:pPr>
    </w:p>
    <w:p w14:paraId="52E7E44C" w14:textId="77777777" w:rsidR="0051255A" w:rsidRPr="003519B9" w:rsidRDefault="0051255A" w:rsidP="0051255A">
      <w:pPr>
        <w:pStyle w:val="Footnote"/>
        <w:rPr>
          <w:lang w:val="en-GB"/>
        </w:rPr>
      </w:pPr>
    </w:p>
    <w:p w14:paraId="252E0862" w14:textId="77777777" w:rsidR="0051255A" w:rsidRPr="003519B9" w:rsidRDefault="0051255A" w:rsidP="0051255A">
      <w:pPr>
        <w:pStyle w:val="Footnote"/>
        <w:rPr>
          <w:lang w:val="en-GB"/>
        </w:rPr>
      </w:pPr>
    </w:p>
    <w:p w14:paraId="72046A18" w14:textId="77777777" w:rsidR="0051255A" w:rsidRPr="003519B9" w:rsidRDefault="0051255A" w:rsidP="0051255A">
      <w:pPr>
        <w:pStyle w:val="Footnote"/>
        <w:rPr>
          <w:lang w:val="en-GB"/>
        </w:rPr>
      </w:pPr>
    </w:p>
    <w:p w14:paraId="2E671A66" w14:textId="77777777" w:rsidR="0051255A" w:rsidRPr="003519B9" w:rsidRDefault="0051255A" w:rsidP="0051255A">
      <w:pPr>
        <w:pStyle w:val="Footnote"/>
        <w:rPr>
          <w:lang w:val="en-GB"/>
        </w:rPr>
      </w:pPr>
    </w:p>
    <w:p w14:paraId="446C8250" w14:textId="77777777" w:rsidR="0051255A" w:rsidRPr="003519B9" w:rsidRDefault="0051255A" w:rsidP="0051255A">
      <w:pPr>
        <w:pStyle w:val="Footnote"/>
        <w:rPr>
          <w:lang w:val="en-GB"/>
        </w:rPr>
      </w:pPr>
    </w:p>
    <w:p w14:paraId="11D006F0" w14:textId="77777777" w:rsidR="0051255A" w:rsidRPr="003519B9" w:rsidRDefault="0051255A" w:rsidP="0051255A">
      <w:pPr>
        <w:pStyle w:val="Footnote"/>
        <w:rPr>
          <w:lang w:val="en-GB"/>
        </w:rPr>
      </w:pPr>
    </w:p>
    <w:p w14:paraId="74A6F0CA" w14:textId="77777777" w:rsidR="0051255A" w:rsidRPr="003519B9" w:rsidRDefault="0051255A" w:rsidP="0051255A">
      <w:pPr>
        <w:pStyle w:val="Footnote"/>
        <w:rPr>
          <w:lang w:val="en-GB"/>
        </w:rPr>
      </w:pPr>
    </w:p>
    <w:p w14:paraId="437059C9" w14:textId="77777777" w:rsidR="0051255A" w:rsidRPr="003519B9" w:rsidRDefault="0051255A" w:rsidP="0051255A">
      <w:pPr>
        <w:pStyle w:val="Footnote"/>
        <w:rPr>
          <w:lang w:val="en-GB"/>
        </w:rPr>
      </w:pPr>
    </w:p>
    <w:p w14:paraId="48315D25" w14:textId="77777777" w:rsidR="0051255A" w:rsidRPr="003519B9" w:rsidRDefault="0051255A" w:rsidP="0051255A">
      <w:pPr>
        <w:pStyle w:val="Footnote"/>
        <w:rPr>
          <w:lang w:val="en-GB"/>
        </w:rPr>
      </w:pPr>
    </w:p>
    <w:p w14:paraId="28CF2837" w14:textId="77777777" w:rsidR="0051255A" w:rsidRPr="003519B9" w:rsidRDefault="0051255A" w:rsidP="0051255A">
      <w:pPr>
        <w:pStyle w:val="Footnote"/>
        <w:rPr>
          <w:lang w:val="en-GB"/>
        </w:rPr>
      </w:pPr>
    </w:p>
    <w:p w14:paraId="2E467C4E" w14:textId="77777777" w:rsidR="0051255A" w:rsidRPr="003519B9" w:rsidRDefault="0051255A" w:rsidP="0051255A">
      <w:pPr>
        <w:pStyle w:val="Footnote"/>
        <w:rPr>
          <w:lang w:val="en-GB"/>
        </w:rPr>
      </w:pPr>
    </w:p>
    <w:p w14:paraId="611B8A42" w14:textId="77777777" w:rsidR="0051255A" w:rsidRPr="003519B9" w:rsidRDefault="0051255A" w:rsidP="0051255A">
      <w:pPr>
        <w:pStyle w:val="Footnote"/>
        <w:rPr>
          <w:lang w:val="en-GB"/>
        </w:rPr>
      </w:pPr>
    </w:p>
    <w:p w14:paraId="78940294" w14:textId="77777777" w:rsidR="0051255A" w:rsidRPr="003519B9" w:rsidRDefault="0051255A" w:rsidP="0051255A">
      <w:pPr>
        <w:pStyle w:val="Footnote"/>
        <w:rPr>
          <w:lang w:val="en-GB"/>
        </w:rPr>
      </w:pPr>
    </w:p>
    <w:p w14:paraId="6133EA97" w14:textId="77777777" w:rsidR="0051255A" w:rsidRPr="003519B9" w:rsidRDefault="0051255A" w:rsidP="0051255A">
      <w:pPr>
        <w:pStyle w:val="Footnote"/>
        <w:rPr>
          <w:lang w:val="en-GB"/>
        </w:rPr>
      </w:pPr>
    </w:p>
    <w:p w14:paraId="1FBB8264" w14:textId="77777777" w:rsidR="0051255A" w:rsidRPr="003519B9" w:rsidRDefault="0051255A" w:rsidP="0051255A">
      <w:pPr>
        <w:pStyle w:val="Footnote"/>
        <w:rPr>
          <w:lang w:val="en-GB"/>
        </w:rPr>
      </w:pPr>
    </w:p>
    <w:p w14:paraId="77860081" w14:textId="77777777" w:rsidR="0051255A" w:rsidRPr="003519B9" w:rsidRDefault="0051255A" w:rsidP="0051255A">
      <w:pPr>
        <w:pStyle w:val="Footnote"/>
        <w:rPr>
          <w:lang w:val="en-GB"/>
        </w:rPr>
      </w:pPr>
    </w:p>
    <w:p w14:paraId="6ACE4E52" w14:textId="77777777" w:rsidR="0051255A" w:rsidRPr="003519B9" w:rsidRDefault="0051255A" w:rsidP="0051255A">
      <w:pPr>
        <w:pStyle w:val="Footnote"/>
        <w:rPr>
          <w:lang w:val="en-GB"/>
        </w:rPr>
      </w:pPr>
    </w:p>
    <w:p w14:paraId="079F8A91" w14:textId="77777777" w:rsidR="0051255A" w:rsidRPr="003519B9" w:rsidRDefault="0051255A" w:rsidP="0051255A">
      <w:pPr>
        <w:pStyle w:val="Footnote"/>
        <w:rPr>
          <w:lang w:val="en-GB"/>
        </w:rPr>
      </w:pPr>
    </w:p>
    <w:p w14:paraId="0E938A03" w14:textId="77777777" w:rsidR="0051255A" w:rsidRPr="003519B9" w:rsidRDefault="0051255A" w:rsidP="0051255A">
      <w:pPr>
        <w:pStyle w:val="Footnote"/>
        <w:rPr>
          <w:lang w:val="en-GB"/>
        </w:rPr>
      </w:pPr>
    </w:p>
    <w:p w14:paraId="4D224472" w14:textId="77777777" w:rsidR="0051255A" w:rsidRPr="003519B9" w:rsidRDefault="0051255A" w:rsidP="0051255A">
      <w:pPr>
        <w:pStyle w:val="Footnote"/>
        <w:rPr>
          <w:lang w:val="en-GB"/>
        </w:rPr>
      </w:pPr>
    </w:p>
    <w:p w14:paraId="36A89B76" w14:textId="77777777" w:rsidR="0051255A" w:rsidRPr="003519B9" w:rsidRDefault="0051255A" w:rsidP="0051255A">
      <w:pPr>
        <w:pStyle w:val="Footnote"/>
        <w:rPr>
          <w:lang w:val="en-GB"/>
        </w:rPr>
      </w:pPr>
      <w:r w:rsidRPr="003519B9">
        <w:rPr>
          <w:lang w:val="en-GB"/>
        </w:rPr>
        <w:t xml:space="preserve">Source: </w:t>
      </w:r>
      <w:r w:rsidR="00B1213B" w:rsidRPr="003519B9">
        <w:rPr>
          <w:lang w:val="en-GB"/>
        </w:rPr>
        <w:t>Authors’ creation.</w:t>
      </w:r>
    </w:p>
    <w:p w14:paraId="7D60D3BB" w14:textId="77777777" w:rsidR="00BA15E6" w:rsidRPr="003519B9" w:rsidRDefault="00BA15E6" w:rsidP="0051255A">
      <w:pPr>
        <w:pStyle w:val="Footnote"/>
        <w:rPr>
          <w:lang w:val="en-GB"/>
        </w:rPr>
      </w:pPr>
    </w:p>
    <w:sectPr w:rsidR="00BA15E6" w:rsidRPr="003519B9" w:rsidSect="006D5C35">
      <w:endnotePr>
        <w:numFmt w:val="decimal"/>
      </w:endnotePr>
      <w:pgSz w:w="15840" w:h="12240" w:orient="landscape"/>
      <w:pgMar w:top="144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1FED1D" w14:textId="77777777" w:rsidR="00D143CE" w:rsidRDefault="00D143CE" w:rsidP="00D75295">
      <w:r>
        <w:separator/>
      </w:r>
    </w:p>
  </w:endnote>
  <w:endnote w:type="continuationSeparator" w:id="0">
    <w:p w14:paraId="4F918D69" w14:textId="77777777" w:rsidR="00D143CE" w:rsidRDefault="00D143CE"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CE4018" w14:textId="77777777" w:rsidR="00D143CE" w:rsidRDefault="00D143CE" w:rsidP="00D75295">
      <w:r>
        <w:separator/>
      </w:r>
    </w:p>
  </w:footnote>
  <w:footnote w:type="continuationSeparator" w:id="0">
    <w:p w14:paraId="2743C020" w14:textId="77777777" w:rsidR="00D143CE" w:rsidRDefault="00D143CE" w:rsidP="00D75295">
      <w:r>
        <w:continuationSeparator/>
      </w:r>
    </w:p>
  </w:footnote>
  <w:footnote w:id="1">
    <w:p w14:paraId="69C4EDC9" w14:textId="47661977" w:rsidR="00D143CE" w:rsidRPr="00CA4B9E" w:rsidRDefault="00D143CE" w:rsidP="0058410C">
      <w:pPr>
        <w:pStyle w:val="Footnote"/>
        <w:rPr>
          <w:lang w:val="en-IN"/>
        </w:rPr>
      </w:pPr>
      <w:r w:rsidRPr="00CA4B9E">
        <w:rPr>
          <w:rStyle w:val="FootnoteReference"/>
        </w:rPr>
        <w:footnoteRef/>
      </w:r>
      <w:r>
        <w:rPr>
          <w:rFonts w:eastAsiaTheme="minorEastAsia"/>
          <w:lang w:val="en-GB"/>
        </w:rPr>
        <w:t xml:space="preserve"> </w:t>
      </w:r>
      <w:r w:rsidRPr="00A74F98">
        <w:rPr>
          <w:rFonts w:eastAsiaTheme="minorEastAsia"/>
          <w:lang w:val="en-GB"/>
        </w:rPr>
        <w:t>₹ = INR = Indian rupee; all currency amounts are in ₹ unless otherwise specified; US$1</w:t>
      </w:r>
      <w:r>
        <w:rPr>
          <w:rFonts w:eastAsiaTheme="minorEastAsia"/>
          <w:lang w:val="en-GB"/>
        </w:rPr>
        <w:t>.00</w:t>
      </w:r>
      <w:r w:rsidRPr="00A74F98">
        <w:rPr>
          <w:rFonts w:eastAsiaTheme="minorEastAsia"/>
          <w:lang w:val="en-GB"/>
        </w:rPr>
        <w:t xml:space="preserve"> = ₹</w:t>
      </w:r>
      <w:r>
        <w:rPr>
          <w:rFonts w:eastAsiaTheme="minorEastAsia"/>
          <w:lang w:val="en-GB"/>
        </w:rPr>
        <w:t>47.87</w:t>
      </w:r>
      <w:r w:rsidRPr="00A74F98">
        <w:rPr>
          <w:rFonts w:eastAsiaTheme="minorEastAsia"/>
          <w:lang w:val="en-GB"/>
        </w:rPr>
        <w:t xml:space="preserve"> on </w:t>
      </w:r>
      <w:r>
        <w:rPr>
          <w:rFonts w:eastAsiaTheme="minorEastAsia"/>
          <w:lang w:val="en-GB"/>
        </w:rPr>
        <w:t>June 30, 2009.</w:t>
      </w:r>
    </w:p>
  </w:footnote>
  <w:footnote w:id="2">
    <w:p w14:paraId="42E33A9F" w14:textId="58CFDB37" w:rsidR="00D143CE" w:rsidRPr="00CA4B9E" w:rsidRDefault="00D143CE" w:rsidP="00A3267B">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w:t>
      </w:r>
      <w:r w:rsidRPr="00CA4B9E">
        <w:rPr>
          <w:rFonts w:ascii="Arial" w:hAnsi="Arial" w:cs="Arial"/>
          <w:sz w:val="17"/>
          <w:szCs w:val="17"/>
          <w:lang w:val="en-IN"/>
        </w:rPr>
        <w:t>Syndication</w:t>
      </w:r>
      <w:r>
        <w:rPr>
          <w:rFonts w:ascii="Arial" w:hAnsi="Arial" w:cs="Arial"/>
          <w:sz w:val="17"/>
          <w:szCs w:val="17"/>
          <w:lang w:val="en-IN"/>
        </w:rPr>
        <w:t>”</w:t>
      </w:r>
      <w:r w:rsidRPr="00CA4B9E">
        <w:rPr>
          <w:rFonts w:ascii="Arial" w:hAnsi="Arial" w:cs="Arial"/>
          <w:sz w:val="17"/>
          <w:szCs w:val="17"/>
          <w:lang w:val="en-IN"/>
        </w:rPr>
        <w:t xml:space="preserve"> refer</w:t>
      </w:r>
      <w:r>
        <w:rPr>
          <w:rFonts w:ascii="Arial" w:hAnsi="Arial" w:cs="Arial"/>
          <w:sz w:val="17"/>
          <w:szCs w:val="17"/>
          <w:lang w:val="en-IN"/>
        </w:rPr>
        <w:t xml:space="preserve">red </w:t>
      </w:r>
      <w:r w:rsidRPr="00CA4B9E">
        <w:rPr>
          <w:rFonts w:ascii="Arial" w:hAnsi="Arial" w:cs="Arial"/>
          <w:sz w:val="17"/>
          <w:szCs w:val="17"/>
          <w:lang w:val="en-IN"/>
        </w:rPr>
        <w:t xml:space="preserve">to a group </w:t>
      </w:r>
      <w:r>
        <w:rPr>
          <w:rFonts w:ascii="Arial" w:hAnsi="Arial" w:cs="Arial"/>
          <w:sz w:val="17"/>
          <w:szCs w:val="17"/>
          <w:lang w:val="en-IN"/>
        </w:rPr>
        <w:t xml:space="preserve">of businesses—in this case, </w:t>
      </w:r>
      <w:r w:rsidRPr="00CA4B9E">
        <w:rPr>
          <w:rFonts w:ascii="Arial" w:hAnsi="Arial" w:cs="Arial"/>
          <w:sz w:val="17"/>
          <w:szCs w:val="17"/>
          <w:lang w:val="en-IN"/>
        </w:rPr>
        <w:t>banks</w:t>
      </w:r>
      <w:r>
        <w:rPr>
          <w:rFonts w:ascii="Arial" w:hAnsi="Arial" w:cs="Arial"/>
          <w:sz w:val="17"/>
          <w:szCs w:val="17"/>
          <w:lang w:val="en-IN"/>
        </w:rPr>
        <w:t xml:space="preserve">—that </w:t>
      </w:r>
      <w:r w:rsidRPr="00CA4B9E">
        <w:rPr>
          <w:rFonts w:ascii="Arial" w:hAnsi="Arial" w:cs="Arial"/>
          <w:sz w:val="17"/>
          <w:szCs w:val="17"/>
          <w:lang w:val="en-IN"/>
        </w:rPr>
        <w:t>form</w:t>
      </w:r>
      <w:r>
        <w:rPr>
          <w:rFonts w:ascii="Arial" w:hAnsi="Arial" w:cs="Arial"/>
          <w:sz w:val="17"/>
          <w:szCs w:val="17"/>
          <w:lang w:val="en-IN"/>
        </w:rPr>
        <w:t>ed</w:t>
      </w:r>
      <w:r w:rsidRPr="00CA4B9E">
        <w:rPr>
          <w:rFonts w:ascii="Arial" w:hAnsi="Arial" w:cs="Arial"/>
          <w:sz w:val="17"/>
          <w:szCs w:val="17"/>
          <w:lang w:val="en-IN"/>
        </w:rPr>
        <w:t xml:space="preserve"> </w:t>
      </w:r>
      <w:r>
        <w:rPr>
          <w:rFonts w:ascii="Arial" w:hAnsi="Arial" w:cs="Arial"/>
          <w:sz w:val="17"/>
          <w:szCs w:val="17"/>
          <w:lang w:val="en-IN"/>
        </w:rPr>
        <w:t xml:space="preserve">a partnership </w:t>
      </w:r>
      <w:r w:rsidRPr="00CA4B9E">
        <w:rPr>
          <w:rFonts w:ascii="Arial" w:hAnsi="Arial" w:cs="Arial"/>
          <w:sz w:val="17"/>
          <w:szCs w:val="17"/>
          <w:lang w:val="en-IN"/>
        </w:rPr>
        <w:t xml:space="preserve">to finance </w:t>
      </w:r>
      <w:r>
        <w:rPr>
          <w:rFonts w:ascii="Arial" w:hAnsi="Arial" w:cs="Arial"/>
          <w:sz w:val="17"/>
          <w:szCs w:val="17"/>
          <w:lang w:val="en-IN"/>
        </w:rPr>
        <w:t>a given</w:t>
      </w:r>
      <w:r w:rsidRPr="00CA4B9E">
        <w:rPr>
          <w:rFonts w:ascii="Arial" w:hAnsi="Arial" w:cs="Arial"/>
          <w:sz w:val="17"/>
          <w:szCs w:val="17"/>
          <w:lang w:val="en-IN"/>
        </w:rPr>
        <w:t xml:space="preserve"> project</w:t>
      </w:r>
      <w:r>
        <w:rPr>
          <w:rFonts w:ascii="Arial" w:hAnsi="Arial" w:cs="Arial"/>
          <w:sz w:val="17"/>
          <w:szCs w:val="17"/>
          <w:lang w:val="en-IN"/>
        </w:rPr>
        <w:t>.</w:t>
      </w:r>
    </w:p>
  </w:footnote>
  <w:footnote w:id="3">
    <w:p w14:paraId="3308C10C" w14:textId="04265463" w:rsidR="00D143CE" w:rsidRDefault="00D143CE" w:rsidP="00242175">
      <w:pPr>
        <w:pStyle w:val="FootnoteText"/>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w:t>
      </w:r>
      <w:r w:rsidRPr="00CA4B9E">
        <w:rPr>
          <w:rFonts w:ascii="Arial" w:hAnsi="Arial" w:cs="Arial"/>
          <w:sz w:val="17"/>
          <w:szCs w:val="17"/>
          <w:lang w:val="en-IN"/>
        </w:rPr>
        <w:t xml:space="preserve">CH R S Sarma, “Hike in Power Tariff </w:t>
      </w:r>
      <w:r>
        <w:rPr>
          <w:rFonts w:ascii="Arial" w:hAnsi="Arial" w:cs="Arial"/>
          <w:sz w:val="17"/>
          <w:szCs w:val="17"/>
          <w:lang w:val="en-IN"/>
        </w:rPr>
        <w:t>H</w:t>
      </w:r>
      <w:r w:rsidRPr="00CA4B9E">
        <w:rPr>
          <w:rFonts w:ascii="Arial" w:hAnsi="Arial" w:cs="Arial"/>
          <w:sz w:val="17"/>
          <w:szCs w:val="17"/>
          <w:lang w:val="en-IN"/>
        </w:rPr>
        <w:t>its AP Ferro Alloys Industry</w:t>
      </w:r>
      <w:r>
        <w:rPr>
          <w:rFonts w:ascii="Arial" w:hAnsi="Arial" w:cs="Arial"/>
          <w:sz w:val="17"/>
          <w:szCs w:val="17"/>
          <w:lang w:val="en-IN"/>
        </w:rPr>
        <w:t>,</w:t>
      </w:r>
      <w:r w:rsidRPr="00CA4B9E">
        <w:rPr>
          <w:rFonts w:ascii="Arial" w:hAnsi="Arial" w:cs="Arial"/>
          <w:sz w:val="17"/>
          <w:szCs w:val="17"/>
          <w:lang w:val="en-IN"/>
        </w:rPr>
        <w:t xml:space="preserve">” </w:t>
      </w:r>
      <w:r w:rsidRPr="0058410C">
        <w:rPr>
          <w:rFonts w:ascii="Arial" w:hAnsi="Arial" w:cs="Arial"/>
          <w:i/>
          <w:sz w:val="17"/>
          <w:szCs w:val="17"/>
          <w:lang w:val="en-IN"/>
        </w:rPr>
        <w:t>The Hindu Business Line</w:t>
      </w:r>
      <w:r>
        <w:rPr>
          <w:rFonts w:ascii="Arial" w:hAnsi="Arial" w:cs="Arial"/>
          <w:sz w:val="17"/>
          <w:szCs w:val="17"/>
          <w:lang w:val="en-IN"/>
        </w:rPr>
        <w:t xml:space="preserve">, October 5, 2015, </w:t>
      </w:r>
      <w:r w:rsidRPr="00CA4B9E">
        <w:rPr>
          <w:rFonts w:ascii="Arial" w:hAnsi="Arial" w:cs="Arial"/>
          <w:sz w:val="17"/>
          <w:szCs w:val="17"/>
          <w:lang w:val="en-IN"/>
        </w:rPr>
        <w:t>accessed September 6, 2016</w:t>
      </w:r>
      <w:r>
        <w:rPr>
          <w:rFonts w:ascii="Arial" w:hAnsi="Arial" w:cs="Arial"/>
          <w:sz w:val="17"/>
          <w:szCs w:val="17"/>
          <w:lang w:val="en-IN"/>
        </w:rPr>
        <w:t xml:space="preserve">, </w:t>
      </w:r>
      <w:r w:rsidRPr="00D143CE">
        <w:rPr>
          <w:rFonts w:ascii="Arial" w:hAnsi="Arial" w:cs="Arial"/>
          <w:sz w:val="17"/>
          <w:szCs w:val="17"/>
          <w:lang w:val="en-IN"/>
        </w:rPr>
        <w:t>www.thehindubusinessline.com/news/national/hike-in-power-tariff-hits-ap-ferro-alloys-industry/</w:t>
      </w:r>
    </w:p>
    <w:p w14:paraId="224CB03E" w14:textId="71E2AB5E" w:rsidR="00D143CE" w:rsidRPr="00CA4B9E" w:rsidRDefault="00D143CE" w:rsidP="00242175">
      <w:pPr>
        <w:pStyle w:val="FootnoteText"/>
        <w:rPr>
          <w:rFonts w:ascii="Arial" w:hAnsi="Arial" w:cs="Arial"/>
          <w:sz w:val="17"/>
          <w:szCs w:val="17"/>
          <w:lang w:val="en-IN"/>
        </w:rPr>
      </w:pPr>
      <w:r w:rsidRPr="00D143CE">
        <w:rPr>
          <w:rFonts w:ascii="Arial" w:hAnsi="Arial" w:cs="Arial"/>
          <w:sz w:val="17"/>
          <w:szCs w:val="17"/>
          <w:lang w:val="en-IN"/>
        </w:rPr>
        <w:t>article7726537.ece</w:t>
      </w:r>
      <w:r w:rsidRPr="00B9407D">
        <w:rPr>
          <w:rFonts w:ascii="Arial" w:hAnsi="Arial" w:cs="Arial"/>
          <w:sz w:val="17"/>
          <w:szCs w:val="17"/>
          <w:lang w:val="en-IN"/>
        </w:rPr>
        <w:t>.</w:t>
      </w:r>
    </w:p>
  </w:footnote>
  <w:footnote w:id="4">
    <w:p w14:paraId="73120320" w14:textId="11FDF6F8" w:rsidR="00D143CE" w:rsidRPr="00CA4B9E" w:rsidRDefault="00D143CE" w:rsidP="00DD3768">
      <w:pPr>
        <w:pStyle w:val="FootnoteText"/>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w:t>
      </w:r>
      <w:r w:rsidRPr="00CA4B9E">
        <w:rPr>
          <w:rFonts w:ascii="Arial" w:hAnsi="Arial" w:cs="Arial"/>
          <w:sz w:val="17"/>
          <w:szCs w:val="17"/>
          <w:lang w:val="en-IN"/>
        </w:rPr>
        <w:t>Financial closure</w:t>
      </w:r>
      <w:r>
        <w:rPr>
          <w:rFonts w:ascii="Arial" w:hAnsi="Arial" w:cs="Arial"/>
          <w:sz w:val="17"/>
          <w:szCs w:val="17"/>
          <w:lang w:val="en-IN"/>
        </w:rPr>
        <w:t>”</w:t>
      </w:r>
      <w:r w:rsidRPr="00CA4B9E">
        <w:rPr>
          <w:rFonts w:ascii="Arial" w:hAnsi="Arial" w:cs="Arial"/>
          <w:sz w:val="17"/>
          <w:szCs w:val="17"/>
          <w:lang w:val="en-IN"/>
        </w:rPr>
        <w:t xml:space="preserve"> refer</w:t>
      </w:r>
      <w:r>
        <w:rPr>
          <w:rFonts w:ascii="Arial" w:hAnsi="Arial" w:cs="Arial"/>
          <w:sz w:val="17"/>
          <w:szCs w:val="17"/>
          <w:lang w:val="en-IN"/>
        </w:rPr>
        <w:t>red</w:t>
      </w:r>
      <w:r w:rsidRPr="00CA4B9E">
        <w:rPr>
          <w:rFonts w:ascii="Arial" w:hAnsi="Arial" w:cs="Arial"/>
          <w:sz w:val="17"/>
          <w:szCs w:val="17"/>
          <w:lang w:val="en-IN"/>
        </w:rPr>
        <w:t xml:space="preserve"> to formal receipt of sanctions/commitments from a group of banks/financial institutions toward financing</w:t>
      </w:r>
      <w:r>
        <w:rPr>
          <w:rFonts w:ascii="Arial" w:hAnsi="Arial" w:cs="Arial"/>
          <w:sz w:val="17"/>
          <w:szCs w:val="17"/>
          <w:lang w:val="en-IN"/>
        </w:rPr>
        <w:t xml:space="preserve"> the</w:t>
      </w:r>
      <w:r w:rsidRPr="00CA4B9E">
        <w:rPr>
          <w:rFonts w:ascii="Arial" w:hAnsi="Arial" w:cs="Arial"/>
          <w:sz w:val="17"/>
          <w:szCs w:val="17"/>
          <w:lang w:val="en-IN"/>
        </w:rPr>
        <w:t xml:space="preserve"> project. </w:t>
      </w:r>
    </w:p>
  </w:footnote>
  <w:footnote w:id="5">
    <w:p w14:paraId="150EE334" w14:textId="56F8356D" w:rsidR="00D143CE" w:rsidRPr="00CA4B9E" w:rsidRDefault="00D143CE" w:rsidP="00D143CE">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w:t>
      </w:r>
      <w:r w:rsidRPr="00CA4B9E">
        <w:rPr>
          <w:rFonts w:ascii="Arial" w:hAnsi="Arial" w:cs="Arial"/>
          <w:sz w:val="17"/>
          <w:szCs w:val="17"/>
          <w:lang w:val="en-IN"/>
        </w:rPr>
        <w:t>Gross cash accruals</w:t>
      </w:r>
      <w:r>
        <w:rPr>
          <w:rFonts w:ascii="Arial" w:hAnsi="Arial" w:cs="Arial"/>
          <w:sz w:val="17"/>
          <w:szCs w:val="17"/>
          <w:lang w:val="en-IN"/>
        </w:rPr>
        <w:t>”</w:t>
      </w:r>
      <w:r w:rsidRPr="00CA4B9E">
        <w:rPr>
          <w:rFonts w:ascii="Arial" w:hAnsi="Arial" w:cs="Arial"/>
          <w:sz w:val="17"/>
          <w:szCs w:val="17"/>
          <w:lang w:val="en-IN"/>
        </w:rPr>
        <w:t xml:space="preserve"> mean</w:t>
      </w:r>
      <w:r>
        <w:rPr>
          <w:rFonts w:ascii="Arial" w:hAnsi="Arial" w:cs="Arial"/>
          <w:sz w:val="17"/>
          <w:szCs w:val="17"/>
          <w:lang w:val="en-IN"/>
        </w:rPr>
        <w:t>t</w:t>
      </w:r>
      <w:r w:rsidRPr="00CA4B9E">
        <w:rPr>
          <w:rFonts w:ascii="Arial" w:hAnsi="Arial" w:cs="Arial"/>
          <w:sz w:val="17"/>
          <w:szCs w:val="17"/>
          <w:lang w:val="en-IN"/>
        </w:rPr>
        <w:t xml:space="preserve"> profit after tax plus depreciation and amortization expenses in a financial year.</w:t>
      </w:r>
    </w:p>
  </w:footnote>
  <w:footnote w:id="6">
    <w:p w14:paraId="772F100A" w14:textId="77777777" w:rsidR="00D143CE" w:rsidRPr="00CA4B9E" w:rsidRDefault="00D143CE" w:rsidP="00D143CE">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sidRPr="00CA4B9E">
        <w:rPr>
          <w:rFonts w:ascii="Arial" w:hAnsi="Arial" w:cs="Arial"/>
          <w:sz w:val="17"/>
          <w:szCs w:val="17"/>
        </w:rPr>
        <w:t xml:space="preserve"> “Revision of Rating Symbols and Definitions</w:t>
      </w:r>
      <w:r>
        <w:rPr>
          <w:rFonts w:ascii="Arial" w:hAnsi="Arial" w:cs="Arial"/>
          <w:sz w:val="17"/>
          <w:szCs w:val="17"/>
        </w:rPr>
        <w:t>,</w:t>
      </w:r>
      <w:r w:rsidRPr="00CA4B9E">
        <w:rPr>
          <w:rFonts w:ascii="Arial" w:hAnsi="Arial" w:cs="Arial"/>
          <w:sz w:val="17"/>
          <w:szCs w:val="17"/>
        </w:rPr>
        <w:t>” CRISIL Ratings, accessed September 6, 2016</w:t>
      </w:r>
      <w:r>
        <w:rPr>
          <w:rFonts w:ascii="Arial" w:hAnsi="Arial" w:cs="Arial"/>
          <w:sz w:val="17"/>
          <w:szCs w:val="17"/>
        </w:rPr>
        <w:t xml:space="preserve">, </w:t>
      </w:r>
      <w:r w:rsidRPr="003F34AB">
        <w:rPr>
          <w:rFonts w:ascii="Arial" w:hAnsi="Arial" w:cs="Arial"/>
          <w:sz w:val="17"/>
          <w:szCs w:val="17"/>
        </w:rPr>
        <w:t>www.crisil.com/pdf/ratings/standardisation-rating-symbols-definitions.pdf</w:t>
      </w:r>
      <w:r w:rsidRPr="00CA4B9E">
        <w:rPr>
          <w:rFonts w:ascii="Arial" w:hAnsi="Arial" w:cs="Arial"/>
          <w:sz w:val="17"/>
          <w:szCs w:val="17"/>
        </w:rPr>
        <w:t>.</w:t>
      </w:r>
    </w:p>
  </w:footnote>
  <w:footnote w:id="7">
    <w:p w14:paraId="63873AC7" w14:textId="1044486A" w:rsidR="00D143CE" w:rsidRPr="00CA4B9E" w:rsidRDefault="00D143CE" w:rsidP="00D143CE">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rPr>
        <w:t xml:space="preserve"> </w:t>
      </w:r>
      <w:r w:rsidRPr="00CA4B9E">
        <w:rPr>
          <w:rFonts w:ascii="Arial" w:hAnsi="Arial" w:cs="Arial"/>
          <w:sz w:val="17"/>
          <w:szCs w:val="17"/>
        </w:rPr>
        <w:t xml:space="preserve">Sarita Singh, “For the </w:t>
      </w:r>
      <w:r>
        <w:rPr>
          <w:rFonts w:ascii="Arial" w:hAnsi="Arial" w:cs="Arial"/>
          <w:sz w:val="17"/>
          <w:szCs w:val="17"/>
        </w:rPr>
        <w:t>F</w:t>
      </w:r>
      <w:r w:rsidRPr="00CA4B9E">
        <w:rPr>
          <w:rFonts w:ascii="Arial" w:hAnsi="Arial" w:cs="Arial"/>
          <w:sz w:val="17"/>
          <w:szCs w:val="17"/>
        </w:rPr>
        <w:t xml:space="preserve">irst </w:t>
      </w:r>
      <w:r>
        <w:rPr>
          <w:rFonts w:ascii="Arial" w:hAnsi="Arial" w:cs="Arial"/>
          <w:sz w:val="17"/>
          <w:szCs w:val="17"/>
        </w:rPr>
        <w:t>T</w:t>
      </w:r>
      <w:r w:rsidRPr="00CA4B9E">
        <w:rPr>
          <w:rFonts w:ascii="Arial" w:hAnsi="Arial" w:cs="Arial"/>
          <w:sz w:val="17"/>
          <w:szCs w:val="17"/>
        </w:rPr>
        <w:t xml:space="preserve">ime in </w:t>
      </w:r>
      <w:r>
        <w:rPr>
          <w:rFonts w:ascii="Arial" w:hAnsi="Arial" w:cs="Arial"/>
          <w:sz w:val="17"/>
          <w:szCs w:val="17"/>
        </w:rPr>
        <w:t>H</w:t>
      </w:r>
      <w:r w:rsidRPr="00CA4B9E">
        <w:rPr>
          <w:rFonts w:ascii="Arial" w:hAnsi="Arial" w:cs="Arial"/>
          <w:sz w:val="17"/>
          <w:szCs w:val="17"/>
        </w:rPr>
        <w:t xml:space="preserve">istory, India </w:t>
      </w:r>
      <w:r>
        <w:rPr>
          <w:rFonts w:ascii="Arial" w:hAnsi="Arial" w:cs="Arial"/>
          <w:sz w:val="17"/>
          <w:szCs w:val="17"/>
        </w:rPr>
        <w:t>W</w:t>
      </w:r>
      <w:r w:rsidRPr="00CA4B9E">
        <w:rPr>
          <w:rFonts w:ascii="Arial" w:hAnsi="Arial" w:cs="Arial"/>
          <w:sz w:val="17"/>
          <w:szCs w:val="17"/>
        </w:rPr>
        <w:t xml:space="preserve">ill </w:t>
      </w:r>
      <w:r>
        <w:rPr>
          <w:rFonts w:ascii="Arial" w:hAnsi="Arial" w:cs="Arial"/>
          <w:sz w:val="17"/>
          <w:szCs w:val="17"/>
        </w:rPr>
        <w:t>N</w:t>
      </w:r>
      <w:r w:rsidRPr="00CA4B9E">
        <w:rPr>
          <w:rFonts w:ascii="Arial" w:hAnsi="Arial" w:cs="Arial"/>
          <w:sz w:val="17"/>
          <w:szCs w:val="17"/>
        </w:rPr>
        <w:t xml:space="preserve">ot </w:t>
      </w:r>
      <w:r>
        <w:rPr>
          <w:rFonts w:ascii="Arial" w:hAnsi="Arial" w:cs="Arial"/>
          <w:sz w:val="17"/>
          <w:szCs w:val="17"/>
        </w:rPr>
        <w:t>H</w:t>
      </w:r>
      <w:r w:rsidRPr="00CA4B9E">
        <w:rPr>
          <w:rFonts w:ascii="Arial" w:hAnsi="Arial" w:cs="Arial"/>
          <w:sz w:val="17"/>
          <w:szCs w:val="17"/>
        </w:rPr>
        <w:t xml:space="preserve">ave </w:t>
      </w:r>
      <w:r>
        <w:rPr>
          <w:rFonts w:ascii="Arial" w:hAnsi="Arial" w:cs="Arial"/>
          <w:sz w:val="17"/>
          <w:szCs w:val="17"/>
        </w:rPr>
        <w:t>P</w:t>
      </w:r>
      <w:r w:rsidRPr="00CA4B9E">
        <w:rPr>
          <w:rFonts w:ascii="Arial" w:hAnsi="Arial" w:cs="Arial"/>
          <w:sz w:val="17"/>
          <w:szCs w:val="17"/>
        </w:rPr>
        <w:t xml:space="preserve">ower </w:t>
      </w:r>
      <w:r>
        <w:rPr>
          <w:rFonts w:ascii="Arial" w:hAnsi="Arial" w:cs="Arial"/>
          <w:sz w:val="17"/>
          <w:szCs w:val="17"/>
        </w:rPr>
        <w:t>D</w:t>
      </w:r>
      <w:r w:rsidRPr="00CA4B9E">
        <w:rPr>
          <w:rFonts w:ascii="Arial" w:hAnsi="Arial" w:cs="Arial"/>
          <w:sz w:val="17"/>
          <w:szCs w:val="17"/>
        </w:rPr>
        <w:t xml:space="preserve">eficit </w:t>
      </w:r>
      <w:r>
        <w:rPr>
          <w:rFonts w:ascii="Arial" w:hAnsi="Arial" w:cs="Arial"/>
          <w:sz w:val="17"/>
          <w:szCs w:val="17"/>
        </w:rPr>
        <w:t>S</w:t>
      </w:r>
      <w:r w:rsidRPr="00CA4B9E">
        <w:rPr>
          <w:rFonts w:ascii="Arial" w:hAnsi="Arial" w:cs="Arial"/>
          <w:sz w:val="17"/>
          <w:szCs w:val="17"/>
        </w:rPr>
        <w:t>ituation in FY 2017</w:t>
      </w:r>
      <w:r>
        <w:rPr>
          <w:rFonts w:ascii="Arial" w:hAnsi="Arial" w:cs="Arial"/>
          <w:sz w:val="17"/>
          <w:szCs w:val="17"/>
        </w:rPr>
        <w:t>,</w:t>
      </w:r>
      <w:r w:rsidRPr="00CA4B9E">
        <w:rPr>
          <w:rFonts w:ascii="Arial" w:hAnsi="Arial" w:cs="Arial"/>
          <w:sz w:val="17"/>
          <w:szCs w:val="17"/>
        </w:rPr>
        <w:t xml:space="preserve">” </w:t>
      </w:r>
      <w:r w:rsidRPr="00E630A3">
        <w:rPr>
          <w:rFonts w:ascii="Arial" w:hAnsi="Arial" w:cs="Arial"/>
          <w:i/>
          <w:sz w:val="17"/>
          <w:szCs w:val="17"/>
        </w:rPr>
        <w:t>Economic Times</w:t>
      </w:r>
      <w:r w:rsidRPr="00CA4B9E">
        <w:rPr>
          <w:rFonts w:ascii="Arial" w:hAnsi="Arial" w:cs="Arial"/>
          <w:sz w:val="17"/>
          <w:szCs w:val="17"/>
        </w:rPr>
        <w:t>, June 3, 2016</w:t>
      </w:r>
      <w:r>
        <w:rPr>
          <w:rFonts w:ascii="Arial" w:hAnsi="Arial" w:cs="Arial"/>
          <w:sz w:val="17"/>
          <w:szCs w:val="17"/>
        </w:rPr>
        <w:t>,</w:t>
      </w:r>
      <w:r w:rsidRPr="00CA4B9E">
        <w:rPr>
          <w:rFonts w:ascii="Arial" w:hAnsi="Arial" w:cs="Arial"/>
          <w:sz w:val="17"/>
          <w:szCs w:val="17"/>
        </w:rPr>
        <w:t xml:space="preserve"> accessed</w:t>
      </w:r>
      <w:r>
        <w:rPr>
          <w:rFonts w:ascii="Arial" w:hAnsi="Arial" w:cs="Arial"/>
          <w:sz w:val="17"/>
          <w:szCs w:val="17"/>
        </w:rPr>
        <w:t xml:space="preserve"> </w:t>
      </w:r>
      <w:r w:rsidRPr="00CA4B9E">
        <w:rPr>
          <w:rFonts w:ascii="Arial" w:hAnsi="Arial" w:cs="Arial"/>
          <w:sz w:val="17"/>
          <w:szCs w:val="17"/>
        </w:rPr>
        <w:t>September 6, 2016</w:t>
      </w:r>
      <w:r>
        <w:rPr>
          <w:rFonts w:ascii="Arial" w:hAnsi="Arial" w:cs="Arial"/>
          <w:sz w:val="17"/>
          <w:szCs w:val="17"/>
        </w:rPr>
        <w:t xml:space="preserve">, </w:t>
      </w:r>
      <w:r w:rsidRPr="003F34AB">
        <w:rPr>
          <w:rFonts w:ascii="Arial" w:hAnsi="Arial" w:cs="Arial"/>
          <w:sz w:val="17"/>
          <w:szCs w:val="17"/>
        </w:rPr>
        <w:t>http://economictimes.indiatimes.com/industry/energy/power/for-the-first-time-in-history-india-will-not-have-power-deficit-situation-in-fy17/articleshow/52562666.cms</w:t>
      </w:r>
      <w:r w:rsidRPr="00CA4B9E">
        <w:rPr>
          <w:rFonts w:ascii="Arial" w:hAnsi="Arial" w:cs="Arial"/>
          <w:sz w:val="17"/>
          <w:szCs w:val="17"/>
        </w:rPr>
        <w:t>.</w:t>
      </w:r>
    </w:p>
  </w:footnote>
  <w:footnote w:id="8">
    <w:p w14:paraId="55E6DAE7" w14:textId="0DE4392A" w:rsidR="00D143CE" w:rsidRPr="00CA4B9E" w:rsidRDefault="00D143CE" w:rsidP="00D143CE">
      <w:pPr>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rPr>
        <w:t xml:space="preserve"> </w:t>
      </w:r>
      <w:r w:rsidRPr="00CA4B9E">
        <w:rPr>
          <w:rFonts w:ascii="Arial" w:hAnsi="Arial" w:cs="Arial"/>
          <w:sz w:val="17"/>
          <w:szCs w:val="17"/>
        </w:rPr>
        <w:t>“</w:t>
      </w:r>
      <w:r w:rsidRPr="00CA4B9E">
        <w:rPr>
          <w:rFonts w:ascii="Arial" w:hAnsi="Arial" w:cs="Arial"/>
          <w:sz w:val="17"/>
          <w:szCs w:val="17"/>
          <w:lang w:eastAsia="en-IN"/>
        </w:rPr>
        <w:t xml:space="preserve">Power </w:t>
      </w:r>
      <w:r>
        <w:rPr>
          <w:rFonts w:ascii="Arial" w:hAnsi="Arial" w:cs="Arial"/>
          <w:sz w:val="17"/>
          <w:szCs w:val="17"/>
          <w:lang w:eastAsia="en-IN"/>
        </w:rPr>
        <w:t>D</w:t>
      </w:r>
      <w:r w:rsidRPr="00CA4B9E">
        <w:rPr>
          <w:rFonts w:ascii="Arial" w:hAnsi="Arial" w:cs="Arial"/>
          <w:sz w:val="17"/>
          <w:szCs w:val="17"/>
          <w:lang w:eastAsia="en-IN"/>
        </w:rPr>
        <w:t xml:space="preserve">emand to </w:t>
      </w:r>
      <w:r>
        <w:rPr>
          <w:rFonts w:ascii="Arial" w:hAnsi="Arial" w:cs="Arial"/>
          <w:sz w:val="17"/>
          <w:szCs w:val="17"/>
          <w:lang w:eastAsia="en-IN"/>
        </w:rPr>
        <w:t>I</w:t>
      </w:r>
      <w:r w:rsidRPr="00CA4B9E">
        <w:rPr>
          <w:rFonts w:ascii="Arial" w:hAnsi="Arial" w:cs="Arial"/>
          <w:sz w:val="17"/>
          <w:szCs w:val="17"/>
          <w:lang w:eastAsia="en-IN"/>
        </w:rPr>
        <w:t xml:space="preserve">mprove </w:t>
      </w:r>
      <w:r>
        <w:rPr>
          <w:rFonts w:ascii="Arial" w:hAnsi="Arial" w:cs="Arial"/>
          <w:sz w:val="17"/>
          <w:szCs w:val="17"/>
          <w:lang w:eastAsia="en-IN"/>
        </w:rPr>
        <w:t>L</w:t>
      </w:r>
      <w:r w:rsidRPr="00CA4B9E">
        <w:rPr>
          <w:rFonts w:ascii="Arial" w:hAnsi="Arial" w:cs="Arial"/>
          <w:sz w:val="17"/>
          <w:szCs w:val="17"/>
          <w:lang w:eastAsia="en-IN"/>
        </w:rPr>
        <w:t xml:space="preserve">ed by </w:t>
      </w:r>
      <w:r>
        <w:rPr>
          <w:rFonts w:ascii="Arial" w:hAnsi="Arial" w:cs="Arial"/>
          <w:sz w:val="17"/>
          <w:szCs w:val="17"/>
          <w:lang w:eastAsia="en-IN"/>
        </w:rPr>
        <w:t>E</w:t>
      </w:r>
      <w:r w:rsidRPr="00CA4B9E">
        <w:rPr>
          <w:rFonts w:ascii="Arial" w:hAnsi="Arial" w:cs="Arial"/>
          <w:sz w:val="17"/>
          <w:szCs w:val="17"/>
          <w:lang w:eastAsia="en-IN"/>
        </w:rPr>
        <w:t xml:space="preserve">conomic </w:t>
      </w:r>
      <w:r>
        <w:rPr>
          <w:rFonts w:ascii="Arial" w:hAnsi="Arial" w:cs="Arial"/>
          <w:sz w:val="17"/>
          <w:szCs w:val="17"/>
          <w:lang w:eastAsia="en-IN"/>
        </w:rPr>
        <w:t>R</w:t>
      </w:r>
      <w:r w:rsidRPr="00CA4B9E">
        <w:rPr>
          <w:rFonts w:ascii="Arial" w:hAnsi="Arial" w:cs="Arial"/>
          <w:sz w:val="17"/>
          <w:szCs w:val="17"/>
          <w:lang w:eastAsia="en-IN"/>
        </w:rPr>
        <w:t xml:space="preserve">evival, </w:t>
      </w:r>
      <w:r>
        <w:rPr>
          <w:rFonts w:ascii="Arial" w:hAnsi="Arial" w:cs="Arial"/>
          <w:sz w:val="17"/>
          <w:szCs w:val="17"/>
          <w:lang w:eastAsia="en-IN"/>
        </w:rPr>
        <w:t>H</w:t>
      </w:r>
      <w:r w:rsidRPr="00CA4B9E">
        <w:rPr>
          <w:rFonts w:ascii="Arial" w:hAnsi="Arial" w:cs="Arial"/>
          <w:sz w:val="17"/>
          <w:szCs w:val="17"/>
          <w:lang w:eastAsia="en-IN"/>
        </w:rPr>
        <w:t xml:space="preserve">igher </w:t>
      </w:r>
      <w:r>
        <w:rPr>
          <w:rFonts w:ascii="Arial" w:hAnsi="Arial" w:cs="Arial"/>
          <w:sz w:val="17"/>
          <w:szCs w:val="17"/>
          <w:lang w:eastAsia="en-IN"/>
        </w:rPr>
        <w:t>R</w:t>
      </w:r>
      <w:r w:rsidRPr="00CA4B9E">
        <w:rPr>
          <w:rFonts w:ascii="Arial" w:hAnsi="Arial" w:cs="Arial"/>
          <w:sz w:val="17"/>
          <w:szCs w:val="17"/>
          <w:lang w:eastAsia="en-IN"/>
        </w:rPr>
        <w:t xml:space="preserve">esidential </w:t>
      </w:r>
      <w:r>
        <w:rPr>
          <w:rFonts w:ascii="Arial" w:hAnsi="Arial" w:cs="Arial"/>
          <w:sz w:val="17"/>
          <w:szCs w:val="17"/>
          <w:lang w:eastAsia="en-IN"/>
        </w:rPr>
        <w:t>D</w:t>
      </w:r>
      <w:r w:rsidRPr="00CA4B9E">
        <w:rPr>
          <w:rFonts w:ascii="Arial" w:hAnsi="Arial" w:cs="Arial"/>
          <w:sz w:val="17"/>
          <w:szCs w:val="17"/>
          <w:lang w:eastAsia="en-IN"/>
        </w:rPr>
        <w:t>emand</w:t>
      </w:r>
      <w:r>
        <w:rPr>
          <w:rFonts w:ascii="Arial" w:hAnsi="Arial" w:cs="Arial"/>
          <w:sz w:val="17"/>
          <w:szCs w:val="17"/>
          <w:lang w:eastAsia="en-IN"/>
        </w:rPr>
        <w:t>,” CRISIL</w:t>
      </w:r>
      <w:r w:rsidRPr="00CA4B9E">
        <w:rPr>
          <w:rFonts w:ascii="Arial" w:hAnsi="Arial" w:cs="Arial"/>
          <w:sz w:val="17"/>
          <w:szCs w:val="17"/>
        </w:rPr>
        <w:t xml:space="preserve"> Research, </w:t>
      </w:r>
      <w:r w:rsidRPr="00CA4B9E">
        <w:rPr>
          <w:rFonts w:ascii="Arial" w:hAnsi="Arial" w:cs="Arial"/>
          <w:sz w:val="17"/>
          <w:szCs w:val="17"/>
          <w:lang w:eastAsia="en-IN"/>
        </w:rPr>
        <w:t>August 4, 2016</w:t>
      </w:r>
      <w:r>
        <w:rPr>
          <w:rFonts w:ascii="Arial" w:hAnsi="Arial" w:cs="Arial"/>
          <w:sz w:val="17"/>
          <w:szCs w:val="17"/>
          <w:lang w:eastAsia="en-IN"/>
        </w:rPr>
        <w:t xml:space="preserve">, </w:t>
      </w:r>
      <w:r w:rsidRPr="00CA4B9E">
        <w:rPr>
          <w:rFonts w:ascii="Arial" w:hAnsi="Arial" w:cs="Arial"/>
          <w:sz w:val="17"/>
          <w:szCs w:val="17"/>
        </w:rPr>
        <w:t>accessed</w:t>
      </w:r>
      <w:r>
        <w:rPr>
          <w:rFonts w:ascii="Arial" w:hAnsi="Arial" w:cs="Arial"/>
          <w:sz w:val="17"/>
          <w:szCs w:val="17"/>
        </w:rPr>
        <w:t xml:space="preserve"> </w:t>
      </w:r>
      <w:r w:rsidRPr="00CA4B9E">
        <w:rPr>
          <w:rFonts w:ascii="Arial" w:hAnsi="Arial" w:cs="Arial"/>
          <w:sz w:val="17"/>
          <w:szCs w:val="17"/>
        </w:rPr>
        <w:t>September 5, 2016</w:t>
      </w:r>
      <w:r>
        <w:rPr>
          <w:rFonts w:ascii="Arial" w:hAnsi="Arial" w:cs="Arial"/>
          <w:sz w:val="17"/>
          <w:szCs w:val="17"/>
        </w:rPr>
        <w:t xml:space="preserve">. </w:t>
      </w:r>
    </w:p>
  </w:footnote>
  <w:footnote w:id="9">
    <w:p w14:paraId="6C116BC5" w14:textId="4CBEADAE" w:rsidR="00D143CE" w:rsidRDefault="00D143CE" w:rsidP="00D143CE">
      <w:pPr>
        <w:pStyle w:val="FootnoteText"/>
        <w:jc w:val="both"/>
      </w:pPr>
      <w:r w:rsidRPr="00D143CE">
        <w:rPr>
          <w:rStyle w:val="FootnoteChar"/>
          <w:vertAlign w:val="superscript"/>
        </w:rPr>
        <w:footnoteRef/>
      </w:r>
      <w:r>
        <w:t xml:space="preserve"> </w:t>
      </w:r>
      <w:r>
        <w:rPr>
          <w:rFonts w:ascii="Arial" w:hAnsi="Arial" w:cs="Arial"/>
          <w:sz w:val="17"/>
          <w:szCs w:val="17"/>
        </w:rPr>
        <w:t xml:space="preserve">The </w:t>
      </w:r>
      <w:r w:rsidRPr="00E630A3">
        <w:rPr>
          <w:rFonts w:ascii="Arial" w:hAnsi="Arial" w:cs="Arial"/>
          <w:i/>
          <w:sz w:val="17"/>
          <w:szCs w:val="17"/>
        </w:rPr>
        <w:t>17th Electric Power Survey of India</w:t>
      </w:r>
      <w:r w:rsidRPr="00CA4B9E">
        <w:rPr>
          <w:rFonts w:ascii="Arial" w:hAnsi="Arial" w:cs="Arial"/>
          <w:sz w:val="17"/>
          <w:szCs w:val="17"/>
        </w:rPr>
        <w:t xml:space="preserve"> was conducted in March 2007 by </w:t>
      </w:r>
      <w:r>
        <w:rPr>
          <w:rFonts w:ascii="Arial" w:hAnsi="Arial" w:cs="Arial"/>
          <w:sz w:val="17"/>
          <w:szCs w:val="17"/>
        </w:rPr>
        <w:t xml:space="preserve">India’s </w:t>
      </w:r>
      <w:r w:rsidRPr="00CA4B9E">
        <w:rPr>
          <w:rFonts w:ascii="Arial" w:hAnsi="Arial" w:cs="Arial"/>
          <w:sz w:val="17"/>
          <w:szCs w:val="17"/>
        </w:rPr>
        <w:t>Central Electricity Authority</w:t>
      </w:r>
      <w:r>
        <w:rPr>
          <w:rFonts w:ascii="Arial" w:hAnsi="Arial" w:cs="Arial"/>
          <w:sz w:val="17"/>
          <w:szCs w:val="17"/>
        </w:rPr>
        <w:t>,</w:t>
      </w:r>
      <w:r w:rsidRPr="00CA4B9E">
        <w:rPr>
          <w:rFonts w:ascii="Arial" w:hAnsi="Arial" w:cs="Arial"/>
          <w:sz w:val="17"/>
          <w:szCs w:val="17"/>
        </w:rPr>
        <w:t xml:space="preserve"> with an objective of forecasting annual electricity demand for each state in I</w:t>
      </w:r>
      <w:r>
        <w:rPr>
          <w:rFonts w:ascii="Arial" w:hAnsi="Arial" w:cs="Arial"/>
          <w:sz w:val="17"/>
          <w:szCs w:val="17"/>
        </w:rPr>
        <w:t xml:space="preserve">ndia until the year 2022; Electric Power Information Society, Central Electricity Authority, Delhi, </w:t>
      </w:r>
      <w:r w:rsidRPr="00E630A3">
        <w:rPr>
          <w:rFonts w:ascii="Arial" w:hAnsi="Arial" w:cs="Arial"/>
          <w:i/>
          <w:sz w:val="17"/>
          <w:szCs w:val="17"/>
        </w:rPr>
        <w:t xml:space="preserve">17th Electric Power Survey of </w:t>
      </w:r>
      <w:r w:rsidRPr="00F80B77">
        <w:rPr>
          <w:rFonts w:ascii="Arial" w:hAnsi="Arial" w:cs="Arial"/>
          <w:i/>
          <w:sz w:val="17"/>
          <w:szCs w:val="17"/>
        </w:rPr>
        <w:t>India</w:t>
      </w:r>
      <w:r w:rsidRPr="00F80B77">
        <w:rPr>
          <w:rFonts w:ascii="Arial" w:hAnsi="Arial" w:cs="Arial"/>
          <w:sz w:val="17"/>
          <w:szCs w:val="17"/>
        </w:rPr>
        <w:t>, March, 2007</w:t>
      </w:r>
      <w:r>
        <w:rPr>
          <w:rFonts w:ascii="Arial" w:hAnsi="Arial" w:cs="Arial"/>
          <w:sz w:val="17"/>
          <w:szCs w:val="17"/>
        </w:rPr>
        <w:t>.</w:t>
      </w:r>
    </w:p>
  </w:footnote>
  <w:footnote w:id="10">
    <w:p w14:paraId="115BC596" w14:textId="5C163179" w:rsidR="00D143CE" w:rsidRPr="00CA4B9E" w:rsidRDefault="00D143CE" w:rsidP="00D143CE">
      <w:pPr>
        <w:jc w:val="both"/>
        <w:rPr>
          <w:rFonts w:ascii="Arial" w:hAnsi="Arial" w:cs="Arial"/>
          <w:sz w:val="17"/>
          <w:szCs w:val="17"/>
          <w:lang w:val="en-IN"/>
        </w:rPr>
      </w:pPr>
      <w:r w:rsidRPr="00CA4B9E">
        <w:rPr>
          <w:rStyle w:val="FootnoteReference"/>
          <w:rFonts w:ascii="Arial" w:hAnsi="Arial" w:cs="Arial"/>
          <w:sz w:val="17"/>
          <w:szCs w:val="17"/>
        </w:rPr>
        <w:footnoteRef/>
      </w:r>
      <w:r w:rsidRPr="00CA4B9E">
        <w:rPr>
          <w:rFonts w:ascii="Arial" w:hAnsi="Arial" w:cs="Arial"/>
          <w:sz w:val="17"/>
          <w:szCs w:val="17"/>
        </w:rPr>
        <w:t xml:space="preserve"> “</w:t>
      </w:r>
      <w:r w:rsidRPr="00CA4B9E">
        <w:rPr>
          <w:rFonts w:ascii="Arial" w:hAnsi="Arial" w:cs="Arial"/>
          <w:sz w:val="17"/>
          <w:szCs w:val="17"/>
          <w:lang w:eastAsia="en-IN"/>
        </w:rPr>
        <w:t xml:space="preserve">54 GW of </w:t>
      </w:r>
      <w:r>
        <w:rPr>
          <w:rFonts w:ascii="Arial" w:hAnsi="Arial" w:cs="Arial"/>
          <w:sz w:val="17"/>
          <w:szCs w:val="17"/>
          <w:lang w:eastAsia="en-IN"/>
        </w:rPr>
        <w:t>C</w:t>
      </w:r>
      <w:r w:rsidRPr="00CA4B9E">
        <w:rPr>
          <w:rFonts w:ascii="Arial" w:hAnsi="Arial" w:cs="Arial"/>
          <w:sz w:val="17"/>
          <w:szCs w:val="17"/>
          <w:lang w:eastAsia="en-IN"/>
        </w:rPr>
        <w:t xml:space="preserve">apacities to be </w:t>
      </w:r>
      <w:r>
        <w:rPr>
          <w:rFonts w:ascii="Arial" w:hAnsi="Arial" w:cs="Arial"/>
          <w:sz w:val="17"/>
          <w:szCs w:val="17"/>
          <w:lang w:eastAsia="en-IN"/>
        </w:rPr>
        <w:t>A</w:t>
      </w:r>
      <w:r w:rsidRPr="00CA4B9E">
        <w:rPr>
          <w:rFonts w:ascii="Arial" w:hAnsi="Arial" w:cs="Arial"/>
          <w:sz w:val="17"/>
          <w:szCs w:val="17"/>
          <w:lang w:eastAsia="en-IN"/>
        </w:rPr>
        <w:t xml:space="preserve">dded over </w:t>
      </w:r>
      <w:r>
        <w:rPr>
          <w:rFonts w:ascii="Arial" w:hAnsi="Arial" w:cs="Arial"/>
          <w:sz w:val="17"/>
          <w:szCs w:val="17"/>
          <w:lang w:eastAsia="en-IN"/>
        </w:rPr>
        <w:t>N</w:t>
      </w:r>
      <w:r w:rsidRPr="00CA4B9E">
        <w:rPr>
          <w:rFonts w:ascii="Arial" w:hAnsi="Arial" w:cs="Arial"/>
          <w:sz w:val="17"/>
          <w:szCs w:val="17"/>
          <w:lang w:eastAsia="en-IN"/>
        </w:rPr>
        <w:t xml:space="preserve">ext </w:t>
      </w:r>
      <w:r>
        <w:rPr>
          <w:rFonts w:ascii="Arial" w:hAnsi="Arial" w:cs="Arial"/>
          <w:sz w:val="17"/>
          <w:szCs w:val="17"/>
          <w:lang w:eastAsia="en-IN"/>
        </w:rPr>
        <w:t>F</w:t>
      </w:r>
      <w:r w:rsidRPr="00CA4B9E">
        <w:rPr>
          <w:rFonts w:ascii="Arial" w:hAnsi="Arial" w:cs="Arial"/>
          <w:sz w:val="17"/>
          <w:szCs w:val="17"/>
          <w:lang w:eastAsia="en-IN"/>
        </w:rPr>
        <w:t xml:space="preserve">ive </w:t>
      </w:r>
      <w:r>
        <w:rPr>
          <w:rFonts w:ascii="Arial" w:hAnsi="Arial" w:cs="Arial"/>
          <w:sz w:val="17"/>
          <w:szCs w:val="17"/>
          <w:lang w:eastAsia="en-IN"/>
        </w:rPr>
        <w:t>Y</w:t>
      </w:r>
      <w:r w:rsidRPr="00CA4B9E">
        <w:rPr>
          <w:rFonts w:ascii="Arial" w:hAnsi="Arial" w:cs="Arial"/>
          <w:sz w:val="17"/>
          <w:szCs w:val="17"/>
          <w:lang w:eastAsia="en-IN"/>
        </w:rPr>
        <w:t xml:space="preserve">ears </w:t>
      </w:r>
      <w:r>
        <w:rPr>
          <w:rFonts w:ascii="Arial" w:hAnsi="Arial" w:cs="Arial"/>
          <w:sz w:val="17"/>
          <w:szCs w:val="17"/>
          <w:lang w:eastAsia="en-IN"/>
        </w:rPr>
        <w:t>L</w:t>
      </w:r>
      <w:r w:rsidRPr="00CA4B9E">
        <w:rPr>
          <w:rFonts w:ascii="Arial" w:hAnsi="Arial" w:cs="Arial"/>
          <w:sz w:val="17"/>
          <w:szCs w:val="17"/>
          <w:lang w:eastAsia="en-IN"/>
        </w:rPr>
        <w:t>ed by Central and</w:t>
      </w:r>
      <w:r>
        <w:rPr>
          <w:rFonts w:ascii="Arial" w:hAnsi="Arial" w:cs="Arial"/>
          <w:sz w:val="17"/>
          <w:szCs w:val="17"/>
          <w:lang w:eastAsia="en-IN"/>
        </w:rPr>
        <w:t xml:space="preserve"> State Sector,” </w:t>
      </w:r>
      <w:r w:rsidRPr="00CA4B9E">
        <w:rPr>
          <w:rFonts w:ascii="Arial" w:hAnsi="Arial" w:cs="Arial"/>
          <w:sz w:val="17"/>
          <w:szCs w:val="17"/>
        </w:rPr>
        <w:t xml:space="preserve">CRISIL Research, </w:t>
      </w:r>
      <w:r>
        <w:rPr>
          <w:rFonts w:ascii="Arial" w:hAnsi="Arial" w:cs="Arial"/>
          <w:sz w:val="17"/>
          <w:szCs w:val="17"/>
          <w:lang w:eastAsia="en-IN"/>
        </w:rPr>
        <w:t xml:space="preserve">August 4, 2016, </w:t>
      </w:r>
      <w:r>
        <w:rPr>
          <w:rFonts w:ascii="Arial" w:hAnsi="Arial" w:cs="Arial"/>
          <w:sz w:val="17"/>
          <w:szCs w:val="17"/>
        </w:rPr>
        <w:t xml:space="preserve">accessed September </w:t>
      </w:r>
      <w:r w:rsidRPr="00CA4B9E">
        <w:rPr>
          <w:rFonts w:ascii="Arial" w:hAnsi="Arial" w:cs="Arial"/>
          <w:sz w:val="17"/>
          <w:szCs w:val="17"/>
        </w:rPr>
        <w:t>5, 2016</w:t>
      </w:r>
      <w:r>
        <w:rPr>
          <w:rFonts w:ascii="Arial" w:hAnsi="Arial" w:cs="Arial"/>
          <w:sz w:val="17"/>
          <w:szCs w:val="17"/>
        </w:rPr>
        <w:t xml:space="preserve">. </w:t>
      </w:r>
    </w:p>
  </w:footnote>
  <w:footnote w:id="11">
    <w:p w14:paraId="08B7D021" w14:textId="77777777" w:rsidR="00D143CE" w:rsidRPr="00CA4B9E" w:rsidRDefault="00D143CE" w:rsidP="00D143CE">
      <w:pPr>
        <w:jc w:val="both"/>
        <w:rPr>
          <w:rFonts w:ascii="Arial" w:hAnsi="Arial" w:cs="Arial"/>
          <w:sz w:val="17"/>
          <w:szCs w:val="17"/>
          <w:lang w:val="en-IN"/>
        </w:rPr>
      </w:pPr>
      <w:r w:rsidRPr="00CA4B9E">
        <w:rPr>
          <w:rStyle w:val="FootnoteReference"/>
          <w:rFonts w:ascii="Arial" w:hAnsi="Arial" w:cs="Arial"/>
          <w:sz w:val="17"/>
          <w:szCs w:val="17"/>
        </w:rPr>
        <w:footnoteRef/>
      </w:r>
      <w:r w:rsidRPr="00CA4B9E">
        <w:rPr>
          <w:rFonts w:ascii="Arial" w:hAnsi="Arial" w:cs="Arial"/>
          <w:sz w:val="17"/>
          <w:szCs w:val="17"/>
        </w:rPr>
        <w:t xml:space="preserve"> “</w:t>
      </w:r>
      <w:r w:rsidRPr="00CA4B9E">
        <w:rPr>
          <w:rFonts w:ascii="Arial" w:hAnsi="Arial" w:cs="Arial"/>
          <w:sz w:val="17"/>
          <w:szCs w:val="17"/>
          <w:lang w:eastAsia="en-IN"/>
        </w:rPr>
        <w:t xml:space="preserve">Base </w:t>
      </w:r>
      <w:r>
        <w:rPr>
          <w:rFonts w:ascii="Arial" w:hAnsi="Arial" w:cs="Arial"/>
          <w:sz w:val="17"/>
          <w:szCs w:val="17"/>
          <w:lang w:eastAsia="en-IN"/>
        </w:rPr>
        <w:t>D</w:t>
      </w:r>
      <w:r w:rsidRPr="00CA4B9E">
        <w:rPr>
          <w:rFonts w:ascii="Arial" w:hAnsi="Arial" w:cs="Arial"/>
          <w:sz w:val="17"/>
          <w:szCs w:val="17"/>
          <w:lang w:eastAsia="en-IN"/>
        </w:rPr>
        <w:t xml:space="preserve">eficit </w:t>
      </w:r>
      <w:r>
        <w:rPr>
          <w:rFonts w:ascii="Arial" w:hAnsi="Arial" w:cs="Arial"/>
          <w:sz w:val="17"/>
          <w:szCs w:val="17"/>
          <w:lang w:eastAsia="en-IN"/>
        </w:rPr>
        <w:t>E</w:t>
      </w:r>
      <w:r w:rsidRPr="00CA4B9E">
        <w:rPr>
          <w:rFonts w:ascii="Arial" w:hAnsi="Arial" w:cs="Arial"/>
          <w:sz w:val="17"/>
          <w:szCs w:val="17"/>
          <w:lang w:eastAsia="en-IN"/>
        </w:rPr>
        <w:t xml:space="preserve">xpected to be </w:t>
      </w:r>
      <w:r>
        <w:rPr>
          <w:rFonts w:ascii="Arial" w:hAnsi="Arial" w:cs="Arial"/>
          <w:sz w:val="17"/>
          <w:szCs w:val="17"/>
          <w:lang w:eastAsia="en-IN"/>
        </w:rPr>
        <w:t>N</w:t>
      </w:r>
      <w:r w:rsidRPr="00CA4B9E">
        <w:rPr>
          <w:rFonts w:ascii="Arial" w:hAnsi="Arial" w:cs="Arial"/>
          <w:sz w:val="17"/>
          <w:szCs w:val="17"/>
          <w:lang w:eastAsia="en-IN"/>
        </w:rPr>
        <w:t xml:space="preserve">egligible from FY 2017 </w:t>
      </w:r>
      <w:r>
        <w:rPr>
          <w:rFonts w:ascii="Arial" w:hAnsi="Arial" w:cs="Arial"/>
          <w:sz w:val="17"/>
          <w:szCs w:val="17"/>
          <w:lang w:eastAsia="en-IN"/>
        </w:rPr>
        <w:t>O</w:t>
      </w:r>
      <w:r w:rsidRPr="00CA4B9E">
        <w:rPr>
          <w:rFonts w:ascii="Arial" w:hAnsi="Arial" w:cs="Arial"/>
          <w:sz w:val="17"/>
          <w:szCs w:val="17"/>
          <w:lang w:eastAsia="en-IN"/>
        </w:rPr>
        <w:t>nwards</w:t>
      </w:r>
      <w:r>
        <w:rPr>
          <w:rFonts w:ascii="Arial" w:hAnsi="Arial" w:cs="Arial"/>
          <w:sz w:val="17"/>
          <w:szCs w:val="17"/>
          <w:lang w:eastAsia="en-IN"/>
        </w:rPr>
        <w:t>,</w:t>
      </w:r>
      <w:r w:rsidRPr="00CA4B9E">
        <w:rPr>
          <w:rFonts w:ascii="Arial" w:hAnsi="Arial" w:cs="Arial"/>
          <w:sz w:val="17"/>
          <w:szCs w:val="17"/>
          <w:lang w:eastAsia="en-IN"/>
        </w:rPr>
        <w:t xml:space="preserve">” </w:t>
      </w:r>
      <w:r w:rsidRPr="00CA4B9E">
        <w:rPr>
          <w:rFonts w:ascii="Arial" w:hAnsi="Arial" w:cs="Arial"/>
          <w:sz w:val="17"/>
          <w:szCs w:val="17"/>
        </w:rPr>
        <w:t xml:space="preserve">CRISIL Research, </w:t>
      </w:r>
      <w:r>
        <w:rPr>
          <w:rFonts w:ascii="Arial" w:hAnsi="Arial" w:cs="Arial"/>
          <w:sz w:val="17"/>
          <w:szCs w:val="17"/>
          <w:lang w:eastAsia="en-IN"/>
        </w:rPr>
        <w:t xml:space="preserve">August 4, 2016, </w:t>
      </w:r>
      <w:r w:rsidRPr="00CA4B9E">
        <w:rPr>
          <w:rFonts w:ascii="Arial" w:hAnsi="Arial" w:cs="Arial"/>
          <w:sz w:val="17"/>
          <w:szCs w:val="17"/>
        </w:rPr>
        <w:t>accessed September 5, 2016</w:t>
      </w:r>
      <w:r>
        <w:rPr>
          <w:rFonts w:ascii="Arial" w:hAnsi="Arial" w:cs="Arial"/>
          <w:sz w:val="17"/>
          <w:szCs w:val="17"/>
        </w:rPr>
        <w:t>.</w:t>
      </w:r>
    </w:p>
  </w:footnote>
  <w:footnote w:id="12">
    <w:p w14:paraId="0EB84427" w14:textId="10C72FDD" w:rsidR="00D143CE" w:rsidRPr="00CA4B9E" w:rsidRDefault="00D143CE" w:rsidP="00D15F5A">
      <w:pPr>
        <w:jc w:val="both"/>
        <w:rPr>
          <w:rFonts w:ascii="Arial" w:hAnsi="Arial" w:cs="Arial"/>
          <w:sz w:val="17"/>
          <w:szCs w:val="17"/>
          <w:lang w:val="en-IN"/>
        </w:rPr>
      </w:pPr>
      <w:r w:rsidRPr="00CA4B9E">
        <w:rPr>
          <w:rStyle w:val="FootnoteReference"/>
          <w:rFonts w:ascii="Arial" w:hAnsi="Arial" w:cs="Arial"/>
          <w:sz w:val="17"/>
          <w:szCs w:val="17"/>
        </w:rPr>
        <w:footnoteRef/>
      </w:r>
      <w:r w:rsidRPr="00CA4B9E">
        <w:rPr>
          <w:rFonts w:ascii="Arial" w:hAnsi="Arial" w:cs="Arial"/>
          <w:sz w:val="17"/>
          <w:szCs w:val="17"/>
        </w:rPr>
        <w:t xml:space="preserve"> “</w:t>
      </w:r>
      <w:r w:rsidRPr="00CA4B9E">
        <w:rPr>
          <w:rFonts w:ascii="Arial" w:hAnsi="Arial" w:cs="Arial"/>
          <w:sz w:val="17"/>
          <w:szCs w:val="17"/>
          <w:lang w:eastAsia="en-IN"/>
        </w:rPr>
        <w:t xml:space="preserve">Investments of Rs 9 Trillion Expected over 2015-16 to 2019-20; T&amp;D </w:t>
      </w:r>
      <w:r>
        <w:rPr>
          <w:rFonts w:ascii="Arial" w:hAnsi="Arial" w:cs="Arial"/>
          <w:sz w:val="17"/>
          <w:szCs w:val="17"/>
          <w:lang w:eastAsia="en-IN"/>
        </w:rPr>
        <w:t>I</w:t>
      </w:r>
      <w:r w:rsidRPr="00CA4B9E">
        <w:rPr>
          <w:rFonts w:ascii="Arial" w:hAnsi="Arial" w:cs="Arial"/>
          <w:sz w:val="17"/>
          <w:szCs w:val="17"/>
          <w:lang w:eastAsia="en-IN"/>
        </w:rPr>
        <w:t>nvestme</w:t>
      </w:r>
      <w:r>
        <w:rPr>
          <w:rFonts w:ascii="Arial" w:hAnsi="Arial" w:cs="Arial"/>
          <w:sz w:val="17"/>
          <w:szCs w:val="17"/>
          <w:lang w:eastAsia="en-IN"/>
        </w:rPr>
        <w:t xml:space="preserve">nts to Drive,” </w:t>
      </w:r>
      <w:r w:rsidRPr="00CA4B9E">
        <w:rPr>
          <w:rFonts w:ascii="Arial" w:hAnsi="Arial" w:cs="Arial"/>
          <w:sz w:val="17"/>
          <w:szCs w:val="17"/>
        </w:rPr>
        <w:t xml:space="preserve">CRISIL Research, </w:t>
      </w:r>
      <w:r>
        <w:rPr>
          <w:rFonts w:ascii="Arial" w:hAnsi="Arial" w:cs="Arial"/>
          <w:sz w:val="17"/>
          <w:szCs w:val="17"/>
          <w:lang w:eastAsia="en-IN"/>
        </w:rPr>
        <w:t xml:space="preserve">February 6, 2016, </w:t>
      </w:r>
      <w:r w:rsidRPr="00CA4B9E">
        <w:rPr>
          <w:rFonts w:ascii="Arial" w:hAnsi="Arial" w:cs="Arial"/>
          <w:sz w:val="17"/>
          <w:szCs w:val="17"/>
        </w:rPr>
        <w:t>accessed</w:t>
      </w:r>
      <w:r>
        <w:rPr>
          <w:rFonts w:ascii="Arial" w:hAnsi="Arial" w:cs="Arial"/>
          <w:sz w:val="17"/>
          <w:szCs w:val="17"/>
        </w:rPr>
        <w:t xml:space="preserve"> </w:t>
      </w:r>
      <w:r w:rsidRPr="00CA4B9E">
        <w:rPr>
          <w:rFonts w:ascii="Arial" w:hAnsi="Arial" w:cs="Arial"/>
          <w:sz w:val="17"/>
          <w:szCs w:val="17"/>
        </w:rPr>
        <w:t>September 5, 2016</w:t>
      </w:r>
      <w:r>
        <w:rPr>
          <w:rFonts w:ascii="Arial" w:hAnsi="Arial" w:cs="Arial"/>
          <w:sz w:val="17"/>
          <w:szCs w:val="17"/>
        </w:rPr>
        <w:t>.</w:t>
      </w:r>
    </w:p>
  </w:footnote>
  <w:footnote w:id="13">
    <w:p w14:paraId="4E1B4E8E" w14:textId="33DD51AF" w:rsidR="00D143CE" w:rsidRPr="00CA4B9E" w:rsidRDefault="00D143CE" w:rsidP="00D15F5A">
      <w:pPr>
        <w:jc w:val="both"/>
        <w:rPr>
          <w:rFonts w:ascii="Arial" w:hAnsi="Arial" w:cs="Arial"/>
          <w:sz w:val="17"/>
          <w:szCs w:val="17"/>
        </w:rPr>
      </w:pPr>
      <w:r w:rsidRPr="00CA4B9E">
        <w:rPr>
          <w:rStyle w:val="FootnoteReference"/>
          <w:rFonts w:ascii="Arial" w:hAnsi="Arial" w:cs="Arial"/>
          <w:sz w:val="17"/>
          <w:szCs w:val="17"/>
        </w:rPr>
        <w:footnoteRef/>
      </w:r>
      <w:r w:rsidRPr="00CA4B9E">
        <w:rPr>
          <w:rFonts w:ascii="Arial" w:hAnsi="Arial" w:cs="Arial"/>
          <w:sz w:val="17"/>
          <w:szCs w:val="17"/>
        </w:rPr>
        <w:t xml:space="preserve"> “</w:t>
      </w:r>
      <w:r w:rsidRPr="00CA4B9E">
        <w:rPr>
          <w:rFonts w:ascii="Arial" w:hAnsi="Arial" w:cs="Arial"/>
          <w:sz w:val="17"/>
          <w:szCs w:val="17"/>
          <w:lang w:eastAsia="en-IN"/>
        </w:rPr>
        <w:t>Short-</w:t>
      </w:r>
      <w:r>
        <w:rPr>
          <w:rFonts w:ascii="Arial" w:hAnsi="Arial" w:cs="Arial"/>
          <w:sz w:val="17"/>
          <w:szCs w:val="17"/>
          <w:lang w:eastAsia="en-IN"/>
        </w:rPr>
        <w:t>T</w:t>
      </w:r>
      <w:r w:rsidRPr="00CA4B9E">
        <w:rPr>
          <w:rFonts w:ascii="Arial" w:hAnsi="Arial" w:cs="Arial"/>
          <w:sz w:val="17"/>
          <w:szCs w:val="17"/>
          <w:lang w:eastAsia="en-IN"/>
        </w:rPr>
        <w:t xml:space="preserve">erm </w:t>
      </w:r>
      <w:r>
        <w:rPr>
          <w:rFonts w:ascii="Arial" w:hAnsi="Arial" w:cs="Arial"/>
          <w:sz w:val="17"/>
          <w:szCs w:val="17"/>
          <w:lang w:eastAsia="en-IN"/>
        </w:rPr>
        <w:t>P</w:t>
      </w:r>
      <w:r w:rsidRPr="00CA4B9E">
        <w:rPr>
          <w:rFonts w:ascii="Arial" w:hAnsi="Arial" w:cs="Arial"/>
          <w:sz w:val="17"/>
          <w:szCs w:val="17"/>
          <w:lang w:eastAsia="en-IN"/>
        </w:rPr>
        <w:t xml:space="preserve">ower </w:t>
      </w:r>
      <w:r>
        <w:rPr>
          <w:rFonts w:ascii="Arial" w:hAnsi="Arial" w:cs="Arial"/>
          <w:sz w:val="17"/>
          <w:szCs w:val="17"/>
          <w:lang w:eastAsia="en-IN"/>
        </w:rPr>
        <w:t>P</w:t>
      </w:r>
      <w:r w:rsidRPr="00CA4B9E">
        <w:rPr>
          <w:rFonts w:ascii="Arial" w:hAnsi="Arial" w:cs="Arial"/>
          <w:sz w:val="17"/>
          <w:szCs w:val="17"/>
          <w:lang w:eastAsia="en-IN"/>
        </w:rPr>
        <w:t xml:space="preserve">rices </w:t>
      </w:r>
      <w:r>
        <w:rPr>
          <w:rFonts w:ascii="Arial" w:hAnsi="Arial" w:cs="Arial"/>
          <w:sz w:val="17"/>
          <w:szCs w:val="17"/>
          <w:lang w:eastAsia="en-IN"/>
        </w:rPr>
        <w:t>E</w:t>
      </w:r>
      <w:r w:rsidRPr="00CA4B9E">
        <w:rPr>
          <w:rFonts w:ascii="Arial" w:hAnsi="Arial" w:cs="Arial"/>
          <w:sz w:val="17"/>
          <w:szCs w:val="17"/>
          <w:lang w:eastAsia="en-IN"/>
        </w:rPr>
        <w:t xml:space="preserve">xpected to </w:t>
      </w:r>
      <w:r>
        <w:rPr>
          <w:rFonts w:ascii="Arial" w:hAnsi="Arial" w:cs="Arial"/>
          <w:sz w:val="17"/>
          <w:szCs w:val="17"/>
          <w:lang w:eastAsia="en-IN"/>
        </w:rPr>
        <w:t>D</w:t>
      </w:r>
      <w:r w:rsidRPr="00CA4B9E">
        <w:rPr>
          <w:rFonts w:ascii="Arial" w:hAnsi="Arial" w:cs="Arial"/>
          <w:sz w:val="17"/>
          <w:szCs w:val="17"/>
          <w:lang w:eastAsia="en-IN"/>
        </w:rPr>
        <w:t xml:space="preserve">ecline </w:t>
      </w:r>
      <w:r>
        <w:rPr>
          <w:rFonts w:ascii="Arial" w:hAnsi="Arial" w:cs="Arial"/>
          <w:sz w:val="17"/>
          <w:szCs w:val="17"/>
          <w:lang w:eastAsia="en-IN"/>
        </w:rPr>
        <w:t>o</w:t>
      </w:r>
      <w:r w:rsidRPr="00CA4B9E">
        <w:rPr>
          <w:rFonts w:ascii="Arial" w:hAnsi="Arial" w:cs="Arial"/>
          <w:sz w:val="17"/>
          <w:szCs w:val="17"/>
          <w:lang w:eastAsia="en-IN"/>
        </w:rPr>
        <w:t xml:space="preserve">ver the </w:t>
      </w:r>
      <w:r>
        <w:rPr>
          <w:rFonts w:ascii="Arial" w:hAnsi="Arial" w:cs="Arial"/>
          <w:sz w:val="17"/>
          <w:szCs w:val="17"/>
          <w:lang w:eastAsia="en-IN"/>
        </w:rPr>
        <w:t>M</w:t>
      </w:r>
      <w:r w:rsidRPr="00CA4B9E">
        <w:rPr>
          <w:rFonts w:ascii="Arial" w:hAnsi="Arial" w:cs="Arial"/>
          <w:sz w:val="17"/>
          <w:szCs w:val="17"/>
          <w:lang w:eastAsia="en-IN"/>
        </w:rPr>
        <w:t xml:space="preserve">edium </w:t>
      </w:r>
      <w:r>
        <w:rPr>
          <w:rFonts w:ascii="Arial" w:hAnsi="Arial" w:cs="Arial"/>
          <w:sz w:val="17"/>
          <w:szCs w:val="17"/>
          <w:lang w:eastAsia="en-IN"/>
        </w:rPr>
        <w:t>T</w:t>
      </w:r>
      <w:r w:rsidRPr="00CA4B9E">
        <w:rPr>
          <w:rFonts w:ascii="Arial" w:hAnsi="Arial" w:cs="Arial"/>
          <w:sz w:val="17"/>
          <w:szCs w:val="17"/>
          <w:lang w:eastAsia="en-IN"/>
        </w:rPr>
        <w:t>erm</w:t>
      </w:r>
      <w:r>
        <w:rPr>
          <w:rFonts w:ascii="Arial" w:hAnsi="Arial" w:cs="Arial"/>
          <w:sz w:val="17"/>
          <w:szCs w:val="17"/>
          <w:lang w:eastAsia="en-IN"/>
        </w:rPr>
        <w:t>,</w:t>
      </w:r>
      <w:r w:rsidRPr="00CA4B9E">
        <w:rPr>
          <w:rFonts w:ascii="Arial" w:hAnsi="Arial" w:cs="Arial"/>
          <w:sz w:val="17"/>
          <w:szCs w:val="17"/>
          <w:lang w:eastAsia="en-IN"/>
        </w:rPr>
        <w:t xml:space="preserve">” </w:t>
      </w:r>
      <w:r w:rsidRPr="00CA4B9E">
        <w:rPr>
          <w:rFonts w:ascii="Arial" w:hAnsi="Arial" w:cs="Arial"/>
          <w:sz w:val="17"/>
          <w:szCs w:val="17"/>
        </w:rPr>
        <w:t xml:space="preserve">CRISIL Research, </w:t>
      </w:r>
      <w:r w:rsidRPr="00CA4B9E">
        <w:rPr>
          <w:rFonts w:ascii="Arial" w:hAnsi="Arial" w:cs="Arial"/>
          <w:sz w:val="17"/>
          <w:szCs w:val="17"/>
          <w:lang w:eastAsia="en-IN"/>
        </w:rPr>
        <w:t>J</w:t>
      </w:r>
      <w:r>
        <w:rPr>
          <w:rFonts w:ascii="Arial" w:hAnsi="Arial" w:cs="Arial"/>
          <w:sz w:val="17"/>
          <w:szCs w:val="17"/>
          <w:lang w:eastAsia="en-IN"/>
        </w:rPr>
        <w:t xml:space="preserve">anuary 7, 2016, </w:t>
      </w:r>
      <w:r w:rsidRPr="00CA4B9E">
        <w:rPr>
          <w:rFonts w:ascii="Arial" w:hAnsi="Arial" w:cs="Arial"/>
          <w:sz w:val="17"/>
          <w:szCs w:val="17"/>
        </w:rPr>
        <w:t>accessed</w:t>
      </w:r>
      <w:r>
        <w:rPr>
          <w:rFonts w:ascii="Arial" w:hAnsi="Arial" w:cs="Arial"/>
          <w:sz w:val="17"/>
          <w:szCs w:val="17"/>
        </w:rPr>
        <w:t xml:space="preserve"> </w:t>
      </w:r>
      <w:r w:rsidRPr="00CA4B9E">
        <w:rPr>
          <w:rFonts w:ascii="Arial" w:hAnsi="Arial" w:cs="Arial"/>
          <w:sz w:val="17"/>
          <w:szCs w:val="17"/>
        </w:rPr>
        <w:t>September 5, 2016</w:t>
      </w:r>
      <w:r>
        <w:rPr>
          <w:rFonts w:ascii="Arial" w:hAnsi="Arial" w:cs="Arial"/>
          <w:sz w:val="17"/>
          <w:szCs w:val="17"/>
          <w:lang w:eastAsia="en-IN"/>
        </w:rPr>
        <w:t>.</w:t>
      </w:r>
    </w:p>
  </w:footnote>
  <w:footnote w:id="14">
    <w:p w14:paraId="08A174E2" w14:textId="36A9BAB0" w:rsidR="00D143CE" w:rsidRPr="00CA4B9E" w:rsidRDefault="00D143CE" w:rsidP="00D15F5A">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w:t>
      </w:r>
      <w:r w:rsidRPr="00CA4B9E">
        <w:rPr>
          <w:rFonts w:ascii="Arial" w:hAnsi="Arial" w:cs="Arial"/>
          <w:sz w:val="17"/>
          <w:szCs w:val="17"/>
          <w:lang w:val="en-IN"/>
        </w:rPr>
        <w:t>Subcritical power technology enable</w:t>
      </w:r>
      <w:r>
        <w:rPr>
          <w:rFonts w:ascii="Arial" w:hAnsi="Arial" w:cs="Arial"/>
          <w:sz w:val="17"/>
          <w:szCs w:val="17"/>
          <w:lang w:val="en-IN"/>
        </w:rPr>
        <w:t>d</w:t>
      </w:r>
      <w:r w:rsidRPr="00CA4B9E">
        <w:rPr>
          <w:rFonts w:ascii="Arial" w:hAnsi="Arial" w:cs="Arial"/>
          <w:sz w:val="17"/>
          <w:szCs w:val="17"/>
          <w:lang w:val="en-IN"/>
        </w:rPr>
        <w:t xml:space="preserve"> operational efficiency of thermal power plant</w:t>
      </w:r>
      <w:r>
        <w:rPr>
          <w:rFonts w:ascii="Arial" w:hAnsi="Arial" w:cs="Arial"/>
          <w:sz w:val="17"/>
          <w:szCs w:val="17"/>
          <w:lang w:val="en-IN"/>
        </w:rPr>
        <w:t>s</w:t>
      </w:r>
      <w:r w:rsidRPr="00CA4B9E">
        <w:rPr>
          <w:rFonts w:ascii="Arial" w:hAnsi="Arial" w:cs="Arial"/>
          <w:sz w:val="17"/>
          <w:szCs w:val="17"/>
          <w:lang w:val="en-IN"/>
        </w:rPr>
        <w:t xml:space="preserve"> at a lower level</w:t>
      </w:r>
      <w:r>
        <w:rPr>
          <w:rFonts w:ascii="Arial" w:hAnsi="Arial" w:cs="Arial"/>
          <w:sz w:val="17"/>
          <w:szCs w:val="17"/>
          <w:lang w:val="en-IN"/>
        </w:rPr>
        <w:t>—</w:t>
      </w:r>
      <w:r w:rsidRPr="00CA4B9E">
        <w:rPr>
          <w:rFonts w:ascii="Arial" w:hAnsi="Arial" w:cs="Arial"/>
          <w:sz w:val="17"/>
          <w:szCs w:val="17"/>
          <w:lang w:val="en-IN"/>
        </w:rPr>
        <w:t>say</w:t>
      </w:r>
      <w:r>
        <w:rPr>
          <w:rFonts w:ascii="Arial" w:hAnsi="Arial" w:cs="Arial"/>
          <w:sz w:val="17"/>
          <w:szCs w:val="17"/>
          <w:lang w:val="en-IN"/>
        </w:rPr>
        <w:t>,</w:t>
      </w:r>
      <w:r w:rsidRPr="00CA4B9E">
        <w:rPr>
          <w:rFonts w:ascii="Arial" w:hAnsi="Arial" w:cs="Arial"/>
          <w:sz w:val="17"/>
          <w:szCs w:val="17"/>
          <w:lang w:val="en-IN"/>
        </w:rPr>
        <w:t xml:space="preserve"> 38 per cent</w:t>
      </w:r>
      <w:r>
        <w:rPr>
          <w:rFonts w:ascii="Arial" w:hAnsi="Arial" w:cs="Arial"/>
          <w:sz w:val="17"/>
          <w:szCs w:val="17"/>
          <w:lang w:val="en-IN"/>
        </w:rPr>
        <w:t>—</w:t>
      </w:r>
      <w:r w:rsidRPr="00CA4B9E">
        <w:rPr>
          <w:rFonts w:ascii="Arial" w:hAnsi="Arial" w:cs="Arial"/>
          <w:sz w:val="17"/>
          <w:szCs w:val="17"/>
          <w:lang w:val="en-IN"/>
        </w:rPr>
        <w:t>whereas supercritical technology enable</w:t>
      </w:r>
      <w:r>
        <w:rPr>
          <w:rFonts w:ascii="Arial" w:hAnsi="Arial" w:cs="Arial"/>
          <w:sz w:val="17"/>
          <w:szCs w:val="17"/>
          <w:lang w:val="en-IN"/>
        </w:rPr>
        <w:t>d</w:t>
      </w:r>
      <w:r w:rsidRPr="00CA4B9E">
        <w:rPr>
          <w:rFonts w:ascii="Arial" w:hAnsi="Arial" w:cs="Arial"/>
          <w:sz w:val="17"/>
          <w:szCs w:val="17"/>
          <w:lang w:val="en-IN"/>
        </w:rPr>
        <w:t xml:space="preserve"> </w:t>
      </w:r>
      <w:r>
        <w:rPr>
          <w:rFonts w:ascii="Arial" w:hAnsi="Arial" w:cs="Arial"/>
          <w:sz w:val="17"/>
          <w:szCs w:val="17"/>
          <w:lang w:val="en-IN"/>
        </w:rPr>
        <w:t xml:space="preserve">this process </w:t>
      </w:r>
      <w:r w:rsidRPr="00CA4B9E">
        <w:rPr>
          <w:rFonts w:ascii="Arial" w:hAnsi="Arial" w:cs="Arial"/>
          <w:sz w:val="17"/>
          <w:szCs w:val="17"/>
          <w:lang w:val="en-IN"/>
        </w:rPr>
        <w:t>at a higher level of efficiency</w:t>
      </w:r>
      <w:r>
        <w:rPr>
          <w:rFonts w:ascii="Arial" w:hAnsi="Arial" w:cs="Arial"/>
          <w:sz w:val="17"/>
          <w:szCs w:val="17"/>
          <w:lang w:val="en-IN"/>
        </w:rPr>
        <w:t>, that is,</w:t>
      </w:r>
      <w:r w:rsidRPr="00CA4B9E">
        <w:rPr>
          <w:rFonts w:ascii="Arial" w:hAnsi="Arial" w:cs="Arial"/>
          <w:sz w:val="17"/>
          <w:szCs w:val="17"/>
          <w:lang w:val="en-IN"/>
        </w:rPr>
        <w:t xml:space="preserve"> 42 per cent. Higher efficiency </w:t>
      </w:r>
      <w:r>
        <w:rPr>
          <w:rFonts w:ascii="Arial" w:hAnsi="Arial" w:cs="Arial"/>
          <w:sz w:val="17"/>
          <w:szCs w:val="17"/>
          <w:lang w:val="en-IN"/>
        </w:rPr>
        <w:t xml:space="preserve">rates </w:t>
      </w:r>
      <w:r w:rsidRPr="00CA4B9E">
        <w:rPr>
          <w:rFonts w:ascii="Arial" w:hAnsi="Arial" w:cs="Arial"/>
          <w:sz w:val="17"/>
          <w:szCs w:val="17"/>
          <w:lang w:val="en-IN"/>
        </w:rPr>
        <w:t xml:space="preserve">would result in </w:t>
      </w:r>
      <w:r>
        <w:rPr>
          <w:rFonts w:ascii="Arial" w:hAnsi="Arial" w:cs="Arial"/>
          <w:sz w:val="17"/>
          <w:szCs w:val="17"/>
          <w:lang w:val="en-IN"/>
        </w:rPr>
        <w:t xml:space="preserve">a </w:t>
      </w:r>
      <w:r w:rsidRPr="00CA4B9E">
        <w:rPr>
          <w:rFonts w:ascii="Arial" w:hAnsi="Arial" w:cs="Arial"/>
          <w:sz w:val="17"/>
          <w:szCs w:val="17"/>
          <w:lang w:val="en-IN"/>
        </w:rPr>
        <w:t>lower cost per unit of power generated and lower carbon emissions.</w:t>
      </w:r>
      <w:r>
        <w:rPr>
          <w:rFonts w:ascii="Arial" w:hAnsi="Arial" w:cs="Arial"/>
          <w:sz w:val="17"/>
          <w:szCs w:val="17"/>
          <w:lang w:val="en-IN"/>
        </w:rPr>
        <w:t xml:space="preserve"> </w:t>
      </w:r>
      <w:r w:rsidRPr="00CA4B9E">
        <w:rPr>
          <w:rFonts w:ascii="Arial" w:hAnsi="Arial" w:cs="Arial"/>
          <w:sz w:val="17"/>
          <w:szCs w:val="17"/>
          <w:lang w:val="en-IN"/>
        </w:rPr>
        <w:t>Source</w:t>
      </w:r>
      <w:r w:rsidRPr="00112973">
        <w:rPr>
          <w:rFonts w:ascii="Arial" w:hAnsi="Arial" w:cs="Arial"/>
          <w:sz w:val="17"/>
          <w:szCs w:val="17"/>
          <w:lang w:val="en-IN"/>
        </w:rPr>
        <w:t>:</w:t>
      </w:r>
      <w:r>
        <w:rPr>
          <w:rFonts w:ascii="Arial" w:hAnsi="Arial" w:cs="Arial"/>
          <w:sz w:val="17"/>
          <w:szCs w:val="17"/>
          <w:lang w:val="en-IN"/>
        </w:rPr>
        <w:t xml:space="preserve"> </w:t>
      </w:r>
      <w:r w:rsidRPr="00312C4B">
        <w:rPr>
          <w:rFonts w:ascii="Arial" w:hAnsi="Arial" w:cs="Arial"/>
          <w:sz w:val="17"/>
          <w:szCs w:val="17"/>
        </w:rPr>
        <w:t>John Zactruba</w:t>
      </w:r>
      <w:r>
        <w:rPr>
          <w:rFonts w:ascii="Arial" w:hAnsi="Arial" w:cs="Arial"/>
          <w:sz w:val="17"/>
          <w:szCs w:val="17"/>
          <w:lang w:val="en-IN"/>
        </w:rPr>
        <w:t xml:space="preserve">, “How Are Supercritical Boilers Different from Subcritical Boilers?” </w:t>
      </w:r>
      <w:r w:rsidRPr="00CA4B9E">
        <w:rPr>
          <w:rFonts w:ascii="Arial" w:hAnsi="Arial" w:cs="Arial"/>
          <w:sz w:val="17"/>
          <w:szCs w:val="17"/>
          <w:lang w:val="en-IN"/>
        </w:rPr>
        <w:t xml:space="preserve">Bright Hub Engineering, </w:t>
      </w:r>
      <w:r>
        <w:rPr>
          <w:rFonts w:ascii="Arial" w:hAnsi="Arial" w:cs="Arial"/>
          <w:sz w:val="17"/>
          <w:szCs w:val="17"/>
          <w:lang w:val="en-IN"/>
        </w:rPr>
        <w:t xml:space="preserve">March 5, 2010, </w:t>
      </w:r>
      <w:r w:rsidRPr="00CA4B9E">
        <w:rPr>
          <w:rFonts w:ascii="Arial" w:hAnsi="Arial" w:cs="Arial"/>
          <w:sz w:val="17"/>
          <w:szCs w:val="17"/>
          <w:lang w:val="en-IN"/>
        </w:rPr>
        <w:t>accessed</w:t>
      </w:r>
      <w:r>
        <w:rPr>
          <w:rFonts w:ascii="Arial" w:hAnsi="Arial" w:cs="Arial"/>
          <w:sz w:val="17"/>
          <w:szCs w:val="17"/>
          <w:lang w:val="en-IN"/>
        </w:rPr>
        <w:t xml:space="preserve"> </w:t>
      </w:r>
      <w:r w:rsidRPr="00CA4B9E">
        <w:rPr>
          <w:rFonts w:ascii="Arial" w:hAnsi="Arial" w:cs="Arial"/>
          <w:sz w:val="17"/>
          <w:szCs w:val="17"/>
          <w:lang w:val="en-IN"/>
        </w:rPr>
        <w:t>September 6, 2016</w:t>
      </w:r>
      <w:r>
        <w:rPr>
          <w:rFonts w:ascii="Arial" w:hAnsi="Arial" w:cs="Arial"/>
          <w:sz w:val="17"/>
          <w:szCs w:val="17"/>
          <w:lang w:val="en-IN"/>
        </w:rPr>
        <w:t xml:space="preserve">, </w:t>
      </w:r>
      <w:r w:rsidRPr="00B86C94">
        <w:rPr>
          <w:rFonts w:ascii="Arial" w:hAnsi="Arial" w:cs="Arial"/>
          <w:sz w:val="17"/>
          <w:szCs w:val="17"/>
          <w:lang w:val="en-IN"/>
        </w:rPr>
        <w:t>www.brighthubengineering.com/power-plants/32896-how-are-supercritical-boilers-different-from-subcritical-boilers/</w:t>
      </w:r>
      <w:r w:rsidRPr="00CA4B9E">
        <w:rPr>
          <w:rFonts w:ascii="Arial" w:hAnsi="Arial" w:cs="Arial"/>
          <w:sz w:val="17"/>
          <w:szCs w:val="17"/>
          <w:lang w:val="en-IN"/>
        </w:rPr>
        <w:t>.</w:t>
      </w:r>
    </w:p>
  </w:footnote>
  <w:footnote w:id="15">
    <w:p w14:paraId="350DA6AB" w14:textId="4B109BFB" w:rsidR="00D143CE" w:rsidRPr="005953EB" w:rsidRDefault="00D143CE" w:rsidP="00D15F5A">
      <w:pPr>
        <w:pStyle w:val="Footnote"/>
        <w:rPr>
          <w:lang w:val="en-IN"/>
        </w:rPr>
      </w:pPr>
      <w:r>
        <w:rPr>
          <w:rStyle w:val="FootnoteReference"/>
        </w:rPr>
        <w:footnoteRef/>
      </w:r>
      <w:r>
        <w:t xml:space="preserve"> The balance of plants </w:t>
      </w:r>
      <w:r w:rsidRPr="005B72AD">
        <w:rPr>
          <w:lang w:val="en-GB"/>
        </w:rPr>
        <w:t>include</w:t>
      </w:r>
      <w:r>
        <w:rPr>
          <w:lang w:val="en-GB"/>
        </w:rPr>
        <w:t>d</w:t>
      </w:r>
      <w:r w:rsidRPr="005B72AD">
        <w:rPr>
          <w:lang w:val="en-GB"/>
        </w:rPr>
        <w:t xml:space="preserve"> coal handling plant, ash handling plant, condenser, cooling tower, boiler feed pumps, and civil works like preparation of project sites, construction of buildings, chimney, switchyard structure, ash pond, roads, railway sidings, culverts, drainage, etc.</w:t>
      </w:r>
    </w:p>
  </w:footnote>
  <w:footnote w:id="16">
    <w:p w14:paraId="67BFBA2C" w14:textId="69A02B16" w:rsidR="00D143CE" w:rsidRPr="00CA4B9E" w:rsidRDefault="00D143CE" w:rsidP="00D15F5A">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“Plant load factor” (</w:t>
      </w:r>
      <w:r w:rsidRPr="00CA4B9E">
        <w:rPr>
          <w:rFonts w:ascii="Arial" w:hAnsi="Arial" w:cs="Arial"/>
          <w:sz w:val="17"/>
          <w:szCs w:val="17"/>
          <w:lang w:val="en-IN"/>
        </w:rPr>
        <w:t>PLF</w:t>
      </w:r>
      <w:r>
        <w:rPr>
          <w:rFonts w:ascii="Arial" w:hAnsi="Arial" w:cs="Arial"/>
          <w:sz w:val="17"/>
          <w:szCs w:val="17"/>
          <w:lang w:val="en-IN"/>
        </w:rPr>
        <w:t>)</w:t>
      </w:r>
      <w:r w:rsidRPr="00CA4B9E">
        <w:rPr>
          <w:rFonts w:ascii="Arial" w:hAnsi="Arial" w:cs="Arial"/>
          <w:sz w:val="17"/>
          <w:szCs w:val="17"/>
          <w:lang w:val="en-IN"/>
        </w:rPr>
        <w:t xml:space="preserve"> </w:t>
      </w:r>
      <w:r>
        <w:rPr>
          <w:rFonts w:ascii="Arial" w:hAnsi="Arial" w:cs="Arial"/>
          <w:sz w:val="17"/>
          <w:szCs w:val="17"/>
          <w:lang w:val="en-IN"/>
        </w:rPr>
        <w:t>wa</w:t>
      </w:r>
      <w:r w:rsidRPr="00CA4B9E">
        <w:rPr>
          <w:rFonts w:ascii="Arial" w:hAnsi="Arial" w:cs="Arial"/>
          <w:sz w:val="17"/>
          <w:szCs w:val="17"/>
          <w:lang w:val="en-IN"/>
        </w:rPr>
        <w:t xml:space="preserve">s a measure of </w:t>
      </w:r>
      <w:r>
        <w:rPr>
          <w:rFonts w:ascii="Arial" w:hAnsi="Arial" w:cs="Arial"/>
          <w:sz w:val="17"/>
          <w:szCs w:val="17"/>
          <w:lang w:val="en-IN"/>
        </w:rPr>
        <w:t xml:space="preserve">the </w:t>
      </w:r>
      <w:r w:rsidRPr="00CA4B9E">
        <w:rPr>
          <w:rFonts w:ascii="Arial" w:hAnsi="Arial" w:cs="Arial"/>
          <w:sz w:val="17"/>
          <w:szCs w:val="17"/>
          <w:lang w:val="en-IN"/>
        </w:rPr>
        <w:t xml:space="preserve">operating performance of </w:t>
      </w:r>
      <w:r>
        <w:rPr>
          <w:rFonts w:ascii="Arial" w:hAnsi="Arial" w:cs="Arial"/>
          <w:sz w:val="17"/>
          <w:szCs w:val="17"/>
          <w:lang w:val="en-IN"/>
        </w:rPr>
        <w:t>a</w:t>
      </w:r>
      <w:r w:rsidRPr="00CA4B9E">
        <w:rPr>
          <w:rFonts w:ascii="Arial" w:hAnsi="Arial" w:cs="Arial"/>
          <w:sz w:val="17"/>
          <w:szCs w:val="17"/>
          <w:lang w:val="en-IN"/>
        </w:rPr>
        <w:t xml:space="preserve"> power plant</w:t>
      </w:r>
      <w:r>
        <w:rPr>
          <w:rFonts w:ascii="Arial" w:hAnsi="Arial" w:cs="Arial"/>
          <w:sz w:val="17"/>
          <w:szCs w:val="17"/>
          <w:lang w:val="en-IN"/>
        </w:rPr>
        <w:t>,</w:t>
      </w:r>
      <w:r w:rsidRPr="00CA4B9E">
        <w:rPr>
          <w:rFonts w:ascii="Arial" w:hAnsi="Arial" w:cs="Arial"/>
          <w:sz w:val="17"/>
          <w:szCs w:val="17"/>
          <w:lang w:val="en-IN"/>
        </w:rPr>
        <w:t xml:space="preserve"> expressed in percentage terms</w:t>
      </w:r>
      <w:r>
        <w:rPr>
          <w:rFonts w:ascii="Arial" w:hAnsi="Arial" w:cs="Arial"/>
          <w:sz w:val="17"/>
          <w:szCs w:val="17"/>
          <w:lang w:val="en-IN"/>
        </w:rPr>
        <w:t>. A</w:t>
      </w:r>
      <w:r w:rsidRPr="00CA4B9E">
        <w:rPr>
          <w:rFonts w:ascii="Arial" w:hAnsi="Arial" w:cs="Arial"/>
          <w:sz w:val="17"/>
          <w:szCs w:val="17"/>
          <w:lang w:val="en-IN"/>
        </w:rPr>
        <w:t xml:space="preserve"> PLF </w:t>
      </w:r>
      <w:r>
        <w:rPr>
          <w:rFonts w:ascii="Arial" w:hAnsi="Arial" w:cs="Arial"/>
          <w:sz w:val="17"/>
          <w:szCs w:val="17"/>
          <w:lang w:val="en-IN"/>
        </w:rPr>
        <w:t>of</w:t>
      </w:r>
      <w:r w:rsidRPr="00CA4B9E">
        <w:rPr>
          <w:rFonts w:ascii="Arial" w:hAnsi="Arial" w:cs="Arial"/>
          <w:sz w:val="17"/>
          <w:szCs w:val="17"/>
          <w:lang w:val="en-IN"/>
        </w:rPr>
        <w:t xml:space="preserve"> 100 per cent</w:t>
      </w:r>
      <w:r>
        <w:rPr>
          <w:rFonts w:ascii="Arial" w:hAnsi="Arial" w:cs="Arial"/>
          <w:sz w:val="17"/>
          <w:szCs w:val="17"/>
          <w:lang w:val="en-IN"/>
        </w:rPr>
        <w:t xml:space="preserve"> </w:t>
      </w:r>
      <w:r w:rsidRPr="00CA4B9E">
        <w:rPr>
          <w:rFonts w:ascii="Arial" w:hAnsi="Arial" w:cs="Arial"/>
          <w:sz w:val="17"/>
          <w:szCs w:val="17"/>
          <w:lang w:val="en-IN"/>
        </w:rPr>
        <w:t>implie</w:t>
      </w:r>
      <w:r>
        <w:rPr>
          <w:rFonts w:ascii="Arial" w:hAnsi="Arial" w:cs="Arial"/>
          <w:sz w:val="17"/>
          <w:szCs w:val="17"/>
          <w:lang w:val="en-IN"/>
        </w:rPr>
        <w:t>d</w:t>
      </w:r>
      <w:r w:rsidRPr="00CA4B9E">
        <w:rPr>
          <w:rFonts w:ascii="Arial" w:hAnsi="Arial" w:cs="Arial"/>
          <w:sz w:val="17"/>
          <w:szCs w:val="17"/>
          <w:lang w:val="en-IN"/>
        </w:rPr>
        <w:t xml:space="preserve"> that the plant </w:t>
      </w:r>
      <w:r>
        <w:rPr>
          <w:rFonts w:ascii="Arial" w:hAnsi="Arial" w:cs="Arial"/>
          <w:sz w:val="17"/>
          <w:szCs w:val="17"/>
          <w:lang w:val="en-IN"/>
        </w:rPr>
        <w:t>wa</w:t>
      </w:r>
      <w:r w:rsidRPr="00CA4B9E">
        <w:rPr>
          <w:rFonts w:ascii="Arial" w:hAnsi="Arial" w:cs="Arial"/>
          <w:sz w:val="17"/>
          <w:szCs w:val="17"/>
          <w:lang w:val="en-IN"/>
        </w:rPr>
        <w:t xml:space="preserve">s operating at its full installed capacity. Source: </w:t>
      </w:r>
      <w:r>
        <w:rPr>
          <w:rFonts w:ascii="Arial" w:hAnsi="Arial" w:cs="Arial"/>
          <w:sz w:val="17"/>
          <w:szCs w:val="17"/>
          <w:lang w:val="en-IN"/>
        </w:rPr>
        <w:t xml:space="preserve">V.S. </w:t>
      </w:r>
      <w:r w:rsidRPr="00CA4B9E">
        <w:rPr>
          <w:rFonts w:ascii="Arial" w:hAnsi="Arial" w:cs="Arial"/>
          <w:sz w:val="17"/>
          <w:szCs w:val="17"/>
          <w:lang w:val="en-IN"/>
        </w:rPr>
        <w:t>Motghare</w:t>
      </w:r>
      <w:r>
        <w:rPr>
          <w:rFonts w:ascii="Arial" w:hAnsi="Arial" w:cs="Arial"/>
          <w:sz w:val="17"/>
          <w:szCs w:val="17"/>
          <w:lang w:val="en-IN"/>
        </w:rPr>
        <w:t xml:space="preserve"> and R.K.</w:t>
      </w:r>
      <w:r w:rsidRPr="00CA4B9E">
        <w:rPr>
          <w:rFonts w:ascii="Arial" w:hAnsi="Arial" w:cs="Arial"/>
          <w:sz w:val="17"/>
          <w:szCs w:val="17"/>
          <w:lang w:val="en-IN"/>
        </w:rPr>
        <w:t xml:space="preserve"> Cham</w:t>
      </w:r>
      <w:r>
        <w:rPr>
          <w:rFonts w:ascii="Arial" w:hAnsi="Arial" w:cs="Arial"/>
          <w:sz w:val="17"/>
          <w:szCs w:val="17"/>
          <w:lang w:val="en-IN"/>
        </w:rPr>
        <w:t>,</w:t>
      </w:r>
      <w:r w:rsidRPr="00CA4B9E">
        <w:rPr>
          <w:rFonts w:ascii="Arial" w:hAnsi="Arial" w:cs="Arial"/>
          <w:sz w:val="17"/>
          <w:szCs w:val="17"/>
          <w:lang w:val="en-IN"/>
        </w:rPr>
        <w:t xml:space="preserve"> “Plant Load Factor – Key </w:t>
      </w:r>
      <w:r>
        <w:rPr>
          <w:rFonts w:ascii="Arial" w:hAnsi="Arial" w:cs="Arial"/>
          <w:sz w:val="17"/>
          <w:szCs w:val="17"/>
          <w:lang w:val="en-IN"/>
        </w:rPr>
        <w:t>P</w:t>
      </w:r>
      <w:r w:rsidRPr="00CA4B9E">
        <w:rPr>
          <w:rFonts w:ascii="Arial" w:hAnsi="Arial" w:cs="Arial"/>
          <w:sz w:val="17"/>
          <w:szCs w:val="17"/>
          <w:lang w:val="en-IN"/>
        </w:rPr>
        <w:t xml:space="preserve">arameter for </w:t>
      </w:r>
      <w:r>
        <w:rPr>
          <w:rFonts w:ascii="Arial" w:hAnsi="Arial" w:cs="Arial"/>
          <w:sz w:val="17"/>
          <w:szCs w:val="17"/>
          <w:lang w:val="en-IN"/>
        </w:rPr>
        <w:t>E</w:t>
      </w:r>
      <w:r w:rsidRPr="00CA4B9E">
        <w:rPr>
          <w:rFonts w:ascii="Arial" w:hAnsi="Arial" w:cs="Arial"/>
          <w:sz w:val="17"/>
          <w:szCs w:val="17"/>
          <w:lang w:val="en-IN"/>
        </w:rPr>
        <w:t xml:space="preserve">valuation of </w:t>
      </w:r>
      <w:r>
        <w:rPr>
          <w:rFonts w:ascii="Arial" w:hAnsi="Arial" w:cs="Arial"/>
          <w:sz w:val="17"/>
          <w:szCs w:val="17"/>
          <w:lang w:val="en-IN"/>
        </w:rPr>
        <w:t>P</w:t>
      </w:r>
      <w:r w:rsidRPr="00CA4B9E">
        <w:rPr>
          <w:rFonts w:ascii="Arial" w:hAnsi="Arial" w:cs="Arial"/>
          <w:sz w:val="17"/>
          <w:szCs w:val="17"/>
          <w:lang w:val="en-IN"/>
        </w:rPr>
        <w:t xml:space="preserve">erformance of </w:t>
      </w:r>
      <w:r>
        <w:rPr>
          <w:rFonts w:ascii="Arial" w:hAnsi="Arial" w:cs="Arial"/>
          <w:sz w:val="17"/>
          <w:szCs w:val="17"/>
          <w:lang w:val="en-IN"/>
        </w:rPr>
        <w:t>T</w:t>
      </w:r>
      <w:r w:rsidRPr="00CA4B9E">
        <w:rPr>
          <w:rFonts w:ascii="Arial" w:hAnsi="Arial" w:cs="Arial"/>
          <w:sz w:val="17"/>
          <w:szCs w:val="17"/>
          <w:lang w:val="en-IN"/>
        </w:rPr>
        <w:t xml:space="preserve">hermal </w:t>
      </w:r>
      <w:r>
        <w:rPr>
          <w:rFonts w:ascii="Arial" w:hAnsi="Arial" w:cs="Arial"/>
          <w:sz w:val="17"/>
          <w:szCs w:val="17"/>
          <w:lang w:val="en-IN"/>
        </w:rPr>
        <w:t>P</w:t>
      </w:r>
      <w:r w:rsidRPr="00CA4B9E">
        <w:rPr>
          <w:rFonts w:ascii="Arial" w:hAnsi="Arial" w:cs="Arial"/>
          <w:sz w:val="17"/>
          <w:szCs w:val="17"/>
          <w:lang w:val="en-IN"/>
        </w:rPr>
        <w:t xml:space="preserve">ower </w:t>
      </w:r>
      <w:r>
        <w:rPr>
          <w:rFonts w:ascii="Arial" w:hAnsi="Arial" w:cs="Arial"/>
          <w:sz w:val="17"/>
          <w:szCs w:val="17"/>
          <w:lang w:val="en-IN"/>
        </w:rPr>
        <w:t>P</w:t>
      </w:r>
      <w:r w:rsidRPr="00CA4B9E">
        <w:rPr>
          <w:rFonts w:ascii="Arial" w:hAnsi="Arial" w:cs="Arial"/>
          <w:sz w:val="17"/>
          <w:szCs w:val="17"/>
          <w:lang w:val="en-IN"/>
        </w:rPr>
        <w:t>lant</w:t>
      </w:r>
      <w:r>
        <w:rPr>
          <w:rFonts w:ascii="Arial" w:hAnsi="Arial" w:cs="Arial"/>
          <w:sz w:val="17"/>
          <w:szCs w:val="17"/>
          <w:lang w:val="en-IN"/>
        </w:rPr>
        <w:t>,</w:t>
      </w:r>
      <w:r w:rsidRPr="00CA4B9E">
        <w:rPr>
          <w:rFonts w:ascii="Arial" w:hAnsi="Arial" w:cs="Arial"/>
          <w:sz w:val="17"/>
          <w:szCs w:val="17"/>
          <w:lang w:val="en-IN"/>
        </w:rPr>
        <w:t xml:space="preserve">” </w:t>
      </w:r>
      <w:r w:rsidRPr="00312C4B">
        <w:rPr>
          <w:rFonts w:ascii="Arial" w:hAnsi="Arial" w:cs="Arial"/>
          <w:i/>
          <w:sz w:val="17"/>
          <w:szCs w:val="17"/>
          <w:lang w:val="en-IN"/>
        </w:rPr>
        <w:t>International Journal of Scientific Research and Management</w:t>
      </w:r>
      <w:r>
        <w:rPr>
          <w:rFonts w:ascii="Arial" w:hAnsi="Arial" w:cs="Arial"/>
          <w:i/>
          <w:sz w:val="17"/>
          <w:szCs w:val="17"/>
          <w:lang w:val="en-IN"/>
        </w:rPr>
        <w:t xml:space="preserve"> </w:t>
      </w:r>
      <w:r w:rsidRPr="00CA4B9E">
        <w:rPr>
          <w:rFonts w:ascii="Arial" w:hAnsi="Arial" w:cs="Arial"/>
          <w:sz w:val="17"/>
          <w:szCs w:val="17"/>
          <w:lang w:val="en-IN"/>
        </w:rPr>
        <w:t>3</w:t>
      </w:r>
      <w:r>
        <w:rPr>
          <w:rFonts w:ascii="Arial" w:hAnsi="Arial" w:cs="Arial"/>
          <w:sz w:val="17"/>
          <w:szCs w:val="17"/>
          <w:lang w:val="en-IN"/>
        </w:rPr>
        <w:t xml:space="preserve">, no. </w:t>
      </w:r>
      <w:r w:rsidRPr="00CA4B9E">
        <w:rPr>
          <w:rFonts w:ascii="Arial" w:hAnsi="Arial" w:cs="Arial"/>
          <w:sz w:val="17"/>
          <w:szCs w:val="17"/>
          <w:lang w:val="en-IN"/>
        </w:rPr>
        <w:t>1, accessed</w:t>
      </w:r>
      <w:r>
        <w:rPr>
          <w:rFonts w:ascii="Arial" w:hAnsi="Arial" w:cs="Arial"/>
          <w:sz w:val="17"/>
          <w:szCs w:val="17"/>
          <w:lang w:val="en-IN"/>
        </w:rPr>
        <w:t xml:space="preserve"> </w:t>
      </w:r>
      <w:r w:rsidRPr="00CA4B9E">
        <w:rPr>
          <w:rFonts w:ascii="Arial" w:hAnsi="Arial" w:cs="Arial"/>
          <w:sz w:val="17"/>
          <w:szCs w:val="17"/>
          <w:lang w:val="en-IN"/>
        </w:rPr>
        <w:t>October 1, 2016</w:t>
      </w:r>
      <w:r>
        <w:rPr>
          <w:rFonts w:ascii="Arial" w:hAnsi="Arial" w:cs="Arial"/>
          <w:sz w:val="17"/>
          <w:szCs w:val="17"/>
          <w:lang w:val="en-IN"/>
        </w:rPr>
        <w:t xml:space="preserve">, </w:t>
      </w:r>
      <w:r w:rsidRPr="00C46E2E">
        <w:rPr>
          <w:rFonts w:ascii="Arial" w:hAnsi="Arial" w:cs="Arial"/>
          <w:sz w:val="17"/>
          <w:szCs w:val="17"/>
          <w:lang w:val="en-IN"/>
        </w:rPr>
        <w:t>www.ijsrm.in/v3-i1/6%20ijsrm.pdf</w:t>
      </w:r>
      <w:r w:rsidRPr="00CA4B9E">
        <w:rPr>
          <w:rFonts w:ascii="Arial" w:hAnsi="Arial" w:cs="Arial"/>
          <w:sz w:val="17"/>
          <w:szCs w:val="17"/>
          <w:lang w:val="en-IN"/>
        </w:rPr>
        <w:t>.</w:t>
      </w:r>
    </w:p>
  </w:footnote>
  <w:footnote w:id="17">
    <w:p w14:paraId="415611D6" w14:textId="1CAF2706" w:rsidR="00D143CE" w:rsidRPr="00CA4B9E" w:rsidRDefault="00D143CE" w:rsidP="00D15F5A">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A m</w:t>
      </w:r>
      <w:r w:rsidRPr="00CA4B9E">
        <w:rPr>
          <w:rFonts w:ascii="Arial" w:hAnsi="Arial" w:cs="Arial"/>
          <w:sz w:val="17"/>
          <w:szCs w:val="17"/>
          <w:lang w:val="en-IN"/>
        </w:rPr>
        <w:t>inimum take</w:t>
      </w:r>
      <w:r>
        <w:rPr>
          <w:rFonts w:ascii="Arial" w:hAnsi="Arial" w:cs="Arial"/>
          <w:sz w:val="17"/>
          <w:szCs w:val="17"/>
          <w:lang w:val="en-IN"/>
        </w:rPr>
        <w:t>-</w:t>
      </w:r>
      <w:r w:rsidRPr="00CA4B9E">
        <w:rPr>
          <w:rFonts w:ascii="Arial" w:hAnsi="Arial" w:cs="Arial"/>
          <w:sz w:val="17"/>
          <w:szCs w:val="17"/>
          <w:lang w:val="en-IN"/>
        </w:rPr>
        <w:t>or</w:t>
      </w:r>
      <w:r>
        <w:rPr>
          <w:rFonts w:ascii="Arial" w:hAnsi="Arial" w:cs="Arial"/>
          <w:sz w:val="17"/>
          <w:szCs w:val="17"/>
          <w:lang w:val="en-IN"/>
        </w:rPr>
        <w:t>-</w:t>
      </w:r>
      <w:r w:rsidRPr="00CA4B9E">
        <w:rPr>
          <w:rFonts w:ascii="Arial" w:hAnsi="Arial" w:cs="Arial"/>
          <w:sz w:val="17"/>
          <w:szCs w:val="17"/>
          <w:lang w:val="en-IN"/>
        </w:rPr>
        <w:t>pay clause</w:t>
      </w:r>
      <w:r>
        <w:rPr>
          <w:rFonts w:ascii="Arial" w:hAnsi="Arial" w:cs="Arial"/>
          <w:sz w:val="17"/>
          <w:szCs w:val="17"/>
          <w:lang w:val="en-IN"/>
        </w:rPr>
        <w:t xml:space="preserve"> would</w:t>
      </w:r>
      <w:r w:rsidRPr="00CA4B9E">
        <w:rPr>
          <w:rFonts w:ascii="Arial" w:hAnsi="Arial" w:cs="Arial"/>
          <w:sz w:val="17"/>
          <w:szCs w:val="17"/>
          <w:lang w:val="en-IN"/>
        </w:rPr>
        <w:t xml:space="preserve"> ensure that R</w:t>
      </w:r>
      <w:r>
        <w:rPr>
          <w:rFonts w:ascii="Arial" w:hAnsi="Arial" w:cs="Arial"/>
          <w:sz w:val="17"/>
          <w:szCs w:val="17"/>
          <w:lang w:val="en-IN"/>
        </w:rPr>
        <w:t xml:space="preserve">eliance </w:t>
      </w:r>
      <w:r w:rsidRPr="00CA4B9E">
        <w:rPr>
          <w:rFonts w:ascii="Arial" w:hAnsi="Arial" w:cs="Arial"/>
          <w:sz w:val="17"/>
          <w:szCs w:val="17"/>
          <w:lang w:val="en-IN"/>
        </w:rPr>
        <w:t>E</w:t>
      </w:r>
      <w:r>
        <w:rPr>
          <w:rFonts w:ascii="Arial" w:hAnsi="Arial" w:cs="Arial"/>
          <w:sz w:val="17"/>
          <w:szCs w:val="17"/>
          <w:lang w:val="en-IN"/>
        </w:rPr>
        <w:t>nergy</w:t>
      </w:r>
      <w:r w:rsidRPr="00CA4B9E">
        <w:rPr>
          <w:rFonts w:ascii="Arial" w:hAnsi="Arial" w:cs="Arial"/>
          <w:sz w:val="17"/>
          <w:szCs w:val="17"/>
          <w:lang w:val="en-IN"/>
        </w:rPr>
        <w:t xml:space="preserve"> had to buy a certain quantum of power</w:t>
      </w:r>
      <w:r>
        <w:rPr>
          <w:rFonts w:ascii="Arial" w:hAnsi="Arial" w:cs="Arial"/>
          <w:sz w:val="17"/>
          <w:szCs w:val="17"/>
          <w:lang w:val="en-IN"/>
        </w:rPr>
        <w:t>,</w:t>
      </w:r>
      <w:r w:rsidRPr="00CA4B9E">
        <w:rPr>
          <w:rFonts w:ascii="Arial" w:hAnsi="Arial" w:cs="Arial"/>
          <w:sz w:val="17"/>
          <w:szCs w:val="17"/>
          <w:lang w:val="en-IN"/>
        </w:rPr>
        <w:t xml:space="preserve"> as per the contract; otherwise, it had to pay specified compensation to NBEIL for the shortfall in off-take. Source: Company documents</w:t>
      </w:r>
      <w:r>
        <w:rPr>
          <w:rFonts w:ascii="Arial" w:hAnsi="Arial" w:cs="Arial"/>
          <w:sz w:val="17"/>
          <w:szCs w:val="17"/>
          <w:lang w:val="en-IN"/>
        </w:rPr>
        <w:t>.</w:t>
      </w:r>
    </w:p>
  </w:footnote>
  <w:footnote w:id="18">
    <w:p w14:paraId="1DF70F25" w14:textId="77777777" w:rsidR="00D143CE" w:rsidRPr="00CA4B9E" w:rsidRDefault="00D143CE" w:rsidP="00242175">
      <w:pPr>
        <w:pStyle w:val="FootnoteText"/>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A p</w:t>
      </w:r>
      <w:r w:rsidRPr="00CA4B9E">
        <w:rPr>
          <w:rFonts w:ascii="Arial" w:hAnsi="Arial" w:cs="Arial"/>
          <w:sz w:val="17"/>
          <w:szCs w:val="17"/>
          <w:lang w:val="en-IN"/>
        </w:rPr>
        <w:t xml:space="preserve">ayment security mechanism </w:t>
      </w:r>
      <w:r>
        <w:rPr>
          <w:rFonts w:ascii="Arial" w:hAnsi="Arial" w:cs="Arial"/>
          <w:sz w:val="17"/>
          <w:szCs w:val="17"/>
          <w:lang w:val="en-IN"/>
        </w:rPr>
        <w:t xml:space="preserve">would </w:t>
      </w:r>
      <w:r w:rsidRPr="00CA4B9E">
        <w:rPr>
          <w:rFonts w:ascii="Arial" w:hAnsi="Arial" w:cs="Arial"/>
          <w:sz w:val="17"/>
          <w:szCs w:val="17"/>
          <w:lang w:val="en-IN"/>
        </w:rPr>
        <w:t>ensure that R</w:t>
      </w:r>
      <w:r>
        <w:rPr>
          <w:rFonts w:ascii="Arial" w:hAnsi="Arial" w:cs="Arial"/>
          <w:sz w:val="17"/>
          <w:szCs w:val="17"/>
          <w:lang w:val="en-IN"/>
        </w:rPr>
        <w:t xml:space="preserve">eliance </w:t>
      </w:r>
      <w:r w:rsidRPr="00CA4B9E">
        <w:rPr>
          <w:rFonts w:ascii="Arial" w:hAnsi="Arial" w:cs="Arial"/>
          <w:sz w:val="17"/>
          <w:szCs w:val="17"/>
          <w:lang w:val="en-IN"/>
        </w:rPr>
        <w:t>E</w:t>
      </w:r>
      <w:r>
        <w:rPr>
          <w:rFonts w:ascii="Arial" w:hAnsi="Arial" w:cs="Arial"/>
          <w:sz w:val="17"/>
          <w:szCs w:val="17"/>
          <w:lang w:val="en-IN"/>
        </w:rPr>
        <w:t>nergy</w:t>
      </w:r>
      <w:r w:rsidRPr="00CA4B9E">
        <w:rPr>
          <w:rFonts w:ascii="Arial" w:hAnsi="Arial" w:cs="Arial"/>
          <w:sz w:val="17"/>
          <w:szCs w:val="17"/>
          <w:lang w:val="en-IN"/>
        </w:rPr>
        <w:t xml:space="preserve"> would provide</w:t>
      </w:r>
      <w:r>
        <w:rPr>
          <w:rFonts w:ascii="Arial" w:hAnsi="Arial" w:cs="Arial"/>
          <w:sz w:val="17"/>
          <w:szCs w:val="17"/>
          <w:lang w:val="en-IN"/>
        </w:rPr>
        <w:t xml:space="preserve"> an</w:t>
      </w:r>
      <w:r w:rsidRPr="00CA4B9E">
        <w:rPr>
          <w:rFonts w:ascii="Arial" w:hAnsi="Arial" w:cs="Arial"/>
          <w:sz w:val="17"/>
          <w:szCs w:val="17"/>
          <w:lang w:val="en-IN"/>
        </w:rPr>
        <w:t xml:space="preserve"> irrevocable letter of credit in favour of NBEIL equivalent to 100 per cent of 18 days’ peak billing of contracted power off-take. Source: Company documents</w:t>
      </w:r>
      <w:r>
        <w:rPr>
          <w:rFonts w:ascii="Arial" w:hAnsi="Arial" w:cs="Arial"/>
          <w:sz w:val="17"/>
          <w:szCs w:val="17"/>
          <w:lang w:val="en-IN"/>
        </w:rPr>
        <w:t>.</w:t>
      </w:r>
    </w:p>
  </w:footnote>
  <w:footnote w:id="19">
    <w:p w14:paraId="2A0CAE19" w14:textId="61E91E84" w:rsidR="00D143CE" w:rsidRPr="00CA4B9E" w:rsidRDefault="00D143CE" w:rsidP="00D15F5A">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w:t>
      </w:r>
      <w:r w:rsidRPr="00CA4B9E">
        <w:rPr>
          <w:rFonts w:ascii="Arial" w:hAnsi="Arial" w:cs="Arial"/>
          <w:sz w:val="17"/>
          <w:szCs w:val="17"/>
          <w:lang w:val="en-IN"/>
        </w:rPr>
        <w:t>Station heat rate</w:t>
      </w:r>
      <w:r>
        <w:rPr>
          <w:rFonts w:ascii="Arial" w:hAnsi="Arial" w:cs="Arial"/>
          <w:sz w:val="17"/>
          <w:szCs w:val="17"/>
          <w:lang w:val="en-IN"/>
        </w:rPr>
        <w:t>”</w:t>
      </w:r>
      <w:r w:rsidRPr="00CA4B9E">
        <w:rPr>
          <w:rFonts w:ascii="Arial" w:hAnsi="Arial" w:cs="Arial"/>
          <w:sz w:val="17"/>
          <w:szCs w:val="17"/>
          <w:lang w:val="en-IN"/>
        </w:rPr>
        <w:t xml:space="preserve"> mean</w:t>
      </w:r>
      <w:r>
        <w:rPr>
          <w:rFonts w:ascii="Arial" w:hAnsi="Arial" w:cs="Arial"/>
          <w:sz w:val="17"/>
          <w:szCs w:val="17"/>
          <w:lang w:val="en-IN"/>
        </w:rPr>
        <w:t>t</w:t>
      </w:r>
      <w:r w:rsidRPr="00CA4B9E">
        <w:rPr>
          <w:rFonts w:ascii="Arial" w:hAnsi="Arial" w:cs="Arial"/>
          <w:sz w:val="17"/>
          <w:szCs w:val="17"/>
          <w:lang w:val="en-IN"/>
        </w:rPr>
        <w:t xml:space="preserve"> energy conversion efficiency of the power station </w:t>
      </w:r>
      <w:r>
        <w:rPr>
          <w:rFonts w:ascii="Arial" w:hAnsi="Arial" w:cs="Arial"/>
          <w:sz w:val="17"/>
          <w:szCs w:val="17"/>
          <w:lang w:val="en-IN"/>
        </w:rPr>
        <w:t>(</w:t>
      </w:r>
      <w:r w:rsidRPr="00CA4B9E">
        <w:rPr>
          <w:rFonts w:ascii="Arial" w:hAnsi="Arial" w:cs="Arial"/>
          <w:sz w:val="17"/>
          <w:szCs w:val="17"/>
          <w:lang w:val="en-IN"/>
        </w:rPr>
        <w:t>i.e., required number of British thermal units/hour of energy to generate one kilowatt of power in order to supply to the grid</w:t>
      </w:r>
      <w:r>
        <w:rPr>
          <w:rFonts w:ascii="Arial" w:hAnsi="Arial" w:cs="Arial"/>
          <w:sz w:val="17"/>
          <w:szCs w:val="17"/>
          <w:lang w:val="en-IN"/>
        </w:rPr>
        <w:t>)</w:t>
      </w:r>
      <w:r w:rsidRPr="00CA4B9E">
        <w:rPr>
          <w:rFonts w:ascii="Arial" w:hAnsi="Arial" w:cs="Arial"/>
          <w:sz w:val="17"/>
          <w:szCs w:val="17"/>
          <w:lang w:val="en-IN"/>
        </w:rPr>
        <w:t xml:space="preserve">. Una Nowling, “Understanding </w:t>
      </w:r>
      <w:r>
        <w:rPr>
          <w:rFonts w:ascii="Arial" w:hAnsi="Arial" w:cs="Arial"/>
          <w:sz w:val="17"/>
          <w:szCs w:val="17"/>
          <w:lang w:val="en-IN"/>
        </w:rPr>
        <w:t>C</w:t>
      </w:r>
      <w:r w:rsidRPr="00CA4B9E">
        <w:rPr>
          <w:rFonts w:ascii="Arial" w:hAnsi="Arial" w:cs="Arial"/>
          <w:sz w:val="17"/>
          <w:szCs w:val="17"/>
          <w:lang w:val="en-IN"/>
        </w:rPr>
        <w:t xml:space="preserve">oal </w:t>
      </w:r>
      <w:r>
        <w:rPr>
          <w:rFonts w:ascii="Arial" w:hAnsi="Arial" w:cs="Arial"/>
          <w:sz w:val="17"/>
          <w:szCs w:val="17"/>
          <w:lang w:val="en-IN"/>
        </w:rPr>
        <w:t>P</w:t>
      </w:r>
      <w:r w:rsidRPr="00CA4B9E">
        <w:rPr>
          <w:rFonts w:ascii="Arial" w:hAnsi="Arial" w:cs="Arial"/>
          <w:sz w:val="17"/>
          <w:szCs w:val="17"/>
          <w:lang w:val="en-IN"/>
        </w:rPr>
        <w:t xml:space="preserve">ower </w:t>
      </w:r>
      <w:r>
        <w:rPr>
          <w:rFonts w:ascii="Arial" w:hAnsi="Arial" w:cs="Arial"/>
          <w:sz w:val="17"/>
          <w:szCs w:val="17"/>
          <w:lang w:val="en-IN"/>
        </w:rPr>
        <w:t>P</w:t>
      </w:r>
      <w:r w:rsidRPr="00CA4B9E">
        <w:rPr>
          <w:rFonts w:ascii="Arial" w:hAnsi="Arial" w:cs="Arial"/>
          <w:sz w:val="17"/>
          <w:szCs w:val="17"/>
          <w:lang w:val="en-IN"/>
        </w:rPr>
        <w:t xml:space="preserve">lant </w:t>
      </w:r>
      <w:r>
        <w:rPr>
          <w:rFonts w:ascii="Arial" w:hAnsi="Arial" w:cs="Arial"/>
          <w:sz w:val="17"/>
          <w:szCs w:val="17"/>
          <w:lang w:val="en-IN"/>
        </w:rPr>
        <w:t>H</w:t>
      </w:r>
      <w:r w:rsidRPr="00CA4B9E">
        <w:rPr>
          <w:rFonts w:ascii="Arial" w:hAnsi="Arial" w:cs="Arial"/>
          <w:sz w:val="17"/>
          <w:szCs w:val="17"/>
          <w:lang w:val="en-IN"/>
        </w:rPr>
        <w:t xml:space="preserve">eat </w:t>
      </w:r>
      <w:r>
        <w:rPr>
          <w:rFonts w:ascii="Arial" w:hAnsi="Arial" w:cs="Arial"/>
          <w:sz w:val="17"/>
          <w:szCs w:val="17"/>
          <w:lang w:val="en-IN"/>
        </w:rPr>
        <w:t>R</w:t>
      </w:r>
      <w:r w:rsidRPr="00CA4B9E">
        <w:rPr>
          <w:rFonts w:ascii="Arial" w:hAnsi="Arial" w:cs="Arial"/>
          <w:sz w:val="17"/>
          <w:szCs w:val="17"/>
          <w:lang w:val="en-IN"/>
        </w:rPr>
        <w:t xml:space="preserve">ate and </w:t>
      </w:r>
      <w:r>
        <w:rPr>
          <w:rFonts w:ascii="Arial" w:hAnsi="Arial" w:cs="Arial"/>
          <w:sz w:val="17"/>
          <w:szCs w:val="17"/>
          <w:lang w:val="en-IN"/>
        </w:rPr>
        <w:t>E</w:t>
      </w:r>
      <w:r w:rsidRPr="00CA4B9E">
        <w:rPr>
          <w:rFonts w:ascii="Arial" w:hAnsi="Arial" w:cs="Arial"/>
          <w:sz w:val="17"/>
          <w:szCs w:val="17"/>
          <w:lang w:val="en-IN"/>
        </w:rPr>
        <w:t>fficiency</w:t>
      </w:r>
      <w:r>
        <w:rPr>
          <w:rFonts w:ascii="Arial" w:hAnsi="Arial" w:cs="Arial"/>
          <w:sz w:val="17"/>
          <w:szCs w:val="17"/>
          <w:lang w:val="en-IN"/>
        </w:rPr>
        <w:t>,”</w:t>
      </w:r>
      <w:r w:rsidRPr="00CA4B9E">
        <w:rPr>
          <w:rFonts w:ascii="Arial" w:hAnsi="Arial" w:cs="Arial"/>
          <w:sz w:val="17"/>
          <w:szCs w:val="17"/>
          <w:lang w:val="en-IN"/>
        </w:rPr>
        <w:t xml:space="preserve"> </w:t>
      </w:r>
      <w:r w:rsidRPr="00716CC6">
        <w:rPr>
          <w:rFonts w:ascii="Arial" w:hAnsi="Arial" w:cs="Arial"/>
          <w:i/>
          <w:sz w:val="17"/>
          <w:szCs w:val="17"/>
          <w:lang w:val="en-IN"/>
        </w:rPr>
        <w:t>Power</w:t>
      </w:r>
      <w:r>
        <w:rPr>
          <w:rFonts w:ascii="Arial" w:hAnsi="Arial" w:cs="Arial"/>
          <w:sz w:val="17"/>
          <w:szCs w:val="17"/>
          <w:lang w:val="en-IN"/>
        </w:rPr>
        <w:t xml:space="preserve">, January 2, 2015, </w:t>
      </w:r>
      <w:r w:rsidRPr="00CA4B9E">
        <w:rPr>
          <w:rFonts w:ascii="Arial" w:hAnsi="Arial" w:cs="Arial"/>
          <w:sz w:val="17"/>
          <w:szCs w:val="17"/>
          <w:lang w:val="en-IN"/>
        </w:rPr>
        <w:t>accessed</w:t>
      </w:r>
      <w:r>
        <w:rPr>
          <w:rFonts w:ascii="Arial" w:hAnsi="Arial" w:cs="Arial"/>
          <w:sz w:val="17"/>
          <w:szCs w:val="17"/>
          <w:lang w:val="en-IN"/>
        </w:rPr>
        <w:t xml:space="preserve"> </w:t>
      </w:r>
      <w:r w:rsidRPr="00CA4B9E">
        <w:rPr>
          <w:rFonts w:ascii="Arial" w:hAnsi="Arial" w:cs="Arial"/>
          <w:sz w:val="17"/>
          <w:szCs w:val="17"/>
          <w:lang w:val="en-IN"/>
        </w:rPr>
        <w:t>October 1, 2016</w:t>
      </w:r>
      <w:r>
        <w:rPr>
          <w:rFonts w:ascii="Arial" w:hAnsi="Arial" w:cs="Arial"/>
          <w:sz w:val="17"/>
          <w:szCs w:val="17"/>
          <w:lang w:val="en-IN"/>
        </w:rPr>
        <w:t xml:space="preserve">, </w:t>
      </w:r>
      <w:r w:rsidRPr="00412542">
        <w:rPr>
          <w:rFonts w:ascii="Arial" w:hAnsi="Arial" w:cs="Arial"/>
          <w:sz w:val="17"/>
          <w:szCs w:val="17"/>
          <w:lang w:val="en-IN"/>
        </w:rPr>
        <w:t>www.powermag.com/understanding-coal-power-plant-heat-rate-and-efficiency/</w:t>
      </w:r>
      <w:r w:rsidRPr="00CA4B9E">
        <w:rPr>
          <w:rFonts w:ascii="Arial" w:hAnsi="Arial" w:cs="Arial"/>
          <w:sz w:val="17"/>
          <w:szCs w:val="17"/>
          <w:lang w:val="en-IN"/>
        </w:rPr>
        <w:t>.</w:t>
      </w:r>
    </w:p>
  </w:footnote>
  <w:footnote w:id="20">
    <w:p w14:paraId="437FBCA3" w14:textId="2B8D433F" w:rsidR="00D143CE" w:rsidRPr="00CA4B9E" w:rsidRDefault="00D143CE" w:rsidP="00D15F5A">
      <w:pPr>
        <w:pStyle w:val="FootnoteText"/>
        <w:jc w:val="both"/>
        <w:rPr>
          <w:rFonts w:ascii="Arial" w:hAnsi="Arial" w:cs="Arial"/>
          <w:sz w:val="17"/>
          <w:szCs w:val="17"/>
          <w:lang w:val="en-IN"/>
        </w:rPr>
      </w:pPr>
      <w:r w:rsidRPr="00CA4B9E">
        <w:rPr>
          <w:rStyle w:val="FootnoteReference"/>
          <w:rFonts w:ascii="Arial" w:hAnsi="Arial" w:cs="Arial"/>
          <w:sz w:val="17"/>
          <w:szCs w:val="17"/>
        </w:rPr>
        <w:footnoteRef/>
      </w:r>
      <w:r>
        <w:rPr>
          <w:rFonts w:ascii="Arial" w:hAnsi="Arial" w:cs="Arial"/>
          <w:sz w:val="17"/>
          <w:szCs w:val="17"/>
          <w:lang w:val="en-IN"/>
        </w:rPr>
        <w:t xml:space="preserve"> “</w:t>
      </w:r>
      <w:r w:rsidRPr="00CA4B9E">
        <w:rPr>
          <w:rFonts w:ascii="Arial" w:hAnsi="Arial" w:cs="Arial"/>
          <w:sz w:val="17"/>
          <w:szCs w:val="17"/>
          <w:lang w:val="en-IN"/>
        </w:rPr>
        <w:t>Auxiliary power consumption</w:t>
      </w:r>
      <w:r>
        <w:rPr>
          <w:rFonts w:ascii="Arial" w:hAnsi="Arial" w:cs="Arial"/>
          <w:sz w:val="17"/>
          <w:szCs w:val="17"/>
          <w:lang w:val="en-IN"/>
        </w:rPr>
        <w:t xml:space="preserve"> described</w:t>
      </w:r>
      <w:r w:rsidRPr="00CA4B9E">
        <w:rPr>
          <w:rFonts w:ascii="Arial" w:hAnsi="Arial" w:cs="Arial"/>
          <w:sz w:val="17"/>
          <w:szCs w:val="17"/>
          <w:lang w:val="en-IN"/>
        </w:rPr>
        <w:t xml:space="preserve"> the energy required to run the power plant in order to generate the power.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E128D" w14:textId="72B5C47A" w:rsidR="00D143CE" w:rsidRDefault="00D143CE"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94B95">
      <w:rPr>
        <w:rFonts w:ascii="Arial" w:hAnsi="Arial"/>
        <w:b/>
        <w:noProof/>
      </w:rPr>
      <w:t>11</w:t>
    </w:r>
    <w:r>
      <w:rPr>
        <w:rFonts w:ascii="Arial" w:hAnsi="Arial"/>
        <w:b/>
      </w:rPr>
      <w:fldChar w:fldCharType="end"/>
    </w:r>
    <w:r>
      <w:rPr>
        <w:rFonts w:ascii="Arial" w:hAnsi="Arial"/>
        <w:b/>
      </w:rPr>
      <w:tab/>
      <w:t>9B17N017</w:t>
    </w:r>
  </w:p>
  <w:p w14:paraId="3E9A8F54" w14:textId="77777777" w:rsidR="00D143CE" w:rsidRPr="00C92CC4" w:rsidRDefault="00D143CE">
    <w:pPr>
      <w:pStyle w:val="Header"/>
      <w:rPr>
        <w:sz w:val="18"/>
        <w:szCs w:val="18"/>
      </w:rPr>
    </w:pPr>
  </w:p>
  <w:p w14:paraId="4A7956C4" w14:textId="77777777" w:rsidR="00D143CE" w:rsidRPr="00C92CC4" w:rsidRDefault="00D143CE">
    <w:pPr>
      <w:pStyle w:val="Header"/>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D40B0" w14:textId="759C7B2A" w:rsidR="00D143CE" w:rsidRDefault="00D143CE" w:rsidP="00590678">
    <w:pPr>
      <w:pBdr>
        <w:bottom w:val="single" w:sz="18" w:space="1" w:color="auto"/>
      </w:pBdr>
      <w:tabs>
        <w:tab w:val="right" w:pos="1296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94B95">
      <w:rPr>
        <w:rFonts w:ascii="Arial" w:hAnsi="Arial"/>
        <w:b/>
        <w:noProof/>
      </w:rPr>
      <w:t>15</w:t>
    </w:r>
    <w:r>
      <w:rPr>
        <w:rFonts w:ascii="Arial" w:hAnsi="Arial"/>
        <w:b/>
      </w:rPr>
      <w:fldChar w:fldCharType="end"/>
    </w:r>
    <w:r>
      <w:rPr>
        <w:rFonts w:ascii="Arial" w:hAnsi="Arial"/>
        <w:b/>
      </w:rPr>
      <w:tab/>
      <w:t>9B17N017</w:t>
    </w:r>
  </w:p>
  <w:p w14:paraId="1E17A251" w14:textId="77777777" w:rsidR="00D143CE" w:rsidRPr="00C92CC4" w:rsidRDefault="00D143CE" w:rsidP="00590678">
    <w:pPr>
      <w:pStyle w:val="Header"/>
      <w:tabs>
        <w:tab w:val="clear" w:pos="4680"/>
        <w:tab w:val="clear" w:pos="9360"/>
        <w:tab w:val="right" w:pos="12960"/>
      </w:tabs>
      <w:rPr>
        <w:sz w:val="18"/>
        <w:szCs w:val="18"/>
      </w:rPr>
    </w:pPr>
  </w:p>
  <w:p w14:paraId="0BBAB301" w14:textId="77777777" w:rsidR="00D143CE" w:rsidRPr="00C92CC4" w:rsidRDefault="00D143CE" w:rsidP="00590678">
    <w:pPr>
      <w:pStyle w:val="Header"/>
      <w:tabs>
        <w:tab w:val="clear" w:pos="4680"/>
        <w:tab w:val="clear" w:pos="9360"/>
        <w:tab w:val="right" w:pos="129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4EE97AEF"/>
    <w:multiLevelType w:val="hybridMultilevel"/>
    <w:tmpl w:val="9D66DE98"/>
    <w:lvl w:ilvl="0" w:tplc="27322508">
      <w:start w:val="1"/>
      <w:numFmt w:val="lowerLetter"/>
      <w:lvlText w:val="%1."/>
      <w:lvlJc w:val="left"/>
      <w:pPr>
        <w:ind w:left="720" w:hanging="360"/>
      </w:pPr>
      <w:rPr>
        <w:rFonts w:hint="default"/>
        <w:i/>
      </w:rPr>
    </w:lvl>
    <w:lvl w:ilvl="1" w:tplc="FC3AD8DC">
      <w:start w:val="15"/>
      <w:numFmt w:val="bullet"/>
      <w:lvlText w:val="%2."/>
      <w:lvlJc w:val="left"/>
      <w:pPr>
        <w:ind w:left="1440" w:hanging="360"/>
      </w:pPr>
      <w:rPr>
        <w:rFonts w:ascii="Symbol" w:eastAsia="Times New Roman" w:hAnsi="Symbol" w:cs="Times New Roman" w:hint="default"/>
        <w: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6F3C1841"/>
    <w:multiLevelType w:val="hybridMultilevel"/>
    <w:tmpl w:val="5E8A3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9660C4E"/>
    <w:multiLevelType w:val="hybridMultilevel"/>
    <w:tmpl w:val="8C2A8C4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3"/>
  </w:num>
  <w:num w:numId="19">
    <w:abstractNumId w:val="11"/>
  </w:num>
  <w:num w:numId="20">
    <w:abstractNumId w:val="10"/>
  </w:num>
  <w:num w:numId="21">
    <w:abstractNumId w:val="25"/>
  </w:num>
  <w:num w:numId="22">
    <w:abstractNumId w:val="17"/>
  </w:num>
  <w:num w:numId="23">
    <w:abstractNumId w:val="27"/>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7"/>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7"/>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6"/>
  </w:num>
  <w:num w:numId="29">
    <w:abstractNumId w:val="1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1B0A"/>
    <w:rsid w:val="00013360"/>
    <w:rsid w:val="00015EC8"/>
    <w:rsid w:val="000176FD"/>
    <w:rsid w:val="000216CE"/>
    <w:rsid w:val="00025DC7"/>
    <w:rsid w:val="00026486"/>
    <w:rsid w:val="00032020"/>
    <w:rsid w:val="00035707"/>
    <w:rsid w:val="00040A11"/>
    <w:rsid w:val="00044ECC"/>
    <w:rsid w:val="00047C98"/>
    <w:rsid w:val="000508D7"/>
    <w:rsid w:val="00052028"/>
    <w:rsid w:val="000531D3"/>
    <w:rsid w:val="0005646B"/>
    <w:rsid w:val="000609FD"/>
    <w:rsid w:val="0008102D"/>
    <w:rsid w:val="0008366E"/>
    <w:rsid w:val="00086BAD"/>
    <w:rsid w:val="00090408"/>
    <w:rsid w:val="00094C0E"/>
    <w:rsid w:val="00095720"/>
    <w:rsid w:val="00095E68"/>
    <w:rsid w:val="000A556B"/>
    <w:rsid w:val="000B270F"/>
    <w:rsid w:val="000B545F"/>
    <w:rsid w:val="000B6D1F"/>
    <w:rsid w:val="000B7548"/>
    <w:rsid w:val="000C042C"/>
    <w:rsid w:val="000C3650"/>
    <w:rsid w:val="000D35A1"/>
    <w:rsid w:val="000D6D33"/>
    <w:rsid w:val="000E18AE"/>
    <w:rsid w:val="000E1A31"/>
    <w:rsid w:val="000F0C22"/>
    <w:rsid w:val="000F4921"/>
    <w:rsid w:val="000F61C4"/>
    <w:rsid w:val="000F6B09"/>
    <w:rsid w:val="000F6FDC"/>
    <w:rsid w:val="00100785"/>
    <w:rsid w:val="00104567"/>
    <w:rsid w:val="00106CB9"/>
    <w:rsid w:val="00112973"/>
    <w:rsid w:val="0012070E"/>
    <w:rsid w:val="0012732D"/>
    <w:rsid w:val="00130D66"/>
    <w:rsid w:val="0015064B"/>
    <w:rsid w:val="001515D8"/>
    <w:rsid w:val="00154FC9"/>
    <w:rsid w:val="0016139D"/>
    <w:rsid w:val="00172A07"/>
    <w:rsid w:val="00176EC3"/>
    <w:rsid w:val="00184250"/>
    <w:rsid w:val="00186D13"/>
    <w:rsid w:val="00186FD4"/>
    <w:rsid w:val="0019241A"/>
    <w:rsid w:val="00193113"/>
    <w:rsid w:val="0019631E"/>
    <w:rsid w:val="001A5335"/>
    <w:rsid w:val="001A752D"/>
    <w:rsid w:val="001B598D"/>
    <w:rsid w:val="001B679B"/>
    <w:rsid w:val="001C1061"/>
    <w:rsid w:val="001C5BE6"/>
    <w:rsid w:val="001D64D6"/>
    <w:rsid w:val="001E2A7A"/>
    <w:rsid w:val="001F1D28"/>
    <w:rsid w:val="001F6451"/>
    <w:rsid w:val="00203A39"/>
    <w:rsid w:val="00203AA1"/>
    <w:rsid w:val="002053FD"/>
    <w:rsid w:val="002105D2"/>
    <w:rsid w:val="00213E98"/>
    <w:rsid w:val="00214731"/>
    <w:rsid w:val="00215ECF"/>
    <w:rsid w:val="00216E01"/>
    <w:rsid w:val="002235D2"/>
    <w:rsid w:val="00226D9B"/>
    <w:rsid w:val="00237475"/>
    <w:rsid w:val="00241C09"/>
    <w:rsid w:val="00242175"/>
    <w:rsid w:val="0024406E"/>
    <w:rsid w:val="00244F4E"/>
    <w:rsid w:val="002455E5"/>
    <w:rsid w:val="002565AF"/>
    <w:rsid w:val="002657CE"/>
    <w:rsid w:val="002715AC"/>
    <w:rsid w:val="00273BA2"/>
    <w:rsid w:val="00273FF8"/>
    <w:rsid w:val="00276DEC"/>
    <w:rsid w:val="0028127C"/>
    <w:rsid w:val="00286837"/>
    <w:rsid w:val="00291F43"/>
    <w:rsid w:val="00295FB0"/>
    <w:rsid w:val="00297B3B"/>
    <w:rsid w:val="002A69CA"/>
    <w:rsid w:val="002A6C1B"/>
    <w:rsid w:val="002B2D67"/>
    <w:rsid w:val="002B371B"/>
    <w:rsid w:val="002B56A9"/>
    <w:rsid w:val="002C50D7"/>
    <w:rsid w:val="002D2B9C"/>
    <w:rsid w:val="002E1330"/>
    <w:rsid w:val="002E1C02"/>
    <w:rsid w:val="002E32F0"/>
    <w:rsid w:val="002E353A"/>
    <w:rsid w:val="002F460C"/>
    <w:rsid w:val="002F48D6"/>
    <w:rsid w:val="002F792C"/>
    <w:rsid w:val="0030230C"/>
    <w:rsid w:val="00302F46"/>
    <w:rsid w:val="0030437B"/>
    <w:rsid w:val="00304F91"/>
    <w:rsid w:val="003113B1"/>
    <w:rsid w:val="00312C4B"/>
    <w:rsid w:val="003149FB"/>
    <w:rsid w:val="00317526"/>
    <w:rsid w:val="00317531"/>
    <w:rsid w:val="00321242"/>
    <w:rsid w:val="0032186C"/>
    <w:rsid w:val="00324529"/>
    <w:rsid w:val="003322E5"/>
    <w:rsid w:val="003353EF"/>
    <w:rsid w:val="003371B9"/>
    <w:rsid w:val="003519B9"/>
    <w:rsid w:val="00354899"/>
    <w:rsid w:val="00354A39"/>
    <w:rsid w:val="00354BEC"/>
    <w:rsid w:val="00355FD6"/>
    <w:rsid w:val="00356ED4"/>
    <w:rsid w:val="00361C8E"/>
    <w:rsid w:val="00364A5C"/>
    <w:rsid w:val="00373FB1"/>
    <w:rsid w:val="0037639C"/>
    <w:rsid w:val="003768DB"/>
    <w:rsid w:val="0037737F"/>
    <w:rsid w:val="00380728"/>
    <w:rsid w:val="00381B2D"/>
    <w:rsid w:val="003856D2"/>
    <w:rsid w:val="00385FF2"/>
    <w:rsid w:val="003937CB"/>
    <w:rsid w:val="0039446B"/>
    <w:rsid w:val="003A04F8"/>
    <w:rsid w:val="003B0A1A"/>
    <w:rsid w:val="003B30D8"/>
    <w:rsid w:val="003B3D71"/>
    <w:rsid w:val="003B7796"/>
    <w:rsid w:val="003B7EF2"/>
    <w:rsid w:val="003C351E"/>
    <w:rsid w:val="003C3FA4"/>
    <w:rsid w:val="003D2A7F"/>
    <w:rsid w:val="003D4256"/>
    <w:rsid w:val="003D68D3"/>
    <w:rsid w:val="003F2B0C"/>
    <w:rsid w:val="003F34FF"/>
    <w:rsid w:val="004221E4"/>
    <w:rsid w:val="00424111"/>
    <w:rsid w:val="00445B48"/>
    <w:rsid w:val="00455610"/>
    <w:rsid w:val="00457CF6"/>
    <w:rsid w:val="004606ED"/>
    <w:rsid w:val="00466780"/>
    <w:rsid w:val="00471088"/>
    <w:rsid w:val="00471E9D"/>
    <w:rsid w:val="00475166"/>
    <w:rsid w:val="00477317"/>
    <w:rsid w:val="00477FAA"/>
    <w:rsid w:val="00483AF9"/>
    <w:rsid w:val="00484A1B"/>
    <w:rsid w:val="00491660"/>
    <w:rsid w:val="0049171C"/>
    <w:rsid w:val="00492B09"/>
    <w:rsid w:val="00494D80"/>
    <w:rsid w:val="004968FD"/>
    <w:rsid w:val="00497953"/>
    <w:rsid w:val="004A2B4B"/>
    <w:rsid w:val="004B1CCB"/>
    <w:rsid w:val="004B5223"/>
    <w:rsid w:val="004B6C2A"/>
    <w:rsid w:val="004C05FF"/>
    <w:rsid w:val="004C1DC9"/>
    <w:rsid w:val="004C6D6A"/>
    <w:rsid w:val="004D073B"/>
    <w:rsid w:val="004D6486"/>
    <w:rsid w:val="004D73A5"/>
    <w:rsid w:val="004E2FA7"/>
    <w:rsid w:val="004F5578"/>
    <w:rsid w:val="0050308D"/>
    <w:rsid w:val="00503318"/>
    <w:rsid w:val="00510E5B"/>
    <w:rsid w:val="00511C68"/>
    <w:rsid w:val="0051255A"/>
    <w:rsid w:val="00515A93"/>
    <w:rsid w:val="005168AE"/>
    <w:rsid w:val="00525D3A"/>
    <w:rsid w:val="00526CED"/>
    <w:rsid w:val="00531239"/>
    <w:rsid w:val="00532CF5"/>
    <w:rsid w:val="00542A80"/>
    <w:rsid w:val="0054335B"/>
    <w:rsid w:val="005440F8"/>
    <w:rsid w:val="005528CB"/>
    <w:rsid w:val="00563BBB"/>
    <w:rsid w:val="005644ED"/>
    <w:rsid w:val="00566771"/>
    <w:rsid w:val="00574A2E"/>
    <w:rsid w:val="00575A61"/>
    <w:rsid w:val="00577F85"/>
    <w:rsid w:val="005806BB"/>
    <w:rsid w:val="00581E2E"/>
    <w:rsid w:val="005838D7"/>
    <w:rsid w:val="0058410C"/>
    <w:rsid w:val="00584F15"/>
    <w:rsid w:val="00585FA7"/>
    <w:rsid w:val="00590678"/>
    <w:rsid w:val="00592211"/>
    <w:rsid w:val="00592961"/>
    <w:rsid w:val="00592D42"/>
    <w:rsid w:val="0059330D"/>
    <w:rsid w:val="005953EB"/>
    <w:rsid w:val="00595D5E"/>
    <w:rsid w:val="00596DBE"/>
    <w:rsid w:val="005977E9"/>
    <w:rsid w:val="005A4333"/>
    <w:rsid w:val="005B17AB"/>
    <w:rsid w:val="005B7199"/>
    <w:rsid w:val="005B72AD"/>
    <w:rsid w:val="005C410B"/>
    <w:rsid w:val="005D1EF7"/>
    <w:rsid w:val="005D5396"/>
    <w:rsid w:val="005D66A4"/>
    <w:rsid w:val="005E3EFC"/>
    <w:rsid w:val="005E7131"/>
    <w:rsid w:val="005F2AB6"/>
    <w:rsid w:val="005F2F40"/>
    <w:rsid w:val="00601B87"/>
    <w:rsid w:val="006029FB"/>
    <w:rsid w:val="00604374"/>
    <w:rsid w:val="00610346"/>
    <w:rsid w:val="00613950"/>
    <w:rsid w:val="00613B57"/>
    <w:rsid w:val="00615200"/>
    <w:rsid w:val="0061637B"/>
    <w:rsid w:val="006163F7"/>
    <w:rsid w:val="00622E60"/>
    <w:rsid w:val="00624C3E"/>
    <w:rsid w:val="00631AFF"/>
    <w:rsid w:val="006452CC"/>
    <w:rsid w:val="00651BAB"/>
    <w:rsid w:val="00652606"/>
    <w:rsid w:val="00654ECD"/>
    <w:rsid w:val="00661C30"/>
    <w:rsid w:val="00665E3C"/>
    <w:rsid w:val="006676D4"/>
    <w:rsid w:val="006826B4"/>
    <w:rsid w:val="00682754"/>
    <w:rsid w:val="00683147"/>
    <w:rsid w:val="00687282"/>
    <w:rsid w:val="00691E55"/>
    <w:rsid w:val="0069388C"/>
    <w:rsid w:val="006A58A9"/>
    <w:rsid w:val="006A5E6B"/>
    <w:rsid w:val="006A606D"/>
    <w:rsid w:val="006A6539"/>
    <w:rsid w:val="006A78D7"/>
    <w:rsid w:val="006B7EA6"/>
    <w:rsid w:val="006B7F7A"/>
    <w:rsid w:val="006C0371"/>
    <w:rsid w:val="006C08B6"/>
    <w:rsid w:val="006C0B1A"/>
    <w:rsid w:val="006C4384"/>
    <w:rsid w:val="006C6065"/>
    <w:rsid w:val="006C76BA"/>
    <w:rsid w:val="006C7F9F"/>
    <w:rsid w:val="006D5C35"/>
    <w:rsid w:val="006E2180"/>
    <w:rsid w:val="006E2F6D"/>
    <w:rsid w:val="006E58F6"/>
    <w:rsid w:val="006E5A73"/>
    <w:rsid w:val="006E6ED9"/>
    <w:rsid w:val="006E77E1"/>
    <w:rsid w:val="006F131D"/>
    <w:rsid w:val="006F1346"/>
    <w:rsid w:val="006F1D9E"/>
    <w:rsid w:val="006F2294"/>
    <w:rsid w:val="006F6846"/>
    <w:rsid w:val="006F7540"/>
    <w:rsid w:val="007001A6"/>
    <w:rsid w:val="007136AB"/>
    <w:rsid w:val="00716CC6"/>
    <w:rsid w:val="00723FBB"/>
    <w:rsid w:val="007272E3"/>
    <w:rsid w:val="00731866"/>
    <w:rsid w:val="0073771C"/>
    <w:rsid w:val="007419D3"/>
    <w:rsid w:val="00752BCD"/>
    <w:rsid w:val="0075796D"/>
    <w:rsid w:val="00766DA1"/>
    <w:rsid w:val="00766F0E"/>
    <w:rsid w:val="00770A4D"/>
    <w:rsid w:val="00780BB2"/>
    <w:rsid w:val="0078429B"/>
    <w:rsid w:val="007866A6"/>
    <w:rsid w:val="0078720C"/>
    <w:rsid w:val="007873A4"/>
    <w:rsid w:val="007900A5"/>
    <w:rsid w:val="007A130D"/>
    <w:rsid w:val="007A2C56"/>
    <w:rsid w:val="007A5BC6"/>
    <w:rsid w:val="007A5F04"/>
    <w:rsid w:val="007B20BC"/>
    <w:rsid w:val="007B745B"/>
    <w:rsid w:val="007B7716"/>
    <w:rsid w:val="007C4EE8"/>
    <w:rsid w:val="007C6CB0"/>
    <w:rsid w:val="007D14AD"/>
    <w:rsid w:val="007D4102"/>
    <w:rsid w:val="007D54B2"/>
    <w:rsid w:val="007D6CA3"/>
    <w:rsid w:val="007E0A82"/>
    <w:rsid w:val="007E37EF"/>
    <w:rsid w:val="007E3F25"/>
    <w:rsid w:val="007E5921"/>
    <w:rsid w:val="007F2E05"/>
    <w:rsid w:val="007F77B0"/>
    <w:rsid w:val="00801BA2"/>
    <w:rsid w:val="00804D0B"/>
    <w:rsid w:val="008061D4"/>
    <w:rsid w:val="00813026"/>
    <w:rsid w:val="00814055"/>
    <w:rsid w:val="00820457"/>
    <w:rsid w:val="00821FFC"/>
    <w:rsid w:val="008271CA"/>
    <w:rsid w:val="00834426"/>
    <w:rsid w:val="00840C24"/>
    <w:rsid w:val="008467D5"/>
    <w:rsid w:val="00847C33"/>
    <w:rsid w:val="0085029F"/>
    <w:rsid w:val="008508B2"/>
    <w:rsid w:val="00852531"/>
    <w:rsid w:val="00853831"/>
    <w:rsid w:val="00856AB6"/>
    <w:rsid w:val="00856D9F"/>
    <w:rsid w:val="00857083"/>
    <w:rsid w:val="00866F6D"/>
    <w:rsid w:val="00872981"/>
    <w:rsid w:val="00876A44"/>
    <w:rsid w:val="008770BF"/>
    <w:rsid w:val="0088002E"/>
    <w:rsid w:val="00885177"/>
    <w:rsid w:val="00891376"/>
    <w:rsid w:val="00893A03"/>
    <w:rsid w:val="008948D7"/>
    <w:rsid w:val="00894B95"/>
    <w:rsid w:val="00895348"/>
    <w:rsid w:val="008964A3"/>
    <w:rsid w:val="008A1CC9"/>
    <w:rsid w:val="008A3BA2"/>
    <w:rsid w:val="008A4DC4"/>
    <w:rsid w:val="008B4B01"/>
    <w:rsid w:val="008B4D31"/>
    <w:rsid w:val="008C1264"/>
    <w:rsid w:val="008C1D27"/>
    <w:rsid w:val="008D24D8"/>
    <w:rsid w:val="008E4879"/>
    <w:rsid w:val="008E6E36"/>
    <w:rsid w:val="008F4EE4"/>
    <w:rsid w:val="008F5421"/>
    <w:rsid w:val="008F5A9B"/>
    <w:rsid w:val="00905401"/>
    <w:rsid w:val="00905DBC"/>
    <w:rsid w:val="00906282"/>
    <w:rsid w:val="00906607"/>
    <w:rsid w:val="009067A4"/>
    <w:rsid w:val="0090722E"/>
    <w:rsid w:val="00912542"/>
    <w:rsid w:val="0092627A"/>
    <w:rsid w:val="009340DB"/>
    <w:rsid w:val="00945F9E"/>
    <w:rsid w:val="00951542"/>
    <w:rsid w:val="00951BA1"/>
    <w:rsid w:val="009542DB"/>
    <w:rsid w:val="0095697B"/>
    <w:rsid w:val="009618F2"/>
    <w:rsid w:val="009700AB"/>
    <w:rsid w:val="00971D75"/>
    <w:rsid w:val="00972498"/>
    <w:rsid w:val="00974CC6"/>
    <w:rsid w:val="00976AD4"/>
    <w:rsid w:val="009913CA"/>
    <w:rsid w:val="009949B5"/>
    <w:rsid w:val="009A195C"/>
    <w:rsid w:val="009A1A4E"/>
    <w:rsid w:val="009A1EBE"/>
    <w:rsid w:val="009A312F"/>
    <w:rsid w:val="009A52D0"/>
    <w:rsid w:val="009A5348"/>
    <w:rsid w:val="009A67BB"/>
    <w:rsid w:val="009A68BE"/>
    <w:rsid w:val="009B2645"/>
    <w:rsid w:val="009B3DB4"/>
    <w:rsid w:val="009B6398"/>
    <w:rsid w:val="009C327E"/>
    <w:rsid w:val="009C396A"/>
    <w:rsid w:val="009C76D5"/>
    <w:rsid w:val="009D2D18"/>
    <w:rsid w:val="009F2372"/>
    <w:rsid w:val="009F432E"/>
    <w:rsid w:val="009F6337"/>
    <w:rsid w:val="009F7AA4"/>
    <w:rsid w:val="00A00264"/>
    <w:rsid w:val="00A04E7F"/>
    <w:rsid w:val="00A115AA"/>
    <w:rsid w:val="00A13C84"/>
    <w:rsid w:val="00A15929"/>
    <w:rsid w:val="00A17606"/>
    <w:rsid w:val="00A22F0E"/>
    <w:rsid w:val="00A265BA"/>
    <w:rsid w:val="00A30E7C"/>
    <w:rsid w:val="00A3163B"/>
    <w:rsid w:val="00A3267B"/>
    <w:rsid w:val="00A3700C"/>
    <w:rsid w:val="00A4629E"/>
    <w:rsid w:val="00A466D1"/>
    <w:rsid w:val="00A4705C"/>
    <w:rsid w:val="00A50385"/>
    <w:rsid w:val="00A528C1"/>
    <w:rsid w:val="00A529FC"/>
    <w:rsid w:val="00A5496A"/>
    <w:rsid w:val="00A559DB"/>
    <w:rsid w:val="00A56155"/>
    <w:rsid w:val="00A5627E"/>
    <w:rsid w:val="00A56353"/>
    <w:rsid w:val="00A66358"/>
    <w:rsid w:val="00A72966"/>
    <w:rsid w:val="00A731BE"/>
    <w:rsid w:val="00A757CB"/>
    <w:rsid w:val="00A806C6"/>
    <w:rsid w:val="00A82C36"/>
    <w:rsid w:val="00A857A2"/>
    <w:rsid w:val="00A8621D"/>
    <w:rsid w:val="00A96AE8"/>
    <w:rsid w:val="00AA00D7"/>
    <w:rsid w:val="00AA3C9D"/>
    <w:rsid w:val="00AB0C2F"/>
    <w:rsid w:val="00AB28B6"/>
    <w:rsid w:val="00AB44B7"/>
    <w:rsid w:val="00AB57FD"/>
    <w:rsid w:val="00AC2934"/>
    <w:rsid w:val="00AC30E1"/>
    <w:rsid w:val="00AC3594"/>
    <w:rsid w:val="00AC75C1"/>
    <w:rsid w:val="00AD1FDA"/>
    <w:rsid w:val="00AD5ECA"/>
    <w:rsid w:val="00AD5F8C"/>
    <w:rsid w:val="00AE53CA"/>
    <w:rsid w:val="00AE79B9"/>
    <w:rsid w:val="00AF35FC"/>
    <w:rsid w:val="00AF3D2B"/>
    <w:rsid w:val="00AF4FF4"/>
    <w:rsid w:val="00AF73D3"/>
    <w:rsid w:val="00AF73EA"/>
    <w:rsid w:val="00AF7FB4"/>
    <w:rsid w:val="00B00BDB"/>
    <w:rsid w:val="00B03639"/>
    <w:rsid w:val="00B0652A"/>
    <w:rsid w:val="00B1213B"/>
    <w:rsid w:val="00B1615A"/>
    <w:rsid w:val="00B27AA1"/>
    <w:rsid w:val="00B3073F"/>
    <w:rsid w:val="00B334F4"/>
    <w:rsid w:val="00B341B1"/>
    <w:rsid w:val="00B34722"/>
    <w:rsid w:val="00B35097"/>
    <w:rsid w:val="00B36018"/>
    <w:rsid w:val="00B3757D"/>
    <w:rsid w:val="00B40937"/>
    <w:rsid w:val="00B423EF"/>
    <w:rsid w:val="00B44496"/>
    <w:rsid w:val="00B453DE"/>
    <w:rsid w:val="00B4742F"/>
    <w:rsid w:val="00B502DC"/>
    <w:rsid w:val="00B51A1D"/>
    <w:rsid w:val="00B56D66"/>
    <w:rsid w:val="00B615AC"/>
    <w:rsid w:val="00B622FE"/>
    <w:rsid w:val="00B671AA"/>
    <w:rsid w:val="00B72C42"/>
    <w:rsid w:val="00B76993"/>
    <w:rsid w:val="00B77D4C"/>
    <w:rsid w:val="00B80A45"/>
    <w:rsid w:val="00B901F9"/>
    <w:rsid w:val="00B906C1"/>
    <w:rsid w:val="00B90940"/>
    <w:rsid w:val="00B9407D"/>
    <w:rsid w:val="00B95FC9"/>
    <w:rsid w:val="00B967ED"/>
    <w:rsid w:val="00BA15E6"/>
    <w:rsid w:val="00BB274D"/>
    <w:rsid w:val="00BB4064"/>
    <w:rsid w:val="00BC1457"/>
    <w:rsid w:val="00BC1C12"/>
    <w:rsid w:val="00BD3793"/>
    <w:rsid w:val="00BD6EFB"/>
    <w:rsid w:val="00BE0C96"/>
    <w:rsid w:val="00BE1A14"/>
    <w:rsid w:val="00BE2F00"/>
    <w:rsid w:val="00BE36BE"/>
    <w:rsid w:val="00BE4342"/>
    <w:rsid w:val="00BE4993"/>
    <w:rsid w:val="00BE5ECE"/>
    <w:rsid w:val="00BE5F8B"/>
    <w:rsid w:val="00BF2FDF"/>
    <w:rsid w:val="00BF5CA6"/>
    <w:rsid w:val="00C0130B"/>
    <w:rsid w:val="00C11BA5"/>
    <w:rsid w:val="00C15BE2"/>
    <w:rsid w:val="00C163A3"/>
    <w:rsid w:val="00C22219"/>
    <w:rsid w:val="00C2392F"/>
    <w:rsid w:val="00C24022"/>
    <w:rsid w:val="00C242A8"/>
    <w:rsid w:val="00C261C1"/>
    <w:rsid w:val="00C30E56"/>
    <w:rsid w:val="00C3447F"/>
    <w:rsid w:val="00C355F1"/>
    <w:rsid w:val="00C35D44"/>
    <w:rsid w:val="00C367B5"/>
    <w:rsid w:val="00C4015C"/>
    <w:rsid w:val="00C409BE"/>
    <w:rsid w:val="00C40CFC"/>
    <w:rsid w:val="00C428AF"/>
    <w:rsid w:val="00C4529F"/>
    <w:rsid w:val="00C4542D"/>
    <w:rsid w:val="00C54C51"/>
    <w:rsid w:val="00C61CBF"/>
    <w:rsid w:val="00C76965"/>
    <w:rsid w:val="00C81491"/>
    <w:rsid w:val="00C81676"/>
    <w:rsid w:val="00C82236"/>
    <w:rsid w:val="00C83033"/>
    <w:rsid w:val="00C86F73"/>
    <w:rsid w:val="00C92703"/>
    <w:rsid w:val="00C92CC4"/>
    <w:rsid w:val="00C95801"/>
    <w:rsid w:val="00CA0AFB"/>
    <w:rsid w:val="00CA2CE1"/>
    <w:rsid w:val="00CA3976"/>
    <w:rsid w:val="00CA757B"/>
    <w:rsid w:val="00CB175A"/>
    <w:rsid w:val="00CB6B09"/>
    <w:rsid w:val="00CC0446"/>
    <w:rsid w:val="00CC1787"/>
    <w:rsid w:val="00CC182C"/>
    <w:rsid w:val="00CC55BF"/>
    <w:rsid w:val="00CC79B5"/>
    <w:rsid w:val="00CD0824"/>
    <w:rsid w:val="00CD2908"/>
    <w:rsid w:val="00CD489F"/>
    <w:rsid w:val="00CD4BAE"/>
    <w:rsid w:val="00CE2D4C"/>
    <w:rsid w:val="00CE58B5"/>
    <w:rsid w:val="00CF411B"/>
    <w:rsid w:val="00CF5BD2"/>
    <w:rsid w:val="00CF6A22"/>
    <w:rsid w:val="00CF6C46"/>
    <w:rsid w:val="00D03A82"/>
    <w:rsid w:val="00D052F6"/>
    <w:rsid w:val="00D143CE"/>
    <w:rsid w:val="00D15344"/>
    <w:rsid w:val="00D156D0"/>
    <w:rsid w:val="00D15F5A"/>
    <w:rsid w:val="00D24760"/>
    <w:rsid w:val="00D311AC"/>
    <w:rsid w:val="00D31BEC"/>
    <w:rsid w:val="00D33C29"/>
    <w:rsid w:val="00D54218"/>
    <w:rsid w:val="00D60156"/>
    <w:rsid w:val="00D6281C"/>
    <w:rsid w:val="00D63150"/>
    <w:rsid w:val="00D64A32"/>
    <w:rsid w:val="00D64EFC"/>
    <w:rsid w:val="00D66B14"/>
    <w:rsid w:val="00D7210D"/>
    <w:rsid w:val="00D7325B"/>
    <w:rsid w:val="00D75295"/>
    <w:rsid w:val="00D76CE9"/>
    <w:rsid w:val="00D76DC0"/>
    <w:rsid w:val="00D77D62"/>
    <w:rsid w:val="00D85A46"/>
    <w:rsid w:val="00D92779"/>
    <w:rsid w:val="00D94D57"/>
    <w:rsid w:val="00D97F12"/>
    <w:rsid w:val="00DA026B"/>
    <w:rsid w:val="00DA2699"/>
    <w:rsid w:val="00DA3073"/>
    <w:rsid w:val="00DA57F7"/>
    <w:rsid w:val="00DB42E7"/>
    <w:rsid w:val="00DB6F3D"/>
    <w:rsid w:val="00DC058A"/>
    <w:rsid w:val="00DC15D4"/>
    <w:rsid w:val="00DC19AD"/>
    <w:rsid w:val="00DC3825"/>
    <w:rsid w:val="00DC6D42"/>
    <w:rsid w:val="00DD3768"/>
    <w:rsid w:val="00DD55F4"/>
    <w:rsid w:val="00DD6F7A"/>
    <w:rsid w:val="00DF2E84"/>
    <w:rsid w:val="00DF32C2"/>
    <w:rsid w:val="00E056DE"/>
    <w:rsid w:val="00E158E6"/>
    <w:rsid w:val="00E15EA7"/>
    <w:rsid w:val="00E30D7E"/>
    <w:rsid w:val="00E321DF"/>
    <w:rsid w:val="00E4054F"/>
    <w:rsid w:val="00E405C2"/>
    <w:rsid w:val="00E420FA"/>
    <w:rsid w:val="00E44691"/>
    <w:rsid w:val="00E471A7"/>
    <w:rsid w:val="00E5057A"/>
    <w:rsid w:val="00E56AE8"/>
    <w:rsid w:val="00E630A3"/>
    <w:rsid w:val="00E635CF"/>
    <w:rsid w:val="00E64DC5"/>
    <w:rsid w:val="00E65217"/>
    <w:rsid w:val="00E7040F"/>
    <w:rsid w:val="00E73301"/>
    <w:rsid w:val="00E74D49"/>
    <w:rsid w:val="00E8594B"/>
    <w:rsid w:val="00E926FB"/>
    <w:rsid w:val="00E932C7"/>
    <w:rsid w:val="00E972E5"/>
    <w:rsid w:val="00EA3522"/>
    <w:rsid w:val="00EB0724"/>
    <w:rsid w:val="00EB1FE4"/>
    <w:rsid w:val="00EB5410"/>
    <w:rsid w:val="00EC6E0A"/>
    <w:rsid w:val="00EC753D"/>
    <w:rsid w:val="00ED0696"/>
    <w:rsid w:val="00ED1C9C"/>
    <w:rsid w:val="00ED4E18"/>
    <w:rsid w:val="00EE1F37"/>
    <w:rsid w:val="00EE2C4B"/>
    <w:rsid w:val="00EE5A80"/>
    <w:rsid w:val="00EF0436"/>
    <w:rsid w:val="00F00332"/>
    <w:rsid w:val="00F0159C"/>
    <w:rsid w:val="00F01663"/>
    <w:rsid w:val="00F105B7"/>
    <w:rsid w:val="00F1094B"/>
    <w:rsid w:val="00F151D8"/>
    <w:rsid w:val="00F17A21"/>
    <w:rsid w:val="00F17DB4"/>
    <w:rsid w:val="00F24BB5"/>
    <w:rsid w:val="00F26B52"/>
    <w:rsid w:val="00F35A98"/>
    <w:rsid w:val="00F369C1"/>
    <w:rsid w:val="00F37B45"/>
    <w:rsid w:val="00F50E91"/>
    <w:rsid w:val="00F53679"/>
    <w:rsid w:val="00F573FF"/>
    <w:rsid w:val="00F57D29"/>
    <w:rsid w:val="00F630DF"/>
    <w:rsid w:val="00F632A9"/>
    <w:rsid w:val="00F728C7"/>
    <w:rsid w:val="00F72A12"/>
    <w:rsid w:val="00F76606"/>
    <w:rsid w:val="00F80B77"/>
    <w:rsid w:val="00F81352"/>
    <w:rsid w:val="00F83DEA"/>
    <w:rsid w:val="00F862ED"/>
    <w:rsid w:val="00F92A99"/>
    <w:rsid w:val="00F96201"/>
    <w:rsid w:val="00FA39DC"/>
    <w:rsid w:val="00FA5B9F"/>
    <w:rsid w:val="00FB2266"/>
    <w:rsid w:val="00FB5932"/>
    <w:rsid w:val="00FC30E9"/>
    <w:rsid w:val="00FD0B18"/>
    <w:rsid w:val="00FD0F82"/>
    <w:rsid w:val="00FD3904"/>
    <w:rsid w:val="00FD5E85"/>
    <w:rsid w:val="00FE14F9"/>
    <w:rsid w:val="00FE71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06273E"/>
  <w15:docId w15:val="{83A169D2-06EB-45C5-8BEF-B3763AAC5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99"/>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tgc">
    <w:name w:val="_tgc"/>
    <w:rsid w:val="00242175"/>
  </w:style>
  <w:style w:type="paragraph" w:customStyle="1" w:styleId="Default">
    <w:name w:val="Default"/>
    <w:rsid w:val="0051255A"/>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character" w:styleId="FollowedHyperlink">
    <w:name w:val="FollowedHyperlink"/>
    <w:basedOn w:val="DefaultParagraphFont"/>
    <w:uiPriority w:val="99"/>
    <w:semiHidden/>
    <w:unhideWhenUsed/>
    <w:rsid w:val="002105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89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6D013E1-FCF9-4E2E-8E12-23B7D23222CD}">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E9EE57F-D167-4372-A4CD-8F55C9CD7AC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F6561-A90D-441C-8A59-72D743188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5386</Words>
  <Characters>30706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McCutcheon, Amber</cp:lastModifiedBy>
  <cp:revision>3</cp:revision>
  <cp:lastPrinted>2011-06-23T13:34:00Z</cp:lastPrinted>
  <dcterms:created xsi:type="dcterms:W3CDTF">2017-07-24T14:33:00Z</dcterms:created>
  <dcterms:modified xsi:type="dcterms:W3CDTF">2017-07-31T19:50:00Z</dcterms:modified>
</cp:coreProperties>
</file>