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commentsExtended.xml" ContentType="application/vnd.openxmlformats-officedocument.wordprocessingml.commentsExtended+xml"/>
  <Override PartName="/word/people.xml" ContentType="application/vnd.openxmlformats-officedocument.wordprocessingml.people+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0D76D2" w:rsidRPr="000D76D2" w14:paraId="4D1CC9F3" w14:textId="77777777" w:rsidTr="00BF2E9D">
        <w:tc>
          <w:tcPr>
            <w:tcW w:w="4680" w:type="dxa"/>
          </w:tcPr>
          <w:p w14:paraId="68C2F915" w14:textId="77777777" w:rsidR="000D76D2" w:rsidRPr="000D76D2" w:rsidRDefault="000D76D2" w:rsidP="000D76D2">
            <w:pPr>
              <w:tabs>
                <w:tab w:val="left" w:pos="-1440"/>
                <w:tab w:val="left" w:pos="-720"/>
                <w:tab w:val="left" w:pos="1"/>
              </w:tabs>
              <w:jc w:val="both"/>
              <w:rPr>
                <w:rFonts w:ascii="Arial" w:hAnsi="Arial"/>
                <w:b/>
                <w:sz w:val="24"/>
              </w:rPr>
            </w:pPr>
            <w:r w:rsidRPr="000D76D2">
              <w:rPr>
                <w:rFonts w:ascii="Arial" w:hAnsi="Arial"/>
                <w:b/>
                <w:noProof/>
                <w:sz w:val="24"/>
                <w:lang w:val="en-GB" w:eastAsia="en-GB"/>
              </w:rPr>
              <w:drawing>
                <wp:inline distT="0" distB="0" distL="0" distR="0" wp14:anchorId="647C55DA" wp14:editId="10F67F9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ADA8B40" w14:textId="77777777" w:rsidR="000D76D2" w:rsidRPr="000D76D2" w:rsidRDefault="000D76D2" w:rsidP="000D76D2">
            <w:pPr>
              <w:tabs>
                <w:tab w:val="left" w:pos="-1440"/>
                <w:tab w:val="left" w:pos="-720"/>
                <w:tab w:val="left" w:pos="1"/>
              </w:tabs>
              <w:jc w:val="right"/>
              <w:rPr>
                <w:rFonts w:ascii="Arial" w:hAnsi="Arial"/>
                <w:b/>
                <w:sz w:val="24"/>
              </w:rPr>
            </w:pPr>
            <w:r w:rsidRPr="000D76D2">
              <w:rPr>
                <w:rFonts w:ascii="IveyVHWLogos" w:eastAsia="SimSun" w:hAnsi="IveyVHWLogos"/>
                <w:noProof/>
                <w:sz w:val="44"/>
                <w:szCs w:val="44"/>
                <w:lang w:val="en-GB" w:eastAsia="en-GB"/>
              </w:rPr>
              <w:drawing>
                <wp:inline distT="0" distB="0" distL="0" distR="0" wp14:anchorId="5B896CD7" wp14:editId="42215BA8">
                  <wp:extent cx="1328580" cy="548640"/>
                  <wp:effectExtent l="0" t="0" r="5080" b="3810"/>
                  <wp:docPr id="2" name="Picture 2"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6F45D618" w14:textId="77777777" w:rsidR="00856D9F" w:rsidRPr="009C1935"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533569F" w14:textId="6D4FAA3B" w:rsidR="00D75295" w:rsidRPr="009C1935" w:rsidRDefault="0037757F" w:rsidP="00F105B7">
      <w:pPr>
        <w:pStyle w:val="ProductNumber"/>
        <w:rPr>
          <w:lang w:val="en-GB"/>
        </w:rPr>
      </w:pPr>
      <w:r>
        <w:rPr>
          <w:lang w:val="en-GB"/>
        </w:rPr>
        <w:t>9B17N018</w:t>
      </w:r>
    </w:p>
    <w:p w14:paraId="7D8EEDFF" w14:textId="77777777" w:rsidR="00D75295" w:rsidRPr="009C1935" w:rsidRDefault="00D75295" w:rsidP="00D75295">
      <w:pPr>
        <w:jc w:val="right"/>
        <w:rPr>
          <w:rFonts w:ascii="Arial" w:hAnsi="Arial"/>
          <w:b/>
          <w:sz w:val="28"/>
          <w:szCs w:val="28"/>
          <w:lang w:val="en-GB"/>
        </w:rPr>
      </w:pPr>
    </w:p>
    <w:p w14:paraId="6F4D407A" w14:textId="77777777" w:rsidR="00866F6D" w:rsidRPr="009C1935" w:rsidRDefault="00866F6D" w:rsidP="00D75295">
      <w:pPr>
        <w:jc w:val="right"/>
        <w:rPr>
          <w:rFonts w:ascii="Arial" w:hAnsi="Arial"/>
          <w:b/>
          <w:sz w:val="28"/>
          <w:szCs w:val="28"/>
          <w:lang w:val="en-GB"/>
        </w:rPr>
      </w:pPr>
    </w:p>
    <w:p w14:paraId="01AF7771" w14:textId="05E68D41" w:rsidR="002F0588" w:rsidRPr="009C1935" w:rsidRDefault="00453FA9" w:rsidP="00013360">
      <w:pPr>
        <w:pStyle w:val="CaseTitle"/>
        <w:spacing w:after="0" w:line="240" w:lineRule="auto"/>
        <w:rPr>
          <w:lang w:val="en-GB"/>
        </w:rPr>
      </w:pPr>
      <w:r w:rsidRPr="009C1935">
        <w:rPr>
          <w:lang w:val="en-GB"/>
        </w:rPr>
        <w:t>Narayana health: the i</w:t>
      </w:r>
      <w:r w:rsidR="00BB5660" w:rsidRPr="009C1935">
        <w:rPr>
          <w:lang w:val="en-GB"/>
        </w:rPr>
        <w:t xml:space="preserve">nitial </w:t>
      </w:r>
      <w:r w:rsidRPr="009C1935">
        <w:rPr>
          <w:lang w:val="en-GB"/>
        </w:rPr>
        <w:t>p</w:t>
      </w:r>
      <w:r w:rsidR="00BB5660" w:rsidRPr="009C1935">
        <w:rPr>
          <w:lang w:val="en-GB"/>
        </w:rPr>
        <w:t xml:space="preserve">ublic </w:t>
      </w:r>
      <w:r w:rsidRPr="009C1935">
        <w:rPr>
          <w:lang w:val="en-GB"/>
        </w:rPr>
        <w:t>o</w:t>
      </w:r>
      <w:r w:rsidR="00BB5660" w:rsidRPr="009C1935">
        <w:rPr>
          <w:lang w:val="en-GB"/>
        </w:rPr>
        <w:t>ffering</w:t>
      </w:r>
      <w:r w:rsidRPr="009C1935">
        <w:rPr>
          <w:lang w:val="en-GB"/>
        </w:rPr>
        <w:t xml:space="preserve"> decision</w:t>
      </w:r>
      <w:r w:rsidR="002F0588" w:rsidRPr="009C1935">
        <w:rPr>
          <w:rStyle w:val="EndnoteReference"/>
          <w:lang w:val="en-GB"/>
        </w:rPr>
        <w:endnoteReference w:id="1"/>
      </w:r>
    </w:p>
    <w:p w14:paraId="4385EBEA" w14:textId="77777777" w:rsidR="002F0588" w:rsidRPr="009C1935" w:rsidRDefault="002F0588" w:rsidP="00013360">
      <w:pPr>
        <w:pStyle w:val="CaseTitle"/>
        <w:spacing w:after="0" w:line="240" w:lineRule="auto"/>
        <w:rPr>
          <w:sz w:val="20"/>
          <w:szCs w:val="20"/>
          <w:lang w:val="en-GB"/>
        </w:rPr>
      </w:pPr>
    </w:p>
    <w:p w14:paraId="03B83CE4" w14:textId="77777777" w:rsidR="002F0588" w:rsidRPr="009C1935" w:rsidRDefault="002F0588" w:rsidP="00013360">
      <w:pPr>
        <w:pStyle w:val="CaseTitle"/>
        <w:spacing w:after="0" w:line="240" w:lineRule="auto"/>
        <w:rPr>
          <w:sz w:val="20"/>
          <w:szCs w:val="20"/>
          <w:lang w:val="en-GB"/>
        </w:rPr>
      </w:pPr>
    </w:p>
    <w:p w14:paraId="4E04A8E1" w14:textId="7ECC39A1" w:rsidR="002F0588" w:rsidRPr="009C1935" w:rsidRDefault="002F0588" w:rsidP="00104567">
      <w:pPr>
        <w:pStyle w:val="StyleCopyrightStatementAfter0ptBottomSinglesolidline1"/>
        <w:rPr>
          <w:lang w:val="en-GB"/>
        </w:rPr>
      </w:pPr>
      <w:r w:rsidRPr="009C1935">
        <w:rPr>
          <w:lang w:val="en-GB"/>
        </w:rPr>
        <w:t xml:space="preserve">Narendra </w:t>
      </w:r>
      <w:proofErr w:type="spellStart"/>
      <w:r w:rsidRPr="009C1935">
        <w:rPr>
          <w:lang w:val="en-GB"/>
        </w:rPr>
        <w:t>Nath</w:t>
      </w:r>
      <w:proofErr w:type="spellEnd"/>
      <w:r w:rsidRPr="009C1935">
        <w:rPr>
          <w:lang w:val="en-GB"/>
        </w:rPr>
        <w:t xml:space="preserve"> </w:t>
      </w:r>
      <w:proofErr w:type="spellStart"/>
      <w:r w:rsidRPr="009C1935">
        <w:rPr>
          <w:lang w:val="en-GB"/>
        </w:rPr>
        <w:t>Kushwaha</w:t>
      </w:r>
      <w:proofErr w:type="spellEnd"/>
      <w:r w:rsidRPr="009C1935">
        <w:rPr>
          <w:lang w:val="en-GB"/>
        </w:rPr>
        <w:t xml:space="preserve">, </w:t>
      </w:r>
      <w:proofErr w:type="spellStart"/>
      <w:r w:rsidRPr="009C1935">
        <w:rPr>
          <w:lang w:val="en-GB"/>
        </w:rPr>
        <w:t>Bipin</w:t>
      </w:r>
      <w:proofErr w:type="spellEnd"/>
      <w:r w:rsidRPr="009C1935">
        <w:rPr>
          <w:lang w:val="en-GB"/>
        </w:rPr>
        <w:t xml:space="preserve"> Kumar Dixit, and David Sharp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3CFA678" w14:textId="77777777" w:rsidR="002F0588" w:rsidRPr="009C1935" w:rsidRDefault="002F0588" w:rsidP="00104567">
      <w:pPr>
        <w:pStyle w:val="StyleCopyrightStatementAfter0ptBottomSinglesolidline1"/>
        <w:rPr>
          <w:lang w:val="en-GB"/>
        </w:rPr>
      </w:pPr>
    </w:p>
    <w:p w14:paraId="7031FE31" w14:textId="0E6A1BE0" w:rsidR="002F0588" w:rsidRPr="009C1935" w:rsidRDefault="000D76D2" w:rsidP="003B7EF2">
      <w:pPr>
        <w:pStyle w:val="StyleStyleCopyrightStatementAfter0ptBottomSinglesolid"/>
        <w:rPr>
          <w:lang w:val="en-GB"/>
        </w:rPr>
      </w:pPr>
      <w:r>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cs="Arial"/>
            <w:szCs w:val="16"/>
            <w:lang w:val="en-CA"/>
          </w:rPr>
          <w:t>cases@ivey.ca</w:t>
        </w:r>
      </w:hyperlink>
      <w:r>
        <w:rPr>
          <w:rFonts w:cs="Arial"/>
          <w:szCs w:val="16"/>
          <w:lang w:val="en-CA"/>
        </w:rPr>
        <w:t xml:space="preserve">; </w:t>
      </w:r>
      <w:hyperlink r:id="rId12" w:history="1">
        <w:r w:rsidRPr="00452769">
          <w:rPr>
            <w:rFonts w:cs="Arial"/>
            <w:szCs w:val="16"/>
            <w:lang w:val="en-CA"/>
          </w:rPr>
          <w:t>www.iveycases.com</w:t>
        </w:r>
      </w:hyperlink>
      <w:r>
        <w:rPr>
          <w:rFonts w:cs="Arial"/>
          <w:szCs w:val="16"/>
          <w:lang w:val="en-CA"/>
        </w:rPr>
        <w:t>.</w:t>
      </w:r>
    </w:p>
    <w:p w14:paraId="02E930D3" w14:textId="77777777" w:rsidR="002F0588" w:rsidRPr="009C1935" w:rsidRDefault="002F0588" w:rsidP="003B7EF2">
      <w:pPr>
        <w:pStyle w:val="StyleStyleCopyrightStatementAfter0ptBottomSinglesolid"/>
        <w:rPr>
          <w:lang w:val="en-GB"/>
        </w:rPr>
      </w:pPr>
    </w:p>
    <w:p w14:paraId="4702B278" w14:textId="6B600F90" w:rsidR="002F0588" w:rsidRPr="009C1935" w:rsidRDefault="000D76D2" w:rsidP="003B7EF2">
      <w:pPr>
        <w:pStyle w:val="StyleStyleCopyrightStatementAfter0ptBottomSinglesolid"/>
        <w:rPr>
          <w:lang w:val="en-GB"/>
        </w:rPr>
      </w:pPr>
      <w:r>
        <w:t>Copyright © 20</w:t>
      </w:r>
      <w:r w:rsidR="0008572C">
        <w:t>17</w:t>
      </w:r>
      <w:r>
        <w:t>, Richard Ivey School of Business Foundation</w:t>
      </w:r>
      <w:r w:rsidR="002F0588" w:rsidRPr="009C1935">
        <w:rPr>
          <w:lang w:val="en-GB"/>
        </w:rPr>
        <w:tab/>
        <w:t>Version: 2017-0</w:t>
      </w:r>
      <w:r w:rsidR="008F1D1E">
        <w:rPr>
          <w:lang w:val="en-GB"/>
        </w:rPr>
        <w:t>8</w:t>
      </w:r>
      <w:r w:rsidR="002F0588" w:rsidRPr="009C1935">
        <w:rPr>
          <w:lang w:val="en-GB"/>
        </w:rPr>
        <w:t>-</w:t>
      </w:r>
      <w:r w:rsidR="0008572C">
        <w:rPr>
          <w:lang w:val="en-GB"/>
        </w:rPr>
        <w:t>15</w:t>
      </w:r>
    </w:p>
    <w:p w14:paraId="4D8578B1" w14:textId="77777777" w:rsidR="002F0588" w:rsidRPr="009C1935" w:rsidRDefault="002F0588" w:rsidP="00104567">
      <w:pPr>
        <w:pStyle w:val="StyleCopyrightStatementAfter0ptBottomSinglesolidline1"/>
        <w:rPr>
          <w:rFonts w:ascii="Times New Roman" w:hAnsi="Times New Roman"/>
          <w:i w:val="0"/>
          <w:sz w:val="20"/>
          <w:lang w:val="en-GB"/>
        </w:rPr>
      </w:pPr>
    </w:p>
    <w:p w14:paraId="1473F9A4" w14:textId="77777777" w:rsidR="002F0588" w:rsidRPr="009C1935" w:rsidRDefault="002F0588" w:rsidP="00104567">
      <w:pPr>
        <w:pStyle w:val="StyleCopyrightStatementAfter0ptBottomSinglesolidline1"/>
        <w:rPr>
          <w:rFonts w:ascii="Times New Roman" w:hAnsi="Times New Roman"/>
          <w:i w:val="0"/>
          <w:sz w:val="20"/>
          <w:lang w:val="en-GB"/>
        </w:rPr>
      </w:pPr>
    </w:p>
    <w:p w14:paraId="403CCC2A" w14:textId="77777777" w:rsidR="002F0588" w:rsidRPr="009C1935" w:rsidRDefault="002F0588" w:rsidP="00453FA9">
      <w:pPr>
        <w:pStyle w:val="BodyTextMain"/>
        <w:ind w:left="720"/>
        <w:rPr>
          <w:lang w:val="en-GB"/>
        </w:rPr>
      </w:pPr>
      <w:r w:rsidRPr="009C1935">
        <w:rPr>
          <w:lang w:val="en-GB"/>
        </w:rPr>
        <w:t>“‘Quality’ and ‘affordability’ are not mutually exclusive when it comes to healthcare delivery.”</w:t>
      </w:r>
    </w:p>
    <w:p w14:paraId="77713AF3" w14:textId="19D199B2" w:rsidR="002F0588" w:rsidRPr="009C1935" w:rsidRDefault="002F0588" w:rsidP="00453FA9">
      <w:pPr>
        <w:pStyle w:val="BodyTextMain"/>
        <w:jc w:val="right"/>
        <w:rPr>
          <w:lang w:val="en-GB"/>
        </w:rPr>
      </w:pPr>
      <w:r w:rsidRPr="009C1935">
        <w:rPr>
          <w:lang w:val="en-GB"/>
        </w:rPr>
        <w:t>–</w:t>
      </w:r>
      <w:proofErr w:type="spellStart"/>
      <w:r w:rsidRPr="009C1935">
        <w:rPr>
          <w:lang w:val="en-GB"/>
        </w:rPr>
        <w:t>Dr.</w:t>
      </w:r>
      <w:proofErr w:type="spellEnd"/>
      <w:r w:rsidRPr="009C1935">
        <w:rPr>
          <w:lang w:val="en-GB"/>
        </w:rPr>
        <w:t xml:space="preserve"> Devi Prasad Shetty, founder &amp; chairman, Narayana Health</w:t>
      </w:r>
    </w:p>
    <w:p w14:paraId="4DEF785C" w14:textId="77777777" w:rsidR="002F0588" w:rsidRPr="009C1935" w:rsidRDefault="002F0588" w:rsidP="00453FA9">
      <w:pPr>
        <w:pStyle w:val="BodyTextMain"/>
        <w:rPr>
          <w:lang w:val="en-GB"/>
        </w:rPr>
      </w:pPr>
    </w:p>
    <w:p w14:paraId="76E93377" w14:textId="36263C45" w:rsidR="002F0588" w:rsidRPr="009C1935" w:rsidRDefault="002F0588" w:rsidP="00453FA9">
      <w:pPr>
        <w:pStyle w:val="BodyTextMain"/>
        <w:rPr>
          <w:lang w:val="en-GB"/>
        </w:rPr>
      </w:pPr>
      <w:r w:rsidRPr="009C1935">
        <w:rPr>
          <w:lang w:val="en-GB"/>
        </w:rPr>
        <w:t xml:space="preserve">On August 29, 2015, Narayana </w:t>
      </w:r>
      <w:proofErr w:type="spellStart"/>
      <w:r w:rsidRPr="009C1935">
        <w:rPr>
          <w:lang w:val="en-GB"/>
        </w:rPr>
        <w:t>Hrudayalaya</w:t>
      </w:r>
      <w:proofErr w:type="spellEnd"/>
      <w:r w:rsidRPr="009C1935">
        <w:rPr>
          <w:lang w:val="en-GB"/>
        </w:rPr>
        <w:t xml:space="preserve"> Private Limited (NH), one of the leading healthcare providers in India, received the certificate of incorporation to become Narayana </w:t>
      </w:r>
      <w:proofErr w:type="spellStart"/>
      <w:r w:rsidRPr="009C1935">
        <w:rPr>
          <w:lang w:val="en-GB"/>
        </w:rPr>
        <w:t>Hrudayalaya</w:t>
      </w:r>
      <w:proofErr w:type="spellEnd"/>
      <w:r w:rsidRPr="009C1935">
        <w:rPr>
          <w:lang w:val="en-GB"/>
        </w:rPr>
        <w:t xml:space="preserve"> Limited (Narayana Health</w:t>
      </w:r>
      <w:r w:rsidRPr="009C1935">
        <w:rPr>
          <w:rStyle w:val="EndnoteReference"/>
          <w:lang w:val="en-GB"/>
        </w:rPr>
        <w:endnoteReference w:id="2"/>
      </w:r>
      <w:r w:rsidRPr="009C1935">
        <w:rPr>
          <w:lang w:val="en-GB"/>
        </w:rPr>
        <w:t xml:space="preserve"> or NHL), a public limited company. Over the previous couple of years, major private equity (PE) investors—namely, JP Morgan Mauritius Holdings IV Limited (JPMorgan), </w:t>
      </w:r>
      <w:proofErr w:type="spellStart"/>
      <w:r w:rsidRPr="009C1935">
        <w:rPr>
          <w:lang w:val="en-GB"/>
        </w:rPr>
        <w:t>Ashoka</w:t>
      </w:r>
      <w:proofErr w:type="spellEnd"/>
      <w:r w:rsidRPr="009C1935">
        <w:rPr>
          <w:lang w:val="en-GB"/>
        </w:rPr>
        <w:t xml:space="preserve"> Investment Holdings Limited (</w:t>
      </w:r>
      <w:proofErr w:type="spellStart"/>
      <w:r w:rsidRPr="009C1935">
        <w:rPr>
          <w:lang w:val="en-GB"/>
        </w:rPr>
        <w:t>Ashoka</w:t>
      </w:r>
      <w:proofErr w:type="spellEnd"/>
      <w:r w:rsidRPr="009C1935">
        <w:rPr>
          <w:lang w:val="en-GB"/>
        </w:rPr>
        <w:t xml:space="preserve">), and </w:t>
      </w:r>
      <w:proofErr w:type="spellStart"/>
      <w:r w:rsidRPr="009C1935">
        <w:rPr>
          <w:lang w:val="en-GB"/>
        </w:rPr>
        <w:t>Ambadevi</w:t>
      </w:r>
      <w:proofErr w:type="spellEnd"/>
      <w:r w:rsidRPr="009C1935">
        <w:rPr>
          <w:lang w:val="en-GB"/>
        </w:rPr>
        <w:t xml:space="preserve"> Mauritius Holding Limited (</w:t>
      </w:r>
      <w:proofErr w:type="spellStart"/>
      <w:r w:rsidRPr="009C1935">
        <w:rPr>
          <w:lang w:val="en-GB"/>
        </w:rPr>
        <w:t>Ambadevi</w:t>
      </w:r>
      <w:proofErr w:type="spellEnd"/>
      <w:r w:rsidRPr="009C1935">
        <w:rPr>
          <w:lang w:val="en-GB"/>
        </w:rPr>
        <w:t>)—had been contemplating reducing their stake in NH. Taking the company public would provide an exit opportunity to the PE investors, whose ultimate objective was to realize returns by exiting from their investments at the end of the investment cycle.</w:t>
      </w:r>
    </w:p>
    <w:p w14:paraId="6B685876" w14:textId="77777777" w:rsidR="002F0588" w:rsidRPr="009C1935" w:rsidRDefault="002F0588" w:rsidP="00453FA9">
      <w:pPr>
        <w:pStyle w:val="BodyTextMain"/>
        <w:rPr>
          <w:lang w:val="en-GB"/>
        </w:rPr>
      </w:pPr>
    </w:p>
    <w:p w14:paraId="1D168701" w14:textId="73E2F9E8" w:rsidR="002F0588" w:rsidRPr="009C1935" w:rsidRDefault="002F0588" w:rsidP="00453FA9">
      <w:pPr>
        <w:pStyle w:val="BodyTextMain"/>
        <w:rPr>
          <w:lang w:val="en-GB"/>
        </w:rPr>
      </w:pPr>
      <w:r w:rsidRPr="009C1935">
        <w:rPr>
          <w:lang w:val="en-GB"/>
        </w:rPr>
        <w:t>Relying on NH’s robust business model, PE investors had invested heavily in Narayana Health in 2008 and also subsequently in 2014, which helped the company in expanding its network. Generally, PE investors invest for a period of three to seven years in a company and eventually exit from the investment at the opportune time.</w:t>
      </w:r>
      <w:r w:rsidRPr="009C1935">
        <w:rPr>
          <w:rStyle w:val="EndnoteReference"/>
          <w:lang w:val="en-GB"/>
        </w:rPr>
        <w:endnoteReference w:id="3"/>
      </w:r>
      <w:r w:rsidRPr="009C1935">
        <w:rPr>
          <w:lang w:val="en-GB"/>
        </w:rPr>
        <w:t xml:space="preserve"> Though there were catastrophic events happening in the finance sector around the world, prospects for the company in India in 2015 were good, with a stable stock market and the Indian economy rising at a decent pace after several years of </w:t>
      </w:r>
      <w:r w:rsidR="00122978" w:rsidRPr="009C1935">
        <w:rPr>
          <w:lang w:val="en-GB"/>
        </w:rPr>
        <w:t>lacklustre</w:t>
      </w:r>
      <w:r w:rsidRPr="009C1935">
        <w:rPr>
          <w:lang w:val="en-GB"/>
        </w:rPr>
        <w:t xml:space="preserve"> growth. The first half of 2015 witnessed increased initial public offering (IPO) activity, driven by an enhanced need for companies to raise capital in light of the economic recovery, and private equity-backed companies trying to provide an exit route for their investors by capitalizing on the positive sentiments of the market.</w:t>
      </w:r>
      <w:r w:rsidRPr="009C1935">
        <w:rPr>
          <w:vertAlign w:val="superscript"/>
          <w:lang w:val="en-GB"/>
        </w:rPr>
        <w:endnoteReference w:id="4"/>
      </w:r>
    </w:p>
    <w:p w14:paraId="0445E6A4" w14:textId="77777777" w:rsidR="002F0588" w:rsidRPr="009C1935" w:rsidRDefault="002F0588" w:rsidP="00453FA9">
      <w:pPr>
        <w:pStyle w:val="BodyTextMain"/>
        <w:rPr>
          <w:lang w:val="en-GB"/>
        </w:rPr>
      </w:pPr>
    </w:p>
    <w:p w14:paraId="08ADDAAD" w14:textId="659A3583" w:rsidR="002F0588" w:rsidRDefault="002F0588" w:rsidP="00453FA9">
      <w:pPr>
        <w:pStyle w:val="BodyTextMain"/>
        <w:rPr>
          <w:lang w:val="en-GB"/>
        </w:rPr>
      </w:pPr>
      <w:r w:rsidRPr="009C1935">
        <w:rPr>
          <w:lang w:val="en-GB"/>
        </w:rPr>
        <w:t>After consultation with stakeholders—namely, the board of directors, promoters (founders), and management—PE investors of the company decided to go for an IPO through the “offer for sale” (OFS) route, where existing shareholders would sell their shares in the primary market and the company would not receive any proceeds from the offer. The OFS would allow selling shareholders to realize a return on their investment. Given the preparedness of NH and the current state of the Indian economy, PE investors had to decide the value of the IPO and whether the time was appropriate for NH to go public.</w:t>
      </w:r>
    </w:p>
    <w:p w14:paraId="17C022B9" w14:textId="77777777" w:rsidR="00BF2E9D" w:rsidRDefault="00BF2E9D" w:rsidP="00453FA9">
      <w:pPr>
        <w:pStyle w:val="BodyTextMain"/>
        <w:rPr>
          <w:lang w:val="en-GB"/>
        </w:rPr>
      </w:pPr>
    </w:p>
    <w:p w14:paraId="4100C57C" w14:textId="77777777" w:rsidR="00BF2E9D" w:rsidRPr="009C1935" w:rsidRDefault="00BF2E9D" w:rsidP="00453FA9">
      <w:pPr>
        <w:pStyle w:val="BodyTextMain"/>
        <w:rPr>
          <w:lang w:val="en-GB"/>
        </w:rPr>
      </w:pPr>
    </w:p>
    <w:p w14:paraId="09EAD416" w14:textId="77777777" w:rsidR="002F0588" w:rsidRPr="009C1935" w:rsidRDefault="002F0588" w:rsidP="0037757F">
      <w:pPr>
        <w:pStyle w:val="Casehead1"/>
        <w:keepNext/>
        <w:keepLines/>
        <w:rPr>
          <w:lang w:val="en-GB"/>
        </w:rPr>
      </w:pPr>
      <w:r w:rsidRPr="009C1935">
        <w:rPr>
          <w:lang w:val="en-GB"/>
        </w:rPr>
        <w:lastRenderedPageBreak/>
        <w:t>MACROECONOMIC CONDITIONS</w:t>
      </w:r>
    </w:p>
    <w:p w14:paraId="10D6F9CE" w14:textId="77777777" w:rsidR="002F0588" w:rsidRPr="009C1935" w:rsidRDefault="002F0588" w:rsidP="0037757F">
      <w:pPr>
        <w:pStyle w:val="BodyTextMain"/>
        <w:keepNext/>
        <w:keepLines/>
        <w:rPr>
          <w:lang w:val="en-GB"/>
        </w:rPr>
      </w:pPr>
    </w:p>
    <w:p w14:paraId="223A14F3" w14:textId="0E75FD06" w:rsidR="002F0588" w:rsidRPr="009C1935" w:rsidRDefault="002F0588" w:rsidP="0037757F">
      <w:pPr>
        <w:pStyle w:val="BodyTextMain"/>
        <w:keepNext/>
        <w:keepLines/>
        <w:rPr>
          <w:lang w:val="en-GB"/>
        </w:rPr>
      </w:pPr>
      <w:r w:rsidRPr="009C1935">
        <w:rPr>
          <w:lang w:val="en-GB"/>
        </w:rPr>
        <w:t>In financial year (FY) 2014–2015, the Indian economy grew by 7.3 per cent, and it was projected to grow at 7.3 per cent and 7.5 per cent in FY 2015–2016 and FY 2016–2017, respectively, by the International Monetary Fund (IMF).</w:t>
      </w:r>
      <w:r w:rsidRPr="009C1935">
        <w:rPr>
          <w:rStyle w:val="EndnoteReference"/>
          <w:lang w:val="en-GB"/>
        </w:rPr>
        <w:endnoteReference w:id="5"/>
      </w:r>
      <w:r w:rsidRPr="009C1935">
        <w:rPr>
          <w:lang w:val="en-GB"/>
        </w:rPr>
        <w:t xml:space="preserve"> India’s FY 2016–2017 growth rate projection surpassed China’s projection and made it the fastest-growing major economy. As of 2014 data of the World Bank, India was ranked as the ninth-largest economy with a gross domestic product (GDP) of $2 trillion, but in terms of per capita GDP, India was ranked very low, at 127th among 199 countries.</w:t>
      </w:r>
      <w:r w:rsidRPr="009C1935">
        <w:rPr>
          <w:vertAlign w:val="superscript"/>
          <w:lang w:val="en-GB"/>
        </w:rPr>
        <w:endnoteReference w:id="6"/>
      </w:r>
    </w:p>
    <w:p w14:paraId="29428233" w14:textId="77777777" w:rsidR="002F0588" w:rsidRPr="009C1935" w:rsidRDefault="002F0588" w:rsidP="00453FA9">
      <w:pPr>
        <w:pStyle w:val="BodyTextMain"/>
        <w:rPr>
          <w:lang w:val="en-GB"/>
        </w:rPr>
      </w:pPr>
    </w:p>
    <w:p w14:paraId="7789A2C9" w14:textId="5F788E1E" w:rsidR="002F0588" w:rsidRPr="009C1935" w:rsidRDefault="002F0588" w:rsidP="00453FA9">
      <w:pPr>
        <w:pStyle w:val="BodyTextMain"/>
        <w:rPr>
          <w:lang w:val="en-GB"/>
        </w:rPr>
      </w:pPr>
      <w:r w:rsidRPr="009C1935">
        <w:rPr>
          <w:lang w:val="en-GB"/>
        </w:rPr>
        <w:t>In 2014, global crude oil prices fell to $57.33 per barrel, registering a 47 per cent decline in the global market, and they were expected to drop further to $30 per barrel by the end of 2015.</w:t>
      </w:r>
      <w:r w:rsidRPr="009C1935">
        <w:rPr>
          <w:rStyle w:val="EndnoteReference"/>
          <w:lang w:val="en-GB"/>
        </w:rPr>
        <w:endnoteReference w:id="7"/>
      </w:r>
      <w:r w:rsidRPr="009C1935">
        <w:rPr>
          <w:lang w:val="en-GB"/>
        </w:rPr>
        <w:t xml:space="preserve"> This significant drop in crude oil prices had a positive impact on the Indian economy because India imported approximately 80 per cent of its oil requirements. Sectors like information technology, healthcare, telecom, infrastructure, and retail were </w:t>
      </w:r>
      <w:proofErr w:type="gramStart"/>
      <w:r w:rsidRPr="009C1935">
        <w:rPr>
          <w:lang w:val="en-GB"/>
        </w:rPr>
        <w:t>key</w:t>
      </w:r>
      <w:proofErr w:type="gramEnd"/>
      <w:r w:rsidRPr="009C1935">
        <w:rPr>
          <w:lang w:val="en-GB"/>
        </w:rPr>
        <w:t xml:space="preserve"> to the growth of the economy. IMF managing director Christine </w:t>
      </w:r>
      <w:proofErr w:type="spellStart"/>
      <w:r w:rsidRPr="009C1935">
        <w:rPr>
          <w:lang w:val="en-GB"/>
        </w:rPr>
        <w:t>Lagarde</w:t>
      </w:r>
      <w:proofErr w:type="spellEnd"/>
      <w:r w:rsidRPr="009C1935">
        <w:rPr>
          <w:lang w:val="en-GB"/>
        </w:rPr>
        <w:t xml:space="preserve"> had famously noted India as a “bright spot” in the world economy.</w:t>
      </w:r>
      <w:r w:rsidRPr="009C1935">
        <w:rPr>
          <w:rStyle w:val="EndnoteReference"/>
          <w:lang w:val="en-GB"/>
        </w:rPr>
        <w:endnoteReference w:id="8"/>
      </w:r>
    </w:p>
    <w:p w14:paraId="7636E510" w14:textId="77777777" w:rsidR="002F0588" w:rsidRPr="009C1935" w:rsidRDefault="002F0588" w:rsidP="00453FA9">
      <w:pPr>
        <w:pStyle w:val="BodyTextMain"/>
        <w:rPr>
          <w:lang w:val="en-GB"/>
        </w:rPr>
      </w:pPr>
    </w:p>
    <w:p w14:paraId="32FE9452" w14:textId="77777777" w:rsidR="002F0588" w:rsidRPr="009C1935" w:rsidRDefault="002F0588" w:rsidP="00453FA9">
      <w:pPr>
        <w:pStyle w:val="BodyTextMain"/>
        <w:rPr>
          <w:lang w:val="en-GB"/>
        </w:rPr>
      </w:pPr>
    </w:p>
    <w:p w14:paraId="6B8CCADA" w14:textId="77777777" w:rsidR="002F0588" w:rsidRPr="009C1935" w:rsidRDefault="002F0588" w:rsidP="00453FA9">
      <w:pPr>
        <w:pStyle w:val="Casehead1"/>
        <w:rPr>
          <w:lang w:val="en-GB"/>
        </w:rPr>
      </w:pPr>
      <w:r w:rsidRPr="009C1935">
        <w:rPr>
          <w:lang w:val="en-GB"/>
        </w:rPr>
        <w:t>THE INDIAN HEALTHCARE INDUSTRY</w:t>
      </w:r>
    </w:p>
    <w:p w14:paraId="134F0ED3" w14:textId="77777777" w:rsidR="002F0588" w:rsidRPr="009C1935" w:rsidRDefault="002F0588" w:rsidP="00453FA9">
      <w:pPr>
        <w:pStyle w:val="BodyTextMain"/>
        <w:rPr>
          <w:lang w:val="en-GB"/>
        </w:rPr>
      </w:pPr>
    </w:p>
    <w:p w14:paraId="5AF8716B" w14:textId="2EF104EB" w:rsidR="002F0588" w:rsidRPr="009C1935" w:rsidRDefault="002F0588" w:rsidP="00453FA9">
      <w:pPr>
        <w:pStyle w:val="BodyTextMain"/>
        <w:rPr>
          <w:lang w:val="en-GB"/>
        </w:rPr>
      </w:pPr>
      <w:r w:rsidRPr="009C1935">
        <w:rPr>
          <w:lang w:val="en-GB"/>
        </w:rPr>
        <w:t>According to the World Health Organization (WHO), India’s total expenditure</w:t>
      </w:r>
      <w:r w:rsidRPr="009C1935">
        <w:rPr>
          <w:rStyle w:val="EndnoteReference"/>
          <w:lang w:val="en-GB"/>
        </w:rPr>
        <w:endnoteReference w:id="9"/>
      </w:r>
      <w:r w:rsidRPr="009C1935">
        <w:rPr>
          <w:lang w:val="en-GB"/>
        </w:rPr>
        <w:t xml:space="preserve"> on healthcare was only 4 per cent of its GDP, compared to developed countries like the United States, which spent 18 per cent of its GDP. In 2013, annual expenditure on health was just $215 per capita.</w:t>
      </w:r>
      <w:r w:rsidRPr="009C1935">
        <w:rPr>
          <w:rStyle w:val="EndnoteReference"/>
          <w:lang w:val="en-GB"/>
        </w:rPr>
        <w:endnoteReference w:id="10"/>
      </w:r>
      <w:r w:rsidRPr="009C1935">
        <w:rPr>
          <w:lang w:val="en-GB"/>
        </w:rPr>
        <w:t xml:space="preserve"> In terms of revenue and employment, healthcare had become one of India’s largest sectors. The Indian healthcare industry was worth $100 billion, and it was expected to grow by a compound annual growth rate of 22.9 per cent to $280 billion by 2020.</w:t>
      </w:r>
      <w:r w:rsidRPr="009C1935">
        <w:rPr>
          <w:rStyle w:val="EndnoteReference"/>
          <w:lang w:val="en-GB"/>
        </w:rPr>
        <w:endnoteReference w:id="11"/>
      </w:r>
    </w:p>
    <w:p w14:paraId="0823FBA1" w14:textId="77777777" w:rsidR="002F0588" w:rsidRPr="009C1935" w:rsidRDefault="002F0588" w:rsidP="00453FA9">
      <w:pPr>
        <w:pStyle w:val="BodyTextMain"/>
        <w:rPr>
          <w:lang w:val="en-GB"/>
        </w:rPr>
      </w:pPr>
    </w:p>
    <w:p w14:paraId="6778F639" w14:textId="6D694962" w:rsidR="002F0588" w:rsidRPr="009C1935" w:rsidRDefault="002F0588" w:rsidP="00453FA9">
      <w:pPr>
        <w:pStyle w:val="BodyTextMain"/>
        <w:rPr>
          <w:lang w:val="en-GB"/>
        </w:rPr>
      </w:pPr>
      <w:r w:rsidRPr="009C1935">
        <w:rPr>
          <w:lang w:val="en-GB"/>
        </w:rPr>
        <w:t xml:space="preserve">According to a FICCI–KPMG 2015 report called </w:t>
      </w:r>
      <w:r w:rsidRPr="009C1935">
        <w:rPr>
          <w:i/>
          <w:lang w:val="en-GB"/>
        </w:rPr>
        <w:t>Healthcare: The Neglected GDP Driver</w:t>
      </w:r>
      <w:r w:rsidRPr="009C1935">
        <w:rPr>
          <w:lang w:val="en-GB"/>
        </w:rPr>
        <w:t>, a robust healthcare system drove the GDP growth of an economy and also helped in employment generation and provided opportunities for innovation and entrepreneurship.</w:t>
      </w:r>
      <w:r w:rsidRPr="009C1935">
        <w:rPr>
          <w:rStyle w:val="EndnoteReference"/>
          <w:lang w:val="en-GB"/>
        </w:rPr>
        <w:endnoteReference w:id="12"/>
      </w:r>
      <w:r w:rsidRPr="009C1935">
        <w:rPr>
          <w:lang w:val="en-GB"/>
        </w:rPr>
        <w:t xml:space="preserve"> Indian healthcare was not yet capable of handling an increasing number of lifestyle diseases. It required private players to invest in rural areas where scope and opportunity of investment lay. The telemedicine market, on the other hand, which had been able to provide increased access to healthcare services at a much lower cost, was expected to grow to $32 million by 2020 from the current level of $15 million.</w:t>
      </w:r>
      <w:r w:rsidRPr="009C1935">
        <w:rPr>
          <w:rStyle w:val="EndnoteReference"/>
          <w:lang w:val="en-GB"/>
        </w:rPr>
        <w:endnoteReference w:id="13"/>
      </w:r>
    </w:p>
    <w:p w14:paraId="268AE564" w14:textId="77777777" w:rsidR="002F0588" w:rsidRPr="009C1935" w:rsidRDefault="002F0588" w:rsidP="00453FA9">
      <w:pPr>
        <w:pStyle w:val="BodyTextMain"/>
        <w:rPr>
          <w:lang w:val="en-GB"/>
        </w:rPr>
      </w:pPr>
    </w:p>
    <w:p w14:paraId="398EEA65" w14:textId="77777777" w:rsidR="002F0588" w:rsidRPr="009C1935" w:rsidRDefault="002F0588" w:rsidP="00453FA9">
      <w:pPr>
        <w:pStyle w:val="BodyTextMain"/>
        <w:rPr>
          <w:lang w:val="en-GB"/>
        </w:rPr>
      </w:pPr>
      <w:r w:rsidRPr="009C1935">
        <w:rPr>
          <w:lang w:val="en-GB"/>
        </w:rPr>
        <w:t>Life expectancy at birth of people in India had increased from 41.38 years in 1960 to 68 years in 2014.</w:t>
      </w:r>
      <w:r w:rsidRPr="009C1935">
        <w:rPr>
          <w:rStyle w:val="EndnoteReference"/>
          <w:lang w:val="en-GB"/>
        </w:rPr>
        <w:endnoteReference w:id="14"/>
      </w:r>
      <w:r w:rsidRPr="009C1935">
        <w:rPr>
          <w:lang w:val="en-GB"/>
        </w:rPr>
        <w:t xml:space="preserve"> Healthcare played a major contribution in achieving this feat; however, with the increase in life expectancy at birth, people required healthcare access for a longer period of time. </w:t>
      </w:r>
    </w:p>
    <w:p w14:paraId="3AC2FFF4" w14:textId="77777777" w:rsidR="002F0588" w:rsidRPr="009C1935" w:rsidRDefault="002F0588" w:rsidP="00453FA9">
      <w:pPr>
        <w:pStyle w:val="BodyTextMain"/>
        <w:rPr>
          <w:lang w:val="en-GB"/>
        </w:rPr>
      </w:pPr>
    </w:p>
    <w:p w14:paraId="65E2169E" w14:textId="27B58C2D" w:rsidR="002F0588" w:rsidRPr="009C1935" w:rsidRDefault="002F0588" w:rsidP="00453FA9">
      <w:pPr>
        <w:pStyle w:val="BodyTextMain"/>
        <w:rPr>
          <w:lang w:val="en-GB"/>
        </w:rPr>
      </w:pPr>
      <w:r w:rsidRPr="009C1935">
        <w:rPr>
          <w:lang w:val="en-GB"/>
        </w:rPr>
        <w:t>However, several challenges remained. The lack of quality healthcare programs in rural India, the growth of the health insurance market, a growing pharmaceutical sector, and an underdeveloped medical devices sector made the Indian healthcare industry a potential investment destination for private players</w:t>
      </w:r>
      <w:r w:rsidRPr="009C1935">
        <w:rPr>
          <w:rStyle w:val="EndnoteReference"/>
          <w:lang w:val="en-GB"/>
        </w:rPr>
        <w:endnoteReference w:id="15"/>
      </w:r>
      <w:r w:rsidRPr="009C1935">
        <w:rPr>
          <w:lang w:val="en-GB"/>
        </w:rPr>
        <w:t xml:space="preserve"> and investors. An increase in the ageing population, a rise in the income of the middle class, and an increase in sedentary lifestyles that gave rise to lifestyle diseases also reflected the potential for the future growth of the Indian healthcare industry. According to the World Economic Forum and the Harvard School of Public Health, using their EPIC model, it was estimated that India would incur a loss of $5 trillion between 2012 and 2030 due to </w:t>
      </w:r>
      <w:proofErr w:type="spellStart"/>
      <w:r w:rsidRPr="009C1935">
        <w:rPr>
          <w:lang w:val="en-GB"/>
        </w:rPr>
        <w:t>noncommunicable</w:t>
      </w:r>
      <w:proofErr w:type="spellEnd"/>
      <w:r w:rsidRPr="009C1935">
        <w:rPr>
          <w:lang w:val="en-GB"/>
        </w:rPr>
        <w:t xml:space="preserve"> diseases.</w:t>
      </w:r>
      <w:r w:rsidRPr="009C1935">
        <w:rPr>
          <w:rStyle w:val="EndnoteReference"/>
          <w:lang w:val="en-GB"/>
        </w:rPr>
        <w:endnoteReference w:id="16"/>
      </w:r>
      <w:r w:rsidRPr="009C1935">
        <w:rPr>
          <w:lang w:val="en-GB"/>
        </w:rPr>
        <w:t xml:space="preserve"> The creation of healthcare infrastructure, especially in rural areas, was required to provide affordable healthcare to people, and to ensure inclusive growth of the country.</w:t>
      </w:r>
    </w:p>
    <w:p w14:paraId="2D8AA994" w14:textId="77777777" w:rsidR="002F0588" w:rsidRPr="009C1935" w:rsidRDefault="002F0588" w:rsidP="00453FA9">
      <w:pPr>
        <w:pStyle w:val="BodyTextMain"/>
        <w:rPr>
          <w:lang w:val="en-GB"/>
        </w:rPr>
      </w:pPr>
    </w:p>
    <w:p w14:paraId="3B98681C" w14:textId="01CBC23F" w:rsidR="002F0588" w:rsidRPr="009C1935" w:rsidRDefault="002F0588" w:rsidP="00453FA9">
      <w:pPr>
        <w:pStyle w:val="BodyTextMain"/>
        <w:rPr>
          <w:lang w:val="en-GB"/>
        </w:rPr>
      </w:pPr>
      <w:r w:rsidRPr="009C1935">
        <w:rPr>
          <w:lang w:val="en-GB"/>
        </w:rPr>
        <w:lastRenderedPageBreak/>
        <w:t>Under WHO guidelines, 3.5 beds per 1,000 people was the minimum requirement for the healthcare sector; India, which accounted for 21 per cent of world diseases, had just 1.3 beds per 1,000 people and 0.702 doctors per 1,000 people.</w:t>
      </w:r>
      <w:r w:rsidRPr="009C1935">
        <w:rPr>
          <w:rStyle w:val="EndnoteReference"/>
          <w:lang w:val="en-GB"/>
        </w:rPr>
        <w:endnoteReference w:id="17"/>
      </w:r>
      <w:r w:rsidRPr="009C1935">
        <w:rPr>
          <w:lang w:val="en-GB"/>
        </w:rPr>
        <w:t xml:space="preserve"> The number of doctors and beds was insufficient to meet the demand for healthcare services; India would require at least 100,000 additional beds and approximately $50 billion in investment to fulfil its demand.</w:t>
      </w:r>
      <w:r w:rsidRPr="009C1935">
        <w:rPr>
          <w:rStyle w:val="EndnoteReference"/>
          <w:lang w:val="en-GB"/>
        </w:rPr>
        <w:endnoteReference w:id="18"/>
      </w:r>
      <w:r w:rsidRPr="009C1935">
        <w:rPr>
          <w:lang w:val="en-GB"/>
        </w:rPr>
        <w:t xml:space="preserve"> The healthcare system in India was in dire need of investment from domestic as well as foreign private players.</w:t>
      </w:r>
    </w:p>
    <w:p w14:paraId="60DECFBD" w14:textId="77777777" w:rsidR="002F0588" w:rsidRPr="009C1935" w:rsidRDefault="002F0588" w:rsidP="00453FA9">
      <w:pPr>
        <w:pStyle w:val="BodyTextMain"/>
        <w:rPr>
          <w:lang w:val="en-GB"/>
        </w:rPr>
      </w:pPr>
    </w:p>
    <w:p w14:paraId="5ED47022" w14:textId="77777777" w:rsidR="002F0588" w:rsidRPr="009C1935" w:rsidRDefault="002F0588" w:rsidP="00453FA9">
      <w:pPr>
        <w:pStyle w:val="BodyTextMain"/>
        <w:rPr>
          <w:lang w:val="en-GB"/>
        </w:rPr>
      </w:pPr>
    </w:p>
    <w:p w14:paraId="16DEA677" w14:textId="77777777" w:rsidR="002F0588" w:rsidRPr="009C1935" w:rsidRDefault="002F0588" w:rsidP="00453FA9">
      <w:pPr>
        <w:pStyle w:val="Casehead2"/>
        <w:rPr>
          <w:lang w:val="en-GB"/>
        </w:rPr>
      </w:pPr>
      <w:r w:rsidRPr="009C1935">
        <w:rPr>
          <w:lang w:val="en-GB"/>
        </w:rPr>
        <w:t>Competitors</w:t>
      </w:r>
    </w:p>
    <w:p w14:paraId="76A4DC19" w14:textId="77777777" w:rsidR="002F0588" w:rsidRPr="001E6AD6" w:rsidRDefault="002F0588" w:rsidP="001E6AD6">
      <w:pPr>
        <w:pStyle w:val="BodyTextMain"/>
        <w:rPr>
          <w:rFonts w:eastAsia="Calibri"/>
        </w:rPr>
      </w:pPr>
    </w:p>
    <w:p w14:paraId="2D9CA61E" w14:textId="00E79C0C" w:rsidR="002F0588" w:rsidRPr="001E6AD6" w:rsidRDefault="002F0588" w:rsidP="001E6AD6">
      <w:pPr>
        <w:pStyle w:val="BodyTextMain"/>
        <w:rPr>
          <w:rFonts w:eastAsia="Calibri"/>
        </w:rPr>
      </w:pPr>
      <w:r w:rsidRPr="001E6AD6">
        <w:rPr>
          <w:rFonts w:eastAsia="Calibri"/>
        </w:rPr>
        <w:t xml:space="preserve">Apollo Hospitals Enterprise Ltd. (AHEL) and Fortis Healthcare Ltd. (FHL) were the top two private-sector firms by size in the industry, apart from government-owned hospitals, which were not-for-profit (see Exhibit 1). AHEL reported the highest revenue among industry peers with a total of </w:t>
      </w:r>
      <w:r w:rsidRPr="001E6AD6">
        <w:rPr>
          <w:rFonts w:ascii="Tahoma" w:hAnsi="Tahoma" w:cs="Tahoma"/>
        </w:rPr>
        <w:t>₹</w:t>
      </w:r>
      <w:r w:rsidRPr="001E6AD6">
        <w:rPr>
          <w:rFonts w:eastAsia="Calibri"/>
        </w:rPr>
        <w:t>46,380.70 million.</w:t>
      </w:r>
      <w:r w:rsidRPr="001E6AD6">
        <w:rPr>
          <w:rStyle w:val="EndnoteReference"/>
          <w:rFonts w:eastAsia="Calibri"/>
        </w:rPr>
        <w:endnoteReference w:id="19"/>
      </w:r>
      <w:r w:rsidRPr="001E6AD6">
        <w:rPr>
          <w:rFonts w:eastAsia="Calibri"/>
        </w:rPr>
        <w:t xml:space="preserve"> AHEL and FHL were considered to be the main competitors (see Exhibits 2 and 3) of Narayana Health in the healthcare industry, and their enterprise value (EV) was estimated to be </w:t>
      </w:r>
      <w:r w:rsidRPr="001E6AD6">
        <w:rPr>
          <w:rFonts w:ascii="Tahoma" w:hAnsi="Tahoma" w:cs="Tahoma"/>
        </w:rPr>
        <w:t>₹</w:t>
      </w:r>
      <w:r w:rsidRPr="001E6AD6">
        <w:rPr>
          <w:rFonts w:eastAsia="Calibri"/>
        </w:rPr>
        <w:t xml:space="preserve">203,330.97 million and </w:t>
      </w:r>
      <w:r w:rsidRPr="001E6AD6">
        <w:rPr>
          <w:rFonts w:ascii="Tahoma" w:hAnsi="Tahoma" w:cs="Tahoma"/>
        </w:rPr>
        <w:t>₹</w:t>
      </w:r>
      <w:r w:rsidRPr="001E6AD6">
        <w:rPr>
          <w:rFonts w:eastAsia="Calibri"/>
        </w:rPr>
        <w:t xml:space="preserve">87,474.27 million, respectively. On March 31, 2015, AHEL and FHL stocks were trading at </w:t>
      </w:r>
      <w:r w:rsidRPr="001E6AD6">
        <w:rPr>
          <w:rFonts w:ascii="Tahoma" w:hAnsi="Tahoma" w:cs="Tahoma"/>
        </w:rPr>
        <w:t>₹</w:t>
      </w:r>
      <w:r w:rsidRPr="001E6AD6">
        <w:rPr>
          <w:rFonts w:eastAsia="Calibri"/>
        </w:rPr>
        <w:t xml:space="preserve">1,365.45 and </w:t>
      </w:r>
      <w:r w:rsidRPr="001E6AD6">
        <w:rPr>
          <w:rFonts w:ascii="Tahoma" w:hAnsi="Tahoma" w:cs="Tahoma"/>
        </w:rPr>
        <w:t>₹</w:t>
      </w:r>
      <w:r w:rsidRPr="001E6AD6">
        <w:rPr>
          <w:rFonts w:eastAsia="Calibri"/>
        </w:rPr>
        <w:t>164.55 per share, respectively.</w:t>
      </w:r>
    </w:p>
    <w:p w14:paraId="6D9D8A43" w14:textId="77777777" w:rsidR="002F0588" w:rsidRPr="001E6AD6" w:rsidRDefault="002F0588" w:rsidP="001E6AD6">
      <w:pPr>
        <w:pStyle w:val="BodyTextMain"/>
        <w:rPr>
          <w:rFonts w:eastAsia="Calibri"/>
        </w:rPr>
      </w:pPr>
    </w:p>
    <w:p w14:paraId="4FCE237A" w14:textId="77777777" w:rsidR="002F0588" w:rsidRPr="001E6AD6" w:rsidRDefault="002F0588" w:rsidP="001E6AD6">
      <w:pPr>
        <w:pStyle w:val="BodyTextMain"/>
        <w:rPr>
          <w:rFonts w:eastAsia="Calibri"/>
        </w:rPr>
      </w:pPr>
    </w:p>
    <w:p w14:paraId="3233D1F8" w14:textId="77777777" w:rsidR="002F0588" w:rsidRPr="009C1935" w:rsidRDefault="002F0588" w:rsidP="00453FA9">
      <w:pPr>
        <w:pStyle w:val="Casehead1"/>
        <w:rPr>
          <w:lang w:val="en-GB"/>
        </w:rPr>
      </w:pPr>
      <w:r w:rsidRPr="009C1935">
        <w:rPr>
          <w:lang w:val="en-GB"/>
        </w:rPr>
        <w:t>NARAYANA HEALTH</w:t>
      </w:r>
    </w:p>
    <w:p w14:paraId="090AD7FC" w14:textId="77777777" w:rsidR="002F0588" w:rsidRPr="00ED581D" w:rsidRDefault="002F0588" w:rsidP="00ED581D">
      <w:pPr>
        <w:pStyle w:val="BodyTextMain"/>
      </w:pPr>
    </w:p>
    <w:p w14:paraId="000C9D91" w14:textId="505A16F7" w:rsidR="002F0588" w:rsidRPr="00ED581D" w:rsidRDefault="002F0588" w:rsidP="00ED581D">
      <w:pPr>
        <w:pStyle w:val="BodyTextMain"/>
      </w:pPr>
      <w:r w:rsidRPr="00ED581D">
        <w:t xml:space="preserve">Narayana Health was established with 225 operational beds in 2000 in Bengaluru, India, by Dr. Devi Prasad Shetty, a renowned cardiac surgeon. By the end of August 2015, Narayana Health had a network of 23 hospitals, eight heart </w:t>
      </w:r>
      <w:proofErr w:type="spellStart"/>
      <w:r w:rsidRPr="00ED581D">
        <w:t>centres</w:t>
      </w:r>
      <w:proofErr w:type="spellEnd"/>
      <w:r w:rsidRPr="00ED581D">
        <w:t>, and 24 primary-care facilities across a total of 31 cities, towns, and villages in India, with 5,442 operational beds.</w:t>
      </w:r>
      <w:r w:rsidRPr="00ED581D">
        <w:rPr>
          <w:rStyle w:val="EndnoteReference"/>
        </w:rPr>
        <w:endnoteReference w:id="20"/>
      </w:r>
      <w:r w:rsidRPr="00ED581D">
        <w:t xml:space="preserve"> Dr. Shetty had approximately 33 years of experience as a cardiac surgeon. He had worked at Guy’s Hospital in London, England, Birla Heart Research Centre in Kolkata, and the </w:t>
      </w:r>
      <w:proofErr w:type="spellStart"/>
      <w:r w:rsidRPr="00ED581D">
        <w:t>Manipal</w:t>
      </w:r>
      <w:proofErr w:type="spellEnd"/>
      <w:r w:rsidRPr="00ED581D">
        <w:t xml:space="preserve"> Heart Foundation in Bangalore, India,</w:t>
      </w:r>
      <w:r w:rsidRPr="00ED581D">
        <w:rPr>
          <w:rStyle w:val="EndnoteReference"/>
        </w:rPr>
        <w:endnoteReference w:id="21"/>
      </w:r>
      <w:r w:rsidRPr="00ED581D">
        <w:t xml:space="preserve"> before establishing Narayana Health and becoming an entrepreneur himself.</w:t>
      </w:r>
    </w:p>
    <w:p w14:paraId="7F056DEF" w14:textId="77777777" w:rsidR="002F0588" w:rsidRPr="00ED581D" w:rsidRDefault="002F0588" w:rsidP="00ED581D">
      <w:pPr>
        <w:pStyle w:val="BodyTextMain"/>
      </w:pPr>
    </w:p>
    <w:p w14:paraId="0E5754C0" w14:textId="669B9B8F" w:rsidR="002F0588" w:rsidRPr="00ED581D" w:rsidRDefault="002F0588" w:rsidP="00ED581D">
      <w:pPr>
        <w:pStyle w:val="BodyTextMain"/>
        <w:rPr>
          <w:rFonts w:eastAsia="Calibri"/>
        </w:rPr>
      </w:pPr>
      <w:r w:rsidRPr="00ED581D">
        <w:t>Dr. Shetty had always had a fear of losing his mother during his childhood; the recurrent illness of his own parents inspired him to become a doctor.</w:t>
      </w:r>
      <w:r w:rsidRPr="00ED581D">
        <w:rPr>
          <w:rStyle w:val="EndnoteReference"/>
        </w:rPr>
        <w:endnoteReference w:id="22"/>
      </w:r>
      <w:r w:rsidRPr="00ED581D">
        <w:rPr>
          <w:vertAlign w:val="superscript"/>
        </w:rPr>
        <w:t xml:space="preserve"> </w:t>
      </w:r>
      <w:r w:rsidRPr="00ED581D">
        <w:rPr>
          <w:rFonts w:eastAsia="Calibri"/>
        </w:rPr>
        <w:t>He also had the privilege of being a personal physician to Mother Teresa, and her philosophy inspired him to think about affordable healthcare</w:t>
      </w:r>
      <w:r w:rsidRPr="00ED581D">
        <w:rPr>
          <w:rStyle w:val="EndnoteReference"/>
          <w:rFonts w:eastAsia="Calibri"/>
        </w:rPr>
        <w:endnoteReference w:id="23"/>
      </w:r>
      <w:r w:rsidRPr="00ED581D">
        <w:rPr>
          <w:rFonts w:eastAsia="Calibri"/>
        </w:rPr>
        <w:t xml:space="preserve"> for poor people. Mother Teresa’s statement that “</w:t>
      </w:r>
      <w:r w:rsidRPr="00ED581D">
        <w:t>Hands that serve are more sacred than lips that pray” had always inspired him to work for making healthcare available and affordable to all. The affordability of healthcare had always been a major concern for people in India; many families lived in fear of losing their loved ones because they could not afford the cost of medical treatment. Dr. Shetty said, “A solution is not a solution unless it is affordable.”</w:t>
      </w:r>
      <w:r w:rsidRPr="00ED581D">
        <w:rPr>
          <w:rFonts w:eastAsia="Calibri"/>
        </w:rPr>
        <w:t xml:space="preserve"> Disassociating healthcare from affluence had always been Narayana Health’s primary goal.</w:t>
      </w:r>
      <w:r w:rsidRPr="00ED581D">
        <w:t xml:space="preserve"> Narayana Health was known for its clinical excellence and process innovation capability. Its widely recognized brand was associated with quality, compassion, and affordable healthcare services in India. </w:t>
      </w:r>
      <w:r w:rsidRPr="00ED581D">
        <w:rPr>
          <w:rFonts w:eastAsia="Calibri"/>
        </w:rPr>
        <w:t>Narayana Health was identified with the following mission statement:</w:t>
      </w:r>
    </w:p>
    <w:p w14:paraId="475B12A8" w14:textId="77777777" w:rsidR="002F0588" w:rsidRPr="00ED581D" w:rsidRDefault="002F0588" w:rsidP="00ED581D">
      <w:pPr>
        <w:pStyle w:val="BodyTextMain"/>
        <w:rPr>
          <w:rFonts w:eastAsia="Calibri"/>
        </w:rPr>
      </w:pPr>
    </w:p>
    <w:p w14:paraId="0BE786C2" w14:textId="77777777" w:rsidR="002F0588" w:rsidRPr="001E6AD6" w:rsidRDefault="002F0588" w:rsidP="001E6AD6">
      <w:pPr>
        <w:pStyle w:val="BodyTextMain"/>
        <w:ind w:left="720"/>
        <w:rPr>
          <w:rFonts w:eastAsia="Calibri"/>
        </w:rPr>
      </w:pPr>
      <w:r w:rsidRPr="001E6AD6">
        <w:rPr>
          <w:rFonts w:eastAsia="Calibri"/>
        </w:rPr>
        <w:t>Our mission is to deliver high quality, affordable healthcare services to the broader population in India. Our core values are represented by the acronym “</w:t>
      </w:r>
      <w:proofErr w:type="spellStart"/>
      <w:r w:rsidRPr="001E6AD6">
        <w:rPr>
          <w:rFonts w:eastAsia="Calibri"/>
        </w:rPr>
        <w:t>iCare</w:t>
      </w:r>
      <w:proofErr w:type="spellEnd"/>
      <w:r w:rsidRPr="001E6AD6">
        <w:rPr>
          <w:rFonts w:eastAsia="Calibri"/>
        </w:rPr>
        <w:t>,” which encompasses Innovation and efficiency, Compassionate care, Accountability, Respect for all, and Excellence as a culture. At the same time, we seek to generate a strong financial performance and deliver long-term value for our shareholders through the execution of our business strategy.</w:t>
      </w:r>
      <w:r w:rsidRPr="001E6AD6">
        <w:rPr>
          <w:rStyle w:val="EndnoteReference"/>
          <w:rFonts w:eastAsia="Calibri"/>
        </w:rPr>
        <w:endnoteReference w:id="24"/>
      </w:r>
    </w:p>
    <w:p w14:paraId="4C297E24" w14:textId="77777777" w:rsidR="002F0588" w:rsidRPr="009C1935" w:rsidRDefault="002F0588" w:rsidP="009558E6">
      <w:pPr>
        <w:pStyle w:val="BodyTextMain"/>
        <w:rPr>
          <w:rFonts w:eastAsia="Calibri"/>
          <w:lang w:val="en-GB"/>
        </w:rPr>
      </w:pPr>
    </w:p>
    <w:p w14:paraId="6ED917B9" w14:textId="54A4946D" w:rsidR="002F0588" w:rsidRPr="009C1935" w:rsidRDefault="002F0588" w:rsidP="009558E6">
      <w:pPr>
        <w:pStyle w:val="BodyTextMain"/>
        <w:rPr>
          <w:lang w:val="en-GB"/>
        </w:rPr>
      </w:pPr>
      <w:r w:rsidRPr="009C1935">
        <w:rPr>
          <w:rFonts w:eastAsia="Calibri"/>
          <w:lang w:val="en-GB"/>
        </w:rPr>
        <w:t xml:space="preserve">The mission of NH was to deliver high-quality, affordable healthcare services to people in India. </w:t>
      </w:r>
      <w:proofErr w:type="spellStart"/>
      <w:r w:rsidRPr="009C1935">
        <w:rPr>
          <w:rFonts w:eastAsia="Calibri"/>
          <w:color w:val="191A1A"/>
          <w:shd w:val="clear" w:color="auto" w:fill="FFFFFF"/>
          <w:lang w:val="en-GB"/>
        </w:rPr>
        <w:t>Dr.</w:t>
      </w:r>
      <w:proofErr w:type="spellEnd"/>
      <w:r w:rsidRPr="009C1935">
        <w:rPr>
          <w:rFonts w:eastAsia="Calibri"/>
          <w:color w:val="191A1A"/>
          <w:shd w:val="clear" w:color="auto" w:fill="FFFFFF"/>
          <w:lang w:val="en-GB"/>
        </w:rPr>
        <w:t xml:space="preserve"> Shetty wanted to build 5,000-bed “health cities” across India and a total of 30,000 beds by 2020;</w:t>
      </w:r>
      <w:r w:rsidRPr="009C1935">
        <w:rPr>
          <w:rStyle w:val="EndnoteReference"/>
          <w:rFonts w:eastAsia="Calibri"/>
          <w:color w:val="191A1A"/>
          <w:shd w:val="clear" w:color="auto" w:fill="FFFFFF"/>
          <w:lang w:val="en-GB"/>
        </w:rPr>
        <w:endnoteReference w:id="25"/>
      </w:r>
      <w:r w:rsidRPr="009C1935">
        <w:rPr>
          <w:rFonts w:eastAsia="Calibri"/>
          <w:color w:val="191A1A"/>
          <w:shd w:val="clear" w:color="auto" w:fill="FFFFFF"/>
          <w:lang w:val="en-GB"/>
        </w:rPr>
        <w:t xml:space="preserve"> his </w:t>
      </w:r>
      <w:r w:rsidRPr="009C1935">
        <w:rPr>
          <w:rFonts w:eastAsia="Calibri"/>
          <w:color w:val="191A1A"/>
          <w:shd w:val="clear" w:color="auto" w:fill="FFFFFF"/>
          <w:lang w:val="en-GB"/>
        </w:rPr>
        <w:lastRenderedPageBreak/>
        <w:t xml:space="preserve">goal was to provide affordable healthcare services to people without compromising on quality. </w:t>
      </w:r>
      <w:r w:rsidRPr="009C1935">
        <w:rPr>
          <w:lang w:val="en-GB"/>
        </w:rPr>
        <w:t>NH had been able to achieve its goal of providing healthcare at a lower cost by applying its economies-of-scale business model, tweaking a few processes, driving hard bargains, and negotiating partnership deals.</w:t>
      </w:r>
      <w:r w:rsidRPr="009C1935">
        <w:rPr>
          <w:rStyle w:val="EndnoteReference"/>
          <w:lang w:val="en-GB"/>
        </w:rPr>
        <w:endnoteReference w:id="26"/>
      </w:r>
      <w:r w:rsidRPr="009C1935">
        <w:rPr>
          <w:lang w:val="en-GB"/>
        </w:rPr>
        <w:t xml:space="preserve"> </w:t>
      </w:r>
      <w:proofErr w:type="spellStart"/>
      <w:r w:rsidRPr="009C1935">
        <w:rPr>
          <w:lang w:val="en-GB"/>
        </w:rPr>
        <w:t>Dr.</w:t>
      </w:r>
      <w:proofErr w:type="spellEnd"/>
      <w:r w:rsidRPr="009C1935">
        <w:rPr>
          <w:lang w:val="en-GB"/>
        </w:rPr>
        <w:t xml:space="preserve"> Shetty said, “The healthcare industry needs more process innovation than product innovation.”</w:t>
      </w:r>
      <w:r w:rsidRPr="009C1935">
        <w:rPr>
          <w:rStyle w:val="EndnoteReference"/>
          <w:lang w:val="en-GB"/>
        </w:rPr>
        <w:endnoteReference w:id="27"/>
      </w:r>
      <w:r w:rsidRPr="009C1935">
        <w:rPr>
          <w:lang w:val="en-GB"/>
        </w:rPr>
        <w:t xml:space="preserve"> </w:t>
      </w:r>
    </w:p>
    <w:p w14:paraId="196FFC96" w14:textId="77777777" w:rsidR="002F0588" w:rsidRPr="009C1935" w:rsidRDefault="002F0588" w:rsidP="009558E6">
      <w:pPr>
        <w:pStyle w:val="BodyTextMain"/>
        <w:rPr>
          <w:lang w:val="en-GB"/>
        </w:rPr>
      </w:pPr>
    </w:p>
    <w:p w14:paraId="7839BB04" w14:textId="06436338" w:rsidR="002F0588" w:rsidRPr="009C1935" w:rsidRDefault="002F0588" w:rsidP="009558E6">
      <w:pPr>
        <w:pStyle w:val="BodyTextMain"/>
        <w:rPr>
          <w:rFonts w:eastAsia="Calibri"/>
          <w:color w:val="191A1A"/>
          <w:shd w:val="clear" w:color="auto" w:fill="FFFFFF"/>
          <w:lang w:val="en-GB"/>
        </w:rPr>
      </w:pPr>
      <w:r w:rsidRPr="009C1935">
        <w:rPr>
          <w:lang w:val="en-GB"/>
        </w:rPr>
        <w:t xml:space="preserve">In 2009, </w:t>
      </w:r>
      <w:r w:rsidRPr="009C1935">
        <w:rPr>
          <w:i/>
          <w:lang w:val="en-GB"/>
        </w:rPr>
        <w:t>The Wall Street Journal</w:t>
      </w:r>
      <w:r w:rsidRPr="009C1935">
        <w:rPr>
          <w:lang w:val="en-GB"/>
        </w:rPr>
        <w:t xml:space="preserve"> described </w:t>
      </w:r>
      <w:proofErr w:type="spellStart"/>
      <w:r w:rsidRPr="009C1935">
        <w:rPr>
          <w:lang w:val="en-GB"/>
        </w:rPr>
        <w:t>Dr.</w:t>
      </w:r>
      <w:proofErr w:type="spellEnd"/>
      <w:r w:rsidRPr="009C1935">
        <w:rPr>
          <w:lang w:val="en-GB"/>
        </w:rPr>
        <w:t xml:space="preserve"> Shetty as “The Henry Ford of Heart Surgery” for doing a large number of surgeries at a lower cost in comparison to other hospitals across the world.</w:t>
      </w:r>
      <w:r w:rsidRPr="009C1935">
        <w:rPr>
          <w:rStyle w:val="EndnoteReference"/>
          <w:lang w:val="en-GB"/>
        </w:rPr>
        <w:endnoteReference w:id="28"/>
      </w:r>
      <w:r w:rsidRPr="009C1935">
        <w:rPr>
          <w:lang w:val="en-GB"/>
        </w:rPr>
        <w:t xml:space="preserve"> In 2011, </w:t>
      </w:r>
      <w:r w:rsidRPr="009C1935">
        <w:rPr>
          <w:i/>
          <w:lang w:val="en-GB"/>
        </w:rPr>
        <w:t xml:space="preserve">The Economist </w:t>
      </w:r>
      <w:r w:rsidRPr="009C1935">
        <w:rPr>
          <w:lang w:val="en-GB"/>
        </w:rPr>
        <w:t xml:space="preserve">gave </w:t>
      </w:r>
      <w:proofErr w:type="spellStart"/>
      <w:r w:rsidRPr="009C1935">
        <w:rPr>
          <w:lang w:val="en-GB"/>
        </w:rPr>
        <w:t>Dr.</w:t>
      </w:r>
      <w:proofErr w:type="spellEnd"/>
      <w:r w:rsidRPr="009C1935">
        <w:rPr>
          <w:lang w:val="en-GB"/>
        </w:rPr>
        <w:t xml:space="preserve"> Shetty an award</w:t>
      </w:r>
      <w:r w:rsidRPr="009C1935" w:rsidDel="002C2BA2">
        <w:rPr>
          <w:lang w:val="en-GB"/>
        </w:rPr>
        <w:t xml:space="preserve"> </w:t>
      </w:r>
      <w:r w:rsidRPr="009C1935">
        <w:rPr>
          <w:lang w:val="en-GB"/>
        </w:rPr>
        <w:t>for a business process innovation that helped Narayana Health reduce healthcare costs using mass-production techniques.</w:t>
      </w:r>
      <w:r w:rsidRPr="009C1935">
        <w:rPr>
          <w:rStyle w:val="EndnoteReference"/>
          <w:lang w:val="en-GB"/>
        </w:rPr>
        <w:endnoteReference w:id="29"/>
      </w:r>
      <w:r w:rsidRPr="009C1935">
        <w:rPr>
          <w:lang w:val="en-GB"/>
        </w:rPr>
        <w:t xml:space="preserve"> Narayana Health’s innovative business model had brought down the cost of healthcare services without compromising on quality. The mortality rate and infection rate at Narayana Health for coronary artery surgery were 1.27 per cent and 1 per cent, respectively, comparable to U.S. hospitals, whereas the incidence of pressure ulcers (bedsores) at NH had been almost zero during the last four years, compared to 8–40 per cent globally.</w:t>
      </w:r>
      <w:r w:rsidRPr="009C1935">
        <w:rPr>
          <w:rStyle w:val="EndnoteReference"/>
          <w:lang w:val="en-GB"/>
        </w:rPr>
        <w:endnoteReference w:id="30"/>
      </w:r>
      <w:r w:rsidRPr="009C1935">
        <w:rPr>
          <w:lang w:val="en-GB"/>
        </w:rPr>
        <w:t xml:space="preserve"> </w:t>
      </w:r>
      <w:r w:rsidRPr="009C1935">
        <w:rPr>
          <w:rFonts w:eastAsia="Calibri"/>
          <w:color w:val="191A1A"/>
          <w:shd w:val="clear" w:color="auto" w:fill="FFFFFF"/>
          <w:lang w:val="en-GB"/>
        </w:rPr>
        <w:t>NH had been honoured with many awards, including “Public Health Champion Award” by the WHO in 2015, under the category of innovation.</w:t>
      </w:r>
      <w:r w:rsidRPr="009C1935">
        <w:rPr>
          <w:rStyle w:val="EndnoteReference"/>
          <w:rFonts w:eastAsia="Calibri"/>
          <w:color w:val="191A1A"/>
          <w:shd w:val="clear" w:color="auto" w:fill="FFFFFF"/>
          <w:lang w:val="en-GB"/>
        </w:rPr>
        <w:endnoteReference w:id="31"/>
      </w:r>
    </w:p>
    <w:p w14:paraId="59C86EF4" w14:textId="77777777" w:rsidR="002F0588" w:rsidRPr="001E6AD6" w:rsidRDefault="002F0588" w:rsidP="001E6AD6">
      <w:pPr>
        <w:pStyle w:val="BodyTextMain"/>
        <w:rPr>
          <w:rFonts w:eastAsia="Calibri"/>
        </w:rPr>
      </w:pPr>
    </w:p>
    <w:p w14:paraId="7955730F" w14:textId="6030C4B4" w:rsidR="002F0588" w:rsidRPr="001E6AD6" w:rsidRDefault="002F0588" w:rsidP="001E6AD6">
      <w:pPr>
        <w:pStyle w:val="BodyTextMain"/>
        <w:rPr>
          <w:rFonts w:eastAsia="Calibri"/>
        </w:rPr>
      </w:pPr>
      <w:r w:rsidRPr="001E6AD6">
        <w:rPr>
          <w:rFonts w:eastAsia="Calibri"/>
        </w:rPr>
        <w:t xml:space="preserve">According to Vijay </w:t>
      </w:r>
      <w:proofErr w:type="spellStart"/>
      <w:r w:rsidRPr="001E6AD6">
        <w:rPr>
          <w:rFonts w:eastAsia="Calibri"/>
        </w:rPr>
        <w:t>Govindarajan</w:t>
      </w:r>
      <w:proofErr w:type="spellEnd"/>
      <w:r w:rsidRPr="001E6AD6">
        <w:rPr>
          <w:rFonts w:eastAsia="Calibri"/>
        </w:rPr>
        <w:t xml:space="preserve">, an expert on strategy and innovation and the </w:t>
      </w:r>
      <w:proofErr w:type="spellStart"/>
      <w:r w:rsidRPr="001E6AD6">
        <w:rPr>
          <w:rFonts w:eastAsia="Calibri"/>
        </w:rPr>
        <w:t>Coxe</w:t>
      </w:r>
      <w:proofErr w:type="spellEnd"/>
      <w:r w:rsidRPr="001E6AD6">
        <w:rPr>
          <w:rFonts w:eastAsia="Calibri"/>
        </w:rPr>
        <w:t xml:space="preserve"> Distinguished Professor at Dartmouth College’s Tuck School of Business, Narayana Health had been able to recruit people who shared its vision that it must provide high-quality healthcare to people, irrespective of their financial and socioeconomic status.</w:t>
      </w:r>
      <w:r w:rsidRPr="001E6AD6">
        <w:rPr>
          <w:rStyle w:val="EndnoteReference"/>
          <w:rFonts w:eastAsia="Calibri"/>
        </w:rPr>
        <w:endnoteReference w:id="32"/>
      </w:r>
      <w:r w:rsidRPr="001E6AD6">
        <w:rPr>
          <w:rFonts w:eastAsia="Calibri"/>
        </w:rPr>
        <w:t xml:space="preserve"> The success of NH in providing high-quality affordable healthcare to poor people had been dependent on the success of low-cost insurance schemes like </w:t>
      </w:r>
      <w:proofErr w:type="spellStart"/>
      <w:r w:rsidRPr="001E6AD6">
        <w:rPr>
          <w:rFonts w:eastAsia="Calibri"/>
        </w:rPr>
        <w:t>Arogya</w:t>
      </w:r>
      <w:proofErr w:type="spellEnd"/>
      <w:r w:rsidRPr="001E6AD6">
        <w:rPr>
          <w:rFonts w:eastAsia="Calibri"/>
        </w:rPr>
        <w:t xml:space="preserve"> </w:t>
      </w:r>
      <w:proofErr w:type="spellStart"/>
      <w:r w:rsidRPr="001E6AD6">
        <w:rPr>
          <w:rFonts w:eastAsia="Calibri"/>
        </w:rPr>
        <w:t>Raksha</w:t>
      </w:r>
      <w:proofErr w:type="spellEnd"/>
      <w:r w:rsidRPr="001E6AD6">
        <w:rPr>
          <w:rFonts w:eastAsia="Calibri"/>
        </w:rPr>
        <w:t xml:space="preserve"> </w:t>
      </w:r>
      <w:proofErr w:type="spellStart"/>
      <w:r w:rsidRPr="001E6AD6">
        <w:rPr>
          <w:rFonts w:eastAsia="Calibri"/>
        </w:rPr>
        <w:t>Yojana</w:t>
      </w:r>
      <w:proofErr w:type="spellEnd"/>
      <w:r w:rsidRPr="001E6AD6">
        <w:rPr>
          <w:rFonts w:eastAsia="Calibri"/>
        </w:rPr>
        <w:t xml:space="preserve"> for the private sector and </w:t>
      </w:r>
      <w:proofErr w:type="spellStart"/>
      <w:r w:rsidRPr="001E6AD6">
        <w:rPr>
          <w:rFonts w:eastAsia="Calibri"/>
        </w:rPr>
        <w:t>Yeshaswini</w:t>
      </w:r>
      <w:proofErr w:type="spellEnd"/>
      <w:r w:rsidRPr="001E6AD6">
        <w:rPr>
          <w:rFonts w:eastAsia="Calibri"/>
        </w:rPr>
        <w:t xml:space="preserve"> for the cooperative sector</w:t>
      </w:r>
      <w:r w:rsidRPr="001E6AD6">
        <w:rPr>
          <w:rStyle w:val="EndnoteReference"/>
          <w:rFonts w:eastAsia="Calibri"/>
        </w:rPr>
        <w:endnoteReference w:id="33"/>
      </w:r>
      <w:r w:rsidRPr="001E6AD6">
        <w:rPr>
          <w:rFonts w:eastAsia="Calibri"/>
        </w:rPr>
        <w:t xml:space="preserve"> and telemedicine. Telemedicine had helped NH in getting patients from rural areas.</w:t>
      </w:r>
    </w:p>
    <w:p w14:paraId="5E2C0048" w14:textId="77777777" w:rsidR="002F0588" w:rsidRPr="009C1935" w:rsidRDefault="002F0588" w:rsidP="009558E6">
      <w:pPr>
        <w:pStyle w:val="BodyTextMain"/>
        <w:rPr>
          <w:rFonts w:eastAsia="Calibri"/>
          <w:color w:val="191A1A"/>
          <w:shd w:val="clear" w:color="auto" w:fill="FFFFFF"/>
          <w:lang w:val="en-GB"/>
        </w:rPr>
      </w:pPr>
    </w:p>
    <w:p w14:paraId="5913B17B" w14:textId="77777777" w:rsidR="002F0588" w:rsidRPr="009C1935" w:rsidRDefault="002F0588" w:rsidP="009558E6">
      <w:pPr>
        <w:pStyle w:val="BodyTextMain"/>
        <w:rPr>
          <w:rFonts w:eastAsia="Calibri"/>
          <w:color w:val="191A1A"/>
          <w:shd w:val="clear" w:color="auto" w:fill="FFFFFF"/>
          <w:lang w:val="en-GB"/>
        </w:rPr>
      </w:pPr>
    </w:p>
    <w:p w14:paraId="638CA807" w14:textId="77777777" w:rsidR="002F0588" w:rsidRPr="001E6AD6" w:rsidRDefault="002F0588" w:rsidP="001E6AD6">
      <w:pPr>
        <w:pStyle w:val="Casehead1"/>
        <w:rPr>
          <w:rFonts w:eastAsia="Calibri"/>
        </w:rPr>
      </w:pPr>
      <w:r w:rsidRPr="001E6AD6">
        <w:rPr>
          <w:rFonts w:eastAsia="Calibri"/>
        </w:rPr>
        <w:t>SOURCES OF FINANCING, RISK, AND GOVERNANCE</w:t>
      </w:r>
      <w:r w:rsidRPr="001E6AD6">
        <w:rPr>
          <w:rStyle w:val="EndnoteReference"/>
          <w:rFonts w:eastAsia="Calibri"/>
        </w:rPr>
        <w:endnoteReference w:id="34"/>
      </w:r>
    </w:p>
    <w:p w14:paraId="26170769" w14:textId="77777777" w:rsidR="002F0588" w:rsidRPr="009C1935" w:rsidRDefault="002F0588" w:rsidP="009558E6">
      <w:pPr>
        <w:pStyle w:val="BodyTextMain"/>
        <w:rPr>
          <w:lang w:val="en-GB"/>
        </w:rPr>
      </w:pPr>
    </w:p>
    <w:p w14:paraId="5C840C14" w14:textId="77777777" w:rsidR="002F0588" w:rsidRPr="009C1935" w:rsidRDefault="002F0588" w:rsidP="009558E6">
      <w:pPr>
        <w:pStyle w:val="BodyTextMain"/>
        <w:rPr>
          <w:lang w:val="en-GB"/>
        </w:rPr>
      </w:pPr>
      <w:r w:rsidRPr="009C1935">
        <w:rPr>
          <w:lang w:val="en-GB"/>
        </w:rPr>
        <w:t>Before the 1990s, there were very limited sources of financing available for businesses in India—namely, bank financing and public equity markets. Private equity (PE) and venture capital (VC) funds then started functioning as an alternative source of financing and had been a significant contributor to India’s economic growth ever since. PE sector had invested more than $103 billion in approximately 3,100 companies in India from 2001 to 2014.</w:t>
      </w:r>
      <w:r w:rsidRPr="009C1935">
        <w:rPr>
          <w:rStyle w:val="EndnoteReference"/>
          <w:lang w:val="en-GB"/>
        </w:rPr>
        <w:endnoteReference w:id="35"/>
      </w:r>
      <w:r w:rsidRPr="009C1935">
        <w:rPr>
          <w:lang w:val="en-GB"/>
        </w:rPr>
        <w:t xml:space="preserve"> In 2015, India was a top destination for PE and VC investors, with total investments of $22.4 billion.</w:t>
      </w:r>
      <w:r w:rsidRPr="009C1935">
        <w:rPr>
          <w:rStyle w:val="EndnoteReference"/>
          <w:lang w:val="en-GB"/>
        </w:rPr>
        <w:endnoteReference w:id="36"/>
      </w:r>
      <w:r w:rsidRPr="009C1935">
        <w:rPr>
          <w:lang w:val="en-GB"/>
        </w:rPr>
        <w:t xml:space="preserve"> This huge interest among PE and VC investors towards India was a result of the strong fundamentals of the country, its young population with rising incomes, its high consumption, and its growing economy.</w:t>
      </w:r>
    </w:p>
    <w:p w14:paraId="50D0394D" w14:textId="77777777" w:rsidR="002F0588" w:rsidRPr="009C1935" w:rsidRDefault="002F0588" w:rsidP="009558E6">
      <w:pPr>
        <w:pStyle w:val="BodyTextMain"/>
        <w:rPr>
          <w:lang w:val="en-GB"/>
        </w:rPr>
      </w:pPr>
    </w:p>
    <w:p w14:paraId="5F33173D" w14:textId="0F6AA630" w:rsidR="002F0588" w:rsidRPr="009C1935" w:rsidRDefault="002F0588" w:rsidP="009558E6">
      <w:pPr>
        <w:pStyle w:val="BodyTextMain"/>
        <w:rPr>
          <w:lang w:val="en-GB"/>
        </w:rPr>
      </w:pPr>
      <w:r w:rsidRPr="009C1935">
        <w:rPr>
          <w:lang w:val="en-GB"/>
        </w:rPr>
        <w:t xml:space="preserve">On February 6, 2008, </w:t>
      </w:r>
      <w:proofErr w:type="spellStart"/>
      <w:r w:rsidRPr="009C1935">
        <w:rPr>
          <w:lang w:val="en-GB"/>
        </w:rPr>
        <w:t>Ashoka</w:t>
      </w:r>
      <w:proofErr w:type="spellEnd"/>
      <w:r w:rsidRPr="009C1935">
        <w:rPr>
          <w:lang w:val="en-GB"/>
        </w:rPr>
        <w:t xml:space="preserve">, </w:t>
      </w:r>
      <w:proofErr w:type="spellStart"/>
      <w:r w:rsidRPr="009C1935">
        <w:rPr>
          <w:lang w:val="en-GB"/>
        </w:rPr>
        <w:t>Ambadevi</w:t>
      </w:r>
      <w:proofErr w:type="spellEnd"/>
      <w:r w:rsidRPr="009C1935">
        <w:rPr>
          <w:lang w:val="en-GB"/>
        </w:rPr>
        <w:t xml:space="preserve">, and JPMorgan invested </w:t>
      </w:r>
      <w:r w:rsidRPr="003C5937">
        <w:rPr>
          <w:rFonts w:ascii="Tahoma" w:hAnsi="Tahoma" w:cs="Tahoma"/>
        </w:rPr>
        <w:t>₹</w:t>
      </w:r>
      <w:r w:rsidRPr="009C1935">
        <w:rPr>
          <w:lang w:val="en-GB"/>
        </w:rPr>
        <w:t xml:space="preserve">4 billion in Narayana Health. </w:t>
      </w:r>
      <w:proofErr w:type="spellStart"/>
      <w:r w:rsidRPr="009C1935">
        <w:rPr>
          <w:lang w:val="en-GB"/>
        </w:rPr>
        <w:t>Ashoka</w:t>
      </w:r>
      <w:proofErr w:type="spellEnd"/>
      <w:r w:rsidRPr="009C1935">
        <w:rPr>
          <w:lang w:val="en-GB"/>
        </w:rPr>
        <w:t xml:space="preserve"> and </w:t>
      </w:r>
      <w:proofErr w:type="spellStart"/>
      <w:r w:rsidRPr="009C1935">
        <w:rPr>
          <w:lang w:val="en-GB"/>
        </w:rPr>
        <w:t>Ambadevi</w:t>
      </w:r>
      <w:proofErr w:type="spellEnd"/>
      <w:r w:rsidRPr="009C1935">
        <w:rPr>
          <w:lang w:val="en-GB"/>
        </w:rPr>
        <w:t xml:space="preserve"> were together referred to as American International Group Inc. (AIG) funds. AIG funds and JPMorgan invested </w:t>
      </w:r>
      <w:r w:rsidRPr="009C1935">
        <w:rPr>
          <w:rFonts w:ascii="Tahoma" w:hAnsi="Tahoma" w:cs="Tahoma"/>
          <w:color w:val="222222"/>
          <w:shd w:val="clear" w:color="auto" w:fill="FFFFFF"/>
          <w:lang w:val="en-GB"/>
        </w:rPr>
        <w:t>₹</w:t>
      </w:r>
      <w:r w:rsidRPr="009C1935">
        <w:rPr>
          <w:lang w:val="en-GB"/>
        </w:rPr>
        <w:t>2 billion each for 25 per cent stakes in Narayana Health.</w:t>
      </w:r>
      <w:r w:rsidRPr="009C1935">
        <w:rPr>
          <w:rStyle w:val="EndnoteReference"/>
          <w:lang w:val="en-GB"/>
        </w:rPr>
        <w:endnoteReference w:id="37"/>
      </w:r>
      <w:r w:rsidRPr="009C1935">
        <w:rPr>
          <w:lang w:val="en-GB"/>
        </w:rPr>
        <w:t xml:space="preserve"> </w:t>
      </w:r>
      <w:proofErr w:type="spellStart"/>
      <w:r w:rsidRPr="009C1935">
        <w:rPr>
          <w:lang w:val="en-GB"/>
        </w:rPr>
        <w:t>Ashoka</w:t>
      </w:r>
      <w:proofErr w:type="spellEnd"/>
      <w:r w:rsidRPr="009C1935">
        <w:rPr>
          <w:lang w:val="en-GB"/>
        </w:rPr>
        <w:t xml:space="preserve"> Holdings was allotted 29,006 equity shares, while 8,701 equity shares were allotted to </w:t>
      </w:r>
      <w:proofErr w:type="spellStart"/>
      <w:r w:rsidRPr="009C1935">
        <w:rPr>
          <w:lang w:val="en-GB"/>
        </w:rPr>
        <w:t>Ambadevi</w:t>
      </w:r>
      <w:proofErr w:type="spellEnd"/>
      <w:r w:rsidRPr="009C1935">
        <w:rPr>
          <w:lang w:val="en-GB"/>
        </w:rPr>
        <w:t xml:space="preserve"> and 37,707 equity shares were allotted to JPMorgan. CDC Group plc invested </w:t>
      </w:r>
      <w:r w:rsidRPr="009C1935">
        <w:rPr>
          <w:rFonts w:ascii="Tahoma" w:hAnsi="Tahoma" w:cs="Tahoma"/>
          <w:color w:val="222222"/>
          <w:shd w:val="clear" w:color="auto" w:fill="FFFFFF"/>
          <w:lang w:val="en-GB"/>
        </w:rPr>
        <w:t>₹</w:t>
      </w:r>
      <w:r w:rsidRPr="009C1935">
        <w:rPr>
          <w:lang w:val="en-GB"/>
        </w:rPr>
        <w:t>2 billion on December 24, 2014, for 20,339 equity shares. It was also given extensive veto rights under the shareholders’ agreement with respect to management of the company. An award of veto rights to PE investors increased the risk of the company. Because PE investors were based outside of India, NH could be considered a foreign-controlled company.</w:t>
      </w:r>
    </w:p>
    <w:p w14:paraId="460F57F3" w14:textId="77777777" w:rsidR="002F0588" w:rsidRPr="009C1935" w:rsidRDefault="002F0588" w:rsidP="009558E6">
      <w:pPr>
        <w:pStyle w:val="BodyTextMain"/>
        <w:rPr>
          <w:lang w:val="en-GB"/>
        </w:rPr>
      </w:pPr>
    </w:p>
    <w:p w14:paraId="55ADE87B" w14:textId="15F3B389" w:rsidR="002F0588" w:rsidRPr="009C1935" w:rsidRDefault="002F0588" w:rsidP="009558E6">
      <w:pPr>
        <w:pStyle w:val="BodyTextMain"/>
        <w:rPr>
          <w:lang w:val="en-GB"/>
        </w:rPr>
      </w:pPr>
      <w:r w:rsidRPr="009C1935">
        <w:rPr>
          <w:lang w:val="en-GB"/>
        </w:rPr>
        <w:t xml:space="preserve">Over the last 15 years of operations, NH had borrowed from banks and financial institutions in the form of term loans, corporate loans, cash credit, overdrafts, and commercial paper. Ten million 10.5 per cent optionally convertible debentures (OCDs) were issued to CDC India Opportunities Limited for a sum of </w:t>
      </w:r>
      <w:r w:rsidRPr="009C1935">
        <w:rPr>
          <w:rFonts w:ascii="Tahoma" w:hAnsi="Tahoma" w:cs="Tahoma"/>
          <w:color w:val="222222"/>
          <w:shd w:val="clear" w:color="auto" w:fill="FFFFFF"/>
          <w:lang w:val="en-GB"/>
        </w:rPr>
        <w:t>₹</w:t>
      </w:r>
      <w:r w:rsidRPr="009C1935">
        <w:rPr>
          <w:lang w:val="en-GB"/>
        </w:rPr>
        <w:t xml:space="preserve">1 billion on December 24, 2014, with the condition that OCDs would be converted into equity shares if </w:t>
      </w:r>
      <w:r w:rsidRPr="009C1935">
        <w:rPr>
          <w:lang w:val="en-GB"/>
        </w:rPr>
        <w:lastRenderedPageBreak/>
        <w:t xml:space="preserve">NH went public. As of March 31, 2015, the total debt capital of NH was </w:t>
      </w:r>
      <w:r w:rsidRPr="009C1935">
        <w:rPr>
          <w:rFonts w:ascii="Tahoma" w:hAnsi="Tahoma" w:cs="Tahoma"/>
          <w:color w:val="222222"/>
          <w:shd w:val="clear" w:color="auto" w:fill="FFFFFF"/>
          <w:lang w:val="en-GB"/>
        </w:rPr>
        <w:t>₹</w:t>
      </w:r>
      <w:r w:rsidRPr="009C1935">
        <w:rPr>
          <w:lang w:val="en-GB"/>
        </w:rPr>
        <w:t>2.01 billion</w:t>
      </w:r>
      <w:r w:rsidR="000154E8" w:rsidRPr="009C1935">
        <w:rPr>
          <w:lang w:val="en-GB"/>
        </w:rPr>
        <w:t xml:space="preserve">, </w:t>
      </w:r>
      <w:r w:rsidRPr="009C1935">
        <w:rPr>
          <w:lang w:val="en-GB"/>
        </w:rPr>
        <w:t xml:space="preserve">whereas total shareholders’ funds were </w:t>
      </w:r>
      <w:r w:rsidRPr="009C1935">
        <w:rPr>
          <w:rFonts w:ascii="Tahoma" w:hAnsi="Tahoma" w:cs="Tahoma"/>
          <w:color w:val="222222"/>
          <w:shd w:val="clear" w:color="auto" w:fill="FFFFFF"/>
          <w:lang w:val="en-GB"/>
        </w:rPr>
        <w:t>₹</w:t>
      </w:r>
      <w:r w:rsidRPr="009C1935">
        <w:rPr>
          <w:lang w:val="en-GB"/>
        </w:rPr>
        <w:t xml:space="preserve">7.91 billion. NH had maintained an average long-term debt ratio of 0.27 in the last five years. It had relied more on private equity investment than on debt capital since its inception. </w:t>
      </w:r>
    </w:p>
    <w:p w14:paraId="0BBCA368" w14:textId="77777777" w:rsidR="002F0588" w:rsidRPr="009C1935" w:rsidRDefault="002F0588" w:rsidP="009558E6">
      <w:pPr>
        <w:pStyle w:val="BodyTextMain"/>
        <w:rPr>
          <w:lang w:val="en-GB"/>
        </w:rPr>
      </w:pPr>
    </w:p>
    <w:p w14:paraId="5ED595C3" w14:textId="5399427A" w:rsidR="002F0588" w:rsidRPr="00684EB3" w:rsidRDefault="002F0588" w:rsidP="00684EB3">
      <w:pPr>
        <w:pStyle w:val="BodyTextMain"/>
        <w:rPr>
          <w:rFonts w:eastAsia="Calibri"/>
        </w:rPr>
      </w:pPr>
      <w:r w:rsidRPr="00684EB3">
        <w:rPr>
          <w:rFonts w:eastAsia="Calibri"/>
        </w:rPr>
        <w:t xml:space="preserve">NH had 10 members on its board, including Dr. Shetty, who was chairman and executive director of the company, five independent directors, and Ms. Kiran </w:t>
      </w:r>
      <w:proofErr w:type="spellStart"/>
      <w:r w:rsidRPr="00684EB3">
        <w:rPr>
          <w:rFonts w:eastAsia="Calibri"/>
        </w:rPr>
        <w:t>Mazumdar</w:t>
      </w:r>
      <w:proofErr w:type="spellEnd"/>
      <w:r w:rsidRPr="00684EB3">
        <w:rPr>
          <w:rFonts w:eastAsia="Calibri"/>
        </w:rPr>
        <w:t xml:space="preserve"> Shaw. PE investors and banks were given the right to appoint nominee directors on the board of the company. </w:t>
      </w:r>
      <w:proofErr w:type="spellStart"/>
      <w:r w:rsidRPr="00684EB3">
        <w:rPr>
          <w:rFonts w:eastAsia="Calibri"/>
        </w:rPr>
        <w:t>Harjit</w:t>
      </w:r>
      <w:proofErr w:type="spellEnd"/>
      <w:r w:rsidRPr="00684EB3">
        <w:rPr>
          <w:rFonts w:eastAsia="Calibri"/>
        </w:rPr>
        <w:t xml:space="preserve"> Singh Bhatia was appointed as nominee director of </w:t>
      </w:r>
      <w:proofErr w:type="spellStart"/>
      <w:r w:rsidRPr="00684EB3">
        <w:rPr>
          <w:rFonts w:eastAsia="Calibri"/>
        </w:rPr>
        <w:t>Ashoka</w:t>
      </w:r>
      <w:proofErr w:type="spellEnd"/>
      <w:r w:rsidRPr="00684EB3">
        <w:rPr>
          <w:rFonts w:eastAsia="Calibri"/>
        </w:rPr>
        <w:t xml:space="preserve"> Holdings and </w:t>
      </w:r>
      <w:proofErr w:type="spellStart"/>
      <w:r w:rsidRPr="00684EB3">
        <w:rPr>
          <w:rFonts w:eastAsia="Calibri"/>
        </w:rPr>
        <w:t>Ambadevi</w:t>
      </w:r>
      <w:proofErr w:type="spellEnd"/>
      <w:r w:rsidRPr="00684EB3">
        <w:rPr>
          <w:rFonts w:eastAsia="Calibri"/>
        </w:rPr>
        <w:t xml:space="preserve"> (see Exhibit 5). Promoters of the company were required to hold at least 51 per cent of share capital at all times, failing </w:t>
      </w:r>
      <w:bookmarkStart w:id="0" w:name="_GoBack"/>
      <w:bookmarkEnd w:id="0"/>
      <w:r w:rsidRPr="00684EB3">
        <w:rPr>
          <w:rFonts w:eastAsia="Calibri"/>
        </w:rPr>
        <w:t>which counterparties were given rights to terminate all arrangements with the company and declare the company “defaulted.” In the case of non-compliance with debt covenants, lenders were given rights to enforce their rights, which included conversion of their debt into equity and taking over control of the management.</w:t>
      </w:r>
    </w:p>
    <w:p w14:paraId="42DF3088" w14:textId="77777777" w:rsidR="002F0588" w:rsidRPr="009C1935" w:rsidRDefault="002F0588" w:rsidP="009558E6">
      <w:pPr>
        <w:pStyle w:val="BodyTextMain"/>
        <w:rPr>
          <w:rFonts w:eastAsia="Calibri"/>
          <w:color w:val="191A1A"/>
          <w:shd w:val="clear" w:color="auto" w:fill="FFFFFF"/>
          <w:lang w:val="en-GB"/>
        </w:rPr>
      </w:pPr>
    </w:p>
    <w:p w14:paraId="0755B151" w14:textId="413B5C65" w:rsidR="002F0588" w:rsidRPr="009C1935" w:rsidRDefault="002F0588" w:rsidP="009558E6">
      <w:pPr>
        <w:pStyle w:val="BodyTextMain"/>
        <w:rPr>
          <w:lang w:val="en-GB"/>
        </w:rPr>
      </w:pPr>
      <w:r w:rsidRPr="009C1935">
        <w:rPr>
          <w:rFonts w:eastAsia="Calibri"/>
          <w:color w:val="191A1A"/>
          <w:shd w:val="clear" w:color="auto" w:fill="FFFFFF"/>
          <w:lang w:val="en-GB"/>
        </w:rPr>
        <w:t>By August 2015</w:t>
      </w:r>
      <w:r w:rsidRPr="009C1935">
        <w:rPr>
          <w:lang w:val="en-GB"/>
        </w:rPr>
        <w:t>, a total of 204,360,804 equity shares were outstanding, owned by promoters</w:t>
      </w:r>
      <w:r w:rsidRPr="009C1935">
        <w:rPr>
          <w:rStyle w:val="EndnoteReference"/>
          <w:lang w:val="en-GB"/>
        </w:rPr>
        <w:endnoteReference w:id="38"/>
      </w:r>
      <w:r w:rsidRPr="009C1935">
        <w:rPr>
          <w:lang w:val="en-GB"/>
        </w:rPr>
        <w:t xml:space="preserve"> and private equity investors. The founder of NH, </w:t>
      </w:r>
      <w:proofErr w:type="spellStart"/>
      <w:r w:rsidRPr="009C1935">
        <w:rPr>
          <w:lang w:val="en-GB"/>
        </w:rPr>
        <w:t>Dr.</w:t>
      </w:r>
      <w:proofErr w:type="spellEnd"/>
      <w:r w:rsidRPr="009C1935">
        <w:rPr>
          <w:lang w:val="en-GB"/>
        </w:rPr>
        <w:t xml:space="preserve"> Shetty, and his wife, </w:t>
      </w:r>
      <w:proofErr w:type="spellStart"/>
      <w:r w:rsidRPr="009C1935">
        <w:rPr>
          <w:lang w:val="en-GB"/>
        </w:rPr>
        <w:t>Shakuntala</w:t>
      </w:r>
      <w:proofErr w:type="spellEnd"/>
      <w:r w:rsidRPr="009C1935">
        <w:rPr>
          <w:lang w:val="en-GB"/>
        </w:rPr>
        <w:t xml:space="preserve"> Shetty, held major chunks of 33.37 per cent and 32.06 per cent of the shares, respectively, as promoters. Majority shareholding in the company provided control of the business to the promoters of the company. Narayana Health had remained profitable in the last five years of operations from FY 2011 to FY 2015 (see Exhibits 6, 7 and 8); its compound annual growth rate had been 29.15 per cent (see Exhibit 9).</w:t>
      </w:r>
    </w:p>
    <w:p w14:paraId="7D803714" w14:textId="77777777" w:rsidR="002F0588" w:rsidRPr="009C1935" w:rsidRDefault="002F0588" w:rsidP="009558E6">
      <w:pPr>
        <w:pStyle w:val="BodyTextMain"/>
        <w:rPr>
          <w:lang w:val="en-GB"/>
        </w:rPr>
      </w:pPr>
    </w:p>
    <w:p w14:paraId="3ACE057C" w14:textId="77777777" w:rsidR="002F0588" w:rsidRPr="009C1935" w:rsidRDefault="002F0588" w:rsidP="009558E6">
      <w:pPr>
        <w:pStyle w:val="BodyTextMain"/>
        <w:rPr>
          <w:lang w:val="en-GB"/>
        </w:rPr>
      </w:pPr>
    </w:p>
    <w:p w14:paraId="0CB52C68" w14:textId="77777777" w:rsidR="002F0588" w:rsidRPr="009C1935" w:rsidRDefault="002F0588" w:rsidP="009558E6">
      <w:pPr>
        <w:pStyle w:val="Casehead1"/>
        <w:rPr>
          <w:rFonts w:eastAsia="Calibri"/>
          <w:lang w:val="en-GB"/>
        </w:rPr>
      </w:pPr>
      <w:r w:rsidRPr="009C1935">
        <w:rPr>
          <w:lang w:val="en-GB"/>
        </w:rPr>
        <w:t>INITIAL PUBLIC OFFERING</w:t>
      </w:r>
      <w:r w:rsidRPr="009C1935">
        <w:rPr>
          <w:rFonts w:eastAsia="Calibri"/>
          <w:lang w:val="en-GB"/>
        </w:rPr>
        <w:t xml:space="preserve"> </w:t>
      </w:r>
    </w:p>
    <w:p w14:paraId="1D755AC4" w14:textId="77777777" w:rsidR="002F0588" w:rsidRPr="009C1935" w:rsidRDefault="002F0588" w:rsidP="009558E6">
      <w:pPr>
        <w:pStyle w:val="BodyTextMain"/>
        <w:rPr>
          <w:rFonts w:eastAsia="Calibri"/>
          <w:lang w:val="en-GB"/>
        </w:rPr>
      </w:pPr>
    </w:p>
    <w:p w14:paraId="3A27C188" w14:textId="77777777" w:rsidR="002F0588" w:rsidRPr="009C1935" w:rsidRDefault="002F0588" w:rsidP="009558E6">
      <w:pPr>
        <w:pStyle w:val="Casehead2"/>
        <w:rPr>
          <w:rFonts w:eastAsia="Calibri"/>
          <w:lang w:val="en-GB"/>
        </w:rPr>
      </w:pPr>
      <w:r w:rsidRPr="009C1935">
        <w:rPr>
          <w:rFonts w:eastAsia="Calibri"/>
          <w:lang w:val="en-GB"/>
        </w:rPr>
        <w:t>Issuance Process in India</w:t>
      </w:r>
      <w:r w:rsidRPr="009C1935">
        <w:rPr>
          <w:rStyle w:val="EndnoteReference"/>
          <w:rFonts w:eastAsia="Calibri"/>
          <w:lang w:val="en-GB"/>
        </w:rPr>
        <w:endnoteReference w:id="39"/>
      </w:r>
    </w:p>
    <w:p w14:paraId="22385E51" w14:textId="77777777" w:rsidR="002F0588" w:rsidRPr="009C1935" w:rsidRDefault="002F0588" w:rsidP="009558E6">
      <w:pPr>
        <w:pStyle w:val="BodyTextMain"/>
        <w:rPr>
          <w:rFonts w:eastAsia="Calibri"/>
          <w:lang w:val="en-GB"/>
        </w:rPr>
      </w:pPr>
    </w:p>
    <w:p w14:paraId="67871015" w14:textId="750D1598" w:rsidR="002F0588" w:rsidRPr="009C1935" w:rsidRDefault="002F0588" w:rsidP="009558E6">
      <w:pPr>
        <w:pStyle w:val="BodyTextMain"/>
        <w:rPr>
          <w:rFonts w:eastAsia="Calibri"/>
          <w:lang w:val="en-GB"/>
        </w:rPr>
      </w:pPr>
      <w:r w:rsidRPr="009C1935">
        <w:rPr>
          <w:rFonts w:eastAsia="Calibri"/>
          <w:lang w:val="en-GB"/>
        </w:rPr>
        <w:t xml:space="preserve">The decision to go public and the timing of the issue were the most essential strategic considerations for equity issuance to be successful. A private company not only had to have a credible business plan, a predictable revenue stream, the right management team, and a standard financial reporting system, as well as fulfilling eligibility criteria, but it also had to acquire knowledge about the current economic situation and public appetite before pursuing an IPO. </w:t>
      </w:r>
    </w:p>
    <w:p w14:paraId="4380DA7C" w14:textId="77777777" w:rsidR="002F0588" w:rsidRPr="009C1935" w:rsidRDefault="002F0588" w:rsidP="009558E6">
      <w:pPr>
        <w:pStyle w:val="BodyTextMain"/>
        <w:rPr>
          <w:rFonts w:eastAsia="Calibri"/>
          <w:lang w:val="en-GB"/>
        </w:rPr>
      </w:pPr>
    </w:p>
    <w:p w14:paraId="414A8D41" w14:textId="120258EA" w:rsidR="002F0588" w:rsidRPr="009C1935" w:rsidRDefault="002F0588" w:rsidP="009558E6">
      <w:pPr>
        <w:pStyle w:val="BodyTextMain"/>
        <w:rPr>
          <w:rFonts w:eastAsia="Calibri"/>
          <w:lang w:val="en-GB"/>
        </w:rPr>
      </w:pPr>
      <w:r w:rsidRPr="009C1935">
        <w:rPr>
          <w:rFonts w:eastAsia="Calibri"/>
          <w:lang w:val="en-GB"/>
        </w:rPr>
        <w:t>The Securities and Exchange Board</w:t>
      </w:r>
      <w:r w:rsidRPr="009C1935">
        <w:rPr>
          <w:lang w:val="en-GB"/>
        </w:rPr>
        <w:t xml:space="preserve"> (SEBI) governed the IPO issuance process in India through the Disclosure and Investor Protection (DIP) guidelines of 2000, according to which a private company had to fulfil the eligibility norms set by the SEBI. Hiring one or more </w:t>
      </w:r>
      <w:r w:rsidRPr="009C1935">
        <w:rPr>
          <w:rFonts w:eastAsia="Calibri"/>
          <w:lang w:val="en-GB"/>
        </w:rPr>
        <w:t>investment banks</w:t>
      </w:r>
      <w:r w:rsidRPr="009C1935">
        <w:rPr>
          <w:rStyle w:val="EndnoteReference"/>
          <w:rFonts w:eastAsia="Calibri"/>
          <w:lang w:val="en-GB"/>
        </w:rPr>
        <w:endnoteReference w:id="40"/>
      </w:r>
      <w:r w:rsidRPr="009C1935">
        <w:rPr>
          <w:rStyle w:val="EndnoteReference"/>
          <w:rFonts w:eastAsia="Calibri"/>
          <w:lang w:val="en-GB"/>
        </w:rPr>
        <w:t xml:space="preserve"> </w:t>
      </w:r>
      <w:r w:rsidRPr="009C1935">
        <w:rPr>
          <w:rFonts w:eastAsia="Calibri"/>
          <w:lang w:val="en-GB"/>
        </w:rPr>
        <w:t>was the first step for equity issuance for firms going public. Investment banks had to submit bids to the firm with details about the money that could be raised from IPOs and their own share. These details had to be mentioned in the underwriting agreement once the bank had been hired.</w:t>
      </w:r>
    </w:p>
    <w:p w14:paraId="6419D805" w14:textId="77777777" w:rsidR="002F0588" w:rsidRPr="009C1935" w:rsidRDefault="002F0588" w:rsidP="009558E6">
      <w:pPr>
        <w:pStyle w:val="BodyTextMain"/>
        <w:rPr>
          <w:lang w:val="en-GB"/>
        </w:rPr>
      </w:pPr>
    </w:p>
    <w:p w14:paraId="4E8116C0" w14:textId="7F19C3AC" w:rsidR="002F0588" w:rsidRPr="009C1935" w:rsidRDefault="002F0588" w:rsidP="009558E6">
      <w:pPr>
        <w:pStyle w:val="BodyTextMain"/>
        <w:rPr>
          <w:rFonts w:eastAsia="Calibri"/>
          <w:lang w:val="en-GB"/>
        </w:rPr>
      </w:pPr>
      <w:r w:rsidRPr="009C1935">
        <w:rPr>
          <w:rFonts w:eastAsia="Calibri"/>
          <w:lang w:val="en-GB"/>
        </w:rPr>
        <w:t>A private company had to file an offer document,</w:t>
      </w:r>
      <w:r w:rsidRPr="009C1935">
        <w:rPr>
          <w:rStyle w:val="EndnoteReference"/>
          <w:rFonts w:eastAsia="Calibri"/>
          <w:lang w:val="en-GB"/>
        </w:rPr>
        <w:endnoteReference w:id="41"/>
      </w:r>
      <w:r w:rsidRPr="009C1935">
        <w:rPr>
          <w:rFonts w:eastAsia="Calibri"/>
          <w:lang w:val="en-GB"/>
        </w:rPr>
        <w:t xml:space="preserve"> a red-herring draft prospectus (RHDP), with the SEBI for its review at least 30 days prior to filing a prospectus to the Registrar of Companies (ROC). Any changes suggested by the SEBI in the RHDP had to be made by the private firm before submitting the prospectus to the ROC. In this 30-day interval, the RHDP had to be kept open to public comment. An unlisted firm was also required to obtain prior in-principle approval from stock exchanges where it intended to list. Private companies were also required to obtain grades by at least one credible credit rating agency and disclose all their grades to the public, along with the credit rating agency rationale for the grades given. A private company had to appoint merchant bankers who would be responsible to do due diligence and ensure that all the requirements of the DIP guidelines of the SEBI were satisfied.</w:t>
      </w:r>
    </w:p>
    <w:p w14:paraId="4952A2E9" w14:textId="77777777" w:rsidR="002F0588" w:rsidRPr="009C1935" w:rsidRDefault="002F0588" w:rsidP="009558E6">
      <w:pPr>
        <w:pStyle w:val="BodyTextMain"/>
        <w:rPr>
          <w:rFonts w:eastAsia="Calibri"/>
          <w:lang w:val="en-GB"/>
        </w:rPr>
      </w:pPr>
    </w:p>
    <w:p w14:paraId="02409259" w14:textId="081CCBBE" w:rsidR="002F0588" w:rsidRPr="009C1935" w:rsidRDefault="002F0588" w:rsidP="009558E6">
      <w:pPr>
        <w:pStyle w:val="BodyTextMain"/>
        <w:rPr>
          <w:rFonts w:eastAsia="Calibri"/>
          <w:lang w:val="en-GB"/>
        </w:rPr>
      </w:pPr>
      <w:r w:rsidRPr="009C1935">
        <w:rPr>
          <w:rFonts w:eastAsia="Calibri"/>
          <w:lang w:val="en-GB"/>
        </w:rPr>
        <w:lastRenderedPageBreak/>
        <w:t>The SEBI had no role to play in setting the price band of the offer, which had to be decided by investment bankers of the company. However, it was mandatory for the unlisted firm to disclose all the parameters considered and processes followed in arriving at a certain issue price. There were two ways at which the price of the issue could be arrived: fixed pricing and the book-building process. In fixed pricing, the lead merchant (LM) decided the issue price, whereas in book building, the LM decided the price band instead of the fixed price. Market forces decided the final issue price in book building. In a book-built issue, allocation to retail individual investors, non-institutional investors, and qualified institutional buyers had to be in the ratio of 35:15:50.</w:t>
      </w:r>
    </w:p>
    <w:p w14:paraId="023B21AC" w14:textId="77777777" w:rsidR="002F0588" w:rsidRPr="009C1935" w:rsidRDefault="002F0588" w:rsidP="009558E6">
      <w:pPr>
        <w:pStyle w:val="BodyTextMain"/>
        <w:rPr>
          <w:rFonts w:eastAsia="Calibri"/>
          <w:lang w:val="en-GB"/>
        </w:rPr>
      </w:pPr>
    </w:p>
    <w:p w14:paraId="318785F3" w14:textId="77777777" w:rsidR="002F0588" w:rsidRPr="009C1935" w:rsidRDefault="002F0588" w:rsidP="009558E6">
      <w:pPr>
        <w:pStyle w:val="BodyTextMain"/>
        <w:rPr>
          <w:rFonts w:eastAsia="Calibri"/>
          <w:lang w:val="en-GB"/>
        </w:rPr>
      </w:pPr>
      <w:r w:rsidRPr="009C1935">
        <w:rPr>
          <w:rFonts w:eastAsia="Calibri"/>
          <w:lang w:val="en-GB"/>
        </w:rPr>
        <w:t>Various marketing strategies for the issue—namely, the appointment of an advertising agency, a memorandum containing salient features, and a statutory advertisement—were supposed to be drawn up by the LM. The post-issue activities to be performed by the LM included the finalization of trading, the management of escrow accounts, the coordination of non-institutional allocation, the intimation of allocation, and the dispatch of refunds to bidders.</w:t>
      </w:r>
    </w:p>
    <w:p w14:paraId="372A8A2C" w14:textId="77777777" w:rsidR="002F0588" w:rsidRPr="009C1935" w:rsidRDefault="002F0588" w:rsidP="009558E6">
      <w:pPr>
        <w:pStyle w:val="BodyTextMain"/>
        <w:rPr>
          <w:rFonts w:eastAsia="Calibri"/>
          <w:lang w:val="en-GB"/>
        </w:rPr>
      </w:pPr>
    </w:p>
    <w:p w14:paraId="76039671" w14:textId="77777777" w:rsidR="002F0588" w:rsidRPr="009C1935" w:rsidRDefault="002F0588" w:rsidP="009558E6">
      <w:pPr>
        <w:pStyle w:val="BodyTextMain"/>
        <w:rPr>
          <w:rFonts w:eastAsia="Calibri"/>
          <w:lang w:val="en-GB"/>
        </w:rPr>
      </w:pPr>
    </w:p>
    <w:p w14:paraId="02AF72CD" w14:textId="77777777" w:rsidR="002F0588" w:rsidRPr="009C1935" w:rsidRDefault="002F0588" w:rsidP="009558E6">
      <w:pPr>
        <w:pStyle w:val="Casehead2"/>
        <w:rPr>
          <w:lang w:val="en-GB"/>
        </w:rPr>
      </w:pPr>
      <w:r w:rsidRPr="009C1935">
        <w:rPr>
          <w:lang w:val="en-GB"/>
        </w:rPr>
        <w:t>Gearing Up for the IPO</w:t>
      </w:r>
    </w:p>
    <w:p w14:paraId="1FD3DECB" w14:textId="77777777" w:rsidR="002F0588" w:rsidRPr="009C1935" w:rsidRDefault="002F0588" w:rsidP="009558E6">
      <w:pPr>
        <w:pStyle w:val="BodyTextMain"/>
        <w:rPr>
          <w:lang w:val="en-GB"/>
        </w:rPr>
      </w:pPr>
    </w:p>
    <w:p w14:paraId="1E16CDB2" w14:textId="7817C031" w:rsidR="002F0588" w:rsidRPr="009C1935" w:rsidRDefault="002F0588" w:rsidP="009558E6">
      <w:pPr>
        <w:pStyle w:val="BodyTextMain"/>
        <w:rPr>
          <w:lang w:val="en-GB"/>
        </w:rPr>
      </w:pPr>
      <w:r w:rsidRPr="009C1935">
        <w:rPr>
          <w:lang w:val="en-GB"/>
        </w:rPr>
        <w:t xml:space="preserve">Going public was a monumental decision for Narayana Health, and therefore PE investors in consultation with the board of directors, chief executive officer (CEO), and chief financial officer (CFO) played a crucial role in arriving at this </w:t>
      </w:r>
      <w:proofErr w:type="gramStart"/>
      <w:r w:rsidRPr="009C1935">
        <w:rPr>
          <w:lang w:val="en-GB"/>
        </w:rPr>
        <w:t>decision.</w:t>
      </w:r>
      <w:proofErr w:type="gramEnd"/>
      <w:r w:rsidRPr="009C1935">
        <w:rPr>
          <w:lang w:val="en-GB"/>
        </w:rPr>
        <w:t xml:space="preserve"> Generally, the CFO assumed a key role in the process of IPO process execution and acted as a key representative in financial matters, while the CEO drove the strategic decision and monitored progress.</w:t>
      </w:r>
      <w:r w:rsidRPr="009C1935">
        <w:rPr>
          <w:rStyle w:val="EndnoteReference"/>
          <w:lang w:val="en-GB"/>
        </w:rPr>
        <w:endnoteReference w:id="42"/>
      </w:r>
    </w:p>
    <w:p w14:paraId="6BDDD5C4" w14:textId="77777777" w:rsidR="002F0588" w:rsidRPr="009C1935" w:rsidRDefault="002F0588" w:rsidP="009558E6">
      <w:pPr>
        <w:pStyle w:val="BodyTextMain"/>
        <w:rPr>
          <w:lang w:val="en-GB"/>
        </w:rPr>
      </w:pPr>
    </w:p>
    <w:p w14:paraId="385EB192" w14:textId="0A59AAF1" w:rsidR="002F0588" w:rsidRPr="009C1935" w:rsidRDefault="002F0588" w:rsidP="009558E6">
      <w:pPr>
        <w:pStyle w:val="BodyTextMain"/>
        <w:rPr>
          <w:lang w:val="en-GB"/>
        </w:rPr>
      </w:pPr>
      <w:r w:rsidRPr="009C1935">
        <w:rPr>
          <w:lang w:val="en-GB"/>
        </w:rPr>
        <w:t xml:space="preserve">Preparing for an IPO was a complex process. Before initiating the process, PE investors needed to assemble a team of investment bankers, underwriters, registrar, lawyers, auditors, tax advisors, and accountants to plan and collaborate. NH was required to have net tangible assets of at least </w:t>
      </w:r>
      <w:r w:rsidRPr="003C5937">
        <w:rPr>
          <w:rFonts w:ascii="Arial" w:hAnsi="Arial" w:cs="Arial"/>
          <w:color w:val="222222"/>
          <w:shd w:val="clear" w:color="auto" w:fill="FFFFFF"/>
        </w:rPr>
        <w:t>₹</w:t>
      </w:r>
      <w:r w:rsidRPr="009C1935">
        <w:rPr>
          <w:lang w:val="en-GB"/>
        </w:rPr>
        <w:t xml:space="preserve">30 million with distributable profits in at least three years and a net worth of </w:t>
      </w:r>
      <w:r w:rsidRPr="003C5937">
        <w:rPr>
          <w:rFonts w:ascii="Arial" w:hAnsi="Arial" w:cs="Arial"/>
          <w:color w:val="222222"/>
          <w:shd w:val="clear" w:color="auto" w:fill="FFFFFF"/>
        </w:rPr>
        <w:t>₹</w:t>
      </w:r>
      <w:r w:rsidRPr="009C1935">
        <w:rPr>
          <w:lang w:val="en-GB"/>
        </w:rPr>
        <w:t>10 million in the last three years, and its issue size could not exceed five times the pre-issue net worth. Narayana Health was able to fulfil all eligibility requirements.</w:t>
      </w:r>
    </w:p>
    <w:p w14:paraId="23CF0123" w14:textId="77777777" w:rsidR="002F0588" w:rsidRPr="009C1935" w:rsidRDefault="002F0588" w:rsidP="009558E6">
      <w:pPr>
        <w:pStyle w:val="BodyTextMain"/>
        <w:rPr>
          <w:lang w:val="en-GB"/>
        </w:rPr>
      </w:pPr>
    </w:p>
    <w:p w14:paraId="576B600C" w14:textId="0E6D358F" w:rsidR="002F0588" w:rsidRPr="009C1935" w:rsidRDefault="002F0588" w:rsidP="009558E6">
      <w:pPr>
        <w:pStyle w:val="BodyTextMain"/>
        <w:rPr>
          <w:lang w:val="en-GB"/>
        </w:rPr>
      </w:pPr>
      <w:r w:rsidRPr="009C1935">
        <w:rPr>
          <w:lang w:val="en-GB"/>
        </w:rPr>
        <w:t>NH had to offer the company’s shares to the public for the first time in the primary market</w:t>
      </w:r>
      <w:r w:rsidRPr="009C1935">
        <w:rPr>
          <w:rStyle w:val="EndnoteReference"/>
          <w:lang w:val="en-GB"/>
        </w:rPr>
        <w:endnoteReference w:id="43"/>
      </w:r>
      <w:r w:rsidRPr="009C1935">
        <w:rPr>
          <w:lang w:val="en-GB"/>
        </w:rPr>
        <w:t xml:space="preserve"> before it could be listed on India’s two prominent stock exchanges—namely, the National Stock Exchange (NSE) and the Bombay Stock Exchange (BSE). It had an option of going public through a primary or secondary offering or both. In a primary offering, a company offered ‘“new shares” to the public, whereas in a secondary offering,</w:t>
      </w:r>
      <w:r w:rsidRPr="009C1935">
        <w:rPr>
          <w:rStyle w:val="EndnoteReference"/>
          <w:lang w:val="en-GB"/>
        </w:rPr>
        <w:endnoteReference w:id="44"/>
      </w:r>
      <w:r w:rsidRPr="009C1935">
        <w:rPr>
          <w:lang w:val="en-GB"/>
        </w:rPr>
        <w:t xml:space="preserve"> promoters, PE investors, and VC investors cashed out their shares in the company.</w:t>
      </w:r>
      <w:r w:rsidRPr="009C1935">
        <w:rPr>
          <w:rStyle w:val="EndnoteReference"/>
          <w:lang w:val="en-GB"/>
        </w:rPr>
        <w:endnoteReference w:id="45"/>
      </w:r>
      <w:r w:rsidRPr="009C1935">
        <w:rPr>
          <w:lang w:val="en-GB"/>
        </w:rPr>
        <w:t xml:space="preserve"> In a primary offering, the proceeds of the issue went to the company, whereas in a secondary offering, they went to the existing shareholders. In a secondary offering, the total number of outstanding shares remained constant before and after the issue. PE investors wanted NH to pursue an IPO through a secondary offering, i.e., an offer for sale (OFS). </w:t>
      </w:r>
    </w:p>
    <w:p w14:paraId="4D509F60" w14:textId="77777777" w:rsidR="002F0588" w:rsidRPr="009C1935" w:rsidRDefault="002F0588" w:rsidP="009558E6">
      <w:pPr>
        <w:pStyle w:val="BodyTextMain"/>
        <w:rPr>
          <w:lang w:val="en-GB"/>
        </w:rPr>
      </w:pPr>
    </w:p>
    <w:p w14:paraId="28FEF8BF" w14:textId="6E9C49E3" w:rsidR="008E0E4E" w:rsidRPr="009C1935" w:rsidRDefault="002F0588" w:rsidP="009558E6">
      <w:pPr>
        <w:pStyle w:val="BodyTextMain"/>
        <w:rPr>
          <w:lang w:val="en-GB"/>
        </w:rPr>
      </w:pPr>
      <w:r w:rsidRPr="009C1935">
        <w:rPr>
          <w:lang w:val="en-GB"/>
        </w:rPr>
        <w:t>Generally, companies had gone public in the past for two major reasons,</w:t>
      </w:r>
      <w:r w:rsidRPr="009C1935">
        <w:rPr>
          <w:rStyle w:val="EndnoteReference"/>
          <w:lang w:val="en-GB"/>
        </w:rPr>
        <w:endnoteReference w:id="46"/>
      </w:r>
      <w:r w:rsidRPr="009C1935">
        <w:rPr>
          <w:lang w:val="en-GB"/>
        </w:rPr>
        <w:t xml:space="preserve"> primarily to raise capital for further investments such that the weighted average cost of capital could be minimized.</w:t>
      </w:r>
      <w:r w:rsidRPr="009C1935">
        <w:rPr>
          <w:rStyle w:val="EndnoteReference"/>
          <w:lang w:val="en-GB"/>
        </w:rPr>
        <w:endnoteReference w:id="47"/>
      </w:r>
      <w:r w:rsidRPr="009C1935">
        <w:rPr>
          <w:lang w:val="en-GB"/>
        </w:rPr>
        <w:t xml:space="preserve"> </w:t>
      </w:r>
      <w:r w:rsidR="008E0E4E" w:rsidRPr="009C1935">
        <w:rPr>
          <w:lang w:val="en-GB"/>
        </w:rPr>
        <w:t>Allowing selling shareholders to cash out their initial investments had been another major reason for companies to go public. An IPO allowed investors to realize a high return on invested capital when market conditions were favo</w:t>
      </w:r>
      <w:r w:rsidR="00B5796C" w:rsidRPr="009C1935">
        <w:rPr>
          <w:lang w:val="en-GB"/>
        </w:rPr>
        <w:t>u</w:t>
      </w:r>
      <w:r w:rsidR="008E0E4E" w:rsidRPr="009C1935">
        <w:rPr>
          <w:lang w:val="en-GB"/>
        </w:rPr>
        <w:t xml:space="preserve">rable. In </w:t>
      </w:r>
      <w:r w:rsidR="00B5796C" w:rsidRPr="009C1935">
        <w:rPr>
          <w:lang w:val="en-GB"/>
        </w:rPr>
        <w:t xml:space="preserve">the </w:t>
      </w:r>
      <w:r w:rsidR="008E0E4E" w:rsidRPr="009C1935">
        <w:rPr>
          <w:lang w:val="en-GB"/>
        </w:rPr>
        <w:t xml:space="preserve">case of NH, a primary motive of PE investors behind taking the company public was to provide themselves and other selling shareholders (promoters) </w:t>
      </w:r>
      <w:r w:rsidR="009675C3" w:rsidRPr="009C1935">
        <w:rPr>
          <w:lang w:val="en-GB"/>
        </w:rPr>
        <w:t xml:space="preserve">with </w:t>
      </w:r>
      <w:r w:rsidR="008E0E4E" w:rsidRPr="009C1935">
        <w:rPr>
          <w:lang w:val="en-GB"/>
        </w:rPr>
        <w:t xml:space="preserve">an opportunity to realize </w:t>
      </w:r>
      <w:r w:rsidR="00B5796C" w:rsidRPr="009C1935">
        <w:rPr>
          <w:lang w:val="en-GB"/>
        </w:rPr>
        <w:t xml:space="preserve">a </w:t>
      </w:r>
      <w:r w:rsidR="008E0E4E" w:rsidRPr="009C1935">
        <w:rPr>
          <w:lang w:val="en-GB"/>
        </w:rPr>
        <w:t xml:space="preserve">return on their investment in the bullish market by selling portions of their stake in the company in the primary </w:t>
      </w:r>
      <w:r w:rsidR="008E0E4E" w:rsidRPr="009C1935">
        <w:rPr>
          <w:lang w:val="en-GB"/>
        </w:rPr>
        <w:lastRenderedPageBreak/>
        <w:t>market. Enhancing visibility</w:t>
      </w:r>
      <w:r w:rsidR="00B5796C" w:rsidRPr="009C1935">
        <w:rPr>
          <w:lang w:val="en-GB"/>
        </w:rPr>
        <w:t xml:space="preserve"> and </w:t>
      </w:r>
      <w:r w:rsidR="008E0E4E" w:rsidRPr="009C1935">
        <w:rPr>
          <w:lang w:val="en-GB"/>
        </w:rPr>
        <w:t xml:space="preserve">brand image and achieving </w:t>
      </w:r>
      <w:r w:rsidR="00041A34" w:rsidRPr="009C1935">
        <w:rPr>
          <w:lang w:val="en-GB"/>
        </w:rPr>
        <w:t xml:space="preserve">the </w:t>
      </w:r>
      <w:r w:rsidR="008E0E4E" w:rsidRPr="009C1935">
        <w:rPr>
          <w:lang w:val="en-GB"/>
        </w:rPr>
        <w:t>benefits of listing on stock exchanges were other motives for going public.</w:t>
      </w:r>
    </w:p>
    <w:p w14:paraId="58998D2E" w14:textId="77777777" w:rsidR="008E0E4E" w:rsidRDefault="008E0E4E" w:rsidP="009558E6">
      <w:pPr>
        <w:pStyle w:val="BodyTextMain"/>
        <w:rPr>
          <w:lang w:val="en-GB"/>
        </w:rPr>
      </w:pPr>
    </w:p>
    <w:p w14:paraId="77E1D1C5" w14:textId="77777777" w:rsidR="00A43549" w:rsidRPr="009C1935" w:rsidRDefault="00A43549" w:rsidP="009558E6">
      <w:pPr>
        <w:pStyle w:val="BodyTextMain"/>
        <w:rPr>
          <w:lang w:val="en-GB"/>
        </w:rPr>
      </w:pPr>
    </w:p>
    <w:p w14:paraId="000B0F52" w14:textId="77777777" w:rsidR="008E0E4E" w:rsidRPr="009C1935" w:rsidRDefault="008E0E4E" w:rsidP="009558E6">
      <w:pPr>
        <w:pStyle w:val="Casehead1"/>
        <w:rPr>
          <w:lang w:val="en-GB"/>
        </w:rPr>
      </w:pPr>
      <w:r w:rsidRPr="009C1935">
        <w:rPr>
          <w:lang w:val="en-GB"/>
        </w:rPr>
        <w:t>DECISION</w:t>
      </w:r>
    </w:p>
    <w:p w14:paraId="435776C9" w14:textId="77777777" w:rsidR="008E0E4E" w:rsidRPr="009C1935" w:rsidRDefault="008E0E4E" w:rsidP="009558E6">
      <w:pPr>
        <w:pStyle w:val="BodyTextMain"/>
        <w:rPr>
          <w:lang w:val="en-GB"/>
        </w:rPr>
      </w:pPr>
    </w:p>
    <w:p w14:paraId="0D74C721" w14:textId="7CCB7DFA" w:rsidR="008E0E4E" w:rsidRPr="009C1935" w:rsidRDefault="008E0E4E" w:rsidP="009558E6">
      <w:pPr>
        <w:pStyle w:val="BodyTextMain"/>
        <w:rPr>
          <w:lang w:val="en-GB"/>
        </w:rPr>
      </w:pPr>
      <w:r w:rsidRPr="009C1935">
        <w:rPr>
          <w:lang w:val="en-GB"/>
        </w:rPr>
        <w:t xml:space="preserve">In the five years from FY 2011 to FY 2015, NH had reported a higher revenue growth rate than its peers and </w:t>
      </w:r>
      <w:r w:rsidR="009675C3" w:rsidRPr="009C1935">
        <w:rPr>
          <w:lang w:val="en-GB"/>
        </w:rPr>
        <w:t xml:space="preserve">the </w:t>
      </w:r>
      <w:r w:rsidRPr="009C1935">
        <w:rPr>
          <w:lang w:val="en-GB"/>
        </w:rPr>
        <w:t xml:space="preserve">average industry growth rate by successfully implementing its business model of economies of scale. It had also been able to provide affordable healthcare without compromising quality. </w:t>
      </w:r>
    </w:p>
    <w:p w14:paraId="5407F063" w14:textId="77777777" w:rsidR="008E0E4E" w:rsidRPr="009C1935" w:rsidRDefault="008E0E4E" w:rsidP="009558E6">
      <w:pPr>
        <w:pStyle w:val="BodyTextMain"/>
        <w:rPr>
          <w:lang w:val="en-GB"/>
        </w:rPr>
      </w:pPr>
    </w:p>
    <w:p w14:paraId="4F9DF708" w14:textId="316DEE12" w:rsidR="008E0E4E" w:rsidRPr="009C1935" w:rsidRDefault="008E0E4E" w:rsidP="009558E6">
      <w:pPr>
        <w:pStyle w:val="BodyTextMain"/>
        <w:rPr>
          <w:lang w:val="en-GB"/>
        </w:rPr>
      </w:pPr>
      <w:r w:rsidRPr="009C1935">
        <w:rPr>
          <w:lang w:val="en-GB"/>
        </w:rPr>
        <w:t xml:space="preserve">The biggest task in front of PE investors was to determine the offer price band through the appropriate valuation of the firm. </w:t>
      </w:r>
      <w:r w:rsidR="000363D1" w:rsidRPr="009C1935">
        <w:rPr>
          <w:lang w:val="en-GB"/>
        </w:rPr>
        <w:t>H</w:t>
      </w:r>
      <w:r w:rsidRPr="009C1935">
        <w:rPr>
          <w:lang w:val="en-GB"/>
        </w:rPr>
        <w:t xml:space="preserve">iring </w:t>
      </w:r>
      <w:r w:rsidR="00B5796C" w:rsidRPr="009C1935">
        <w:rPr>
          <w:lang w:val="en-GB"/>
        </w:rPr>
        <w:t>book</w:t>
      </w:r>
      <w:r w:rsidR="009675C3" w:rsidRPr="009C1935">
        <w:rPr>
          <w:lang w:val="en-GB"/>
        </w:rPr>
        <w:t>-</w:t>
      </w:r>
      <w:r w:rsidRPr="009C1935">
        <w:rPr>
          <w:lang w:val="en-GB"/>
        </w:rPr>
        <w:t xml:space="preserve">running lead managers, </w:t>
      </w:r>
      <w:r w:rsidR="000363D1" w:rsidRPr="009C1935">
        <w:rPr>
          <w:lang w:val="en-GB"/>
        </w:rPr>
        <w:t xml:space="preserve">deciding the </w:t>
      </w:r>
      <w:r w:rsidRPr="009C1935">
        <w:rPr>
          <w:lang w:val="en-GB"/>
        </w:rPr>
        <w:t xml:space="preserve">timing for filing a </w:t>
      </w:r>
      <w:r w:rsidR="000363D1" w:rsidRPr="009C1935">
        <w:rPr>
          <w:lang w:val="en-GB"/>
        </w:rPr>
        <w:t>red-</w:t>
      </w:r>
      <w:r w:rsidR="009675C3" w:rsidRPr="009C1935">
        <w:rPr>
          <w:lang w:val="en-GB"/>
        </w:rPr>
        <w:t xml:space="preserve">herring prospectus </w:t>
      </w:r>
      <w:r w:rsidRPr="009C1935">
        <w:rPr>
          <w:lang w:val="en-GB"/>
        </w:rPr>
        <w:t xml:space="preserve">with </w:t>
      </w:r>
      <w:r w:rsidR="009675C3" w:rsidRPr="009C1935">
        <w:rPr>
          <w:lang w:val="en-GB"/>
        </w:rPr>
        <w:t xml:space="preserve">the </w:t>
      </w:r>
      <w:r w:rsidRPr="009C1935">
        <w:rPr>
          <w:lang w:val="en-GB"/>
        </w:rPr>
        <w:t>SEBI</w:t>
      </w:r>
      <w:r w:rsidR="000363D1" w:rsidRPr="009C1935">
        <w:rPr>
          <w:lang w:val="en-GB"/>
        </w:rPr>
        <w:t xml:space="preserve"> and </w:t>
      </w:r>
      <w:r w:rsidRPr="009C1935">
        <w:rPr>
          <w:lang w:val="en-GB"/>
        </w:rPr>
        <w:t>the size of the issue</w:t>
      </w:r>
      <w:r w:rsidR="000363D1" w:rsidRPr="009C1935">
        <w:rPr>
          <w:lang w:val="en-GB"/>
        </w:rPr>
        <w:t>,</w:t>
      </w:r>
      <w:r w:rsidRPr="009C1935">
        <w:rPr>
          <w:lang w:val="en-GB"/>
        </w:rPr>
        <w:t xml:space="preserve"> and determining the appropriate offer price band were </w:t>
      </w:r>
      <w:r w:rsidR="00150466" w:rsidRPr="009C1935">
        <w:rPr>
          <w:lang w:val="en-GB"/>
        </w:rPr>
        <w:t>additional</w:t>
      </w:r>
      <w:r w:rsidRPr="009C1935">
        <w:rPr>
          <w:lang w:val="en-GB"/>
        </w:rPr>
        <w:t xml:space="preserve"> concerns. PE investors were supposed to consider </w:t>
      </w:r>
      <w:r w:rsidR="009675C3" w:rsidRPr="009C1935">
        <w:rPr>
          <w:lang w:val="en-GB"/>
        </w:rPr>
        <w:t xml:space="preserve">the </w:t>
      </w:r>
      <w:r w:rsidRPr="009C1935">
        <w:rPr>
          <w:lang w:val="en-GB"/>
        </w:rPr>
        <w:t xml:space="preserve">future growth potential of the healthcare industry, the strengths and weaknesses of NH’s business model, valuation multiples of </w:t>
      </w:r>
      <w:r w:rsidR="00B5796C" w:rsidRPr="009C1935">
        <w:rPr>
          <w:lang w:val="en-GB"/>
        </w:rPr>
        <w:t xml:space="preserve">the </w:t>
      </w:r>
      <w:r w:rsidRPr="009C1935">
        <w:rPr>
          <w:lang w:val="en-GB"/>
        </w:rPr>
        <w:t>industry</w:t>
      </w:r>
      <w:r w:rsidR="00B5796C" w:rsidRPr="009C1935">
        <w:rPr>
          <w:lang w:val="en-GB"/>
        </w:rPr>
        <w:t>,</w:t>
      </w:r>
      <w:r w:rsidRPr="009C1935">
        <w:rPr>
          <w:lang w:val="en-GB"/>
        </w:rPr>
        <w:t xml:space="preserve"> and </w:t>
      </w:r>
      <w:r w:rsidR="00041A34" w:rsidRPr="009C1935">
        <w:rPr>
          <w:lang w:val="en-GB"/>
        </w:rPr>
        <w:t xml:space="preserve">the </w:t>
      </w:r>
      <w:r w:rsidRPr="009C1935">
        <w:rPr>
          <w:lang w:val="en-GB"/>
        </w:rPr>
        <w:t>financial performance of Narayana Health before arriving at any decision.</w:t>
      </w:r>
    </w:p>
    <w:p w14:paraId="7A1ACB6A" w14:textId="77777777" w:rsidR="008E0E4E" w:rsidRPr="009C1935" w:rsidRDefault="008E0E4E" w:rsidP="009558E6">
      <w:pPr>
        <w:pStyle w:val="BodyTextMain"/>
        <w:rPr>
          <w:lang w:val="en-GB"/>
        </w:rPr>
      </w:pPr>
    </w:p>
    <w:p w14:paraId="70FA95B8" w14:textId="77777777" w:rsidR="008E0E4E" w:rsidRPr="009C1935" w:rsidRDefault="008E0E4E" w:rsidP="008E0E4E">
      <w:pPr>
        <w:pStyle w:val="Casehead1"/>
        <w:jc w:val="center"/>
        <w:rPr>
          <w:lang w:val="en-GB"/>
        </w:rPr>
      </w:pPr>
      <w:r w:rsidRPr="009C1935">
        <w:rPr>
          <w:lang w:val="en-GB"/>
        </w:rPr>
        <w:br w:type="page"/>
      </w:r>
      <w:r w:rsidRPr="009C1935">
        <w:rPr>
          <w:lang w:val="en-GB"/>
        </w:rPr>
        <w:lastRenderedPageBreak/>
        <w:t xml:space="preserve">EXHIBIT 1: PERFORMANCE OF FIRMS OPERATING IN </w:t>
      </w:r>
      <w:r w:rsidR="00150466" w:rsidRPr="009C1935">
        <w:rPr>
          <w:lang w:val="en-GB"/>
        </w:rPr>
        <w:t xml:space="preserve">THE INDIAN </w:t>
      </w:r>
      <w:r w:rsidRPr="009C1935">
        <w:rPr>
          <w:lang w:val="en-GB"/>
        </w:rPr>
        <w:t>HEALTHCARE INDUSTRY</w:t>
      </w:r>
    </w:p>
    <w:p w14:paraId="584EA98E" w14:textId="77777777" w:rsidR="008E0E4E" w:rsidRPr="009C1935" w:rsidRDefault="009675C3" w:rsidP="008E0E4E">
      <w:pPr>
        <w:pStyle w:val="Casehead2"/>
        <w:jc w:val="center"/>
        <w:rPr>
          <w:lang w:val="en-GB"/>
        </w:rPr>
      </w:pPr>
      <w:proofErr w:type="gramStart"/>
      <w:r w:rsidRPr="009C1935">
        <w:rPr>
          <w:lang w:val="en-GB"/>
        </w:rPr>
        <w:t>as</w:t>
      </w:r>
      <w:proofErr w:type="gramEnd"/>
      <w:r w:rsidRPr="009C1935">
        <w:rPr>
          <w:lang w:val="en-GB"/>
        </w:rPr>
        <w:t xml:space="preserve"> </w:t>
      </w:r>
      <w:r w:rsidR="00211C23" w:rsidRPr="009C1935">
        <w:rPr>
          <w:lang w:val="en-GB"/>
        </w:rPr>
        <w:t xml:space="preserve">of </w:t>
      </w:r>
      <w:r w:rsidR="008E0E4E" w:rsidRPr="009C1935">
        <w:rPr>
          <w:lang w:val="en-GB"/>
        </w:rPr>
        <w:t xml:space="preserve">March 31, 2015 (in </w:t>
      </w:r>
      <w:r w:rsidR="00CD0AE9" w:rsidRPr="009C1935">
        <w:rPr>
          <w:color w:val="222222"/>
          <w:shd w:val="clear" w:color="auto" w:fill="FFFFFF"/>
          <w:lang w:val="en-GB"/>
        </w:rPr>
        <w:t>₹</w:t>
      </w:r>
      <w:r w:rsidR="008E0E4E" w:rsidRPr="009C1935">
        <w:rPr>
          <w:lang w:val="en-GB"/>
        </w:rPr>
        <w:t xml:space="preserve"> millions)</w:t>
      </w:r>
    </w:p>
    <w:p w14:paraId="5CCB9436" w14:textId="77777777" w:rsidR="008E0E4E" w:rsidRPr="009C1935" w:rsidRDefault="008E0E4E" w:rsidP="008E0E4E">
      <w:pPr>
        <w:pStyle w:val="BodyTextMain"/>
        <w:rPr>
          <w:lang w:val="en-GB"/>
        </w:rPr>
      </w:pPr>
    </w:p>
    <w:tbl>
      <w:tblPr>
        <w:tblStyle w:val="TableGrid"/>
        <w:tblW w:w="4551" w:type="pct"/>
        <w:jc w:val="center"/>
        <w:tblLook w:val="04A0" w:firstRow="1" w:lastRow="0" w:firstColumn="1" w:lastColumn="0" w:noHBand="0" w:noVBand="1"/>
      </w:tblPr>
      <w:tblGrid>
        <w:gridCol w:w="632"/>
        <w:gridCol w:w="4401"/>
        <w:gridCol w:w="1416"/>
        <w:gridCol w:w="1272"/>
        <w:gridCol w:w="995"/>
      </w:tblGrid>
      <w:tr w:rsidR="008E0E4E" w:rsidRPr="009C1935" w14:paraId="4279B52E" w14:textId="77777777" w:rsidTr="00D050B3">
        <w:trPr>
          <w:trHeight w:val="20"/>
          <w:jc w:val="center"/>
        </w:trPr>
        <w:tc>
          <w:tcPr>
            <w:tcW w:w="363" w:type="pct"/>
            <w:vAlign w:val="center"/>
            <w:hideMark/>
          </w:tcPr>
          <w:p w14:paraId="0901BD7A" w14:textId="77777777" w:rsidR="008E0E4E" w:rsidRPr="009C1935" w:rsidRDefault="008E0E4E" w:rsidP="008E0E4E">
            <w:pPr>
              <w:jc w:val="center"/>
              <w:rPr>
                <w:rFonts w:ascii="Arial" w:hAnsi="Arial" w:cs="Arial"/>
                <w:b/>
                <w:lang w:val="en-GB"/>
              </w:rPr>
            </w:pPr>
          </w:p>
        </w:tc>
        <w:tc>
          <w:tcPr>
            <w:tcW w:w="2525" w:type="pct"/>
            <w:vAlign w:val="center"/>
            <w:hideMark/>
          </w:tcPr>
          <w:p w14:paraId="22CEAD57" w14:textId="77777777" w:rsidR="008E0E4E" w:rsidRPr="009C1935" w:rsidRDefault="008E0E4E" w:rsidP="007D1291">
            <w:pPr>
              <w:jc w:val="center"/>
              <w:rPr>
                <w:rFonts w:ascii="Arial" w:hAnsi="Arial" w:cs="Arial"/>
                <w:b/>
                <w:lang w:val="en-GB"/>
              </w:rPr>
            </w:pPr>
            <w:r w:rsidRPr="009C1935">
              <w:rPr>
                <w:rFonts w:ascii="Arial" w:hAnsi="Arial" w:cs="Arial"/>
                <w:b/>
                <w:lang w:val="en-GB"/>
              </w:rPr>
              <w:t xml:space="preserve">Name of </w:t>
            </w:r>
            <w:r w:rsidR="007D1291" w:rsidRPr="009C1935">
              <w:rPr>
                <w:rFonts w:ascii="Arial" w:hAnsi="Arial" w:cs="Arial"/>
                <w:b/>
                <w:lang w:val="en-GB"/>
              </w:rPr>
              <w:t>Company</w:t>
            </w:r>
          </w:p>
        </w:tc>
        <w:tc>
          <w:tcPr>
            <w:tcW w:w="813" w:type="pct"/>
            <w:vAlign w:val="center"/>
            <w:hideMark/>
          </w:tcPr>
          <w:p w14:paraId="6DDCA909" w14:textId="77777777" w:rsidR="008E0E4E" w:rsidRPr="009C1935" w:rsidRDefault="008E0E4E" w:rsidP="008E0E4E">
            <w:pPr>
              <w:jc w:val="center"/>
              <w:rPr>
                <w:rFonts w:ascii="Arial" w:hAnsi="Arial" w:cs="Arial"/>
                <w:b/>
                <w:lang w:val="en-GB"/>
              </w:rPr>
            </w:pPr>
            <w:r w:rsidRPr="009C1935">
              <w:rPr>
                <w:rFonts w:ascii="Arial" w:hAnsi="Arial" w:cs="Arial"/>
                <w:b/>
                <w:lang w:val="en-GB"/>
              </w:rPr>
              <w:t>Total Assets</w:t>
            </w:r>
          </w:p>
        </w:tc>
        <w:tc>
          <w:tcPr>
            <w:tcW w:w="730" w:type="pct"/>
            <w:vAlign w:val="center"/>
            <w:hideMark/>
          </w:tcPr>
          <w:p w14:paraId="454DB495" w14:textId="77777777" w:rsidR="008E0E4E" w:rsidRPr="009C1935" w:rsidRDefault="008E0E4E" w:rsidP="008E0E4E">
            <w:pPr>
              <w:jc w:val="center"/>
              <w:rPr>
                <w:rFonts w:ascii="Arial" w:hAnsi="Arial" w:cs="Arial"/>
                <w:b/>
                <w:lang w:val="en-GB"/>
              </w:rPr>
            </w:pPr>
            <w:r w:rsidRPr="009C1935">
              <w:rPr>
                <w:rFonts w:ascii="Arial" w:hAnsi="Arial" w:cs="Arial"/>
                <w:b/>
                <w:lang w:val="en-GB"/>
              </w:rPr>
              <w:t>Total Revenue</w:t>
            </w:r>
          </w:p>
        </w:tc>
        <w:tc>
          <w:tcPr>
            <w:tcW w:w="569" w:type="pct"/>
            <w:vAlign w:val="center"/>
            <w:hideMark/>
          </w:tcPr>
          <w:p w14:paraId="51158AC6" w14:textId="77777777" w:rsidR="008E0E4E" w:rsidRPr="009C1935" w:rsidRDefault="008E0E4E" w:rsidP="00150466">
            <w:pPr>
              <w:jc w:val="center"/>
              <w:rPr>
                <w:rFonts w:ascii="Arial" w:hAnsi="Arial" w:cs="Arial"/>
                <w:b/>
                <w:lang w:val="en-GB"/>
              </w:rPr>
            </w:pPr>
            <w:r w:rsidRPr="009C1935">
              <w:rPr>
                <w:rFonts w:ascii="Arial" w:hAnsi="Arial" w:cs="Arial"/>
                <w:b/>
                <w:lang w:val="en-GB"/>
              </w:rPr>
              <w:t>P</w:t>
            </w:r>
            <w:r w:rsidR="00150466" w:rsidRPr="009C1935">
              <w:rPr>
                <w:rFonts w:ascii="Arial" w:hAnsi="Arial" w:cs="Arial"/>
                <w:b/>
                <w:lang w:val="en-GB"/>
              </w:rPr>
              <w:t>rofit after tax</w:t>
            </w:r>
          </w:p>
        </w:tc>
      </w:tr>
      <w:tr w:rsidR="008E0E4E" w:rsidRPr="009C1935" w14:paraId="25291FE5" w14:textId="77777777" w:rsidTr="00D050B3">
        <w:trPr>
          <w:trHeight w:val="20"/>
          <w:jc w:val="center"/>
        </w:trPr>
        <w:tc>
          <w:tcPr>
            <w:tcW w:w="363" w:type="pct"/>
            <w:noWrap/>
            <w:vAlign w:val="center"/>
            <w:hideMark/>
          </w:tcPr>
          <w:p w14:paraId="52288B17"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1</w:t>
            </w:r>
          </w:p>
        </w:tc>
        <w:tc>
          <w:tcPr>
            <w:tcW w:w="2525" w:type="pct"/>
            <w:noWrap/>
            <w:vAlign w:val="center"/>
            <w:hideMark/>
          </w:tcPr>
          <w:p w14:paraId="786CC1FA" w14:textId="77777777" w:rsidR="008E0E4E" w:rsidRPr="009C1935" w:rsidRDefault="008E0E4E" w:rsidP="008E0E4E">
            <w:pPr>
              <w:rPr>
                <w:rFonts w:ascii="Arial" w:hAnsi="Arial" w:cs="Arial"/>
                <w:lang w:val="en-GB"/>
              </w:rPr>
            </w:pPr>
            <w:r w:rsidRPr="009C1935">
              <w:rPr>
                <w:rFonts w:ascii="Arial" w:hAnsi="Arial" w:cs="Arial"/>
                <w:lang w:val="en-GB"/>
              </w:rPr>
              <w:t>Apollo Hospitals Enterprise Ltd.</w:t>
            </w:r>
          </w:p>
        </w:tc>
        <w:tc>
          <w:tcPr>
            <w:tcW w:w="813" w:type="pct"/>
            <w:noWrap/>
            <w:vAlign w:val="center"/>
            <w:hideMark/>
          </w:tcPr>
          <w:p w14:paraId="7F5A7EBD" w14:textId="77777777" w:rsidR="008E0E4E" w:rsidRPr="009C1935" w:rsidRDefault="008E0E4E" w:rsidP="008E0E4E">
            <w:pPr>
              <w:jc w:val="right"/>
              <w:rPr>
                <w:rFonts w:ascii="Arial" w:hAnsi="Arial" w:cs="Arial"/>
                <w:lang w:val="en-GB"/>
              </w:rPr>
            </w:pPr>
            <w:r w:rsidRPr="009C1935">
              <w:rPr>
                <w:rFonts w:ascii="Arial" w:hAnsi="Arial" w:cs="Arial"/>
                <w:lang w:val="en-GB"/>
              </w:rPr>
              <w:t>58,199.90</w:t>
            </w:r>
          </w:p>
        </w:tc>
        <w:tc>
          <w:tcPr>
            <w:tcW w:w="730" w:type="pct"/>
            <w:noWrap/>
            <w:vAlign w:val="center"/>
            <w:hideMark/>
          </w:tcPr>
          <w:p w14:paraId="4DBD20A8" w14:textId="77777777" w:rsidR="008E0E4E" w:rsidRPr="009C1935" w:rsidRDefault="008E0E4E" w:rsidP="008E0E4E">
            <w:pPr>
              <w:jc w:val="right"/>
              <w:rPr>
                <w:rFonts w:ascii="Arial" w:hAnsi="Arial" w:cs="Arial"/>
                <w:lang w:val="en-GB"/>
              </w:rPr>
            </w:pPr>
            <w:r w:rsidRPr="009C1935">
              <w:rPr>
                <w:rFonts w:ascii="Arial" w:hAnsi="Arial" w:cs="Arial"/>
                <w:lang w:val="en-GB"/>
              </w:rPr>
              <w:t>46,380.70</w:t>
            </w:r>
          </w:p>
        </w:tc>
        <w:tc>
          <w:tcPr>
            <w:tcW w:w="569" w:type="pct"/>
            <w:noWrap/>
            <w:vAlign w:val="center"/>
            <w:hideMark/>
          </w:tcPr>
          <w:p w14:paraId="6B9A9A94" w14:textId="77777777" w:rsidR="008E0E4E" w:rsidRPr="009C1935" w:rsidRDefault="008E0E4E" w:rsidP="008E0E4E">
            <w:pPr>
              <w:jc w:val="right"/>
              <w:rPr>
                <w:rFonts w:ascii="Arial" w:hAnsi="Arial" w:cs="Arial"/>
                <w:lang w:val="en-GB"/>
              </w:rPr>
            </w:pPr>
            <w:r w:rsidRPr="009C1935">
              <w:rPr>
                <w:rFonts w:ascii="Arial" w:hAnsi="Arial" w:cs="Arial"/>
                <w:lang w:val="en-GB"/>
              </w:rPr>
              <w:t>3,466.00</w:t>
            </w:r>
          </w:p>
        </w:tc>
      </w:tr>
      <w:tr w:rsidR="008E0E4E" w:rsidRPr="009C1935" w14:paraId="08606D20" w14:textId="77777777" w:rsidTr="00D050B3">
        <w:trPr>
          <w:trHeight w:val="20"/>
          <w:jc w:val="center"/>
        </w:trPr>
        <w:tc>
          <w:tcPr>
            <w:tcW w:w="363" w:type="pct"/>
            <w:noWrap/>
            <w:vAlign w:val="center"/>
            <w:hideMark/>
          </w:tcPr>
          <w:p w14:paraId="35B95F0C"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2</w:t>
            </w:r>
          </w:p>
        </w:tc>
        <w:tc>
          <w:tcPr>
            <w:tcW w:w="2525" w:type="pct"/>
            <w:noWrap/>
            <w:vAlign w:val="center"/>
            <w:hideMark/>
          </w:tcPr>
          <w:p w14:paraId="23801472" w14:textId="77777777" w:rsidR="008E0E4E" w:rsidRPr="009C1935" w:rsidRDefault="008E0E4E" w:rsidP="008E0E4E">
            <w:pPr>
              <w:rPr>
                <w:rFonts w:ascii="Arial" w:hAnsi="Arial" w:cs="Arial"/>
                <w:lang w:val="en-GB"/>
              </w:rPr>
            </w:pPr>
            <w:r w:rsidRPr="009C1935">
              <w:rPr>
                <w:rFonts w:ascii="Arial" w:hAnsi="Arial" w:cs="Arial"/>
                <w:lang w:val="en-GB"/>
              </w:rPr>
              <w:t>Fortis Healthcare Ltd.</w:t>
            </w:r>
          </w:p>
        </w:tc>
        <w:tc>
          <w:tcPr>
            <w:tcW w:w="813" w:type="pct"/>
            <w:noWrap/>
            <w:vAlign w:val="center"/>
            <w:hideMark/>
          </w:tcPr>
          <w:p w14:paraId="039D1F07" w14:textId="77777777" w:rsidR="008E0E4E" w:rsidRPr="009C1935" w:rsidRDefault="008E0E4E" w:rsidP="008E0E4E">
            <w:pPr>
              <w:jc w:val="right"/>
              <w:rPr>
                <w:rFonts w:ascii="Arial" w:hAnsi="Arial" w:cs="Arial"/>
                <w:lang w:val="en-GB"/>
              </w:rPr>
            </w:pPr>
            <w:r w:rsidRPr="009C1935">
              <w:rPr>
                <w:rFonts w:ascii="Arial" w:hAnsi="Arial" w:cs="Arial"/>
                <w:lang w:val="en-GB"/>
              </w:rPr>
              <w:t>51,554.20</w:t>
            </w:r>
          </w:p>
        </w:tc>
        <w:tc>
          <w:tcPr>
            <w:tcW w:w="730" w:type="pct"/>
            <w:noWrap/>
            <w:vAlign w:val="center"/>
            <w:hideMark/>
          </w:tcPr>
          <w:p w14:paraId="3DBBF934" w14:textId="77777777" w:rsidR="008E0E4E" w:rsidRPr="009C1935" w:rsidRDefault="008E0E4E" w:rsidP="008E0E4E">
            <w:pPr>
              <w:jc w:val="right"/>
              <w:rPr>
                <w:rFonts w:ascii="Arial" w:hAnsi="Arial" w:cs="Arial"/>
                <w:lang w:val="en-GB"/>
              </w:rPr>
            </w:pPr>
            <w:r w:rsidRPr="009C1935">
              <w:rPr>
                <w:rFonts w:ascii="Arial" w:hAnsi="Arial" w:cs="Arial"/>
                <w:lang w:val="en-GB"/>
              </w:rPr>
              <w:t>8,333.80</w:t>
            </w:r>
          </w:p>
        </w:tc>
        <w:tc>
          <w:tcPr>
            <w:tcW w:w="569" w:type="pct"/>
            <w:noWrap/>
            <w:vAlign w:val="center"/>
            <w:hideMark/>
          </w:tcPr>
          <w:p w14:paraId="6F54196D" w14:textId="18D973B8" w:rsidR="008E0E4E" w:rsidRPr="009C1935" w:rsidRDefault="008A6250" w:rsidP="008E0E4E">
            <w:pPr>
              <w:jc w:val="right"/>
              <w:rPr>
                <w:rFonts w:ascii="Arial" w:hAnsi="Arial" w:cs="Arial"/>
                <w:lang w:val="en-GB"/>
              </w:rPr>
            </w:pPr>
            <w:r w:rsidRPr="009C1935">
              <w:rPr>
                <w:rFonts w:ascii="Arial" w:hAnsi="Arial" w:cs="Arial"/>
                <w:lang w:val="en-GB"/>
              </w:rPr>
              <w:t>−</w:t>
            </w:r>
            <w:r w:rsidR="008E0E4E" w:rsidRPr="009C1935">
              <w:rPr>
                <w:rFonts w:ascii="Arial" w:hAnsi="Arial" w:cs="Arial"/>
                <w:lang w:val="en-GB"/>
              </w:rPr>
              <w:t>339.1</w:t>
            </w:r>
            <w:r w:rsidR="000363D1" w:rsidRPr="009C1935">
              <w:rPr>
                <w:rFonts w:ascii="Arial" w:hAnsi="Arial" w:cs="Arial"/>
                <w:lang w:val="en-GB"/>
              </w:rPr>
              <w:t>0</w:t>
            </w:r>
          </w:p>
        </w:tc>
      </w:tr>
      <w:tr w:rsidR="008E0E4E" w:rsidRPr="009C1935" w14:paraId="2B6D7146" w14:textId="77777777" w:rsidTr="00D050B3">
        <w:trPr>
          <w:trHeight w:val="20"/>
          <w:jc w:val="center"/>
        </w:trPr>
        <w:tc>
          <w:tcPr>
            <w:tcW w:w="363" w:type="pct"/>
            <w:noWrap/>
            <w:vAlign w:val="center"/>
            <w:hideMark/>
          </w:tcPr>
          <w:p w14:paraId="76472848"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3</w:t>
            </w:r>
          </w:p>
        </w:tc>
        <w:tc>
          <w:tcPr>
            <w:tcW w:w="2525" w:type="pct"/>
            <w:noWrap/>
            <w:vAlign w:val="center"/>
            <w:hideMark/>
          </w:tcPr>
          <w:p w14:paraId="22E1532F" w14:textId="77777777" w:rsidR="008E0E4E" w:rsidRPr="009C1935" w:rsidRDefault="008E0E4E" w:rsidP="008E0E4E">
            <w:pPr>
              <w:rPr>
                <w:rFonts w:ascii="Arial" w:hAnsi="Arial" w:cs="Arial"/>
                <w:lang w:val="en-GB"/>
              </w:rPr>
            </w:pPr>
            <w:r w:rsidRPr="009C1935">
              <w:rPr>
                <w:rFonts w:ascii="Arial" w:hAnsi="Arial" w:cs="Arial"/>
                <w:lang w:val="en-GB"/>
              </w:rPr>
              <w:t>Fortis Hospitals Ltd.</w:t>
            </w:r>
          </w:p>
        </w:tc>
        <w:tc>
          <w:tcPr>
            <w:tcW w:w="813" w:type="pct"/>
            <w:noWrap/>
            <w:vAlign w:val="center"/>
            <w:hideMark/>
          </w:tcPr>
          <w:p w14:paraId="394103D2" w14:textId="77777777" w:rsidR="008E0E4E" w:rsidRPr="009C1935" w:rsidRDefault="008E0E4E" w:rsidP="008E0E4E">
            <w:pPr>
              <w:jc w:val="right"/>
              <w:rPr>
                <w:rFonts w:ascii="Arial" w:hAnsi="Arial" w:cs="Arial"/>
                <w:lang w:val="en-GB"/>
              </w:rPr>
            </w:pPr>
            <w:r w:rsidRPr="009C1935">
              <w:rPr>
                <w:rFonts w:ascii="Arial" w:hAnsi="Arial" w:cs="Arial"/>
                <w:lang w:val="en-GB"/>
              </w:rPr>
              <w:t>23,253.70</w:t>
            </w:r>
          </w:p>
        </w:tc>
        <w:tc>
          <w:tcPr>
            <w:tcW w:w="730" w:type="pct"/>
            <w:noWrap/>
            <w:vAlign w:val="center"/>
            <w:hideMark/>
          </w:tcPr>
          <w:p w14:paraId="0E3C6FA6" w14:textId="77777777" w:rsidR="008E0E4E" w:rsidRPr="009C1935" w:rsidRDefault="008E0E4E" w:rsidP="008E0E4E">
            <w:pPr>
              <w:jc w:val="right"/>
              <w:rPr>
                <w:rFonts w:ascii="Arial" w:hAnsi="Arial" w:cs="Arial"/>
                <w:lang w:val="en-GB"/>
              </w:rPr>
            </w:pPr>
            <w:r w:rsidRPr="009C1935">
              <w:rPr>
                <w:rFonts w:ascii="Arial" w:hAnsi="Arial" w:cs="Arial"/>
                <w:lang w:val="en-GB"/>
              </w:rPr>
              <w:t>20,275.50</w:t>
            </w:r>
          </w:p>
        </w:tc>
        <w:tc>
          <w:tcPr>
            <w:tcW w:w="569" w:type="pct"/>
            <w:noWrap/>
            <w:vAlign w:val="center"/>
            <w:hideMark/>
          </w:tcPr>
          <w:p w14:paraId="3F93FD69" w14:textId="693924B2" w:rsidR="008E0E4E" w:rsidRPr="009C1935" w:rsidRDefault="008A6250" w:rsidP="008E0E4E">
            <w:pPr>
              <w:jc w:val="right"/>
              <w:rPr>
                <w:rFonts w:ascii="Arial" w:hAnsi="Arial" w:cs="Arial"/>
                <w:lang w:val="en-GB"/>
              </w:rPr>
            </w:pPr>
            <w:r w:rsidRPr="009C1935">
              <w:rPr>
                <w:rFonts w:ascii="Arial" w:hAnsi="Arial" w:cs="Arial"/>
                <w:lang w:val="en-GB"/>
              </w:rPr>
              <w:t>−</w:t>
            </w:r>
            <w:r w:rsidR="008E0E4E" w:rsidRPr="009C1935">
              <w:rPr>
                <w:rFonts w:ascii="Arial" w:hAnsi="Arial" w:cs="Arial"/>
                <w:lang w:val="en-GB"/>
              </w:rPr>
              <w:t>856.7</w:t>
            </w:r>
            <w:r w:rsidR="000363D1" w:rsidRPr="009C1935">
              <w:rPr>
                <w:rFonts w:ascii="Arial" w:hAnsi="Arial" w:cs="Arial"/>
                <w:lang w:val="en-GB"/>
              </w:rPr>
              <w:t>0</w:t>
            </w:r>
          </w:p>
        </w:tc>
      </w:tr>
      <w:tr w:rsidR="008E0E4E" w:rsidRPr="009C1935" w14:paraId="2DC7D297" w14:textId="77777777" w:rsidTr="00D050B3">
        <w:trPr>
          <w:trHeight w:val="20"/>
          <w:jc w:val="center"/>
        </w:trPr>
        <w:tc>
          <w:tcPr>
            <w:tcW w:w="363" w:type="pct"/>
            <w:noWrap/>
            <w:vAlign w:val="center"/>
            <w:hideMark/>
          </w:tcPr>
          <w:p w14:paraId="209F52E3"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4</w:t>
            </w:r>
          </w:p>
        </w:tc>
        <w:tc>
          <w:tcPr>
            <w:tcW w:w="2525" w:type="pct"/>
            <w:noWrap/>
            <w:vAlign w:val="center"/>
            <w:hideMark/>
          </w:tcPr>
          <w:p w14:paraId="1B3B9ABF" w14:textId="77777777" w:rsidR="008E0E4E" w:rsidRPr="009C1935" w:rsidRDefault="008E0E4E" w:rsidP="008E0E4E">
            <w:pPr>
              <w:rPr>
                <w:rFonts w:ascii="Arial" w:hAnsi="Arial" w:cs="Arial"/>
                <w:lang w:val="en-GB"/>
              </w:rPr>
            </w:pPr>
            <w:r w:rsidRPr="009C1935">
              <w:rPr>
                <w:rFonts w:ascii="Arial" w:hAnsi="Arial" w:cs="Arial"/>
                <w:lang w:val="en-GB"/>
              </w:rPr>
              <w:t xml:space="preserve">Narayana </w:t>
            </w:r>
            <w:proofErr w:type="spellStart"/>
            <w:r w:rsidRPr="009C1935">
              <w:rPr>
                <w:rFonts w:ascii="Arial" w:hAnsi="Arial" w:cs="Arial"/>
                <w:lang w:val="en-GB"/>
              </w:rPr>
              <w:t>Hrudayalaya</w:t>
            </w:r>
            <w:proofErr w:type="spellEnd"/>
            <w:r w:rsidRPr="009C1935">
              <w:rPr>
                <w:rFonts w:ascii="Arial" w:hAnsi="Arial" w:cs="Arial"/>
                <w:lang w:val="en-GB"/>
              </w:rPr>
              <w:t xml:space="preserve"> Ltd.</w:t>
            </w:r>
          </w:p>
        </w:tc>
        <w:tc>
          <w:tcPr>
            <w:tcW w:w="813" w:type="pct"/>
            <w:noWrap/>
            <w:vAlign w:val="center"/>
            <w:hideMark/>
          </w:tcPr>
          <w:p w14:paraId="58AC416A" w14:textId="77777777" w:rsidR="008E0E4E" w:rsidRPr="009C1935" w:rsidRDefault="008E0E4E" w:rsidP="008E0E4E">
            <w:pPr>
              <w:jc w:val="right"/>
              <w:rPr>
                <w:rFonts w:ascii="Arial" w:hAnsi="Arial" w:cs="Arial"/>
                <w:lang w:val="en-GB"/>
              </w:rPr>
            </w:pPr>
            <w:r w:rsidRPr="009C1935">
              <w:rPr>
                <w:rFonts w:ascii="Arial" w:hAnsi="Arial" w:cs="Arial"/>
                <w:lang w:val="en-GB"/>
              </w:rPr>
              <w:t>13,175.40</w:t>
            </w:r>
          </w:p>
        </w:tc>
        <w:tc>
          <w:tcPr>
            <w:tcW w:w="730" w:type="pct"/>
            <w:noWrap/>
            <w:vAlign w:val="center"/>
            <w:hideMark/>
          </w:tcPr>
          <w:p w14:paraId="635669E7" w14:textId="77777777" w:rsidR="008E0E4E" w:rsidRPr="009C1935" w:rsidRDefault="008E0E4E" w:rsidP="008E0E4E">
            <w:pPr>
              <w:jc w:val="right"/>
              <w:rPr>
                <w:rFonts w:ascii="Arial" w:hAnsi="Arial" w:cs="Arial"/>
                <w:lang w:val="en-GB"/>
              </w:rPr>
            </w:pPr>
            <w:r w:rsidRPr="009C1935">
              <w:rPr>
                <w:rFonts w:ascii="Arial" w:hAnsi="Arial" w:cs="Arial"/>
                <w:lang w:val="en-GB"/>
              </w:rPr>
              <w:t>13,176.20</w:t>
            </w:r>
          </w:p>
        </w:tc>
        <w:tc>
          <w:tcPr>
            <w:tcW w:w="569" w:type="pct"/>
            <w:noWrap/>
            <w:vAlign w:val="center"/>
            <w:hideMark/>
          </w:tcPr>
          <w:p w14:paraId="0529C06D" w14:textId="5041AC1C" w:rsidR="008E0E4E" w:rsidRPr="009C1935" w:rsidRDefault="008E0E4E" w:rsidP="008E0E4E">
            <w:pPr>
              <w:jc w:val="right"/>
              <w:rPr>
                <w:rFonts w:ascii="Arial" w:hAnsi="Arial" w:cs="Arial"/>
                <w:lang w:val="en-GB"/>
              </w:rPr>
            </w:pPr>
            <w:r w:rsidRPr="009C1935">
              <w:rPr>
                <w:rFonts w:ascii="Arial" w:hAnsi="Arial" w:cs="Arial"/>
                <w:lang w:val="en-GB"/>
              </w:rPr>
              <w:t>210</w:t>
            </w:r>
            <w:r w:rsidR="000363D1" w:rsidRPr="009C1935">
              <w:rPr>
                <w:rFonts w:ascii="Arial" w:hAnsi="Arial" w:cs="Arial"/>
                <w:lang w:val="en-GB"/>
              </w:rPr>
              <w:t>.00</w:t>
            </w:r>
          </w:p>
        </w:tc>
      </w:tr>
      <w:tr w:rsidR="008E0E4E" w:rsidRPr="009C1935" w14:paraId="21DF6EB8" w14:textId="77777777" w:rsidTr="00D050B3">
        <w:trPr>
          <w:trHeight w:val="20"/>
          <w:jc w:val="center"/>
        </w:trPr>
        <w:tc>
          <w:tcPr>
            <w:tcW w:w="363" w:type="pct"/>
            <w:noWrap/>
            <w:vAlign w:val="center"/>
            <w:hideMark/>
          </w:tcPr>
          <w:p w14:paraId="65E6BF26"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5</w:t>
            </w:r>
          </w:p>
        </w:tc>
        <w:tc>
          <w:tcPr>
            <w:tcW w:w="2525" w:type="pct"/>
            <w:noWrap/>
            <w:vAlign w:val="center"/>
            <w:hideMark/>
          </w:tcPr>
          <w:p w14:paraId="603FFBE8" w14:textId="77777777" w:rsidR="008E0E4E" w:rsidRPr="009C1935" w:rsidRDefault="008E0E4E" w:rsidP="008E0E4E">
            <w:pPr>
              <w:rPr>
                <w:rFonts w:ascii="Arial" w:hAnsi="Arial" w:cs="Arial"/>
                <w:lang w:val="en-GB"/>
              </w:rPr>
            </w:pPr>
            <w:r w:rsidRPr="009C1935">
              <w:rPr>
                <w:rFonts w:ascii="Arial" w:hAnsi="Arial" w:cs="Arial"/>
                <w:lang w:val="en-GB"/>
              </w:rPr>
              <w:t>Max Healthcare Institute Ltd.</w:t>
            </w:r>
          </w:p>
        </w:tc>
        <w:tc>
          <w:tcPr>
            <w:tcW w:w="813" w:type="pct"/>
            <w:noWrap/>
            <w:vAlign w:val="center"/>
            <w:hideMark/>
          </w:tcPr>
          <w:p w14:paraId="11AFCABA" w14:textId="77777777" w:rsidR="008E0E4E" w:rsidRPr="009C1935" w:rsidRDefault="008E0E4E" w:rsidP="008E0E4E">
            <w:pPr>
              <w:jc w:val="right"/>
              <w:rPr>
                <w:rFonts w:ascii="Arial" w:hAnsi="Arial" w:cs="Arial"/>
                <w:lang w:val="en-GB"/>
              </w:rPr>
            </w:pPr>
            <w:r w:rsidRPr="009C1935">
              <w:rPr>
                <w:rFonts w:ascii="Arial" w:hAnsi="Arial" w:cs="Arial"/>
                <w:lang w:val="en-GB"/>
              </w:rPr>
              <w:t>14,674.20</w:t>
            </w:r>
          </w:p>
        </w:tc>
        <w:tc>
          <w:tcPr>
            <w:tcW w:w="730" w:type="pct"/>
            <w:noWrap/>
            <w:vAlign w:val="center"/>
            <w:hideMark/>
          </w:tcPr>
          <w:p w14:paraId="2000F413" w14:textId="77777777" w:rsidR="008E0E4E" w:rsidRPr="009C1935" w:rsidRDefault="008E0E4E" w:rsidP="008E0E4E">
            <w:pPr>
              <w:jc w:val="right"/>
              <w:rPr>
                <w:rFonts w:ascii="Arial" w:hAnsi="Arial" w:cs="Arial"/>
                <w:lang w:val="en-GB"/>
              </w:rPr>
            </w:pPr>
            <w:r w:rsidRPr="009C1935">
              <w:rPr>
                <w:rFonts w:ascii="Arial" w:hAnsi="Arial" w:cs="Arial"/>
                <w:lang w:val="en-GB"/>
              </w:rPr>
              <w:t>8,226.70</w:t>
            </w:r>
          </w:p>
        </w:tc>
        <w:tc>
          <w:tcPr>
            <w:tcW w:w="569" w:type="pct"/>
            <w:noWrap/>
            <w:vAlign w:val="center"/>
            <w:hideMark/>
          </w:tcPr>
          <w:p w14:paraId="5FA040B6" w14:textId="02749A26" w:rsidR="008E0E4E" w:rsidRPr="009C1935" w:rsidRDefault="008A6250" w:rsidP="008E0E4E">
            <w:pPr>
              <w:jc w:val="right"/>
              <w:rPr>
                <w:rFonts w:ascii="Arial" w:hAnsi="Arial" w:cs="Arial"/>
                <w:lang w:val="en-GB"/>
              </w:rPr>
            </w:pPr>
            <w:r w:rsidRPr="009C1935">
              <w:rPr>
                <w:rFonts w:ascii="Arial" w:hAnsi="Arial" w:cs="Arial"/>
                <w:lang w:val="en-GB"/>
              </w:rPr>
              <w:t>−</w:t>
            </w:r>
            <w:r w:rsidR="008E0E4E" w:rsidRPr="009C1935">
              <w:rPr>
                <w:rFonts w:ascii="Arial" w:hAnsi="Arial" w:cs="Arial"/>
                <w:lang w:val="en-GB"/>
              </w:rPr>
              <w:t>381.4</w:t>
            </w:r>
            <w:r w:rsidR="000363D1" w:rsidRPr="009C1935">
              <w:rPr>
                <w:rFonts w:ascii="Arial" w:hAnsi="Arial" w:cs="Arial"/>
                <w:lang w:val="en-GB"/>
              </w:rPr>
              <w:t>0</w:t>
            </w:r>
          </w:p>
        </w:tc>
      </w:tr>
      <w:tr w:rsidR="008E0E4E" w:rsidRPr="009C1935" w14:paraId="45DB5599" w14:textId="77777777" w:rsidTr="00D050B3">
        <w:trPr>
          <w:trHeight w:val="20"/>
          <w:jc w:val="center"/>
        </w:trPr>
        <w:tc>
          <w:tcPr>
            <w:tcW w:w="363" w:type="pct"/>
            <w:noWrap/>
            <w:vAlign w:val="center"/>
            <w:hideMark/>
          </w:tcPr>
          <w:p w14:paraId="13A75234"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6</w:t>
            </w:r>
          </w:p>
        </w:tc>
        <w:tc>
          <w:tcPr>
            <w:tcW w:w="2525" w:type="pct"/>
            <w:noWrap/>
            <w:vAlign w:val="center"/>
            <w:hideMark/>
          </w:tcPr>
          <w:p w14:paraId="150941B3" w14:textId="77777777" w:rsidR="008E0E4E" w:rsidRPr="009C1935" w:rsidRDefault="008E0E4E" w:rsidP="008E0E4E">
            <w:pPr>
              <w:rPr>
                <w:rFonts w:ascii="Arial" w:hAnsi="Arial" w:cs="Arial"/>
                <w:lang w:val="en-GB"/>
              </w:rPr>
            </w:pPr>
            <w:r w:rsidRPr="009C1935">
              <w:rPr>
                <w:rFonts w:ascii="Arial" w:hAnsi="Arial" w:cs="Arial"/>
                <w:lang w:val="en-GB"/>
              </w:rPr>
              <w:t>Escorts Heart Institute &amp; Research Centre Ltd.</w:t>
            </w:r>
          </w:p>
        </w:tc>
        <w:tc>
          <w:tcPr>
            <w:tcW w:w="813" w:type="pct"/>
            <w:noWrap/>
            <w:vAlign w:val="center"/>
            <w:hideMark/>
          </w:tcPr>
          <w:p w14:paraId="1F2A3B55" w14:textId="77777777" w:rsidR="008E0E4E" w:rsidRPr="009C1935" w:rsidRDefault="008E0E4E" w:rsidP="008E0E4E">
            <w:pPr>
              <w:jc w:val="right"/>
              <w:rPr>
                <w:rFonts w:ascii="Arial" w:hAnsi="Arial" w:cs="Arial"/>
                <w:lang w:val="en-GB"/>
              </w:rPr>
            </w:pPr>
            <w:r w:rsidRPr="009C1935">
              <w:rPr>
                <w:rFonts w:ascii="Arial" w:hAnsi="Arial" w:cs="Arial"/>
                <w:lang w:val="en-GB"/>
              </w:rPr>
              <w:t>12,123.60</w:t>
            </w:r>
          </w:p>
        </w:tc>
        <w:tc>
          <w:tcPr>
            <w:tcW w:w="730" w:type="pct"/>
            <w:noWrap/>
            <w:vAlign w:val="center"/>
            <w:hideMark/>
          </w:tcPr>
          <w:p w14:paraId="3232F469" w14:textId="77777777" w:rsidR="008E0E4E" w:rsidRPr="009C1935" w:rsidRDefault="008E0E4E" w:rsidP="008E0E4E">
            <w:pPr>
              <w:jc w:val="right"/>
              <w:rPr>
                <w:rFonts w:ascii="Arial" w:hAnsi="Arial" w:cs="Arial"/>
                <w:lang w:val="en-GB"/>
              </w:rPr>
            </w:pPr>
            <w:r w:rsidRPr="009C1935">
              <w:rPr>
                <w:rFonts w:ascii="Arial" w:hAnsi="Arial" w:cs="Arial"/>
                <w:lang w:val="en-GB"/>
              </w:rPr>
              <w:t>4,313.60</w:t>
            </w:r>
          </w:p>
        </w:tc>
        <w:tc>
          <w:tcPr>
            <w:tcW w:w="569" w:type="pct"/>
            <w:noWrap/>
            <w:vAlign w:val="center"/>
            <w:hideMark/>
          </w:tcPr>
          <w:p w14:paraId="67D73363" w14:textId="4E4A4D77" w:rsidR="008E0E4E" w:rsidRPr="009C1935" w:rsidRDefault="008E0E4E" w:rsidP="008E0E4E">
            <w:pPr>
              <w:jc w:val="right"/>
              <w:rPr>
                <w:rFonts w:ascii="Arial" w:hAnsi="Arial" w:cs="Arial"/>
                <w:lang w:val="en-GB"/>
              </w:rPr>
            </w:pPr>
            <w:r w:rsidRPr="009C1935">
              <w:rPr>
                <w:rFonts w:ascii="Arial" w:hAnsi="Arial" w:cs="Arial"/>
                <w:lang w:val="en-GB"/>
              </w:rPr>
              <w:t>252.5</w:t>
            </w:r>
            <w:r w:rsidR="000363D1" w:rsidRPr="009C1935">
              <w:rPr>
                <w:rFonts w:ascii="Arial" w:hAnsi="Arial" w:cs="Arial"/>
                <w:lang w:val="en-GB"/>
              </w:rPr>
              <w:t>0</w:t>
            </w:r>
          </w:p>
        </w:tc>
      </w:tr>
      <w:tr w:rsidR="008E0E4E" w:rsidRPr="009C1935" w14:paraId="445FABBC" w14:textId="77777777" w:rsidTr="00D050B3">
        <w:trPr>
          <w:trHeight w:val="20"/>
          <w:jc w:val="center"/>
        </w:trPr>
        <w:tc>
          <w:tcPr>
            <w:tcW w:w="363" w:type="pct"/>
            <w:noWrap/>
            <w:vAlign w:val="center"/>
            <w:hideMark/>
          </w:tcPr>
          <w:p w14:paraId="0A6FB95C"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7</w:t>
            </w:r>
          </w:p>
        </w:tc>
        <w:tc>
          <w:tcPr>
            <w:tcW w:w="2525" w:type="pct"/>
            <w:noWrap/>
            <w:vAlign w:val="center"/>
            <w:hideMark/>
          </w:tcPr>
          <w:p w14:paraId="7B26ABAD" w14:textId="77777777" w:rsidR="008E0E4E" w:rsidRPr="009C1935" w:rsidRDefault="008E0E4E" w:rsidP="008E0E4E">
            <w:pPr>
              <w:rPr>
                <w:rFonts w:ascii="Arial" w:hAnsi="Arial" w:cs="Arial"/>
                <w:lang w:val="en-GB"/>
              </w:rPr>
            </w:pPr>
            <w:r w:rsidRPr="009C1935">
              <w:rPr>
                <w:rFonts w:ascii="Arial" w:hAnsi="Arial" w:cs="Arial"/>
                <w:lang w:val="en-GB"/>
              </w:rPr>
              <w:t>S R L Ltd.</w:t>
            </w:r>
          </w:p>
        </w:tc>
        <w:tc>
          <w:tcPr>
            <w:tcW w:w="813" w:type="pct"/>
            <w:noWrap/>
            <w:vAlign w:val="center"/>
            <w:hideMark/>
          </w:tcPr>
          <w:p w14:paraId="159500F7" w14:textId="77777777" w:rsidR="008E0E4E" w:rsidRPr="009C1935" w:rsidRDefault="008E0E4E" w:rsidP="008E0E4E">
            <w:pPr>
              <w:jc w:val="right"/>
              <w:rPr>
                <w:rFonts w:ascii="Arial" w:hAnsi="Arial" w:cs="Arial"/>
                <w:lang w:val="en-GB"/>
              </w:rPr>
            </w:pPr>
            <w:r w:rsidRPr="009C1935">
              <w:rPr>
                <w:rFonts w:ascii="Arial" w:hAnsi="Arial" w:cs="Arial"/>
                <w:lang w:val="en-GB"/>
              </w:rPr>
              <w:t>10,170.50</w:t>
            </w:r>
          </w:p>
        </w:tc>
        <w:tc>
          <w:tcPr>
            <w:tcW w:w="730" w:type="pct"/>
            <w:noWrap/>
            <w:vAlign w:val="center"/>
            <w:hideMark/>
          </w:tcPr>
          <w:p w14:paraId="1052B39D" w14:textId="77777777" w:rsidR="008E0E4E" w:rsidRPr="009C1935" w:rsidRDefault="008E0E4E" w:rsidP="008E0E4E">
            <w:pPr>
              <w:jc w:val="right"/>
              <w:rPr>
                <w:rFonts w:ascii="Arial" w:hAnsi="Arial" w:cs="Arial"/>
                <w:lang w:val="en-GB"/>
              </w:rPr>
            </w:pPr>
            <w:r w:rsidRPr="009C1935">
              <w:rPr>
                <w:rFonts w:ascii="Arial" w:hAnsi="Arial" w:cs="Arial"/>
                <w:lang w:val="en-GB"/>
              </w:rPr>
              <w:t>5,478.50</w:t>
            </w:r>
          </w:p>
        </w:tc>
        <w:tc>
          <w:tcPr>
            <w:tcW w:w="569" w:type="pct"/>
            <w:noWrap/>
            <w:vAlign w:val="center"/>
            <w:hideMark/>
          </w:tcPr>
          <w:p w14:paraId="4FC14422" w14:textId="138AA7C6" w:rsidR="008E0E4E" w:rsidRPr="009C1935" w:rsidRDefault="008E0E4E" w:rsidP="008E0E4E">
            <w:pPr>
              <w:jc w:val="right"/>
              <w:rPr>
                <w:rFonts w:ascii="Arial" w:hAnsi="Arial" w:cs="Arial"/>
                <w:lang w:val="en-GB"/>
              </w:rPr>
            </w:pPr>
            <w:r w:rsidRPr="009C1935">
              <w:rPr>
                <w:rFonts w:ascii="Arial" w:hAnsi="Arial" w:cs="Arial"/>
                <w:lang w:val="en-GB"/>
              </w:rPr>
              <w:t>475.7</w:t>
            </w:r>
            <w:r w:rsidR="000363D1" w:rsidRPr="009C1935">
              <w:rPr>
                <w:rFonts w:ascii="Arial" w:hAnsi="Arial" w:cs="Arial"/>
                <w:lang w:val="en-GB"/>
              </w:rPr>
              <w:t>0</w:t>
            </w:r>
          </w:p>
        </w:tc>
      </w:tr>
      <w:tr w:rsidR="008E0E4E" w:rsidRPr="009C1935" w14:paraId="6433723D" w14:textId="77777777" w:rsidTr="00D050B3">
        <w:trPr>
          <w:trHeight w:val="20"/>
          <w:jc w:val="center"/>
        </w:trPr>
        <w:tc>
          <w:tcPr>
            <w:tcW w:w="363" w:type="pct"/>
            <w:noWrap/>
            <w:vAlign w:val="center"/>
            <w:hideMark/>
          </w:tcPr>
          <w:p w14:paraId="254C2DE8"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8</w:t>
            </w:r>
          </w:p>
        </w:tc>
        <w:tc>
          <w:tcPr>
            <w:tcW w:w="2525" w:type="pct"/>
            <w:noWrap/>
            <w:vAlign w:val="center"/>
            <w:hideMark/>
          </w:tcPr>
          <w:p w14:paraId="7689D241" w14:textId="77777777" w:rsidR="008E0E4E" w:rsidRPr="009C1935" w:rsidRDefault="008E0E4E" w:rsidP="008E0E4E">
            <w:pPr>
              <w:rPr>
                <w:rFonts w:ascii="Arial" w:hAnsi="Arial" w:cs="Arial"/>
                <w:lang w:val="en-GB"/>
              </w:rPr>
            </w:pPr>
            <w:proofErr w:type="spellStart"/>
            <w:r w:rsidRPr="009C1935">
              <w:rPr>
                <w:rFonts w:ascii="Arial" w:hAnsi="Arial" w:cs="Arial"/>
                <w:lang w:val="en-GB"/>
              </w:rPr>
              <w:t>Indraprastha</w:t>
            </w:r>
            <w:proofErr w:type="spellEnd"/>
            <w:r w:rsidRPr="009C1935">
              <w:rPr>
                <w:rFonts w:ascii="Arial" w:hAnsi="Arial" w:cs="Arial"/>
                <w:lang w:val="en-GB"/>
              </w:rPr>
              <w:t xml:space="preserve"> Medical Corporation Ltd.</w:t>
            </w:r>
          </w:p>
        </w:tc>
        <w:tc>
          <w:tcPr>
            <w:tcW w:w="813" w:type="pct"/>
            <w:noWrap/>
            <w:vAlign w:val="center"/>
            <w:hideMark/>
          </w:tcPr>
          <w:p w14:paraId="2053F190" w14:textId="77777777" w:rsidR="008E0E4E" w:rsidRPr="009C1935" w:rsidRDefault="008E0E4E" w:rsidP="008E0E4E">
            <w:pPr>
              <w:jc w:val="right"/>
              <w:rPr>
                <w:rFonts w:ascii="Arial" w:hAnsi="Arial" w:cs="Arial"/>
                <w:lang w:val="en-GB"/>
              </w:rPr>
            </w:pPr>
            <w:r w:rsidRPr="009C1935">
              <w:rPr>
                <w:rFonts w:ascii="Arial" w:hAnsi="Arial" w:cs="Arial"/>
                <w:lang w:val="en-GB"/>
              </w:rPr>
              <w:t>4,633.80</w:t>
            </w:r>
          </w:p>
        </w:tc>
        <w:tc>
          <w:tcPr>
            <w:tcW w:w="730" w:type="pct"/>
            <w:noWrap/>
            <w:vAlign w:val="center"/>
            <w:hideMark/>
          </w:tcPr>
          <w:p w14:paraId="4F66F528" w14:textId="77777777" w:rsidR="008E0E4E" w:rsidRPr="009C1935" w:rsidRDefault="008E0E4E" w:rsidP="008E0E4E">
            <w:pPr>
              <w:jc w:val="right"/>
              <w:rPr>
                <w:rFonts w:ascii="Arial" w:hAnsi="Arial" w:cs="Arial"/>
                <w:lang w:val="en-GB"/>
              </w:rPr>
            </w:pPr>
            <w:r w:rsidRPr="009C1935">
              <w:rPr>
                <w:rFonts w:ascii="Arial" w:hAnsi="Arial" w:cs="Arial"/>
                <w:lang w:val="en-GB"/>
              </w:rPr>
              <w:t>7,144.00</w:t>
            </w:r>
          </w:p>
        </w:tc>
        <w:tc>
          <w:tcPr>
            <w:tcW w:w="569" w:type="pct"/>
            <w:noWrap/>
            <w:vAlign w:val="center"/>
            <w:hideMark/>
          </w:tcPr>
          <w:p w14:paraId="3BD7E330" w14:textId="495323BB" w:rsidR="008E0E4E" w:rsidRPr="009C1935" w:rsidRDefault="008E0E4E" w:rsidP="008E0E4E">
            <w:pPr>
              <w:jc w:val="right"/>
              <w:rPr>
                <w:rFonts w:ascii="Arial" w:hAnsi="Arial" w:cs="Arial"/>
                <w:lang w:val="en-GB"/>
              </w:rPr>
            </w:pPr>
            <w:r w:rsidRPr="009C1935">
              <w:rPr>
                <w:rFonts w:ascii="Arial" w:hAnsi="Arial" w:cs="Arial"/>
                <w:lang w:val="en-GB"/>
              </w:rPr>
              <w:t>324.9</w:t>
            </w:r>
            <w:r w:rsidR="000363D1" w:rsidRPr="009C1935">
              <w:rPr>
                <w:rFonts w:ascii="Arial" w:hAnsi="Arial" w:cs="Arial"/>
                <w:lang w:val="en-GB"/>
              </w:rPr>
              <w:t>0</w:t>
            </w:r>
          </w:p>
        </w:tc>
      </w:tr>
      <w:tr w:rsidR="008E0E4E" w:rsidRPr="009C1935" w14:paraId="0ACE83C8" w14:textId="77777777" w:rsidTr="00D050B3">
        <w:trPr>
          <w:trHeight w:val="20"/>
          <w:jc w:val="center"/>
        </w:trPr>
        <w:tc>
          <w:tcPr>
            <w:tcW w:w="363" w:type="pct"/>
            <w:noWrap/>
            <w:vAlign w:val="center"/>
            <w:hideMark/>
          </w:tcPr>
          <w:p w14:paraId="24B28B24"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9</w:t>
            </w:r>
          </w:p>
        </w:tc>
        <w:tc>
          <w:tcPr>
            <w:tcW w:w="2525" w:type="pct"/>
            <w:noWrap/>
            <w:vAlign w:val="center"/>
            <w:hideMark/>
          </w:tcPr>
          <w:p w14:paraId="7090BD04" w14:textId="77777777" w:rsidR="008E0E4E" w:rsidRPr="009C1935" w:rsidRDefault="007D1291" w:rsidP="007D1291">
            <w:pPr>
              <w:rPr>
                <w:rFonts w:ascii="Arial" w:hAnsi="Arial" w:cs="Arial"/>
                <w:lang w:val="en-GB"/>
              </w:rPr>
            </w:pPr>
            <w:r w:rsidRPr="009C1935">
              <w:rPr>
                <w:rFonts w:ascii="Arial" w:hAnsi="Arial" w:cs="Arial"/>
                <w:lang w:val="en-GB"/>
              </w:rPr>
              <w:t xml:space="preserve">HealthCare </w:t>
            </w:r>
            <w:r w:rsidR="008E0E4E" w:rsidRPr="009C1935">
              <w:rPr>
                <w:rFonts w:ascii="Arial" w:hAnsi="Arial" w:cs="Arial"/>
                <w:lang w:val="en-GB"/>
              </w:rPr>
              <w:t>Global Enterprises Ltd.</w:t>
            </w:r>
          </w:p>
        </w:tc>
        <w:tc>
          <w:tcPr>
            <w:tcW w:w="813" w:type="pct"/>
            <w:noWrap/>
            <w:vAlign w:val="center"/>
            <w:hideMark/>
          </w:tcPr>
          <w:p w14:paraId="7BB03397" w14:textId="77777777" w:rsidR="008E0E4E" w:rsidRPr="009C1935" w:rsidRDefault="008E0E4E" w:rsidP="008E0E4E">
            <w:pPr>
              <w:jc w:val="right"/>
              <w:rPr>
                <w:rFonts w:ascii="Arial" w:hAnsi="Arial" w:cs="Arial"/>
                <w:lang w:val="en-GB"/>
              </w:rPr>
            </w:pPr>
            <w:r w:rsidRPr="009C1935">
              <w:rPr>
                <w:rFonts w:ascii="Arial" w:hAnsi="Arial" w:cs="Arial"/>
                <w:lang w:val="en-GB"/>
              </w:rPr>
              <w:t>7,115.50</w:t>
            </w:r>
          </w:p>
        </w:tc>
        <w:tc>
          <w:tcPr>
            <w:tcW w:w="730" w:type="pct"/>
            <w:noWrap/>
            <w:vAlign w:val="center"/>
            <w:hideMark/>
          </w:tcPr>
          <w:p w14:paraId="31B832D9" w14:textId="77777777" w:rsidR="008E0E4E" w:rsidRPr="009C1935" w:rsidRDefault="008E0E4E" w:rsidP="008E0E4E">
            <w:pPr>
              <w:jc w:val="right"/>
              <w:rPr>
                <w:rFonts w:ascii="Arial" w:hAnsi="Arial" w:cs="Arial"/>
                <w:lang w:val="en-GB"/>
              </w:rPr>
            </w:pPr>
            <w:r w:rsidRPr="009C1935">
              <w:rPr>
                <w:rFonts w:ascii="Arial" w:hAnsi="Arial" w:cs="Arial"/>
                <w:lang w:val="en-GB"/>
              </w:rPr>
              <w:t>4,244.40</w:t>
            </w:r>
          </w:p>
        </w:tc>
        <w:tc>
          <w:tcPr>
            <w:tcW w:w="569" w:type="pct"/>
            <w:noWrap/>
            <w:vAlign w:val="center"/>
            <w:hideMark/>
          </w:tcPr>
          <w:p w14:paraId="02838694" w14:textId="158E9DBE" w:rsidR="008E0E4E" w:rsidRPr="009C1935" w:rsidRDefault="008A6250" w:rsidP="008E0E4E">
            <w:pPr>
              <w:jc w:val="right"/>
              <w:rPr>
                <w:rFonts w:ascii="Arial" w:hAnsi="Arial" w:cs="Arial"/>
                <w:lang w:val="en-GB"/>
              </w:rPr>
            </w:pPr>
            <w:r w:rsidRPr="009C1935">
              <w:rPr>
                <w:rFonts w:ascii="Arial" w:hAnsi="Arial" w:cs="Arial"/>
                <w:lang w:val="en-GB"/>
              </w:rPr>
              <w:t>−</w:t>
            </w:r>
            <w:r w:rsidR="008E0E4E" w:rsidRPr="009C1935">
              <w:rPr>
                <w:rFonts w:ascii="Arial" w:hAnsi="Arial" w:cs="Arial"/>
                <w:lang w:val="en-GB"/>
              </w:rPr>
              <w:t>23.7</w:t>
            </w:r>
            <w:r w:rsidR="000363D1" w:rsidRPr="009C1935">
              <w:rPr>
                <w:rFonts w:ascii="Arial" w:hAnsi="Arial" w:cs="Arial"/>
                <w:lang w:val="en-GB"/>
              </w:rPr>
              <w:t>0</w:t>
            </w:r>
          </w:p>
        </w:tc>
      </w:tr>
      <w:tr w:rsidR="008E0E4E" w:rsidRPr="009C1935" w14:paraId="5A14C1C2" w14:textId="77777777" w:rsidTr="00D050B3">
        <w:trPr>
          <w:trHeight w:val="20"/>
          <w:jc w:val="center"/>
        </w:trPr>
        <w:tc>
          <w:tcPr>
            <w:tcW w:w="363" w:type="pct"/>
            <w:noWrap/>
            <w:vAlign w:val="center"/>
            <w:hideMark/>
          </w:tcPr>
          <w:p w14:paraId="2FA242FC" w14:textId="77777777" w:rsidR="008E0E4E" w:rsidRPr="009C1935" w:rsidRDefault="008E0E4E" w:rsidP="008E0E4E">
            <w:pPr>
              <w:ind w:right="144"/>
              <w:jc w:val="right"/>
              <w:rPr>
                <w:rFonts w:ascii="Arial" w:hAnsi="Arial" w:cs="Arial"/>
                <w:lang w:val="en-GB"/>
              </w:rPr>
            </w:pPr>
            <w:r w:rsidRPr="009C1935">
              <w:rPr>
                <w:rFonts w:ascii="Arial" w:hAnsi="Arial" w:cs="Arial"/>
                <w:lang w:val="en-GB"/>
              </w:rPr>
              <w:t>10</w:t>
            </w:r>
          </w:p>
        </w:tc>
        <w:tc>
          <w:tcPr>
            <w:tcW w:w="2525" w:type="pct"/>
            <w:noWrap/>
            <w:vAlign w:val="center"/>
            <w:hideMark/>
          </w:tcPr>
          <w:p w14:paraId="7EF09846" w14:textId="77777777" w:rsidR="008E0E4E" w:rsidRPr="009C1935" w:rsidRDefault="008E0E4E" w:rsidP="008E0E4E">
            <w:pPr>
              <w:rPr>
                <w:rFonts w:ascii="Arial" w:hAnsi="Arial" w:cs="Arial"/>
                <w:lang w:val="en-GB"/>
              </w:rPr>
            </w:pPr>
            <w:r w:rsidRPr="009C1935">
              <w:rPr>
                <w:rFonts w:ascii="Arial" w:hAnsi="Arial" w:cs="Arial"/>
                <w:lang w:val="en-GB"/>
              </w:rPr>
              <w:t>Tamil Nadu Medical Services Corporation Ltd.</w:t>
            </w:r>
          </w:p>
        </w:tc>
        <w:tc>
          <w:tcPr>
            <w:tcW w:w="813" w:type="pct"/>
            <w:noWrap/>
            <w:vAlign w:val="center"/>
            <w:hideMark/>
          </w:tcPr>
          <w:p w14:paraId="6F0EA51C" w14:textId="77777777" w:rsidR="008E0E4E" w:rsidRPr="009C1935" w:rsidRDefault="008E0E4E" w:rsidP="008E0E4E">
            <w:pPr>
              <w:jc w:val="right"/>
              <w:rPr>
                <w:rFonts w:ascii="Arial" w:hAnsi="Arial" w:cs="Arial"/>
                <w:lang w:val="en-GB"/>
              </w:rPr>
            </w:pPr>
            <w:r w:rsidRPr="009C1935">
              <w:rPr>
                <w:rFonts w:ascii="Arial" w:hAnsi="Arial" w:cs="Arial"/>
                <w:lang w:val="en-GB"/>
              </w:rPr>
              <w:t>10,086.50</w:t>
            </w:r>
          </w:p>
        </w:tc>
        <w:tc>
          <w:tcPr>
            <w:tcW w:w="730" w:type="pct"/>
            <w:noWrap/>
            <w:vAlign w:val="center"/>
            <w:hideMark/>
          </w:tcPr>
          <w:p w14:paraId="1FE10628" w14:textId="377EDC62" w:rsidR="008E0E4E" w:rsidRPr="009C1935" w:rsidRDefault="008E0E4E" w:rsidP="008E0E4E">
            <w:pPr>
              <w:jc w:val="right"/>
              <w:rPr>
                <w:rFonts w:ascii="Arial" w:hAnsi="Arial" w:cs="Arial"/>
                <w:lang w:val="en-GB"/>
              </w:rPr>
            </w:pPr>
            <w:r w:rsidRPr="009C1935">
              <w:rPr>
                <w:rFonts w:ascii="Arial" w:hAnsi="Arial" w:cs="Arial"/>
                <w:lang w:val="en-GB"/>
              </w:rPr>
              <w:t>340.2</w:t>
            </w:r>
            <w:r w:rsidR="000363D1" w:rsidRPr="009C1935">
              <w:rPr>
                <w:rFonts w:ascii="Arial" w:hAnsi="Arial" w:cs="Arial"/>
                <w:lang w:val="en-GB"/>
              </w:rPr>
              <w:t>0</w:t>
            </w:r>
          </w:p>
        </w:tc>
        <w:tc>
          <w:tcPr>
            <w:tcW w:w="569" w:type="pct"/>
            <w:noWrap/>
            <w:vAlign w:val="center"/>
            <w:hideMark/>
          </w:tcPr>
          <w:p w14:paraId="16B5DE10" w14:textId="1B464F94" w:rsidR="008E0E4E" w:rsidRPr="009C1935" w:rsidRDefault="008E0E4E" w:rsidP="008E0E4E">
            <w:pPr>
              <w:jc w:val="right"/>
              <w:rPr>
                <w:rFonts w:ascii="Arial" w:hAnsi="Arial" w:cs="Arial"/>
                <w:lang w:val="en-GB"/>
              </w:rPr>
            </w:pPr>
            <w:r w:rsidRPr="009C1935">
              <w:rPr>
                <w:rFonts w:ascii="Arial" w:hAnsi="Arial" w:cs="Arial"/>
                <w:lang w:val="en-GB"/>
              </w:rPr>
              <w:t>1.2</w:t>
            </w:r>
            <w:r w:rsidR="000363D1" w:rsidRPr="009C1935">
              <w:rPr>
                <w:rFonts w:ascii="Arial" w:hAnsi="Arial" w:cs="Arial"/>
                <w:lang w:val="en-GB"/>
              </w:rPr>
              <w:t>0</w:t>
            </w:r>
          </w:p>
        </w:tc>
      </w:tr>
    </w:tbl>
    <w:p w14:paraId="695A2749" w14:textId="77777777" w:rsidR="008E0E4E" w:rsidRPr="009C1935" w:rsidRDefault="008E0E4E" w:rsidP="008E0E4E">
      <w:pPr>
        <w:pStyle w:val="FootnoteText1"/>
        <w:rPr>
          <w:lang w:val="en-GB"/>
        </w:rPr>
      </w:pPr>
    </w:p>
    <w:p w14:paraId="42A2065E" w14:textId="77777777" w:rsidR="008E0E4E" w:rsidRPr="009C1935" w:rsidRDefault="008E0E4E" w:rsidP="008E0E4E">
      <w:pPr>
        <w:pStyle w:val="FootnoteText1"/>
        <w:rPr>
          <w:lang w:val="en-GB"/>
        </w:rPr>
      </w:pPr>
      <w:r w:rsidRPr="009C1935">
        <w:rPr>
          <w:lang w:val="en-GB"/>
        </w:rPr>
        <w:t xml:space="preserve">Source: </w:t>
      </w:r>
      <w:r w:rsidR="0026377A" w:rsidRPr="009C1935">
        <w:rPr>
          <w:lang w:val="en-GB"/>
        </w:rPr>
        <w:t>Case</w:t>
      </w:r>
      <w:r w:rsidRPr="009C1935">
        <w:rPr>
          <w:lang w:val="en-GB"/>
        </w:rPr>
        <w:t xml:space="preserve"> authors using data from annual reports of companies </w:t>
      </w:r>
      <w:r w:rsidR="0026377A" w:rsidRPr="009C1935">
        <w:rPr>
          <w:lang w:val="en-GB"/>
        </w:rPr>
        <w:t xml:space="preserve">for </w:t>
      </w:r>
      <w:r w:rsidRPr="009C1935">
        <w:rPr>
          <w:lang w:val="en-GB"/>
        </w:rPr>
        <w:t>FY 2014</w:t>
      </w:r>
      <w:r w:rsidR="008A6250" w:rsidRPr="009C1935">
        <w:rPr>
          <w:lang w:val="en-GB"/>
        </w:rPr>
        <w:t>–</w:t>
      </w:r>
      <w:r w:rsidRPr="009C1935">
        <w:rPr>
          <w:lang w:val="en-GB"/>
        </w:rPr>
        <w:t>15.</w:t>
      </w:r>
    </w:p>
    <w:p w14:paraId="5CDB1EBC" w14:textId="77777777" w:rsidR="008E0E4E" w:rsidRPr="009C1935" w:rsidRDefault="008E0E4E" w:rsidP="008E0E4E">
      <w:pPr>
        <w:pStyle w:val="BodyTextMain"/>
        <w:rPr>
          <w:lang w:val="en-GB"/>
        </w:rPr>
      </w:pPr>
    </w:p>
    <w:p w14:paraId="5D37034A" w14:textId="77777777" w:rsidR="008E0E4E" w:rsidRPr="009C1935" w:rsidRDefault="008E0E4E" w:rsidP="008E0E4E">
      <w:pPr>
        <w:pStyle w:val="BodyTextMain"/>
        <w:rPr>
          <w:lang w:val="en-GB"/>
        </w:rPr>
      </w:pPr>
    </w:p>
    <w:p w14:paraId="2286046D" w14:textId="77777777" w:rsidR="008E0E4E" w:rsidRPr="009C1935" w:rsidRDefault="008E0E4E" w:rsidP="008E0E4E">
      <w:pPr>
        <w:pStyle w:val="Casehead1"/>
        <w:jc w:val="center"/>
        <w:rPr>
          <w:lang w:val="en-GB"/>
        </w:rPr>
      </w:pPr>
      <w:r w:rsidRPr="009C1935">
        <w:rPr>
          <w:lang w:val="en-GB"/>
        </w:rPr>
        <w:t>EXHIBIT 2: BALANCE SHEET OF COMPARABLE FIRMS OF HEALTHCARE INDUSTRY</w:t>
      </w:r>
    </w:p>
    <w:p w14:paraId="0A649B93" w14:textId="77777777" w:rsidR="008E0E4E" w:rsidRPr="009C1935" w:rsidRDefault="002A549A" w:rsidP="008E0E4E">
      <w:pPr>
        <w:pStyle w:val="Casehead2"/>
        <w:jc w:val="center"/>
        <w:rPr>
          <w:lang w:val="en-GB"/>
        </w:rPr>
      </w:pPr>
      <w:proofErr w:type="gramStart"/>
      <w:r w:rsidRPr="009C1935">
        <w:rPr>
          <w:lang w:val="en-GB"/>
        </w:rPr>
        <w:t>as</w:t>
      </w:r>
      <w:proofErr w:type="gramEnd"/>
      <w:r w:rsidRPr="009C1935">
        <w:rPr>
          <w:lang w:val="en-GB"/>
        </w:rPr>
        <w:t xml:space="preserve"> </w:t>
      </w:r>
      <w:r w:rsidR="008E0E4E" w:rsidRPr="009C1935">
        <w:rPr>
          <w:lang w:val="en-GB"/>
        </w:rPr>
        <w:t xml:space="preserve">of March 31, 2015 (in </w:t>
      </w:r>
      <w:r w:rsidR="00CD0AE9" w:rsidRPr="009C1935">
        <w:rPr>
          <w:color w:val="222222"/>
          <w:shd w:val="clear" w:color="auto" w:fill="FFFFFF"/>
          <w:lang w:val="en-GB"/>
        </w:rPr>
        <w:t>₹</w:t>
      </w:r>
      <w:r w:rsidR="008E0E4E" w:rsidRPr="009C1935">
        <w:rPr>
          <w:lang w:val="en-GB"/>
        </w:rPr>
        <w:t xml:space="preserve"> millions)</w:t>
      </w:r>
    </w:p>
    <w:p w14:paraId="50B0FEF0" w14:textId="77777777" w:rsidR="008E0E4E" w:rsidRPr="009C1935" w:rsidRDefault="008E0E4E" w:rsidP="008E0E4E">
      <w:pPr>
        <w:pStyle w:val="BodyTextMain"/>
        <w:rPr>
          <w:lang w:val="en-GB"/>
        </w:rPr>
      </w:pPr>
    </w:p>
    <w:tbl>
      <w:tblPr>
        <w:tblStyle w:val="TableGrid"/>
        <w:tblW w:w="480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9"/>
        <w:gridCol w:w="2609"/>
        <w:gridCol w:w="2211"/>
      </w:tblGrid>
      <w:tr w:rsidR="008E0E4E" w:rsidRPr="009C1935" w14:paraId="38BC1284" w14:textId="77777777" w:rsidTr="00545292">
        <w:trPr>
          <w:trHeight w:val="144"/>
          <w:jc w:val="center"/>
        </w:trPr>
        <w:tc>
          <w:tcPr>
            <w:tcW w:w="2380" w:type="pct"/>
            <w:noWrap/>
            <w:vAlign w:val="center"/>
            <w:hideMark/>
          </w:tcPr>
          <w:p w14:paraId="3131214B" w14:textId="77777777" w:rsidR="008E0E4E" w:rsidRPr="009C1935" w:rsidRDefault="008E0E4E" w:rsidP="008E0E4E">
            <w:pPr>
              <w:contextualSpacing/>
              <w:jc w:val="center"/>
              <w:rPr>
                <w:rFonts w:ascii="Arial" w:hAnsi="Arial" w:cs="Arial"/>
                <w:b/>
                <w:bCs/>
                <w:sz w:val="19"/>
                <w:szCs w:val="19"/>
                <w:lang w:val="en-GB"/>
              </w:rPr>
            </w:pPr>
          </w:p>
        </w:tc>
        <w:tc>
          <w:tcPr>
            <w:tcW w:w="1418" w:type="pct"/>
            <w:noWrap/>
            <w:vAlign w:val="center"/>
            <w:hideMark/>
          </w:tcPr>
          <w:p w14:paraId="44D7077F" w14:textId="77777777" w:rsidR="008E0E4E" w:rsidRPr="009C1935" w:rsidRDefault="008E0E4E" w:rsidP="008E0E4E">
            <w:pPr>
              <w:contextualSpacing/>
              <w:jc w:val="center"/>
              <w:rPr>
                <w:rFonts w:ascii="Arial" w:hAnsi="Arial" w:cs="Arial"/>
                <w:b/>
                <w:bCs/>
                <w:sz w:val="19"/>
                <w:szCs w:val="19"/>
                <w:lang w:val="en-GB"/>
              </w:rPr>
            </w:pPr>
            <w:r w:rsidRPr="009C1935">
              <w:rPr>
                <w:rFonts w:ascii="Arial" w:hAnsi="Arial" w:cs="Arial"/>
                <w:b/>
                <w:bCs/>
                <w:sz w:val="19"/>
                <w:szCs w:val="19"/>
                <w:lang w:val="en-GB"/>
              </w:rPr>
              <w:t>Apollo Hospital</w:t>
            </w:r>
          </w:p>
        </w:tc>
        <w:tc>
          <w:tcPr>
            <w:tcW w:w="1202" w:type="pct"/>
            <w:noWrap/>
            <w:vAlign w:val="center"/>
            <w:hideMark/>
          </w:tcPr>
          <w:p w14:paraId="08477765" w14:textId="77777777" w:rsidR="008E0E4E" w:rsidRPr="009C1935" w:rsidRDefault="008E0E4E" w:rsidP="008E0E4E">
            <w:pPr>
              <w:contextualSpacing/>
              <w:jc w:val="center"/>
              <w:rPr>
                <w:rFonts w:ascii="Arial" w:hAnsi="Arial" w:cs="Arial"/>
                <w:b/>
                <w:bCs/>
                <w:sz w:val="19"/>
                <w:szCs w:val="19"/>
                <w:lang w:val="en-GB"/>
              </w:rPr>
            </w:pPr>
            <w:r w:rsidRPr="009C1935">
              <w:rPr>
                <w:rFonts w:ascii="Arial" w:hAnsi="Arial" w:cs="Arial"/>
                <w:b/>
                <w:bCs/>
                <w:sz w:val="19"/>
                <w:szCs w:val="19"/>
                <w:lang w:val="en-GB"/>
              </w:rPr>
              <w:t>Fortis Health</w:t>
            </w:r>
          </w:p>
        </w:tc>
      </w:tr>
      <w:tr w:rsidR="008E0E4E" w:rsidRPr="009C1935" w14:paraId="56F5C472" w14:textId="77777777" w:rsidTr="00545292">
        <w:trPr>
          <w:trHeight w:val="144"/>
          <w:jc w:val="center"/>
        </w:trPr>
        <w:tc>
          <w:tcPr>
            <w:tcW w:w="2380" w:type="pct"/>
            <w:noWrap/>
            <w:vAlign w:val="center"/>
            <w:hideMark/>
          </w:tcPr>
          <w:p w14:paraId="221F2DF8" w14:textId="77777777" w:rsidR="008E0E4E" w:rsidRPr="009C1935" w:rsidRDefault="008E0E4E" w:rsidP="007D1291">
            <w:pPr>
              <w:contextualSpacing/>
              <w:rPr>
                <w:rFonts w:ascii="Arial" w:hAnsi="Arial" w:cs="Arial"/>
                <w:b/>
                <w:bCs/>
                <w:sz w:val="19"/>
                <w:szCs w:val="19"/>
                <w:lang w:val="en-GB"/>
              </w:rPr>
            </w:pPr>
            <w:r w:rsidRPr="009C1935">
              <w:rPr>
                <w:rFonts w:ascii="Arial" w:hAnsi="Arial" w:cs="Arial"/>
                <w:b/>
                <w:bCs/>
                <w:sz w:val="19"/>
                <w:szCs w:val="19"/>
                <w:lang w:val="en-GB"/>
              </w:rPr>
              <w:t xml:space="preserve">Sources </w:t>
            </w:r>
            <w:r w:rsidR="00CD0AE9" w:rsidRPr="009C1935">
              <w:rPr>
                <w:rFonts w:ascii="Arial" w:hAnsi="Arial" w:cs="Arial"/>
                <w:b/>
                <w:bCs/>
                <w:sz w:val="19"/>
                <w:szCs w:val="19"/>
                <w:lang w:val="en-GB"/>
              </w:rPr>
              <w:t xml:space="preserve">of </w:t>
            </w:r>
            <w:r w:rsidR="007D1291" w:rsidRPr="009C1935">
              <w:rPr>
                <w:rFonts w:ascii="Arial" w:hAnsi="Arial" w:cs="Arial"/>
                <w:b/>
                <w:bCs/>
                <w:sz w:val="19"/>
                <w:szCs w:val="19"/>
                <w:lang w:val="en-GB"/>
              </w:rPr>
              <w:t>funds</w:t>
            </w:r>
          </w:p>
        </w:tc>
        <w:tc>
          <w:tcPr>
            <w:tcW w:w="1418" w:type="pct"/>
            <w:noWrap/>
            <w:vAlign w:val="center"/>
            <w:hideMark/>
          </w:tcPr>
          <w:p w14:paraId="213338AB" w14:textId="77777777" w:rsidR="008E0E4E" w:rsidRPr="009C1935" w:rsidRDefault="008E0E4E" w:rsidP="008E0E4E">
            <w:pPr>
              <w:contextualSpacing/>
              <w:jc w:val="center"/>
              <w:rPr>
                <w:rFonts w:ascii="Arial" w:hAnsi="Arial" w:cs="Arial"/>
                <w:b/>
                <w:bCs/>
                <w:sz w:val="19"/>
                <w:szCs w:val="19"/>
                <w:lang w:val="en-GB"/>
              </w:rPr>
            </w:pPr>
          </w:p>
        </w:tc>
        <w:tc>
          <w:tcPr>
            <w:tcW w:w="1202" w:type="pct"/>
            <w:noWrap/>
            <w:vAlign w:val="center"/>
            <w:hideMark/>
          </w:tcPr>
          <w:p w14:paraId="4511CD17" w14:textId="77777777" w:rsidR="008E0E4E" w:rsidRPr="009C1935" w:rsidRDefault="008E0E4E" w:rsidP="008E0E4E">
            <w:pPr>
              <w:contextualSpacing/>
              <w:jc w:val="center"/>
              <w:rPr>
                <w:rFonts w:ascii="Arial" w:hAnsi="Arial" w:cs="Arial"/>
                <w:b/>
                <w:bCs/>
                <w:sz w:val="19"/>
                <w:szCs w:val="19"/>
                <w:lang w:val="en-GB"/>
              </w:rPr>
            </w:pPr>
          </w:p>
        </w:tc>
      </w:tr>
      <w:tr w:rsidR="008E0E4E" w:rsidRPr="009C1935" w14:paraId="2E4900D4" w14:textId="77777777" w:rsidTr="00545292">
        <w:trPr>
          <w:trHeight w:val="144"/>
          <w:jc w:val="center"/>
        </w:trPr>
        <w:tc>
          <w:tcPr>
            <w:tcW w:w="2380" w:type="pct"/>
            <w:noWrap/>
            <w:vAlign w:val="center"/>
            <w:hideMark/>
          </w:tcPr>
          <w:p w14:paraId="2D7E2221"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Total </w:t>
            </w:r>
            <w:r w:rsidR="007D1291" w:rsidRPr="009C1935">
              <w:rPr>
                <w:rFonts w:ascii="Arial" w:hAnsi="Arial" w:cs="Arial"/>
                <w:sz w:val="19"/>
                <w:szCs w:val="19"/>
                <w:lang w:val="en-GB"/>
              </w:rPr>
              <w:t>share capital</w:t>
            </w:r>
          </w:p>
        </w:tc>
        <w:tc>
          <w:tcPr>
            <w:tcW w:w="1418" w:type="pct"/>
            <w:noWrap/>
            <w:vAlign w:val="center"/>
            <w:hideMark/>
          </w:tcPr>
          <w:p w14:paraId="5AF02839" w14:textId="707E2CB5"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695.6</w:t>
            </w:r>
            <w:r w:rsidR="000363D1" w:rsidRPr="009C1935">
              <w:rPr>
                <w:rFonts w:ascii="Arial" w:hAnsi="Arial" w:cs="Arial"/>
                <w:sz w:val="19"/>
                <w:szCs w:val="19"/>
                <w:lang w:val="en-GB"/>
              </w:rPr>
              <w:t>0</w:t>
            </w:r>
          </w:p>
        </w:tc>
        <w:tc>
          <w:tcPr>
            <w:tcW w:w="1202" w:type="pct"/>
            <w:noWrap/>
            <w:vAlign w:val="center"/>
            <w:hideMark/>
          </w:tcPr>
          <w:p w14:paraId="4A44038C" w14:textId="338607BA"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4</w:t>
            </w:r>
            <w:r w:rsidR="005F4987" w:rsidRPr="009C1935">
              <w:rPr>
                <w:rFonts w:ascii="Arial" w:hAnsi="Arial" w:cs="Arial"/>
                <w:sz w:val="19"/>
                <w:szCs w:val="19"/>
                <w:lang w:val="en-GB"/>
              </w:rPr>
              <w:t>,</w:t>
            </w:r>
            <w:r w:rsidRPr="009C1935">
              <w:rPr>
                <w:rFonts w:ascii="Arial" w:hAnsi="Arial" w:cs="Arial"/>
                <w:sz w:val="19"/>
                <w:szCs w:val="19"/>
                <w:lang w:val="en-GB"/>
              </w:rPr>
              <w:t>628.1</w:t>
            </w:r>
            <w:r w:rsidR="000363D1" w:rsidRPr="009C1935">
              <w:rPr>
                <w:rFonts w:ascii="Arial" w:hAnsi="Arial" w:cs="Arial"/>
                <w:sz w:val="19"/>
                <w:szCs w:val="19"/>
                <w:lang w:val="en-GB"/>
              </w:rPr>
              <w:t>0</w:t>
            </w:r>
          </w:p>
        </w:tc>
      </w:tr>
      <w:tr w:rsidR="008E0E4E" w:rsidRPr="009C1935" w14:paraId="3A2595FF" w14:textId="77777777" w:rsidTr="00545292">
        <w:trPr>
          <w:trHeight w:val="144"/>
          <w:jc w:val="center"/>
        </w:trPr>
        <w:tc>
          <w:tcPr>
            <w:tcW w:w="2380" w:type="pct"/>
            <w:noWrap/>
            <w:vAlign w:val="center"/>
            <w:hideMark/>
          </w:tcPr>
          <w:p w14:paraId="2B455157" w14:textId="77777777" w:rsidR="008E0E4E" w:rsidRPr="009C1935" w:rsidRDefault="008E0E4E" w:rsidP="008E0E4E">
            <w:pPr>
              <w:contextualSpacing/>
              <w:rPr>
                <w:rFonts w:ascii="Arial" w:hAnsi="Arial" w:cs="Arial"/>
                <w:sz w:val="19"/>
                <w:szCs w:val="19"/>
                <w:lang w:val="en-GB"/>
              </w:rPr>
            </w:pPr>
            <w:r w:rsidRPr="009C1935">
              <w:rPr>
                <w:rFonts w:ascii="Arial" w:hAnsi="Arial" w:cs="Arial"/>
                <w:sz w:val="19"/>
                <w:szCs w:val="19"/>
                <w:lang w:val="en-GB"/>
              </w:rPr>
              <w:t>Reserves</w:t>
            </w:r>
          </w:p>
        </w:tc>
        <w:tc>
          <w:tcPr>
            <w:tcW w:w="1418" w:type="pct"/>
            <w:noWrap/>
            <w:vAlign w:val="center"/>
            <w:hideMark/>
          </w:tcPr>
          <w:p w14:paraId="1D4E36AC" w14:textId="1F9D4C20"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30,915.1</w:t>
            </w:r>
            <w:r w:rsidR="000363D1" w:rsidRPr="009C1935">
              <w:rPr>
                <w:rFonts w:ascii="Arial" w:hAnsi="Arial" w:cs="Arial"/>
                <w:sz w:val="19"/>
                <w:szCs w:val="19"/>
                <w:lang w:val="en-GB"/>
              </w:rPr>
              <w:t>0</w:t>
            </w:r>
          </w:p>
        </w:tc>
        <w:tc>
          <w:tcPr>
            <w:tcW w:w="1202" w:type="pct"/>
            <w:noWrap/>
            <w:vAlign w:val="center"/>
            <w:hideMark/>
          </w:tcPr>
          <w:p w14:paraId="5C942393" w14:textId="37E33AAB"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32,167.0</w:t>
            </w:r>
            <w:r w:rsidR="000363D1" w:rsidRPr="009C1935">
              <w:rPr>
                <w:rFonts w:ascii="Arial" w:hAnsi="Arial" w:cs="Arial"/>
                <w:sz w:val="19"/>
                <w:szCs w:val="19"/>
                <w:lang w:val="en-GB"/>
              </w:rPr>
              <w:t>0</w:t>
            </w:r>
          </w:p>
        </w:tc>
      </w:tr>
      <w:tr w:rsidR="008E0E4E" w:rsidRPr="009C1935" w14:paraId="692D4E3E" w14:textId="77777777" w:rsidTr="00545292">
        <w:trPr>
          <w:trHeight w:val="144"/>
          <w:jc w:val="center"/>
        </w:trPr>
        <w:tc>
          <w:tcPr>
            <w:tcW w:w="2380" w:type="pct"/>
            <w:noWrap/>
            <w:vAlign w:val="center"/>
            <w:hideMark/>
          </w:tcPr>
          <w:p w14:paraId="4EF81813" w14:textId="77777777" w:rsidR="008E0E4E" w:rsidRPr="009C1935" w:rsidRDefault="008E0E4E" w:rsidP="008E0E4E">
            <w:pPr>
              <w:contextualSpacing/>
              <w:rPr>
                <w:rFonts w:ascii="Arial" w:hAnsi="Arial" w:cs="Arial"/>
                <w:b/>
                <w:bCs/>
                <w:sz w:val="19"/>
                <w:szCs w:val="19"/>
                <w:lang w:val="en-GB"/>
              </w:rPr>
            </w:pPr>
            <w:r w:rsidRPr="009C1935">
              <w:rPr>
                <w:rFonts w:ascii="Arial" w:hAnsi="Arial" w:cs="Arial"/>
                <w:b/>
                <w:bCs/>
                <w:sz w:val="19"/>
                <w:szCs w:val="19"/>
                <w:lang w:val="en-GB"/>
              </w:rPr>
              <w:t>Net</w:t>
            </w:r>
            <w:r w:rsidR="007D1291" w:rsidRPr="009C1935">
              <w:rPr>
                <w:rFonts w:ascii="Arial" w:hAnsi="Arial" w:cs="Arial"/>
                <w:b/>
                <w:bCs/>
                <w:sz w:val="19"/>
                <w:szCs w:val="19"/>
                <w:lang w:val="en-GB"/>
              </w:rPr>
              <w:t xml:space="preserve"> </w:t>
            </w:r>
            <w:r w:rsidRPr="009C1935">
              <w:rPr>
                <w:rFonts w:ascii="Arial" w:hAnsi="Arial" w:cs="Arial"/>
                <w:b/>
                <w:bCs/>
                <w:sz w:val="19"/>
                <w:szCs w:val="19"/>
                <w:lang w:val="en-GB"/>
              </w:rPr>
              <w:t>worth</w:t>
            </w:r>
          </w:p>
        </w:tc>
        <w:tc>
          <w:tcPr>
            <w:tcW w:w="1418" w:type="pct"/>
            <w:noWrap/>
            <w:vAlign w:val="center"/>
            <w:hideMark/>
          </w:tcPr>
          <w:p w14:paraId="1EC072D6" w14:textId="1A894809"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31,610.7</w:t>
            </w:r>
            <w:r w:rsidR="000363D1" w:rsidRPr="009C1935">
              <w:rPr>
                <w:rFonts w:ascii="Arial" w:hAnsi="Arial" w:cs="Arial"/>
                <w:b/>
                <w:bCs/>
                <w:sz w:val="19"/>
                <w:szCs w:val="19"/>
                <w:lang w:val="en-GB"/>
              </w:rPr>
              <w:t>0</w:t>
            </w:r>
          </w:p>
        </w:tc>
        <w:tc>
          <w:tcPr>
            <w:tcW w:w="1202" w:type="pct"/>
            <w:noWrap/>
            <w:vAlign w:val="center"/>
            <w:hideMark/>
          </w:tcPr>
          <w:p w14:paraId="58023EBA" w14:textId="234E92A1"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36,795.1</w:t>
            </w:r>
            <w:r w:rsidR="000363D1" w:rsidRPr="009C1935">
              <w:rPr>
                <w:rFonts w:ascii="Arial" w:hAnsi="Arial" w:cs="Arial"/>
                <w:b/>
                <w:bCs/>
                <w:sz w:val="19"/>
                <w:szCs w:val="19"/>
                <w:lang w:val="en-GB"/>
              </w:rPr>
              <w:t>0</w:t>
            </w:r>
          </w:p>
        </w:tc>
      </w:tr>
      <w:tr w:rsidR="008E0E4E" w:rsidRPr="009C1935" w14:paraId="4CCEE5A2" w14:textId="77777777" w:rsidTr="00545292">
        <w:trPr>
          <w:trHeight w:val="144"/>
          <w:jc w:val="center"/>
        </w:trPr>
        <w:tc>
          <w:tcPr>
            <w:tcW w:w="2380" w:type="pct"/>
            <w:noWrap/>
            <w:vAlign w:val="center"/>
            <w:hideMark/>
          </w:tcPr>
          <w:p w14:paraId="0A1F9737"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Secured </w:t>
            </w:r>
            <w:r w:rsidR="007D1291" w:rsidRPr="009C1935">
              <w:rPr>
                <w:rFonts w:ascii="Arial" w:hAnsi="Arial" w:cs="Arial"/>
                <w:sz w:val="19"/>
                <w:szCs w:val="19"/>
                <w:lang w:val="en-GB"/>
              </w:rPr>
              <w:t>loans</w:t>
            </w:r>
          </w:p>
        </w:tc>
        <w:tc>
          <w:tcPr>
            <w:tcW w:w="1418" w:type="pct"/>
            <w:noWrap/>
            <w:vAlign w:val="center"/>
            <w:hideMark/>
          </w:tcPr>
          <w:p w14:paraId="78F8C1AA" w14:textId="7D3FFAE6"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13,140.5</w:t>
            </w:r>
            <w:r w:rsidR="000363D1" w:rsidRPr="009C1935">
              <w:rPr>
                <w:rFonts w:ascii="Arial" w:hAnsi="Arial" w:cs="Arial"/>
                <w:sz w:val="19"/>
                <w:szCs w:val="19"/>
                <w:lang w:val="en-GB"/>
              </w:rPr>
              <w:t>0</w:t>
            </w:r>
          </w:p>
        </w:tc>
        <w:tc>
          <w:tcPr>
            <w:tcW w:w="1202" w:type="pct"/>
            <w:noWrap/>
            <w:vAlign w:val="center"/>
            <w:hideMark/>
          </w:tcPr>
          <w:p w14:paraId="7A2A88CC" w14:textId="185C0288"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674.8</w:t>
            </w:r>
            <w:r w:rsidR="000363D1" w:rsidRPr="009C1935">
              <w:rPr>
                <w:rFonts w:ascii="Arial" w:hAnsi="Arial" w:cs="Arial"/>
                <w:sz w:val="19"/>
                <w:szCs w:val="19"/>
                <w:lang w:val="en-GB"/>
              </w:rPr>
              <w:t>0</w:t>
            </w:r>
          </w:p>
        </w:tc>
      </w:tr>
      <w:tr w:rsidR="008E0E4E" w:rsidRPr="009C1935" w14:paraId="6BE8F85E" w14:textId="77777777" w:rsidTr="00545292">
        <w:trPr>
          <w:trHeight w:val="144"/>
          <w:jc w:val="center"/>
        </w:trPr>
        <w:tc>
          <w:tcPr>
            <w:tcW w:w="2380" w:type="pct"/>
            <w:noWrap/>
            <w:vAlign w:val="center"/>
            <w:hideMark/>
          </w:tcPr>
          <w:p w14:paraId="384C4481"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Unsecured </w:t>
            </w:r>
            <w:r w:rsidR="007D1291" w:rsidRPr="009C1935">
              <w:rPr>
                <w:rFonts w:ascii="Arial" w:hAnsi="Arial" w:cs="Arial"/>
                <w:sz w:val="19"/>
                <w:szCs w:val="19"/>
                <w:lang w:val="en-GB"/>
              </w:rPr>
              <w:t>loans</w:t>
            </w:r>
          </w:p>
        </w:tc>
        <w:tc>
          <w:tcPr>
            <w:tcW w:w="1418" w:type="pct"/>
            <w:noWrap/>
            <w:vAlign w:val="center"/>
            <w:hideMark/>
          </w:tcPr>
          <w:p w14:paraId="60ECDBBB" w14:textId="2DA06499"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2</w:t>
            </w:r>
            <w:r w:rsidR="007C632C" w:rsidRPr="009C1935">
              <w:rPr>
                <w:rFonts w:ascii="Arial" w:hAnsi="Arial" w:cs="Arial"/>
                <w:sz w:val="19"/>
                <w:szCs w:val="19"/>
                <w:lang w:val="en-GB"/>
              </w:rPr>
              <w:t>,</w:t>
            </w:r>
            <w:r w:rsidRPr="009C1935">
              <w:rPr>
                <w:rFonts w:ascii="Arial" w:hAnsi="Arial" w:cs="Arial"/>
                <w:sz w:val="19"/>
                <w:szCs w:val="19"/>
                <w:lang w:val="en-GB"/>
              </w:rPr>
              <w:t>025.3</w:t>
            </w:r>
            <w:r w:rsidR="000363D1" w:rsidRPr="009C1935">
              <w:rPr>
                <w:rFonts w:ascii="Arial" w:hAnsi="Arial" w:cs="Arial"/>
                <w:sz w:val="19"/>
                <w:szCs w:val="19"/>
                <w:lang w:val="en-GB"/>
              </w:rPr>
              <w:t>0</w:t>
            </w:r>
          </w:p>
        </w:tc>
        <w:tc>
          <w:tcPr>
            <w:tcW w:w="1202" w:type="pct"/>
            <w:noWrap/>
            <w:vAlign w:val="center"/>
            <w:hideMark/>
          </w:tcPr>
          <w:p w14:paraId="79B69116" w14:textId="1CD9DF4B"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5</w:t>
            </w:r>
            <w:r w:rsidR="005F4987" w:rsidRPr="009C1935">
              <w:rPr>
                <w:rFonts w:ascii="Arial" w:hAnsi="Arial" w:cs="Arial"/>
                <w:sz w:val="19"/>
                <w:szCs w:val="19"/>
                <w:lang w:val="en-GB"/>
              </w:rPr>
              <w:t>,</w:t>
            </w:r>
            <w:r w:rsidRPr="009C1935">
              <w:rPr>
                <w:rFonts w:ascii="Arial" w:hAnsi="Arial" w:cs="Arial"/>
                <w:sz w:val="19"/>
                <w:szCs w:val="19"/>
                <w:lang w:val="en-GB"/>
              </w:rPr>
              <w:t>298.5</w:t>
            </w:r>
            <w:r w:rsidR="000363D1" w:rsidRPr="009C1935">
              <w:rPr>
                <w:rFonts w:ascii="Arial" w:hAnsi="Arial" w:cs="Arial"/>
                <w:sz w:val="19"/>
                <w:szCs w:val="19"/>
                <w:lang w:val="en-GB"/>
              </w:rPr>
              <w:t>0</w:t>
            </w:r>
          </w:p>
        </w:tc>
      </w:tr>
      <w:tr w:rsidR="008E0E4E" w:rsidRPr="009C1935" w14:paraId="0A68075A" w14:textId="77777777" w:rsidTr="00545292">
        <w:trPr>
          <w:trHeight w:val="144"/>
          <w:jc w:val="center"/>
        </w:trPr>
        <w:tc>
          <w:tcPr>
            <w:tcW w:w="2380" w:type="pct"/>
            <w:noWrap/>
            <w:vAlign w:val="center"/>
            <w:hideMark/>
          </w:tcPr>
          <w:p w14:paraId="638D2642" w14:textId="77777777" w:rsidR="008E0E4E" w:rsidRPr="009C1935" w:rsidRDefault="008E0E4E" w:rsidP="007D1291">
            <w:pPr>
              <w:contextualSpacing/>
              <w:rPr>
                <w:rFonts w:ascii="Arial" w:hAnsi="Arial" w:cs="Arial"/>
                <w:b/>
                <w:bCs/>
                <w:sz w:val="19"/>
                <w:szCs w:val="19"/>
                <w:lang w:val="en-GB"/>
              </w:rPr>
            </w:pPr>
            <w:r w:rsidRPr="009C1935">
              <w:rPr>
                <w:rFonts w:ascii="Arial" w:hAnsi="Arial" w:cs="Arial"/>
                <w:b/>
                <w:bCs/>
                <w:sz w:val="19"/>
                <w:szCs w:val="19"/>
                <w:lang w:val="en-GB"/>
              </w:rPr>
              <w:t xml:space="preserve">Total </w:t>
            </w:r>
            <w:r w:rsidR="007D1291" w:rsidRPr="009C1935">
              <w:rPr>
                <w:rFonts w:ascii="Arial" w:hAnsi="Arial" w:cs="Arial"/>
                <w:b/>
                <w:bCs/>
                <w:sz w:val="19"/>
                <w:szCs w:val="19"/>
                <w:lang w:val="en-GB"/>
              </w:rPr>
              <w:t>debt</w:t>
            </w:r>
          </w:p>
        </w:tc>
        <w:tc>
          <w:tcPr>
            <w:tcW w:w="1418" w:type="pct"/>
            <w:noWrap/>
            <w:vAlign w:val="center"/>
            <w:hideMark/>
          </w:tcPr>
          <w:p w14:paraId="39019269" w14:textId="5C406646"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15,165.8</w:t>
            </w:r>
            <w:r w:rsidR="000363D1" w:rsidRPr="009C1935">
              <w:rPr>
                <w:rFonts w:ascii="Arial" w:hAnsi="Arial" w:cs="Arial"/>
                <w:b/>
                <w:bCs/>
                <w:sz w:val="19"/>
                <w:szCs w:val="19"/>
                <w:lang w:val="en-GB"/>
              </w:rPr>
              <w:t>0</w:t>
            </w:r>
          </w:p>
        </w:tc>
        <w:tc>
          <w:tcPr>
            <w:tcW w:w="1202" w:type="pct"/>
            <w:noWrap/>
            <w:vAlign w:val="center"/>
            <w:hideMark/>
          </w:tcPr>
          <w:p w14:paraId="0C5A9738" w14:textId="6D580973"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5</w:t>
            </w:r>
            <w:r w:rsidR="005F4987" w:rsidRPr="009C1935">
              <w:rPr>
                <w:rFonts w:ascii="Arial" w:hAnsi="Arial" w:cs="Arial"/>
                <w:b/>
                <w:bCs/>
                <w:sz w:val="19"/>
                <w:szCs w:val="19"/>
                <w:lang w:val="en-GB"/>
              </w:rPr>
              <w:t>,</w:t>
            </w:r>
            <w:r w:rsidRPr="009C1935">
              <w:rPr>
                <w:rFonts w:ascii="Arial" w:hAnsi="Arial" w:cs="Arial"/>
                <w:b/>
                <w:bCs/>
                <w:sz w:val="19"/>
                <w:szCs w:val="19"/>
                <w:lang w:val="en-GB"/>
              </w:rPr>
              <w:t>973.3</w:t>
            </w:r>
            <w:r w:rsidR="000363D1" w:rsidRPr="009C1935">
              <w:rPr>
                <w:rFonts w:ascii="Arial" w:hAnsi="Arial" w:cs="Arial"/>
                <w:b/>
                <w:bCs/>
                <w:sz w:val="19"/>
                <w:szCs w:val="19"/>
                <w:lang w:val="en-GB"/>
              </w:rPr>
              <w:t>0</w:t>
            </w:r>
          </w:p>
        </w:tc>
      </w:tr>
      <w:tr w:rsidR="008E0E4E" w:rsidRPr="009C1935" w14:paraId="7D4A8D3F" w14:textId="77777777" w:rsidTr="00545292">
        <w:trPr>
          <w:trHeight w:val="144"/>
          <w:jc w:val="center"/>
        </w:trPr>
        <w:tc>
          <w:tcPr>
            <w:tcW w:w="2380" w:type="pct"/>
            <w:noWrap/>
            <w:vAlign w:val="center"/>
            <w:hideMark/>
          </w:tcPr>
          <w:p w14:paraId="53EED086" w14:textId="77777777" w:rsidR="008E0E4E" w:rsidRPr="009C1935" w:rsidRDefault="008E0E4E" w:rsidP="007D1291">
            <w:pPr>
              <w:contextualSpacing/>
              <w:rPr>
                <w:rFonts w:ascii="Arial" w:hAnsi="Arial" w:cs="Arial"/>
                <w:b/>
                <w:bCs/>
                <w:sz w:val="19"/>
                <w:szCs w:val="19"/>
                <w:lang w:val="en-GB"/>
              </w:rPr>
            </w:pPr>
            <w:r w:rsidRPr="009C1935">
              <w:rPr>
                <w:rFonts w:ascii="Arial" w:hAnsi="Arial" w:cs="Arial"/>
                <w:b/>
                <w:bCs/>
                <w:sz w:val="19"/>
                <w:szCs w:val="19"/>
                <w:lang w:val="en-GB"/>
              </w:rPr>
              <w:t xml:space="preserve">Total </w:t>
            </w:r>
            <w:r w:rsidR="00545292" w:rsidRPr="009C1935">
              <w:rPr>
                <w:rFonts w:ascii="Arial" w:hAnsi="Arial" w:cs="Arial"/>
                <w:b/>
                <w:bCs/>
                <w:sz w:val="19"/>
                <w:szCs w:val="19"/>
                <w:lang w:val="en-GB"/>
              </w:rPr>
              <w:t xml:space="preserve">shareholder equity and </w:t>
            </w:r>
            <w:r w:rsidR="007D1291" w:rsidRPr="009C1935">
              <w:rPr>
                <w:rFonts w:ascii="Arial" w:hAnsi="Arial" w:cs="Arial"/>
                <w:b/>
                <w:bCs/>
                <w:sz w:val="19"/>
                <w:szCs w:val="19"/>
                <w:lang w:val="en-GB"/>
              </w:rPr>
              <w:t>liabilities</w:t>
            </w:r>
          </w:p>
        </w:tc>
        <w:tc>
          <w:tcPr>
            <w:tcW w:w="1418" w:type="pct"/>
            <w:noWrap/>
            <w:vAlign w:val="center"/>
            <w:hideMark/>
          </w:tcPr>
          <w:p w14:paraId="0BC293CD" w14:textId="0D825696"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46,776.5</w:t>
            </w:r>
            <w:r w:rsidR="000363D1" w:rsidRPr="009C1935">
              <w:rPr>
                <w:rFonts w:ascii="Arial" w:hAnsi="Arial" w:cs="Arial"/>
                <w:b/>
                <w:bCs/>
                <w:sz w:val="19"/>
                <w:szCs w:val="19"/>
                <w:lang w:val="en-GB"/>
              </w:rPr>
              <w:t>0</w:t>
            </w:r>
          </w:p>
        </w:tc>
        <w:tc>
          <w:tcPr>
            <w:tcW w:w="1202" w:type="pct"/>
            <w:noWrap/>
            <w:vAlign w:val="center"/>
            <w:hideMark/>
          </w:tcPr>
          <w:p w14:paraId="42ACE143" w14:textId="656F6C5F"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42,768.4</w:t>
            </w:r>
            <w:r w:rsidR="000363D1" w:rsidRPr="009C1935">
              <w:rPr>
                <w:rFonts w:ascii="Arial" w:hAnsi="Arial" w:cs="Arial"/>
                <w:b/>
                <w:bCs/>
                <w:sz w:val="19"/>
                <w:szCs w:val="19"/>
                <w:lang w:val="en-GB"/>
              </w:rPr>
              <w:t>0</w:t>
            </w:r>
          </w:p>
        </w:tc>
      </w:tr>
      <w:tr w:rsidR="008E0E4E" w:rsidRPr="009C1935" w14:paraId="1ABB9F1A" w14:textId="77777777" w:rsidTr="00545292">
        <w:trPr>
          <w:trHeight w:val="144"/>
          <w:jc w:val="center"/>
        </w:trPr>
        <w:tc>
          <w:tcPr>
            <w:tcW w:w="2380" w:type="pct"/>
            <w:noWrap/>
            <w:vAlign w:val="center"/>
            <w:hideMark/>
          </w:tcPr>
          <w:p w14:paraId="301995C9" w14:textId="77777777" w:rsidR="008E0E4E" w:rsidRPr="009C1935" w:rsidRDefault="008E0E4E" w:rsidP="008E0E4E">
            <w:pPr>
              <w:contextualSpacing/>
              <w:rPr>
                <w:rFonts w:ascii="Arial" w:hAnsi="Arial" w:cs="Arial"/>
                <w:sz w:val="12"/>
                <w:szCs w:val="12"/>
                <w:lang w:val="en-GB"/>
              </w:rPr>
            </w:pPr>
          </w:p>
        </w:tc>
        <w:tc>
          <w:tcPr>
            <w:tcW w:w="1418" w:type="pct"/>
            <w:noWrap/>
            <w:vAlign w:val="center"/>
            <w:hideMark/>
          </w:tcPr>
          <w:p w14:paraId="60940913" w14:textId="77777777" w:rsidR="008E0E4E" w:rsidRPr="009C1935" w:rsidRDefault="008E0E4E" w:rsidP="0037757F">
            <w:pPr>
              <w:ind w:right="570"/>
              <w:contextualSpacing/>
              <w:jc w:val="right"/>
              <w:rPr>
                <w:rFonts w:ascii="Arial" w:hAnsi="Arial" w:cs="Arial"/>
                <w:sz w:val="12"/>
                <w:szCs w:val="12"/>
                <w:lang w:val="en-GB"/>
              </w:rPr>
            </w:pPr>
          </w:p>
        </w:tc>
        <w:tc>
          <w:tcPr>
            <w:tcW w:w="1202" w:type="pct"/>
            <w:noWrap/>
            <w:vAlign w:val="center"/>
            <w:hideMark/>
          </w:tcPr>
          <w:p w14:paraId="2A2CFB90" w14:textId="77777777" w:rsidR="008E0E4E" w:rsidRPr="009C1935" w:rsidRDefault="008E0E4E" w:rsidP="0037757F">
            <w:pPr>
              <w:ind w:right="570"/>
              <w:contextualSpacing/>
              <w:jc w:val="right"/>
              <w:rPr>
                <w:rFonts w:ascii="Arial" w:hAnsi="Arial" w:cs="Arial"/>
                <w:sz w:val="12"/>
                <w:szCs w:val="12"/>
                <w:lang w:val="en-GB"/>
              </w:rPr>
            </w:pPr>
          </w:p>
        </w:tc>
      </w:tr>
      <w:tr w:rsidR="008E0E4E" w:rsidRPr="009C1935" w14:paraId="7C702C21" w14:textId="77777777" w:rsidTr="00545292">
        <w:trPr>
          <w:trHeight w:val="144"/>
          <w:jc w:val="center"/>
        </w:trPr>
        <w:tc>
          <w:tcPr>
            <w:tcW w:w="2380" w:type="pct"/>
            <w:noWrap/>
            <w:vAlign w:val="center"/>
            <w:hideMark/>
          </w:tcPr>
          <w:p w14:paraId="2AD36F7B" w14:textId="77777777" w:rsidR="008E0E4E" w:rsidRPr="009C1935" w:rsidRDefault="008E0E4E" w:rsidP="007D1291">
            <w:pPr>
              <w:contextualSpacing/>
              <w:rPr>
                <w:rFonts w:ascii="Arial" w:hAnsi="Arial" w:cs="Arial"/>
                <w:b/>
                <w:bCs/>
                <w:sz w:val="19"/>
                <w:szCs w:val="19"/>
                <w:lang w:val="en-GB"/>
              </w:rPr>
            </w:pPr>
            <w:r w:rsidRPr="009C1935">
              <w:rPr>
                <w:rFonts w:ascii="Arial" w:hAnsi="Arial" w:cs="Arial"/>
                <w:b/>
                <w:bCs/>
                <w:sz w:val="19"/>
                <w:szCs w:val="19"/>
                <w:lang w:val="en-GB"/>
              </w:rPr>
              <w:t xml:space="preserve">Application </w:t>
            </w:r>
            <w:r w:rsidR="007D1291" w:rsidRPr="009C1935">
              <w:rPr>
                <w:rFonts w:ascii="Arial" w:hAnsi="Arial" w:cs="Arial"/>
                <w:b/>
                <w:bCs/>
                <w:sz w:val="19"/>
                <w:szCs w:val="19"/>
                <w:lang w:val="en-GB"/>
              </w:rPr>
              <w:t>of funds</w:t>
            </w:r>
          </w:p>
        </w:tc>
        <w:tc>
          <w:tcPr>
            <w:tcW w:w="1418" w:type="pct"/>
            <w:noWrap/>
            <w:vAlign w:val="center"/>
            <w:hideMark/>
          </w:tcPr>
          <w:p w14:paraId="0C687CA8" w14:textId="77777777" w:rsidR="008E0E4E" w:rsidRPr="009C1935" w:rsidRDefault="008E0E4E" w:rsidP="0037757F">
            <w:pPr>
              <w:ind w:right="570"/>
              <w:contextualSpacing/>
              <w:jc w:val="right"/>
              <w:rPr>
                <w:rFonts w:ascii="Arial" w:hAnsi="Arial" w:cs="Arial"/>
                <w:b/>
                <w:bCs/>
                <w:sz w:val="19"/>
                <w:szCs w:val="19"/>
                <w:lang w:val="en-GB"/>
              </w:rPr>
            </w:pPr>
          </w:p>
        </w:tc>
        <w:tc>
          <w:tcPr>
            <w:tcW w:w="1202" w:type="pct"/>
            <w:noWrap/>
            <w:vAlign w:val="center"/>
            <w:hideMark/>
          </w:tcPr>
          <w:p w14:paraId="1F82EAA3" w14:textId="77777777" w:rsidR="008E0E4E" w:rsidRPr="009C1935" w:rsidRDefault="008E0E4E" w:rsidP="0037757F">
            <w:pPr>
              <w:ind w:right="570"/>
              <w:contextualSpacing/>
              <w:jc w:val="right"/>
              <w:rPr>
                <w:rFonts w:ascii="Arial" w:hAnsi="Arial" w:cs="Arial"/>
                <w:b/>
                <w:bCs/>
                <w:sz w:val="19"/>
                <w:szCs w:val="19"/>
                <w:lang w:val="en-GB"/>
              </w:rPr>
            </w:pPr>
          </w:p>
        </w:tc>
      </w:tr>
      <w:tr w:rsidR="008E0E4E" w:rsidRPr="009C1935" w14:paraId="5FA2B8A4" w14:textId="77777777" w:rsidTr="00545292">
        <w:trPr>
          <w:trHeight w:val="144"/>
          <w:jc w:val="center"/>
        </w:trPr>
        <w:tc>
          <w:tcPr>
            <w:tcW w:w="2380" w:type="pct"/>
            <w:noWrap/>
            <w:vAlign w:val="center"/>
            <w:hideMark/>
          </w:tcPr>
          <w:p w14:paraId="7659E1AD"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Gross </w:t>
            </w:r>
            <w:r w:rsidR="007D1291" w:rsidRPr="009C1935">
              <w:rPr>
                <w:rFonts w:ascii="Arial" w:hAnsi="Arial" w:cs="Arial"/>
                <w:sz w:val="19"/>
                <w:szCs w:val="19"/>
                <w:lang w:val="en-GB"/>
              </w:rPr>
              <w:t>block</w:t>
            </w:r>
          </w:p>
        </w:tc>
        <w:tc>
          <w:tcPr>
            <w:tcW w:w="1418" w:type="pct"/>
            <w:noWrap/>
            <w:vAlign w:val="center"/>
            <w:hideMark/>
          </w:tcPr>
          <w:p w14:paraId="71339511" w14:textId="763294C6"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31,791.1</w:t>
            </w:r>
            <w:r w:rsidR="000363D1" w:rsidRPr="009C1935">
              <w:rPr>
                <w:rFonts w:ascii="Arial" w:hAnsi="Arial" w:cs="Arial"/>
                <w:sz w:val="19"/>
                <w:szCs w:val="19"/>
                <w:lang w:val="en-GB"/>
              </w:rPr>
              <w:t>0</w:t>
            </w:r>
          </w:p>
        </w:tc>
        <w:tc>
          <w:tcPr>
            <w:tcW w:w="1202" w:type="pct"/>
            <w:noWrap/>
            <w:vAlign w:val="center"/>
            <w:hideMark/>
          </w:tcPr>
          <w:p w14:paraId="62EAAAAE" w14:textId="7E9D726B"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2</w:t>
            </w:r>
            <w:r w:rsidR="00482FCE" w:rsidRPr="009C1935">
              <w:rPr>
                <w:rFonts w:ascii="Arial" w:hAnsi="Arial" w:cs="Arial"/>
                <w:sz w:val="19"/>
                <w:szCs w:val="19"/>
                <w:lang w:val="en-GB"/>
              </w:rPr>
              <w:t>,</w:t>
            </w:r>
            <w:r w:rsidRPr="009C1935">
              <w:rPr>
                <w:rFonts w:ascii="Arial" w:hAnsi="Arial" w:cs="Arial"/>
                <w:sz w:val="19"/>
                <w:szCs w:val="19"/>
                <w:lang w:val="en-GB"/>
              </w:rPr>
              <w:t>843.7</w:t>
            </w:r>
            <w:r w:rsidR="000363D1" w:rsidRPr="009C1935">
              <w:rPr>
                <w:rFonts w:ascii="Arial" w:hAnsi="Arial" w:cs="Arial"/>
                <w:sz w:val="19"/>
                <w:szCs w:val="19"/>
                <w:lang w:val="en-GB"/>
              </w:rPr>
              <w:t>0</w:t>
            </w:r>
          </w:p>
        </w:tc>
      </w:tr>
      <w:tr w:rsidR="008E0E4E" w:rsidRPr="009C1935" w14:paraId="191F2E0C" w14:textId="77777777" w:rsidTr="00545292">
        <w:trPr>
          <w:trHeight w:val="144"/>
          <w:jc w:val="center"/>
        </w:trPr>
        <w:tc>
          <w:tcPr>
            <w:tcW w:w="2380" w:type="pct"/>
            <w:noWrap/>
            <w:vAlign w:val="center"/>
            <w:hideMark/>
          </w:tcPr>
          <w:p w14:paraId="009246D8" w14:textId="0B598C43" w:rsidR="008E0E4E" w:rsidRPr="009C1935" w:rsidRDefault="008E0E4E" w:rsidP="0008572C">
            <w:pPr>
              <w:contextualSpacing/>
              <w:rPr>
                <w:rFonts w:ascii="Arial" w:hAnsi="Arial" w:cs="Arial"/>
                <w:sz w:val="19"/>
                <w:szCs w:val="19"/>
                <w:lang w:val="en-GB"/>
              </w:rPr>
            </w:pPr>
            <w:r w:rsidRPr="009C1935">
              <w:rPr>
                <w:rFonts w:ascii="Arial" w:hAnsi="Arial" w:cs="Arial"/>
                <w:sz w:val="19"/>
                <w:szCs w:val="19"/>
                <w:lang w:val="en-GB"/>
              </w:rPr>
              <w:t xml:space="preserve">Less: </w:t>
            </w:r>
            <w:r w:rsidR="0008572C">
              <w:rPr>
                <w:rFonts w:ascii="Arial" w:hAnsi="Arial" w:cs="Arial"/>
                <w:sz w:val="19"/>
                <w:szCs w:val="19"/>
                <w:lang w:val="en-GB"/>
              </w:rPr>
              <w:t>a</w:t>
            </w:r>
            <w:r w:rsidRPr="009C1935">
              <w:rPr>
                <w:rFonts w:ascii="Arial" w:hAnsi="Arial" w:cs="Arial"/>
                <w:sz w:val="19"/>
                <w:szCs w:val="19"/>
                <w:lang w:val="en-GB"/>
              </w:rPr>
              <w:t>ccum</w:t>
            </w:r>
            <w:r w:rsidR="00B66CFB" w:rsidRPr="009C1935">
              <w:rPr>
                <w:rFonts w:ascii="Arial" w:hAnsi="Arial" w:cs="Arial"/>
                <w:sz w:val="19"/>
                <w:szCs w:val="19"/>
                <w:lang w:val="en-GB"/>
              </w:rPr>
              <w:t>ulated</w:t>
            </w:r>
            <w:r w:rsidRPr="009C1935">
              <w:rPr>
                <w:rFonts w:ascii="Arial" w:hAnsi="Arial" w:cs="Arial"/>
                <w:sz w:val="19"/>
                <w:szCs w:val="19"/>
                <w:lang w:val="en-GB"/>
              </w:rPr>
              <w:t xml:space="preserve"> </w:t>
            </w:r>
            <w:r w:rsidR="007D1291" w:rsidRPr="009C1935">
              <w:rPr>
                <w:rFonts w:ascii="Arial" w:hAnsi="Arial" w:cs="Arial"/>
                <w:sz w:val="19"/>
                <w:szCs w:val="19"/>
                <w:lang w:val="en-GB"/>
              </w:rPr>
              <w:t>depreciation</w:t>
            </w:r>
          </w:p>
        </w:tc>
        <w:tc>
          <w:tcPr>
            <w:tcW w:w="1418" w:type="pct"/>
            <w:noWrap/>
            <w:vAlign w:val="center"/>
            <w:hideMark/>
          </w:tcPr>
          <w:p w14:paraId="06B48917" w14:textId="0C6ABF1E"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7</w:t>
            </w:r>
            <w:r w:rsidR="005F4987" w:rsidRPr="009C1935">
              <w:rPr>
                <w:rFonts w:ascii="Arial" w:hAnsi="Arial" w:cs="Arial"/>
                <w:sz w:val="19"/>
                <w:szCs w:val="19"/>
                <w:lang w:val="en-GB"/>
              </w:rPr>
              <w:t>,</w:t>
            </w:r>
            <w:r w:rsidRPr="009C1935">
              <w:rPr>
                <w:rFonts w:ascii="Arial" w:hAnsi="Arial" w:cs="Arial"/>
                <w:sz w:val="19"/>
                <w:szCs w:val="19"/>
                <w:lang w:val="en-GB"/>
              </w:rPr>
              <w:t>515.7</w:t>
            </w:r>
            <w:r w:rsidR="000363D1" w:rsidRPr="009C1935">
              <w:rPr>
                <w:rFonts w:ascii="Arial" w:hAnsi="Arial" w:cs="Arial"/>
                <w:sz w:val="19"/>
                <w:szCs w:val="19"/>
                <w:lang w:val="en-GB"/>
              </w:rPr>
              <w:t>0</w:t>
            </w:r>
          </w:p>
        </w:tc>
        <w:tc>
          <w:tcPr>
            <w:tcW w:w="1202" w:type="pct"/>
            <w:noWrap/>
            <w:vAlign w:val="center"/>
            <w:hideMark/>
          </w:tcPr>
          <w:p w14:paraId="56FBE8CF" w14:textId="793B6103"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942.5</w:t>
            </w:r>
            <w:r w:rsidR="000363D1" w:rsidRPr="009C1935">
              <w:rPr>
                <w:rFonts w:ascii="Arial" w:hAnsi="Arial" w:cs="Arial"/>
                <w:sz w:val="19"/>
                <w:szCs w:val="19"/>
                <w:lang w:val="en-GB"/>
              </w:rPr>
              <w:t>0</w:t>
            </w:r>
          </w:p>
        </w:tc>
      </w:tr>
      <w:tr w:rsidR="008E0E4E" w:rsidRPr="009C1935" w14:paraId="2F1D04F7" w14:textId="77777777" w:rsidTr="00545292">
        <w:trPr>
          <w:trHeight w:val="144"/>
          <w:jc w:val="center"/>
        </w:trPr>
        <w:tc>
          <w:tcPr>
            <w:tcW w:w="2380" w:type="pct"/>
            <w:noWrap/>
            <w:vAlign w:val="center"/>
            <w:hideMark/>
          </w:tcPr>
          <w:p w14:paraId="5C364040" w14:textId="77777777" w:rsidR="008E0E4E" w:rsidRPr="009C1935" w:rsidRDefault="008E0E4E" w:rsidP="007D1291">
            <w:pPr>
              <w:contextualSpacing/>
              <w:rPr>
                <w:rFonts w:ascii="Arial" w:hAnsi="Arial" w:cs="Arial"/>
                <w:b/>
                <w:bCs/>
                <w:sz w:val="19"/>
                <w:szCs w:val="19"/>
                <w:lang w:val="en-GB"/>
              </w:rPr>
            </w:pPr>
            <w:r w:rsidRPr="009C1935">
              <w:rPr>
                <w:rFonts w:ascii="Arial" w:hAnsi="Arial" w:cs="Arial"/>
                <w:b/>
                <w:bCs/>
                <w:sz w:val="19"/>
                <w:szCs w:val="19"/>
                <w:lang w:val="en-GB"/>
              </w:rPr>
              <w:t xml:space="preserve">Net </w:t>
            </w:r>
            <w:r w:rsidR="007D1291" w:rsidRPr="009C1935">
              <w:rPr>
                <w:rFonts w:ascii="Arial" w:hAnsi="Arial" w:cs="Arial"/>
                <w:b/>
                <w:bCs/>
                <w:sz w:val="19"/>
                <w:szCs w:val="19"/>
                <w:lang w:val="en-GB"/>
              </w:rPr>
              <w:t>block</w:t>
            </w:r>
          </w:p>
        </w:tc>
        <w:tc>
          <w:tcPr>
            <w:tcW w:w="1418" w:type="pct"/>
            <w:noWrap/>
            <w:vAlign w:val="center"/>
            <w:hideMark/>
          </w:tcPr>
          <w:p w14:paraId="284BB271" w14:textId="7EB1F757"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24,275.4</w:t>
            </w:r>
            <w:r w:rsidR="000363D1" w:rsidRPr="009C1935">
              <w:rPr>
                <w:rFonts w:ascii="Arial" w:hAnsi="Arial" w:cs="Arial"/>
                <w:b/>
                <w:bCs/>
                <w:sz w:val="19"/>
                <w:szCs w:val="19"/>
                <w:lang w:val="en-GB"/>
              </w:rPr>
              <w:t>0</w:t>
            </w:r>
          </w:p>
        </w:tc>
        <w:tc>
          <w:tcPr>
            <w:tcW w:w="1202" w:type="pct"/>
            <w:noWrap/>
            <w:vAlign w:val="center"/>
            <w:hideMark/>
          </w:tcPr>
          <w:p w14:paraId="7B094EB2" w14:textId="7605B0E3"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1</w:t>
            </w:r>
            <w:r w:rsidR="005F4987" w:rsidRPr="009C1935">
              <w:rPr>
                <w:rFonts w:ascii="Arial" w:hAnsi="Arial" w:cs="Arial"/>
                <w:b/>
                <w:bCs/>
                <w:sz w:val="19"/>
                <w:szCs w:val="19"/>
                <w:lang w:val="en-GB"/>
              </w:rPr>
              <w:t>,</w:t>
            </w:r>
            <w:r w:rsidRPr="009C1935">
              <w:rPr>
                <w:rFonts w:ascii="Arial" w:hAnsi="Arial" w:cs="Arial"/>
                <w:b/>
                <w:bCs/>
                <w:sz w:val="19"/>
                <w:szCs w:val="19"/>
                <w:lang w:val="en-GB"/>
              </w:rPr>
              <w:t>901.2</w:t>
            </w:r>
            <w:r w:rsidR="000363D1" w:rsidRPr="009C1935">
              <w:rPr>
                <w:rFonts w:ascii="Arial" w:hAnsi="Arial" w:cs="Arial"/>
                <w:b/>
                <w:bCs/>
                <w:sz w:val="19"/>
                <w:szCs w:val="19"/>
                <w:lang w:val="en-GB"/>
              </w:rPr>
              <w:t>0</w:t>
            </w:r>
          </w:p>
        </w:tc>
      </w:tr>
      <w:tr w:rsidR="008E0E4E" w:rsidRPr="009C1935" w14:paraId="1ACED67A" w14:textId="77777777" w:rsidTr="00545292">
        <w:trPr>
          <w:trHeight w:val="144"/>
          <w:jc w:val="center"/>
        </w:trPr>
        <w:tc>
          <w:tcPr>
            <w:tcW w:w="2380" w:type="pct"/>
            <w:noWrap/>
            <w:vAlign w:val="center"/>
            <w:hideMark/>
          </w:tcPr>
          <w:p w14:paraId="07544CC7"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Capital </w:t>
            </w:r>
            <w:r w:rsidR="007D1291" w:rsidRPr="009C1935">
              <w:rPr>
                <w:rFonts w:ascii="Arial" w:hAnsi="Arial" w:cs="Arial"/>
                <w:sz w:val="19"/>
                <w:szCs w:val="19"/>
                <w:lang w:val="en-GB"/>
              </w:rPr>
              <w:t xml:space="preserve">work </w:t>
            </w:r>
            <w:r w:rsidRPr="009C1935">
              <w:rPr>
                <w:rFonts w:ascii="Arial" w:hAnsi="Arial" w:cs="Arial"/>
                <w:sz w:val="19"/>
                <w:szCs w:val="19"/>
                <w:lang w:val="en-GB"/>
              </w:rPr>
              <w:t xml:space="preserve">in </w:t>
            </w:r>
            <w:r w:rsidR="007D1291" w:rsidRPr="009C1935">
              <w:rPr>
                <w:rFonts w:ascii="Arial" w:hAnsi="Arial" w:cs="Arial"/>
                <w:sz w:val="19"/>
                <w:szCs w:val="19"/>
                <w:lang w:val="en-GB"/>
              </w:rPr>
              <w:t>progress</w:t>
            </w:r>
          </w:p>
        </w:tc>
        <w:tc>
          <w:tcPr>
            <w:tcW w:w="1418" w:type="pct"/>
            <w:noWrap/>
            <w:vAlign w:val="center"/>
            <w:hideMark/>
          </w:tcPr>
          <w:p w14:paraId="481227FD" w14:textId="6AF2C665"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5</w:t>
            </w:r>
            <w:r w:rsidR="005F4987" w:rsidRPr="009C1935">
              <w:rPr>
                <w:rFonts w:ascii="Arial" w:hAnsi="Arial" w:cs="Arial"/>
                <w:sz w:val="19"/>
                <w:szCs w:val="19"/>
                <w:lang w:val="en-GB"/>
              </w:rPr>
              <w:t>,</w:t>
            </w:r>
            <w:r w:rsidRPr="009C1935">
              <w:rPr>
                <w:rFonts w:ascii="Arial" w:hAnsi="Arial" w:cs="Arial"/>
                <w:sz w:val="19"/>
                <w:szCs w:val="19"/>
                <w:lang w:val="en-GB"/>
              </w:rPr>
              <w:t>121.6</w:t>
            </w:r>
            <w:r w:rsidR="000363D1" w:rsidRPr="009C1935">
              <w:rPr>
                <w:rFonts w:ascii="Arial" w:hAnsi="Arial" w:cs="Arial"/>
                <w:sz w:val="19"/>
                <w:szCs w:val="19"/>
                <w:lang w:val="en-GB"/>
              </w:rPr>
              <w:t>0</w:t>
            </w:r>
          </w:p>
        </w:tc>
        <w:tc>
          <w:tcPr>
            <w:tcW w:w="1202" w:type="pct"/>
            <w:noWrap/>
            <w:vAlign w:val="center"/>
            <w:hideMark/>
          </w:tcPr>
          <w:p w14:paraId="7B94E980" w14:textId="535FFDF5"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w:t>
            </w:r>
            <w:r w:rsidR="005F4987" w:rsidRPr="009C1935">
              <w:rPr>
                <w:rFonts w:ascii="Arial" w:hAnsi="Arial" w:cs="Arial"/>
                <w:sz w:val="19"/>
                <w:szCs w:val="19"/>
                <w:lang w:val="en-GB"/>
              </w:rPr>
              <w:t>,</w:t>
            </w:r>
            <w:r w:rsidRPr="009C1935">
              <w:rPr>
                <w:rFonts w:ascii="Arial" w:hAnsi="Arial" w:cs="Arial"/>
                <w:sz w:val="19"/>
                <w:szCs w:val="19"/>
                <w:lang w:val="en-GB"/>
              </w:rPr>
              <w:t>690</w:t>
            </w:r>
            <w:r w:rsidR="000363D1" w:rsidRPr="009C1935">
              <w:rPr>
                <w:rFonts w:ascii="Arial" w:hAnsi="Arial" w:cs="Arial"/>
                <w:sz w:val="19"/>
                <w:szCs w:val="19"/>
                <w:lang w:val="en-GB"/>
              </w:rPr>
              <w:t>.00</w:t>
            </w:r>
          </w:p>
        </w:tc>
      </w:tr>
      <w:tr w:rsidR="008E0E4E" w:rsidRPr="009C1935" w14:paraId="601BB161" w14:textId="77777777" w:rsidTr="00545292">
        <w:trPr>
          <w:trHeight w:val="144"/>
          <w:jc w:val="center"/>
        </w:trPr>
        <w:tc>
          <w:tcPr>
            <w:tcW w:w="2380" w:type="pct"/>
            <w:noWrap/>
            <w:vAlign w:val="center"/>
            <w:hideMark/>
          </w:tcPr>
          <w:p w14:paraId="0C06CD48" w14:textId="77777777" w:rsidR="008E0E4E" w:rsidRPr="009C1935" w:rsidRDefault="008E0E4E" w:rsidP="008E0E4E">
            <w:pPr>
              <w:contextualSpacing/>
              <w:rPr>
                <w:rFonts w:ascii="Arial" w:hAnsi="Arial" w:cs="Arial"/>
                <w:b/>
                <w:bCs/>
                <w:sz w:val="19"/>
                <w:szCs w:val="19"/>
                <w:lang w:val="en-GB"/>
              </w:rPr>
            </w:pPr>
            <w:r w:rsidRPr="009C1935">
              <w:rPr>
                <w:rFonts w:ascii="Arial" w:hAnsi="Arial" w:cs="Arial"/>
                <w:b/>
                <w:bCs/>
                <w:sz w:val="19"/>
                <w:szCs w:val="19"/>
                <w:lang w:val="en-GB"/>
              </w:rPr>
              <w:t>Investments</w:t>
            </w:r>
          </w:p>
        </w:tc>
        <w:tc>
          <w:tcPr>
            <w:tcW w:w="1418" w:type="pct"/>
            <w:noWrap/>
            <w:vAlign w:val="center"/>
            <w:hideMark/>
          </w:tcPr>
          <w:p w14:paraId="7BFDF727" w14:textId="5CEF7F48"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7</w:t>
            </w:r>
            <w:r w:rsidR="00062D1C" w:rsidRPr="009C1935">
              <w:rPr>
                <w:rFonts w:ascii="Arial" w:hAnsi="Arial" w:cs="Arial"/>
                <w:b/>
                <w:bCs/>
                <w:sz w:val="19"/>
                <w:szCs w:val="19"/>
                <w:lang w:val="en-GB"/>
              </w:rPr>
              <w:t>,</w:t>
            </w:r>
            <w:r w:rsidRPr="009C1935">
              <w:rPr>
                <w:rFonts w:ascii="Arial" w:hAnsi="Arial" w:cs="Arial"/>
                <w:b/>
                <w:bCs/>
                <w:sz w:val="19"/>
                <w:szCs w:val="19"/>
                <w:lang w:val="en-GB"/>
              </w:rPr>
              <w:t>130.2</w:t>
            </w:r>
            <w:r w:rsidR="000363D1" w:rsidRPr="009C1935">
              <w:rPr>
                <w:rFonts w:ascii="Arial" w:hAnsi="Arial" w:cs="Arial"/>
                <w:b/>
                <w:bCs/>
                <w:sz w:val="19"/>
                <w:szCs w:val="19"/>
                <w:lang w:val="en-GB"/>
              </w:rPr>
              <w:t>0</w:t>
            </w:r>
          </w:p>
        </w:tc>
        <w:tc>
          <w:tcPr>
            <w:tcW w:w="1202" w:type="pct"/>
            <w:noWrap/>
            <w:vAlign w:val="center"/>
            <w:hideMark/>
          </w:tcPr>
          <w:p w14:paraId="58FF959E" w14:textId="249E85D5"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24,111.3</w:t>
            </w:r>
            <w:r w:rsidR="000363D1" w:rsidRPr="009C1935">
              <w:rPr>
                <w:rFonts w:ascii="Arial" w:hAnsi="Arial" w:cs="Arial"/>
                <w:b/>
                <w:bCs/>
                <w:sz w:val="19"/>
                <w:szCs w:val="19"/>
                <w:lang w:val="en-GB"/>
              </w:rPr>
              <w:t>0</w:t>
            </w:r>
          </w:p>
        </w:tc>
      </w:tr>
      <w:tr w:rsidR="008E0E4E" w:rsidRPr="009C1935" w14:paraId="60A21B32" w14:textId="77777777" w:rsidTr="00545292">
        <w:trPr>
          <w:trHeight w:val="144"/>
          <w:jc w:val="center"/>
        </w:trPr>
        <w:tc>
          <w:tcPr>
            <w:tcW w:w="2380" w:type="pct"/>
            <w:noWrap/>
            <w:vAlign w:val="center"/>
            <w:hideMark/>
          </w:tcPr>
          <w:p w14:paraId="2B725480" w14:textId="3C64AA37" w:rsidR="008E0E4E" w:rsidRPr="009C1935" w:rsidRDefault="00545292" w:rsidP="00545292">
            <w:pPr>
              <w:contextualSpacing/>
              <w:rPr>
                <w:rFonts w:ascii="Arial" w:hAnsi="Arial" w:cs="Arial"/>
                <w:sz w:val="19"/>
                <w:szCs w:val="19"/>
                <w:lang w:val="en-GB"/>
              </w:rPr>
            </w:pPr>
            <w:r w:rsidRPr="009C1935">
              <w:rPr>
                <w:rFonts w:ascii="Arial" w:hAnsi="Arial" w:cs="Arial"/>
                <w:sz w:val="19"/>
                <w:szCs w:val="19"/>
                <w:lang w:val="en-GB"/>
              </w:rPr>
              <w:t>C</w:t>
            </w:r>
            <w:r w:rsidR="007D1291" w:rsidRPr="009C1935">
              <w:rPr>
                <w:rFonts w:ascii="Arial" w:hAnsi="Arial" w:cs="Arial"/>
                <w:sz w:val="19"/>
                <w:szCs w:val="19"/>
                <w:lang w:val="en-GB"/>
              </w:rPr>
              <w:t>urrent assets</w:t>
            </w:r>
            <w:r w:rsidRPr="009C1935">
              <w:rPr>
                <w:rFonts w:ascii="Arial" w:hAnsi="Arial" w:cs="Arial"/>
                <w:sz w:val="19"/>
                <w:szCs w:val="19"/>
                <w:lang w:val="en-GB"/>
              </w:rPr>
              <w:t xml:space="preserve"> except loans and advances</w:t>
            </w:r>
          </w:p>
        </w:tc>
        <w:tc>
          <w:tcPr>
            <w:tcW w:w="1418" w:type="pct"/>
            <w:noWrap/>
            <w:vAlign w:val="center"/>
            <w:hideMark/>
          </w:tcPr>
          <w:p w14:paraId="5C206C1E" w14:textId="2197F06E"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11,312.8</w:t>
            </w:r>
            <w:r w:rsidR="000363D1" w:rsidRPr="009C1935">
              <w:rPr>
                <w:rFonts w:ascii="Arial" w:hAnsi="Arial" w:cs="Arial"/>
                <w:sz w:val="19"/>
                <w:szCs w:val="19"/>
                <w:lang w:val="en-GB"/>
              </w:rPr>
              <w:t>0</w:t>
            </w:r>
          </w:p>
        </w:tc>
        <w:tc>
          <w:tcPr>
            <w:tcW w:w="1202" w:type="pct"/>
            <w:noWrap/>
            <w:vAlign w:val="center"/>
            <w:hideMark/>
          </w:tcPr>
          <w:p w14:paraId="62E0AEE3" w14:textId="70811072"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w:t>
            </w:r>
            <w:r w:rsidR="005F4987" w:rsidRPr="009C1935">
              <w:rPr>
                <w:rFonts w:ascii="Arial" w:hAnsi="Arial" w:cs="Arial"/>
                <w:sz w:val="19"/>
                <w:szCs w:val="19"/>
                <w:lang w:val="en-GB"/>
              </w:rPr>
              <w:t>,</w:t>
            </w:r>
            <w:r w:rsidRPr="009C1935">
              <w:rPr>
                <w:rFonts w:ascii="Arial" w:hAnsi="Arial" w:cs="Arial"/>
                <w:sz w:val="19"/>
                <w:szCs w:val="19"/>
                <w:lang w:val="en-GB"/>
              </w:rPr>
              <w:t>185.9</w:t>
            </w:r>
            <w:r w:rsidR="000363D1" w:rsidRPr="009C1935">
              <w:rPr>
                <w:rFonts w:ascii="Arial" w:hAnsi="Arial" w:cs="Arial"/>
                <w:sz w:val="19"/>
                <w:szCs w:val="19"/>
                <w:lang w:val="en-GB"/>
              </w:rPr>
              <w:t>0</w:t>
            </w:r>
          </w:p>
        </w:tc>
      </w:tr>
      <w:tr w:rsidR="008E0E4E" w:rsidRPr="009C1935" w14:paraId="1D5FAA54" w14:textId="77777777" w:rsidTr="00545292">
        <w:trPr>
          <w:trHeight w:val="144"/>
          <w:jc w:val="center"/>
        </w:trPr>
        <w:tc>
          <w:tcPr>
            <w:tcW w:w="2380" w:type="pct"/>
            <w:noWrap/>
            <w:vAlign w:val="center"/>
            <w:hideMark/>
          </w:tcPr>
          <w:p w14:paraId="45FA3A1C"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Loans and </w:t>
            </w:r>
            <w:r w:rsidR="007D1291" w:rsidRPr="009C1935">
              <w:rPr>
                <w:rFonts w:ascii="Arial" w:hAnsi="Arial" w:cs="Arial"/>
                <w:sz w:val="19"/>
                <w:szCs w:val="19"/>
                <w:lang w:val="en-GB"/>
              </w:rPr>
              <w:t>advances</w:t>
            </w:r>
          </w:p>
        </w:tc>
        <w:tc>
          <w:tcPr>
            <w:tcW w:w="1418" w:type="pct"/>
            <w:noWrap/>
            <w:vAlign w:val="center"/>
            <w:hideMark/>
          </w:tcPr>
          <w:p w14:paraId="2B94220F" w14:textId="2AEEAE0D"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10,359.6</w:t>
            </w:r>
            <w:r w:rsidR="000363D1" w:rsidRPr="009C1935">
              <w:rPr>
                <w:rFonts w:ascii="Arial" w:hAnsi="Arial" w:cs="Arial"/>
                <w:sz w:val="19"/>
                <w:szCs w:val="19"/>
                <w:lang w:val="en-GB"/>
              </w:rPr>
              <w:t>0</w:t>
            </w:r>
          </w:p>
        </w:tc>
        <w:tc>
          <w:tcPr>
            <w:tcW w:w="1202" w:type="pct"/>
            <w:noWrap/>
            <w:vAlign w:val="center"/>
            <w:hideMark/>
          </w:tcPr>
          <w:p w14:paraId="6CEB63C7" w14:textId="2260DDFA"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22,703.7</w:t>
            </w:r>
            <w:r w:rsidR="000363D1" w:rsidRPr="009C1935">
              <w:rPr>
                <w:rFonts w:ascii="Arial" w:hAnsi="Arial" w:cs="Arial"/>
                <w:sz w:val="19"/>
                <w:szCs w:val="19"/>
                <w:lang w:val="en-GB"/>
              </w:rPr>
              <w:t>0</w:t>
            </w:r>
          </w:p>
        </w:tc>
      </w:tr>
      <w:tr w:rsidR="008E0E4E" w:rsidRPr="009C1935" w14:paraId="6C596C22" w14:textId="77777777" w:rsidTr="00545292">
        <w:trPr>
          <w:trHeight w:val="144"/>
          <w:jc w:val="center"/>
        </w:trPr>
        <w:tc>
          <w:tcPr>
            <w:tcW w:w="2380" w:type="pct"/>
            <w:noWrap/>
            <w:vAlign w:val="center"/>
            <w:hideMark/>
          </w:tcPr>
          <w:p w14:paraId="5755B5A6"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Current </w:t>
            </w:r>
            <w:r w:rsidR="007D1291" w:rsidRPr="009C1935">
              <w:rPr>
                <w:rFonts w:ascii="Arial" w:hAnsi="Arial" w:cs="Arial"/>
                <w:sz w:val="19"/>
                <w:szCs w:val="19"/>
                <w:lang w:val="en-GB"/>
              </w:rPr>
              <w:t>liabilities</w:t>
            </w:r>
          </w:p>
        </w:tc>
        <w:tc>
          <w:tcPr>
            <w:tcW w:w="1418" w:type="pct"/>
            <w:noWrap/>
            <w:vAlign w:val="center"/>
            <w:hideMark/>
          </w:tcPr>
          <w:p w14:paraId="0E2688B6" w14:textId="67FE8985"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10,118.7</w:t>
            </w:r>
            <w:r w:rsidR="000363D1" w:rsidRPr="009C1935">
              <w:rPr>
                <w:rFonts w:ascii="Arial" w:hAnsi="Arial" w:cs="Arial"/>
                <w:sz w:val="19"/>
                <w:szCs w:val="19"/>
                <w:lang w:val="en-GB"/>
              </w:rPr>
              <w:t>0</w:t>
            </w:r>
          </w:p>
        </w:tc>
        <w:tc>
          <w:tcPr>
            <w:tcW w:w="1202" w:type="pct"/>
            <w:noWrap/>
            <w:vAlign w:val="center"/>
            <w:hideMark/>
          </w:tcPr>
          <w:p w14:paraId="775754B4" w14:textId="79307D55"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8</w:t>
            </w:r>
            <w:r w:rsidR="005F4987" w:rsidRPr="009C1935">
              <w:rPr>
                <w:rFonts w:ascii="Arial" w:hAnsi="Arial" w:cs="Arial"/>
                <w:sz w:val="19"/>
                <w:szCs w:val="19"/>
                <w:lang w:val="en-GB"/>
              </w:rPr>
              <w:t>,</w:t>
            </w:r>
            <w:r w:rsidRPr="009C1935">
              <w:rPr>
                <w:rFonts w:ascii="Arial" w:hAnsi="Arial" w:cs="Arial"/>
                <w:sz w:val="19"/>
                <w:szCs w:val="19"/>
                <w:lang w:val="en-GB"/>
              </w:rPr>
              <w:t>587.4</w:t>
            </w:r>
            <w:r w:rsidR="000363D1" w:rsidRPr="009C1935">
              <w:rPr>
                <w:rFonts w:ascii="Arial" w:hAnsi="Arial" w:cs="Arial"/>
                <w:sz w:val="19"/>
                <w:szCs w:val="19"/>
                <w:lang w:val="en-GB"/>
              </w:rPr>
              <w:t>0</w:t>
            </w:r>
          </w:p>
        </w:tc>
      </w:tr>
      <w:tr w:rsidR="008E0E4E" w:rsidRPr="009C1935" w14:paraId="4267051D" w14:textId="77777777" w:rsidTr="00545292">
        <w:trPr>
          <w:trHeight w:val="144"/>
          <w:jc w:val="center"/>
        </w:trPr>
        <w:tc>
          <w:tcPr>
            <w:tcW w:w="2380" w:type="pct"/>
            <w:noWrap/>
            <w:vAlign w:val="center"/>
            <w:hideMark/>
          </w:tcPr>
          <w:p w14:paraId="3D96402D" w14:textId="77777777" w:rsidR="008E0E4E" w:rsidRPr="009C1935" w:rsidRDefault="008E0E4E" w:rsidP="008E0E4E">
            <w:pPr>
              <w:contextualSpacing/>
              <w:rPr>
                <w:rFonts w:ascii="Arial" w:hAnsi="Arial" w:cs="Arial"/>
                <w:sz w:val="19"/>
                <w:szCs w:val="19"/>
                <w:lang w:val="en-GB"/>
              </w:rPr>
            </w:pPr>
            <w:r w:rsidRPr="009C1935">
              <w:rPr>
                <w:rFonts w:ascii="Arial" w:hAnsi="Arial" w:cs="Arial"/>
                <w:sz w:val="19"/>
                <w:szCs w:val="19"/>
                <w:lang w:val="en-GB"/>
              </w:rPr>
              <w:t>Provisions</w:t>
            </w:r>
          </w:p>
        </w:tc>
        <w:tc>
          <w:tcPr>
            <w:tcW w:w="1418" w:type="pct"/>
            <w:noWrap/>
            <w:vAlign w:val="center"/>
            <w:hideMark/>
          </w:tcPr>
          <w:p w14:paraId="4828C082" w14:textId="5FAC1716"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w:t>
            </w:r>
            <w:r w:rsidR="005F4987" w:rsidRPr="009C1935">
              <w:rPr>
                <w:rFonts w:ascii="Arial" w:hAnsi="Arial" w:cs="Arial"/>
                <w:sz w:val="19"/>
                <w:szCs w:val="19"/>
                <w:lang w:val="en-GB"/>
              </w:rPr>
              <w:t>,</w:t>
            </w:r>
            <w:r w:rsidRPr="009C1935">
              <w:rPr>
                <w:rFonts w:ascii="Arial" w:hAnsi="Arial" w:cs="Arial"/>
                <w:sz w:val="19"/>
                <w:szCs w:val="19"/>
                <w:lang w:val="en-GB"/>
              </w:rPr>
              <w:t>304.4</w:t>
            </w:r>
            <w:r w:rsidR="000363D1" w:rsidRPr="009C1935">
              <w:rPr>
                <w:rFonts w:ascii="Arial" w:hAnsi="Arial" w:cs="Arial"/>
                <w:sz w:val="19"/>
                <w:szCs w:val="19"/>
                <w:lang w:val="en-GB"/>
              </w:rPr>
              <w:t>0</w:t>
            </w:r>
          </w:p>
        </w:tc>
        <w:tc>
          <w:tcPr>
            <w:tcW w:w="1202" w:type="pct"/>
            <w:noWrap/>
            <w:vAlign w:val="center"/>
            <w:hideMark/>
          </w:tcPr>
          <w:p w14:paraId="5E6E23FA" w14:textId="54452AF3"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236.2</w:t>
            </w:r>
            <w:r w:rsidR="000363D1" w:rsidRPr="009C1935">
              <w:rPr>
                <w:rFonts w:ascii="Arial" w:hAnsi="Arial" w:cs="Arial"/>
                <w:sz w:val="19"/>
                <w:szCs w:val="19"/>
                <w:lang w:val="en-GB"/>
              </w:rPr>
              <w:t>0</w:t>
            </w:r>
          </w:p>
        </w:tc>
      </w:tr>
      <w:tr w:rsidR="008E0E4E" w:rsidRPr="009C1935" w14:paraId="0704044B" w14:textId="77777777" w:rsidTr="00545292">
        <w:trPr>
          <w:trHeight w:val="144"/>
          <w:jc w:val="center"/>
        </w:trPr>
        <w:tc>
          <w:tcPr>
            <w:tcW w:w="2380" w:type="pct"/>
            <w:noWrap/>
            <w:vAlign w:val="center"/>
            <w:hideMark/>
          </w:tcPr>
          <w:p w14:paraId="00A745B9" w14:textId="77777777" w:rsidR="008E0E4E" w:rsidRPr="009C1935" w:rsidRDefault="008E0E4E" w:rsidP="007D1291">
            <w:pPr>
              <w:contextualSpacing/>
              <w:rPr>
                <w:rFonts w:ascii="Arial" w:hAnsi="Arial" w:cs="Arial"/>
                <w:b/>
                <w:bCs/>
                <w:sz w:val="19"/>
                <w:szCs w:val="19"/>
                <w:lang w:val="en-GB"/>
              </w:rPr>
            </w:pPr>
            <w:r w:rsidRPr="009C1935">
              <w:rPr>
                <w:rFonts w:ascii="Arial" w:hAnsi="Arial" w:cs="Arial"/>
                <w:b/>
                <w:bCs/>
                <w:sz w:val="19"/>
                <w:szCs w:val="19"/>
                <w:lang w:val="en-GB"/>
              </w:rPr>
              <w:t xml:space="preserve">Net </w:t>
            </w:r>
            <w:r w:rsidR="007D1291" w:rsidRPr="009C1935">
              <w:rPr>
                <w:rFonts w:ascii="Arial" w:hAnsi="Arial" w:cs="Arial"/>
                <w:b/>
                <w:bCs/>
                <w:sz w:val="19"/>
                <w:szCs w:val="19"/>
                <w:lang w:val="en-GB"/>
              </w:rPr>
              <w:t>current assets</w:t>
            </w:r>
          </w:p>
        </w:tc>
        <w:tc>
          <w:tcPr>
            <w:tcW w:w="1418" w:type="pct"/>
            <w:noWrap/>
            <w:vAlign w:val="center"/>
            <w:hideMark/>
          </w:tcPr>
          <w:p w14:paraId="2C2A725F" w14:textId="7566AF3A"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10,249.3</w:t>
            </w:r>
            <w:r w:rsidR="000363D1" w:rsidRPr="009C1935">
              <w:rPr>
                <w:rFonts w:ascii="Arial" w:hAnsi="Arial" w:cs="Arial"/>
                <w:b/>
                <w:bCs/>
                <w:sz w:val="19"/>
                <w:szCs w:val="19"/>
                <w:lang w:val="en-GB"/>
              </w:rPr>
              <w:t>0</w:t>
            </w:r>
          </w:p>
        </w:tc>
        <w:tc>
          <w:tcPr>
            <w:tcW w:w="1202" w:type="pct"/>
            <w:noWrap/>
            <w:vAlign w:val="center"/>
            <w:hideMark/>
          </w:tcPr>
          <w:p w14:paraId="737267C6" w14:textId="7C8D9CE4"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15,066.0</w:t>
            </w:r>
            <w:r w:rsidR="000363D1" w:rsidRPr="009C1935">
              <w:rPr>
                <w:rFonts w:ascii="Arial" w:hAnsi="Arial" w:cs="Arial"/>
                <w:b/>
                <w:bCs/>
                <w:sz w:val="19"/>
                <w:szCs w:val="19"/>
                <w:lang w:val="en-GB"/>
              </w:rPr>
              <w:t>0</w:t>
            </w:r>
          </w:p>
        </w:tc>
      </w:tr>
      <w:tr w:rsidR="008E0E4E" w:rsidRPr="009C1935" w14:paraId="63DC7254" w14:textId="77777777" w:rsidTr="00545292">
        <w:trPr>
          <w:trHeight w:val="144"/>
          <w:jc w:val="center"/>
        </w:trPr>
        <w:tc>
          <w:tcPr>
            <w:tcW w:w="2380" w:type="pct"/>
            <w:noWrap/>
            <w:vAlign w:val="center"/>
            <w:hideMark/>
          </w:tcPr>
          <w:p w14:paraId="40255596" w14:textId="77777777" w:rsidR="008E0E4E" w:rsidRPr="009C1935" w:rsidRDefault="008E0E4E" w:rsidP="007D1291">
            <w:pPr>
              <w:contextualSpacing/>
              <w:rPr>
                <w:rFonts w:ascii="Arial" w:hAnsi="Arial" w:cs="Arial"/>
                <w:b/>
                <w:bCs/>
                <w:sz w:val="19"/>
                <w:szCs w:val="19"/>
                <w:lang w:val="en-GB"/>
              </w:rPr>
            </w:pPr>
            <w:r w:rsidRPr="009C1935">
              <w:rPr>
                <w:rFonts w:ascii="Arial" w:hAnsi="Arial" w:cs="Arial"/>
                <w:b/>
                <w:bCs/>
                <w:sz w:val="19"/>
                <w:szCs w:val="19"/>
                <w:lang w:val="en-GB"/>
              </w:rPr>
              <w:t xml:space="preserve">Total </w:t>
            </w:r>
            <w:r w:rsidR="007D1291" w:rsidRPr="009C1935">
              <w:rPr>
                <w:rFonts w:ascii="Arial" w:hAnsi="Arial" w:cs="Arial"/>
                <w:b/>
                <w:bCs/>
                <w:sz w:val="19"/>
                <w:szCs w:val="19"/>
                <w:lang w:val="en-GB"/>
              </w:rPr>
              <w:t>assets</w:t>
            </w:r>
          </w:p>
        </w:tc>
        <w:tc>
          <w:tcPr>
            <w:tcW w:w="1418" w:type="pct"/>
            <w:noWrap/>
            <w:vAlign w:val="center"/>
            <w:hideMark/>
          </w:tcPr>
          <w:p w14:paraId="73513900" w14:textId="18EDC9E2"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46,776.5</w:t>
            </w:r>
            <w:r w:rsidR="000363D1" w:rsidRPr="009C1935">
              <w:rPr>
                <w:rFonts w:ascii="Arial" w:hAnsi="Arial" w:cs="Arial"/>
                <w:b/>
                <w:bCs/>
                <w:sz w:val="19"/>
                <w:szCs w:val="19"/>
                <w:lang w:val="en-GB"/>
              </w:rPr>
              <w:t>0</w:t>
            </w:r>
          </w:p>
        </w:tc>
        <w:tc>
          <w:tcPr>
            <w:tcW w:w="1202" w:type="pct"/>
            <w:noWrap/>
            <w:vAlign w:val="center"/>
            <w:hideMark/>
          </w:tcPr>
          <w:p w14:paraId="0E04A938" w14:textId="5FC8D741" w:rsidR="008E0E4E" w:rsidRPr="009C1935" w:rsidRDefault="008E0E4E" w:rsidP="0037757F">
            <w:pPr>
              <w:ind w:right="570"/>
              <w:contextualSpacing/>
              <w:jc w:val="right"/>
              <w:rPr>
                <w:rFonts w:ascii="Arial" w:hAnsi="Arial" w:cs="Arial"/>
                <w:b/>
                <w:bCs/>
                <w:sz w:val="19"/>
                <w:szCs w:val="19"/>
                <w:lang w:val="en-GB"/>
              </w:rPr>
            </w:pPr>
            <w:r w:rsidRPr="009C1935">
              <w:rPr>
                <w:rFonts w:ascii="Arial" w:hAnsi="Arial" w:cs="Arial"/>
                <w:b/>
                <w:bCs/>
                <w:sz w:val="19"/>
                <w:szCs w:val="19"/>
                <w:lang w:val="en-GB"/>
              </w:rPr>
              <w:t>42,768.5</w:t>
            </w:r>
            <w:r w:rsidR="000363D1" w:rsidRPr="009C1935">
              <w:rPr>
                <w:rFonts w:ascii="Arial" w:hAnsi="Arial" w:cs="Arial"/>
                <w:b/>
                <w:bCs/>
                <w:sz w:val="19"/>
                <w:szCs w:val="19"/>
                <w:lang w:val="en-GB"/>
              </w:rPr>
              <w:t>0</w:t>
            </w:r>
          </w:p>
        </w:tc>
      </w:tr>
      <w:tr w:rsidR="008E0E4E" w:rsidRPr="009C1935" w14:paraId="70D8EC7B" w14:textId="77777777" w:rsidTr="00545292">
        <w:trPr>
          <w:trHeight w:val="144"/>
          <w:jc w:val="center"/>
        </w:trPr>
        <w:tc>
          <w:tcPr>
            <w:tcW w:w="2380" w:type="pct"/>
            <w:noWrap/>
            <w:vAlign w:val="center"/>
            <w:hideMark/>
          </w:tcPr>
          <w:p w14:paraId="1B1AE812" w14:textId="77777777" w:rsidR="008E0E4E" w:rsidRPr="009C1935" w:rsidRDefault="008E0E4E" w:rsidP="008E0E4E">
            <w:pPr>
              <w:contextualSpacing/>
              <w:rPr>
                <w:rFonts w:ascii="Arial" w:hAnsi="Arial" w:cs="Arial"/>
                <w:sz w:val="12"/>
                <w:szCs w:val="12"/>
                <w:lang w:val="en-GB"/>
              </w:rPr>
            </w:pPr>
          </w:p>
        </w:tc>
        <w:tc>
          <w:tcPr>
            <w:tcW w:w="1418" w:type="pct"/>
            <w:noWrap/>
            <w:vAlign w:val="center"/>
            <w:hideMark/>
          </w:tcPr>
          <w:p w14:paraId="7245AF10" w14:textId="77777777" w:rsidR="008E0E4E" w:rsidRPr="009C1935" w:rsidRDefault="008E0E4E" w:rsidP="0037757F">
            <w:pPr>
              <w:ind w:right="570"/>
              <w:contextualSpacing/>
              <w:jc w:val="right"/>
              <w:rPr>
                <w:rFonts w:ascii="Arial" w:hAnsi="Arial" w:cs="Arial"/>
                <w:sz w:val="12"/>
                <w:szCs w:val="12"/>
                <w:lang w:val="en-GB"/>
              </w:rPr>
            </w:pPr>
          </w:p>
        </w:tc>
        <w:tc>
          <w:tcPr>
            <w:tcW w:w="1202" w:type="pct"/>
            <w:noWrap/>
            <w:vAlign w:val="center"/>
            <w:hideMark/>
          </w:tcPr>
          <w:p w14:paraId="7659DF50" w14:textId="77777777" w:rsidR="008E0E4E" w:rsidRPr="009C1935" w:rsidRDefault="008E0E4E" w:rsidP="0037757F">
            <w:pPr>
              <w:ind w:right="570"/>
              <w:contextualSpacing/>
              <w:jc w:val="right"/>
              <w:rPr>
                <w:rFonts w:ascii="Arial" w:hAnsi="Arial" w:cs="Arial"/>
                <w:sz w:val="12"/>
                <w:szCs w:val="12"/>
                <w:lang w:val="en-GB"/>
              </w:rPr>
            </w:pPr>
          </w:p>
        </w:tc>
      </w:tr>
      <w:tr w:rsidR="008E0E4E" w:rsidRPr="009C1935" w14:paraId="36CD830B" w14:textId="77777777" w:rsidTr="00545292">
        <w:trPr>
          <w:trHeight w:val="144"/>
          <w:jc w:val="center"/>
        </w:trPr>
        <w:tc>
          <w:tcPr>
            <w:tcW w:w="2380" w:type="pct"/>
            <w:noWrap/>
            <w:vAlign w:val="center"/>
            <w:hideMark/>
          </w:tcPr>
          <w:p w14:paraId="4CF52497" w14:textId="77777777" w:rsidR="008E0E4E" w:rsidRPr="009C1935" w:rsidRDefault="008E0E4E" w:rsidP="007D1291">
            <w:pPr>
              <w:contextualSpacing/>
              <w:rPr>
                <w:rFonts w:ascii="Arial" w:hAnsi="Arial" w:cs="Arial"/>
                <w:sz w:val="19"/>
                <w:szCs w:val="19"/>
                <w:lang w:val="en-GB"/>
              </w:rPr>
            </w:pPr>
            <w:r w:rsidRPr="009C1935">
              <w:rPr>
                <w:rFonts w:ascii="Arial" w:hAnsi="Arial" w:cs="Arial"/>
                <w:sz w:val="19"/>
                <w:szCs w:val="19"/>
                <w:lang w:val="en-GB"/>
              </w:rPr>
              <w:t xml:space="preserve">Contingent </w:t>
            </w:r>
            <w:r w:rsidR="007D1291" w:rsidRPr="009C1935">
              <w:rPr>
                <w:rFonts w:ascii="Arial" w:hAnsi="Arial" w:cs="Arial"/>
                <w:sz w:val="19"/>
                <w:szCs w:val="19"/>
                <w:lang w:val="en-GB"/>
              </w:rPr>
              <w:t>liabilities</w:t>
            </w:r>
          </w:p>
        </w:tc>
        <w:tc>
          <w:tcPr>
            <w:tcW w:w="1418" w:type="pct"/>
            <w:noWrap/>
            <w:vAlign w:val="center"/>
            <w:hideMark/>
          </w:tcPr>
          <w:p w14:paraId="7389A312" w14:textId="080A9474"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14,247.9</w:t>
            </w:r>
            <w:r w:rsidR="000363D1" w:rsidRPr="009C1935">
              <w:rPr>
                <w:rFonts w:ascii="Arial" w:hAnsi="Arial" w:cs="Arial"/>
                <w:sz w:val="19"/>
                <w:szCs w:val="19"/>
                <w:lang w:val="en-GB"/>
              </w:rPr>
              <w:t>0</w:t>
            </w:r>
          </w:p>
        </w:tc>
        <w:tc>
          <w:tcPr>
            <w:tcW w:w="1202" w:type="pct"/>
            <w:noWrap/>
            <w:vAlign w:val="center"/>
            <w:hideMark/>
          </w:tcPr>
          <w:p w14:paraId="0241F12A" w14:textId="36F6BF57" w:rsidR="008E0E4E" w:rsidRPr="009C1935" w:rsidRDefault="008E0E4E" w:rsidP="0037757F">
            <w:pPr>
              <w:ind w:right="570"/>
              <w:contextualSpacing/>
              <w:jc w:val="right"/>
              <w:rPr>
                <w:rFonts w:ascii="Arial" w:hAnsi="Arial" w:cs="Arial"/>
                <w:sz w:val="19"/>
                <w:szCs w:val="19"/>
                <w:lang w:val="en-GB"/>
              </w:rPr>
            </w:pPr>
            <w:r w:rsidRPr="009C1935">
              <w:rPr>
                <w:rFonts w:ascii="Arial" w:hAnsi="Arial" w:cs="Arial"/>
                <w:sz w:val="19"/>
                <w:szCs w:val="19"/>
                <w:lang w:val="en-GB"/>
              </w:rPr>
              <w:t>5</w:t>
            </w:r>
            <w:r w:rsidR="005F4987" w:rsidRPr="009C1935">
              <w:rPr>
                <w:rFonts w:ascii="Arial" w:hAnsi="Arial" w:cs="Arial"/>
                <w:sz w:val="19"/>
                <w:szCs w:val="19"/>
                <w:lang w:val="en-GB"/>
              </w:rPr>
              <w:t>,</w:t>
            </w:r>
            <w:r w:rsidRPr="009C1935">
              <w:rPr>
                <w:rFonts w:ascii="Arial" w:hAnsi="Arial" w:cs="Arial"/>
                <w:sz w:val="19"/>
                <w:szCs w:val="19"/>
                <w:lang w:val="en-GB"/>
              </w:rPr>
              <w:t>489.7</w:t>
            </w:r>
            <w:r w:rsidR="000363D1" w:rsidRPr="009C1935">
              <w:rPr>
                <w:rFonts w:ascii="Arial" w:hAnsi="Arial" w:cs="Arial"/>
                <w:sz w:val="19"/>
                <w:szCs w:val="19"/>
                <w:lang w:val="en-GB"/>
              </w:rPr>
              <w:t>0</w:t>
            </w:r>
          </w:p>
        </w:tc>
      </w:tr>
      <w:tr w:rsidR="00545292" w:rsidRPr="009C1935" w14:paraId="446B6CD0" w14:textId="77777777" w:rsidTr="00545292">
        <w:trPr>
          <w:trHeight w:val="144"/>
          <w:jc w:val="center"/>
        </w:trPr>
        <w:tc>
          <w:tcPr>
            <w:tcW w:w="2380" w:type="pct"/>
            <w:noWrap/>
            <w:vAlign w:val="center"/>
          </w:tcPr>
          <w:p w14:paraId="05290BFA" w14:textId="77777777" w:rsidR="00545292" w:rsidRPr="009C1935" w:rsidRDefault="00545292" w:rsidP="00545292">
            <w:pPr>
              <w:contextualSpacing/>
              <w:rPr>
                <w:rFonts w:ascii="Arial" w:hAnsi="Arial" w:cs="Arial"/>
                <w:sz w:val="19"/>
                <w:szCs w:val="19"/>
                <w:lang w:val="en-GB"/>
              </w:rPr>
            </w:pPr>
            <w:r w:rsidRPr="009C1935">
              <w:rPr>
                <w:rFonts w:ascii="Arial" w:hAnsi="Arial" w:cs="Arial"/>
                <w:lang w:val="en-GB"/>
              </w:rPr>
              <w:t>Shares in issue (in millions)</w:t>
            </w:r>
          </w:p>
        </w:tc>
        <w:tc>
          <w:tcPr>
            <w:tcW w:w="1418" w:type="pct"/>
            <w:noWrap/>
            <w:vAlign w:val="center"/>
          </w:tcPr>
          <w:p w14:paraId="12BD2B2C" w14:textId="77777777" w:rsidR="00545292" w:rsidRPr="009C1935" w:rsidRDefault="00545292" w:rsidP="0037757F">
            <w:pPr>
              <w:ind w:right="570"/>
              <w:contextualSpacing/>
              <w:jc w:val="right"/>
              <w:rPr>
                <w:rFonts w:ascii="Arial" w:hAnsi="Arial" w:cs="Arial"/>
                <w:sz w:val="19"/>
                <w:szCs w:val="19"/>
                <w:lang w:val="en-GB"/>
              </w:rPr>
            </w:pPr>
            <w:r w:rsidRPr="009C1935">
              <w:rPr>
                <w:rFonts w:ascii="Arial" w:hAnsi="Arial" w:cs="Arial"/>
                <w:lang w:val="en-GB"/>
              </w:rPr>
              <w:t>139.13</w:t>
            </w:r>
          </w:p>
        </w:tc>
        <w:tc>
          <w:tcPr>
            <w:tcW w:w="1202" w:type="pct"/>
            <w:noWrap/>
            <w:vAlign w:val="center"/>
          </w:tcPr>
          <w:p w14:paraId="7E2DF70B" w14:textId="77777777" w:rsidR="00545292" w:rsidRPr="009C1935" w:rsidRDefault="00545292" w:rsidP="0037757F">
            <w:pPr>
              <w:ind w:right="570"/>
              <w:contextualSpacing/>
              <w:jc w:val="right"/>
              <w:rPr>
                <w:rFonts w:ascii="Arial" w:hAnsi="Arial" w:cs="Arial"/>
                <w:sz w:val="19"/>
                <w:szCs w:val="19"/>
                <w:lang w:val="en-GB"/>
              </w:rPr>
            </w:pPr>
            <w:r w:rsidRPr="009C1935">
              <w:rPr>
                <w:rFonts w:ascii="Arial" w:hAnsi="Arial" w:cs="Arial"/>
                <w:lang w:val="en-GB"/>
              </w:rPr>
              <w:t>462.81</w:t>
            </w:r>
          </w:p>
        </w:tc>
      </w:tr>
      <w:tr w:rsidR="00545292" w:rsidRPr="009C1935" w14:paraId="41F534EF" w14:textId="77777777" w:rsidTr="00545292">
        <w:trPr>
          <w:trHeight w:val="144"/>
          <w:jc w:val="center"/>
        </w:trPr>
        <w:tc>
          <w:tcPr>
            <w:tcW w:w="2380" w:type="pct"/>
            <w:noWrap/>
            <w:vAlign w:val="center"/>
            <w:hideMark/>
          </w:tcPr>
          <w:p w14:paraId="683A3F4D" w14:textId="77777777" w:rsidR="00545292" w:rsidRPr="009C1935" w:rsidRDefault="00545292" w:rsidP="00545292">
            <w:pPr>
              <w:contextualSpacing/>
              <w:rPr>
                <w:rFonts w:ascii="Arial" w:hAnsi="Arial" w:cs="Arial"/>
                <w:sz w:val="19"/>
                <w:szCs w:val="19"/>
                <w:lang w:val="en-GB"/>
              </w:rPr>
            </w:pPr>
            <w:r w:rsidRPr="009C1935">
              <w:rPr>
                <w:rFonts w:ascii="Arial" w:hAnsi="Arial" w:cs="Arial"/>
                <w:sz w:val="19"/>
                <w:szCs w:val="19"/>
                <w:lang w:val="en-GB"/>
              </w:rPr>
              <w:t>Book value (</w:t>
            </w:r>
            <w:r w:rsidRPr="009C1935">
              <w:rPr>
                <w:rFonts w:ascii="Arial" w:hAnsi="Arial" w:cs="Arial"/>
                <w:color w:val="222222"/>
                <w:sz w:val="19"/>
                <w:szCs w:val="19"/>
                <w:shd w:val="clear" w:color="auto" w:fill="FFFFFF"/>
                <w:lang w:val="en-GB"/>
              </w:rPr>
              <w:t>₹</w:t>
            </w:r>
            <w:r w:rsidRPr="009C1935">
              <w:rPr>
                <w:rFonts w:ascii="Arial" w:hAnsi="Arial" w:cs="Arial"/>
                <w:sz w:val="19"/>
                <w:szCs w:val="19"/>
                <w:lang w:val="en-GB"/>
              </w:rPr>
              <w:t>)</w:t>
            </w:r>
          </w:p>
        </w:tc>
        <w:tc>
          <w:tcPr>
            <w:tcW w:w="1418" w:type="pct"/>
            <w:noWrap/>
            <w:vAlign w:val="center"/>
            <w:hideMark/>
          </w:tcPr>
          <w:p w14:paraId="1D9B61B7" w14:textId="77777777" w:rsidR="00545292" w:rsidRPr="009C1935" w:rsidRDefault="00545292" w:rsidP="0037757F">
            <w:pPr>
              <w:ind w:right="570"/>
              <w:contextualSpacing/>
              <w:jc w:val="right"/>
              <w:rPr>
                <w:rFonts w:ascii="Arial" w:hAnsi="Arial" w:cs="Arial"/>
                <w:sz w:val="19"/>
                <w:szCs w:val="19"/>
                <w:lang w:val="en-GB"/>
              </w:rPr>
            </w:pPr>
            <w:r w:rsidRPr="009C1935">
              <w:rPr>
                <w:rFonts w:ascii="Arial" w:hAnsi="Arial" w:cs="Arial"/>
                <w:sz w:val="19"/>
                <w:szCs w:val="19"/>
                <w:lang w:val="en-GB"/>
              </w:rPr>
              <w:t>227.21</w:t>
            </w:r>
          </w:p>
        </w:tc>
        <w:tc>
          <w:tcPr>
            <w:tcW w:w="1202" w:type="pct"/>
            <w:noWrap/>
            <w:vAlign w:val="center"/>
            <w:hideMark/>
          </w:tcPr>
          <w:p w14:paraId="6D005CCE" w14:textId="33174792" w:rsidR="00545292" w:rsidRPr="009C1935" w:rsidRDefault="00545292" w:rsidP="0037757F">
            <w:pPr>
              <w:ind w:right="570"/>
              <w:contextualSpacing/>
              <w:jc w:val="right"/>
              <w:rPr>
                <w:rFonts w:ascii="Arial" w:hAnsi="Arial" w:cs="Arial"/>
                <w:sz w:val="19"/>
                <w:szCs w:val="19"/>
                <w:lang w:val="en-GB"/>
              </w:rPr>
            </w:pPr>
            <w:r w:rsidRPr="009C1935">
              <w:rPr>
                <w:rFonts w:ascii="Arial" w:hAnsi="Arial" w:cs="Arial"/>
                <w:sz w:val="19"/>
                <w:szCs w:val="19"/>
                <w:lang w:val="en-GB"/>
              </w:rPr>
              <w:t>79.5</w:t>
            </w:r>
            <w:r w:rsidR="000363D1" w:rsidRPr="009C1935">
              <w:rPr>
                <w:rFonts w:ascii="Arial" w:hAnsi="Arial" w:cs="Arial"/>
                <w:sz w:val="19"/>
                <w:szCs w:val="19"/>
                <w:lang w:val="en-GB"/>
              </w:rPr>
              <w:t>0</w:t>
            </w:r>
          </w:p>
        </w:tc>
      </w:tr>
    </w:tbl>
    <w:p w14:paraId="76FC9674" w14:textId="77777777" w:rsidR="008E0E4E" w:rsidRPr="009C1935" w:rsidRDefault="008E0E4E" w:rsidP="008E0E4E">
      <w:pPr>
        <w:pStyle w:val="FootnoteText1"/>
        <w:rPr>
          <w:lang w:val="en-GB"/>
        </w:rPr>
      </w:pPr>
    </w:p>
    <w:p w14:paraId="2C6B289F" w14:textId="42915BF6" w:rsidR="0008572C" w:rsidRDefault="008E0E4E" w:rsidP="00A43549">
      <w:pPr>
        <w:pStyle w:val="FootnoteText1"/>
        <w:rPr>
          <w:spacing w:val="-2"/>
          <w:lang w:val="en-GB"/>
        </w:rPr>
      </w:pPr>
      <w:r w:rsidRPr="009C1935">
        <w:rPr>
          <w:spacing w:val="-2"/>
          <w:lang w:val="en-GB"/>
        </w:rPr>
        <w:t xml:space="preserve">Source: </w:t>
      </w:r>
      <w:r w:rsidR="000363D1" w:rsidRPr="009C1935">
        <w:rPr>
          <w:spacing w:val="-2"/>
          <w:lang w:val="en-GB"/>
        </w:rPr>
        <w:t xml:space="preserve">“Narayana </w:t>
      </w:r>
      <w:proofErr w:type="spellStart"/>
      <w:r w:rsidR="000363D1" w:rsidRPr="009C1935">
        <w:rPr>
          <w:spacing w:val="-2"/>
          <w:lang w:val="en-GB"/>
        </w:rPr>
        <w:t>Hrudayalaya</w:t>
      </w:r>
      <w:proofErr w:type="spellEnd"/>
      <w:r w:rsidR="000363D1" w:rsidRPr="009C1935">
        <w:rPr>
          <w:spacing w:val="-2"/>
          <w:lang w:val="en-GB"/>
        </w:rPr>
        <w:t xml:space="preserve">,” </w:t>
      </w:r>
      <w:r w:rsidRPr="009C1935">
        <w:rPr>
          <w:spacing w:val="-2"/>
          <w:lang w:val="en-GB"/>
        </w:rPr>
        <w:t>Moneycontrol.com</w:t>
      </w:r>
      <w:r w:rsidR="00871506" w:rsidRPr="009C1935">
        <w:rPr>
          <w:spacing w:val="-2"/>
          <w:lang w:val="en-GB"/>
        </w:rPr>
        <w:t>,</w:t>
      </w:r>
      <w:r w:rsidRPr="009C1935">
        <w:rPr>
          <w:spacing w:val="-2"/>
          <w:lang w:val="en-GB"/>
        </w:rPr>
        <w:t xml:space="preserve"> </w:t>
      </w:r>
      <w:r w:rsidR="007D1291" w:rsidRPr="009C1935">
        <w:rPr>
          <w:spacing w:val="-2"/>
          <w:lang w:val="en-GB"/>
        </w:rPr>
        <w:t xml:space="preserve">accessed </w:t>
      </w:r>
      <w:r w:rsidR="00F611B5" w:rsidRPr="009C1935">
        <w:rPr>
          <w:spacing w:val="-2"/>
          <w:lang w:val="en-GB"/>
        </w:rPr>
        <w:t>May</w:t>
      </w:r>
      <w:r w:rsidR="000D7C54" w:rsidRPr="009C1935">
        <w:rPr>
          <w:spacing w:val="-2"/>
          <w:lang w:val="en-GB"/>
        </w:rPr>
        <w:t xml:space="preserve"> 6, 2016</w:t>
      </w:r>
      <w:r w:rsidR="007D1291" w:rsidRPr="009C1935">
        <w:rPr>
          <w:spacing w:val="-2"/>
          <w:lang w:val="en-GB"/>
        </w:rPr>
        <w:t xml:space="preserve">, </w:t>
      </w:r>
      <w:r w:rsidR="0008572C" w:rsidRPr="0008572C">
        <w:rPr>
          <w:spacing w:val="-2"/>
          <w:lang w:val="en-GB"/>
        </w:rPr>
        <w:t>www.moneycontrol.com/competition/narayana</w:t>
      </w:r>
    </w:p>
    <w:p w14:paraId="5324D3FB" w14:textId="26022378" w:rsidR="00E943D6" w:rsidRPr="009C1935" w:rsidRDefault="008E0E4E" w:rsidP="00A43549">
      <w:pPr>
        <w:pStyle w:val="FootnoteText1"/>
        <w:rPr>
          <w:spacing w:val="-2"/>
          <w:lang w:val="en-GB"/>
        </w:rPr>
      </w:pPr>
      <w:proofErr w:type="spellStart"/>
      <w:proofErr w:type="gramStart"/>
      <w:r w:rsidRPr="009C1935">
        <w:rPr>
          <w:spacing w:val="-2"/>
          <w:lang w:val="en-GB"/>
        </w:rPr>
        <w:t>hrudayalaya</w:t>
      </w:r>
      <w:proofErr w:type="spellEnd"/>
      <w:r w:rsidRPr="009C1935">
        <w:rPr>
          <w:spacing w:val="-2"/>
          <w:lang w:val="en-GB"/>
        </w:rPr>
        <w:t>/comparison/NH#</w:t>
      </w:r>
      <w:proofErr w:type="gramEnd"/>
      <w:r w:rsidRPr="009C1935">
        <w:rPr>
          <w:spacing w:val="-2"/>
          <w:lang w:val="en-GB"/>
        </w:rPr>
        <w:t>NH</w:t>
      </w:r>
      <w:r w:rsidR="00871506" w:rsidRPr="009C1935">
        <w:rPr>
          <w:spacing w:val="-2"/>
          <w:lang w:val="en-GB"/>
        </w:rPr>
        <w:t>.</w:t>
      </w:r>
    </w:p>
    <w:p w14:paraId="46E51721" w14:textId="77777777" w:rsidR="008E0E4E" w:rsidRPr="009C1935" w:rsidRDefault="008E0E4E" w:rsidP="008E0E4E">
      <w:pPr>
        <w:pStyle w:val="Casehead1"/>
        <w:jc w:val="center"/>
        <w:rPr>
          <w:lang w:val="en-GB"/>
        </w:rPr>
      </w:pPr>
      <w:r w:rsidRPr="009C1935">
        <w:rPr>
          <w:lang w:val="en-GB"/>
        </w:rPr>
        <w:br w:type="page"/>
      </w:r>
      <w:r w:rsidRPr="009C1935">
        <w:rPr>
          <w:lang w:val="en-GB"/>
        </w:rPr>
        <w:lastRenderedPageBreak/>
        <w:t>EXHIBIT 3: INCOME STATEMENT OF COMPARABLE FIRMS OF HEALTHCARE INDUSTRY</w:t>
      </w:r>
    </w:p>
    <w:p w14:paraId="5DB529BF" w14:textId="77777777" w:rsidR="008E0E4E" w:rsidRPr="009C1935" w:rsidRDefault="00E45D0A" w:rsidP="008E0E4E">
      <w:pPr>
        <w:pStyle w:val="Casehead2"/>
        <w:jc w:val="center"/>
        <w:rPr>
          <w:lang w:val="en-GB"/>
        </w:rPr>
      </w:pPr>
      <w:proofErr w:type="gramStart"/>
      <w:r w:rsidRPr="009C1935">
        <w:rPr>
          <w:lang w:val="en-GB"/>
        </w:rPr>
        <w:t>as</w:t>
      </w:r>
      <w:proofErr w:type="gramEnd"/>
      <w:r w:rsidRPr="009C1935">
        <w:rPr>
          <w:lang w:val="en-GB"/>
        </w:rPr>
        <w:t xml:space="preserve"> </w:t>
      </w:r>
      <w:r w:rsidR="008E0E4E" w:rsidRPr="009C1935">
        <w:rPr>
          <w:lang w:val="en-GB"/>
        </w:rPr>
        <w:t xml:space="preserve">of March 31, 2015 (in </w:t>
      </w:r>
      <w:r w:rsidR="00CD0AE9" w:rsidRPr="009C1935">
        <w:rPr>
          <w:color w:val="222222"/>
          <w:shd w:val="clear" w:color="auto" w:fill="FFFFFF"/>
          <w:lang w:val="en-GB"/>
        </w:rPr>
        <w:t>₹</w:t>
      </w:r>
      <w:r w:rsidR="008E0E4E" w:rsidRPr="009C1935">
        <w:rPr>
          <w:lang w:val="en-GB"/>
        </w:rPr>
        <w:t xml:space="preserve"> millions)</w:t>
      </w:r>
    </w:p>
    <w:p w14:paraId="0A0F7FA6" w14:textId="77777777" w:rsidR="008E0E4E" w:rsidRPr="009C1935" w:rsidRDefault="008E0E4E" w:rsidP="008E0E4E">
      <w:pPr>
        <w:pStyle w:val="BodyTextMain"/>
        <w:rPr>
          <w:lang w:val="en-GB"/>
        </w:rPr>
      </w:pPr>
    </w:p>
    <w:tbl>
      <w:tblPr>
        <w:tblStyle w:val="TableGrid"/>
        <w:tblW w:w="48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2476"/>
        <w:gridCol w:w="2724"/>
      </w:tblGrid>
      <w:tr w:rsidR="008E0E4E" w:rsidRPr="009C1935" w14:paraId="6640C89F" w14:textId="77777777" w:rsidTr="00871506">
        <w:trPr>
          <w:trHeight w:val="144"/>
          <w:jc w:val="center"/>
        </w:trPr>
        <w:tc>
          <w:tcPr>
            <w:tcW w:w="2201" w:type="pct"/>
            <w:noWrap/>
            <w:vAlign w:val="center"/>
            <w:hideMark/>
          </w:tcPr>
          <w:p w14:paraId="0FA0AF11" w14:textId="77777777" w:rsidR="008E0E4E" w:rsidRPr="009C1935" w:rsidRDefault="008E0E4E" w:rsidP="00871506">
            <w:pPr>
              <w:jc w:val="center"/>
              <w:rPr>
                <w:rFonts w:ascii="Arial" w:hAnsi="Arial" w:cs="Arial"/>
                <w:b/>
                <w:bCs/>
                <w:lang w:val="en-GB"/>
              </w:rPr>
            </w:pPr>
          </w:p>
        </w:tc>
        <w:tc>
          <w:tcPr>
            <w:tcW w:w="1333" w:type="pct"/>
            <w:noWrap/>
            <w:vAlign w:val="center"/>
            <w:hideMark/>
          </w:tcPr>
          <w:p w14:paraId="2268D5A7" w14:textId="77777777" w:rsidR="008E0E4E" w:rsidRPr="009C1935" w:rsidRDefault="008E0E4E" w:rsidP="00871506">
            <w:pPr>
              <w:jc w:val="center"/>
              <w:rPr>
                <w:rFonts w:ascii="Arial" w:hAnsi="Arial" w:cs="Arial"/>
                <w:b/>
                <w:bCs/>
                <w:lang w:val="en-GB"/>
              </w:rPr>
            </w:pPr>
            <w:r w:rsidRPr="009C1935">
              <w:rPr>
                <w:rFonts w:ascii="Arial" w:hAnsi="Arial" w:cs="Arial"/>
                <w:b/>
                <w:bCs/>
                <w:lang w:val="en-GB"/>
              </w:rPr>
              <w:t>Apollo Hospital</w:t>
            </w:r>
          </w:p>
        </w:tc>
        <w:tc>
          <w:tcPr>
            <w:tcW w:w="1466" w:type="pct"/>
            <w:noWrap/>
            <w:vAlign w:val="center"/>
            <w:hideMark/>
          </w:tcPr>
          <w:p w14:paraId="2AD91D2B" w14:textId="77777777" w:rsidR="008E0E4E" w:rsidRPr="009C1935" w:rsidRDefault="008E0E4E" w:rsidP="00871506">
            <w:pPr>
              <w:jc w:val="center"/>
              <w:rPr>
                <w:rFonts w:ascii="Arial" w:hAnsi="Arial" w:cs="Arial"/>
                <w:b/>
                <w:bCs/>
                <w:lang w:val="en-GB"/>
              </w:rPr>
            </w:pPr>
            <w:r w:rsidRPr="009C1935">
              <w:rPr>
                <w:rFonts w:ascii="Arial" w:hAnsi="Arial" w:cs="Arial"/>
                <w:b/>
                <w:bCs/>
                <w:lang w:val="en-GB"/>
              </w:rPr>
              <w:t>Fortis Healthcare</w:t>
            </w:r>
          </w:p>
        </w:tc>
      </w:tr>
      <w:tr w:rsidR="008E0E4E" w:rsidRPr="009C1935" w14:paraId="733850BB" w14:textId="77777777" w:rsidTr="00871506">
        <w:trPr>
          <w:trHeight w:val="144"/>
          <w:jc w:val="center"/>
        </w:trPr>
        <w:tc>
          <w:tcPr>
            <w:tcW w:w="2201" w:type="pct"/>
            <w:noWrap/>
            <w:vAlign w:val="center"/>
            <w:hideMark/>
          </w:tcPr>
          <w:p w14:paraId="5E5D58F9" w14:textId="77777777" w:rsidR="008E0E4E" w:rsidRPr="009C1935" w:rsidRDefault="008E0E4E" w:rsidP="00871506">
            <w:pPr>
              <w:rPr>
                <w:rFonts w:ascii="Arial" w:hAnsi="Arial" w:cs="Arial"/>
                <w:b/>
                <w:bCs/>
                <w:lang w:val="en-GB"/>
              </w:rPr>
            </w:pPr>
            <w:r w:rsidRPr="009C1935">
              <w:rPr>
                <w:rFonts w:ascii="Arial" w:hAnsi="Arial" w:cs="Arial"/>
                <w:b/>
                <w:bCs/>
                <w:lang w:val="en-GB"/>
              </w:rPr>
              <w:t>Income</w:t>
            </w:r>
          </w:p>
        </w:tc>
        <w:tc>
          <w:tcPr>
            <w:tcW w:w="1333" w:type="pct"/>
            <w:noWrap/>
            <w:vAlign w:val="center"/>
            <w:hideMark/>
          </w:tcPr>
          <w:p w14:paraId="3E2B20CC" w14:textId="77777777" w:rsidR="008E0E4E" w:rsidRPr="009C1935" w:rsidRDefault="008E0E4E" w:rsidP="00871506">
            <w:pPr>
              <w:jc w:val="center"/>
              <w:rPr>
                <w:rFonts w:ascii="Arial" w:hAnsi="Arial" w:cs="Arial"/>
                <w:lang w:val="en-GB"/>
              </w:rPr>
            </w:pPr>
          </w:p>
        </w:tc>
        <w:tc>
          <w:tcPr>
            <w:tcW w:w="1466" w:type="pct"/>
            <w:noWrap/>
            <w:vAlign w:val="center"/>
            <w:hideMark/>
          </w:tcPr>
          <w:p w14:paraId="179611DF" w14:textId="77777777" w:rsidR="008E0E4E" w:rsidRPr="009C1935" w:rsidRDefault="008E0E4E" w:rsidP="00871506">
            <w:pPr>
              <w:jc w:val="center"/>
              <w:rPr>
                <w:rFonts w:ascii="Arial" w:hAnsi="Arial" w:cs="Arial"/>
                <w:lang w:val="en-GB"/>
              </w:rPr>
            </w:pPr>
          </w:p>
        </w:tc>
      </w:tr>
      <w:tr w:rsidR="008E0E4E" w:rsidRPr="009C1935" w14:paraId="0DC41E95" w14:textId="77777777" w:rsidTr="00871506">
        <w:trPr>
          <w:trHeight w:val="144"/>
          <w:jc w:val="center"/>
        </w:trPr>
        <w:tc>
          <w:tcPr>
            <w:tcW w:w="2201" w:type="pct"/>
            <w:noWrap/>
            <w:vAlign w:val="center"/>
            <w:hideMark/>
          </w:tcPr>
          <w:p w14:paraId="527E0307" w14:textId="77777777" w:rsidR="008E0E4E" w:rsidRPr="009C1935" w:rsidRDefault="008E0E4E" w:rsidP="00871506">
            <w:pPr>
              <w:rPr>
                <w:rFonts w:ascii="Arial" w:hAnsi="Arial" w:cs="Arial"/>
                <w:lang w:val="en-GB"/>
              </w:rPr>
            </w:pPr>
            <w:r w:rsidRPr="009C1935">
              <w:rPr>
                <w:rFonts w:ascii="Arial" w:hAnsi="Arial" w:cs="Arial"/>
                <w:lang w:val="en-GB"/>
              </w:rPr>
              <w:t>Sales</w:t>
            </w:r>
          </w:p>
        </w:tc>
        <w:tc>
          <w:tcPr>
            <w:tcW w:w="1333" w:type="pct"/>
            <w:noWrap/>
            <w:vAlign w:val="center"/>
            <w:hideMark/>
          </w:tcPr>
          <w:p w14:paraId="47470F5D"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45,927.9</w:t>
            </w:r>
          </w:p>
        </w:tc>
        <w:tc>
          <w:tcPr>
            <w:tcW w:w="1466" w:type="pct"/>
            <w:noWrap/>
            <w:vAlign w:val="center"/>
            <w:hideMark/>
          </w:tcPr>
          <w:p w14:paraId="0C254B3D"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6</w:t>
            </w:r>
            <w:r w:rsidR="00D25DF9" w:rsidRPr="009C1935">
              <w:rPr>
                <w:rFonts w:ascii="Arial" w:hAnsi="Arial" w:cs="Arial"/>
                <w:lang w:val="en-GB"/>
              </w:rPr>
              <w:t>,</w:t>
            </w:r>
            <w:r w:rsidRPr="009C1935">
              <w:rPr>
                <w:rFonts w:ascii="Arial" w:hAnsi="Arial" w:cs="Arial"/>
                <w:lang w:val="en-GB"/>
              </w:rPr>
              <w:t>106.4</w:t>
            </w:r>
          </w:p>
        </w:tc>
      </w:tr>
      <w:tr w:rsidR="008E0E4E" w:rsidRPr="009C1935" w14:paraId="6EFF8BE2" w14:textId="77777777" w:rsidTr="00871506">
        <w:trPr>
          <w:trHeight w:val="144"/>
          <w:jc w:val="center"/>
        </w:trPr>
        <w:tc>
          <w:tcPr>
            <w:tcW w:w="2201" w:type="pct"/>
            <w:noWrap/>
            <w:vAlign w:val="center"/>
            <w:hideMark/>
          </w:tcPr>
          <w:p w14:paraId="37D5EF2E" w14:textId="77777777" w:rsidR="008E0E4E" w:rsidRPr="009C1935" w:rsidRDefault="008E0E4E" w:rsidP="0026377A">
            <w:pPr>
              <w:rPr>
                <w:rFonts w:ascii="Arial" w:hAnsi="Arial" w:cs="Arial"/>
                <w:lang w:val="en-GB"/>
              </w:rPr>
            </w:pPr>
            <w:r w:rsidRPr="009C1935">
              <w:rPr>
                <w:rFonts w:ascii="Arial" w:hAnsi="Arial" w:cs="Arial"/>
                <w:lang w:val="en-GB"/>
              </w:rPr>
              <w:t xml:space="preserve">Other </w:t>
            </w:r>
            <w:r w:rsidR="0026377A" w:rsidRPr="009C1935">
              <w:rPr>
                <w:rFonts w:ascii="Arial" w:hAnsi="Arial" w:cs="Arial"/>
                <w:lang w:val="en-GB"/>
              </w:rPr>
              <w:t>income</w:t>
            </w:r>
            <w:r w:rsidR="00545292" w:rsidRPr="009C1935">
              <w:rPr>
                <w:rFonts w:ascii="Arial" w:hAnsi="Arial" w:cs="Arial"/>
                <w:lang w:val="en-GB"/>
              </w:rPr>
              <w:t xml:space="preserve"> &amp; stock adjustments</w:t>
            </w:r>
          </w:p>
        </w:tc>
        <w:tc>
          <w:tcPr>
            <w:tcW w:w="1333" w:type="pct"/>
            <w:noWrap/>
            <w:vAlign w:val="center"/>
            <w:hideMark/>
          </w:tcPr>
          <w:p w14:paraId="25458244"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305.8</w:t>
            </w:r>
          </w:p>
        </w:tc>
        <w:tc>
          <w:tcPr>
            <w:tcW w:w="1466" w:type="pct"/>
            <w:noWrap/>
            <w:vAlign w:val="center"/>
            <w:hideMark/>
          </w:tcPr>
          <w:p w14:paraId="76A33A46" w14:textId="72CE0B67" w:rsidR="008E0E4E" w:rsidRPr="009C1935" w:rsidRDefault="008E0E4E" w:rsidP="0037757F">
            <w:pPr>
              <w:ind w:right="462"/>
              <w:jc w:val="right"/>
              <w:rPr>
                <w:rFonts w:ascii="Arial" w:hAnsi="Arial" w:cs="Arial"/>
                <w:lang w:val="en-GB"/>
              </w:rPr>
            </w:pPr>
            <w:r w:rsidRPr="009C1935">
              <w:rPr>
                <w:rFonts w:ascii="Arial" w:hAnsi="Arial" w:cs="Arial"/>
                <w:lang w:val="en-GB"/>
              </w:rPr>
              <w:t>2</w:t>
            </w:r>
            <w:r w:rsidR="00D25DF9" w:rsidRPr="009C1935">
              <w:rPr>
                <w:rFonts w:ascii="Arial" w:hAnsi="Arial" w:cs="Arial"/>
                <w:lang w:val="en-GB"/>
              </w:rPr>
              <w:t>,</w:t>
            </w:r>
            <w:r w:rsidRPr="009C1935">
              <w:rPr>
                <w:rFonts w:ascii="Arial" w:hAnsi="Arial" w:cs="Arial"/>
                <w:lang w:val="en-GB"/>
              </w:rPr>
              <w:t>2</w:t>
            </w:r>
            <w:r w:rsidR="00545292" w:rsidRPr="009C1935">
              <w:rPr>
                <w:rFonts w:ascii="Arial" w:hAnsi="Arial" w:cs="Arial"/>
                <w:lang w:val="en-GB"/>
              </w:rPr>
              <w:t>18</w:t>
            </w:r>
            <w:r w:rsidRPr="009C1935">
              <w:rPr>
                <w:rFonts w:ascii="Arial" w:hAnsi="Arial" w:cs="Arial"/>
                <w:lang w:val="en-GB"/>
              </w:rPr>
              <w:t>.</w:t>
            </w:r>
            <w:r w:rsidR="00545292" w:rsidRPr="009C1935">
              <w:rPr>
                <w:rFonts w:ascii="Arial" w:hAnsi="Arial" w:cs="Arial"/>
                <w:lang w:val="en-GB"/>
              </w:rPr>
              <w:t>4</w:t>
            </w:r>
          </w:p>
        </w:tc>
      </w:tr>
      <w:tr w:rsidR="008E0E4E" w:rsidRPr="009C1935" w14:paraId="7298646F" w14:textId="77777777" w:rsidTr="00871506">
        <w:trPr>
          <w:trHeight w:val="144"/>
          <w:jc w:val="center"/>
        </w:trPr>
        <w:tc>
          <w:tcPr>
            <w:tcW w:w="2201" w:type="pct"/>
            <w:noWrap/>
            <w:vAlign w:val="center"/>
            <w:hideMark/>
          </w:tcPr>
          <w:p w14:paraId="757EFC4E" w14:textId="77777777" w:rsidR="008E0E4E" w:rsidRPr="009C1935" w:rsidRDefault="008E0E4E" w:rsidP="0026377A">
            <w:pPr>
              <w:rPr>
                <w:rFonts w:ascii="Arial" w:hAnsi="Arial" w:cs="Arial"/>
                <w:b/>
                <w:lang w:val="en-GB"/>
              </w:rPr>
            </w:pPr>
            <w:r w:rsidRPr="009C1935">
              <w:rPr>
                <w:rFonts w:ascii="Arial" w:hAnsi="Arial" w:cs="Arial"/>
                <w:b/>
                <w:lang w:val="en-GB"/>
              </w:rPr>
              <w:t xml:space="preserve">Total </w:t>
            </w:r>
            <w:r w:rsidR="0026377A" w:rsidRPr="009C1935">
              <w:rPr>
                <w:rFonts w:ascii="Arial" w:hAnsi="Arial" w:cs="Arial"/>
                <w:b/>
                <w:lang w:val="en-GB"/>
              </w:rPr>
              <w:t>income</w:t>
            </w:r>
          </w:p>
        </w:tc>
        <w:tc>
          <w:tcPr>
            <w:tcW w:w="1333" w:type="pct"/>
            <w:noWrap/>
            <w:vAlign w:val="center"/>
            <w:hideMark/>
          </w:tcPr>
          <w:p w14:paraId="23A2217E" w14:textId="77777777" w:rsidR="008E0E4E" w:rsidRPr="009C1935" w:rsidRDefault="008E0E4E" w:rsidP="0037757F">
            <w:pPr>
              <w:ind w:right="462"/>
              <w:jc w:val="right"/>
              <w:rPr>
                <w:rFonts w:ascii="Arial" w:hAnsi="Arial" w:cs="Arial"/>
                <w:b/>
                <w:lang w:val="en-GB"/>
              </w:rPr>
            </w:pPr>
            <w:r w:rsidRPr="009C1935">
              <w:rPr>
                <w:rFonts w:ascii="Arial" w:hAnsi="Arial" w:cs="Arial"/>
                <w:b/>
                <w:lang w:val="en-GB"/>
              </w:rPr>
              <w:t>46,233.7</w:t>
            </w:r>
          </w:p>
        </w:tc>
        <w:tc>
          <w:tcPr>
            <w:tcW w:w="1466" w:type="pct"/>
            <w:noWrap/>
            <w:vAlign w:val="center"/>
            <w:hideMark/>
          </w:tcPr>
          <w:p w14:paraId="1DEB9AA5" w14:textId="77777777" w:rsidR="008E0E4E" w:rsidRPr="009C1935" w:rsidRDefault="008E0E4E" w:rsidP="0037757F">
            <w:pPr>
              <w:ind w:right="462"/>
              <w:jc w:val="right"/>
              <w:rPr>
                <w:rFonts w:ascii="Arial" w:hAnsi="Arial" w:cs="Arial"/>
                <w:b/>
                <w:lang w:val="en-GB"/>
              </w:rPr>
            </w:pPr>
            <w:r w:rsidRPr="009C1935">
              <w:rPr>
                <w:rFonts w:ascii="Arial" w:hAnsi="Arial" w:cs="Arial"/>
                <w:b/>
                <w:lang w:val="en-GB"/>
              </w:rPr>
              <w:t>8</w:t>
            </w:r>
            <w:r w:rsidR="00D25DF9" w:rsidRPr="009C1935">
              <w:rPr>
                <w:rFonts w:ascii="Arial" w:hAnsi="Arial" w:cs="Arial"/>
                <w:b/>
                <w:lang w:val="en-GB"/>
              </w:rPr>
              <w:t>,</w:t>
            </w:r>
            <w:r w:rsidRPr="009C1935">
              <w:rPr>
                <w:rFonts w:ascii="Arial" w:hAnsi="Arial" w:cs="Arial"/>
                <w:b/>
                <w:lang w:val="en-GB"/>
              </w:rPr>
              <w:t>324.8</w:t>
            </w:r>
          </w:p>
        </w:tc>
      </w:tr>
      <w:tr w:rsidR="008E0E4E" w:rsidRPr="009C1935" w14:paraId="525D09AA" w14:textId="77777777" w:rsidTr="00871506">
        <w:trPr>
          <w:trHeight w:val="144"/>
          <w:jc w:val="center"/>
        </w:trPr>
        <w:tc>
          <w:tcPr>
            <w:tcW w:w="2201" w:type="pct"/>
            <w:noWrap/>
            <w:vAlign w:val="center"/>
            <w:hideMark/>
          </w:tcPr>
          <w:p w14:paraId="5B51F4E0" w14:textId="77777777" w:rsidR="008E0E4E" w:rsidRPr="009C1935" w:rsidRDefault="008E0E4E" w:rsidP="00871506">
            <w:pPr>
              <w:rPr>
                <w:rFonts w:ascii="Arial" w:hAnsi="Arial" w:cs="Arial"/>
                <w:b/>
                <w:bCs/>
                <w:lang w:val="en-GB"/>
              </w:rPr>
            </w:pPr>
            <w:r w:rsidRPr="009C1935">
              <w:rPr>
                <w:rFonts w:ascii="Arial" w:hAnsi="Arial" w:cs="Arial"/>
                <w:b/>
                <w:bCs/>
                <w:lang w:val="en-GB"/>
              </w:rPr>
              <w:t>Expenditure</w:t>
            </w:r>
          </w:p>
        </w:tc>
        <w:tc>
          <w:tcPr>
            <w:tcW w:w="1333" w:type="pct"/>
            <w:noWrap/>
            <w:vAlign w:val="center"/>
            <w:hideMark/>
          </w:tcPr>
          <w:p w14:paraId="722C2DA2" w14:textId="77777777" w:rsidR="008E0E4E" w:rsidRPr="009C1935" w:rsidRDefault="008E0E4E" w:rsidP="0037757F">
            <w:pPr>
              <w:ind w:right="462"/>
              <w:jc w:val="right"/>
              <w:rPr>
                <w:rFonts w:ascii="Arial" w:hAnsi="Arial" w:cs="Arial"/>
                <w:lang w:val="en-GB"/>
              </w:rPr>
            </w:pPr>
          </w:p>
        </w:tc>
        <w:tc>
          <w:tcPr>
            <w:tcW w:w="1466" w:type="pct"/>
            <w:noWrap/>
            <w:vAlign w:val="center"/>
            <w:hideMark/>
          </w:tcPr>
          <w:p w14:paraId="23DF8E26" w14:textId="77777777" w:rsidR="008E0E4E" w:rsidRPr="009C1935" w:rsidRDefault="008E0E4E" w:rsidP="0037757F">
            <w:pPr>
              <w:ind w:right="462"/>
              <w:jc w:val="right"/>
              <w:rPr>
                <w:rFonts w:ascii="Arial" w:hAnsi="Arial" w:cs="Arial"/>
                <w:lang w:val="en-GB"/>
              </w:rPr>
            </w:pPr>
          </w:p>
        </w:tc>
      </w:tr>
      <w:tr w:rsidR="008E0E4E" w:rsidRPr="009C1935" w14:paraId="0CF8F354" w14:textId="77777777" w:rsidTr="00871506">
        <w:trPr>
          <w:trHeight w:val="144"/>
          <w:jc w:val="center"/>
        </w:trPr>
        <w:tc>
          <w:tcPr>
            <w:tcW w:w="2201" w:type="pct"/>
            <w:noWrap/>
            <w:vAlign w:val="center"/>
            <w:hideMark/>
          </w:tcPr>
          <w:p w14:paraId="5648B1FF" w14:textId="77777777" w:rsidR="008E0E4E" w:rsidRPr="009C1935" w:rsidRDefault="008E0E4E" w:rsidP="0026377A">
            <w:pPr>
              <w:rPr>
                <w:rFonts w:ascii="Arial" w:hAnsi="Arial" w:cs="Arial"/>
                <w:lang w:val="en-GB"/>
              </w:rPr>
            </w:pPr>
            <w:r w:rsidRPr="009C1935">
              <w:rPr>
                <w:rFonts w:ascii="Arial" w:hAnsi="Arial" w:cs="Arial"/>
                <w:lang w:val="en-GB"/>
              </w:rPr>
              <w:t xml:space="preserve">Raw </w:t>
            </w:r>
            <w:r w:rsidR="0026377A" w:rsidRPr="009C1935">
              <w:rPr>
                <w:rFonts w:ascii="Arial" w:hAnsi="Arial" w:cs="Arial"/>
                <w:lang w:val="en-GB"/>
              </w:rPr>
              <w:t>materials</w:t>
            </w:r>
            <w:r w:rsidR="00545292" w:rsidRPr="009C1935">
              <w:rPr>
                <w:rFonts w:ascii="Arial" w:hAnsi="Arial" w:cs="Arial"/>
                <w:lang w:val="en-GB"/>
              </w:rPr>
              <w:t>, power &amp; fuel cost</w:t>
            </w:r>
          </w:p>
        </w:tc>
        <w:tc>
          <w:tcPr>
            <w:tcW w:w="1333" w:type="pct"/>
            <w:noWrap/>
            <w:vAlign w:val="center"/>
            <w:hideMark/>
          </w:tcPr>
          <w:p w14:paraId="3DE16B6A"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14,041.5</w:t>
            </w:r>
          </w:p>
        </w:tc>
        <w:tc>
          <w:tcPr>
            <w:tcW w:w="1466" w:type="pct"/>
            <w:noWrap/>
            <w:vAlign w:val="center"/>
            <w:hideMark/>
          </w:tcPr>
          <w:p w14:paraId="0BE28AF1" w14:textId="65986541" w:rsidR="008E0E4E" w:rsidRPr="009C1935" w:rsidRDefault="00545292" w:rsidP="0037757F">
            <w:pPr>
              <w:ind w:right="462"/>
              <w:jc w:val="right"/>
              <w:rPr>
                <w:rFonts w:ascii="Arial" w:hAnsi="Arial" w:cs="Arial"/>
                <w:lang w:val="en-GB"/>
              </w:rPr>
            </w:pPr>
            <w:r w:rsidRPr="009C1935">
              <w:rPr>
                <w:rFonts w:ascii="Arial" w:hAnsi="Arial" w:cs="Arial"/>
                <w:lang w:val="en-GB"/>
              </w:rPr>
              <w:t>119.4</w:t>
            </w:r>
          </w:p>
        </w:tc>
      </w:tr>
      <w:tr w:rsidR="008E0E4E" w:rsidRPr="009C1935" w14:paraId="5B8C1B04" w14:textId="77777777" w:rsidTr="00871506">
        <w:trPr>
          <w:trHeight w:val="144"/>
          <w:jc w:val="center"/>
        </w:trPr>
        <w:tc>
          <w:tcPr>
            <w:tcW w:w="2201" w:type="pct"/>
            <w:noWrap/>
            <w:vAlign w:val="center"/>
            <w:hideMark/>
          </w:tcPr>
          <w:p w14:paraId="49A9221C" w14:textId="77777777" w:rsidR="008E0E4E" w:rsidRPr="009C1935" w:rsidRDefault="008E0E4E" w:rsidP="0026377A">
            <w:pPr>
              <w:rPr>
                <w:rFonts w:ascii="Arial" w:hAnsi="Arial" w:cs="Arial"/>
                <w:lang w:val="en-GB"/>
              </w:rPr>
            </w:pPr>
            <w:r w:rsidRPr="009C1935">
              <w:rPr>
                <w:rFonts w:ascii="Arial" w:hAnsi="Arial" w:cs="Arial"/>
                <w:lang w:val="en-GB"/>
              </w:rPr>
              <w:t xml:space="preserve">Employee </w:t>
            </w:r>
            <w:r w:rsidR="0026377A" w:rsidRPr="009C1935">
              <w:rPr>
                <w:rFonts w:ascii="Arial" w:hAnsi="Arial" w:cs="Arial"/>
                <w:lang w:val="en-GB"/>
              </w:rPr>
              <w:t>cost</w:t>
            </w:r>
          </w:p>
        </w:tc>
        <w:tc>
          <w:tcPr>
            <w:tcW w:w="1333" w:type="pct"/>
            <w:noWrap/>
            <w:vAlign w:val="center"/>
            <w:hideMark/>
          </w:tcPr>
          <w:p w14:paraId="788E748B"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7</w:t>
            </w:r>
            <w:r w:rsidR="00062D1C" w:rsidRPr="009C1935">
              <w:rPr>
                <w:rFonts w:ascii="Arial" w:hAnsi="Arial" w:cs="Arial"/>
                <w:lang w:val="en-GB"/>
              </w:rPr>
              <w:t>,</w:t>
            </w:r>
            <w:r w:rsidRPr="009C1935">
              <w:rPr>
                <w:rFonts w:ascii="Arial" w:hAnsi="Arial" w:cs="Arial"/>
                <w:lang w:val="en-GB"/>
              </w:rPr>
              <w:t>209.6</w:t>
            </w:r>
          </w:p>
        </w:tc>
        <w:tc>
          <w:tcPr>
            <w:tcW w:w="1466" w:type="pct"/>
            <w:noWrap/>
            <w:vAlign w:val="center"/>
            <w:hideMark/>
          </w:tcPr>
          <w:p w14:paraId="0C19F9AD"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1</w:t>
            </w:r>
            <w:r w:rsidR="00D25DF9" w:rsidRPr="009C1935">
              <w:rPr>
                <w:rFonts w:ascii="Arial" w:hAnsi="Arial" w:cs="Arial"/>
                <w:lang w:val="en-GB"/>
              </w:rPr>
              <w:t>,</w:t>
            </w:r>
            <w:r w:rsidRPr="009C1935">
              <w:rPr>
                <w:rFonts w:ascii="Arial" w:hAnsi="Arial" w:cs="Arial"/>
                <w:lang w:val="en-GB"/>
              </w:rPr>
              <w:t>824.5</w:t>
            </w:r>
          </w:p>
        </w:tc>
      </w:tr>
      <w:tr w:rsidR="008E0E4E" w:rsidRPr="009C1935" w14:paraId="4DE60C81" w14:textId="77777777" w:rsidTr="00871506">
        <w:trPr>
          <w:trHeight w:val="144"/>
          <w:jc w:val="center"/>
        </w:trPr>
        <w:tc>
          <w:tcPr>
            <w:tcW w:w="2201" w:type="pct"/>
            <w:noWrap/>
            <w:vAlign w:val="center"/>
            <w:hideMark/>
          </w:tcPr>
          <w:p w14:paraId="28F558FF" w14:textId="77777777" w:rsidR="008E0E4E" w:rsidRPr="009C1935" w:rsidRDefault="008E0E4E" w:rsidP="0026377A">
            <w:pPr>
              <w:rPr>
                <w:rFonts w:ascii="Arial" w:hAnsi="Arial" w:cs="Arial"/>
                <w:lang w:val="en-GB"/>
              </w:rPr>
            </w:pPr>
            <w:r w:rsidRPr="009C1935">
              <w:rPr>
                <w:rFonts w:ascii="Arial" w:hAnsi="Arial" w:cs="Arial"/>
                <w:lang w:val="en-GB"/>
              </w:rPr>
              <w:t xml:space="preserve">Other </w:t>
            </w:r>
            <w:r w:rsidR="0026377A" w:rsidRPr="009C1935">
              <w:rPr>
                <w:rFonts w:ascii="Arial" w:hAnsi="Arial" w:cs="Arial"/>
                <w:lang w:val="en-GB"/>
              </w:rPr>
              <w:t>manufacturing expenses</w:t>
            </w:r>
          </w:p>
        </w:tc>
        <w:tc>
          <w:tcPr>
            <w:tcW w:w="1333" w:type="pct"/>
            <w:noWrap/>
            <w:vAlign w:val="center"/>
            <w:hideMark/>
          </w:tcPr>
          <w:p w14:paraId="676401BB"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10,690.8</w:t>
            </w:r>
          </w:p>
        </w:tc>
        <w:tc>
          <w:tcPr>
            <w:tcW w:w="1466" w:type="pct"/>
            <w:noWrap/>
            <w:vAlign w:val="center"/>
            <w:hideMark/>
          </w:tcPr>
          <w:p w14:paraId="02A34DA3"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1</w:t>
            </w:r>
            <w:r w:rsidR="00D25DF9" w:rsidRPr="009C1935">
              <w:rPr>
                <w:rFonts w:ascii="Arial" w:hAnsi="Arial" w:cs="Arial"/>
                <w:lang w:val="en-GB"/>
              </w:rPr>
              <w:t>,</w:t>
            </w:r>
            <w:r w:rsidRPr="009C1935">
              <w:rPr>
                <w:rFonts w:ascii="Arial" w:hAnsi="Arial" w:cs="Arial"/>
                <w:lang w:val="en-GB"/>
              </w:rPr>
              <w:t>485.8</w:t>
            </w:r>
          </w:p>
        </w:tc>
      </w:tr>
      <w:tr w:rsidR="008E0E4E" w:rsidRPr="009C1935" w14:paraId="24026AB2" w14:textId="77777777" w:rsidTr="00871506">
        <w:trPr>
          <w:trHeight w:val="144"/>
          <w:jc w:val="center"/>
        </w:trPr>
        <w:tc>
          <w:tcPr>
            <w:tcW w:w="2201" w:type="pct"/>
            <w:noWrap/>
            <w:vAlign w:val="center"/>
            <w:hideMark/>
          </w:tcPr>
          <w:p w14:paraId="0D7A83BD" w14:textId="77777777" w:rsidR="008E0E4E" w:rsidRPr="009C1935" w:rsidRDefault="008E0E4E" w:rsidP="0026377A">
            <w:pPr>
              <w:rPr>
                <w:rFonts w:ascii="Arial" w:hAnsi="Arial" w:cs="Arial"/>
                <w:lang w:val="en-GB"/>
              </w:rPr>
            </w:pPr>
            <w:r w:rsidRPr="009C1935">
              <w:rPr>
                <w:rFonts w:ascii="Arial" w:hAnsi="Arial" w:cs="Arial"/>
                <w:lang w:val="en-GB"/>
              </w:rPr>
              <w:t xml:space="preserve">Miscellaneous </w:t>
            </w:r>
            <w:r w:rsidR="0026377A" w:rsidRPr="009C1935">
              <w:rPr>
                <w:rFonts w:ascii="Arial" w:hAnsi="Arial" w:cs="Arial"/>
                <w:lang w:val="en-GB"/>
              </w:rPr>
              <w:t>expenses</w:t>
            </w:r>
          </w:p>
        </w:tc>
        <w:tc>
          <w:tcPr>
            <w:tcW w:w="1333" w:type="pct"/>
            <w:noWrap/>
            <w:vAlign w:val="center"/>
            <w:hideMark/>
          </w:tcPr>
          <w:p w14:paraId="301CB018" w14:textId="762E6CAA" w:rsidR="008E0E4E" w:rsidRPr="009C1935" w:rsidRDefault="008E0E4E" w:rsidP="0037757F">
            <w:pPr>
              <w:ind w:right="462"/>
              <w:jc w:val="right"/>
              <w:rPr>
                <w:rFonts w:ascii="Arial" w:hAnsi="Arial" w:cs="Arial"/>
                <w:lang w:val="en-GB"/>
              </w:rPr>
            </w:pPr>
            <w:r w:rsidRPr="009C1935">
              <w:rPr>
                <w:rFonts w:ascii="Arial" w:hAnsi="Arial" w:cs="Arial"/>
                <w:lang w:val="en-GB"/>
              </w:rPr>
              <w:t>7</w:t>
            </w:r>
            <w:r w:rsidR="00062D1C" w:rsidRPr="009C1935">
              <w:rPr>
                <w:rFonts w:ascii="Arial" w:hAnsi="Arial" w:cs="Arial"/>
                <w:lang w:val="en-GB"/>
              </w:rPr>
              <w:t>,</w:t>
            </w:r>
            <w:r w:rsidRPr="009C1935">
              <w:rPr>
                <w:rFonts w:ascii="Arial" w:hAnsi="Arial" w:cs="Arial"/>
                <w:lang w:val="en-GB"/>
              </w:rPr>
              <w:t>698</w:t>
            </w:r>
            <w:r w:rsidR="000363D1" w:rsidRPr="009C1935">
              <w:rPr>
                <w:rFonts w:ascii="Arial" w:hAnsi="Arial" w:cs="Arial"/>
                <w:lang w:val="en-GB"/>
              </w:rPr>
              <w:t>.0</w:t>
            </w:r>
          </w:p>
        </w:tc>
        <w:tc>
          <w:tcPr>
            <w:tcW w:w="1466" w:type="pct"/>
            <w:noWrap/>
            <w:vAlign w:val="center"/>
            <w:hideMark/>
          </w:tcPr>
          <w:p w14:paraId="579C58AB"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4</w:t>
            </w:r>
            <w:r w:rsidR="00D25DF9" w:rsidRPr="009C1935">
              <w:rPr>
                <w:rFonts w:ascii="Arial" w:hAnsi="Arial" w:cs="Arial"/>
                <w:lang w:val="en-GB"/>
              </w:rPr>
              <w:t>,</w:t>
            </w:r>
            <w:r w:rsidRPr="009C1935">
              <w:rPr>
                <w:rFonts w:ascii="Arial" w:hAnsi="Arial" w:cs="Arial"/>
                <w:lang w:val="en-GB"/>
              </w:rPr>
              <w:t>176.3</w:t>
            </w:r>
          </w:p>
        </w:tc>
      </w:tr>
      <w:tr w:rsidR="008E0E4E" w:rsidRPr="009C1935" w14:paraId="48FBB7D1" w14:textId="77777777" w:rsidTr="00871506">
        <w:trPr>
          <w:trHeight w:val="144"/>
          <w:jc w:val="center"/>
        </w:trPr>
        <w:tc>
          <w:tcPr>
            <w:tcW w:w="2201" w:type="pct"/>
            <w:noWrap/>
            <w:vAlign w:val="center"/>
            <w:hideMark/>
          </w:tcPr>
          <w:p w14:paraId="0BC3E896" w14:textId="77777777" w:rsidR="008E0E4E" w:rsidRPr="009C1935" w:rsidRDefault="008E0E4E" w:rsidP="0026377A">
            <w:pPr>
              <w:rPr>
                <w:rFonts w:ascii="Arial" w:hAnsi="Arial" w:cs="Arial"/>
                <w:b/>
                <w:bCs/>
                <w:lang w:val="en-GB"/>
              </w:rPr>
            </w:pPr>
            <w:r w:rsidRPr="009C1935">
              <w:rPr>
                <w:rFonts w:ascii="Arial" w:hAnsi="Arial" w:cs="Arial"/>
                <w:b/>
                <w:bCs/>
                <w:lang w:val="en-GB"/>
              </w:rPr>
              <w:t xml:space="preserve">Total </w:t>
            </w:r>
            <w:r w:rsidR="0026377A" w:rsidRPr="009C1935">
              <w:rPr>
                <w:rFonts w:ascii="Arial" w:hAnsi="Arial" w:cs="Arial"/>
                <w:b/>
                <w:bCs/>
                <w:lang w:val="en-GB"/>
              </w:rPr>
              <w:t>expenses</w:t>
            </w:r>
          </w:p>
        </w:tc>
        <w:tc>
          <w:tcPr>
            <w:tcW w:w="1333" w:type="pct"/>
            <w:noWrap/>
            <w:vAlign w:val="center"/>
            <w:hideMark/>
          </w:tcPr>
          <w:p w14:paraId="75BE85A0" w14:textId="77777777" w:rsidR="008E0E4E" w:rsidRPr="009C1935" w:rsidRDefault="008E0E4E" w:rsidP="0037757F">
            <w:pPr>
              <w:ind w:right="462"/>
              <w:jc w:val="right"/>
              <w:rPr>
                <w:rFonts w:ascii="Arial" w:hAnsi="Arial" w:cs="Arial"/>
                <w:b/>
                <w:bCs/>
                <w:lang w:val="en-GB"/>
              </w:rPr>
            </w:pPr>
            <w:r w:rsidRPr="009C1935">
              <w:rPr>
                <w:rFonts w:ascii="Arial" w:hAnsi="Arial" w:cs="Arial"/>
                <w:b/>
                <w:bCs/>
                <w:lang w:val="en-GB"/>
              </w:rPr>
              <w:t>39,639.9</w:t>
            </w:r>
          </w:p>
        </w:tc>
        <w:tc>
          <w:tcPr>
            <w:tcW w:w="1466" w:type="pct"/>
            <w:noWrap/>
            <w:vAlign w:val="center"/>
            <w:hideMark/>
          </w:tcPr>
          <w:p w14:paraId="291941BD" w14:textId="6E0BBAFA" w:rsidR="008E0E4E" w:rsidRPr="009C1935" w:rsidRDefault="008E0E4E" w:rsidP="0037757F">
            <w:pPr>
              <w:ind w:right="462"/>
              <w:jc w:val="right"/>
              <w:rPr>
                <w:rFonts w:ascii="Arial" w:hAnsi="Arial" w:cs="Arial"/>
                <w:b/>
                <w:bCs/>
                <w:lang w:val="en-GB"/>
              </w:rPr>
            </w:pPr>
            <w:r w:rsidRPr="009C1935">
              <w:rPr>
                <w:rFonts w:ascii="Arial" w:hAnsi="Arial" w:cs="Arial"/>
                <w:b/>
                <w:bCs/>
                <w:lang w:val="en-GB"/>
              </w:rPr>
              <w:t>7</w:t>
            </w:r>
            <w:r w:rsidR="00D25DF9" w:rsidRPr="009C1935">
              <w:rPr>
                <w:rFonts w:ascii="Arial" w:hAnsi="Arial" w:cs="Arial"/>
                <w:b/>
                <w:bCs/>
                <w:lang w:val="en-GB"/>
              </w:rPr>
              <w:t>,</w:t>
            </w:r>
            <w:r w:rsidRPr="009C1935">
              <w:rPr>
                <w:rFonts w:ascii="Arial" w:hAnsi="Arial" w:cs="Arial"/>
                <w:b/>
                <w:bCs/>
                <w:lang w:val="en-GB"/>
              </w:rPr>
              <w:t>606</w:t>
            </w:r>
            <w:r w:rsidR="000363D1" w:rsidRPr="009C1935">
              <w:rPr>
                <w:rFonts w:ascii="Arial" w:hAnsi="Arial" w:cs="Arial"/>
                <w:b/>
                <w:bCs/>
                <w:lang w:val="en-GB"/>
              </w:rPr>
              <w:t>.0</w:t>
            </w:r>
          </w:p>
        </w:tc>
      </w:tr>
      <w:tr w:rsidR="008E0E4E" w:rsidRPr="009C1935" w14:paraId="57B2A4FC" w14:textId="77777777" w:rsidTr="00871506">
        <w:trPr>
          <w:trHeight w:val="144"/>
          <w:jc w:val="center"/>
        </w:trPr>
        <w:tc>
          <w:tcPr>
            <w:tcW w:w="2201" w:type="pct"/>
            <w:noWrap/>
            <w:vAlign w:val="center"/>
            <w:hideMark/>
          </w:tcPr>
          <w:p w14:paraId="7BC7A3B0" w14:textId="77777777" w:rsidR="008E0E4E" w:rsidRPr="009C1935" w:rsidRDefault="008E0E4E" w:rsidP="00871506">
            <w:pPr>
              <w:rPr>
                <w:rFonts w:ascii="Arial" w:hAnsi="Arial" w:cs="Arial"/>
                <w:lang w:val="en-GB"/>
              </w:rPr>
            </w:pPr>
            <w:r w:rsidRPr="009C1935">
              <w:rPr>
                <w:rFonts w:ascii="Arial" w:hAnsi="Arial" w:cs="Arial"/>
                <w:lang w:val="en-GB"/>
              </w:rPr>
              <w:t>PBDIT</w:t>
            </w:r>
          </w:p>
        </w:tc>
        <w:tc>
          <w:tcPr>
            <w:tcW w:w="1333" w:type="pct"/>
            <w:noWrap/>
            <w:vAlign w:val="center"/>
            <w:hideMark/>
          </w:tcPr>
          <w:p w14:paraId="34DFA42E"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6</w:t>
            </w:r>
            <w:r w:rsidR="005F4987" w:rsidRPr="009C1935">
              <w:rPr>
                <w:rFonts w:ascii="Arial" w:hAnsi="Arial" w:cs="Arial"/>
                <w:lang w:val="en-GB"/>
              </w:rPr>
              <w:t>,</w:t>
            </w:r>
            <w:r w:rsidRPr="009C1935">
              <w:rPr>
                <w:rFonts w:ascii="Arial" w:hAnsi="Arial" w:cs="Arial"/>
                <w:lang w:val="en-GB"/>
              </w:rPr>
              <w:t>593.8</w:t>
            </w:r>
          </w:p>
        </w:tc>
        <w:tc>
          <w:tcPr>
            <w:tcW w:w="1466" w:type="pct"/>
            <w:noWrap/>
            <w:vAlign w:val="center"/>
            <w:hideMark/>
          </w:tcPr>
          <w:p w14:paraId="02AA3B54"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718.8</w:t>
            </w:r>
          </w:p>
        </w:tc>
      </w:tr>
      <w:tr w:rsidR="008E0E4E" w:rsidRPr="009C1935" w14:paraId="651EC4D8" w14:textId="77777777" w:rsidTr="00871506">
        <w:trPr>
          <w:trHeight w:val="144"/>
          <w:jc w:val="center"/>
        </w:trPr>
        <w:tc>
          <w:tcPr>
            <w:tcW w:w="2201" w:type="pct"/>
            <w:noWrap/>
            <w:vAlign w:val="center"/>
            <w:hideMark/>
          </w:tcPr>
          <w:p w14:paraId="7B703C79" w14:textId="77777777" w:rsidR="008E0E4E" w:rsidRPr="009C1935" w:rsidRDefault="008E0E4E" w:rsidP="00871506">
            <w:pPr>
              <w:rPr>
                <w:rFonts w:ascii="Arial" w:hAnsi="Arial" w:cs="Arial"/>
                <w:lang w:val="en-GB"/>
              </w:rPr>
            </w:pPr>
            <w:r w:rsidRPr="009C1935">
              <w:rPr>
                <w:rFonts w:ascii="Arial" w:hAnsi="Arial" w:cs="Arial"/>
                <w:lang w:val="en-GB"/>
              </w:rPr>
              <w:t>Interest</w:t>
            </w:r>
          </w:p>
        </w:tc>
        <w:tc>
          <w:tcPr>
            <w:tcW w:w="1333" w:type="pct"/>
            <w:noWrap/>
            <w:vAlign w:val="center"/>
            <w:hideMark/>
          </w:tcPr>
          <w:p w14:paraId="1BCCF881"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832.9</w:t>
            </w:r>
          </w:p>
        </w:tc>
        <w:tc>
          <w:tcPr>
            <w:tcW w:w="1466" w:type="pct"/>
            <w:noWrap/>
            <w:vAlign w:val="center"/>
            <w:hideMark/>
          </w:tcPr>
          <w:p w14:paraId="21661ACC"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806.3</w:t>
            </w:r>
          </w:p>
        </w:tc>
      </w:tr>
      <w:tr w:rsidR="008E0E4E" w:rsidRPr="009C1935" w14:paraId="6D3A7278" w14:textId="77777777" w:rsidTr="00871506">
        <w:trPr>
          <w:trHeight w:val="144"/>
          <w:jc w:val="center"/>
        </w:trPr>
        <w:tc>
          <w:tcPr>
            <w:tcW w:w="2201" w:type="pct"/>
            <w:noWrap/>
            <w:vAlign w:val="center"/>
            <w:hideMark/>
          </w:tcPr>
          <w:p w14:paraId="68729045" w14:textId="77777777" w:rsidR="008E0E4E" w:rsidRPr="009C1935" w:rsidRDefault="008E0E4E" w:rsidP="00871506">
            <w:pPr>
              <w:rPr>
                <w:rFonts w:ascii="Arial" w:hAnsi="Arial" w:cs="Arial"/>
                <w:lang w:val="en-GB"/>
              </w:rPr>
            </w:pPr>
            <w:r w:rsidRPr="009C1935">
              <w:rPr>
                <w:rFonts w:ascii="Arial" w:hAnsi="Arial" w:cs="Arial"/>
                <w:lang w:val="en-GB"/>
              </w:rPr>
              <w:t>PBDT</w:t>
            </w:r>
          </w:p>
        </w:tc>
        <w:tc>
          <w:tcPr>
            <w:tcW w:w="1333" w:type="pct"/>
            <w:noWrap/>
            <w:vAlign w:val="center"/>
            <w:hideMark/>
          </w:tcPr>
          <w:p w14:paraId="0E15A64C"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5</w:t>
            </w:r>
            <w:r w:rsidR="005F4987" w:rsidRPr="009C1935">
              <w:rPr>
                <w:rFonts w:ascii="Arial" w:hAnsi="Arial" w:cs="Arial"/>
                <w:lang w:val="en-GB"/>
              </w:rPr>
              <w:t>,</w:t>
            </w:r>
            <w:r w:rsidRPr="009C1935">
              <w:rPr>
                <w:rFonts w:ascii="Arial" w:hAnsi="Arial" w:cs="Arial"/>
                <w:lang w:val="en-GB"/>
              </w:rPr>
              <w:t>760.9</w:t>
            </w:r>
          </w:p>
        </w:tc>
        <w:tc>
          <w:tcPr>
            <w:tcW w:w="1466" w:type="pct"/>
            <w:noWrap/>
            <w:vAlign w:val="center"/>
            <w:hideMark/>
          </w:tcPr>
          <w:p w14:paraId="6F99756B" w14:textId="77777777" w:rsidR="008E0E4E" w:rsidRPr="009C1935" w:rsidRDefault="00062D1C" w:rsidP="0037757F">
            <w:pPr>
              <w:ind w:right="462"/>
              <w:jc w:val="right"/>
              <w:rPr>
                <w:rFonts w:ascii="Arial" w:hAnsi="Arial" w:cs="Arial"/>
                <w:lang w:val="en-GB"/>
              </w:rPr>
            </w:pPr>
            <w:r w:rsidRPr="009C1935">
              <w:rPr>
                <w:rFonts w:ascii="Arial" w:hAnsi="Arial" w:cs="Arial"/>
                <w:lang w:val="en-GB"/>
              </w:rPr>
              <w:t>−</w:t>
            </w:r>
            <w:r w:rsidR="008E0E4E" w:rsidRPr="009C1935">
              <w:rPr>
                <w:rFonts w:ascii="Arial" w:hAnsi="Arial" w:cs="Arial"/>
                <w:lang w:val="en-GB"/>
              </w:rPr>
              <w:t>87.5</w:t>
            </w:r>
          </w:p>
        </w:tc>
      </w:tr>
      <w:tr w:rsidR="008E0E4E" w:rsidRPr="009C1935" w14:paraId="34ECF5BE" w14:textId="77777777" w:rsidTr="00871506">
        <w:trPr>
          <w:trHeight w:val="144"/>
          <w:jc w:val="center"/>
        </w:trPr>
        <w:tc>
          <w:tcPr>
            <w:tcW w:w="2201" w:type="pct"/>
            <w:noWrap/>
            <w:vAlign w:val="center"/>
            <w:hideMark/>
          </w:tcPr>
          <w:p w14:paraId="7646554F" w14:textId="77777777" w:rsidR="008E0E4E" w:rsidRPr="009C1935" w:rsidRDefault="008E0E4E" w:rsidP="00871506">
            <w:pPr>
              <w:rPr>
                <w:rFonts w:ascii="Arial" w:hAnsi="Arial" w:cs="Arial"/>
                <w:lang w:val="en-GB"/>
              </w:rPr>
            </w:pPr>
            <w:r w:rsidRPr="009C1935">
              <w:rPr>
                <w:rFonts w:ascii="Arial" w:hAnsi="Arial" w:cs="Arial"/>
                <w:lang w:val="en-GB"/>
              </w:rPr>
              <w:t>Depreciation</w:t>
            </w:r>
          </w:p>
        </w:tc>
        <w:tc>
          <w:tcPr>
            <w:tcW w:w="1333" w:type="pct"/>
            <w:noWrap/>
            <w:vAlign w:val="center"/>
            <w:hideMark/>
          </w:tcPr>
          <w:p w14:paraId="0343B150"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1</w:t>
            </w:r>
            <w:r w:rsidR="005F4987" w:rsidRPr="009C1935">
              <w:rPr>
                <w:rFonts w:ascii="Arial" w:hAnsi="Arial" w:cs="Arial"/>
                <w:lang w:val="en-GB"/>
              </w:rPr>
              <w:t>,</w:t>
            </w:r>
            <w:r w:rsidRPr="009C1935">
              <w:rPr>
                <w:rFonts w:ascii="Arial" w:hAnsi="Arial" w:cs="Arial"/>
                <w:lang w:val="en-GB"/>
              </w:rPr>
              <w:t>580.4</w:t>
            </w:r>
          </w:p>
        </w:tc>
        <w:tc>
          <w:tcPr>
            <w:tcW w:w="1466" w:type="pct"/>
            <w:noWrap/>
            <w:vAlign w:val="center"/>
            <w:hideMark/>
          </w:tcPr>
          <w:p w14:paraId="56F5F60B"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271.3</w:t>
            </w:r>
          </w:p>
        </w:tc>
      </w:tr>
      <w:tr w:rsidR="008E0E4E" w:rsidRPr="009C1935" w14:paraId="0FA71CD6" w14:textId="77777777" w:rsidTr="00871506">
        <w:trPr>
          <w:trHeight w:val="144"/>
          <w:jc w:val="center"/>
        </w:trPr>
        <w:tc>
          <w:tcPr>
            <w:tcW w:w="2201" w:type="pct"/>
            <w:noWrap/>
            <w:vAlign w:val="center"/>
            <w:hideMark/>
          </w:tcPr>
          <w:p w14:paraId="019C3A2B" w14:textId="77777777" w:rsidR="008E0E4E" w:rsidRPr="009C1935" w:rsidRDefault="008E0E4E" w:rsidP="0026377A">
            <w:pPr>
              <w:rPr>
                <w:rFonts w:ascii="Arial" w:hAnsi="Arial" w:cs="Arial"/>
                <w:lang w:val="en-GB"/>
              </w:rPr>
            </w:pPr>
            <w:r w:rsidRPr="009C1935">
              <w:rPr>
                <w:rFonts w:ascii="Arial" w:hAnsi="Arial" w:cs="Arial"/>
                <w:lang w:val="en-GB"/>
              </w:rPr>
              <w:t xml:space="preserve">Profit </w:t>
            </w:r>
            <w:r w:rsidR="0026377A" w:rsidRPr="009C1935">
              <w:rPr>
                <w:rFonts w:ascii="Arial" w:hAnsi="Arial" w:cs="Arial"/>
                <w:lang w:val="en-GB"/>
              </w:rPr>
              <w:t>before tax</w:t>
            </w:r>
          </w:p>
        </w:tc>
        <w:tc>
          <w:tcPr>
            <w:tcW w:w="1333" w:type="pct"/>
            <w:noWrap/>
            <w:vAlign w:val="center"/>
            <w:hideMark/>
          </w:tcPr>
          <w:p w14:paraId="61702350"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4</w:t>
            </w:r>
            <w:r w:rsidR="005F4987" w:rsidRPr="009C1935">
              <w:rPr>
                <w:rFonts w:ascii="Arial" w:hAnsi="Arial" w:cs="Arial"/>
                <w:lang w:val="en-GB"/>
              </w:rPr>
              <w:t>,</w:t>
            </w:r>
            <w:r w:rsidRPr="009C1935">
              <w:rPr>
                <w:rFonts w:ascii="Arial" w:hAnsi="Arial" w:cs="Arial"/>
                <w:lang w:val="en-GB"/>
              </w:rPr>
              <w:t>180.5</w:t>
            </w:r>
          </w:p>
        </w:tc>
        <w:tc>
          <w:tcPr>
            <w:tcW w:w="1466" w:type="pct"/>
            <w:noWrap/>
            <w:vAlign w:val="center"/>
            <w:hideMark/>
          </w:tcPr>
          <w:p w14:paraId="2607ADE6" w14:textId="77777777" w:rsidR="008E0E4E" w:rsidRPr="009C1935" w:rsidRDefault="00062D1C" w:rsidP="0037757F">
            <w:pPr>
              <w:ind w:right="462"/>
              <w:jc w:val="right"/>
              <w:rPr>
                <w:rFonts w:ascii="Arial" w:hAnsi="Arial" w:cs="Arial"/>
                <w:lang w:val="en-GB"/>
              </w:rPr>
            </w:pPr>
            <w:r w:rsidRPr="009C1935">
              <w:rPr>
                <w:rFonts w:ascii="Arial" w:hAnsi="Arial" w:cs="Arial"/>
                <w:lang w:val="en-GB"/>
              </w:rPr>
              <w:t>−</w:t>
            </w:r>
            <w:r w:rsidR="008E0E4E" w:rsidRPr="009C1935">
              <w:rPr>
                <w:rFonts w:ascii="Arial" w:hAnsi="Arial" w:cs="Arial"/>
                <w:lang w:val="en-GB"/>
              </w:rPr>
              <w:t>358.8</w:t>
            </w:r>
          </w:p>
        </w:tc>
      </w:tr>
      <w:tr w:rsidR="008E0E4E" w:rsidRPr="009C1935" w14:paraId="7EA6966D" w14:textId="77777777" w:rsidTr="00871506">
        <w:trPr>
          <w:trHeight w:val="144"/>
          <w:jc w:val="center"/>
        </w:trPr>
        <w:tc>
          <w:tcPr>
            <w:tcW w:w="2201" w:type="pct"/>
            <w:noWrap/>
            <w:vAlign w:val="center"/>
            <w:hideMark/>
          </w:tcPr>
          <w:p w14:paraId="63991271" w14:textId="77777777" w:rsidR="008E0E4E" w:rsidRPr="009C1935" w:rsidRDefault="008E0E4E" w:rsidP="00871506">
            <w:pPr>
              <w:rPr>
                <w:rFonts w:ascii="Arial" w:hAnsi="Arial" w:cs="Arial"/>
                <w:lang w:val="en-GB"/>
              </w:rPr>
            </w:pPr>
            <w:r w:rsidRPr="009C1935">
              <w:rPr>
                <w:rFonts w:ascii="Arial" w:hAnsi="Arial" w:cs="Arial"/>
                <w:lang w:val="en-GB"/>
              </w:rPr>
              <w:t>Tax</w:t>
            </w:r>
          </w:p>
        </w:tc>
        <w:tc>
          <w:tcPr>
            <w:tcW w:w="1333" w:type="pct"/>
            <w:noWrap/>
            <w:vAlign w:val="center"/>
            <w:hideMark/>
          </w:tcPr>
          <w:p w14:paraId="0265603B" w14:textId="77777777" w:rsidR="008E0E4E" w:rsidRPr="009C1935" w:rsidRDefault="008E0E4E" w:rsidP="0037757F">
            <w:pPr>
              <w:ind w:right="462"/>
              <w:jc w:val="right"/>
              <w:rPr>
                <w:rFonts w:ascii="Arial" w:hAnsi="Arial" w:cs="Arial"/>
                <w:lang w:val="en-GB"/>
              </w:rPr>
            </w:pPr>
            <w:r w:rsidRPr="009C1935">
              <w:rPr>
                <w:rFonts w:ascii="Arial" w:hAnsi="Arial" w:cs="Arial"/>
                <w:lang w:val="en-GB"/>
              </w:rPr>
              <w:t>1</w:t>
            </w:r>
            <w:r w:rsidR="005F4987" w:rsidRPr="009C1935">
              <w:rPr>
                <w:rFonts w:ascii="Arial" w:hAnsi="Arial" w:cs="Arial"/>
                <w:lang w:val="en-GB"/>
              </w:rPr>
              <w:t>,</w:t>
            </w:r>
            <w:r w:rsidRPr="009C1935">
              <w:rPr>
                <w:rFonts w:ascii="Arial" w:hAnsi="Arial" w:cs="Arial"/>
                <w:lang w:val="en-GB"/>
              </w:rPr>
              <w:t>207.3</w:t>
            </w:r>
          </w:p>
        </w:tc>
        <w:tc>
          <w:tcPr>
            <w:tcW w:w="1466" w:type="pct"/>
            <w:noWrap/>
            <w:vAlign w:val="center"/>
            <w:hideMark/>
          </w:tcPr>
          <w:p w14:paraId="06296F7C" w14:textId="77777777" w:rsidR="008E0E4E" w:rsidRPr="009C1935" w:rsidRDefault="00062D1C" w:rsidP="0037757F">
            <w:pPr>
              <w:ind w:right="462"/>
              <w:jc w:val="right"/>
              <w:rPr>
                <w:rFonts w:ascii="Arial" w:hAnsi="Arial" w:cs="Arial"/>
                <w:lang w:val="en-GB"/>
              </w:rPr>
            </w:pPr>
            <w:r w:rsidRPr="009C1935">
              <w:rPr>
                <w:rFonts w:ascii="Arial" w:hAnsi="Arial" w:cs="Arial"/>
                <w:lang w:val="en-GB"/>
              </w:rPr>
              <w:t>−</w:t>
            </w:r>
            <w:r w:rsidR="008E0E4E" w:rsidRPr="009C1935">
              <w:rPr>
                <w:rFonts w:ascii="Arial" w:hAnsi="Arial" w:cs="Arial"/>
                <w:lang w:val="en-GB"/>
              </w:rPr>
              <w:t>19.7</w:t>
            </w:r>
          </w:p>
        </w:tc>
      </w:tr>
      <w:tr w:rsidR="008E0E4E" w:rsidRPr="009C1935" w14:paraId="78F9A268" w14:textId="77777777" w:rsidTr="00871506">
        <w:trPr>
          <w:trHeight w:val="144"/>
          <w:jc w:val="center"/>
        </w:trPr>
        <w:tc>
          <w:tcPr>
            <w:tcW w:w="2201" w:type="pct"/>
            <w:noWrap/>
            <w:vAlign w:val="center"/>
            <w:hideMark/>
          </w:tcPr>
          <w:p w14:paraId="57E5D523" w14:textId="6F6E1661" w:rsidR="008E0E4E" w:rsidRPr="009C1935" w:rsidRDefault="00545292" w:rsidP="0026377A">
            <w:pPr>
              <w:rPr>
                <w:rFonts w:ascii="Arial" w:hAnsi="Arial" w:cs="Arial"/>
                <w:b/>
                <w:bCs/>
                <w:lang w:val="en-GB"/>
              </w:rPr>
            </w:pPr>
            <w:r w:rsidRPr="009C1935">
              <w:rPr>
                <w:rFonts w:ascii="Arial" w:hAnsi="Arial" w:cs="Arial"/>
                <w:b/>
                <w:bCs/>
                <w:lang w:val="en-GB"/>
              </w:rPr>
              <w:t>N</w:t>
            </w:r>
            <w:r w:rsidR="0026377A" w:rsidRPr="009C1935">
              <w:rPr>
                <w:rFonts w:ascii="Arial" w:hAnsi="Arial" w:cs="Arial"/>
                <w:b/>
                <w:bCs/>
                <w:lang w:val="en-GB"/>
              </w:rPr>
              <w:t>et profit</w:t>
            </w:r>
          </w:p>
        </w:tc>
        <w:tc>
          <w:tcPr>
            <w:tcW w:w="1333" w:type="pct"/>
            <w:noWrap/>
            <w:vAlign w:val="center"/>
            <w:hideMark/>
          </w:tcPr>
          <w:p w14:paraId="272E92E2" w14:textId="280C2D31" w:rsidR="008E0E4E" w:rsidRPr="009C1935" w:rsidRDefault="008E0E4E" w:rsidP="0037757F">
            <w:pPr>
              <w:ind w:right="462"/>
              <w:jc w:val="right"/>
              <w:rPr>
                <w:rFonts w:ascii="Arial" w:hAnsi="Arial" w:cs="Arial"/>
                <w:b/>
                <w:bCs/>
                <w:lang w:val="en-GB"/>
              </w:rPr>
            </w:pPr>
            <w:r w:rsidRPr="009C1935">
              <w:rPr>
                <w:rFonts w:ascii="Arial" w:hAnsi="Arial" w:cs="Arial"/>
                <w:b/>
                <w:bCs/>
                <w:lang w:val="en-GB"/>
              </w:rPr>
              <w:t>3</w:t>
            </w:r>
            <w:r w:rsidR="005F4987" w:rsidRPr="009C1935">
              <w:rPr>
                <w:rFonts w:ascii="Arial" w:hAnsi="Arial" w:cs="Arial"/>
                <w:b/>
                <w:bCs/>
                <w:lang w:val="en-GB"/>
              </w:rPr>
              <w:t>,</w:t>
            </w:r>
            <w:r w:rsidRPr="009C1935">
              <w:rPr>
                <w:rFonts w:ascii="Arial" w:hAnsi="Arial" w:cs="Arial"/>
                <w:b/>
                <w:bCs/>
                <w:lang w:val="en-GB"/>
              </w:rPr>
              <w:t>466</w:t>
            </w:r>
            <w:r w:rsidR="000363D1" w:rsidRPr="009C1935">
              <w:rPr>
                <w:rFonts w:ascii="Arial" w:hAnsi="Arial" w:cs="Arial"/>
                <w:b/>
                <w:bCs/>
                <w:lang w:val="en-GB"/>
              </w:rPr>
              <w:t>.0</w:t>
            </w:r>
          </w:p>
        </w:tc>
        <w:tc>
          <w:tcPr>
            <w:tcW w:w="1466" w:type="pct"/>
            <w:noWrap/>
            <w:vAlign w:val="center"/>
            <w:hideMark/>
          </w:tcPr>
          <w:p w14:paraId="40C5A28C" w14:textId="77777777" w:rsidR="008E0E4E" w:rsidRPr="009C1935" w:rsidRDefault="00062D1C" w:rsidP="0037757F">
            <w:pPr>
              <w:ind w:right="462"/>
              <w:jc w:val="right"/>
              <w:rPr>
                <w:rFonts w:ascii="Arial" w:hAnsi="Arial" w:cs="Arial"/>
                <w:b/>
                <w:bCs/>
                <w:lang w:val="en-GB"/>
              </w:rPr>
            </w:pPr>
            <w:r w:rsidRPr="009C1935">
              <w:rPr>
                <w:rFonts w:ascii="Arial" w:hAnsi="Arial" w:cs="Arial"/>
                <w:b/>
                <w:lang w:val="en-GB"/>
              </w:rPr>
              <w:t>−</w:t>
            </w:r>
            <w:r w:rsidR="008E0E4E" w:rsidRPr="009C1935">
              <w:rPr>
                <w:rFonts w:ascii="Arial" w:hAnsi="Arial" w:cs="Arial"/>
                <w:b/>
                <w:bCs/>
                <w:lang w:val="en-GB"/>
              </w:rPr>
              <w:t>339.1</w:t>
            </w:r>
          </w:p>
        </w:tc>
      </w:tr>
    </w:tbl>
    <w:p w14:paraId="1F55DC92" w14:textId="77777777" w:rsidR="00871506" w:rsidRPr="009C1935" w:rsidRDefault="00871506" w:rsidP="008E0E4E">
      <w:pPr>
        <w:pStyle w:val="FootnoteText1"/>
        <w:rPr>
          <w:lang w:val="en-GB"/>
        </w:rPr>
      </w:pPr>
    </w:p>
    <w:p w14:paraId="3BFB9652" w14:textId="2237AC33" w:rsidR="00062D1C" w:rsidRPr="009C1935" w:rsidRDefault="00062D1C" w:rsidP="008E0E4E">
      <w:pPr>
        <w:pStyle w:val="FootnoteText1"/>
        <w:rPr>
          <w:lang w:val="en-GB"/>
        </w:rPr>
      </w:pPr>
      <w:r w:rsidRPr="009C1935">
        <w:rPr>
          <w:lang w:val="en-GB"/>
        </w:rPr>
        <w:t xml:space="preserve">Note: PBDIT = </w:t>
      </w:r>
      <w:r w:rsidR="0008572C">
        <w:rPr>
          <w:lang w:val="en-GB"/>
        </w:rPr>
        <w:t>p</w:t>
      </w:r>
      <w:r w:rsidRPr="009C1935">
        <w:rPr>
          <w:lang w:val="en-GB"/>
        </w:rPr>
        <w:t>rofit before depreciation, interest, and taxes</w:t>
      </w:r>
      <w:r w:rsidR="0008572C">
        <w:rPr>
          <w:lang w:val="en-GB"/>
        </w:rPr>
        <w:t>; PBDT = profit before depreciation and tax</w:t>
      </w:r>
      <w:r w:rsidRPr="009C1935">
        <w:rPr>
          <w:lang w:val="en-GB"/>
        </w:rPr>
        <w:t xml:space="preserve">. </w:t>
      </w:r>
    </w:p>
    <w:p w14:paraId="5D81C707" w14:textId="25DD331E" w:rsidR="0008572C" w:rsidRDefault="008E0E4E" w:rsidP="00A43549">
      <w:pPr>
        <w:pStyle w:val="FootnoteText1"/>
        <w:rPr>
          <w:lang w:val="en-GB"/>
        </w:rPr>
      </w:pPr>
      <w:r w:rsidRPr="009C1935">
        <w:rPr>
          <w:lang w:val="en-GB"/>
        </w:rPr>
        <w:t xml:space="preserve">Source: </w:t>
      </w:r>
      <w:r w:rsidR="000363D1" w:rsidRPr="009C1935">
        <w:rPr>
          <w:spacing w:val="-2"/>
          <w:lang w:val="en-GB"/>
        </w:rPr>
        <w:t xml:space="preserve">“Narayana </w:t>
      </w:r>
      <w:proofErr w:type="spellStart"/>
      <w:r w:rsidR="000363D1" w:rsidRPr="009C1935">
        <w:rPr>
          <w:spacing w:val="-2"/>
          <w:lang w:val="en-GB"/>
        </w:rPr>
        <w:t>Hrudayalaya</w:t>
      </w:r>
      <w:proofErr w:type="spellEnd"/>
      <w:r w:rsidR="000363D1" w:rsidRPr="009C1935">
        <w:rPr>
          <w:spacing w:val="-2"/>
          <w:lang w:val="en-GB"/>
        </w:rPr>
        <w:t xml:space="preserve">,” </w:t>
      </w:r>
      <w:r w:rsidRPr="009C1935">
        <w:rPr>
          <w:lang w:val="en-GB"/>
        </w:rPr>
        <w:t>Moneycontrol.com</w:t>
      </w:r>
      <w:r w:rsidR="00871506" w:rsidRPr="009C1935">
        <w:rPr>
          <w:lang w:val="en-GB"/>
        </w:rPr>
        <w:t>,</w:t>
      </w:r>
      <w:r w:rsidRPr="009C1935">
        <w:rPr>
          <w:lang w:val="en-GB"/>
        </w:rPr>
        <w:t xml:space="preserve"> </w:t>
      </w:r>
      <w:r w:rsidR="0026377A" w:rsidRPr="009C1935">
        <w:rPr>
          <w:spacing w:val="-2"/>
          <w:lang w:val="en-GB"/>
        </w:rPr>
        <w:t xml:space="preserve">accessed </w:t>
      </w:r>
      <w:r w:rsidR="00403752" w:rsidRPr="009C1935">
        <w:rPr>
          <w:spacing w:val="-2"/>
          <w:lang w:val="en-GB"/>
        </w:rPr>
        <w:t>May 6, 2016,</w:t>
      </w:r>
      <w:r w:rsidR="0026377A" w:rsidRPr="009C1935">
        <w:rPr>
          <w:spacing w:val="-2"/>
          <w:lang w:val="en-GB"/>
        </w:rPr>
        <w:t xml:space="preserve"> </w:t>
      </w:r>
      <w:r w:rsidR="0008572C" w:rsidRPr="0008572C">
        <w:rPr>
          <w:lang w:val="en-GB"/>
        </w:rPr>
        <w:t>www.moneycontrol.com/competition/narayana</w:t>
      </w:r>
    </w:p>
    <w:p w14:paraId="3DC293FE" w14:textId="56BD4F81" w:rsidR="00E943D6" w:rsidRPr="009C1935" w:rsidRDefault="008E0E4E" w:rsidP="00A43549">
      <w:pPr>
        <w:pStyle w:val="FootnoteText1"/>
        <w:rPr>
          <w:lang w:val="en-GB"/>
        </w:rPr>
      </w:pPr>
      <w:proofErr w:type="spellStart"/>
      <w:proofErr w:type="gramStart"/>
      <w:r w:rsidRPr="009C1935">
        <w:rPr>
          <w:lang w:val="en-GB"/>
        </w:rPr>
        <w:t>hrudayalaya</w:t>
      </w:r>
      <w:proofErr w:type="spellEnd"/>
      <w:r w:rsidRPr="009C1935">
        <w:rPr>
          <w:lang w:val="en-GB"/>
        </w:rPr>
        <w:t>/comparison/NH#</w:t>
      </w:r>
      <w:proofErr w:type="gramEnd"/>
      <w:r w:rsidRPr="009C1935">
        <w:rPr>
          <w:lang w:val="en-GB"/>
        </w:rPr>
        <w:t>NH</w:t>
      </w:r>
      <w:r w:rsidR="00871506" w:rsidRPr="009C1935">
        <w:rPr>
          <w:lang w:val="en-GB"/>
        </w:rPr>
        <w:t>.</w:t>
      </w:r>
    </w:p>
    <w:p w14:paraId="6CB446B2" w14:textId="77777777" w:rsidR="008E0E4E" w:rsidRPr="009C1935" w:rsidRDefault="008E0E4E" w:rsidP="00871506">
      <w:pPr>
        <w:pStyle w:val="BodyTextMain"/>
        <w:rPr>
          <w:lang w:val="en-GB"/>
        </w:rPr>
      </w:pPr>
    </w:p>
    <w:p w14:paraId="5B09092F" w14:textId="77777777" w:rsidR="00FF2DC2" w:rsidRPr="009C1935" w:rsidRDefault="00FF2DC2" w:rsidP="00871506">
      <w:pPr>
        <w:pStyle w:val="BodyTextMain"/>
        <w:rPr>
          <w:lang w:val="en-GB"/>
        </w:rPr>
      </w:pPr>
    </w:p>
    <w:p w14:paraId="04B226EC" w14:textId="6152FCD5" w:rsidR="008E0E4E" w:rsidRPr="009C1935" w:rsidRDefault="008E0E4E" w:rsidP="00E22A65">
      <w:pPr>
        <w:pStyle w:val="Casehead1"/>
        <w:jc w:val="center"/>
        <w:rPr>
          <w:lang w:val="en-GB"/>
        </w:rPr>
      </w:pPr>
      <w:r w:rsidRPr="009C1935">
        <w:rPr>
          <w:lang w:val="en-GB"/>
        </w:rPr>
        <w:t>EXHIBIT 4: DETAILS OF SHAREHOLDERS HOLDING MORE THAN 5</w:t>
      </w:r>
      <w:r w:rsidR="000363D1" w:rsidRPr="009C1935">
        <w:rPr>
          <w:lang w:val="en-GB"/>
        </w:rPr>
        <w:t xml:space="preserve"> per cent of </w:t>
      </w:r>
      <w:r w:rsidRPr="009C1935">
        <w:rPr>
          <w:lang w:val="en-GB"/>
        </w:rPr>
        <w:t>SHARES</w:t>
      </w:r>
    </w:p>
    <w:p w14:paraId="418BCCDA" w14:textId="77777777" w:rsidR="008E0E4E" w:rsidRPr="009C1935" w:rsidRDefault="0026377A" w:rsidP="00E22A65">
      <w:pPr>
        <w:pStyle w:val="Casehead2"/>
        <w:jc w:val="center"/>
        <w:rPr>
          <w:lang w:val="en-GB"/>
        </w:rPr>
      </w:pPr>
      <w:proofErr w:type="gramStart"/>
      <w:r w:rsidRPr="009C1935">
        <w:rPr>
          <w:lang w:val="en-GB"/>
        </w:rPr>
        <w:t>as</w:t>
      </w:r>
      <w:proofErr w:type="gramEnd"/>
      <w:r w:rsidRPr="009C1935">
        <w:rPr>
          <w:lang w:val="en-GB"/>
        </w:rPr>
        <w:t xml:space="preserve"> </w:t>
      </w:r>
      <w:r w:rsidR="00211C23" w:rsidRPr="009C1935">
        <w:rPr>
          <w:lang w:val="en-GB"/>
        </w:rPr>
        <w:t xml:space="preserve">of </w:t>
      </w:r>
      <w:r w:rsidR="008E0E4E" w:rsidRPr="009C1935">
        <w:rPr>
          <w:lang w:val="en-GB"/>
        </w:rPr>
        <w:t>August 30, 2015</w:t>
      </w:r>
    </w:p>
    <w:p w14:paraId="2B3EABFA" w14:textId="77777777" w:rsidR="008E0E4E" w:rsidRPr="009C1935" w:rsidRDefault="008E0E4E" w:rsidP="00E22A65">
      <w:pPr>
        <w:pStyle w:val="BodyTextMain"/>
        <w:rPr>
          <w:lang w:val="en-GB"/>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2149"/>
        <w:gridCol w:w="2817"/>
      </w:tblGrid>
      <w:tr w:rsidR="008E0E4E" w:rsidRPr="009C1935" w14:paraId="669B39EB" w14:textId="77777777" w:rsidTr="00871506">
        <w:trPr>
          <w:trHeight w:val="329"/>
          <w:jc w:val="center"/>
        </w:trPr>
        <w:tc>
          <w:tcPr>
            <w:tcW w:w="2473" w:type="pct"/>
            <w:noWrap/>
            <w:vAlign w:val="center"/>
            <w:hideMark/>
          </w:tcPr>
          <w:p w14:paraId="1E585510" w14:textId="77777777" w:rsidR="008E0E4E" w:rsidRPr="009C1935" w:rsidRDefault="008E0E4E" w:rsidP="00871506">
            <w:pPr>
              <w:jc w:val="center"/>
              <w:rPr>
                <w:rFonts w:ascii="Arial" w:hAnsi="Arial" w:cs="Arial"/>
                <w:b/>
                <w:bCs/>
                <w:lang w:val="en-GB"/>
              </w:rPr>
            </w:pPr>
            <w:r w:rsidRPr="009C1935">
              <w:rPr>
                <w:rFonts w:ascii="Arial" w:hAnsi="Arial" w:cs="Arial"/>
                <w:b/>
                <w:bCs/>
                <w:lang w:val="en-GB"/>
              </w:rPr>
              <w:t>Name of Shareholders</w:t>
            </w:r>
          </w:p>
        </w:tc>
        <w:tc>
          <w:tcPr>
            <w:tcW w:w="1188" w:type="pct"/>
            <w:noWrap/>
            <w:vAlign w:val="center"/>
            <w:hideMark/>
          </w:tcPr>
          <w:p w14:paraId="3DC405FA" w14:textId="77777777" w:rsidR="008E0E4E" w:rsidRPr="009C1935" w:rsidRDefault="008E0E4E" w:rsidP="00871506">
            <w:pPr>
              <w:jc w:val="center"/>
              <w:rPr>
                <w:rFonts w:ascii="Arial" w:hAnsi="Arial" w:cs="Arial"/>
                <w:b/>
                <w:bCs/>
                <w:lang w:val="en-GB"/>
              </w:rPr>
            </w:pPr>
            <w:r w:rsidRPr="009C1935">
              <w:rPr>
                <w:rFonts w:ascii="Arial" w:hAnsi="Arial" w:cs="Arial"/>
                <w:b/>
                <w:bCs/>
                <w:lang w:val="en-GB"/>
              </w:rPr>
              <w:t>Number of Shares</w:t>
            </w:r>
          </w:p>
        </w:tc>
        <w:tc>
          <w:tcPr>
            <w:tcW w:w="1339" w:type="pct"/>
            <w:noWrap/>
            <w:vAlign w:val="center"/>
            <w:hideMark/>
          </w:tcPr>
          <w:p w14:paraId="24262662" w14:textId="270A891A" w:rsidR="008E0E4E" w:rsidRPr="009C1935" w:rsidRDefault="008E0E4E" w:rsidP="00871506">
            <w:pPr>
              <w:jc w:val="center"/>
              <w:rPr>
                <w:rFonts w:ascii="Arial" w:hAnsi="Arial" w:cs="Arial"/>
                <w:b/>
                <w:bCs/>
                <w:lang w:val="en-GB"/>
              </w:rPr>
            </w:pPr>
            <w:r w:rsidRPr="009C1935">
              <w:rPr>
                <w:rFonts w:ascii="Arial" w:hAnsi="Arial" w:cs="Arial"/>
                <w:b/>
                <w:bCs/>
                <w:lang w:val="en-GB"/>
              </w:rPr>
              <w:t xml:space="preserve">Percentage </w:t>
            </w:r>
            <w:r w:rsidR="000363D1" w:rsidRPr="009C1935">
              <w:rPr>
                <w:rFonts w:ascii="Arial" w:hAnsi="Arial" w:cs="Arial"/>
                <w:b/>
                <w:bCs/>
                <w:lang w:val="en-GB"/>
              </w:rPr>
              <w:t xml:space="preserve">of </w:t>
            </w:r>
            <w:r w:rsidRPr="009C1935">
              <w:rPr>
                <w:rFonts w:ascii="Arial" w:hAnsi="Arial" w:cs="Arial"/>
                <w:b/>
                <w:bCs/>
                <w:lang w:val="en-GB"/>
              </w:rPr>
              <w:t>Holdings</w:t>
            </w:r>
            <w:r w:rsidR="00A7108E" w:rsidRPr="009C1935">
              <w:rPr>
                <w:rFonts w:ascii="Arial" w:hAnsi="Arial" w:cs="Arial"/>
                <w:b/>
                <w:bCs/>
                <w:lang w:val="en-GB"/>
              </w:rPr>
              <w:t xml:space="preserve"> (%)</w:t>
            </w:r>
          </w:p>
        </w:tc>
      </w:tr>
      <w:tr w:rsidR="008E0E4E" w:rsidRPr="009C1935" w14:paraId="706C916F" w14:textId="77777777" w:rsidTr="00871506">
        <w:trPr>
          <w:trHeight w:val="329"/>
          <w:jc w:val="center"/>
        </w:trPr>
        <w:tc>
          <w:tcPr>
            <w:tcW w:w="2473" w:type="pct"/>
            <w:noWrap/>
            <w:vAlign w:val="center"/>
            <w:hideMark/>
          </w:tcPr>
          <w:p w14:paraId="6C09CEAD" w14:textId="77777777" w:rsidR="008E0E4E" w:rsidRPr="009C1935" w:rsidRDefault="008E0E4E" w:rsidP="0037757F">
            <w:pPr>
              <w:rPr>
                <w:rFonts w:ascii="Arial" w:hAnsi="Arial" w:cs="Arial"/>
                <w:lang w:val="en-GB"/>
              </w:rPr>
            </w:pPr>
            <w:proofErr w:type="spellStart"/>
            <w:r w:rsidRPr="009C1935">
              <w:rPr>
                <w:rFonts w:ascii="Arial" w:hAnsi="Arial" w:cs="Arial"/>
                <w:lang w:val="en-GB"/>
              </w:rPr>
              <w:t>Dr.</w:t>
            </w:r>
            <w:proofErr w:type="spellEnd"/>
            <w:r w:rsidRPr="009C1935">
              <w:rPr>
                <w:rFonts w:ascii="Arial" w:hAnsi="Arial" w:cs="Arial"/>
                <w:lang w:val="en-GB"/>
              </w:rPr>
              <w:t xml:space="preserve"> Devi Prasad Shetty</w:t>
            </w:r>
          </w:p>
        </w:tc>
        <w:tc>
          <w:tcPr>
            <w:tcW w:w="1188" w:type="pct"/>
            <w:noWrap/>
            <w:vAlign w:val="center"/>
            <w:hideMark/>
          </w:tcPr>
          <w:p w14:paraId="4F4AA8AD" w14:textId="77777777" w:rsidR="008E0E4E" w:rsidRPr="009C1935" w:rsidRDefault="008E0E4E" w:rsidP="00871506">
            <w:pPr>
              <w:jc w:val="center"/>
              <w:rPr>
                <w:rFonts w:ascii="Arial" w:hAnsi="Arial" w:cs="Arial"/>
                <w:lang w:val="en-GB"/>
              </w:rPr>
            </w:pPr>
            <w:r w:rsidRPr="009C1935">
              <w:rPr>
                <w:rFonts w:ascii="Arial" w:hAnsi="Arial" w:cs="Arial"/>
                <w:lang w:val="en-GB"/>
              </w:rPr>
              <w:t>66,744,179</w:t>
            </w:r>
          </w:p>
        </w:tc>
        <w:tc>
          <w:tcPr>
            <w:tcW w:w="1339" w:type="pct"/>
            <w:noWrap/>
            <w:vAlign w:val="center"/>
            <w:hideMark/>
          </w:tcPr>
          <w:p w14:paraId="7E35C8FD" w14:textId="77777777" w:rsidR="008E0E4E" w:rsidRPr="009C1935" w:rsidRDefault="008E0E4E" w:rsidP="0037757F">
            <w:pPr>
              <w:ind w:right="900"/>
              <w:jc w:val="right"/>
              <w:rPr>
                <w:rFonts w:ascii="Arial" w:hAnsi="Arial" w:cs="Arial"/>
                <w:lang w:val="en-GB"/>
              </w:rPr>
            </w:pPr>
            <w:r w:rsidRPr="009C1935">
              <w:rPr>
                <w:rFonts w:ascii="Arial" w:hAnsi="Arial" w:cs="Arial"/>
                <w:lang w:val="en-GB"/>
              </w:rPr>
              <w:t>33.37</w:t>
            </w:r>
          </w:p>
        </w:tc>
      </w:tr>
      <w:tr w:rsidR="008E0E4E" w:rsidRPr="009C1935" w14:paraId="5B18BB7F" w14:textId="77777777" w:rsidTr="00871506">
        <w:trPr>
          <w:trHeight w:val="329"/>
          <w:jc w:val="center"/>
        </w:trPr>
        <w:tc>
          <w:tcPr>
            <w:tcW w:w="2473" w:type="pct"/>
            <w:noWrap/>
            <w:vAlign w:val="center"/>
            <w:hideMark/>
          </w:tcPr>
          <w:p w14:paraId="10145586" w14:textId="77777777" w:rsidR="008E0E4E" w:rsidRPr="009C1935" w:rsidRDefault="008E0E4E" w:rsidP="0037757F">
            <w:pPr>
              <w:rPr>
                <w:rFonts w:ascii="Arial" w:hAnsi="Arial" w:cs="Arial"/>
                <w:lang w:val="en-GB"/>
              </w:rPr>
            </w:pPr>
            <w:proofErr w:type="spellStart"/>
            <w:r w:rsidRPr="009C1935">
              <w:rPr>
                <w:rFonts w:ascii="Arial" w:hAnsi="Arial" w:cs="Arial"/>
                <w:lang w:val="en-GB"/>
              </w:rPr>
              <w:t>Shakuntala</w:t>
            </w:r>
            <w:proofErr w:type="spellEnd"/>
            <w:r w:rsidRPr="009C1935">
              <w:rPr>
                <w:rFonts w:ascii="Arial" w:hAnsi="Arial" w:cs="Arial"/>
                <w:lang w:val="en-GB"/>
              </w:rPr>
              <w:t xml:space="preserve"> Shetty</w:t>
            </w:r>
          </w:p>
        </w:tc>
        <w:tc>
          <w:tcPr>
            <w:tcW w:w="1188" w:type="pct"/>
            <w:noWrap/>
            <w:vAlign w:val="center"/>
            <w:hideMark/>
          </w:tcPr>
          <w:p w14:paraId="7721B571" w14:textId="77777777" w:rsidR="008E0E4E" w:rsidRPr="009C1935" w:rsidRDefault="008E0E4E" w:rsidP="00871506">
            <w:pPr>
              <w:jc w:val="center"/>
              <w:rPr>
                <w:rFonts w:ascii="Arial" w:hAnsi="Arial" w:cs="Arial"/>
                <w:lang w:val="en-GB"/>
              </w:rPr>
            </w:pPr>
            <w:r w:rsidRPr="009C1935">
              <w:rPr>
                <w:rFonts w:ascii="Arial" w:hAnsi="Arial" w:cs="Arial"/>
                <w:lang w:val="en-GB"/>
              </w:rPr>
              <w:t>64,126,703</w:t>
            </w:r>
          </w:p>
        </w:tc>
        <w:tc>
          <w:tcPr>
            <w:tcW w:w="1339" w:type="pct"/>
            <w:noWrap/>
            <w:vAlign w:val="center"/>
            <w:hideMark/>
          </w:tcPr>
          <w:p w14:paraId="633A9FFE" w14:textId="77777777" w:rsidR="008E0E4E" w:rsidRPr="009C1935" w:rsidRDefault="008E0E4E" w:rsidP="0037757F">
            <w:pPr>
              <w:ind w:right="900"/>
              <w:jc w:val="right"/>
              <w:rPr>
                <w:rFonts w:ascii="Arial" w:hAnsi="Arial" w:cs="Arial"/>
                <w:lang w:val="en-GB"/>
              </w:rPr>
            </w:pPr>
            <w:r w:rsidRPr="009C1935">
              <w:rPr>
                <w:rFonts w:ascii="Arial" w:hAnsi="Arial" w:cs="Arial"/>
                <w:lang w:val="en-GB"/>
              </w:rPr>
              <w:t>32.06</w:t>
            </w:r>
          </w:p>
        </w:tc>
      </w:tr>
      <w:tr w:rsidR="008E0E4E" w:rsidRPr="009C1935" w14:paraId="4FE1D539" w14:textId="77777777" w:rsidTr="00871506">
        <w:trPr>
          <w:trHeight w:val="329"/>
          <w:jc w:val="center"/>
        </w:trPr>
        <w:tc>
          <w:tcPr>
            <w:tcW w:w="2473" w:type="pct"/>
            <w:noWrap/>
            <w:vAlign w:val="center"/>
            <w:hideMark/>
          </w:tcPr>
          <w:p w14:paraId="5EDDEA60" w14:textId="77777777" w:rsidR="008E0E4E" w:rsidRPr="009C1935" w:rsidRDefault="008E0E4E" w:rsidP="0037757F">
            <w:pPr>
              <w:rPr>
                <w:rFonts w:ascii="Arial" w:hAnsi="Arial" w:cs="Arial"/>
                <w:lang w:val="en-GB"/>
              </w:rPr>
            </w:pPr>
            <w:r w:rsidRPr="009C1935">
              <w:rPr>
                <w:rFonts w:ascii="Arial" w:hAnsi="Arial" w:cs="Arial"/>
                <w:lang w:val="en-GB"/>
              </w:rPr>
              <w:t>JPMorgan Mauritius Holdings IV Limited</w:t>
            </w:r>
          </w:p>
        </w:tc>
        <w:tc>
          <w:tcPr>
            <w:tcW w:w="1188" w:type="pct"/>
            <w:noWrap/>
            <w:vAlign w:val="center"/>
            <w:hideMark/>
          </w:tcPr>
          <w:p w14:paraId="02754CA8" w14:textId="77777777" w:rsidR="008E0E4E" w:rsidRPr="009C1935" w:rsidRDefault="008E0E4E" w:rsidP="00871506">
            <w:pPr>
              <w:jc w:val="center"/>
              <w:rPr>
                <w:rFonts w:ascii="Arial" w:hAnsi="Arial" w:cs="Arial"/>
                <w:lang w:val="en-GB"/>
              </w:rPr>
            </w:pPr>
            <w:r w:rsidRPr="009C1935">
              <w:rPr>
                <w:rFonts w:ascii="Arial" w:hAnsi="Arial" w:cs="Arial"/>
                <w:lang w:val="en-GB"/>
              </w:rPr>
              <w:t>21,811,524</w:t>
            </w:r>
          </w:p>
        </w:tc>
        <w:tc>
          <w:tcPr>
            <w:tcW w:w="1339" w:type="pct"/>
            <w:noWrap/>
            <w:vAlign w:val="center"/>
            <w:hideMark/>
          </w:tcPr>
          <w:p w14:paraId="690A6C18" w14:textId="77777777" w:rsidR="008E0E4E" w:rsidRPr="009C1935" w:rsidRDefault="008E0E4E" w:rsidP="0037757F">
            <w:pPr>
              <w:ind w:right="900"/>
              <w:jc w:val="right"/>
              <w:rPr>
                <w:rFonts w:ascii="Arial" w:hAnsi="Arial" w:cs="Arial"/>
                <w:lang w:val="en-GB"/>
              </w:rPr>
            </w:pPr>
            <w:r w:rsidRPr="009C1935">
              <w:rPr>
                <w:rFonts w:ascii="Arial" w:hAnsi="Arial" w:cs="Arial"/>
                <w:lang w:val="en-GB"/>
              </w:rPr>
              <w:t>10.91</w:t>
            </w:r>
          </w:p>
        </w:tc>
      </w:tr>
      <w:tr w:rsidR="008E0E4E" w:rsidRPr="009C1935" w14:paraId="76E5A32B" w14:textId="77777777" w:rsidTr="00871506">
        <w:trPr>
          <w:trHeight w:val="329"/>
          <w:jc w:val="center"/>
        </w:trPr>
        <w:tc>
          <w:tcPr>
            <w:tcW w:w="2473" w:type="pct"/>
            <w:noWrap/>
            <w:vAlign w:val="center"/>
            <w:hideMark/>
          </w:tcPr>
          <w:p w14:paraId="25BDC9E5" w14:textId="77777777" w:rsidR="008E0E4E" w:rsidRPr="009C1935" w:rsidRDefault="008E0E4E" w:rsidP="0037757F">
            <w:pPr>
              <w:rPr>
                <w:rFonts w:ascii="Arial" w:hAnsi="Arial" w:cs="Arial"/>
                <w:lang w:val="en-GB"/>
              </w:rPr>
            </w:pPr>
            <w:proofErr w:type="spellStart"/>
            <w:r w:rsidRPr="009C1935">
              <w:rPr>
                <w:rFonts w:ascii="Arial" w:hAnsi="Arial" w:cs="Arial"/>
                <w:lang w:val="en-GB"/>
              </w:rPr>
              <w:t>Ashoka</w:t>
            </w:r>
            <w:proofErr w:type="spellEnd"/>
            <w:r w:rsidRPr="009C1935">
              <w:rPr>
                <w:rFonts w:ascii="Arial" w:hAnsi="Arial" w:cs="Arial"/>
                <w:lang w:val="en-GB"/>
              </w:rPr>
              <w:t xml:space="preserve"> Investment Holdings Limited</w:t>
            </w:r>
          </w:p>
        </w:tc>
        <w:tc>
          <w:tcPr>
            <w:tcW w:w="1188" w:type="pct"/>
            <w:noWrap/>
            <w:vAlign w:val="center"/>
            <w:hideMark/>
          </w:tcPr>
          <w:p w14:paraId="7CF71607" w14:textId="77777777" w:rsidR="008E0E4E" w:rsidRPr="009C1935" w:rsidRDefault="008E0E4E" w:rsidP="00871506">
            <w:pPr>
              <w:jc w:val="center"/>
              <w:rPr>
                <w:rFonts w:ascii="Arial" w:hAnsi="Arial" w:cs="Arial"/>
                <w:lang w:val="en-GB"/>
              </w:rPr>
            </w:pPr>
            <w:r w:rsidRPr="009C1935">
              <w:rPr>
                <w:rFonts w:ascii="Arial" w:hAnsi="Arial" w:cs="Arial"/>
                <w:lang w:val="en-GB"/>
              </w:rPr>
              <w:t>17,259,108</w:t>
            </w:r>
          </w:p>
        </w:tc>
        <w:tc>
          <w:tcPr>
            <w:tcW w:w="1339" w:type="pct"/>
            <w:noWrap/>
            <w:vAlign w:val="center"/>
            <w:hideMark/>
          </w:tcPr>
          <w:p w14:paraId="2E150175" w14:textId="77777777" w:rsidR="008E0E4E" w:rsidRPr="009C1935" w:rsidRDefault="008E0E4E" w:rsidP="0037757F">
            <w:pPr>
              <w:ind w:right="900"/>
              <w:jc w:val="right"/>
              <w:rPr>
                <w:rFonts w:ascii="Arial" w:hAnsi="Arial" w:cs="Arial"/>
                <w:lang w:val="en-GB"/>
              </w:rPr>
            </w:pPr>
            <w:r w:rsidRPr="009C1935">
              <w:rPr>
                <w:rFonts w:ascii="Arial" w:hAnsi="Arial" w:cs="Arial"/>
                <w:lang w:val="en-GB"/>
              </w:rPr>
              <w:t>8.63</w:t>
            </w:r>
          </w:p>
        </w:tc>
      </w:tr>
      <w:tr w:rsidR="008E0E4E" w:rsidRPr="009C1935" w14:paraId="19326E95" w14:textId="77777777" w:rsidTr="00871506">
        <w:trPr>
          <w:trHeight w:val="329"/>
          <w:jc w:val="center"/>
        </w:trPr>
        <w:tc>
          <w:tcPr>
            <w:tcW w:w="2473" w:type="pct"/>
            <w:noWrap/>
            <w:vAlign w:val="center"/>
            <w:hideMark/>
          </w:tcPr>
          <w:p w14:paraId="62B19544" w14:textId="77777777" w:rsidR="008E0E4E" w:rsidRPr="009C1935" w:rsidRDefault="008E0E4E" w:rsidP="0037757F">
            <w:pPr>
              <w:rPr>
                <w:rFonts w:ascii="Arial" w:hAnsi="Arial" w:cs="Arial"/>
                <w:lang w:val="en-GB"/>
              </w:rPr>
            </w:pPr>
            <w:r w:rsidRPr="009C1935">
              <w:rPr>
                <w:rFonts w:ascii="Arial" w:hAnsi="Arial" w:cs="Arial"/>
                <w:lang w:val="en-GB"/>
              </w:rPr>
              <w:t xml:space="preserve">CDC Group </w:t>
            </w:r>
            <w:r w:rsidR="007C18EB" w:rsidRPr="009C1935">
              <w:rPr>
                <w:rFonts w:ascii="Arial" w:hAnsi="Arial" w:cs="Arial"/>
                <w:lang w:val="en-GB"/>
              </w:rPr>
              <w:t>p</w:t>
            </w:r>
            <w:r w:rsidRPr="009C1935">
              <w:rPr>
                <w:rFonts w:ascii="Arial" w:hAnsi="Arial" w:cs="Arial"/>
                <w:lang w:val="en-GB"/>
              </w:rPr>
              <w:t>lc</w:t>
            </w:r>
          </w:p>
        </w:tc>
        <w:tc>
          <w:tcPr>
            <w:tcW w:w="1188" w:type="pct"/>
            <w:noWrap/>
            <w:vAlign w:val="center"/>
            <w:hideMark/>
          </w:tcPr>
          <w:p w14:paraId="51B83A3A" w14:textId="77777777" w:rsidR="008E0E4E" w:rsidRPr="009C1935" w:rsidRDefault="008E0E4E" w:rsidP="00871506">
            <w:pPr>
              <w:jc w:val="center"/>
              <w:rPr>
                <w:rFonts w:ascii="Arial" w:hAnsi="Arial" w:cs="Arial"/>
                <w:lang w:val="en-GB"/>
              </w:rPr>
            </w:pPr>
            <w:r w:rsidRPr="009C1935">
              <w:rPr>
                <w:rFonts w:ascii="Arial" w:hAnsi="Arial" w:cs="Arial"/>
                <w:lang w:val="en-GB"/>
              </w:rPr>
              <w:t>11,765,046</w:t>
            </w:r>
          </w:p>
        </w:tc>
        <w:tc>
          <w:tcPr>
            <w:tcW w:w="1339" w:type="pct"/>
            <w:noWrap/>
            <w:vAlign w:val="center"/>
            <w:hideMark/>
          </w:tcPr>
          <w:p w14:paraId="239EABD2" w14:textId="77777777" w:rsidR="008E0E4E" w:rsidRPr="009C1935" w:rsidRDefault="008E0E4E" w:rsidP="0037757F">
            <w:pPr>
              <w:ind w:right="900"/>
              <w:jc w:val="right"/>
              <w:rPr>
                <w:rFonts w:ascii="Arial" w:hAnsi="Arial" w:cs="Arial"/>
                <w:lang w:val="en-GB"/>
              </w:rPr>
            </w:pPr>
            <w:r w:rsidRPr="009C1935">
              <w:rPr>
                <w:rFonts w:ascii="Arial" w:hAnsi="Arial" w:cs="Arial"/>
                <w:lang w:val="en-GB"/>
              </w:rPr>
              <w:t>5.88</w:t>
            </w:r>
          </w:p>
        </w:tc>
      </w:tr>
    </w:tbl>
    <w:p w14:paraId="3EC9150F" w14:textId="77777777" w:rsidR="00FF2DC2" w:rsidRPr="009C1935" w:rsidRDefault="00FF2DC2" w:rsidP="00E22A65">
      <w:pPr>
        <w:pStyle w:val="FootnoteText1"/>
        <w:rPr>
          <w:lang w:val="en-GB"/>
        </w:rPr>
      </w:pPr>
    </w:p>
    <w:p w14:paraId="4339AC80" w14:textId="53C76C20" w:rsidR="008E0E4E" w:rsidRPr="009C1935" w:rsidRDefault="008E0E4E" w:rsidP="00E22A65">
      <w:pPr>
        <w:pStyle w:val="FootnoteText1"/>
        <w:rPr>
          <w:lang w:val="en-GB"/>
        </w:rPr>
      </w:pPr>
      <w:r w:rsidRPr="009C1935">
        <w:rPr>
          <w:lang w:val="en-GB"/>
        </w:rPr>
        <w:t xml:space="preserve">Source: </w:t>
      </w:r>
      <w:r w:rsidR="000363D1" w:rsidRPr="009C1935">
        <w:rPr>
          <w:lang w:val="en-GB"/>
        </w:rPr>
        <w:t>Red-</w:t>
      </w:r>
      <w:r w:rsidRPr="009C1935">
        <w:rPr>
          <w:lang w:val="en-GB"/>
        </w:rPr>
        <w:t xml:space="preserve">herring prospectus of Narayana Health filed with </w:t>
      </w:r>
      <w:r w:rsidR="0026377A" w:rsidRPr="009C1935">
        <w:rPr>
          <w:lang w:val="en-GB"/>
        </w:rPr>
        <w:t xml:space="preserve">the </w:t>
      </w:r>
      <w:r w:rsidRPr="009C1935">
        <w:rPr>
          <w:lang w:val="en-GB"/>
        </w:rPr>
        <w:t>SEBI.</w:t>
      </w:r>
    </w:p>
    <w:p w14:paraId="169B925A" w14:textId="77777777" w:rsidR="008E0E4E" w:rsidRPr="009C1935" w:rsidRDefault="008E0E4E" w:rsidP="00E22A65">
      <w:pPr>
        <w:pStyle w:val="BodyTextMain"/>
        <w:rPr>
          <w:lang w:val="en-GB"/>
        </w:rPr>
      </w:pPr>
    </w:p>
    <w:p w14:paraId="694A5717" w14:textId="77777777" w:rsidR="008E0E4E" w:rsidRPr="009C1935" w:rsidRDefault="008E0E4E" w:rsidP="00E22A65">
      <w:pPr>
        <w:pStyle w:val="BodyTextMain"/>
        <w:rPr>
          <w:b/>
          <w:lang w:val="en-GB"/>
        </w:rPr>
      </w:pPr>
      <w:r w:rsidRPr="009C1935">
        <w:rPr>
          <w:b/>
          <w:lang w:val="en-GB"/>
        </w:rPr>
        <w:br w:type="page"/>
      </w:r>
    </w:p>
    <w:p w14:paraId="63FC09BC" w14:textId="77777777" w:rsidR="008E0E4E" w:rsidRPr="009C1935" w:rsidRDefault="008E0E4E" w:rsidP="00E22A65">
      <w:pPr>
        <w:pStyle w:val="Casehead1"/>
        <w:jc w:val="center"/>
        <w:rPr>
          <w:lang w:val="en-GB"/>
        </w:rPr>
      </w:pPr>
      <w:r w:rsidRPr="009C1935">
        <w:rPr>
          <w:lang w:val="en-GB"/>
        </w:rPr>
        <w:lastRenderedPageBreak/>
        <w:t>EXHIBIT 5: BOARD OF DIRECTORS OF NARAYANA HEALTH</w:t>
      </w:r>
    </w:p>
    <w:p w14:paraId="570E5F37" w14:textId="77777777" w:rsidR="008E0E4E" w:rsidRPr="009C1935" w:rsidRDefault="003548BD" w:rsidP="00E22A65">
      <w:pPr>
        <w:pStyle w:val="Casehead2"/>
        <w:jc w:val="center"/>
        <w:rPr>
          <w:lang w:val="en-GB"/>
        </w:rPr>
      </w:pPr>
      <w:proofErr w:type="gramStart"/>
      <w:r w:rsidRPr="009C1935">
        <w:rPr>
          <w:lang w:val="en-GB"/>
        </w:rPr>
        <w:t>as</w:t>
      </w:r>
      <w:proofErr w:type="gramEnd"/>
      <w:r w:rsidRPr="009C1935">
        <w:rPr>
          <w:lang w:val="en-GB"/>
        </w:rPr>
        <w:t xml:space="preserve"> </w:t>
      </w:r>
      <w:r w:rsidR="00211C23" w:rsidRPr="009C1935">
        <w:rPr>
          <w:lang w:val="en-GB"/>
        </w:rPr>
        <w:t xml:space="preserve">of </w:t>
      </w:r>
      <w:r w:rsidR="008E0E4E" w:rsidRPr="009C1935">
        <w:rPr>
          <w:lang w:val="en-GB"/>
        </w:rPr>
        <w:t>August 29, 2015</w:t>
      </w:r>
    </w:p>
    <w:p w14:paraId="5D67ACBA" w14:textId="77777777" w:rsidR="008E0E4E" w:rsidRPr="009C1935" w:rsidRDefault="008E0E4E" w:rsidP="00E22A65">
      <w:pPr>
        <w:pStyle w:val="BodyTextMain"/>
        <w:rPr>
          <w:lang w:val="en-GB"/>
        </w:rPr>
      </w:pPr>
    </w:p>
    <w:tbl>
      <w:tblPr>
        <w:tblStyle w:val="TableGrid"/>
        <w:tblW w:w="4861" w:type="pct"/>
        <w:jc w:val="center"/>
        <w:tblInd w:w="108" w:type="dxa"/>
        <w:tblLook w:val="04A0" w:firstRow="1" w:lastRow="0" w:firstColumn="1" w:lastColumn="0" w:noHBand="0" w:noVBand="1"/>
      </w:tblPr>
      <w:tblGrid>
        <w:gridCol w:w="1970"/>
        <w:gridCol w:w="594"/>
        <w:gridCol w:w="1629"/>
        <w:gridCol w:w="5117"/>
      </w:tblGrid>
      <w:tr w:rsidR="00B70110" w:rsidRPr="009C1935" w14:paraId="102CF810" w14:textId="77777777" w:rsidTr="00A43549">
        <w:trPr>
          <w:trHeight w:val="287"/>
          <w:jc w:val="center"/>
        </w:trPr>
        <w:tc>
          <w:tcPr>
            <w:tcW w:w="1058" w:type="pct"/>
            <w:vAlign w:val="center"/>
            <w:hideMark/>
          </w:tcPr>
          <w:p w14:paraId="6D5A3D0D" w14:textId="77777777" w:rsidR="00B70110" w:rsidRPr="009C1935" w:rsidRDefault="00B70110" w:rsidP="00FF2DC2">
            <w:pPr>
              <w:jc w:val="center"/>
              <w:rPr>
                <w:rFonts w:ascii="Arial" w:hAnsi="Arial" w:cs="Arial"/>
                <w:b/>
                <w:bCs/>
                <w:lang w:val="en-GB"/>
              </w:rPr>
            </w:pPr>
            <w:r w:rsidRPr="009C1935">
              <w:rPr>
                <w:rFonts w:ascii="Arial" w:hAnsi="Arial" w:cs="Arial"/>
                <w:b/>
                <w:bCs/>
                <w:lang w:val="en-GB"/>
              </w:rPr>
              <w:t>Board Member</w:t>
            </w:r>
          </w:p>
        </w:tc>
        <w:tc>
          <w:tcPr>
            <w:tcW w:w="319" w:type="pct"/>
            <w:noWrap/>
            <w:vAlign w:val="center"/>
            <w:hideMark/>
          </w:tcPr>
          <w:p w14:paraId="39E501A0" w14:textId="77777777" w:rsidR="00B70110" w:rsidRPr="009C1935" w:rsidRDefault="00B70110" w:rsidP="00FF2DC2">
            <w:pPr>
              <w:jc w:val="center"/>
              <w:rPr>
                <w:rFonts w:ascii="Arial" w:hAnsi="Arial" w:cs="Arial"/>
                <w:b/>
                <w:bCs/>
                <w:lang w:val="en-GB"/>
              </w:rPr>
            </w:pPr>
            <w:r w:rsidRPr="009C1935">
              <w:rPr>
                <w:rFonts w:ascii="Arial" w:hAnsi="Arial" w:cs="Arial"/>
                <w:b/>
                <w:bCs/>
                <w:lang w:val="en-GB"/>
              </w:rPr>
              <w:t>Age</w:t>
            </w:r>
          </w:p>
        </w:tc>
        <w:tc>
          <w:tcPr>
            <w:tcW w:w="875" w:type="pct"/>
            <w:vAlign w:val="center"/>
            <w:hideMark/>
          </w:tcPr>
          <w:p w14:paraId="217C322A" w14:textId="77777777" w:rsidR="00B70110" w:rsidRPr="009C1935" w:rsidRDefault="00B70110" w:rsidP="00FF2DC2">
            <w:pPr>
              <w:jc w:val="center"/>
              <w:rPr>
                <w:rFonts w:ascii="Arial" w:hAnsi="Arial" w:cs="Arial"/>
                <w:b/>
                <w:bCs/>
                <w:lang w:val="en-GB"/>
              </w:rPr>
            </w:pPr>
            <w:r w:rsidRPr="009C1935">
              <w:rPr>
                <w:rFonts w:ascii="Arial" w:hAnsi="Arial" w:cs="Arial"/>
                <w:b/>
                <w:bCs/>
                <w:lang w:val="en-GB"/>
              </w:rPr>
              <w:t>Designation</w:t>
            </w:r>
          </w:p>
        </w:tc>
        <w:tc>
          <w:tcPr>
            <w:tcW w:w="2748" w:type="pct"/>
            <w:vAlign w:val="center"/>
            <w:hideMark/>
          </w:tcPr>
          <w:p w14:paraId="349D4356" w14:textId="77777777" w:rsidR="00B70110" w:rsidRPr="009C1935" w:rsidRDefault="00B70110" w:rsidP="00FF2DC2">
            <w:pPr>
              <w:jc w:val="center"/>
              <w:rPr>
                <w:rFonts w:ascii="Arial" w:hAnsi="Arial" w:cs="Arial"/>
                <w:b/>
                <w:bCs/>
                <w:lang w:val="en-GB"/>
              </w:rPr>
            </w:pPr>
            <w:r w:rsidRPr="009C1935">
              <w:rPr>
                <w:rFonts w:ascii="Arial" w:hAnsi="Arial" w:cs="Arial"/>
                <w:b/>
                <w:bCs/>
                <w:lang w:val="en-GB"/>
              </w:rPr>
              <w:t>Details</w:t>
            </w:r>
          </w:p>
        </w:tc>
      </w:tr>
      <w:tr w:rsidR="00B70110" w:rsidRPr="009C1935" w14:paraId="27B73970" w14:textId="77777777" w:rsidTr="00A43549">
        <w:trPr>
          <w:trHeight w:val="861"/>
          <w:jc w:val="center"/>
        </w:trPr>
        <w:tc>
          <w:tcPr>
            <w:tcW w:w="1058" w:type="pct"/>
            <w:vAlign w:val="center"/>
            <w:hideMark/>
          </w:tcPr>
          <w:p w14:paraId="28352BAC" w14:textId="77777777" w:rsidR="00B70110" w:rsidRPr="009C1935" w:rsidRDefault="00B70110" w:rsidP="00FF2DC2">
            <w:pPr>
              <w:rPr>
                <w:rFonts w:ascii="Arial" w:hAnsi="Arial" w:cs="Arial"/>
                <w:lang w:val="en-GB"/>
              </w:rPr>
            </w:pPr>
            <w:proofErr w:type="spellStart"/>
            <w:r w:rsidRPr="009C1935">
              <w:rPr>
                <w:rFonts w:ascii="Arial" w:hAnsi="Arial" w:cs="Arial"/>
                <w:lang w:val="en-GB"/>
              </w:rPr>
              <w:t>Dr.</w:t>
            </w:r>
            <w:proofErr w:type="spellEnd"/>
            <w:r w:rsidRPr="009C1935">
              <w:rPr>
                <w:rFonts w:ascii="Arial" w:hAnsi="Arial" w:cs="Arial"/>
                <w:lang w:val="en-GB"/>
              </w:rPr>
              <w:t xml:space="preserve"> Devi Prasad Shetty</w:t>
            </w:r>
          </w:p>
        </w:tc>
        <w:tc>
          <w:tcPr>
            <w:tcW w:w="319" w:type="pct"/>
            <w:noWrap/>
            <w:vAlign w:val="center"/>
            <w:hideMark/>
          </w:tcPr>
          <w:p w14:paraId="1AD91F42" w14:textId="77777777" w:rsidR="00B70110" w:rsidRPr="009C1935" w:rsidRDefault="00B70110" w:rsidP="00FF2DC2">
            <w:pPr>
              <w:jc w:val="center"/>
              <w:rPr>
                <w:rFonts w:ascii="Arial" w:hAnsi="Arial" w:cs="Arial"/>
                <w:lang w:val="en-GB"/>
              </w:rPr>
            </w:pPr>
            <w:r w:rsidRPr="009C1935">
              <w:rPr>
                <w:rFonts w:ascii="Arial" w:hAnsi="Arial" w:cs="Arial"/>
                <w:lang w:val="en-GB"/>
              </w:rPr>
              <w:t>62</w:t>
            </w:r>
          </w:p>
        </w:tc>
        <w:tc>
          <w:tcPr>
            <w:tcW w:w="875" w:type="pct"/>
            <w:vAlign w:val="center"/>
            <w:hideMark/>
          </w:tcPr>
          <w:p w14:paraId="1690DC2E" w14:textId="77777777" w:rsidR="00B70110" w:rsidRPr="009C1935" w:rsidRDefault="00B70110" w:rsidP="00FF2DC2">
            <w:pPr>
              <w:rPr>
                <w:rFonts w:ascii="Arial" w:hAnsi="Arial" w:cs="Arial"/>
                <w:lang w:val="en-GB"/>
              </w:rPr>
            </w:pPr>
            <w:r w:rsidRPr="009C1935">
              <w:rPr>
                <w:rFonts w:ascii="Arial" w:hAnsi="Arial" w:cs="Arial"/>
                <w:lang w:val="en-GB"/>
              </w:rPr>
              <w:t>Chairman and Executive Director</w:t>
            </w:r>
          </w:p>
        </w:tc>
        <w:tc>
          <w:tcPr>
            <w:tcW w:w="2748" w:type="pct"/>
            <w:vAlign w:val="center"/>
            <w:hideMark/>
          </w:tcPr>
          <w:p w14:paraId="4E5B82D6" w14:textId="2D3976AB" w:rsidR="00B70110" w:rsidRPr="009C1935" w:rsidRDefault="00B70110">
            <w:pPr>
              <w:rPr>
                <w:rFonts w:ascii="Arial" w:hAnsi="Arial" w:cs="Arial"/>
                <w:lang w:val="en-GB"/>
              </w:rPr>
            </w:pPr>
            <w:r w:rsidRPr="009C1935">
              <w:rPr>
                <w:rFonts w:ascii="Arial" w:hAnsi="Arial" w:cs="Arial"/>
                <w:lang w:val="en-GB"/>
              </w:rPr>
              <w:t>Founder of the company and cardiac surgeon by profession with around 33 years of experience</w:t>
            </w:r>
          </w:p>
        </w:tc>
      </w:tr>
      <w:tr w:rsidR="00B70110" w:rsidRPr="009C1935" w14:paraId="73A46E26" w14:textId="77777777" w:rsidTr="00A43549">
        <w:trPr>
          <w:trHeight w:val="861"/>
          <w:jc w:val="center"/>
        </w:trPr>
        <w:tc>
          <w:tcPr>
            <w:tcW w:w="1058" w:type="pct"/>
            <w:vAlign w:val="center"/>
            <w:hideMark/>
          </w:tcPr>
          <w:p w14:paraId="3B235488" w14:textId="77777777" w:rsidR="00B70110" w:rsidRPr="009C1935" w:rsidRDefault="00B70110" w:rsidP="00FF2DC2">
            <w:pPr>
              <w:rPr>
                <w:rFonts w:ascii="Arial" w:hAnsi="Arial" w:cs="Arial"/>
                <w:lang w:val="en-GB"/>
              </w:rPr>
            </w:pPr>
            <w:proofErr w:type="spellStart"/>
            <w:r w:rsidRPr="009C1935">
              <w:rPr>
                <w:rFonts w:ascii="Arial" w:hAnsi="Arial" w:cs="Arial"/>
                <w:lang w:val="en-GB"/>
              </w:rPr>
              <w:t>Dr.</w:t>
            </w:r>
            <w:proofErr w:type="spellEnd"/>
            <w:r w:rsidRPr="009C1935">
              <w:rPr>
                <w:rFonts w:ascii="Arial" w:hAnsi="Arial" w:cs="Arial"/>
                <w:lang w:val="en-GB"/>
              </w:rPr>
              <w:t xml:space="preserve"> </w:t>
            </w:r>
            <w:proofErr w:type="spellStart"/>
            <w:r w:rsidRPr="009C1935">
              <w:rPr>
                <w:rFonts w:ascii="Arial" w:hAnsi="Arial" w:cs="Arial"/>
                <w:lang w:val="en-GB"/>
              </w:rPr>
              <w:t>Ashutosh</w:t>
            </w:r>
            <w:proofErr w:type="spellEnd"/>
            <w:r w:rsidRPr="009C1935">
              <w:rPr>
                <w:rFonts w:ascii="Arial" w:hAnsi="Arial" w:cs="Arial"/>
                <w:lang w:val="en-GB"/>
              </w:rPr>
              <w:t xml:space="preserve"> </w:t>
            </w:r>
            <w:proofErr w:type="spellStart"/>
            <w:r w:rsidRPr="009C1935">
              <w:rPr>
                <w:rFonts w:ascii="Arial" w:hAnsi="Arial" w:cs="Arial"/>
                <w:lang w:val="en-GB"/>
              </w:rPr>
              <w:t>Raghuvanshi</w:t>
            </w:r>
            <w:proofErr w:type="spellEnd"/>
          </w:p>
        </w:tc>
        <w:tc>
          <w:tcPr>
            <w:tcW w:w="319" w:type="pct"/>
            <w:noWrap/>
            <w:vAlign w:val="center"/>
            <w:hideMark/>
          </w:tcPr>
          <w:p w14:paraId="556EACE3" w14:textId="77777777" w:rsidR="00B70110" w:rsidRPr="009C1935" w:rsidRDefault="00B70110" w:rsidP="00FF2DC2">
            <w:pPr>
              <w:jc w:val="center"/>
              <w:rPr>
                <w:rFonts w:ascii="Arial" w:hAnsi="Arial" w:cs="Arial"/>
                <w:lang w:val="en-GB"/>
              </w:rPr>
            </w:pPr>
            <w:r w:rsidRPr="009C1935">
              <w:rPr>
                <w:rFonts w:ascii="Arial" w:hAnsi="Arial" w:cs="Arial"/>
                <w:lang w:val="en-GB"/>
              </w:rPr>
              <w:t>53</w:t>
            </w:r>
          </w:p>
        </w:tc>
        <w:tc>
          <w:tcPr>
            <w:tcW w:w="875" w:type="pct"/>
            <w:vAlign w:val="center"/>
            <w:hideMark/>
          </w:tcPr>
          <w:p w14:paraId="11EB653F" w14:textId="77777777" w:rsidR="00B70110" w:rsidRPr="009C1935" w:rsidRDefault="00B70110" w:rsidP="00FF2DC2">
            <w:pPr>
              <w:rPr>
                <w:rFonts w:ascii="Arial" w:hAnsi="Arial" w:cs="Arial"/>
                <w:lang w:val="en-GB"/>
              </w:rPr>
            </w:pPr>
            <w:r w:rsidRPr="009C1935">
              <w:rPr>
                <w:rFonts w:ascii="Arial" w:hAnsi="Arial" w:cs="Arial"/>
                <w:lang w:val="en-GB"/>
              </w:rPr>
              <w:t>Managing Director &amp; CEO</w:t>
            </w:r>
          </w:p>
        </w:tc>
        <w:tc>
          <w:tcPr>
            <w:tcW w:w="2748" w:type="pct"/>
            <w:vAlign w:val="center"/>
            <w:hideMark/>
          </w:tcPr>
          <w:p w14:paraId="0E97E121" w14:textId="543E1982" w:rsidR="00B70110" w:rsidRPr="009C1935" w:rsidRDefault="00B70110" w:rsidP="00A7108E">
            <w:pPr>
              <w:rPr>
                <w:rFonts w:ascii="Arial" w:hAnsi="Arial" w:cs="Arial"/>
                <w:lang w:val="en-GB"/>
              </w:rPr>
            </w:pPr>
            <w:r w:rsidRPr="009C1935">
              <w:rPr>
                <w:rFonts w:ascii="Arial" w:hAnsi="Arial" w:cs="Arial"/>
                <w:lang w:val="en-GB"/>
              </w:rPr>
              <w:t>A cardiac surgeon with overall experience of 26 years and has been part of the company since its early days.</w:t>
            </w:r>
          </w:p>
        </w:tc>
      </w:tr>
      <w:tr w:rsidR="00B70110" w:rsidRPr="009C1935" w14:paraId="6DABA6B9" w14:textId="77777777" w:rsidTr="00A43549">
        <w:trPr>
          <w:trHeight w:val="861"/>
          <w:jc w:val="center"/>
        </w:trPr>
        <w:tc>
          <w:tcPr>
            <w:tcW w:w="1058" w:type="pct"/>
            <w:vAlign w:val="center"/>
            <w:hideMark/>
          </w:tcPr>
          <w:p w14:paraId="0622ACBB" w14:textId="77777777" w:rsidR="00B70110" w:rsidRPr="009C1935" w:rsidRDefault="00B70110" w:rsidP="00FF2DC2">
            <w:pPr>
              <w:rPr>
                <w:rFonts w:ascii="Arial" w:hAnsi="Arial" w:cs="Arial"/>
                <w:lang w:val="en-GB"/>
              </w:rPr>
            </w:pPr>
            <w:proofErr w:type="spellStart"/>
            <w:r w:rsidRPr="009C1935">
              <w:rPr>
                <w:rFonts w:ascii="Arial" w:hAnsi="Arial" w:cs="Arial"/>
                <w:lang w:val="en-GB"/>
              </w:rPr>
              <w:t>Viren</w:t>
            </w:r>
            <w:proofErr w:type="spellEnd"/>
            <w:r w:rsidRPr="009C1935">
              <w:rPr>
                <w:rFonts w:ascii="Arial" w:hAnsi="Arial" w:cs="Arial"/>
                <w:lang w:val="en-GB"/>
              </w:rPr>
              <w:t xml:space="preserve"> Shetty</w:t>
            </w:r>
          </w:p>
        </w:tc>
        <w:tc>
          <w:tcPr>
            <w:tcW w:w="319" w:type="pct"/>
            <w:noWrap/>
            <w:vAlign w:val="center"/>
            <w:hideMark/>
          </w:tcPr>
          <w:p w14:paraId="7B493E66" w14:textId="77777777" w:rsidR="00B70110" w:rsidRPr="009C1935" w:rsidRDefault="00B70110" w:rsidP="00FF2DC2">
            <w:pPr>
              <w:jc w:val="center"/>
              <w:rPr>
                <w:rFonts w:ascii="Arial" w:hAnsi="Arial" w:cs="Arial"/>
                <w:lang w:val="en-GB"/>
              </w:rPr>
            </w:pPr>
            <w:r w:rsidRPr="009C1935">
              <w:rPr>
                <w:rFonts w:ascii="Arial" w:hAnsi="Arial" w:cs="Arial"/>
                <w:lang w:val="en-GB"/>
              </w:rPr>
              <w:t>31</w:t>
            </w:r>
          </w:p>
        </w:tc>
        <w:tc>
          <w:tcPr>
            <w:tcW w:w="875" w:type="pct"/>
            <w:vAlign w:val="center"/>
            <w:hideMark/>
          </w:tcPr>
          <w:p w14:paraId="43EBBF4C" w14:textId="11DD56D9" w:rsidR="00B70110" w:rsidRPr="009C1935" w:rsidRDefault="00B70110" w:rsidP="00FF2DC2">
            <w:pPr>
              <w:rPr>
                <w:rFonts w:ascii="Arial" w:hAnsi="Arial" w:cs="Arial"/>
                <w:lang w:val="en-GB"/>
              </w:rPr>
            </w:pPr>
            <w:r w:rsidRPr="009C1935">
              <w:rPr>
                <w:rFonts w:ascii="Arial" w:hAnsi="Arial" w:cs="Arial"/>
                <w:lang w:val="en-GB"/>
              </w:rPr>
              <w:t>Executive Director</w:t>
            </w:r>
          </w:p>
        </w:tc>
        <w:tc>
          <w:tcPr>
            <w:tcW w:w="2748" w:type="pct"/>
            <w:vAlign w:val="center"/>
            <w:hideMark/>
          </w:tcPr>
          <w:p w14:paraId="4616A458" w14:textId="77777777" w:rsidR="00B70110" w:rsidRPr="009C1935" w:rsidRDefault="00B70110" w:rsidP="00A43549">
            <w:pPr>
              <w:jc w:val="both"/>
              <w:rPr>
                <w:rFonts w:ascii="Arial" w:hAnsi="Arial" w:cs="Arial"/>
                <w:lang w:val="en-GB"/>
              </w:rPr>
            </w:pPr>
            <w:r w:rsidRPr="009C1935">
              <w:rPr>
                <w:rFonts w:ascii="Arial" w:hAnsi="Arial" w:cs="Arial"/>
                <w:lang w:val="en-GB"/>
              </w:rPr>
              <w:t>A civil engineer by profession responsible for identifying new growth opportunities for the company and has eight years of experience.</w:t>
            </w:r>
          </w:p>
        </w:tc>
      </w:tr>
      <w:tr w:rsidR="00B70110" w:rsidRPr="009C1935" w14:paraId="57EEE59A" w14:textId="77777777" w:rsidTr="00A43549">
        <w:trPr>
          <w:trHeight w:val="1148"/>
          <w:jc w:val="center"/>
        </w:trPr>
        <w:tc>
          <w:tcPr>
            <w:tcW w:w="1058" w:type="pct"/>
            <w:vAlign w:val="center"/>
            <w:hideMark/>
          </w:tcPr>
          <w:p w14:paraId="6D27F07B" w14:textId="77777777" w:rsidR="00B70110" w:rsidRPr="009C1935" w:rsidRDefault="00B70110" w:rsidP="00FF2DC2">
            <w:pPr>
              <w:rPr>
                <w:rFonts w:ascii="Arial" w:hAnsi="Arial" w:cs="Arial"/>
                <w:lang w:val="en-GB"/>
              </w:rPr>
            </w:pPr>
            <w:r w:rsidRPr="009C1935">
              <w:rPr>
                <w:rFonts w:ascii="Arial" w:hAnsi="Arial" w:cs="Arial"/>
                <w:lang w:val="en-GB"/>
              </w:rPr>
              <w:t xml:space="preserve">Kiran </w:t>
            </w:r>
            <w:proofErr w:type="spellStart"/>
            <w:r w:rsidRPr="009C1935">
              <w:rPr>
                <w:rFonts w:ascii="Arial" w:hAnsi="Arial" w:cs="Arial"/>
                <w:lang w:val="en-GB"/>
              </w:rPr>
              <w:t>Mazumdar</w:t>
            </w:r>
            <w:proofErr w:type="spellEnd"/>
            <w:r w:rsidRPr="009C1935">
              <w:rPr>
                <w:rFonts w:ascii="Arial" w:hAnsi="Arial" w:cs="Arial"/>
                <w:lang w:val="en-GB"/>
              </w:rPr>
              <w:t xml:space="preserve"> Shaw</w:t>
            </w:r>
          </w:p>
        </w:tc>
        <w:tc>
          <w:tcPr>
            <w:tcW w:w="319" w:type="pct"/>
            <w:noWrap/>
            <w:vAlign w:val="center"/>
            <w:hideMark/>
          </w:tcPr>
          <w:p w14:paraId="30418077" w14:textId="77777777" w:rsidR="00B70110" w:rsidRPr="009C1935" w:rsidRDefault="00B70110" w:rsidP="00FF2DC2">
            <w:pPr>
              <w:jc w:val="center"/>
              <w:rPr>
                <w:rFonts w:ascii="Arial" w:hAnsi="Arial" w:cs="Arial"/>
                <w:lang w:val="en-GB"/>
              </w:rPr>
            </w:pPr>
            <w:r w:rsidRPr="009C1935">
              <w:rPr>
                <w:rFonts w:ascii="Arial" w:hAnsi="Arial" w:cs="Arial"/>
                <w:lang w:val="en-GB"/>
              </w:rPr>
              <w:t>62</w:t>
            </w:r>
          </w:p>
        </w:tc>
        <w:tc>
          <w:tcPr>
            <w:tcW w:w="875" w:type="pct"/>
            <w:vAlign w:val="center"/>
            <w:hideMark/>
          </w:tcPr>
          <w:p w14:paraId="5BEA30B7" w14:textId="77777777" w:rsidR="00B70110" w:rsidRPr="009C1935" w:rsidRDefault="00B70110" w:rsidP="00FF2DC2">
            <w:pPr>
              <w:rPr>
                <w:rFonts w:ascii="Arial" w:hAnsi="Arial" w:cs="Arial"/>
                <w:lang w:val="en-GB"/>
              </w:rPr>
            </w:pPr>
            <w:r w:rsidRPr="009C1935">
              <w:rPr>
                <w:rFonts w:ascii="Arial" w:hAnsi="Arial" w:cs="Arial"/>
                <w:lang w:val="en-GB"/>
              </w:rPr>
              <w:t>Non-Executive Director</w:t>
            </w:r>
          </w:p>
        </w:tc>
        <w:tc>
          <w:tcPr>
            <w:tcW w:w="2748" w:type="pct"/>
            <w:vAlign w:val="center"/>
            <w:hideMark/>
          </w:tcPr>
          <w:p w14:paraId="425BD45E" w14:textId="77777777" w:rsidR="00B70110" w:rsidRPr="009C1935" w:rsidRDefault="00B70110" w:rsidP="00A43549">
            <w:pPr>
              <w:jc w:val="both"/>
              <w:rPr>
                <w:rFonts w:ascii="Arial" w:hAnsi="Arial" w:cs="Arial"/>
                <w:lang w:val="en-GB"/>
              </w:rPr>
            </w:pPr>
            <w:r w:rsidRPr="009C1935">
              <w:rPr>
                <w:rFonts w:ascii="Arial" w:hAnsi="Arial" w:cs="Arial"/>
                <w:lang w:val="en-GB"/>
              </w:rPr>
              <w:t xml:space="preserve">The chairperson and managing director of </w:t>
            </w:r>
            <w:proofErr w:type="spellStart"/>
            <w:r w:rsidRPr="009C1935">
              <w:rPr>
                <w:rFonts w:ascii="Arial" w:hAnsi="Arial" w:cs="Arial"/>
                <w:lang w:val="en-GB"/>
              </w:rPr>
              <w:t>Biocon</w:t>
            </w:r>
            <w:proofErr w:type="spellEnd"/>
            <w:r w:rsidRPr="009C1935">
              <w:rPr>
                <w:rFonts w:ascii="Arial" w:hAnsi="Arial" w:cs="Arial"/>
                <w:lang w:val="en-GB"/>
              </w:rPr>
              <w:t xml:space="preserve"> Limited. She is a first-generation entrepreneur with more than 39 years of experience in the field of biotechnology.</w:t>
            </w:r>
          </w:p>
        </w:tc>
      </w:tr>
      <w:tr w:rsidR="00B70110" w:rsidRPr="009C1935" w14:paraId="0A77EC7E" w14:textId="77777777" w:rsidTr="00A43549">
        <w:trPr>
          <w:trHeight w:val="574"/>
          <w:jc w:val="center"/>
        </w:trPr>
        <w:tc>
          <w:tcPr>
            <w:tcW w:w="1058" w:type="pct"/>
            <w:vAlign w:val="center"/>
            <w:hideMark/>
          </w:tcPr>
          <w:p w14:paraId="02EB1B6B" w14:textId="77777777" w:rsidR="00B70110" w:rsidRPr="009C1935" w:rsidRDefault="00B70110" w:rsidP="00FF2DC2">
            <w:pPr>
              <w:rPr>
                <w:rFonts w:ascii="Arial" w:hAnsi="Arial" w:cs="Arial"/>
                <w:lang w:val="en-GB"/>
              </w:rPr>
            </w:pPr>
            <w:proofErr w:type="spellStart"/>
            <w:r w:rsidRPr="009C1935">
              <w:rPr>
                <w:rFonts w:ascii="Arial" w:hAnsi="Arial" w:cs="Arial"/>
                <w:lang w:val="en-GB"/>
              </w:rPr>
              <w:t>Harjit</w:t>
            </w:r>
            <w:proofErr w:type="spellEnd"/>
            <w:r w:rsidRPr="009C1935">
              <w:rPr>
                <w:rFonts w:ascii="Arial" w:hAnsi="Arial" w:cs="Arial"/>
                <w:lang w:val="en-GB"/>
              </w:rPr>
              <w:t xml:space="preserve"> Singh Bhatia</w:t>
            </w:r>
          </w:p>
        </w:tc>
        <w:tc>
          <w:tcPr>
            <w:tcW w:w="319" w:type="pct"/>
            <w:noWrap/>
            <w:vAlign w:val="center"/>
            <w:hideMark/>
          </w:tcPr>
          <w:p w14:paraId="10877C84" w14:textId="77777777" w:rsidR="00B70110" w:rsidRPr="009C1935" w:rsidRDefault="00B70110" w:rsidP="00FF2DC2">
            <w:pPr>
              <w:jc w:val="center"/>
              <w:rPr>
                <w:rFonts w:ascii="Arial" w:hAnsi="Arial" w:cs="Arial"/>
                <w:lang w:val="en-GB"/>
              </w:rPr>
            </w:pPr>
            <w:r w:rsidRPr="009C1935">
              <w:rPr>
                <w:rFonts w:ascii="Arial" w:hAnsi="Arial" w:cs="Arial"/>
                <w:lang w:val="en-GB"/>
              </w:rPr>
              <w:t>66</w:t>
            </w:r>
          </w:p>
        </w:tc>
        <w:tc>
          <w:tcPr>
            <w:tcW w:w="875" w:type="pct"/>
            <w:vAlign w:val="center"/>
            <w:hideMark/>
          </w:tcPr>
          <w:p w14:paraId="38C0809D" w14:textId="77777777" w:rsidR="00B70110" w:rsidRPr="009C1935" w:rsidRDefault="00B70110" w:rsidP="00FF2DC2">
            <w:pPr>
              <w:rPr>
                <w:rFonts w:ascii="Arial" w:hAnsi="Arial" w:cs="Arial"/>
                <w:lang w:val="en-GB"/>
              </w:rPr>
            </w:pPr>
            <w:r w:rsidRPr="009C1935">
              <w:rPr>
                <w:rFonts w:ascii="Arial" w:hAnsi="Arial" w:cs="Arial"/>
                <w:lang w:val="en-GB"/>
              </w:rPr>
              <w:t>Non-Executive Director</w:t>
            </w:r>
          </w:p>
        </w:tc>
        <w:tc>
          <w:tcPr>
            <w:tcW w:w="2748" w:type="pct"/>
            <w:vAlign w:val="center"/>
            <w:hideMark/>
          </w:tcPr>
          <w:p w14:paraId="4C12DB67" w14:textId="77777777" w:rsidR="00B70110" w:rsidRPr="009C1935" w:rsidRDefault="00B70110" w:rsidP="00A43549">
            <w:pPr>
              <w:jc w:val="both"/>
              <w:rPr>
                <w:rFonts w:ascii="Arial" w:hAnsi="Arial" w:cs="Arial"/>
                <w:lang w:val="en-GB"/>
              </w:rPr>
            </w:pPr>
            <w:r w:rsidRPr="009C1935">
              <w:rPr>
                <w:rFonts w:ascii="Arial" w:hAnsi="Arial" w:cs="Arial"/>
                <w:lang w:val="en-GB"/>
              </w:rPr>
              <w:t xml:space="preserve">Around 42 years of experience and also a certified associate of the India Institute of Bankers. He was appointed as nominee director of </w:t>
            </w:r>
            <w:proofErr w:type="spellStart"/>
            <w:r w:rsidRPr="009C1935">
              <w:rPr>
                <w:rFonts w:ascii="Arial" w:hAnsi="Arial" w:cs="Arial"/>
                <w:lang w:val="en-GB"/>
              </w:rPr>
              <w:t>Ashoka</w:t>
            </w:r>
            <w:proofErr w:type="spellEnd"/>
            <w:r w:rsidRPr="009C1935">
              <w:rPr>
                <w:rFonts w:ascii="Arial" w:hAnsi="Arial" w:cs="Arial"/>
                <w:lang w:val="en-GB"/>
              </w:rPr>
              <w:t xml:space="preserve"> Holdings and </w:t>
            </w:r>
            <w:proofErr w:type="spellStart"/>
            <w:r w:rsidRPr="009C1935">
              <w:rPr>
                <w:rFonts w:ascii="Arial" w:hAnsi="Arial" w:cs="Arial"/>
                <w:lang w:val="en-GB"/>
              </w:rPr>
              <w:t>Ambadevi</w:t>
            </w:r>
            <w:proofErr w:type="spellEnd"/>
            <w:r w:rsidRPr="009C1935">
              <w:rPr>
                <w:rFonts w:ascii="Arial" w:hAnsi="Arial" w:cs="Arial"/>
                <w:lang w:val="en-GB"/>
              </w:rPr>
              <w:t>.</w:t>
            </w:r>
          </w:p>
        </w:tc>
      </w:tr>
      <w:tr w:rsidR="00B70110" w:rsidRPr="009C1935" w14:paraId="2BDBF2AA" w14:textId="77777777" w:rsidTr="00A43549">
        <w:trPr>
          <w:trHeight w:val="574"/>
          <w:jc w:val="center"/>
        </w:trPr>
        <w:tc>
          <w:tcPr>
            <w:tcW w:w="1058" w:type="pct"/>
            <w:vAlign w:val="center"/>
            <w:hideMark/>
          </w:tcPr>
          <w:p w14:paraId="35B84ABB" w14:textId="77777777" w:rsidR="00B70110" w:rsidRPr="009C1935" w:rsidRDefault="00B70110" w:rsidP="00FF2DC2">
            <w:pPr>
              <w:rPr>
                <w:rFonts w:ascii="Arial" w:hAnsi="Arial" w:cs="Arial"/>
                <w:lang w:val="en-GB"/>
              </w:rPr>
            </w:pPr>
            <w:r w:rsidRPr="009C1935">
              <w:rPr>
                <w:rFonts w:ascii="Arial" w:hAnsi="Arial" w:cs="Arial"/>
                <w:lang w:val="en-GB"/>
              </w:rPr>
              <w:t xml:space="preserve">Dinesh Krishna </w:t>
            </w:r>
            <w:proofErr w:type="spellStart"/>
            <w:r w:rsidRPr="009C1935">
              <w:rPr>
                <w:rFonts w:ascii="Arial" w:hAnsi="Arial" w:cs="Arial"/>
                <w:lang w:val="en-GB"/>
              </w:rPr>
              <w:t>Swamy</w:t>
            </w:r>
            <w:proofErr w:type="spellEnd"/>
          </w:p>
        </w:tc>
        <w:tc>
          <w:tcPr>
            <w:tcW w:w="319" w:type="pct"/>
            <w:noWrap/>
            <w:vAlign w:val="center"/>
            <w:hideMark/>
          </w:tcPr>
          <w:p w14:paraId="7A17C12C" w14:textId="77777777" w:rsidR="00B70110" w:rsidRPr="009C1935" w:rsidRDefault="00B70110" w:rsidP="00FF2DC2">
            <w:pPr>
              <w:jc w:val="center"/>
              <w:rPr>
                <w:rFonts w:ascii="Arial" w:hAnsi="Arial" w:cs="Arial"/>
                <w:lang w:val="en-GB"/>
              </w:rPr>
            </w:pPr>
            <w:r w:rsidRPr="009C1935">
              <w:rPr>
                <w:rFonts w:ascii="Arial" w:hAnsi="Arial" w:cs="Arial"/>
                <w:lang w:val="en-GB"/>
              </w:rPr>
              <w:t>61</w:t>
            </w:r>
          </w:p>
        </w:tc>
        <w:tc>
          <w:tcPr>
            <w:tcW w:w="875" w:type="pct"/>
            <w:vAlign w:val="center"/>
            <w:hideMark/>
          </w:tcPr>
          <w:p w14:paraId="7C5A9BA2" w14:textId="77777777" w:rsidR="00B70110" w:rsidRPr="009C1935" w:rsidRDefault="00B70110" w:rsidP="00FF2DC2">
            <w:pPr>
              <w:rPr>
                <w:rFonts w:ascii="Arial" w:hAnsi="Arial" w:cs="Arial"/>
                <w:lang w:val="en-GB"/>
              </w:rPr>
            </w:pPr>
            <w:r w:rsidRPr="009C1935">
              <w:rPr>
                <w:rFonts w:ascii="Arial" w:hAnsi="Arial" w:cs="Arial"/>
                <w:lang w:val="en-GB"/>
              </w:rPr>
              <w:t>Independent Director</w:t>
            </w:r>
          </w:p>
        </w:tc>
        <w:tc>
          <w:tcPr>
            <w:tcW w:w="2748" w:type="pct"/>
            <w:vAlign w:val="center"/>
            <w:hideMark/>
          </w:tcPr>
          <w:p w14:paraId="3B11905C" w14:textId="77777777" w:rsidR="00B70110" w:rsidRPr="009C1935" w:rsidRDefault="00B70110" w:rsidP="00A43549">
            <w:pPr>
              <w:jc w:val="both"/>
              <w:rPr>
                <w:rFonts w:ascii="Arial" w:hAnsi="Arial" w:cs="Arial"/>
                <w:lang w:val="en-GB"/>
              </w:rPr>
            </w:pPr>
            <w:r w:rsidRPr="009C1935">
              <w:rPr>
                <w:rFonts w:ascii="Arial" w:hAnsi="Arial" w:cs="Arial"/>
                <w:lang w:val="en-GB"/>
              </w:rPr>
              <w:t>A founding member of Infosys Limited with around 34 years of experience.</w:t>
            </w:r>
          </w:p>
        </w:tc>
      </w:tr>
      <w:tr w:rsidR="00B70110" w:rsidRPr="009C1935" w14:paraId="15F946C9" w14:textId="77777777" w:rsidTr="00A43549">
        <w:trPr>
          <w:trHeight w:val="861"/>
          <w:jc w:val="center"/>
        </w:trPr>
        <w:tc>
          <w:tcPr>
            <w:tcW w:w="1058" w:type="pct"/>
            <w:vAlign w:val="center"/>
            <w:hideMark/>
          </w:tcPr>
          <w:p w14:paraId="2FF9240C" w14:textId="77777777" w:rsidR="00B70110" w:rsidRPr="009C1935" w:rsidRDefault="00B70110" w:rsidP="00FF2DC2">
            <w:pPr>
              <w:rPr>
                <w:rFonts w:ascii="Arial" w:hAnsi="Arial" w:cs="Arial"/>
                <w:lang w:val="en-GB"/>
              </w:rPr>
            </w:pPr>
            <w:proofErr w:type="spellStart"/>
            <w:r w:rsidRPr="009C1935">
              <w:rPr>
                <w:rFonts w:ascii="Arial" w:hAnsi="Arial" w:cs="Arial"/>
                <w:lang w:val="en-GB"/>
              </w:rPr>
              <w:t>Muthuraman</w:t>
            </w:r>
            <w:proofErr w:type="spellEnd"/>
            <w:r w:rsidRPr="009C1935">
              <w:rPr>
                <w:rFonts w:ascii="Arial" w:hAnsi="Arial" w:cs="Arial"/>
                <w:lang w:val="en-GB"/>
              </w:rPr>
              <w:t xml:space="preserve"> </w:t>
            </w:r>
            <w:proofErr w:type="spellStart"/>
            <w:r w:rsidRPr="009C1935">
              <w:rPr>
                <w:rFonts w:ascii="Arial" w:hAnsi="Arial" w:cs="Arial"/>
                <w:lang w:val="en-GB"/>
              </w:rPr>
              <w:t>Balasubramanian</w:t>
            </w:r>
            <w:proofErr w:type="spellEnd"/>
          </w:p>
        </w:tc>
        <w:tc>
          <w:tcPr>
            <w:tcW w:w="319" w:type="pct"/>
            <w:noWrap/>
            <w:vAlign w:val="center"/>
            <w:hideMark/>
          </w:tcPr>
          <w:p w14:paraId="03E8B45C" w14:textId="77777777" w:rsidR="00B70110" w:rsidRPr="009C1935" w:rsidRDefault="00B70110" w:rsidP="00FF2DC2">
            <w:pPr>
              <w:jc w:val="center"/>
              <w:rPr>
                <w:rFonts w:ascii="Arial" w:hAnsi="Arial" w:cs="Arial"/>
                <w:lang w:val="en-GB"/>
              </w:rPr>
            </w:pPr>
            <w:r w:rsidRPr="009C1935">
              <w:rPr>
                <w:rFonts w:ascii="Arial" w:hAnsi="Arial" w:cs="Arial"/>
                <w:lang w:val="en-GB"/>
              </w:rPr>
              <w:t>71</w:t>
            </w:r>
          </w:p>
        </w:tc>
        <w:tc>
          <w:tcPr>
            <w:tcW w:w="875" w:type="pct"/>
            <w:vAlign w:val="center"/>
            <w:hideMark/>
          </w:tcPr>
          <w:p w14:paraId="115BD24A" w14:textId="77777777" w:rsidR="00B70110" w:rsidRPr="009C1935" w:rsidRDefault="00B70110" w:rsidP="00FF2DC2">
            <w:pPr>
              <w:rPr>
                <w:rFonts w:ascii="Arial" w:hAnsi="Arial" w:cs="Arial"/>
                <w:lang w:val="en-GB"/>
              </w:rPr>
            </w:pPr>
            <w:r w:rsidRPr="009C1935">
              <w:rPr>
                <w:rFonts w:ascii="Arial" w:hAnsi="Arial" w:cs="Arial"/>
                <w:lang w:val="en-GB"/>
              </w:rPr>
              <w:t>Independent Director</w:t>
            </w:r>
          </w:p>
        </w:tc>
        <w:tc>
          <w:tcPr>
            <w:tcW w:w="2748" w:type="pct"/>
            <w:vAlign w:val="center"/>
            <w:hideMark/>
          </w:tcPr>
          <w:p w14:paraId="0A9F2273" w14:textId="77777777" w:rsidR="00B70110" w:rsidRPr="009C1935" w:rsidRDefault="00B70110" w:rsidP="00A43549">
            <w:pPr>
              <w:jc w:val="both"/>
              <w:rPr>
                <w:rFonts w:ascii="Arial" w:hAnsi="Arial" w:cs="Arial"/>
                <w:lang w:val="en-GB"/>
              </w:rPr>
            </w:pPr>
            <w:r w:rsidRPr="009C1935">
              <w:rPr>
                <w:rFonts w:ascii="Arial" w:hAnsi="Arial" w:cs="Arial"/>
                <w:lang w:val="en-GB"/>
              </w:rPr>
              <w:t>A professional with over 43 years of experience; served on boards of several organizations.</w:t>
            </w:r>
          </w:p>
        </w:tc>
      </w:tr>
      <w:tr w:rsidR="00B70110" w:rsidRPr="009C1935" w14:paraId="3CEFE245" w14:textId="77777777" w:rsidTr="00A43549">
        <w:trPr>
          <w:trHeight w:val="1148"/>
          <w:jc w:val="center"/>
        </w:trPr>
        <w:tc>
          <w:tcPr>
            <w:tcW w:w="1058" w:type="pct"/>
            <w:vAlign w:val="center"/>
            <w:hideMark/>
          </w:tcPr>
          <w:p w14:paraId="171D388E" w14:textId="77777777" w:rsidR="00B70110" w:rsidRPr="009C1935" w:rsidRDefault="00B70110" w:rsidP="00FF2DC2">
            <w:pPr>
              <w:rPr>
                <w:rFonts w:ascii="Arial" w:hAnsi="Arial" w:cs="Arial"/>
                <w:lang w:val="en-GB"/>
              </w:rPr>
            </w:pPr>
            <w:r w:rsidRPr="009C1935">
              <w:rPr>
                <w:rFonts w:ascii="Arial" w:hAnsi="Arial" w:cs="Arial"/>
                <w:lang w:val="en-GB"/>
              </w:rPr>
              <w:t>Arun Seth</w:t>
            </w:r>
          </w:p>
        </w:tc>
        <w:tc>
          <w:tcPr>
            <w:tcW w:w="319" w:type="pct"/>
            <w:noWrap/>
            <w:vAlign w:val="center"/>
            <w:hideMark/>
          </w:tcPr>
          <w:p w14:paraId="570F6784" w14:textId="77777777" w:rsidR="00B70110" w:rsidRPr="009C1935" w:rsidRDefault="00B70110" w:rsidP="00FF2DC2">
            <w:pPr>
              <w:jc w:val="center"/>
              <w:rPr>
                <w:rFonts w:ascii="Arial" w:hAnsi="Arial" w:cs="Arial"/>
                <w:lang w:val="en-GB"/>
              </w:rPr>
            </w:pPr>
            <w:r w:rsidRPr="009C1935">
              <w:rPr>
                <w:rFonts w:ascii="Arial" w:hAnsi="Arial" w:cs="Arial"/>
                <w:lang w:val="en-GB"/>
              </w:rPr>
              <w:t>64</w:t>
            </w:r>
          </w:p>
        </w:tc>
        <w:tc>
          <w:tcPr>
            <w:tcW w:w="875" w:type="pct"/>
            <w:vAlign w:val="center"/>
            <w:hideMark/>
          </w:tcPr>
          <w:p w14:paraId="05031B2F" w14:textId="77777777" w:rsidR="00B70110" w:rsidRPr="009C1935" w:rsidRDefault="00B70110" w:rsidP="00FF2DC2">
            <w:pPr>
              <w:rPr>
                <w:rFonts w:ascii="Arial" w:hAnsi="Arial" w:cs="Arial"/>
                <w:lang w:val="en-GB"/>
              </w:rPr>
            </w:pPr>
            <w:r w:rsidRPr="009C1935">
              <w:rPr>
                <w:rFonts w:ascii="Arial" w:hAnsi="Arial" w:cs="Arial"/>
                <w:lang w:val="en-GB"/>
              </w:rPr>
              <w:t>Independent Director</w:t>
            </w:r>
          </w:p>
        </w:tc>
        <w:tc>
          <w:tcPr>
            <w:tcW w:w="2748" w:type="pct"/>
            <w:vAlign w:val="center"/>
            <w:hideMark/>
          </w:tcPr>
          <w:p w14:paraId="63368096" w14:textId="73597C39" w:rsidR="00B70110" w:rsidRPr="009C1935" w:rsidRDefault="00B70110" w:rsidP="00A43549">
            <w:pPr>
              <w:jc w:val="both"/>
              <w:rPr>
                <w:rFonts w:ascii="Arial" w:hAnsi="Arial" w:cs="Arial"/>
                <w:lang w:val="en-GB"/>
              </w:rPr>
            </w:pPr>
            <w:r w:rsidRPr="009C1935">
              <w:rPr>
                <w:rFonts w:ascii="Arial" w:hAnsi="Arial" w:cs="Arial"/>
                <w:lang w:val="en-GB"/>
              </w:rPr>
              <w:t>Currently on the boards of several companies and also a trustee of the NASSCOM</w:t>
            </w:r>
            <w:r w:rsidRPr="009C1935" w:rsidDel="009E6E50">
              <w:rPr>
                <w:rFonts w:ascii="Arial" w:hAnsi="Arial" w:cs="Arial"/>
                <w:lang w:val="en-GB"/>
              </w:rPr>
              <w:t xml:space="preserve"> </w:t>
            </w:r>
            <w:r w:rsidRPr="009C1935">
              <w:rPr>
                <w:rFonts w:ascii="Arial" w:hAnsi="Arial" w:cs="Arial"/>
                <w:lang w:val="en-GB"/>
              </w:rPr>
              <w:t>Foundation; drives corporate social responsibility initiatives for the IT industry.</w:t>
            </w:r>
          </w:p>
        </w:tc>
      </w:tr>
      <w:tr w:rsidR="00B70110" w:rsidRPr="009C1935" w14:paraId="686A5009" w14:textId="77777777" w:rsidTr="00A43549">
        <w:trPr>
          <w:trHeight w:val="574"/>
          <w:jc w:val="center"/>
        </w:trPr>
        <w:tc>
          <w:tcPr>
            <w:tcW w:w="1058" w:type="pct"/>
            <w:vAlign w:val="center"/>
            <w:hideMark/>
          </w:tcPr>
          <w:p w14:paraId="59C83A7F" w14:textId="77777777" w:rsidR="00B70110" w:rsidRPr="009C1935" w:rsidRDefault="00B70110" w:rsidP="00FF2DC2">
            <w:pPr>
              <w:rPr>
                <w:rFonts w:ascii="Arial" w:hAnsi="Arial" w:cs="Arial"/>
                <w:lang w:val="en-GB"/>
              </w:rPr>
            </w:pPr>
            <w:r w:rsidRPr="009C1935">
              <w:rPr>
                <w:rFonts w:ascii="Arial" w:hAnsi="Arial" w:cs="Arial"/>
                <w:lang w:val="en-GB"/>
              </w:rPr>
              <w:t xml:space="preserve">B. N. </w:t>
            </w:r>
            <w:proofErr w:type="spellStart"/>
            <w:r w:rsidRPr="009C1935">
              <w:rPr>
                <w:rFonts w:ascii="Arial" w:hAnsi="Arial" w:cs="Arial"/>
                <w:lang w:val="en-GB"/>
              </w:rPr>
              <w:t>Subramanya</w:t>
            </w:r>
            <w:proofErr w:type="spellEnd"/>
          </w:p>
        </w:tc>
        <w:tc>
          <w:tcPr>
            <w:tcW w:w="319" w:type="pct"/>
            <w:noWrap/>
            <w:vAlign w:val="center"/>
            <w:hideMark/>
          </w:tcPr>
          <w:p w14:paraId="7178F446" w14:textId="77777777" w:rsidR="00B70110" w:rsidRPr="009C1935" w:rsidRDefault="00B70110" w:rsidP="00FF2DC2">
            <w:pPr>
              <w:jc w:val="center"/>
              <w:rPr>
                <w:rFonts w:ascii="Arial" w:hAnsi="Arial" w:cs="Arial"/>
                <w:lang w:val="en-GB"/>
              </w:rPr>
            </w:pPr>
            <w:r w:rsidRPr="009C1935">
              <w:rPr>
                <w:rFonts w:ascii="Arial" w:hAnsi="Arial" w:cs="Arial"/>
                <w:lang w:val="en-GB"/>
              </w:rPr>
              <w:t>58</w:t>
            </w:r>
          </w:p>
        </w:tc>
        <w:tc>
          <w:tcPr>
            <w:tcW w:w="875" w:type="pct"/>
            <w:vAlign w:val="center"/>
            <w:hideMark/>
          </w:tcPr>
          <w:p w14:paraId="48400EFA" w14:textId="77777777" w:rsidR="00B70110" w:rsidRPr="009C1935" w:rsidRDefault="00B70110" w:rsidP="00FF2DC2">
            <w:pPr>
              <w:rPr>
                <w:rFonts w:ascii="Arial" w:hAnsi="Arial" w:cs="Arial"/>
                <w:lang w:val="en-GB"/>
              </w:rPr>
            </w:pPr>
            <w:r w:rsidRPr="009C1935">
              <w:rPr>
                <w:rFonts w:ascii="Arial" w:hAnsi="Arial" w:cs="Arial"/>
                <w:lang w:val="en-GB"/>
              </w:rPr>
              <w:t>Independent Director</w:t>
            </w:r>
          </w:p>
        </w:tc>
        <w:tc>
          <w:tcPr>
            <w:tcW w:w="2748" w:type="pct"/>
            <w:vAlign w:val="center"/>
            <w:hideMark/>
          </w:tcPr>
          <w:p w14:paraId="5C8B55E0" w14:textId="4406DFE5" w:rsidR="00B70110" w:rsidRPr="009C1935" w:rsidRDefault="00B70110" w:rsidP="00A43549">
            <w:pPr>
              <w:jc w:val="both"/>
              <w:rPr>
                <w:rFonts w:ascii="Arial" w:hAnsi="Arial" w:cs="Arial"/>
                <w:lang w:val="en-GB"/>
              </w:rPr>
            </w:pPr>
            <w:r w:rsidRPr="009C1935">
              <w:rPr>
                <w:rFonts w:ascii="Arial" w:hAnsi="Arial" w:cs="Arial"/>
                <w:lang w:val="en-GB"/>
              </w:rPr>
              <w:t>Around 30 years of experience; a fellow member at Institute of Chartered Accountants of India (ICAI) since April 13, 1994.</w:t>
            </w:r>
          </w:p>
        </w:tc>
      </w:tr>
      <w:tr w:rsidR="00B70110" w:rsidRPr="009C1935" w14:paraId="487E3C4D" w14:textId="77777777" w:rsidTr="00A43549">
        <w:trPr>
          <w:trHeight w:val="861"/>
          <w:jc w:val="center"/>
        </w:trPr>
        <w:tc>
          <w:tcPr>
            <w:tcW w:w="1058" w:type="pct"/>
            <w:vAlign w:val="center"/>
            <w:hideMark/>
          </w:tcPr>
          <w:p w14:paraId="518D450E" w14:textId="77777777" w:rsidR="00B70110" w:rsidRPr="009C1935" w:rsidRDefault="00B70110" w:rsidP="00FF2DC2">
            <w:pPr>
              <w:rPr>
                <w:rFonts w:ascii="Arial" w:hAnsi="Arial" w:cs="Arial"/>
                <w:lang w:val="en-GB"/>
              </w:rPr>
            </w:pPr>
            <w:r w:rsidRPr="009C1935">
              <w:rPr>
                <w:rFonts w:ascii="Arial" w:hAnsi="Arial" w:cs="Arial"/>
                <w:lang w:val="en-GB"/>
              </w:rPr>
              <w:t xml:space="preserve">Manohar D. </w:t>
            </w:r>
            <w:proofErr w:type="spellStart"/>
            <w:r w:rsidRPr="009C1935">
              <w:rPr>
                <w:rFonts w:ascii="Arial" w:hAnsi="Arial" w:cs="Arial"/>
                <w:lang w:val="en-GB"/>
              </w:rPr>
              <w:t>Chatlani</w:t>
            </w:r>
            <w:proofErr w:type="spellEnd"/>
          </w:p>
        </w:tc>
        <w:tc>
          <w:tcPr>
            <w:tcW w:w="319" w:type="pct"/>
            <w:noWrap/>
            <w:vAlign w:val="center"/>
            <w:hideMark/>
          </w:tcPr>
          <w:p w14:paraId="339F177B" w14:textId="77777777" w:rsidR="00B70110" w:rsidRPr="009C1935" w:rsidRDefault="00B70110" w:rsidP="00FF2DC2">
            <w:pPr>
              <w:jc w:val="center"/>
              <w:rPr>
                <w:rFonts w:ascii="Arial" w:hAnsi="Arial" w:cs="Arial"/>
                <w:lang w:val="en-GB"/>
              </w:rPr>
            </w:pPr>
            <w:r w:rsidRPr="009C1935">
              <w:rPr>
                <w:rFonts w:ascii="Arial" w:hAnsi="Arial" w:cs="Arial"/>
                <w:lang w:val="en-GB"/>
              </w:rPr>
              <w:t>63</w:t>
            </w:r>
          </w:p>
        </w:tc>
        <w:tc>
          <w:tcPr>
            <w:tcW w:w="875" w:type="pct"/>
            <w:vAlign w:val="center"/>
            <w:hideMark/>
          </w:tcPr>
          <w:p w14:paraId="7954AB03" w14:textId="77777777" w:rsidR="00B70110" w:rsidRPr="009C1935" w:rsidRDefault="00B70110" w:rsidP="00FF2DC2">
            <w:pPr>
              <w:rPr>
                <w:rFonts w:ascii="Arial" w:hAnsi="Arial" w:cs="Arial"/>
                <w:lang w:val="en-GB"/>
              </w:rPr>
            </w:pPr>
            <w:r w:rsidRPr="009C1935">
              <w:rPr>
                <w:rFonts w:ascii="Arial" w:hAnsi="Arial" w:cs="Arial"/>
                <w:lang w:val="en-GB"/>
              </w:rPr>
              <w:t>Independent Director</w:t>
            </w:r>
          </w:p>
        </w:tc>
        <w:tc>
          <w:tcPr>
            <w:tcW w:w="2748" w:type="pct"/>
            <w:vAlign w:val="center"/>
            <w:hideMark/>
          </w:tcPr>
          <w:p w14:paraId="4031906B" w14:textId="4AFF9C27" w:rsidR="00B70110" w:rsidRPr="009C1935" w:rsidRDefault="00B70110" w:rsidP="00A43549">
            <w:pPr>
              <w:jc w:val="both"/>
              <w:rPr>
                <w:rFonts w:ascii="Arial" w:hAnsi="Arial" w:cs="Arial"/>
                <w:lang w:val="en-GB"/>
              </w:rPr>
            </w:pPr>
            <w:r w:rsidRPr="009C1935">
              <w:rPr>
                <w:rFonts w:ascii="Arial" w:hAnsi="Arial" w:cs="Arial"/>
                <w:lang w:val="en-GB"/>
              </w:rPr>
              <w:t>A businessman with over 40 years of experience in the retail sector; has had business development and leadership roles.</w:t>
            </w:r>
          </w:p>
        </w:tc>
      </w:tr>
    </w:tbl>
    <w:p w14:paraId="2DDC313D" w14:textId="77777777" w:rsidR="00FF2DC2" w:rsidRPr="009C1935" w:rsidRDefault="00FF2DC2" w:rsidP="00E22A65">
      <w:pPr>
        <w:pStyle w:val="FootnoteText1"/>
        <w:rPr>
          <w:lang w:val="en-GB"/>
        </w:rPr>
      </w:pPr>
    </w:p>
    <w:p w14:paraId="7359ADC6" w14:textId="25300596" w:rsidR="008E0E4E" w:rsidRPr="009C1935" w:rsidRDefault="008E0E4E" w:rsidP="00E22A65">
      <w:pPr>
        <w:pStyle w:val="FootnoteText1"/>
        <w:rPr>
          <w:lang w:val="en-GB"/>
        </w:rPr>
      </w:pPr>
      <w:r w:rsidRPr="009C1935">
        <w:rPr>
          <w:lang w:val="en-GB"/>
        </w:rPr>
        <w:t xml:space="preserve">Source: </w:t>
      </w:r>
      <w:r w:rsidR="003C7079" w:rsidRPr="009C1935">
        <w:rPr>
          <w:lang w:val="en-GB"/>
        </w:rPr>
        <w:t>Red-</w:t>
      </w:r>
      <w:r w:rsidRPr="009C1935">
        <w:rPr>
          <w:lang w:val="en-GB"/>
        </w:rPr>
        <w:t xml:space="preserve">herring prospectus of Narayana Health filed with </w:t>
      </w:r>
      <w:r w:rsidR="007C18EB" w:rsidRPr="009C1935">
        <w:rPr>
          <w:lang w:val="en-GB"/>
        </w:rPr>
        <w:t xml:space="preserve">the </w:t>
      </w:r>
      <w:r w:rsidRPr="009C1935">
        <w:rPr>
          <w:lang w:val="en-GB"/>
        </w:rPr>
        <w:t>SEBI.</w:t>
      </w:r>
    </w:p>
    <w:p w14:paraId="526C831C" w14:textId="77777777" w:rsidR="008E0E4E" w:rsidRPr="009C1935" w:rsidRDefault="008E0E4E" w:rsidP="00453FA9">
      <w:pPr>
        <w:rPr>
          <w:rFonts w:ascii="Arial" w:hAnsi="Arial" w:cs="Arial"/>
          <w:b/>
          <w:lang w:val="en-GB"/>
        </w:rPr>
      </w:pPr>
      <w:r w:rsidRPr="009C1935">
        <w:rPr>
          <w:rFonts w:ascii="Arial" w:hAnsi="Arial" w:cs="Arial"/>
          <w:b/>
          <w:lang w:val="en-GB"/>
        </w:rPr>
        <w:br w:type="page"/>
      </w:r>
    </w:p>
    <w:p w14:paraId="27EE9E84" w14:textId="77777777" w:rsidR="008E0E4E" w:rsidRPr="009C1935" w:rsidRDefault="008E0E4E" w:rsidP="00E22A65">
      <w:pPr>
        <w:pStyle w:val="Casehead1"/>
        <w:jc w:val="center"/>
        <w:rPr>
          <w:lang w:val="en-GB"/>
        </w:rPr>
      </w:pPr>
      <w:r w:rsidRPr="009C1935">
        <w:rPr>
          <w:lang w:val="en-GB"/>
        </w:rPr>
        <w:lastRenderedPageBreak/>
        <w:t>EXHIBIT 6: BALANCE SHEET OF NARAYANA HEALTH</w:t>
      </w:r>
    </w:p>
    <w:p w14:paraId="08440386" w14:textId="77777777" w:rsidR="008E0E4E" w:rsidRPr="009C1935" w:rsidRDefault="009E6E50" w:rsidP="00E22A65">
      <w:pPr>
        <w:pStyle w:val="Casehead2"/>
        <w:jc w:val="center"/>
        <w:rPr>
          <w:lang w:val="en-GB"/>
        </w:rPr>
      </w:pPr>
      <w:proofErr w:type="gramStart"/>
      <w:r w:rsidRPr="009C1935">
        <w:rPr>
          <w:lang w:val="en-GB"/>
        </w:rPr>
        <w:t>for</w:t>
      </w:r>
      <w:proofErr w:type="gramEnd"/>
      <w:r w:rsidRPr="009C1935">
        <w:rPr>
          <w:lang w:val="en-GB"/>
        </w:rPr>
        <w:t xml:space="preserve"> </w:t>
      </w:r>
      <w:r w:rsidR="008E0E4E" w:rsidRPr="009C1935">
        <w:rPr>
          <w:lang w:val="en-GB"/>
        </w:rPr>
        <w:t xml:space="preserve">the years ending March 31 (in </w:t>
      </w:r>
      <w:r w:rsidR="00CD0AE9" w:rsidRPr="009C1935">
        <w:rPr>
          <w:color w:val="222222"/>
          <w:shd w:val="clear" w:color="auto" w:fill="FFFFFF"/>
          <w:lang w:val="en-GB"/>
        </w:rPr>
        <w:t>₹</w:t>
      </w:r>
      <w:r w:rsidR="008E0E4E" w:rsidRPr="009C1935">
        <w:rPr>
          <w:lang w:val="en-GB"/>
        </w:rPr>
        <w:t xml:space="preserve"> millions)</w:t>
      </w:r>
    </w:p>
    <w:p w14:paraId="3447EFCA" w14:textId="77777777" w:rsidR="008E0E4E" w:rsidRPr="009C1935" w:rsidRDefault="008E0E4E" w:rsidP="00E22A65">
      <w:pPr>
        <w:pStyle w:val="BodyTextMain"/>
        <w:rPr>
          <w:lang w:val="en-GB"/>
        </w:rPr>
      </w:pPr>
    </w:p>
    <w:tbl>
      <w:tblPr>
        <w:tblStyle w:val="TableGrid"/>
        <w:tblW w:w="4849" w:type="pct"/>
        <w:jc w:val="center"/>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3"/>
        <w:gridCol w:w="1126"/>
        <w:gridCol w:w="1124"/>
        <w:gridCol w:w="1124"/>
        <w:gridCol w:w="1254"/>
        <w:gridCol w:w="1246"/>
      </w:tblGrid>
      <w:tr w:rsidR="008E0E4E" w:rsidRPr="009C1935" w14:paraId="654AC89D" w14:textId="77777777" w:rsidTr="00A43549">
        <w:trPr>
          <w:trHeight w:val="285"/>
          <w:jc w:val="center"/>
        </w:trPr>
        <w:tc>
          <w:tcPr>
            <w:tcW w:w="1838" w:type="pct"/>
            <w:vAlign w:val="center"/>
            <w:hideMark/>
          </w:tcPr>
          <w:p w14:paraId="46C6F67E"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Particulars</w:t>
            </w:r>
          </w:p>
        </w:tc>
        <w:tc>
          <w:tcPr>
            <w:tcW w:w="606" w:type="pct"/>
            <w:noWrap/>
            <w:vAlign w:val="center"/>
            <w:hideMark/>
          </w:tcPr>
          <w:p w14:paraId="59EB1F02"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2011</w:t>
            </w:r>
          </w:p>
        </w:tc>
        <w:tc>
          <w:tcPr>
            <w:tcW w:w="605" w:type="pct"/>
            <w:noWrap/>
            <w:vAlign w:val="center"/>
            <w:hideMark/>
          </w:tcPr>
          <w:p w14:paraId="2C116466"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2012</w:t>
            </w:r>
          </w:p>
        </w:tc>
        <w:tc>
          <w:tcPr>
            <w:tcW w:w="605" w:type="pct"/>
            <w:noWrap/>
            <w:vAlign w:val="center"/>
            <w:hideMark/>
          </w:tcPr>
          <w:p w14:paraId="32455A46"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2013</w:t>
            </w:r>
          </w:p>
        </w:tc>
        <w:tc>
          <w:tcPr>
            <w:tcW w:w="675" w:type="pct"/>
            <w:noWrap/>
            <w:vAlign w:val="center"/>
            <w:hideMark/>
          </w:tcPr>
          <w:p w14:paraId="29A4F244"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2014</w:t>
            </w:r>
          </w:p>
        </w:tc>
        <w:tc>
          <w:tcPr>
            <w:tcW w:w="671" w:type="pct"/>
            <w:noWrap/>
            <w:vAlign w:val="center"/>
            <w:hideMark/>
          </w:tcPr>
          <w:p w14:paraId="37EEF571"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2015</w:t>
            </w:r>
          </w:p>
        </w:tc>
      </w:tr>
      <w:tr w:rsidR="008E0E4E" w:rsidRPr="009C1935" w14:paraId="2FF18C71" w14:textId="77777777" w:rsidTr="00A43549">
        <w:trPr>
          <w:trHeight w:val="285"/>
          <w:jc w:val="center"/>
        </w:trPr>
        <w:tc>
          <w:tcPr>
            <w:tcW w:w="1838" w:type="pct"/>
            <w:vAlign w:val="center"/>
            <w:hideMark/>
          </w:tcPr>
          <w:p w14:paraId="00FF23B4"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EQUITY AND LIABILITIES</w:t>
            </w:r>
          </w:p>
        </w:tc>
        <w:tc>
          <w:tcPr>
            <w:tcW w:w="606" w:type="pct"/>
            <w:noWrap/>
            <w:vAlign w:val="center"/>
            <w:hideMark/>
          </w:tcPr>
          <w:p w14:paraId="57095CBF"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1D37F99C"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076F9C09"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5FC1A7E3"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23528629" w14:textId="77777777" w:rsidR="008E0E4E" w:rsidRPr="009C1935" w:rsidRDefault="008E0E4E" w:rsidP="00FF2DC2">
            <w:pPr>
              <w:jc w:val="right"/>
              <w:rPr>
                <w:rFonts w:ascii="Arial" w:hAnsi="Arial" w:cs="Arial"/>
                <w:sz w:val="19"/>
                <w:szCs w:val="19"/>
                <w:lang w:val="en-GB"/>
              </w:rPr>
            </w:pPr>
          </w:p>
        </w:tc>
      </w:tr>
      <w:tr w:rsidR="008E0E4E" w:rsidRPr="009C1935" w14:paraId="77B01AEA" w14:textId="77777777" w:rsidTr="00A43549">
        <w:trPr>
          <w:trHeight w:val="285"/>
          <w:jc w:val="center"/>
        </w:trPr>
        <w:tc>
          <w:tcPr>
            <w:tcW w:w="1838" w:type="pct"/>
            <w:vAlign w:val="center"/>
            <w:hideMark/>
          </w:tcPr>
          <w:p w14:paraId="60A591B5" w14:textId="77777777" w:rsidR="008E0E4E" w:rsidRPr="009C1935" w:rsidRDefault="008E0E4E" w:rsidP="00A7108E">
            <w:pPr>
              <w:rPr>
                <w:rFonts w:ascii="Arial" w:hAnsi="Arial" w:cs="Arial"/>
                <w:bCs/>
                <w:sz w:val="19"/>
                <w:szCs w:val="19"/>
                <w:lang w:val="en-GB"/>
              </w:rPr>
            </w:pPr>
            <w:r w:rsidRPr="009C1935">
              <w:rPr>
                <w:rFonts w:ascii="Arial" w:hAnsi="Arial" w:cs="Arial"/>
                <w:bCs/>
                <w:sz w:val="19"/>
                <w:szCs w:val="19"/>
                <w:lang w:val="en-GB"/>
              </w:rPr>
              <w:t xml:space="preserve">[A] </w:t>
            </w:r>
            <w:r w:rsidR="00A7108E" w:rsidRPr="009C1935">
              <w:rPr>
                <w:rFonts w:ascii="Arial" w:hAnsi="Arial" w:cs="Arial"/>
                <w:bCs/>
                <w:sz w:val="19"/>
                <w:szCs w:val="19"/>
                <w:lang w:val="en-GB"/>
              </w:rPr>
              <w:t xml:space="preserve">Shareholders’ </w:t>
            </w:r>
            <w:r w:rsidRPr="009C1935">
              <w:rPr>
                <w:rFonts w:ascii="Arial" w:hAnsi="Arial" w:cs="Arial"/>
                <w:bCs/>
                <w:sz w:val="19"/>
                <w:szCs w:val="19"/>
                <w:lang w:val="en-GB"/>
              </w:rPr>
              <w:t>funds</w:t>
            </w:r>
          </w:p>
        </w:tc>
        <w:tc>
          <w:tcPr>
            <w:tcW w:w="606" w:type="pct"/>
            <w:noWrap/>
            <w:vAlign w:val="center"/>
            <w:hideMark/>
          </w:tcPr>
          <w:p w14:paraId="4AD3B19B"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365173E1"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6DD76025"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7A904A5F"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0C82241D" w14:textId="77777777" w:rsidR="008E0E4E" w:rsidRPr="009C1935" w:rsidRDefault="008E0E4E" w:rsidP="00FF2DC2">
            <w:pPr>
              <w:jc w:val="right"/>
              <w:rPr>
                <w:rFonts w:ascii="Arial" w:hAnsi="Arial" w:cs="Arial"/>
                <w:sz w:val="19"/>
                <w:szCs w:val="19"/>
                <w:lang w:val="en-GB"/>
              </w:rPr>
            </w:pPr>
          </w:p>
        </w:tc>
      </w:tr>
      <w:tr w:rsidR="008E0E4E" w:rsidRPr="009C1935" w14:paraId="17455BFE" w14:textId="77777777" w:rsidTr="00A43549">
        <w:trPr>
          <w:trHeight w:val="285"/>
          <w:jc w:val="center"/>
        </w:trPr>
        <w:tc>
          <w:tcPr>
            <w:tcW w:w="1838" w:type="pct"/>
            <w:vAlign w:val="center"/>
            <w:hideMark/>
          </w:tcPr>
          <w:p w14:paraId="3A056D8E"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Share capital</w:t>
            </w:r>
          </w:p>
        </w:tc>
        <w:tc>
          <w:tcPr>
            <w:tcW w:w="606" w:type="pct"/>
            <w:noWrap/>
            <w:vAlign w:val="center"/>
            <w:hideMark/>
          </w:tcPr>
          <w:p w14:paraId="7D48C5D0"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3.25</w:t>
            </w:r>
          </w:p>
        </w:tc>
        <w:tc>
          <w:tcPr>
            <w:tcW w:w="605" w:type="pct"/>
            <w:noWrap/>
            <w:vAlign w:val="center"/>
            <w:hideMark/>
          </w:tcPr>
          <w:p w14:paraId="6BD9A59C"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3.25</w:t>
            </w:r>
          </w:p>
        </w:tc>
        <w:tc>
          <w:tcPr>
            <w:tcW w:w="605" w:type="pct"/>
            <w:noWrap/>
            <w:vAlign w:val="center"/>
            <w:hideMark/>
          </w:tcPr>
          <w:p w14:paraId="17B344F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3.25</w:t>
            </w:r>
          </w:p>
        </w:tc>
        <w:tc>
          <w:tcPr>
            <w:tcW w:w="675" w:type="pct"/>
            <w:noWrap/>
            <w:vAlign w:val="center"/>
            <w:hideMark/>
          </w:tcPr>
          <w:p w14:paraId="536A665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3.25</w:t>
            </w:r>
          </w:p>
        </w:tc>
        <w:tc>
          <w:tcPr>
            <w:tcW w:w="671" w:type="pct"/>
            <w:noWrap/>
            <w:vAlign w:val="center"/>
            <w:hideMark/>
          </w:tcPr>
          <w:p w14:paraId="33E5F06D" w14:textId="54F630FA"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w:t>
            </w:r>
            <w:r w:rsidR="00062D1C" w:rsidRPr="009C1935">
              <w:rPr>
                <w:rFonts w:ascii="Arial" w:hAnsi="Arial" w:cs="Arial"/>
                <w:sz w:val="19"/>
                <w:szCs w:val="19"/>
                <w:lang w:val="en-GB"/>
              </w:rPr>
              <w:t>,</w:t>
            </w:r>
            <w:r w:rsidRPr="009C1935">
              <w:rPr>
                <w:rFonts w:ascii="Arial" w:hAnsi="Arial" w:cs="Arial"/>
                <w:sz w:val="19"/>
                <w:szCs w:val="19"/>
                <w:lang w:val="en-GB"/>
              </w:rPr>
              <w:t>000</w:t>
            </w:r>
            <w:r w:rsidR="003C7079" w:rsidRPr="009C1935">
              <w:rPr>
                <w:rFonts w:ascii="Arial" w:hAnsi="Arial" w:cs="Arial"/>
                <w:sz w:val="19"/>
                <w:szCs w:val="19"/>
                <w:lang w:val="en-GB"/>
              </w:rPr>
              <w:t>.00</w:t>
            </w:r>
          </w:p>
        </w:tc>
      </w:tr>
      <w:tr w:rsidR="008E0E4E" w:rsidRPr="009C1935" w14:paraId="56437F21" w14:textId="77777777" w:rsidTr="00A43549">
        <w:trPr>
          <w:trHeight w:val="285"/>
          <w:jc w:val="center"/>
        </w:trPr>
        <w:tc>
          <w:tcPr>
            <w:tcW w:w="1838" w:type="pct"/>
            <w:vAlign w:val="center"/>
            <w:hideMark/>
          </w:tcPr>
          <w:p w14:paraId="5AE6E34F"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Reserves and surplus</w:t>
            </w:r>
          </w:p>
        </w:tc>
        <w:tc>
          <w:tcPr>
            <w:tcW w:w="606" w:type="pct"/>
            <w:noWrap/>
            <w:vAlign w:val="center"/>
            <w:hideMark/>
          </w:tcPr>
          <w:p w14:paraId="66AB24D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4,857.39</w:t>
            </w:r>
          </w:p>
        </w:tc>
        <w:tc>
          <w:tcPr>
            <w:tcW w:w="605" w:type="pct"/>
            <w:noWrap/>
            <w:vAlign w:val="center"/>
            <w:hideMark/>
          </w:tcPr>
          <w:p w14:paraId="4EB12F7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5,147.22</w:t>
            </w:r>
          </w:p>
        </w:tc>
        <w:tc>
          <w:tcPr>
            <w:tcW w:w="605" w:type="pct"/>
            <w:noWrap/>
            <w:vAlign w:val="center"/>
            <w:hideMark/>
          </w:tcPr>
          <w:p w14:paraId="7E769628"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5,331.67</w:t>
            </w:r>
          </w:p>
        </w:tc>
        <w:tc>
          <w:tcPr>
            <w:tcW w:w="675" w:type="pct"/>
            <w:noWrap/>
            <w:vAlign w:val="center"/>
            <w:hideMark/>
          </w:tcPr>
          <w:p w14:paraId="266B89F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5,693.50</w:t>
            </w:r>
          </w:p>
        </w:tc>
        <w:tc>
          <w:tcPr>
            <w:tcW w:w="671" w:type="pct"/>
            <w:noWrap/>
            <w:vAlign w:val="center"/>
            <w:hideMark/>
          </w:tcPr>
          <w:p w14:paraId="0699D31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5,912.99</w:t>
            </w:r>
          </w:p>
        </w:tc>
      </w:tr>
      <w:tr w:rsidR="008E0E4E" w:rsidRPr="009C1935" w14:paraId="2F45F046" w14:textId="77777777" w:rsidTr="00A43549">
        <w:trPr>
          <w:trHeight w:val="285"/>
          <w:jc w:val="center"/>
        </w:trPr>
        <w:tc>
          <w:tcPr>
            <w:tcW w:w="1838" w:type="pct"/>
            <w:vAlign w:val="center"/>
            <w:hideMark/>
          </w:tcPr>
          <w:p w14:paraId="7670FF29"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Total</w:t>
            </w:r>
          </w:p>
        </w:tc>
        <w:tc>
          <w:tcPr>
            <w:tcW w:w="606" w:type="pct"/>
            <w:noWrap/>
            <w:vAlign w:val="center"/>
            <w:hideMark/>
          </w:tcPr>
          <w:p w14:paraId="67F9B07E"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4</w:t>
            </w:r>
            <w:r w:rsidR="00062D1C" w:rsidRPr="009C1935">
              <w:rPr>
                <w:rFonts w:ascii="Arial" w:hAnsi="Arial" w:cs="Arial"/>
                <w:bCs/>
                <w:sz w:val="19"/>
                <w:szCs w:val="19"/>
                <w:lang w:val="en-GB"/>
              </w:rPr>
              <w:t>,</w:t>
            </w:r>
            <w:r w:rsidRPr="009C1935">
              <w:rPr>
                <w:rFonts w:ascii="Arial" w:hAnsi="Arial" w:cs="Arial"/>
                <w:bCs/>
                <w:sz w:val="19"/>
                <w:szCs w:val="19"/>
                <w:lang w:val="en-GB"/>
              </w:rPr>
              <w:t>860.64</w:t>
            </w:r>
          </w:p>
        </w:tc>
        <w:tc>
          <w:tcPr>
            <w:tcW w:w="605" w:type="pct"/>
            <w:noWrap/>
            <w:vAlign w:val="center"/>
            <w:hideMark/>
          </w:tcPr>
          <w:p w14:paraId="70F4C17D"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5</w:t>
            </w:r>
            <w:r w:rsidR="00062D1C" w:rsidRPr="009C1935">
              <w:rPr>
                <w:rFonts w:ascii="Arial" w:hAnsi="Arial" w:cs="Arial"/>
                <w:bCs/>
                <w:sz w:val="19"/>
                <w:szCs w:val="19"/>
                <w:lang w:val="en-GB"/>
              </w:rPr>
              <w:t>,</w:t>
            </w:r>
            <w:r w:rsidRPr="009C1935">
              <w:rPr>
                <w:rFonts w:ascii="Arial" w:hAnsi="Arial" w:cs="Arial"/>
                <w:bCs/>
                <w:sz w:val="19"/>
                <w:szCs w:val="19"/>
                <w:lang w:val="en-GB"/>
              </w:rPr>
              <w:t>150.47</w:t>
            </w:r>
          </w:p>
        </w:tc>
        <w:tc>
          <w:tcPr>
            <w:tcW w:w="605" w:type="pct"/>
            <w:noWrap/>
            <w:vAlign w:val="center"/>
            <w:hideMark/>
          </w:tcPr>
          <w:p w14:paraId="78AFD1F1"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5</w:t>
            </w:r>
            <w:r w:rsidR="00062D1C" w:rsidRPr="009C1935">
              <w:rPr>
                <w:rFonts w:ascii="Arial" w:hAnsi="Arial" w:cs="Arial"/>
                <w:bCs/>
                <w:sz w:val="19"/>
                <w:szCs w:val="19"/>
                <w:lang w:val="en-GB"/>
              </w:rPr>
              <w:t>,</w:t>
            </w:r>
            <w:r w:rsidRPr="009C1935">
              <w:rPr>
                <w:rFonts w:ascii="Arial" w:hAnsi="Arial" w:cs="Arial"/>
                <w:bCs/>
                <w:sz w:val="19"/>
                <w:szCs w:val="19"/>
                <w:lang w:val="en-GB"/>
              </w:rPr>
              <w:t>334.92</w:t>
            </w:r>
          </w:p>
        </w:tc>
        <w:tc>
          <w:tcPr>
            <w:tcW w:w="675" w:type="pct"/>
            <w:noWrap/>
            <w:vAlign w:val="center"/>
            <w:hideMark/>
          </w:tcPr>
          <w:p w14:paraId="0C15FC5F"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5</w:t>
            </w:r>
            <w:r w:rsidR="00062D1C" w:rsidRPr="009C1935">
              <w:rPr>
                <w:rFonts w:ascii="Arial" w:hAnsi="Arial" w:cs="Arial"/>
                <w:bCs/>
                <w:sz w:val="19"/>
                <w:szCs w:val="19"/>
                <w:lang w:val="en-GB"/>
              </w:rPr>
              <w:t>,</w:t>
            </w:r>
            <w:r w:rsidRPr="009C1935">
              <w:rPr>
                <w:rFonts w:ascii="Arial" w:hAnsi="Arial" w:cs="Arial"/>
                <w:bCs/>
                <w:sz w:val="19"/>
                <w:szCs w:val="19"/>
                <w:lang w:val="en-GB"/>
              </w:rPr>
              <w:t>696.75</w:t>
            </w:r>
          </w:p>
        </w:tc>
        <w:tc>
          <w:tcPr>
            <w:tcW w:w="671" w:type="pct"/>
            <w:noWrap/>
            <w:vAlign w:val="center"/>
            <w:hideMark/>
          </w:tcPr>
          <w:p w14:paraId="427F78B1"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7</w:t>
            </w:r>
            <w:r w:rsidR="00062D1C" w:rsidRPr="009C1935">
              <w:rPr>
                <w:rFonts w:ascii="Arial" w:hAnsi="Arial" w:cs="Arial"/>
                <w:bCs/>
                <w:sz w:val="19"/>
                <w:szCs w:val="19"/>
                <w:lang w:val="en-GB"/>
              </w:rPr>
              <w:t>,</w:t>
            </w:r>
            <w:r w:rsidRPr="009C1935">
              <w:rPr>
                <w:rFonts w:ascii="Arial" w:hAnsi="Arial" w:cs="Arial"/>
                <w:bCs/>
                <w:sz w:val="19"/>
                <w:szCs w:val="19"/>
                <w:lang w:val="en-GB"/>
              </w:rPr>
              <w:t>912.99</w:t>
            </w:r>
          </w:p>
        </w:tc>
      </w:tr>
      <w:tr w:rsidR="008E0E4E" w:rsidRPr="009C1935" w14:paraId="5ED2B76E" w14:textId="77777777" w:rsidTr="00A43549">
        <w:trPr>
          <w:trHeight w:val="285"/>
          <w:jc w:val="center"/>
        </w:trPr>
        <w:tc>
          <w:tcPr>
            <w:tcW w:w="1838" w:type="pct"/>
            <w:vAlign w:val="center"/>
            <w:hideMark/>
          </w:tcPr>
          <w:p w14:paraId="291F7C55"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[B] Non-current liabilities</w:t>
            </w:r>
          </w:p>
        </w:tc>
        <w:tc>
          <w:tcPr>
            <w:tcW w:w="606" w:type="pct"/>
            <w:noWrap/>
            <w:vAlign w:val="center"/>
            <w:hideMark/>
          </w:tcPr>
          <w:p w14:paraId="37F1869F"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47C64F03"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1DD20A59"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1DE3AD29"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4276B38B" w14:textId="77777777" w:rsidR="008E0E4E" w:rsidRPr="009C1935" w:rsidRDefault="008E0E4E" w:rsidP="00FF2DC2">
            <w:pPr>
              <w:jc w:val="right"/>
              <w:rPr>
                <w:rFonts w:ascii="Arial" w:hAnsi="Arial" w:cs="Arial"/>
                <w:sz w:val="19"/>
                <w:szCs w:val="19"/>
                <w:lang w:val="en-GB"/>
              </w:rPr>
            </w:pPr>
          </w:p>
        </w:tc>
      </w:tr>
      <w:tr w:rsidR="008E0E4E" w:rsidRPr="009C1935" w14:paraId="4DEB410C" w14:textId="77777777" w:rsidTr="00A43549">
        <w:trPr>
          <w:trHeight w:val="285"/>
          <w:jc w:val="center"/>
        </w:trPr>
        <w:tc>
          <w:tcPr>
            <w:tcW w:w="1838" w:type="pct"/>
            <w:vAlign w:val="center"/>
            <w:hideMark/>
          </w:tcPr>
          <w:p w14:paraId="54D3F24B"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Long-term borrowings</w:t>
            </w:r>
          </w:p>
        </w:tc>
        <w:tc>
          <w:tcPr>
            <w:tcW w:w="606" w:type="pct"/>
            <w:noWrap/>
            <w:vAlign w:val="center"/>
            <w:hideMark/>
          </w:tcPr>
          <w:p w14:paraId="6203005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872.75</w:t>
            </w:r>
          </w:p>
        </w:tc>
        <w:tc>
          <w:tcPr>
            <w:tcW w:w="605" w:type="pct"/>
            <w:noWrap/>
            <w:vAlign w:val="center"/>
            <w:hideMark/>
          </w:tcPr>
          <w:p w14:paraId="2830BBF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1,112.67</w:t>
            </w:r>
          </w:p>
        </w:tc>
        <w:tc>
          <w:tcPr>
            <w:tcW w:w="605" w:type="pct"/>
            <w:noWrap/>
            <w:vAlign w:val="center"/>
            <w:hideMark/>
          </w:tcPr>
          <w:p w14:paraId="70A7823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1,731.89</w:t>
            </w:r>
          </w:p>
        </w:tc>
        <w:tc>
          <w:tcPr>
            <w:tcW w:w="675" w:type="pct"/>
            <w:noWrap/>
            <w:vAlign w:val="center"/>
            <w:hideMark/>
          </w:tcPr>
          <w:p w14:paraId="653C4F00"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2,172.17</w:t>
            </w:r>
          </w:p>
        </w:tc>
        <w:tc>
          <w:tcPr>
            <w:tcW w:w="671" w:type="pct"/>
            <w:noWrap/>
            <w:vAlign w:val="center"/>
            <w:hideMark/>
          </w:tcPr>
          <w:p w14:paraId="55AFA21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1,593.36</w:t>
            </w:r>
          </w:p>
        </w:tc>
      </w:tr>
      <w:tr w:rsidR="008E0E4E" w:rsidRPr="009C1935" w14:paraId="7A61FE6C" w14:textId="77777777" w:rsidTr="00A43549">
        <w:trPr>
          <w:trHeight w:val="285"/>
          <w:jc w:val="center"/>
        </w:trPr>
        <w:tc>
          <w:tcPr>
            <w:tcW w:w="1838" w:type="pct"/>
            <w:vAlign w:val="center"/>
            <w:hideMark/>
          </w:tcPr>
          <w:p w14:paraId="552B55A1"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Deferred tax liabilities (net)</w:t>
            </w:r>
          </w:p>
        </w:tc>
        <w:tc>
          <w:tcPr>
            <w:tcW w:w="606" w:type="pct"/>
            <w:noWrap/>
            <w:vAlign w:val="center"/>
            <w:hideMark/>
          </w:tcPr>
          <w:p w14:paraId="7A80ED6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152.78</w:t>
            </w:r>
          </w:p>
        </w:tc>
        <w:tc>
          <w:tcPr>
            <w:tcW w:w="605" w:type="pct"/>
            <w:noWrap/>
            <w:vAlign w:val="center"/>
            <w:hideMark/>
          </w:tcPr>
          <w:p w14:paraId="3F1FB80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175.01</w:t>
            </w:r>
          </w:p>
        </w:tc>
        <w:tc>
          <w:tcPr>
            <w:tcW w:w="605" w:type="pct"/>
            <w:noWrap/>
            <w:vAlign w:val="center"/>
            <w:hideMark/>
          </w:tcPr>
          <w:p w14:paraId="3EE3758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190.36</w:t>
            </w:r>
          </w:p>
        </w:tc>
        <w:tc>
          <w:tcPr>
            <w:tcW w:w="675" w:type="pct"/>
            <w:noWrap/>
            <w:vAlign w:val="center"/>
            <w:hideMark/>
          </w:tcPr>
          <w:p w14:paraId="372184F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241.15</w:t>
            </w:r>
          </w:p>
        </w:tc>
        <w:tc>
          <w:tcPr>
            <w:tcW w:w="671" w:type="pct"/>
            <w:noWrap/>
            <w:vAlign w:val="center"/>
            <w:hideMark/>
          </w:tcPr>
          <w:p w14:paraId="1BF75419"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272.89</w:t>
            </w:r>
          </w:p>
        </w:tc>
      </w:tr>
      <w:tr w:rsidR="008E0E4E" w:rsidRPr="009C1935" w14:paraId="5F63B7F8" w14:textId="77777777" w:rsidTr="00A43549">
        <w:trPr>
          <w:trHeight w:val="285"/>
          <w:jc w:val="center"/>
        </w:trPr>
        <w:tc>
          <w:tcPr>
            <w:tcW w:w="1838" w:type="pct"/>
            <w:vAlign w:val="center"/>
            <w:hideMark/>
          </w:tcPr>
          <w:p w14:paraId="1C6A700B"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Other long-term liabilities</w:t>
            </w:r>
          </w:p>
        </w:tc>
        <w:tc>
          <w:tcPr>
            <w:tcW w:w="606" w:type="pct"/>
            <w:noWrap/>
            <w:vAlign w:val="center"/>
            <w:hideMark/>
          </w:tcPr>
          <w:p w14:paraId="3A5924B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w:t>
            </w:r>
          </w:p>
        </w:tc>
        <w:tc>
          <w:tcPr>
            <w:tcW w:w="605" w:type="pct"/>
            <w:noWrap/>
            <w:vAlign w:val="center"/>
            <w:hideMark/>
          </w:tcPr>
          <w:p w14:paraId="08E3898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8.65</w:t>
            </w:r>
          </w:p>
        </w:tc>
        <w:tc>
          <w:tcPr>
            <w:tcW w:w="605" w:type="pct"/>
            <w:noWrap/>
            <w:vAlign w:val="center"/>
            <w:hideMark/>
          </w:tcPr>
          <w:p w14:paraId="1C20E21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15.17</w:t>
            </w:r>
          </w:p>
        </w:tc>
        <w:tc>
          <w:tcPr>
            <w:tcW w:w="675" w:type="pct"/>
            <w:noWrap/>
            <w:vAlign w:val="center"/>
            <w:hideMark/>
          </w:tcPr>
          <w:p w14:paraId="348DFCC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20.86</w:t>
            </w:r>
          </w:p>
        </w:tc>
        <w:tc>
          <w:tcPr>
            <w:tcW w:w="671" w:type="pct"/>
            <w:noWrap/>
            <w:vAlign w:val="center"/>
            <w:hideMark/>
          </w:tcPr>
          <w:p w14:paraId="4626F3CC"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46.22</w:t>
            </w:r>
          </w:p>
        </w:tc>
      </w:tr>
      <w:tr w:rsidR="008E0E4E" w:rsidRPr="009C1935" w14:paraId="7E432A21" w14:textId="77777777" w:rsidTr="00A43549">
        <w:trPr>
          <w:trHeight w:val="285"/>
          <w:jc w:val="center"/>
        </w:trPr>
        <w:tc>
          <w:tcPr>
            <w:tcW w:w="1838" w:type="pct"/>
            <w:vAlign w:val="center"/>
            <w:hideMark/>
          </w:tcPr>
          <w:p w14:paraId="0F957D4A"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Long-term provisions</w:t>
            </w:r>
          </w:p>
        </w:tc>
        <w:tc>
          <w:tcPr>
            <w:tcW w:w="606" w:type="pct"/>
            <w:noWrap/>
            <w:vAlign w:val="center"/>
            <w:hideMark/>
          </w:tcPr>
          <w:p w14:paraId="74F42B5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25.99</w:t>
            </w:r>
          </w:p>
        </w:tc>
        <w:tc>
          <w:tcPr>
            <w:tcW w:w="605" w:type="pct"/>
            <w:noWrap/>
            <w:vAlign w:val="center"/>
            <w:hideMark/>
          </w:tcPr>
          <w:p w14:paraId="562F8FE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48.01</w:t>
            </w:r>
          </w:p>
        </w:tc>
        <w:tc>
          <w:tcPr>
            <w:tcW w:w="605" w:type="pct"/>
            <w:noWrap/>
            <w:vAlign w:val="center"/>
            <w:hideMark/>
          </w:tcPr>
          <w:p w14:paraId="79B189E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54.50</w:t>
            </w:r>
          </w:p>
        </w:tc>
        <w:tc>
          <w:tcPr>
            <w:tcW w:w="675" w:type="pct"/>
            <w:noWrap/>
            <w:vAlign w:val="center"/>
            <w:hideMark/>
          </w:tcPr>
          <w:p w14:paraId="2B037693"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61.47</w:t>
            </w:r>
          </w:p>
        </w:tc>
        <w:tc>
          <w:tcPr>
            <w:tcW w:w="671" w:type="pct"/>
            <w:noWrap/>
            <w:vAlign w:val="center"/>
            <w:hideMark/>
          </w:tcPr>
          <w:p w14:paraId="3EE8A65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97.78</w:t>
            </w:r>
          </w:p>
        </w:tc>
      </w:tr>
      <w:tr w:rsidR="008E0E4E" w:rsidRPr="009C1935" w14:paraId="14E26FD1" w14:textId="77777777" w:rsidTr="00A43549">
        <w:trPr>
          <w:trHeight w:val="285"/>
          <w:jc w:val="center"/>
        </w:trPr>
        <w:tc>
          <w:tcPr>
            <w:tcW w:w="1838" w:type="pct"/>
            <w:vAlign w:val="center"/>
            <w:hideMark/>
          </w:tcPr>
          <w:p w14:paraId="71B426DA"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Total</w:t>
            </w:r>
          </w:p>
        </w:tc>
        <w:tc>
          <w:tcPr>
            <w:tcW w:w="606" w:type="pct"/>
            <w:noWrap/>
            <w:vAlign w:val="center"/>
            <w:hideMark/>
          </w:tcPr>
          <w:p w14:paraId="2743649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1,051.52</w:t>
            </w:r>
          </w:p>
        </w:tc>
        <w:tc>
          <w:tcPr>
            <w:tcW w:w="605" w:type="pct"/>
            <w:noWrap/>
            <w:vAlign w:val="center"/>
            <w:hideMark/>
          </w:tcPr>
          <w:p w14:paraId="5F75F3C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1,344.34</w:t>
            </w:r>
          </w:p>
        </w:tc>
        <w:tc>
          <w:tcPr>
            <w:tcW w:w="605" w:type="pct"/>
            <w:noWrap/>
            <w:vAlign w:val="center"/>
            <w:hideMark/>
          </w:tcPr>
          <w:p w14:paraId="4B150E3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1,991.92</w:t>
            </w:r>
          </w:p>
        </w:tc>
        <w:tc>
          <w:tcPr>
            <w:tcW w:w="675" w:type="pct"/>
            <w:noWrap/>
            <w:vAlign w:val="center"/>
            <w:hideMark/>
          </w:tcPr>
          <w:p w14:paraId="01CF9C1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2,495.65</w:t>
            </w:r>
          </w:p>
        </w:tc>
        <w:tc>
          <w:tcPr>
            <w:tcW w:w="671" w:type="pct"/>
            <w:noWrap/>
            <w:vAlign w:val="center"/>
            <w:hideMark/>
          </w:tcPr>
          <w:p w14:paraId="14A4E499"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2,010.25</w:t>
            </w:r>
          </w:p>
        </w:tc>
      </w:tr>
      <w:tr w:rsidR="008E0E4E" w:rsidRPr="009C1935" w14:paraId="74BC9DD0" w14:textId="77777777" w:rsidTr="00A43549">
        <w:trPr>
          <w:trHeight w:val="285"/>
          <w:jc w:val="center"/>
        </w:trPr>
        <w:tc>
          <w:tcPr>
            <w:tcW w:w="1838" w:type="pct"/>
            <w:vAlign w:val="center"/>
            <w:hideMark/>
          </w:tcPr>
          <w:p w14:paraId="4DE8722D"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[C] Current liabilities</w:t>
            </w:r>
          </w:p>
        </w:tc>
        <w:tc>
          <w:tcPr>
            <w:tcW w:w="606" w:type="pct"/>
            <w:noWrap/>
            <w:vAlign w:val="center"/>
            <w:hideMark/>
          </w:tcPr>
          <w:p w14:paraId="69710C99"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30FD4B22"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0038335E"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071752BA"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24CD582E" w14:textId="77777777" w:rsidR="008E0E4E" w:rsidRPr="009C1935" w:rsidRDefault="008E0E4E" w:rsidP="00FF2DC2">
            <w:pPr>
              <w:jc w:val="right"/>
              <w:rPr>
                <w:rFonts w:ascii="Arial" w:hAnsi="Arial" w:cs="Arial"/>
                <w:sz w:val="19"/>
                <w:szCs w:val="19"/>
                <w:lang w:val="en-GB"/>
              </w:rPr>
            </w:pPr>
          </w:p>
        </w:tc>
      </w:tr>
      <w:tr w:rsidR="008E0E4E" w:rsidRPr="009C1935" w14:paraId="7A29F65C" w14:textId="77777777" w:rsidTr="00A43549">
        <w:trPr>
          <w:trHeight w:val="285"/>
          <w:jc w:val="center"/>
        </w:trPr>
        <w:tc>
          <w:tcPr>
            <w:tcW w:w="1838" w:type="pct"/>
            <w:noWrap/>
            <w:vAlign w:val="center"/>
            <w:hideMark/>
          </w:tcPr>
          <w:p w14:paraId="02FF1F9A"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Short-term borrowings</w:t>
            </w:r>
          </w:p>
        </w:tc>
        <w:tc>
          <w:tcPr>
            <w:tcW w:w="606" w:type="pct"/>
            <w:noWrap/>
            <w:vAlign w:val="center"/>
            <w:hideMark/>
          </w:tcPr>
          <w:p w14:paraId="106C098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0</w:t>
            </w:r>
          </w:p>
        </w:tc>
        <w:tc>
          <w:tcPr>
            <w:tcW w:w="605" w:type="pct"/>
            <w:noWrap/>
            <w:vAlign w:val="center"/>
            <w:hideMark/>
          </w:tcPr>
          <w:p w14:paraId="1BB6247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0</w:t>
            </w:r>
          </w:p>
        </w:tc>
        <w:tc>
          <w:tcPr>
            <w:tcW w:w="605" w:type="pct"/>
            <w:noWrap/>
            <w:vAlign w:val="center"/>
            <w:hideMark/>
          </w:tcPr>
          <w:p w14:paraId="35A197F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293.22</w:t>
            </w:r>
          </w:p>
        </w:tc>
        <w:tc>
          <w:tcPr>
            <w:tcW w:w="675" w:type="pct"/>
            <w:noWrap/>
            <w:vAlign w:val="center"/>
            <w:hideMark/>
          </w:tcPr>
          <w:p w14:paraId="13508594"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522.17</w:t>
            </w:r>
          </w:p>
        </w:tc>
        <w:tc>
          <w:tcPr>
            <w:tcW w:w="671" w:type="pct"/>
            <w:noWrap/>
            <w:vAlign w:val="center"/>
            <w:hideMark/>
          </w:tcPr>
          <w:p w14:paraId="132128E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943.47</w:t>
            </w:r>
          </w:p>
        </w:tc>
      </w:tr>
      <w:tr w:rsidR="008E0E4E" w:rsidRPr="009C1935" w14:paraId="0C8178C4" w14:textId="77777777" w:rsidTr="00A43549">
        <w:trPr>
          <w:trHeight w:val="285"/>
          <w:jc w:val="center"/>
        </w:trPr>
        <w:tc>
          <w:tcPr>
            <w:tcW w:w="1838" w:type="pct"/>
            <w:noWrap/>
            <w:vAlign w:val="center"/>
            <w:hideMark/>
          </w:tcPr>
          <w:p w14:paraId="36DD1139"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Trade payables</w:t>
            </w:r>
          </w:p>
        </w:tc>
        <w:tc>
          <w:tcPr>
            <w:tcW w:w="606" w:type="pct"/>
            <w:noWrap/>
            <w:vAlign w:val="center"/>
            <w:hideMark/>
          </w:tcPr>
          <w:p w14:paraId="59EA7D7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526.94</w:t>
            </w:r>
          </w:p>
        </w:tc>
        <w:tc>
          <w:tcPr>
            <w:tcW w:w="605" w:type="pct"/>
            <w:noWrap/>
            <w:vAlign w:val="center"/>
            <w:hideMark/>
          </w:tcPr>
          <w:p w14:paraId="13DC1C3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692.91</w:t>
            </w:r>
          </w:p>
        </w:tc>
        <w:tc>
          <w:tcPr>
            <w:tcW w:w="605" w:type="pct"/>
            <w:noWrap/>
            <w:vAlign w:val="center"/>
            <w:hideMark/>
          </w:tcPr>
          <w:p w14:paraId="7E325518"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764.06</w:t>
            </w:r>
          </w:p>
        </w:tc>
        <w:tc>
          <w:tcPr>
            <w:tcW w:w="675" w:type="pct"/>
            <w:noWrap/>
            <w:vAlign w:val="center"/>
            <w:hideMark/>
          </w:tcPr>
          <w:p w14:paraId="6BF77CF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1,552.87</w:t>
            </w:r>
          </w:p>
        </w:tc>
        <w:tc>
          <w:tcPr>
            <w:tcW w:w="671" w:type="pct"/>
            <w:noWrap/>
            <w:vAlign w:val="center"/>
            <w:hideMark/>
          </w:tcPr>
          <w:p w14:paraId="1082FF1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1,222.04</w:t>
            </w:r>
          </w:p>
        </w:tc>
      </w:tr>
      <w:tr w:rsidR="008E0E4E" w:rsidRPr="009C1935" w14:paraId="0809B317" w14:textId="77777777" w:rsidTr="00A43549">
        <w:trPr>
          <w:trHeight w:val="285"/>
          <w:jc w:val="center"/>
        </w:trPr>
        <w:tc>
          <w:tcPr>
            <w:tcW w:w="1838" w:type="pct"/>
            <w:noWrap/>
            <w:vAlign w:val="center"/>
            <w:hideMark/>
          </w:tcPr>
          <w:p w14:paraId="5E02B564"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Other current liabilities</w:t>
            </w:r>
          </w:p>
        </w:tc>
        <w:tc>
          <w:tcPr>
            <w:tcW w:w="606" w:type="pct"/>
            <w:noWrap/>
            <w:vAlign w:val="center"/>
            <w:hideMark/>
          </w:tcPr>
          <w:p w14:paraId="28F5B464"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545.13</w:t>
            </w:r>
          </w:p>
        </w:tc>
        <w:tc>
          <w:tcPr>
            <w:tcW w:w="605" w:type="pct"/>
            <w:noWrap/>
            <w:vAlign w:val="center"/>
            <w:hideMark/>
          </w:tcPr>
          <w:p w14:paraId="75162BD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543.03</w:t>
            </w:r>
          </w:p>
        </w:tc>
        <w:tc>
          <w:tcPr>
            <w:tcW w:w="605" w:type="pct"/>
            <w:noWrap/>
            <w:vAlign w:val="center"/>
            <w:hideMark/>
          </w:tcPr>
          <w:p w14:paraId="6E9D4DF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864.18</w:t>
            </w:r>
          </w:p>
        </w:tc>
        <w:tc>
          <w:tcPr>
            <w:tcW w:w="675" w:type="pct"/>
            <w:noWrap/>
            <w:vAlign w:val="center"/>
            <w:hideMark/>
          </w:tcPr>
          <w:p w14:paraId="23C5F699"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973.83</w:t>
            </w:r>
          </w:p>
        </w:tc>
        <w:tc>
          <w:tcPr>
            <w:tcW w:w="671" w:type="pct"/>
            <w:noWrap/>
            <w:vAlign w:val="center"/>
            <w:hideMark/>
          </w:tcPr>
          <w:p w14:paraId="7C91FFA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778.73</w:t>
            </w:r>
          </w:p>
        </w:tc>
      </w:tr>
      <w:tr w:rsidR="008E0E4E" w:rsidRPr="009C1935" w14:paraId="15270612" w14:textId="77777777" w:rsidTr="00A43549">
        <w:trPr>
          <w:trHeight w:val="285"/>
          <w:jc w:val="center"/>
        </w:trPr>
        <w:tc>
          <w:tcPr>
            <w:tcW w:w="1838" w:type="pct"/>
            <w:vAlign w:val="center"/>
            <w:hideMark/>
          </w:tcPr>
          <w:p w14:paraId="772831EC"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Short-term provisions</w:t>
            </w:r>
          </w:p>
        </w:tc>
        <w:tc>
          <w:tcPr>
            <w:tcW w:w="606" w:type="pct"/>
            <w:noWrap/>
            <w:vAlign w:val="center"/>
            <w:hideMark/>
          </w:tcPr>
          <w:p w14:paraId="5C10304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25.65</w:t>
            </w:r>
          </w:p>
        </w:tc>
        <w:tc>
          <w:tcPr>
            <w:tcW w:w="605" w:type="pct"/>
            <w:noWrap/>
            <w:vAlign w:val="center"/>
            <w:hideMark/>
          </w:tcPr>
          <w:p w14:paraId="741821D3"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36.23</w:t>
            </w:r>
          </w:p>
        </w:tc>
        <w:tc>
          <w:tcPr>
            <w:tcW w:w="605" w:type="pct"/>
            <w:noWrap/>
            <w:vAlign w:val="center"/>
            <w:hideMark/>
          </w:tcPr>
          <w:p w14:paraId="5CD6914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25.21</w:t>
            </w:r>
          </w:p>
        </w:tc>
        <w:tc>
          <w:tcPr>
            <w:tcW w:w="675" w:type="pct"/>
            <w:noWrap/>
            <w:vAlign w:val="center"/>
            <w:hideMark/>
          </w:tcPr>
          <w:p w14:paraId="2E90A49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38.06</w:t>
            </w:r>
          </w:p>
        </w:tc>
        <w:tc>
          <w:tcPr>
            <w:tcW w:w="671" w:type="pct"/>
            <w:noWrap/>
            <w:vAlign w:val="center"/>
            <w:hideMark/>
          </w:tcPr>
          <w:p w14:paraId="7E0807F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65.90</w:t>
            </w:r>
          </w:p>
        </w:tc>
      </w:tr>
      <w:tr w:rsidR="008E0E4E" w:rsidRPr="009C1935" w14:paraId="69266BE6" w14:textId="77777777" w:rsidTr="00A43549">
        <w:trPr>
          <w:trHeight w:val="285"/>
          <w:jc w:val="center"/>
        </w:trPr>
        <w:tc>
          <w:tcPr>
            <w:tcW w:w="1838" w:type="pct"/>
            <w:vAlign w:val="center"/>
            <w:hideMark/>
          </w:tcPr>
          <w:p w14:paraId="1520AAF2" w14:textId="77777777" w:rsidR="008E0E4E" w:rsidRPr="009C1935" w:rsidRDefault="008E0E4E" w:rsidP="00FF2DC2">
            <w:pPr>
              <w:rPr>
                <w:rFonts w:ascii="Arial" w:hAnsi="Arial" w:cs="Arial"/>
                <w:sz w:val="19"/>
                <w:szCs w:val="19"/>
                <w:lang w:val="en-GB"/>
              </w:rPr>
            </w:pPr>
          </w:p>
        </w:tc>
        <w:tc>
          <w:tcPr>
            <w:tcW w:w="606" w:type="pct"/>
            <w:noWrap/>
            <w:vAlign w:val="center"/>
            <w:hideMark/>
          </w:tcPr>
          <w:p w14:paraId="214AC78E"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1,097.72</w:t>
            </w:r>
          </w:p>
        </w:tc>
        <w:tc>
          <w:tcPr>
            <w:tcW w:w="605" w:type="pct"/>
            <w:noWrap/>
            <w:vAlign w:val="center"/>
            <w:hideMark/>
          </w:tcPr>
          <w:p w14:paraId="4CD64A8F"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1,272.17</w:t>
            </w:r>
          </w:p>
        </w:tc>
        <w:tc>
          <w:tcPr>
            <w:tcW w:w="605" w:type="pct"/>
            <w:noWrap/>
            <w:vAlign w:val="center"/>
            <w:hideMark/>
          </w:tcPr>
          <w:p w14:paraId="53F71DB9"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1,946.67</w:t>
            </w:r>
          </w:p>
        </w:tc>
        <w:tc>
          <w:tcPr>
            <w:tcW w:w="675" w:type="pct"/>
            <w:noWrap/>
            <w:vAlign w:val="center"/>
            <w:hideMark/>
          </w:tcPr>
          <w:p w14:paraId="4A3C30E0"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3,086.93</w:t>
            </w:r>
          </w:p>
        </w:tc>
        <w:tc>
          <w:tcPr>
            <w:tcW w:w="671" w:type="pct"/>
            <w:noWrap/>
            <w:vAlign w:val="center"/>
            <w:hideMark/>
          </w:tcPr>
          <w:p w14:paraId="022BE615"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3,010.14</w:t>
            </w:r>
          </w:p>
        </w:tc>
      </w:tr>
      <w:tr w:rsidR="008E0E4E" w:rsidRPr="009C1935" w14:paraId="2DC0071E" w14:textId="77777777" w:rsidTr="00A43549">
        <w:trPr>
          <w:trHeight w:val="285"/>
          <w:jc w:val="center"/>
        </w:trPr>
        <w:tc>
          <w:tcPr>
            <w:tcW w:w="1838" w:type="pct"/>
            <w:vAlign w:val="center"/>
            <w:hideMark/>
          </w:tcPr>
          <w:p w14:paraId="02064036"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TOTAL (D = A + B + C)</w:t>
            </w:r>
          </w:p>
        </w:tc>
        <w:tc>
          <w:tcPr>
            <w:tcW w:w="606" w:type="pct"/>
            <w:noWrap/>
            <w:vAlign w:val="center"/>
            <w:hideMark/>
          </w:tcPr>
          <w:p w14:paraId="44DA0014"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7,009.88</w:t>
            </w:r>
          </w:p>
        </w:tc>
        <w:tc>
          <w:tcPr>
            <w:tcW w:w="605" w:type="pct"/>
            <w:noWrap/>
            <w:vAlign w:val="center"/>
            <w:hideMark/>
          </w:tcPr>
          <w:p w14:paraId="7A41DC67"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7,766.98</w:t>
            </w:r>
          </w:p>
        </w:tc>
        <w:tc>
          <w:tcPr>
            <w:tcW w:w="605" w:type="pct"/>
            <w:noWrap/>
            <w:vAlign w:val="center"/>
            <w:hideMark/>
          </w:tcPr>
          <w:p w14:paraId="4BB143CB"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9,273.51</w:t>
            </w:r>
          </w:p>
        </w:tc>
        <w:tc>
          <w:tcPr>
            <w:tcW w:w="675" w:type="pct"/>
            <w:noWrap/>
            <w:vAlign w:val="center"/>
            <w:hideMark/>
          </w:tcPr>
          <w:p w14:paraId="6A829DA2"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11,279.33</w:t>
            </w:r>
          </w:p>
        </w:tc>
        <w:tc>
          <w:tcPr>
            <w:tcW w:w="671" w:type="pct"/>
            <w:noWrap/>
            <w:vAlign w:val="center"/>
            <w:hideMark/>
          </w:tcPr>
          <w:p w14:paraId="2FE6365B"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12,933.38</w:t>
            </w:r>
          </w:p>
        </w:tc>
      </w:tr>
      <w:tr w:rsidR="008E0E4E" w:rsidRPr="009C1935" w14:paraId="43D50893" w14:textId="77777777" w:rsidTr="00A43549">
        <w:trPr>
          <w:trHeight w:val="285"/>
          <w:jc w:val="center"/>
        </w:trPr>
        <w:tc>
          <w:tcPr>
            <w:tcW w:w="1838" w:type="pct"/>
            <w:noWrap/>
            <w:vAlign w:val="center"/>
            <w:hideMark/>
          </w:tcPr>
          <w:p w14:paraId="3ADDDD5F"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ASSETS</w:t>
            </w:r>
          </w:p>
        </w:tc>
        <w:tc>
          <w:tcPr>
            <w:tcW w:w="606" w:type="pct"/>
            <w:noWrap/>
            <w:vAlign w:val="center"/>
            <w:hideMark/>
          </w:tcPr>
          <w:p w14:paraId="6C824653"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5CD0BC90"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4EDEB50E"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50D4C4A2"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0D885FEF" w14:textId="77777777" w:rsidR="008E0E4E" w:rsidRPr="009C1935" w:rsidRDefault="008E0E4E" w:rsidP="00FF2DC2">
            <w:pPr>
              <w:jc w:val="right"/>
              <w:rPr>
                <w:rFonts w:ascii="Arial" w:hAnsi="Arial" w:cs="Arial"/>
                <w:sz w:val="19"/>
                <w:szCs w:val="19"/>
                <w:lang w:val="en-GB"/>
              </w:rPr>
            </w:pPr>
          </w:p>
        </w:tc>
      </w:tr>
      <w:tr w:rsidR="008E0E4E" w:rsidRPr="009C1935" w14:paraId="1F37E55D" w14:textId="77777777" w:rsidTr="00A43549">
        <w:trPr>
          <w:trHeight w:val="285"/>
          <w:jc w:val="center"/>
        </w:trPr>
        <w:tc>
          <w:tcPr>
            <w:tcW w:w="1838" w:type="pct"/>
            <w:noWrap/>
            <w:vAlign w:val="center"/>
            <w:hideMark/>
          </w:tcPr>
          <w:p w14:paraId="5EB6C472"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[E] Non-current assets</w:t>
            </w:r>
          </w:p>
        </w:tc>
        <w:tc>
          <w:tcPr>
            <w:tcW w:w="606" w:type="pct"/>
            <w:noWrap/>
            <w:vAlign w:val="center"/>
            <w:hideMark/>
          </w:tcPr>
          <w:p w14:paraId="249B2979"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6F92DB8C"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6FFD8CD5"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6D10B4B2"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34F11178" w14:textId="77777777" w:rsidR="008E0E4E" w:rsidRPr="009C1935" w:rsidRDefault="008E0E4E" w:rsidP="00FF2DC2">
            <w:pPr>
              <w:jc w:val="right"/>
              <w:rPr>
                <w:rFonts w:ascii="Arial" w:hAnsi="Arial" w:cs="Arial"/>
                <w:sz w:val="19"/>
                <w:szCs w:val="19"/>
                <w:lang w:val="en-GB"/>
              </w:rPr>
            </w:pPr>
          </w:p>
        </w:tc>
      </w:tr>
      <w:tr w:rsidR="008E0E4E" w:rsidRPr="009C1935" w14:paraId="6D068B59" w14:textId="77777777" w:rsidTr="00A43549">
        <w:trPr>
          <w:trHeight w:val="285"/>
          <w:jc w:val="center"/>
        </w:trPr>
        <w:tc>
          <w:tcPr>
            <w:tcW w:w="1838" w:type="pct"/>
            <w:noWrap/>
            <w:vAlign w:val="center"/>
            <w:hideMark/>
          </w:tcPr>
          <w:p w14:paraId="3E66E02D"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w:t>
            </w:r>
            <w:proofErr w:type="spellStart"/>
            <w:r w:rsidRPr="009C1935">
              <w:rPr>
                <w:rFonts w:ascii="Arial" w:hAnsi="Arial" w:cs="Arial"/>
                <w:bCs/>
                <w:sz w:val="19"/>
                <w:szCs w:val="19"/>
                <w:lang w:val="en-GB"/>
              </w:rPr>
              <w:t>i</w:t>
            </w:r>
            <w:proofErr w:type="spellEnd"/>
            <w:r w:rsidRPr="009C1935">
              <w:rPr>
                <w:rFonts w:ascii="Arial" w:hAnsi="Arial" w:cs="Arial"/>
                <w:bCs/>
                <w:sz w:val="19"/>
                <w:szCs w:val="19"/>
                <w:lang w:val="en-GB"/>
              </w:rPr>
              <w:t>) Fixed assets</w:t>
            </w:r>
          </w:p>
        </w:tc>
        <w:tc>
          <w:tcPr>
            <w:tcW w:w="606" w:type="pct"/>
            <w:noWrap/>
            <w:vAlign w:val="center"/>
            <w:hideMark/>
          </w:tcPr>
          <w:p w14:paraId="0BB2EB74"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69FF7118"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07A28927"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01745212"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667D3927" w14:textId="77777777" w:rsidR="008E0E4E" w:rsidRPr="009C1935" w:rsidRDefault="008E0E4E" w:rsidP="00FF2DC2">
            <w:pPr>
              <w:jc w:val="right"/>
              <w:rPr>
                <w:rFonts w:ascii="Arial" w:hAnsi="Arial" w:cs="Arial"/>
                <w:sz w:val="19"/>
                <w:szCs w:val="19"/>
                <w:lang w:val="en-GB"/>
              </w:rPr>
            </w:pPr>
          </w:p>
        </w:tc>
      </w:tr>
      <w:tr w:rsidR="008E0E4E" w:rsidRPr="009C1935" w14:paraId="62F25250" w14:textId="77777777" w:rsidTr="00A43549">
        <w:trPr>
          <w:trHeight w:val="285"/>
          <w:jc w:val="center"/>
        </w:trPr>
        <w:tc>
          <w:tcPr>
            <w:tcW w:w="1838" w:type="pct"/>
            <w:noWrap/>
            <w:vAlign w:val="center"/>
            <w:hideMark/>
          </w:tcPr>
          <w:p w14:paraId="2F1CB624"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a) Tangible assets</w:t>
            </w:r>
          </w:p>
        </w:tc>
        <w:tc>
          <w:tcPr>
            <w:tcW w:w="606" w:type="pct"/>
            <w:noWrap/>
            <w:vAlign w:val="center"/>
            <w:hideMark/>
          </w:tcPr>
          <w:p w14:paraId="7B8450A0"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4,066.13</w:t>
            </w:r>
          </w:p>
        </w:tc>
        <w:tc>
          <w:tcPr>
            <w:tcW w:w="605" w:type="pct"/>
            <w:noWrap/>
            <w:vAlign w:val="center"/>
            <w:hideMark/>
          </w:tcPr>
          <w:p w14:paraId="1E160A4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4,068.29</w:t>
            </w:r>
          </w:p>
        </w:tc>
        <w:tc>
          <w:tcPr>
            <w:tcW w:w="605" w:type="pct"/>
            <w:noWrap/>
            <w:vAlign w:val="center"/>
            <w:hideMark/>
          </w:tcPr>
          <w:p w14:paraId="4E942A7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4,984.75</w:t>
            </w:r>
          </w:p>
        </w:tc>
        <w:tc>
          <w:tcPr>
            <w:tcW w:w="675" w:type="pct"/>
            <w:noWrap/>
            <w:vAlign w:val="center"/>
            <w:hideMark/>
          </w:tcPr>
          <w:p w14:paraId="252E02A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6,194.67</w:t>
            </w:r>
          </w:p>
        </w:tc>
        <w:tc>
          <w:tcPr>
            <w:tcW w:w="671" w:type="pct"/>
            <w:noWrap/>
            <w:vAlign w:val="center"/>
            <w:hideMark/>
          </w:tcPr>
          <w:p w14:paraId="712992D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6,424.77</w:t>
            </w:r>
          </w:p>
        </w:tc>
      </w:tr>
      <w:tr w:rsidR="008E0E4E" w:rsidRPr="009C1935" w14:paraId="32BA6E30" w14:textId="77777777" w:rsidTr="00A43549">
        <w:trPr>
          <w:trHeight w:val="285"/>
          <w:jc w:val="center"/>
        </w:trPr>
        <w:tc>
          <w:tcPr>
            <w:tcW w:w="1838" w:type="pct"/>
            <w:vAlign w:val="center"/>
            <w:hideMark/>
          </w:tcPr>
          <w:p w14:paraId="054CA09B"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b) Intangible assets</w:t>
            </w:r>
          </w:p>
        </w:tc>
        <w:tc>
          <w:tcPr>
            <w:tcW w:w="606" w:type="pct"/>
            <w:noWrap/>
            <w:vAlign w:val="center"/>
            <w:hideMark/>
          </w:tcPr>
          <w:p w14:paraId="67BA101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3.56</w:t>
            </w:r>
          </w:p>
        </w:tc>
        <w:tc>
          <w:tcPr>
            <w:tcW w:w="605" w:type="pct"/>
            <w:noWrap/>
            <w:vAlign w:val="center"/>
            <w:hideMark/>
          </w:tcPr>
          <w:p w14:paraId="6808C5A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3.49</w:t>
            </w:r>
          </w:p>
        </w:tc>
        <w:tc>
          <w:tcPr>
            <w:tcW w:w="605" w:type="pct"/>
            <w:noWrap/>
            <w:vAlign w:val="center"/>
            <w:hideMark/>
          </w:tcPr>
          <w:p w14:paraId="3394974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50.13</w:t>
            </w:r>
          </w:p>
        </w:tc>
        <w:tc>
          <w:tcPr>
            <w:tcW w:w="675" w:type="pct"/>
            <w:noWrap/>
            <w:vAlign w:val="center"/>
            <w:hideMark/>
          </w:tcPr>
          <w:p w14:paraId="667D3EC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70.18</w:t>
            </w:r>
          </w:p>
        </w:tc>
        <w:tc>
          <w:tcPr>
            <w:tcW w:w="671" w:type="pct"/>
            <w:noWrap/>
            <w:vAlign w:val="center"/>
            <w:hideMark/>
          </w:tcPr>
          <w:p w14:paraId="6DDF833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30.72</w:t>
            </w:r>
          </w:p>
        </w:tc>
      </w:tr>
      <w:tr w:rsidR="008E0E4E" w:rsidRPr="009C1935" w14:paraId="33E29099" w14:textId="77777777" w:rsidTr="00A43549">
        <w:trPr>
          <w:trHeight w:val="285"/>
          <w:jc w:val="center"/>
        </w:trPr>
        <w:tc>
          <w:tcPr>
            <w:tcW w:w="1838" w:type="pct"/>
            <w:vAlign w:val="center"/>
            <w:hideMark/>
          </w:tcPr>
          <w:p w14:paraId="3521F5BD"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 Capital work-in-progress</w:t>
            </w:r>
          </w:p>
        </w:tc>
        <w:tc>
          <w:tcPr>
            <w:tcW w:w="606" w:type="pct"/>
            <w:noWrap/>
            <w:vAlign w:val="center"/>
            <w:hideMark/>
          </w:tcPr>
          <w:p w14:paraId="72DD266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366.88</w:t>
            </w:r>
          </w:p>
        </w:tc>
        <w:tc>
          <w:tcPr>
            <w:tcW w:w="605" w:type="pct"/>
            <w:noWrap/>
            <w:vAlign w:val="center"/>
            <w:hideMark/>
          </w:tcPr>
          <w:p w14:paraId="2916457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725.57</w:t>
            </w:r>
          </w:p>
        </w:tc>
        <w:tc>
          <w:tcPr>
            <w:tcW w:w="605" w:type="pct"/>
            <w:noWrap/>
            <w:vAlign w:val="center"/>
            <w:hideMark/>
          </w:tcPr>
          <w:p w14:paraId="56737AD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421.83</w:t>
            </w:r>
          </w:p>
        </w:tc>
        <w:tc>
          <w:tcPr>
            <w:tcW w:w="675" w:type="pct"/>
            <w:noWrap/>
            <w:vAlign w:val="center"/>
            <w:hideMark/>
          </w:tcPr>
          <w:p w14:paraId="273C3BB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121.04</w:t>
            </w:r>
          </w:p>
        </w:tc>
        <w:tc>
          <w:tcPr>
            <w:tcW w:w="671" w:type="pct"/>
            <w:noWrap/>
            <w:vAlign w:val="center"/>
            <w:hideMark/>
          </w:tcPr>
          <w:p w14:paraId="4CCB7209"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88.53</w:t>
            </w:r>
          </w:p>
        </w:tc>
      </w:tr>
      <w:tr w:rsidR="008E0E4E" w:rsidRPr="009C1935" w14:paraId="1CC8E6B2" w14:textId="77777777" w:rsidTr="00A43549">
        <w:trPr>
          <w:trHeight w:val="285"/>
          <w:jc w:val="center"/>
        </w:trPr>
        <w:tc>
          <w:tcPr>
            <w:tcW w:w="1838" w:type="pct"/>
            <w:vAlign w:val="center"/>
            <w:hideMark/>
          </w:tcPr>
          <w:p w14:paraId="15D20272"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d) Intangible assets under development</w:t>
            </w:r>
          </w:p>
        </w:tc>
        <w:tc>
          <w:tcPr>
            <w:tcW w:w="606" w:type="pct"/>
            <w:noWrap/>
            <w:vAlign w:val="center"/>
            <w:hideMark/>
          </w:tcPr>
          <w:p w14:paraId="34B4801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30.66</w:t>
            </w:r>
          </w:p>
        </w:tc>
        <w:tc>
          <w:tcPr>
            <w:tcW w:w="605" w:type="pct"/>
            <w:noWrap/>
            <w:vAlign w:val="center"/>
            <w:hideMark/>
          </w:tcPr>
          <w:p w14:paraId="0BA3DB4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68.75</w:t>
            </w:r>
          </w:p>
        </w:tc>
        <w:tc>
          <w:tcPr>
            <w:tcW w:w="605" w:type="pct"/>
            <w:noWrap/>
            <w:vAlign w:val="center"/>
            <w:hideMark/>
          </w:tcPr>
          <w:p w14:paraId="282057F0"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22.69</w:t>
            </w:r>
          </w:p>
        </w:tc>
        <w:tc>
          <w:tcPr>
            <w:tcW w:w="675" w:type="pct"/>
            <w:noWrap/>
            <w:vAlign w:val="center"/>
            <w:hideMark/>
          </w:tcPr>
          <w:p w14:paraId="7BDA528C"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w:t>
            </w:r>
          </w:p>
        </w:tc>
        <w:tc>
          <w:tcPr>
            <w:tcW w:w="671" w:type="pct"/>
            <w:noWrap/>
            <w:vAlign w:val="center"/>
            <w:hideMark/>
          </w:tcPr>
          <w:p w14:paraId="019DC63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w:t>
            </w:r>
          </w:p>
        </w:tc>
      </w:tr>
      <w:tr w:rsidR="008E0E4E" w:rsidRPr="009C1935" w14:paraId="76BE066B" w14:textId="77777777" w:rsidTr="00A43549">
        <w:trPr>
          <w:trHeight w:val="285"/>
          <w:jc w:val="center"/>
        </w:trPr>
        <w:tc>
          <w:tcPr>
            <w:tcW w:w="1838" w:type="pct"/>
            <w:vAlign w:val="center"/>
            <w:hideMark/>
          </w:tcPr>
          <w:p w14:paraId="62470A89"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(ii) Non-current investments</w:t>
            </w:r>
          </w:p>
        </w:tc>
        <w:tc>
          <w:tcPr>
            <w:tcW w:w="606" w:type="pct"/>
            <w:noWrap/>
            <w:vAlign w:val="center"/>
            <w:hideMark/>
          </w:tcPr>
          <w:p w14:paraId="5A6C273C" w14:textId="03C1B859"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58</w:t>
            </w:r>
            <w:r w:rsidR="003C7079" w:rsidRPr="009C1935">
              <w:rPr>
                <w:rFonts w:ascii="Arial" w:hAnsi="Arial" w:cs="Arial"/>
                <w:sz w:val="19"/>
                <w:szCs w:val="19"/>
                <w:lang w:val="en-GB"/>
              </w:rPr>
              <w:t>.00</w:t>
            </w:r>
          </w:p>
        </w:tc>
        <w:tc>
          <w:tcPr>
            <w:tcW w:w="605" w:type="pct"/>
            <w:noWrap/>
            <w:vAlign w:val="center"/>
            <w:hideMark/>
          </w:tcPr>
          <w:p w14:paraId="022A1BE4"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125.27</w:t>
            </w:r>
          </w:p>
        </w:tc>
        <w:tc>
          <w:tcPr>
            <w:tcW w:w="605" w:type="pct"/>
            <w:noWrap/>
            <w:vAlign w:val="center"/>
            <w:hideMark/>
          </w:tcPr>
          <w:p w14:paraId="247CAD4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314.42</w:t>
            </w:r>
          </w:p>
        </w:tc>
        <w:tc>
          <w:tcPr>
            <w:tcW w:w="675" w:type="pct"/>
            <w:noWrap/>
            <w:vAlign w:val="center"/>
            <w:hideMark/>
          </w:tcPr>
          <w:p w14:paraId="5E115B0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513.72</w:t>
            </w:r>
          </w:p>
        </w:tc>
        <w:tc>
          <w:tcPr>
            <w:tcW w:w="671" w:type="pct"/>
            <w:noWrap/>
            <w:vAlign w:val="center"/>
            <w:hideMark/>
          </w:tcPr>
          <w:p w14:paraId="5ADD4C1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2,408.20</w:t>
            </w:r>
          </w:p>
        </w:tc>
      </w:tr>
      <w:tr w:rsidR="008E0E4E" w:rsidRPr="009C1935" w14:paraId="236C5AF2" w14:textId="77777777" w:rsidTr="00A43549">
        <w:trPr>
          <w:trHeight w:val="285"/>
          <w:jc w:val="center"/>
        </w:trPr>
        <w:tc>
          <w:tcPr>
            <w:tcW w:w="1838" w:type="pct"/>
            <w:vAlign w:val="center"/>
            <w:hideMark/>
          </w:tcPr>
          <w:p w14:paraId="730929CF"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(iii) Long-term loans and advances</w:t>
            </w:r>
          </w:p>
        </w:tc>
        <w:tc>
          <w:tcPr>
            <w:tcW w:w="606" w:type="pct"/>
            <w:noWrap/>
            <w:vAlign w:val="center"/>
            <w:hideMark/>
          </w:tcPr>
          <w:p w14:paraId="4195DC9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1,451.27</w:t>
            </w:r>
          </w:p>
        </w:tc>
        <w:tc>
          <w:tcPr>
            <w:tcW w:w="605" w:type="pct"/>
            <w:noWrap/>
            <w:vAlign w:val="center"/>
            <w:hideMark/>
          </w:tcPr>
          <w:p w14:paraId="2D3D5AF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1,532.86</w:t>
            </w:r>
          </w:p>
        </w:tc>
        <w:tc>
          <w:tcPr>
            <w:tcW w:w="605" w:type="pct"/>
            <w:noWrap/>
            <w:vAlign w:val="center"/>
            <w:hideMark/>
          </w:tcPr>
          <w:p w14:paraId="25D766BC"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1,679.82</w:t>
            </w:r>
          </w:p>
        </w:tc>
        <w:tc>
          <w:tcPr>
            <w:tcW w:w="675" w:type="pct"/>
            <w:noWrap/>
            <w:vAlign w:val="center"/>
            <w:hideMark/>
          </w:tcPr>
          <w:p w14:paraId="538D0C3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1,926.82</w:t>
            </w:r>
          </w:p>
        </w:tc>
        <w:tc>
          <w:tcPr>
            <w:tcW w:w="671" w:type="pct"/>
            <w:noWrap/>
            <w:vAlign w:val="center"/>
            <w:hideMark/>
          </w:tcPr>
          <w:p w14:paraId="6519A218"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1,465.15</w:t>
            </w:r>
          </w:p>
        </w:tc>
      </w:tr>
      <w:tr w:rsidR="008E0E4E" w:rsidRPr="009C1935" w14:paraId="27B44760" w14:textId="77777777" w:rsidTr="00A43549">
        <w:trPr>
          <w:trHeight w:val="285"/>
          <w:jc w:val="center"/>
        </w:trPr>
        <w:tc>
          <w:tcPr>
            <w:tcW w:w="1838" w:type="pct"/>
            <w:vAlign w:val="center"/>
            <w:hideMark/>
          </w:tcPr>
          <w:p w14:paraId="0EE9C2CB" w14:textId="77777777" w:rsidR="008E0E4E" w:rsidRPr="0037757F" w:rsidRDefault="008E0E4E" w:rsidP="00FF2DC2">
            <w:pPr>
              <w:rPr>
                <w:rFonts w:ascii="Arial" w:hAnsi="Arial" w:cs="Arial"/>
                <w:sz w:val="19"/>
                <w:szCs w:val="19"/>
                <w:lang w:val="fr-FR"/>
              </w:rPr>
            </w:pPr>
            <w:r w:rsidRPr="0037757F">
              <w:rPr>
                <w:rFonts w:ascii="Arial" w:hAnsi="Arial" w:cs="Arial"/>
                <w:sz w:val="19"/>
                <w:szCs w:val="19"/>
                <w:lang w:val="fr-FR"/>
              </w:rPr>
              <w:t xml:space="preserve">(iv) </w:t>
            </w:r>
            <w:proofErr w:type="spellStart"/>
            <w:r w:rsidRPr="0037757F">
              <w:rPr>
                <w:rFonts w:ascii="Arial" w:hAnsi="Arial" w:cs="Arial"/>
                <w:sz w:val="19"/>
                <w:szCs w:val="19"/>
                <w:lang w:val="fr-FR"/>
              </w:rPr>
              <w:t>Other</w:t>
            </w:r>
            <w:proofErr w:type="spellEnd"/>
            <w:r w:rsidRPr="0037757F">
              <w:rPr>
                <w:rFonts w:ascii="Arial" w:hAnsi="Arial" w:cs="Arial"/>
                <w:sz w:val="19"/>
                <w:szCs w:val="19"/>
                <w:lang w:val="fr-FR"/>
              </w:rPr>
              <w:t xml:space="preserve"> non-</w:t>
            </w:r>
            <w:proofErr w:type="spellStart"/>
            <w:r w:rsidRPr="0037757F">
              <w:rPr>
                <w:rFonts w:ascii="Arial" w:hAnsi="Arial" w:cs="Arial"/>
                <w:sz w:val="19"/>
                <w:szCs w:val="19"/>
                <w:lang w:val="fr-FR"/>
              </w:rPr>
              <w:t>current</w:t>
            </w:r>
            <w:proofErr w:type="spellEnd"/>
            <w:r w:rsidRPr="0037757F">
              <w:rPr>
                <w:rFonts w:ascii="Arial" w:hAnsi="Arial" w:cs="Arial"/>
                <w:sz w:val="19"/>
                <w:szCs w:val="19"/>
                <w:lang w:val="fr-FR"/>
              </w:rPr>
              <w:t xml:space="preserve"> </w:t>
            </w:r>
            <w:proofErr w:type="spellStart"/>
            <w:r w:rsidRPr="0037757F">
              <w:rPr>
                <w:rFonts w:ascii="Arial" w:hAnsi="Arial" w:cs="Arial"/>
                <w:sz w:val="19"/>
                <w:szCs w:val="19"/>
                <w:lang w:val="fr-FR"/>
              </w:rPr>
              <w:t>assets</w:t>
            </w:r>
            <w:proofErr w:type="spellEnd"/>
          </w:p>
        </w:tc>
        <w:tc>
          <w:tcPr>
            <w:tcW w:w="606" w:type="pct"/>
            <w:noWrap/>
            <w:vAlign w:val="center"/>
            <w:hideMark/>
          </w:tcPr>
          <w:p w14:paraId="38E2A729"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w:t>
            </w:r>
          </w:p>
        </w:tc>
        <w:tc>
          <w:tcPr>
            <w:tcW w:w="605" w:type="pct"/>
            <w:noWrap/>
            <w:vAlign w:val="center"/>
            <w:hideMark/>
          </w:tcPr>
          <w:p w14:paraId="6A33995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w:t>
            </w:r>
          </w:p>
        </w:tc>
        <w:tc>
          <w:tcPr>
            <w:tcW w:w="605" w:type="pct"/>
            <w:noWrap/>
            <w:vAlign w:val="center"/>
            <w:hideMark/>
          </w:tcPr>
          <w:p w14:paraId="588DDF4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13.41</w:t>
            </w:r>
          </w:p>
        </w:tc>
        <w:tc>
          <w:tcPr>
            <w:tcW w:w="675" w:type="pct"/>
            <w:noWrap/>
            <w:vAlign w:val="center"/>
            <w:hideMark/>
          </w:tcPr>
          <w:p w14:paraId="55BC076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13.06</w:t>
            </w:r>
          </w:p>
        </w:tc>
        <w:tc>
          <w:tcPr>
            <w:tcW w:w="671" w:type="pct"/>
            <w:noWrap/>
            <w:vAlign w:val="center"/>
            <w:hideMark/>
          </w:tcPr>
          <w:p w14:paraId="2975CFD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8.76</w:t>
            </w:r>
          </w:p>
        </w:tc>
      </w:tr>
      <w:tr w:rsidR="008E0E4E" w:rsidRPr="009C1935" w14:paraId="6F1C3F30" w14:textId="77777777" w:rsidTr="00A43549">
        <w:trPr>
          <w:trHeight w:val="285"/>
          <w:jc w:val="center"/>
        </w:trPr>
        <w:tc>
          <w:tcPr>
            <w:tcW w:w="1838" w:type="pct"/>
            <w:vAlign w:val="center"/>
            <w:hideMark/>
          </w:tcPr>
          <w:p w14:paraId="4A22EB8A"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Total</w:t>
            </w:r>
          </w:p>
        </w:tc>
        <w:tc>
          <w:tcPr>
            <w:tcW w:w="606" w:type="pct"/>
            <w:noWrap/>
            <w:vAlign w:val="center"/>
            <w:hideMark/>
          </w:tcPr>
          <w:p w14:paraId="38B2F9C8"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5,976.50</w:t>
            </w:r>
          </w:p>
        </w:tc>
        <w:tc>
          <w:tcPr>
            <w:tcW w:w="605" w:type="pct"/>
            <w:noWrap/>
            <w:vAlign w:val="center"/>
            <w:hideMark/>
          </w:tcPr>
          <w:p w14:paraId="45252FAB"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6,524.23</w:t>
            </w:r>
          </w:p>
        </w:tc>
        <w:tc>
          <w:tcPr>
            <w:tcW w:w="605" w:type="pct"/>
            <w:noWrap/>
            <w:vAlign w:val="center"/>
            <w:hideMark/>
          </w:tcPr>
          <w:p w14:paraId="3EA28DEF"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7,487.05</w:t>
            </w:r>
          </w:p>
        </w:tc>
        <w:tc>
          <w:tcPr>
            <w:tcW w:w="675" w:type="pct"/>
            <w:noWrap/>
            <w:vAlign w:val="center"/>
            <w:hideMark/>
          </w:tcPr>
          <w:p w14:paraId="7D2BE95B"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8,839.49</w:t>
            </w:r>
          </w:p>
        </w:tc>
        <w:tc>
          <w:tcPr>
            <w:tcW w:w="671" w:type="pct"/>
            <w:noWrap/>
            <w:vAlign w:val="center"/>
            <w:hideMark/>
          </w:tcPr>
          <w:p w14:paraId="18A4389B"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10,426.13</w:t>
            </w:r>
          </w:p>
        </w:tc>
      </w:tr>
      <w:tr w:rsidR="008E0E4E" w:rsidRPr="009C1935" w14:paraId="09B4027A" w14:textId="77777777" w:rsidTr="00A43549">
        <w:trPr>
          <w:trHeight w:val="285"/>
          <w:jc w:val="center"/>
        </w:trPr>
        <w:tc>
          <w:tcPr>
            <w:tcW w:w="1838" w:type="pct"/>
            <w:vAlign w:val="center"/>
            <w:hideMark/>
          </w:tcPr>
          <w:p w14:paraId="29B10D13"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[F] Current assets</w:t>
            </w:r>
          </w:p>
        </w:tc>
        <w:tc>
          <w:tcPr>
            <w:tcW w:w="606" w:type="pct"/>
            <w:noWrap/>
            <w:vAlign w:val="center"/>
            <w:hideMark/>
          </w:tcPr>
          <w:p w14:paraId="084F5677"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66B4CE6C" w14:textId="77777777" w:rsidR="008E0E4E" w:rsidRPr="009C1935" w:rsidRDefault="008E0E4E" w:rsidP="00FF2DC2">
            <w:pPr>
              <w:jc w:val="right"/>
              <w:rPr>
                <w:rFonts w:ascii="Arial" w:hAnsi="Arial" w:cs="Arial"/>
                <w:sz w:val="19"/>
                <w:szCs w:val="19"/>
                <w:lang w:val="en-GB"/>
              </w:rPr>
            </w:pPr>
          </w:p>
        </w:tc>
        <w:tc>
          <w:tcPr>
            <w:tcW w:w="605" w:type="pct"/>
            <w:noWrap/>
            <w:vAlign w:val="center"/>
            <w:hideMark/>
          </w:tcPr>
          <w:p w14:paraId="415FF21B" w14:textId="77777777" w:rsidR="008E0E4E" w:rsidRPr="009C1935" w:rsidRDefault="008E0E4E" w:rsidP="00FF2DC2">
            <w:pPr>
              <w:jc w:val="right"/>
              <w:rPr>
                <w:rFonts w:ascii="Arial" w:hAnsi="Arial" w:cs="Arial"/>
                <w:sz w:val="19"/>
                <w:szCs w:val="19"/>
                <w:lang w:val="en-GB"/>
              </w:rPr>
            </w:pPr>
          </w:p>
        </w:tc>
        <w:tc>
          <w:tcPr>
            <w:tcW w:w="675" w:type="pct"/>
            <w:noWrap/>
            <w:vAlign w:val="center"/>
            <w:hideMark/>
          </w:tcPr>
          <w:p w14:paraId="18D7CCBA" w14:textId="77777777" w:rsidR="008E0E4E" w:rsidRPr="009C1935" w:rsidRDefault="008E0E4E" w:rsidP="00FF2DC2">
            <w:pPr>
              <w:jc w:val="right"/>
              <w:rPr>
                <w:rFonts w:ascii="Arial" w:hAnsi="Arial" w:cs="Arial"/>
                <w:sz w:val="19"/>
                <w:szCs w:val="19"/>
                <w:lang w:val="en-GB"/>
              </w:rPr>
            </w:pPr>
          </w:p>
        </w:tc>
        <w:tc>
          <w:tcPr>
            <w:tcW w:w="671" w:type="pct"/>
            <w:noWrap/>
            <w:vAlign w:val="center"/>
            <w:hideMark/>
          </w:tcPr>
          <w:p w14:paraId="29D5CA06" w14:textId="77777777" w:rsidR="008E0E4E" w:rsidRPr="009C1935" w:rsidRDefault="008E0E4E" w:rsidP="00FF2DC2">
            <w:pPr>
              <w:jc w:val="right"/>
              <w:rPr>
                <w:rFonts w:ascii="Arial" w:hAnsi="Arial" w:cs="Arial"/>
                <w:sz w:val="19"/>
                <w:szCs w:val="19"/>
                <w:lang w:val="en-GB"/>
              </w:rPr>
            </w:pPr>
          </w:p>
        </w:tc>
      </w:tr>
      <w:tr w:rsidR="008E0E4E" w:rsidRPr="009C1935" w14:paraId="1AEF2231" w14:textId="77777777" w:rsidTr="00A43549">
        <w:trPr>
          <w:trHeight w:val="285"/>
          <w:jc w:val="center"/>
        </w:trPr>
        <w:tc>
          <w:tcPr>
            <w:tcW w:w="1838" w:type="pct"/>
            <w:vAlign w:val="center"/>
            <w:hideMark/>
          </w:tcPr>
          <w:p w14:paraId="59CFC1EF"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Inventories</w:t>
            </w:r>
          </w:p>
        </w:tc>
        <w:tc>
          <w:tcPr>
            <w:tcW w:w="606" w:type="pct"/>
            <w:noWrap/>
            <w:vAlign w:val="center"/>
            <w:hideMark/>
          </w:tcPr>
          <w:p w14:paraId="124FCFD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251.87</w:t>
            </w:r>
          </w:p>
        </w:tc>
        <w:tc>
          <w:tcPr>
            <w:tcW w:w="605" w:type="pct"/>
            <w:noWrap/>
            <w:vAlign w:val="center"/>
            <w:hideMark/>
          </w:tcPr>
          <w:p w14:paraId="1AE4E85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271.41</w:t>
            </w:r>
          </w:p>
        </w:tc>
        <w:tc>
          <w:tcPr>
            <w:tcW w:w="605" w:type="pct"/>
            <w:noWrap/>
            <w:vAlign w:val="center"/>
            <w:hideMark/>
          </w:tcPr>
          <w:p w14:paraId="5AB1E96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364.02</w:t>
            </w:r>
          </w:p>
        </w:tc>
        <w:tc>
          <w:tcPr>
            <w:tcW w:w="675" w:type="pct"/>
            <w:noWrap/>
            <w:vAlign w:val="center"/>
            <w:hideMark/>
          </w:tcPr>
          <w:p w14:paraId="7655180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473.87</w:t>
            </w:r>
          </w:p>
        </w:tc>
        <w:tc>
          <w:tcPr>
            <w:tcW w:w="671" w:type="pct"/>
            <w:noWrap/>
            <w:vAlign w:val="center"/>
            <w:hideMark/>
          </w:tcPr>
          <w:p w14:paraId="398769B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482.63</w:t>
            </w:r>
          </w:p>
        </w:tc>
      </w:tr>
      <w:tr w:rsidR="008E0E4E" w:rsidRPr="009C1935" w14:paraId="10F4C3EE" w14:textId="77777777" w:rsidTr="00A43549">
        <w:trPr>
          <w:trHeight w:val="285"/>
          <w:jc w:val="center"/>
        </w:trPr>
        <w:tc>
          <w:tcPr>
            <w:tcW w:w="1838" w:type="pct"/>
            <w:vAlign w:val="center"/>
            <w:hideMark/>
          </w:tcPr>
          <w:p w14:paraId="62FF78AE"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Trade receivables</w:t>
            </w:r>
          </w:p>
        </w:tc>
        <w:tc>
          <w:tcPr>
            <w:tcW w:w="606" w:type="pct"/>
            <w:noWrap/>
            <w:vAlign w:val="center"/>
            <w:hideMark/>
          </w:tcPr>
          <w:p w14:paraId="7DC5A4F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462.28</w:t>
            </w:r>
          </w:p>
        </w:tc>
        <w:tc>
          <w:tcPr>
            <w:tcW w:w="605" w:type="pct"/>
            <w:noWrap/>
            <w:vAlign w:val="center"/>
            <w:hideMark/>
          </w:tcPr>
          <w:p w14:paraId="22569E4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672.44</w:t>
            </w:r>
          </w:p>
        </w:tc>
        <w:tc>
          <w:tcPr>
            <w:tcW w:w="605" w:type="pct"/>
            <w:noWrap/>
            <w:vAlign w:val="center"/>
            <w:hideMark/>
          </w:tcPr>
          <w:p w14:paraId="7003D280" w14:textId="10AE4066"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914.7</w:t>
            </w:r>
            <w:r w:rsidR="003C7079" w:rsidRPr="009C1935">
              <w:rPr>
                <w:rFonts w:ascii="Arial" w:hAnsi="Arial" w:cs="Arial"/>
                <w:sz w:val="19"/>
                <w:szCs w:val="19"/>
                <w:lang w:val="en-GB"/>
              </w:rPr>
              <w:t>0</w:t>
            </w:r>
          </w:p>
        </w:tc>
        <w:tc>
          <w:tcPr>
            <w:tcW w:w="675" w:type="pct"/>
            <w:noWrap/>
            <w:vAlign w:val="center"/>
            <w:hideMark/>
          </w:tcPr>
          <w:p w14:paraId="5DAF733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1,331.50</w:t>
            </w:r>
          </w:p>
        </w:tc>
        <w:tc>
          <w:tcPr>
            <w:tcW w:w="671" w:type="pct"/>
            <w:noWrap/>
            <w:vAlign w:val="center"/>
            <w:hideMark/>
          </w:tcPr>
          <w:p w14:paraId="2EE48CA8"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1,430.65</w:t>
            </w:r>
          </w:p>
        </w:tc>
      </w:tr>
      <w:tr w:rsidR="008E0E4E" w:rsidRPr="009C1935" w14:paraId="5E3FACFF" w14:textId="77777777" w:rsidTr="00A43549">
        <w:trPr>
          <w:trHeight w:val="285"/>
          <w:jc w:val="center"/>
        </w:trPr>
        <w:tc>
          <w:tcPr>
            <w:tcW w:w="1838" w:type="pct"/>
            <w:vAlign w:val="center"/>
            <w:hideMark/>
          </w:tcPr>
          <w:p w14:paraId="190D2C19"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Cash and bank balances</w:t>
            </w:r>
          </w:p>
        </w:tc>
        <w:tc>
          <w:tcPr>
            <w:tcW w:w="606" w:type="pct"/>
            <w:noWrap/>
            <w:vAlign w:val="center"/>
            <w:hideMark/>
          </w:tcPr>
          <w:p w14:paraId="29617C1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172.99</w:t>
            </w:r>
          </w:p>
        </w:tc>
        <w:tc>
          <w:tcPr>
            <w:tcW w:w="605" w:type="pct"/>
            <w:noWrap/>
            <w:vAlign w:val="center"/>
            <w:hideMark/>
          </w:tcPr>
          <w:p w14:paraId="1BE37E3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138.11</w:t>
            </w:r>
          </w:p>
        </w:tc>
        <w:tc>
          <w:tcPr>
            <w:tcW w:w="605" w:type="pct"/>
            <w:noWrap/>
            <w:vAlign w:val="center"/>
            <w:hideMark/>
          </w:tcPr>
          <w:p w14:paraId="016DCC5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229.25</w:t>
            </w:r>
          </w:p>
        </w:tc>
        <w:tc>
          <w:tcPr>
            <w:tcW w:w="675" w:type="pct"/>
            <w:noWrap/>
            <w:vAlign w:val="center"/>
            <w:hideMark/>
          </w:tcPr>
          <w:p w14:paraId="6C45D11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223.13</w:t>
            </w:r>
          </w:p>
        </w:tc>
        <w:tc>
          <w:tcPr>
            <w:tcW w:w="671" w:type="pct"/>
            <w:noWrap/>
            <w:vAlign w:val="center"/>
            <w:hideMark/>
          </w:tcPr>
          <w:p w14:paraId="4D73603C"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233.71</w:t>
            </w:r>
          </w:p>
        </w:tc>
      </w:tr>
      <w:tr w:rsidR="008E0E4E" w:rsidRPr="009C1935" w14:paraId="08A39FC6" w14:textId="77777777" w:rsidTr="00A43549">
        <w:trPr>
          <w:trHeight w:val="285"/>
          <w:jc w:val="center"/>
        </w:trPr>
        <w:tc>
          <w:tcPr>
            <w:tcW w:w="1838" w:type="pct"/>
            <w:vAlign w:val="center"/>
            <w:hideMark/>
          </w:tcPr>
          <w:p w14:paraId="4BDC8C40"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Short-term loans and advances</w:t>
            </w:r>
          </w:p>
        </w:tc>
        <w:tc>
          <w:tcPr>
            <w:tcW w:w="606" w:type="pct"/>
            <w:noWrap/>
            <w:vAlign w:val="center"/>
            <w:hideMark/>
          </w:tcPr>
          <w:p w14:paraId="66FD5661" w14:textId="39C9D36C"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113.9</w:t>
            </w:r>
            <w:r w:rsidR="003C7079" w:rsidRPr="009C1935">
              <w:rPr>
                <w:rFonts w:ascii="Arial" w:hAnsi="Arial" w:cs="Arial"/>
                <w:sz w:val="19"/>
                <w:szCs w:val="19"/>
                <w:lang w:val="en-GB"/>
              </w:rPr>
              <w:t>0</w:t>
            </w:r>
          </w:p>
        </w:tc>
        <w:tc>
          <w:tcPr>
            <w:tcW w:w="605" w:type="pct"/>
            <w:noWrap/>
            <w:vAlign w:val="center"/>
            <w:hideMark/>
          </w:tcPr>
          <w:p w14:paraId="1FE7ACFE" w14:textId="0EC0ACB4"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116.2</w:t>
            </w:r>
            <w:r w:rsidR="003C7079" w:rsidRPr="009C1935">
              <w:rPr>
                <w:rFonts w:ascii="Arial" w:hAnsi="Arial" w:cs="Arial"/>
                <w:sz w:val="19"/>
                <w:szCs w:val="19"/>
                <w:lang w:val="en-GB"/>
              </w:rPr>
              <w:t>0</w:t>
            </w:r>
          </w:p>
        </w:tc>
        <w:tc>
          <w:tcPr>
            <w:tcW w:w="605" w:type="pct"/>
            <w:noWrap/>
            <w:vAlign w:val="center"/>
            <w:hideMark/>
          </w:tcPr>
          <w:p w14:paraId="15E4596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204.07</w:t>
            </w:r>
          </w:p>
        </w:tc>
        <w:tc>
          <w:tcPr>
            <w:tcW w:w="675" w:type="pct"/>
            <w:noWrap/>
            <w:vAlign w:val="center"/>
            <w:hideMark/>
          </w:tcPr>
          <w:p w14:paraId="74458E3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281.87</w:t>
            </w:r>
          </w:p>
        </w:tc>
        <w:tc>
          <w:tcPr>
            <w:tcW w:w="671" w:type="pct"/>
            <w:noWrap/>
            <w:vAlign w:val="center"/>
            <w:hideMark/>
          </w:tcPr>
          <w:p w14:paraId="2B6CD13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241.25</w:t>
            </w:r>
          </w:p>
        </w:tc>
      </w:tr>
      <w:tr w:rsidR="008E0E4E" w:rsidRPr="009C1935" w14:paraId="436D5C9B" w14:textId="77777777" w:rsidTr="00A43549">
        <w:trPr>
          <w:trHeight w:val="285"/>
          <w:jc w:val="center"/>
        </w:trPr>
        <w:tc>
          <w:tcPr>
            <w:tcW w:w="1838" w:type="pct"/>
            <w:vAlign w:val="center"/>
            <w:hideMark/>
          </w:tcPr>
          <w:p w14:paraId="08353285"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Other current assets</w:t>
            </w:r>
          </w:p>
        </w:tc>
        <w:tc>
          <w:tcPr>
            <w:tcW w:w="606" w:type="pct"/>
            <w:noWrap/>
            <w:vAlign w:val="center"/>
            <w:hideMark/>
          </w:tcPr>
          <w:p w14:paraId="7BDFC5A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32.34</w:t>
            </w:r>
          </w:p>
        </w:tc>
        <w:tc>
          <w:tcPr>
            <w:tcW w:w="605" w:type="pct"/>
            <w:noWrap/>
            <w:vAlign w:val="center"/>
            <w:hideMark/>
          </w:tcPr>
          <w:p w14:paraId="52AE470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44.59</w:t>
            </w:r>
          </w:p>
        </w:tc>
        <w:tc>
          <w:tcPr>
            <w:tcW w:w="605" w:type="pct"/>
            <w:noWrap/>
            <w:vAlign w:val="center"/>
            <w:hideMark/>
          </w:tcPr>
          <w:p w14:paraId="02E7833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74.42</w:t>
            </w:r>
          </w:p>
        </w:tc>
        <w:tc>
          <w:tcPr>
            <w:tcW w:w="675" w:type="pct"/>
            <w:noWrap/>
            <w:vAlign w:val="center"/>
            <w:hideMark/>
          </w:tcPr>
          <w:p w14:paraId="06A21DF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129.47</w:t>
            </w:r>
          </w:p>
        </w:tc>
        <w:tc>
          <w:tcPr>
            <w:tcW w:w="671" w:type="pct"/>
            <w:noWrap/>
            <w:vAlign w:val="center"/>
            <w:hideMark/>
          </w:tcPr>
          <w:p w14:paraId="1463602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119.01</w:t>
            </w:r>
          </w:p>
        </w:tc>
      </w:tr>
      <w:tr w:rsidR="008E0E4E" w:rsidRPr="009C1935" w14:paraId="623CBD39" w14:textId="77777777" w:rsidTr="00A43549">
        <w:trPr>
          <w:trHeight w:val="285"/>
          <w:jc w:val="center"/>
        </w:trPr>
        <w:tc>
          <w:tcPr>
            <w:tcW w:w="1838" w:type="pct"/>
            <w:vAlign w:val="center"/>
            <w:hideMark/>
          </w:tcPr>
          <w:p w14:paraId="55866EBA"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Total</w:t>
            </w:r>
          </w:p>
        </w:tc>
        <w:tc>
          <w:tcPr>
            <w:tcW w:w="606" w:type="pct"/>
            <w:noWrap/>
            <w:vAlign w:val="center"/>
            <w:hideMark/>
          </w:tcPr>
          <w:p w14:paraId="2152B196"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w:t>
            </w:r>
            <w:r w:rsidR="0045542B" w:rsidRPr="009C1935">
              <w:rPr>
                <w:rFonts w:ascii="Arial" w:hAnsi="Arial" w:cs="Arial"/>
                <w:bCs/>
                <w:sz w:val="19"/>
                <w:szCs w:val="19"/>
                <w:lang w:val="en-GB"/>
              </w:rPr>
              <w:t>,</w:t>
            </w:r>
            <w:r w:rsidRPr="009C1935">
              <w:rPr>
                <w:rFonts w:ascii="Arial" w:hAnsi="Arial" w:cs="Arial"/>
                <w:bCs/>
                <w:sz w:val="19"/>
                <w:szCs w:val="19"/>
                <w:lang w:val="en-GB"/>
              </w:rPr>
              <w:t>033.38</w:t>
            </w:r>
          </w:p>
        </w:tc>
        <w:tc>
          <w:tcPr>
            <w:tcW w:w="605" w:type="pct"/>
            <w:noWrap/>
            <w:vAlign w:val="center"/>
            <w:hideMark/>
          </w:tcPr>
          <w:p w14:paraId="7C737D10"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w:t>
            </w:r>
            <w:r w:rsidR="0045542B" w:rsidRPr="009C1935">
              <w:rPr>
                <w:rFonts w:ascii="Arial" w:hAnsi="Arial" w:cs="Arial"/>
                <w:bCs/>
                <w:sz w:val="19"/>
                <w:szCs w:val="19"/>
                <w:lang w:val="en-GB"/>
              </w:rPr>
              <w:t>,</w:t>
            </w:r>
            <w:r w:rsidRPr="009C1935">
              <w:rPr>
                <w:rFonts w:ascii="Arial" w:hAnsi="Arial" w:cs="Arial"/>
                <w:bCs/>
                <w:sz w:val="19"/>
                <w:szCs w:val="19"/>
                <w:lang w:val="en-GB"/>
              </w:rPr>
              <w:t>242.75</w:t>
            </w:r>
          </w:p>
        </w:tc>
        <w:tc>
          <w:tcPr>
            <w:tcW w:w="605" w:type="pct"/>
            <w:noWrap/>
            <w:vAlign w:val="center"/>
            <w:hideMark/>
          </w:tcPr>
          <w:p w14:paraId="7591CA24"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w:t>
            </w:r>
            <w:r w:rsidR="0045542B" w:rsidRPr="009C1935">
              <w:rPr>
                <w:rFonts w:ascii="Arial" w:hAnsi="Arial" w:cs="Arial"/>
                <w:bCs/>
                <w:sz w:val="19"/>
                <w:szCs w:val="19"/>
                <w:lang w:val="en-GB"/>
              </w:rPr>
              <w:t>,</w:t>
            </w:r>
            <w:r w:rsidRPr="009C1935">
              <w:rPr>
                <w:rFonts w:ascii="Arial" w:hAnsi="Arial" w:cs="Arial"/>
                <w:bCs/>
                <w:sz w:val="19"/>
                <w:szCs w:val="19"/>
                <w:lang w:val="en-GB"/>
              </w:rPr>
              <w:t>786.46</w:t>
            </w:r>
          </w:p>
        </w:tc>
        <w:tc>
          <w:tcPr>
            <w:tcW w:w="675" w:type="pct"/>
            <w:noWrap/>
            <w:vAlign w:val="center"/>
            <w:hideMark/>
          </w:tcPr>
          <w:p w14:paraId="7504C6AE"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2</w:t>
            </w:r>
            <w:r w:rsidR="0045542B" w:rsidRPr="009C1935">
              <w:rPr>
                <w:rFonts w:ascii="Arial" w:hAnsi="Arial" w:cs="Arial"/>
                <w:bCs/>
                <w:sz w:val="19"/>
                <w:szCs w:val="19"/>
                <w:lang w:val="en-GB"/>
              </w:rPr>
              <w:t>,</w:t>
            </w:r>
            <w:r w:rsidRPr="009C1935">
              <w:rPr>
                <w:rFonts w:ascii="Arial" w:hAnsi="Arial" w:cs="Arial"/>
                <w:bCs/>
                <w:sz w:val="19"/>
                <w:szCs w:val="19"/>
                <w:lang w:val="en-GB"/>
              </w:rPr>
              <w:t>439.84</w:t>
            </w:r>
          </w:p>
        </w:tc>
        <w:tc>
          <w:tcPr>
            <w:tcW w:w="671" w:type="pct"/>
            <w:noWrap/>
            <w:vAlign w:val="center"/>
            <w:hideMark/>
          </w:tcPr>
          <w:p w14:paraId="5346E7F0"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2</w:t>
            </w:r>
            <w:r w:rsidR="0045542B" w:rsidRPr="009C1935">
              <w:rPr>
                <w:rFonts w:ascii="Arial" w:hAnsi="Arial" w:cs="Arial"/>
                <w:bCs/>
                <w:sz w:val="19"/>
                <w:szCs w:val="19"/>
                <w:lang w:val="en-GB"/>
              </w:rPr>
              <w:t>,</w:t>
            </w:r>
            <w:r w:rsidRPr="009C1935">
              <w:rPr>
                <w:rFonts w:ascii="Arial" w:hAnsi="Arial" w:cs="Arial"/>
                <w:bCs/>
                <w:sz w:val="19"/>
                <w:szCs w:val="19"/>
                <w:lang w:val="en-GB"/>
              </w:rPr>
              <w:t>507.25</w:t>
            </w:r>
          </w:p>
        </w:tc>
      </w:tr>
      <w:tr w:rsidR="008E0E4E" w:rsidRPr="009C1935" w14:paraId="7A6C91BF" w14:textId="77777777" w:rsidTr="00A43549">
        <w:trPr>
          <w:trHeight w:val="285"/>
          <w:jc w:val="center"/>
        </w:trPr>
        <w:tc>
          <w:tcPr>
            <w:tcW w:w="1838" w:type="pct"/>
            <w:vAlign w:val="center"/>
            <w:hideMark/>
          </w:tcPr>
          <w:p w14:paraId="4F342825" w14:textId="77777777" w:rsidR="008E0E4E" w:rsidRPr="009C1935" w:rsidRDefault="008E0E4E" w:rsidP="00FF2DC2">
            <w:pPr>
              <w:rPr>
                <w:rFonts w:ascii="Arial" w:hAnsi="Arial" w:cs="Arial"/>
                <w:bCs/>
                <w:sz w:val="19"/>
                <w:szCs w:val="19"/>
                <w:lang w:val="en-GB"/>
              </w:rPr>
            </w:pPr>
            <w:r w:rsidRPr="009C1935">
              <w:rPr>
                <w:rFonts w:ascii="Arial" w:hAnsi="Arial" w:cs="Arial"/>
                <w:bCs/>
                <w:sz w:val="19"/>
                <w:szCs w:val="19"/>
                <w:lang w:val="en-GB"/>
              </w:rPr>
              <w:t>TOTAL (G = E + F)</w:t>
            </w:r>
          </w:p>
        </w:tc>
        <w:tc>
          <w:tcPr>
            <w:tcW w:w="606" w:type="pct"/>
            <w:noWrap/>
            <w:vAlign w:val="center"/>
            <w:hideMark/>
          </w:tcPr>
          <w:p w14:paraId="1EF4F79F"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7,009.88</w:t>
            </w:r>
          </w:p>
        </w:tc>
        <w:tc>
          <w:tcPr>
            <w:tcW w:w="605" w:type="pct"/>
            <w:noWrap/>
            <w:vAlign w:val="center"/>
            <w:hideMark/>
          </w:tcPr>
          <w:p w14:paraId="36CC62FB"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7,766.98</w:t>
            </w:r>
          </w:p>
        </w:tc>
        <w:tc>
          <w:tcPr>
            <w:tcW w:w="605" w:type="pct"/>
            <w:noWrap/>
            <w:vAlign w:val="center"/>
            <w:hideMark/>
          </w:tcPr>
          <w:p w14:paraId="59FE1751"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9,273.51</w:t>
            </w:r>
          </w:p>
        </w:tc>
        <w:tc>
          <w:tcPr>
            <w:tcW w:w="675" w:type="pct"/>
            <w:noWrap/>
            <w:vAlign w:val="center"/>
            <w:hideMark/>
          </w:tcPr>
          <w:p w14:paraId="03D159FE"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11,279.33</w:t>
            </w:r>
          </w:p>
        </w:tc>
        <w:tc>
          <w:tcPr>
            <w:tcW w:w="671" w:type="pct"/>
            <w:noWrap/>
            <w:vAlign w:val="center"/>
            <w:hideMark/>
          </w:tcPr>
          <w:p w14:paraId="11761767" w14:textId="77777777" w:rsidR="008E0E4E" w:rsidRPr="009C1935" w:rsidRDefault="008E0E4E" w:rsidP="00FF2DC2">
            <w:pPr>
              <w:jc w:val="right"/>
              <w:rPr>
                <w:rFonts w:ascii="Arial" w:hAnsi="Arial" w:cs="Arial"/>
                <w:bCs/>
                <w:sz w:val="19"/>
                <w:szCs w:val="19"/>
                <w:lang w:val="en-GB"/>
              </w:rPr>
            </w:pPr>
            <w:r w:rsidRPr="009C1935">
              <w:rPr>
                <w:rFonts w:ascii="Arial" w:hAnsi="Arial" w:cs="Arial"/>
                <w:bCs/>
                <w:sz w:val="19"/>
                <w:szCs w:val="19"/>
                <w:lang w:val="en-GB"/>
              </w:rPr>
              <w:t>12,933.38</w:t>
            </w:r>
          </w:p>
        </w:tc>
      </w:tr>
    </w:tbl>
    <w:p w14:paraId="32204998" w14:textId="77777777" w:rsidR="00FF2DC2" w:rsidRPr="009C1935" w:rsidRDefault="00FF2DC2" w:rsidP="00E22A65">
      <w:pPr>
        <w:pStyle w:val="FootnoteText1"/>
        <w:rPr>
          <w:lang w:val="en-GB"/>
        </w:rPr>
      </w:pPr>
    </w:p>
    <w:p w14:paraId="1BB413C7" w14:textId="1342884B" w:rsidR="008E0E4E" w:rsidRPr="009C1935" w:rsidRDefault="008E0E4E" w:rsidP="00E22A65">
      <w:pPr>
        <w:pStyle w:val="FootnoteText1"/>
        <w:rPr>
          <w:lang w:val="en-GB"/>
        </w:rPr>
      </w:pPr>
      <w:r w:rsidRPr="009C1935">
        <w:rPr>
          <w:lang w:val="en-GB"/>
        </w:rPr>
        <w:t xml:space="preserve">Source: </w:t>
      </w:r>
      <w:r w:rsidR="003C7079" w:rsidRPr="009C1935">
        <w:rPr>
          <w:lang w:val="en-GB"/>
        </w:rPr>
        <w:t>Red-</w:t>
      </w:r>
      <w:r w:rsidRPr="009C1935">
        <w:rPr>
          <w:lang w:val="en-GB"/>
        </w:rPr>
        <w:t xml:space="preserve">herring prospectus of Narayana Health filed with </w:t>
      </w:r>
      <w:r w:rsidR="007C632C" w:rsidRPr="009C1935">
        <w:rPr>
          <w:lang w:val="en-GB"/>
        </w:rPr>
        <w:t xml:space="preserve">the </w:t>
      </w:r>
      <w:r w:rsidRPr="009C1935">
        <w:rPr>
          <w:lang w:val="en-GB"/>
        </w:rPr>
        <w:t>SEBI.</w:t>
      </w:r>
    </w:p>
    <w:p w14:paraId="66677EAD" w14:textId="77777777" w:rsidR="008E0E4E" w:rsidRPr="009C1935" w:rsidRDefault="008E0E4E" w:rsidP="00453FA9">
      <w:pPr>
        <w:rPr>
          <w:rFonts w:ascii="Arial" w:hAnsi="Arial" w:cs="Arial"/>
          <w:b/>
          <w:lang w:val="en-GB"/>
        </w:rPr>
      </w:pPr>
      <w:r w:rsidRPr="009C1935">
        <w:rPr>
          <w:rFonts w:ascii="Arial" w:hAnsi="Arial" w:cs="Arial"/>
          <w:b/>
          <w:lang w:val="en-GB"/>
        </w:rPr>
        <w:br w:type="page"/>
      </w:r>
    </w:p>
    <w:p w14:paraId="2B739455" w14:textId="77777777" w:rsidR="008E0E4E" w:rsidRPr="009C1935" w:rsidRDefault="008E0E4E" w:rsidP="00741604">
      <w:pPr>
        <w:pStyle w:val="Casehead1"/>
        <w:jc w:val="center"/>
        <w:rPr>
          <w:lang w:val="en-GB"/>
        </w:rPr>
      </w:pPr>
      <w:r w:rsidRPr="009C1935">
        <w:rPr>
          <w:lang w:val="en-GB"/>
        </w:rPr>
        <w:lastRenderedPageBreak/>
        <w:t>EXHIBIT 7: STATEMENT OF PROFIT AND LOSS OF NARAYANA HEALTH</w:t>
      </w:r>
    </w:p>
    <w:p w14:paraId="0C0E406C" w14:textId="77777777" w:rsidR="008E0E4E" w:rsidRPr="009C1935" w:rsidRDefault="00654CC9" w:rsidP="00741604">
      <w:pPr>
        <w:pStyle w:val="Casehead2"/>
        <w:jc w:val="center"/>
        <w:rPr>
          <w:lang w:val="en-GB"/>
        </w:rPr>
      </w:pPr>
      <w:proofErr w:type="gramStart"/>
      <w:r w:rsidRPr="009C1935">
        <w:rPr>
          <w:lang w:val="en-GB"/>
        </w:rPr>
        <w:t>for</w:t>
      </w:r>
      <w:proofErr w:type="gramEnd"/>
      <w:r w:rsidRPr="009C1935">
        <w:rPr>
          <w:lang w:val="en-GB"/>
        </w:rPr>
        <w:t xml:space="preserve"> </w:t>
      </w:r>
      <w:r w:rsidR="008E0E4E" w:rsidRPr="009C1935">
        <w:rPr>
          <w:lang w:val="en-GB"/>
        </w:rPr>
        <w:t xml:space="preserve">the years ending March 31 (in </w:t>
      </w:r>
      <w:r w:rsidR="00CD0AE9" w:rsidRPr="009C1935">
        <w:rPr>
          <w:color w:val="222222"/>
          <w:shd w:val="clear" w:color="auto" w:fill="FFFFFF"/>
          <w:lang w:val="en-GB"/>
        </w:rPr>
        <w:t xml:space="preserve">₹ </w:t>
      </w:r>
      <w:r w:rsidR="008E0E4E" w:rsidRPr="009C1935">
        <w:rPr>
          <w:lang w:val="en-GB"/>
        </w:rPr>
        <w:t>millions)</w:t>
      </w:r>
    </w:p>
    <w:p w14:paraId="19CA23E9" w14:textId="77777777" w:rsidR="008E0E4E" w:rsidRPr="009C1935" w:rsidRDefault="008E0E4E" w:rsidP="00741604">
      <w:pPr>
        <w:pStyle w:val="BodyTextMain"/>
        <w:rPr>
          <w:lang w:val="en-GB"/>
        </w:rPr>
      </w:pPr>
    </w:p>
    <w:tbl>
      <w:tblPr>
        <w:tblStyle w:val="TableGrid"/>
        <w:tblW w:w="4897" w:type="pct"/>
        <w:jc w:val="center"/>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1052"/>
        <w:gridCol w:w="1050"/>
        <w:gridCol w:w="1050"/>
        <w:gridCol w:w="1169"/>
        <w:gridCol w:w="1170"/>
      </w:tblGrid>
      <w:tr w:rsidR="008E0E4E" w:rsidRPr="009C1935" w14:paraId="10D6D6A1" w14:textId="77777777" w:rsidTr="00A43549">
        <w:trPr>
          <w:trHeight w:val="303"/>
          <w:jc w:val="center"/>
        </w:trPr>
        <w:tc>
          <w:tcPr>
            <w:tcW w:w="2072" w:type="pct"/>
            <w:vAlign w:val="center"/>
            <w:hideMark/>
          </w:tcPr>
          <w:p w14:paraId="7AD06FB7" w14:textId="77777777" w:rsidR="008E0E4E" w:rsidRPr="009C1935" w:rsidRDefault="008E0E4E" w:rsidP="00FF2DC2">
            <w:pPr>
              <w:jc w:val="center"/>
              <w:rPr>
                <w:rFonts w:ascii="Arial" w:hAnsi="Arial" w:cs="Arial"/>
                <w:b/>
                <w:bCs/>
                <w:lang w:val="en-GB"/>
              </w:rPr>
            </w:pPr>
            <w:r w:rsidRPr="009C1935">
              <w:rPr>
                <w:rFonts w:ascii="Arial" w:hAnsi="Arial" w:cs="Arial"/>
                <w:b/>
                <w:bCs/>
                <w:lang w:val="en-GB"/>
              </w:rPr>
              <w:t>Particulars</w:t>
            </w:r>
          </w:p>
        </w:tc>
        <w:tc>
          <w:tcPr>
            <w:tcW w:w="561" w:type="pct"/>
            <w:noWrap/>
            <w:vAlign w:val="center"/>
            <w:hideMark/>
          </w:tcPr>
          <w:p w14:paraId="295ACA06" w14:textId="77777777" w:rsidR="008E0E4E" w:rsidRPr="009C1935" w:rsidRDefault="008E0E4E" w:rsidP="00FF2DC2">
            <w:pPr>
              <w:jc w:val="center"/>
              <w:rPr>
                <w:rFonts w:ascii="Arial" w:hAnsi="Arial" w:cs="Arial"/>
                <w:b/>
                <w:bCs/>
                <w:lang w:val="en-GB"/>
              </w:rPr>
            </w:pPr>
            <w:r w:rsidRPr="009C1935">
              <w:rPr>
                <w:rFonts w:ascii="Arial" w:hAnsi="Arial" w:cs="Arial"/>
                <w:b/>
                <w:bCs/>
                <w:lang w:val="en-GB"/>
              </w:rPr>
              <w:t>2011</w:t>
            </w:r>
          </w:p>
        </w:tc>
        <w:tc>
          <w:tcPr>
            <w:tcW w:w="560" w:type="pct"/>
            <w:noWrap/>
            <w:vAlign w:val="center"/>
            <w:hideMark/>
          </w:tcPr>
          <w:p w14:paraId="1B051C7A" w14:textId="77777777" w:rsidR="008E0E4E" w:rsidRPr="009C1935" w:rsidRDefault="008E0E4E" w:rsidP="00FF2DC2">
            <w:pPr>
              <w:jc w:val="center"/>
              <w:rPr>
                <w:rFonts w:ascii="Arial" w:hAnsi="Arial" w:cs="Arial"/>
                <w:b/>
                <w:bCs/>
                <w:lang w:val="en-GB"/>
              </w:rPr>
            </w:pPr>
            <w:r w:rsidRPr="009C1935">
              <w:rPr>
                <w:rFonts w:ascii="Arial" w:hAnsi="Arial" w:cs="Arial"/>
                <w:b/>
                <w:bCs/>
                <w:lang w:val="en-GB"/>
              </w:rPr>
              <w:t>2012</w:t>
            </w:r>
          </w:p>
        </w:tc>
        <w:tc>
          <w:tcPr>
            <w:tcW w:w="560" w:type="pct"/>
            <w:noWrap/>
            <w:vAlign w:val="center"/>
            <w:hideMark/>
          </w:tcPr>
          <w:p w14:paraId="2E22350F" w14:textId="77777777" w:rsidR="008E0E4E" w:rsidRPr="009C1935" w:rsidRDefault="008E0E4E" w:rsidP="00FF2DC2">
            <w:pPr>
              <w:jc w:val="center"/>
              <w:rPr>
                <w:rFonts w:ascii="Arial" w:hAnsi="Arial" w:cs="Arial"/>
                <w:b/>
                <w:bCs/>
                <w:lang w:val="en-GB"/>
              </w:rPr>
            </w:pPr>
            <w:r w:rsidRPr="009C1935">
              <w:rPr>
                <w:rFonts w:ascii="Arial" w:hAnsi="Arial" w:cs="Arial"/>
                <w:b/>
                <w:bCs/>
                <w:lang w:val="en-GB"/>
              </w:rPr>
              <w:t>2013</w:t>
            </w:r>
          </w:p>
        </w:tc>
        <w:tc>
          <w:tcPr>
            <w:tcW w:w="623" w:type="pct"/>
            <w:noWrap/>
            <w:vAlign w:val="center"/>
            <w:hideMark/>
          </w:tcPr>
          <w:p w14:paraId="715A57E3" w14:textId="77777777" w:rsidR="008E0E4E" w:rsidRPr="009C1935" w:rsidRDefault="008E0E4E" w:rsidP="00FF2DC2">
            <w:pPr>
              <w:jc w:val="center"/>
              <w:rPr>
                <w:rFonts w:ascii="Arial" w:hAnsi="Arial" w:cs="Arial"/>
                <w:b/>
                <w:bCs/>
                <w:lang w:val="en-GB"/>
              </w:rPr>
            </w:pPr>
            <w:r w:rsidRPr="009C1935">
              <w:rPr>
                <w:rFonts w:ascii="Arial" w:hAnsi="Arial" w:cs="Arial"/>
                <w:b/>
                <w:bCs/>
                <w:lang w:val="en-GB"/>
              </w:rPr>
              <w:t>2014</w:t>
            </w:r>
          </w:p>
        </w:tc>
        <w:tc>
          <w:tcPr>
            <w:tcW w:w="624" w:type="pct"/>
            <w:noWrap/>
            <w:vAlign w:val="center"/>
            <w:hideMark/>
          </w:tcPr>
          <w:p w14:paraId="31EA9EB2" w14:textId="77777777" w:rsidR="008E0E4E" w:rsidRPr="009C1935" w:rsidRDefault="008E0E4E" w:rsidP="00FF2DC2">
            <w:pPr>
              <w:jc w:val="center"/>
              <w:rPr>
                <w:rFonts w:ascii="Arial" w:hAnsi="Arial" w:cs="Arial"/>
                <w:b/>
                <w:bCs/>
                <w:lang w:val="en-GB"/>
              </w:rPr>
            </w:pPr>
            <w:r w:rsidRPr="009C1935">
              <w:rPr>
                <w:rFonts w:ascii="Arial" w:hAnsi="Arial" w:cs="Arial"/>
                <w:b/>
                <w:bCs/>
                <w:lang w:val="en-GB"/>
              </w:rPr>
              <w:t>2015</w:t>
            </w:r>
          </w:p>
        </w:tc>
      </w:tr>
      <w:tr w:rsidR="008E0E4E" w:rsidRPr="009C1935" w14:paraId="5A2C2571" w14:textId="77777777" w:rsidTr="00A43549">
        <w:trPr>
          <w:trHeight w:val="303"/>
          <w:jc w:val="center"/>
        </w:trPr>
        <w:tc>
          <w:tcPr>
            <w:tcW w:w="2072" w:type="pct"/>
            <w:vAlign w:val="center"/>
            <w:hideMark/>
          </w:tcPr>
          <w:p w14:paraId="1CF4884D" w14:textId="77777777" w:rsidR="008E0E4E" w:rsidRPr="009C1935" w:rsidRDefault="008E0E4E" w:rsidP="00FF2DC2">
            <w:pPr>
              <w:rPr>
                <w:rFonts w:ascii="Arial" w:hAnsi="Arial" w:cs="Arial"/>
                <w:bCs/>
                <w:lang w:val="en-GB"/>
              </w:rPr>
            </w:pPr>
            <w:r w:rsidRPr="009C1935">
              <w:rPr>
                <w:rFonts w:ascii="Arial" w:hAnsi="Arial" w:cs="Arial"/>
                <w:bCs/>
                <w:lang w:val="en-GB"/>
              </w:rPr>
              <w:t>INCOME</w:t>
            </w:r>
          </w:p>
        </w:tc>
        <w:tc>
          <w:tcPr>
            <w:tcW w:w="561" w:type="pct"/>
            <w:noWrap/>
            <w:hideMark/>
          </w:tcPr>
          <w:p w14:paraId="6C1DB315" w14:textId="77777777" w:rsidR="008E0E4E" w:rsidRPr="009C1935" w:rsidRDefault="008E0E4E" w:rsidP="00741604">
            <w:pPr>
              <w:jc w:val="center"/>
              <w:rPr>
                <w:rFonts w:ascii="Arial" w:hAnsi="Arial" w:cs="Arial"/>
                <w:lang w:val="en-GB"/>
              </w:rPr>
            </w:pPr>
          </w:p>
        </w:tc>
        <w:tc>
          <w:tcPr>
            <w:tcW w:w="560" w:type="pct"/>
            <w:noWrap/>
            <w:hideMark/>
          </w:tcPr>
          <w:p w14:paraId="4A6C26E9" w14:textId="77777777" w:rsidR="008E0E4E" w:rsidRPr="009C1935" w:rsidRDefault="008E0E4E" w:rsidP="00741604">
            <w:pPr>
              <w:jc w:val="center"/>
              <w:rPr>
                <w:rFonts w:ascii="Arial" w:hAnsi="Arial" w:cs="Arial"/>
                <w:lang w:val="en-GB"/>
              </w:rPr>
            </w:pPr>
          </w:p>
        </w:tc>
        <w:tc>
          <w:tcPr>
            <w:tcW w:w="560" w:type="pct"/>
            <w:noWrap/>
            <w:hideMark/>
          </w:tcPr>
          <w:p w14:paraId="321DA345" w14:textId="77777777" w:rsidR="008E0E4E" w:rsidRPr="009C1935" w:rsidRDefault="008E0E4E" w:rsidP="00741604">
            <w:pPr>
              <w:jc w:val="center"/>
              <w:rPr>
                <w:rFonts w:ascii="Arial" w:hAnsi="Arial" w:cs="Arial"/>
                <w:lang w:val="en-GB"/>
              </w:rPr>
            </w:pPr>
          </w:p>
        </w:tc>
        <w:tc>
          <w:tcPr>
            <w:tcW w:w="623" w:type="pct"/>
            <w:noWrap/>
            <w:hideMark/>
          </w:tcPr>
          <w:p w14:paraId="360D53C0" w14:textId="77777777" w:rsidR="008E0E4E" w:rsidRPr="009C1935" w:rsidRDefault="008E0E4E" w:rsidP="00741604">
            <w:pPr>
              <w:jc w:val="center"/>
              <w:rPr>
                <w:rFonts w:ascii="Arial" w:hAnsi="Arial" w:cs="Arial"/>
                <w:lang w:val="en-GB"/>
              </w:rPr>
            </w:pPr>
          </w:p>
        </w:tc>
        <w:tc>
          <w:tcPr>
            <w:tcW w:w="624" w:type="pct"/>
            <w:noWrap/>
            <w:hideMark/>
          </w:tcPr>
          <w:p w14:paraId="3852C3BE" w14:textId="77777777" w:rsidR="008E0E4E" w:rsidRPr="009C1935" w:rsidRDefault="008E0E4E" w:rsidP="00741604">
            <w:pPr>
              <w:jc w:val="center"/>
              <w:rPr>
                <w:rFonts w:ascii="Arial" w:hAnsi="Arial" w:cs="Arial"/>
                <w:lang w:val="en-GB"/>
              </w:rPr>
            </w:pPr>
          </w:p>
        </w:tc>
      </w:tr>
      <w:tr w:rsidR="008E0E4E" w:rsidRPr="009C1935" w14:paraId="675DF512" w14:textId="77777777" w:rsidTr="00A43549">
        <w:trPr>
          <w:trHeight w:val="303"/>
          <w:jc w:val="center"/>
        </w:trPr>
        <w:tc>
          <w:tcPr>
            <w:tcW w:w="2072" w:type="pct"/>
            <w:vAlign w:val="center"/>
            <w:hideMark/>
          </w:tcPr>
          <w:p w14:paraId="6AA53C96" w14:textId="77777777" w:rsidR="008E0E4E" w:rsidRPr="009C1935" w:rsidRDefault="008E0E4E" w:rsidP="00A7108E">
            <w:pPr>
              <w:rPr>
                <w:rFonts w:ascii="Arial" w:hAnsi="Arial" w:cs="Arial"/>
                <w:lang w:val="en-GB"/>
              </w:rPr>
            </w:pPr>
            <w:r w:rsidRPr="009C1935">
              <w:rPr>
                <w:rFonts w:ascii="Arial" w:hAnsi="Arial" w:cs="Arial"/>
                <w:lang w:val="en-GB"/>
              </w:rPr>
              <w:t xml:space="preserve">Revenue from </w:t>
            </w:r>
            <w:r w:rsidR="00A7108E" w:rsidRPr="009C1935">
              <w:rPr>
                <w:rFonts w:ascii="Arial" w:hAnsi="Arial" w:cs="Arial"/>
                <w:lang w:val="en-GB"/>
              </w:rPr>
              <w:t>operations</w:t>
            </w:r>
          </w:p>
        </w:tc>
        <w:tc>
          <w:tcPr>
            <w:tcW w:w="561" w:type="pct"/>
            <w:noWrap/>
            <w:vAlign w:val="center"/>
            <w:hideMark/>
          </w:tcPr>
          <w:p w14:paraId="60122CD8" w14:textId="77777777" w:rsidR="008E0E4E" w:rsidRPr="009C1935" w:rsidRDefault="008E0E4E" w:rsidP="00FF2DC2">
            <w:pPr>
              <w:jc w:val="right"/>
              <w:rPr>
                <w:rFonts w:ascii="Arial" w:hAnsi="Arial" w:cs="Arial"/>
                <w:lang w:val="en-GB"/>
              </w:rPr>
            </w:pPr>
            <w:r w:rsidRPr="009C1935">
              <w:rPr>
                <w:rFonts w:ascii="Arial" w:hAnsi="Arial" w:cs="Arial"/>
                <w:lang w:val="en-GB"/>
              </w:rPr>
              <w:t>4,729.20</w:t>
            </w:r>
          </w:p>
        </w:tc>
        <w:tc>
          <w:tcPr>
            <w:tcW w:w="560" w:type="pct"/>
            <w:noWrap/>
            <w:vAlign w:val="center"/>
            <w:hideMark/>
          </w:tcPr>
          <w:p w14:paraId="344F38F4" w14:textId="77777777" w:rsidR="008E0E4E" w:rsidRPr="009C1935" w:rsidRDefault="008E0E4E" w:rsidP="00FF2DC2">
            <w:pPr>
              <w:jc w:val="right"/>
              <w:rPr>
                <w:rFonts w:ascii="Arial" w:hAnsi="Arial" w:cs="Arial"/>
                <w:lang w:val="en-GB"/>
              </w:rPr>
            </w:pPr>
            <w:r w:rsidRPr="009C1935">
              <w:rPr>
                <w:rFonts w:ascii="Arial" w:hAnsi="Arial" w:cs="Arial"/>
                <w:lang w:val="en-GB"/>
              </w:rPr>
              <w:t>6,470.57</w:t>
            </w:r>
          </w:p>
        </w:tc>
        <w:tc>
          <w:tcPr>
            <w:tcW w:w="560" w:type="pct"/>
            <w:noWrap/>
            <w:vAlign w:val="center"/>
            <w:hideMark/>
          </w:tcPr>
          <w:p w14:paraId="5E48C45A" w14:textId="77777777" w:rsidR="008E0E4E" w:rsidRPr="009C1935" w:rsidRDefault="008E0E4E" w:rsidP="00FF2DC2">
            <w:pPr>
              <w:jc w:val="right"/>
              <w:rPr>
                <w:rFonts w:ascii="Arial" w:hAnsi="Arial" w:cs="Arial"/>
                <w:lang w:val="en-GB"/>
              </w:rPr>
            </w:pPr>
            <w:r w:rsidRPr="009C1935">
              <w:rPr>
                <w:rFonts w:ascii="Arial" w:hAnsi="Arial" w:cs="Arial"/>
                <w:lang w:val="en-GB"/>
              </w:rPr>
              <w:t>8,250.72</w:t>
            </w:r>
          </w:p>
        </w:tc>
        <w:tc>
          <w:tcPr>
            <w:tcW w:w="623" w:type="pct"/>
            <w:noWrap/>
            <w:vAlign w:val="center"/>
            <w:hideMark/>
          </w:tcPr>
          <w:p w14:paraId="28A19720" w14:textId="77777777" w:rsidR="008E0E4E" w:rsidRPr="009C1935" w:rsidRDefault="008E0E4E" w:rsidP="00FF2DC2">
            <w:pPr>
              <w:jc w:val="right"/>
              <w:rPr>
                <w:rFonts w:ascii="Arial" w:hAnsi="Arial" w:cs="Arial"/>
                <w:lang w:val="en-GB"/>
              </w:rPr>
            </w:pPr>
            <w:r w:rsidRPr="009C1935">
              <w:rPr>
                <w:rFonts w:ascii="Arial" w:hAnsi="Arial" w:cs="Arial"/>
                <w:lang w:val="en-GB"/>
              </w:rPr>
              <w:t>10,758.14</w:t>
            </w:r>
          </w:p>
        </w:tc>
        <w:tc>
          <w:tcPr>
            <w:tcW w:w="624" w:type="pct"/>
            <w:noWrap/>
            <w:vAlign w:val="center"/>
            <w:hideMark/>
          </w:tcPr>
          <w:p w14:paraId="5A2F65B7" w14:textId="77777777" w:rsidR="008E0E4E" w:rsidRPr="009C1935" w:rsidRDefault="008E0E4E" w:rsidP="00FF2DC2">
            <w:pPr>
              <w:jc w:val="right"/>
              <w:rPr>
                <w:rFonts w:ascii="Arial" w:hAnsi="Arial" w:cs="Arial"/>
                <w:lang w:val="en-GB"/>
              </w:rPr>
            </w:pPr>
            <w:r w:rsidRPr="009C1935">
              <w:rPr>
                <w:rFonts w:ascii="Arial" w:hAnsi="Arial" w:cs="Arial"/>
                <w:lang w:val="en-GB"/>
              </w:rPr>
              <w:t>13,075.65</w:t>
            </w:r>
          </w:p>
        </w:tc>
      </w:tr>
      <w:tr w:rsidR="008E0E4E" w:rsidRPr="009C1935" w14:paraId="53218171" w14:textId="77777777" w:rsidTr="00A43549">
        <w:trPr>
          <w:trHeight w:val="303"/>
          <w:jc w:val="center"/>
        </w:trPr>
        <w:tc>
          <w:tcPr>
            <w:tcW w:w="2072" w:type="pct"/>
            <w:vAlign w:val="center"/>
            <w:hideMark/>
          </w:tcPr>
          <w:p w14:paraId="1A8F9A58" w14:textId="77777777" w:rsidR="008E0E4E" w:rsidRPr="009C1935" w:rsidRDefault="008E0E4E" w:rsidP="00A7108E">
            <w:pPr>
              <w:rPr>
                <w:rFonts w:ascii="Arial" w:hAnsi="Arial" w:cs="Arial"/>
                <w:lang w:val="en-GB"/>
              </w:rPr>
            </w:pPr>
            <w:r w:rsidRPr="009C1935">
              <w:rPr>
                <w:rFonts w:ascii="Arial" w:hAnsi="Arial" w:cs="Arial"/>
                <w:lang w:val="en-GB"/>
              </w:rPr>
              <w:t xml:space="preserve">Other </w:t>
            </w:r>
            <w:r w:rsidR="00A7108E" w:rsidRPr="009C1935">
              <w:rPr>
                <w:rFonts w:ascii="Arial" w:hAnsi="Arial" w:cs="Arial"/>
                <w:lang w:val="en-GB"/>
              </w:rPr>
              <w:t>income</w:t>
            </w:r>
          </w:p>
        </w:tc>
        <w:tc>
          <w:tcPr>
            <w:tcW w:w="561" w:type="pct"/>
            <w:noWrap/>
            <w:vAlign w:val="center"/>
            <w:hideMark/>
          </w:tcPr>
          <w:p w14:paraId="1220DD8A" w14:textId="77777777" w:rsidR="008E0E4E" w:rsidRPr="009C1935" w:rsidRDefault="008E0E4E" w:rsidP="00FF2DC2">
            <w:pPr>
              <w:jc w:val="right"/>
              <w:rPr>
                <w:rFonts w:ascii="Arial" w:hAnsi="Arial" w:cs="Arial"/>
                <w:lang w:val="en-GB"/>
              </w:rPr>
            </w:pPr>
            <w:r w:rsidRPr="009C1935">
              <w:rPr>
                <w:rFonts w:ascii="Arial" w:hAnsi="Arial" w:cs="Arial"/>
                <w:lang w:val="en-GB"/>
              </w:rPr>
              <w:t>26.22</w:t>
            </w:r>
          </w:p>
        </w:tc>
        <w:tc>
          <w:tcPr>
            <w:tcW w:w="560" w:type="pct"/>
            <w:noWrap/>
            <w:vAlign w:val="center"/>
            <w:hideMark/>
          </w:tcPr>
          <w:p w14:paraId="11DFBA1F" w14:textId="77777777" w:rsidR="008E0E4E" w:rsidRPr="009C1935" w:rsidRDefault="008E0E4E" w:rsidP="00FF2DC2">
            <w:pPr>
              <w:jc w:val="right"/>
              <w:rPr>
                <w:rFonts w:ascii="Arial" w:hAnsi="Arial" w:cs="Arial"/>
                <w:lang w:val="en-GB"/>
              </w:rPr>
            </w:pPr>
            <w:r w:rsidRPr="009C1935">
              <w:rPr>
                <w:rFonts w:ascii="Arial" w:hAnsi="Arial" w:cs="Arial"/>
                <w:lang w:val="en-GB"/>
              </w:rPr>
              <w:t>23.77</w:t>
            </w:r>
          </w:p>
        </w:tc>
        <w:tc>
          <w:tcPr>
            <w:tcW w:w="560" w:type="pct"/>
            <w:noWrap/>
            <w:vAlign w:val="center"/>
            <w:hideMark/>
          </w:tcPr>
          <w:p w14:paraId="4EF3F993" w14:textId="77777777" w:rsidR="008E0E4E" w:rsidRPr="009C1935" w:rsidRDefault="008E0E4E" w:rsidP="00FF2DC2">
            <w:pPr>
              <w:jc w:val="right"/>
              <w:rPr>
                <w:rFonts w:ascii="Arial" w:hAnsi="Arial" w:cs="Arial"/>
                <w:lang w:val="en-GB"/>
              </w:rPr>
            </w:pPr>
            <w:r w:rsidRPr="009C1935">
              <w:rPr>
                <w:rFonts w:ascii="Arial" w:hAnsi="Arial" w:cs="Arial"/>
                <w:lang w:val="en-GB"/>
              </w:rPr>
              <w:t>22.76</w:t>
            </w:r>
          </w:p>
        </w:tc>
        <w:tc>
          <w:tcPr>
            <w:tcW w:w="623" w:type="pct"/>
            <w:noWrap/>
            <w:vAlign w:val="center"/>
            <w:hideMark/>
          </w:tcPr>
          <w:p w14:paraId="00BA4CBB" w14:textId="77777777" w:rsidR="008E0E4E" w:rsidRPr="009C1935" w:rsidRDefault="008E0E4E" w:rsidP="00FF2DC2">
            <w:pPr>
              <w:jc w:val="right"/>
              <w:rPr>
                <w:rFonts w:ascii="Arial" w:hAnsi="Arial" w:cs="Arial"/>
                <w:lang w:val="en-GB"/>
              </w:rPr>
            </w:pPr>
            <w:r w:rsidRPr="009C1935">
              <w:rPr>
                <w:rFonts w:ascii="Arial" w:hAnsi="Arial" w:cs="Arial"/>
                <w:lang w:val="en-GB"/>
              </w:rPr>
              <w:t>155.02</w:t>
            </w:r>
          </w:p>
        </w:tc>
        <w:tc>
          <w:tcPr>
            <w:tcW w:w="624" w:type="pct"/>
            <w:noWrap/>
            <w:vAlign w:val="center"/>
            <w:hideMark/>
          </w:tcPr>
          <w:p w14:paraId="061E4AA0" w14:textId="77777777" w:rsidR="008E0E4E" w:rsidRPr="009C1935" w:rsidRDefault="008E0E4E" w:rsidP="00FF2DC2">
            <w:pPr>
              <w:jc w:val="right"/>
              <w:rPr>
                <w:rFonts w:ascii="Arial" w:hAnsi="Arial" w:cs="Arial"/>
                <w:lang w:val="en-GB"/>
              </w:rPr>
            </w:pPr>
            <w:r w:rsidRPr="009C1935">
              <w:rPr>
                <w:rFonts w:ascii="Arial" w:hAnsi="Arial" w:cs="Arial"/>
                <w:lang w:val="en-GB"/>
              </w:rPr>
              <w:t>100.53</w:t>
            </w:r>
          </w:p>
        </w:tc>
      </w:tr>
      <w:tr w:rsidR="008E0E4E" w:rsidRPr="009C1935" w14:paraId="5F4EB12E" w14:textId="77777777" w:rsidTr="00A43549">
        <w:trPr>
          <w:trHeight w:val="303"/>
          <w:jc w:val="center"/>
        </w:trPr>
        <w:tc>
          <w:tcPr>
            <w:tcW w:w="2072" w:type="pct"/>
            <w:vAlign w:val="center"/>
            <w:hideMark/>
          </w:tcPr>
          <w:p w14:paraId="476F9C8E" w14:textId="77777777" w:rsidR="008E0E4E" w:rsidRPr="009C1935" w:rsidRDefault="008E0E4E" w:rsidP="00A7108E">
            <w:pPr>
              <w:rPr>
                <w:rFonts w:ascii="Arial" w:hAnsi="Arial" w:cs="Arial"/>
                <w:bCs/>
                <w:lang w:val="en-GB"/>
              </w:rPr>
            </w:pPr>
            <w:r w:rsidRPr="009C1935">
              <w:rPr>
                <w:rFonts w:ascii="Arial" w:hAnsi="Arial" w:cs="Arial"/>
                <w:bCs/>
                <w:lang w:val="en-GB"/>
              </w:rPr>
              <w:t xml:space="preserve">Total </w:t>
            </w:r>
            <w:r w:rsidR="00A7108E" w:rsidRPr="009C1935">
              <w:rPr>
                <w:rFonts w:ascii="Arial" w:hAnsi="Arial" w:cs="Arial"/>
                <w:bCs/>
                <w:lang w:val="en-GB"/>
              </w:rPr>
              <w:t>revenue</w:t>
            </w:r>
          </w:p>
        </w:tc>
        <w:tc>
          <w:tcPr>
            <w:tcW w:w="561" w:type="pct"/>
            <w:noWrap/>
            <w:vAlign w:val="center"/>
            <w:hideMark/>
          </w:tcPr>
          <w:p w14:paraId="1FD5DFA3" w14:textId="77777777" w:rsidR="008E0E4E" w:rsidRPr="009C1935" w:rsidRDefault="008E0E4E" w:rsidP="00FF2DC2">
            <w:pPr>
              <w:jc w:val="right"/>
              <w:rPr>
                <w:rFonts w:ascii="Arial" w:hAnsi="Arial" w:cs="Arial"/>
                <w:bCs/>
                <w:lang w:val="en-GB"/>
              </w:rPr>
            </w:pPr>
            <w:r w:rsidRPr="009C1935">
              <w:rPr>
                <w:rFonts w:ascii="Arial" w:hAnsi="Arial" w:cs="Arial"/>
                <w:bCs/>
                <w:lang w:val="en-GB"/>
              </w:rPr>
              <w:t>4</w:t>
            </w:r>
            <w:r w:rsidR="00A7108E" w:rsidRPr="009C1935">
              <w:rPr>
                <w:rFonts w:ascii="Arial" w:hAnsi="Arial" w:cs="Arial"/>
                <w:bCs/>
                <w:lang w:val="en-GB"/>
              </w:rPr>
              <w:t>,</w:t>
            </w:r>
            <w:r w:rsidRPr="009C1935">
              <w:rPr>
                <w:rFonts w:ascii="Arial" w:hAnsi="Arial" w:cs="Arial"/>
                <w:bCs/>
                <w:lang w:val="en-GB"/>
              </w:rPr>
              <w:t>755.42</w:t>
            </w:r>
          </w:p>
        </w:tc>
        <w:tc>
          <w:tcPr>
            <w:tcW w:w="560" w:type="pct"/>
            <w:noWrap/>
            <w:vAlign w:val="center"/>
            <w:hideMark/>
          </w:tcPr>
          <w:p w14:paraId="6AF120D7" w14:textId="77777777" w:rsidR="008E0E4E" w:rsidRPr="009C1935" w:rsidRDefault="008E0E4E" w:rsidP="00FF2DC2">
            <w:pPr>
              <w:jc w:val="right"/>
              <w:rPr>
                <w:rFonts w:ascii="Arial" w:hAnsi="Arial" w:cs="Arial"/>
                <w:bCs/>
                <w:lang w:val="en-GB"/>
              </w:rPr>
            </w:pPr>
            <w:r w:rsidRPr="009C1935">
              <w:rPr>
                <w:rFonts w:ascii="Arial" w:hAnsi="Arial" w:cs="Arial"/>
                <w:bCs/>
                <w:lang w:val="en-GB"/>
              </w:rPr>
              <w:t>6</w:t>
            </w:r>
            <w:r w:rsidR="00A7108E" w:rsidRPr="009C1935">
              <w:rPr>
                <w:rFonts w:ascii="Arial" w:hAnsi="Arial" w:cs="Arial"/>
                <w:bCs/>
                <w:lang w:val="en-GB"/>
              </w:rPr>
              <w:t>,</w:t>
            </w:r>
            <w:r w:rsidRPr="009C1935">
              <w:rPr>
                <w:rFonts w:ascii="Arial" w:hAnsi="Arial" w:cs="Arial"/>
                <w:bCs/>
                <w:lang w:val="en-GB"/>
              </w:rPr>
              <w:t>494.34</w:t>
            </w:r>
          </w:p>
        </w:tc>
        <w:tc>
          <w:tcPr>
            <w:tcW w:w="560" w:type="pct"/>
            <w:noWrap/>
            <w:vAlign w:val="center"/>
            <w:hideMark/>
          </w:tcPr>
          <w:p w14:paraId="3F85D3E3" w14:textId="77777777" w:rsidR="008E0E4E" w:rsidRPr="009C1935" w:rsidRDefault="008E0E4E" w:rsidP="00FF2DC2">
            <w:pPr>
              <w:jc w:val="right"/>
              <w:rPr>
                <w:rFonts w:ascii="Arial" w:hAnsi="Arial" w:cs="Arial"/>
                <w:bCs/>
                <w:lang w:val="en-GB"/>
              </w:rPr>
            </w:pPr>
            <w:r w:rsidRPr="009C1935">
              <w:rPr>
                <w:rFonts w:ascii="Arial" w:hAnsi="Arial" w:cs="Arial"/>
                <w:bCs/>
                <w:lang w:val="en-GB"/>
              </w:rPr>
              <w:t>8</w:t>
            </w:r>
            <w:r w:rsidR="00A7108E" w:rsidRPr="009C1935">
              <w:rPr>
                <w:rFonts w:ascii="Arial" w:hAnsi="Arial" w:cs="Arial"/>
                <w:bCs/>
                <w:lang w:val="en-GB"/>
              </w:rPr>
              <w:t>,</w:t>
            </w:r>
            <w:r w:rsidRPr="009C1935">
              <w:rPr>
                <w:rFonts w:ascii="Arial" w:hAnsi="Arial" w:cs="Arial"/>
                <w:bCs/>
                <w:lang w:val="en-GB"/>
              </w:rPr>
              <w:t>273.48</w:t>
            </w:r>
          </w:p>
        </w:tc>
        <w:tc>
          <w:tcPr>
            <w:tcW w:w="623" w:type="pct"/>
            <w:noWrap/>
            <w:vAlign w:val="center"/>
            <w:hideMark/>
          </w:tcPr>
          <w:p w14:paraId="0C1E8801" w14:textId="77777777" w:rsidR="008E0E4E" w:rsidRPr="009C1935" w:rsidRDefault="008E0E4E" w:rsidP="00FF2DC2">
            <w:pPr>
              <w:jc w:val="right"/>
              <w:rPr>
                <w:rFonts w:ascii="Arial" w:hAnsi="Arial" w:cs="Arial"/>
                <w:bCs/>
                <w:lang w:val="en-GB"/>
              </w:rPr>
            </w:pPr>
            <w:r w:rsidRPr="009C1935">
              <w:rPr>
                <w:rFonts w:ascii="Arial" w:hAnsi="Arial" w:cs="Arial"/>
                <w:bCs/>
                <w:lang w:val="en-GB"/>
              </w:rPr>
              <w:t>10</w:t>
            </w:r>
            <w:r w:rsidR="00A7108E" w:rsidRPr="009C1935">
              <w:rPr>
                <w:rFonts w:ascii="Arial" w:hAnsi="Arial" w:cs="Arial"/>
                <w:bCs/>
                <w:lang w:val="en-GB"/>
              </w:rPr>
              <w:t>,</w:t>
            </w:r>
            <w:r w:rsidRPr="009C1935">
              <w:rPr>
                <w:rFonts w:ascii="Arial" w:hAnsi="Arial" w:cs="Arial"/>
                <w:bCs/>
                <w:lang w:val="en-GB"/>
              </w:rPr>
              <w:t>913.16</w:t>
            </w:r>
          </w:p>
        </w:tc>
        <w:tc>
          <w:tcPr>
            <w:tcW w:w="624" w:type="pct"/>
            <w:noWrap/>
            <w:vAlign w:val="center"/>
            <w:hideMark/>
          </w:tcPr>
          <w:p w14:paraId="0A544E5B" w14:textId="77777777" w:rsidR="008E0E4E" w:rsidRPr="009C1935" w:rsidRDefault="008E0E4E" w:rsidP="00FF2DC2">
            <w:pPr>
              <w:jc w:val="right"/>
              <w:rPr>
                <w:rFonts w:ascii="Arial" w:hAnsi="Arial" w:cs="Arial"/>
                <w:bCs/>
                <w:lang w:val="en-GB"/>
              </w:rPr>
            </w:pPr>
            <w:r w:rsidRPr="009C1935">
              <w:rPr>
                <w:rFonts w:ascii="Arial" w:hAnsi="Arial" w:cs="Arial"/>
                <w:bCs/>
                <w:lang w:val="en-GB"/>
              </w:rPr>
              <w:t>13</w:t>
            </w:r>
            <w:r w:rsidR="00A7108E" w:rsidRPr="009C1935">
              <w:rPr>
                <w:rFonts w:ascii="Arial" w:hAnsi="Arial" w:cs="Arial"/>
                <w:bCs/>
                <w:lang w:val="en-GB"/>
              </w:rPr>
              <w:t>,</w:t>
            </w:r>
            <w:r w:rsidRPr="009C1935">
              <w:rPr>
                <w:rFonts w:ascii="Arial" w:hAnsi="Arial" w:cs="Arial"/>
                <w:bCs/>
                <w:lang w:val="en-GB"/>
              </w:rPr>
              <w:t>176.18</w:t>
            </w:r>
          </w:p>
        </w:tc>
      </w:tr>
      <w:tr w:rsidR="008E0E4E" w:rsidRPr="009C1935" w14:paraId="5C3FCEA9" w14:textId="77777777" w:rsidTr="00A43549">
        <w:trPr>
          <w:trHeight w:val="303"/>
          <w:jc w:val="center"/>
        </w:trPr>
        <w:tc>
          <w:tcPr>
            <w:tcW w:w="5000" w:type="pct"/>
            <w:gridSpan w:val="6"/>
            <w:vAlign w:val="center"/>
            <w:hideMark/>
          </w:tcPr>
          <w:p w14:paraId="68F00D6C" w14:textId="77777777" w:rsidR="008E0E4E" w:rsidRPr="009C1935" w:rsidRDefault="008E0E4E" w:rsidP="00FF2DC2">
            <w:pPr>
              <w:rPr>
                <w:rFonts w:ascii="Arial" w:hAnsi="Arial" w:cs="Arial"/>
                <w:lang w:val="en-GB"/>
              </w:rPr>
            </w:pPr>
            <w:r w:rsidRPr="009C1935">
              <w:rPr>
                <w:rFonts w:ascii="Arial" w:hAnsi="Arial" w:cs="Arial"/>
                <w:bCs/>
                <w:lang w:val="en-GB"/>
              </w:rPr>
              <w:t>EXPENSES</w:t>
            </w:r>
          </w:p>
        </w:tc>
      </w:tr>
      <w:tr w:rsidR="008E0E4E" w:rsidRPr="009C1935" w14:paraId="5D1EDAEF" w14:textId="77777777" w:rsidTr="00A43549">
        <w:trPr>
          <w:trHeight w:val="626"/>
          <w:jc w:val="center"/>
        </w:trPr>
        <w:tc>
          <w:tcPr>
            <w:tcW w:w="2072" w:type="pct"/>
            <w:vAlign w:val="center"/>
            <w:hideMark/>
          </w:tcPr>
          <w:p w14:paraId="16E80EDA" w14:textId="77777777" w:rsidR="008E0E4E" w:rsidRPr="009C1935" w:rsidRDefault="008E0E4E" w:rsidP="002A68CE">
            <w:pPr>
              <w:rPr>
                <w:rFonts w:ascii="Arial" w:hAnsi="Arial" w:cs="Arial"/>
                <w:lang w:val="en-GB"/>
              </w:rPr>
            </w:pPr>
            <w:r w:rsidRPr="009C1935">
              <w:rPr>
                <w:rFonts w:ascii="Arial" w:hAnsi="Arial" w:cs="Arial"/>
                <w:lang w:val="en-GB"/>
              </w:rPr>
              <w:t>Purchase of medical consumables, drugs</w:t>
            </w:r>
            <w:r w:rsidR="0011069E" w:rsidRPr="009C1935">
              <w:rPr>
                <w:rFonts w:ascii="Arial" w:hAnsi="Arial" w:cs="Arial"/>
                <w:lang w:val="en-GB"/>
              </w:rPr>
              <w:t>,</w:t>
            </w:r>
            <w:r w:rsidRPr="009C1935">
              <w:rPr>
                <w:rFonts w:ascii="Arial" w:hAnsi="Arial" w:cs="Arial"/>
                <w:lang w:val="en-GB"/>
              </w:rPr>
              <w:t xml:space="preserve"> and surgical equipment</w:t>
            </w:r>
          </w:p>
        </w:tc>
        <w:tc>
          <w:tcPr>
            <w:tcW w:w="561" w:type="pct"/>
            <w:noWrap/>
            <w:vAlign w:val="center"/>
            <w:hideMark/>
          </w:tcPr>
          <w:p w14:paraId="5F8E726C" w14:textId="77777777" w:rsidR="008E0E4E" w:rsidRPr="009C1935" w:rsidRDefault="008E0E4E" w:rsidP="00FF2DC2">
            <w:pPr>
              <w:jc w:val="right"/>
              <w:rPr>
                <w:rFonts w:ascii="Arial" w:hAnsi="Arial" w:cs="Arial"/>
                <w:lang w:val="en-GB"/>
              </w:rPr>
            </w:pPr>
            <w:r w:rsidRPr="009C1935">
              <w:rPr>
                <w:rFonts w:ascii="Arial" w:hAnsi="Arial" w:cs="Arial"/>
                <w:lang w:val="en-GB"/>
              </w:rPr>
              <w:t>1,616.76</w:t>
            </w:r>
          </w:p>
        </w:tc>
        <w:tc>
          <w:tcPr>
            <w:tcW w:w="560" w:type="pct"/>
            <w:noWrap/>
            <w:vAlign w:val="center"/>
            <w:hideMark/>
          </w:tcPr>
          <w:p w14:paraId="76C88008" w14:textId="77777777" w:rsidR="008E0E4E" w:rsidRPr="009C1935" w:rsidRDefault="008E0E4E" w:rsidP="00FF2DC2">
            <w:pPr>
              <w:jc w:val="right"/>
              <w:rPr>
                <w:rFonts w:ascii="Arial" w:hAnsi="Arial" w:cs="Arial"/>
                <w:lang w:val="en-GB"/>
              </w:rPr>
            </w:pPr>
            <w:r w:rsidRPr="009C1935">
              <w:rPr>
                <w:rFonts w:ascii="Arial" w:hAnsi="Arial" w:cs="Arial"/>
                <w:lang w:val="en-GB"/>
              </w:rPr>
              <w:t>1,965.47</w:t>
            </w:r>
          </w:p>
        </w:tc>
        <w:tc>
          <w:tcPr>
            <w:tcW w:w="560" w:type="pct"/>
            <w:noWrap/>
            <w:vAlign w:val="center"/>
            <w:hideMark/>
          </w:tcPr>
          <w:p w14:paraId="04E4BB34" w14:textId="77777777" w:rsidR="008E0E4E" w:rsidRPr="009C1935" w:rsidRDefault="008E0E4E" w:rsidP="00FF2DC2">
            <w:pPr>
              <w:jc w:val="right"/>
              <w:rPr>
                <w:rFonts w:ascii="Arial" w:hAnsi="Arial" w:cs="Arial"/>
                <w:lang w:val="en-GB"/>
              </w:rPr>
            </w:pPr>
            <w:r w:rsidRPr="009C1935">
              <w:rPr>
                <w:rFonts w:ascii="Arial" w:hAnsi="Arial" w:cs="Arial"/>
                <w:lang w:val="en-GB"/>
              </w:rPr>
              <w:t>2,401.18</w:t>
            </w:r>
          </w:p>
        </w:tc>
        <w:tc>
          <w:tcPr>
            <w:tcW w:w="623" w:type="pct"/>
            <w:noWrap/>
            <w:vAlign w:val="center"/>
            <w:hideMark/>
          </w:tcPr>
          <w:p w14:paraId="55EE7CF3" w14:textId="77777777" w:rsidR="008E0E4E" w:rsidRPr="009C1935" w:rsidRDefault="008E0E4E" w:rsidP="00FF2DC2">
            <w:pPr>
              <w:jc w:val="right"/>
              <w:rPr>
                <w:rFonts w:ascii="Arial" w:hAnsi="Arial" w:cs="Arial"/>
                <w:lang w:val="en-GB"/>
              </w:rPr>
            </w:pPr>
            <w:r w:rsidRPr="009C1935">
              <w:rPr>
                <w:rFonts w:ascii="Arial" w:hAnsi="Arial" w:cs="Arial"/>
                <w:lang w:val="en-GB"/>
              </w:rPr>
              <w:t>2,866.45</w:t>
            </w:r>
          </w:p>
        </w:tc>
        <w:tc>
          <w:tcPr>
            <w:tcW w:w="624" w:type="pct"/>
            <w:noWrap/>
            <w:vAlign w:val="center"/>
            <w:hideMark/>
          </w:tcPr>
          <w:p w14:paraId="393C65EC" w14:textId="77777777" w:rsidR="008E0E4E" w:rsidRPr="009C1935" w:rsidRDefault="008E0E4E" w:rsidP="00FF2DC2">
            <w:pPr>
              <w:jc w:val="right"/>
              <w:rPr>
                <w:rFonts w:ascii="Arial" w:hAnsi="Arial" w:cs="Arial"/>
                <w:lang w:val="en-GB"/>
              </w:rPr>
            </w:pPr>
            <w:r w:rsidRPr="009C1935">
              <w:rPr>
                <w:rFonts w:ascii="Arial" w:hAnsi="Arial" w:cs="Arial"/>
                <w:lang w:val="en-GB"/>
              </w:rPr>
              <w:t>3,286.36</w:t>
            </w:r>
          </w:p>
        </w:tc>
      </w:tr>
      <w:tr w:rsidR="008E0E4E" w:rsidRPr="009C1935" w14:paraId="7E99AE75" w14:textId="77777777" w:rsidTr="00A43549">
        <w:trPr>
          <w:trHeight w:val="708"/>
          <w:jc w:val="center"/>
        </w:trPr>
        <w:tc>
          <w:tcPr>
            <w:tcW w:w="2072" w:type="pct"/>
            <w:vAlign w:val="center"/>
            <w:hideMark/>
          </w:tcPr>
          <w:p w14:paraId="03C1F89E" w14:textId="77777777" w:rsidR="008E0E4E" w:rsidRPr="009C1935" w:rsidRDefault="008E0E4E" w:rsidP="002A68CE">
            <w:pPr>
              <w:rPr>
                <w:rFonts w:ascii="Arial" w:hAnsi="Arial" w:cs="Arial"/>
                <w:lang w:val="en-GB"/>
              </w:rPr>
            </w:pPr>
            <w:r w:rsidRPr="009C1935">
              <w:rPr>
                <w:rFonts w:ascii="Arial" w:hAnsi="Arial" w:cs="Arial"/>
                <w:lang w:val="en-GB"/>
              </w:rPr>
              <w:t>Changes in inventories of medical consumables, drugs</w:t>
            </w:r>
            <w:r w:rsidR="0011069E" w:rsidRPr="009C1935">
              <w:rPr>
                <w:rFonts w:ascii="Arial" w:hAnsi="Arial" w:cs="Arial"/>
                <w:lang w:val="en-GB"/>
              </w:rPr>
              <w:t>,</w:t>
            </w:r>
            <w:r w:rsidRPr="009C1935">
              <w:rPr>
                <w:rFonts w:ascii="Arial" w:hAnsi="Arial" w:cs="Arial"/>
                <w:lang w:val="en-GB"/>
              </w:rPr>
              <w:t xml:space="preserve"> and surgical equipment</w:t>
            </w:r>
          </w:p>
        </w:tc>
        <w:tc>
          <w:tcPr>
            <w:tcW w:w="561" w:type="pct"/>
            <w:noWrap/>
            <w:vAlign w:val="center"/>
            <w:hideMark/>
          </w:tcPr>
          <w:p w14:paraId="436B6731" w14:textId="7C46E788" w:rsidR="008E0E4E" w:rsidRPr="009C1935" w:rsidRDefault="00A43549" w:rsidP="00FF2DC2">
            <w:pPr>
              <w:jc w:val="right"/>
              <w:rPr>
                <w:rFonts w:ascii="Arial" w:hAnsi="Arial" w:cs="Arial"/>
                <w:lang w:val="en-GB"/>
              </w:rPr>
            </w:pPr>
            <w:r>
              <w:rPr>
                <w:rFonts w:ascii="Arial" w:hAnsi="Arial" w:cs="Arial"/>
                <w:lang w:val="en-GB"/>
              </w:rPr>
              <w:t>−</w:t>
            </w:r>
            <w:r w:rsidR="008E0E4E" w:rsidRPr="009C1935">
              <w:rPr>
                <w:rFonts w:ascii="Arial" w:hAnsi="Arial" w:cs="Arial"/>
                <w:lang w:val="en-GB"/>
              </w:rPr>
              <w:t>95.42</w:t>
            </w:r>
          </w:p>
        </w:tc>
        <w:tc>
          <w:tcPr>
            <w:tcW w:w="560" w:type="pct"/>
            <w:noWrap/>
            <w:vAlign w:val="center"/>
            <w:hideMark/>
          </w:tcPr>
          <w:p w14:paraId="0A629992" w14:textId="315C3D59" w:rsidR="008E0E4E" w:rsidRPr="009C1935" w:rsidRDefault="00A43549" w:rsidP="00FF2DC2">
            <w:pPr>
              <w:jc w:val="right"/>
              <w:rPr>
                <w:rFonts w:ascii="Arial" w:hAnsi="Arial" w:cs="Arial"/>
                <w:lang w:val="en-GB"/>
              </w:rPr>
            </w:pPr>
            <w:r>
              <w:rPr>
                <w:rFonts w:ascii="Arial" w:hAnsi="Arial" w:cs="Arial"/>
                <w:lang w:val="en-GB"/>
              </w:rPr>
              <w:t>−</w:t>
            </w:r>
            <w:r w:rsidR="008E0E4E" w:rsidRPr="009C1935">
              <w:rPr>
                <w:rFonts w:ascii="Arial" w:hAnsi="Arial" w:cs="Arial"/>
                <w:lang w:val="en-GB"/>
              </w:rPr>
              <w:t>19.54</w:t>
            </w:r>
          </w:p>
        </w:tc>
        <w:tc>
          <w:tcPr>
            <w:tcW w:w="560" w:type="pct"/>
            <w:noWrap/>
            <w:vAlign w:val="center"/>
            <w:hideMark/>
          </w:tcPr>
          <w:p w14:paraId="03AA368E" w14:textId="341D5F4E" w:rsidR="008E0E4E" w:rsidRPr="009C1935" w:rsidRDefault="00A43549" w:rsidP="00FF2DC2">
            <w:pPr>
              <w:jc w:val="right"/>
              <w:rPr>
                <w:rFonts w:ascii="Arial" w:hAnsi="Arial" w:cs="Arial"/>
                <w:lang w:val="en-GB"/>
              </w:rPr>
            </w:pPr>
            <w:r>
              <w:rPr>
                <w:rFonts w:ascii="Arial" w:hAnsi="Arial" w:cs="Arial"/>
                <w:lang w:val="en-GB"/>
              </w:rPr>
              <w:t>−</w:t>
            </w:r>
            <w:r w:rsidR="008E0E4E" w:rsidRPr="009C1935">
              <w:rPr>
                <w:rFonts w:ascii="Arial" w:hAnsi="Arial" w:cs="Arial"/>
                <w:lang w:val="en-GB"/>
              </w:rPr>
              <w:t>92.61</w:t>
            </w:r>
          </w:p>
        </w:tc>
        <w:tc>
          <w:tcPr>
            <w:tcW w:w="623" w:type="pct"/>
            <w:noWrap/>
            <w:vAlign w:val="center"/>
            <w:hideMark/>
          </w:tcPr>
          <w:p w14:paraId="33FBA820" w14:textId="0FF1C873" w:rsidR="008E0E4E" w:rsidRPr="009C1935" w:rsidRDefault="00A43549" w:rsidP="00FF2DC2">
            <w:pPr>
              <w:jc w:val="right"/>
              <w:rPr>
                <w:rFonts w:ascii="Arial" w:hAnsi="Arial" w:cs="Arial"/>
                <w:lang w:val="en-GB"/>
              </w:rPr>
            </w:pPr>
            <w:r>
              <w:rPr>
                <w:rFonts w:ascii="Arial" w:hAnsi="Arial" w:cs="Arial"/>
                <w:lang w:val="en-GB"/>
              </w:rPr>
              <w:t>−</w:t>
            </w:r>
            <w:r w:rsidR="008E0E4E" w:rsidRPr="009C1935">
              <w:rPr>
                <w:rFonts w:ascii="Arial" w:hAnsi="Arial" w:cs="Arial"/>
                <w:lang w:val="en-GB"/>
              </w:rPr>
              <w:t>09.85</w:t>
            </w:r>
          </w:p>
        </w:tc>
        <w:tc>
          <w:tcPr>
            <w:tcW w:w="624" w:type="pct"/>
            <w:noWrap/>
            <w:vAlign w:val="center"/>
            <w:hideMark/>
          </w:tcPr>
          <w:p w14:paraId="586D927D" w14:textId="24758435" w:rsidR="008E0E4E" w:rsidRPr="009C1935" w:rsidRDefault="00A43549" w:rsidP="00FF2DC2">
            <w:pPr>
              <w:jc w:val="right"/>
              <w:rPr>
                <w:rFonts w:ascii="Arial" w:hAnsi="Arial" w:cs="Arial"/>
                <w:lang w:val="en-GB"/>
              </w:rPr>
            </w:pPr>
            <w:r>
              <w:rPr>
                <w:rFonts w:ascii="Arial" w:hAnsi="Arial" w:cs="Arial"/>
                <w:lang w:val="en-GB"/>
              </w:rPr>
              <w:t>−</w:t>
            </w:r>
            <w:r w:rsidR="008E0E4E" w:rsidRPr="009C1935">
              <w:rPr>
                <w:rFonts w:ascii="Arial" w:hAnsi="Arial" w:cs="Arial"/>
                <w:lang w:val="en-GB"/>
              </w:rPr>
              <w:t>8.76</w:t>
            </w:r>
          </w:p>
        </w:tc>
      </w:tr>
      <w:tr w:rsidR="008E0E4E" w:rsidRPr="009C1935" w14:paraId="528376F4" w14:textId="77777777" w:rsidTr="00A43549">
        <w:trPr>
          <w:trHeight w:val="303"/>
          <w:jc w:val="center"/>
        </w:trPr>
        <w:tc>
          <w:tcPr>
            <w:tcW w:w="2072" w:type="pct"/>
            <w:vAlign w:val="center"/>
            <w:hideMark/>
          </w:tcPr>
          <w:p w14:paraId="68C6B1AB" w14:textId="77777777" w:rsidR="008E0E4E" w:rsidRPr="009C1935" w:rsidRDefault="008E0E4E" w:rsidP="00FF2DC2">
            <w:pPr>
              <w:rPr>
                <w:rFonts w:ascii="Arial" w:hAnsi="Arial" w:cs="Arial"/>
                <w:lang w:val="en-GB"/>
              </w:rPr>
            </w:pPr>
            <w:r w:rsidRPr="009C1935">
              <w:rPr>
                <w:rFonts w:ascii="Arial" w:hAnsi="Arial" w:cs="Arial"/>
                <w:lang w:val="en-GB"/>
              </w:rPr>
              <w:t>Employee benefits</w:t>
            </w:r>
          </w:p>
        </w:tc>
        <w:tc>
          <w:tcPr>
            <w:tcW w:w="561" w:type="pct"/>
            <w:noWrap/>
            <w:vAlign w:val="center"/>
            <w:hideMark/>
          </w:tcPr>
          <w:p w14:paraId="299ACE01" w14:textId="77777777" w:rsidR="008E0E4E" w:rsidRPr="009C1935" w:rsidRDefault="008E0E4E" w:rsidP="00FF2DC2">
            <w:pPr>
              <w:jc w:val="right"/>
              <w:rPr>
                <w:rFonts w:ascii="Arial" w:hAnsi="Arial" w:cs="Arial"/>
                <w:lang w:val="en-GB"/>
              </w:rPr>
            </w:pPr>
            <w:r w:rsidRPr="009C1935">
              <w:rPr>
                <w:rFonts w:ascii="Arial" w:hAnsi="Arial" w:cs="Arial"/>
                <w:lang w:val="en-GB"/>
              </w:rPr>
              <w:t>771.79</w:t>
            </w:r>
          </w:p>
        </w:tc>
        <w:tc>
          <w:tcPr>
            <w:tcW w:w="560" w:type="pct"/>
            <w:noWrap/>
            <w:vAlign w:val="center"/>
            <w:hideMark/>
          </w:tcPr>
          <w:p w14:paraId="32DDD0E2" w14:textId="77777777" w:rsidR="008E0E4E" w:rsidRPr="009C1935" w:rsidRDefault="008E0E4E" w:rsidP="00FF2DC2">
            <w:pPr>
              <w:jc w:val="right"/>
              <w:rPr>
                <w:rFonts w:ascii="Arial" w:hAnsi="Arial" w:cs="Arial"/>
                <w:lang w:val="en-GB"/>
              </w:rPr>
            </w:pPr>
            <w:r w:rsidRPr="009C1935">
              <w:rPr>
                <w:rFonts w:ascii="Arial" w:hAnsi="Arial" w:cs="Arial"/>
                <w:lang w:val="en-GB"/>
              </w:rPr>
              <w:t>1,108.33</w:t>
            </w:r>
          </w:p>
        </w:tc>
        <w:tc>
          <w:tcPr>
            <w:tcW w:w="560" w:type="pct"/>
            <w:noWrap/>
            <w:vAlign w:val="center"/>
            <w:hideMark/>
          </w:tcPr>
          <w:p w14:paraId="02A343C0" w14:textId="77777777" w:rsidR="008E0E4E" w:rsidRPr="009C1935" w:rsidRDefault="008E0E4E" w:rsidP="00FF2DC2">
            <w:pPr>
              <w:jc w:val="right"/>
              <w:rPr>
                <w:rFonts w:ascii="Arial" w:hAnsi="Arial" w:cs="Arial"/>
                <w:lang w:val="en-GB"/>
              </w:rPr>
            </w:pPr>
            <w:r w:rsidRPr="009C1935">
              <w:rPr>
                <w:rFonts w:ascii="Arial" w:hAnsi="Arial" w:cs="Arial"/>
                <w:lang w:val="en-GB"/>
              </w:rPr>
              <w:t>1,539.22</w:t>
            </w:r>
          </w:p>
        </w:tc>
        <w:tc>
          <w:tcPr>
            <w:tcW w:w="623" w:type="pct"/>
            <w:noWrap/>
            <w:vAlign w:val="center"/>
            <w:hideMark/>
          </w:tcPr>
          <w:p w14:paraId="4C6AC177" w14:textId="77777777" w:rsidR="008E0E4E" w:rsidRPr="009C1935" w:rsidRDefault="008E0E4E" w:rsidP="00FF2DC2">
            <w:pPr>
              <w:jc w:val="right"/>
              <w:rPr>
                <w:rFonts w:ascii="Arial" w:hAnsi="Arial" w:cs="Arial"/>
                <w:lang w:val="en-GB"/>
              </w:rPr>
            </w:pPr>
            <w:r w:rsidRPr="009C1935">
              <w:rPr>
                <w:rFonts w:ascii="Arial" w:hAnsi="Arial" w:cs="Arial"/>
                <w:lang w:val="en-GB"/>
              </w:rPr>
              <w:t>1,924.04</w:t>
            </w:r>
          </w:p>
        </w:tc>
        <w:tc>
          <w:tcPr>
            <w:tcW w:w="624" w:type="pct"/>
            <w:noWrap/>
            <w:vAlign w:val="center"/>
            <w:hideMark/>
          </w:tcPr>
          <w:p w14:paraId="368CCC39" w14:textId="77777777" w:rsidR="008E0E4E" w:rsidRPr="009C1935" w:rsidRDefault="008E0E4E" w:rsidP="00FF2DC2">
            <w:pPr>
              <w:jc w:val="right"/>
              <w:rPr>
                <w:rFonts w:ascii="Arial" w:hAnsi="Arial" w:cs="Arial"/>
                <w:lang w:val="en-GB"/>
              </w:rPr>
            </w:pPr>
            <w:r w:rsidRPr="009C1935">
              <w:rPr>
                <w:rFonts w:ascii="Arial" w:hAnsi="Arial" w:cs="Arial"/>
                <w:lang w:val="en-GB"/>
              </w:rPr>
              <w:t>2,640.64</w:t>
            </w:r>
          </w:p>
        </w:tc>
      </w:tr>
      <w:tr w:rsidR="008E0E4E" w:rsidRPr="009C1935" w14:paraId="5D8E76BB" w14:textId="77777777" w:rsidTr="00A43549">
        <w:trPr>
          <w:trHeight w:val="303"/>
          <w:jc w:val="center"/>
        </w:trPr>
        <w:tc>
          <w:tcPr>
            <w:tcW w:w="2072" w:type="pct"/>
            <w:vAlign w:val="center"/>
            <w:hideMark/>
          </w:tcPr>
          <w:p w14:paraId="18775D16" w14:textId="77777777" w:rsidR="008E0E4E" w:rsidRPr="009C1935" w:rsidRDefault="008E0E4E" w:rsidP="00FF2DC2">
            <w:pPr>
              <w:rPr>
                <w:rFonts w:ascii="Arial" w:hAnsi="Arial" w:cs="Arial"/>
                <w:lang w:val="en-GB"/>
              </w:rPr>
            </w:pPr>
            <w:r w:rsidRPr="009C1935">
              <w:rPr>
                <w:rFonts w:ascii="Arial" w:hAnsi="Arial" w:cs="Arial"/>
                <w:lang w:val="en-GB"/>
              </w:rPr>
              <w:t>Other expenses</w:t>
            </w:r>
          </w:p>
        </w:tc>
        <w:tc>
          <w:tcPr>
            <w:tcW w:w="561" w:type="pct"/>
            <w:noWrap/>
            <w:vAlign w:val="center"/>
            <w:hideMark/>
          </w:tcPr>
          <w:p w14:paraId="363AE4CB" w14:textId="77777777" w:rsidR="008E0E4E" w:rsidRPr="009C1935" w:rsidRDefault="008E0E4E" w:rsidP="00FF2DC2">
            <w:pPr>
              <w:jc w:val="right"/>
              <w:rPr>
                <w:rFonts w:ascii="Arial" w:hAnsi="Arial" w:cs="Arial"/>
                <w:lang w:val="en-GB"/>
              </w:rPr>
            </w:pPr>
            <w:r w:rsidRPr="009C1935">
              <w:rPr>
                <w:rFonts w:ascii="Arial" w:hAnsi="Arial" w:cs="Arial"/>
                <w:lang w:val="en-GB"/>
              </w:rPr>
              <w:t>1,850.27</w:t>
            </w:r>
          </w:p>
        </w:tc>
        <w:tc>
          <w:tcPr>
            <w:tcW w:w="560" w:type="pct"/>
            <w:noWrap/>
            <w:vAlign w:val="center"/>
            <w:hideMark/>
          </w:tcPr>
          <w:p w14:paraId="0C680462" w14:textId="77777777" w:rsidR="008E0E4E" w:rsidRPr="009C1935" w:rsidRDefault="008E0E4E" w:rsidP="00FF2DC2">
            <w:pPr>
              <w:jc w:val="right"/>
              <w:rPr>
                <w:rFonts w:ascii="Arial" w:hAnsi="Arial" w:cs="Arial"/>
                <w:lang w:val="en-GB"/>
              </w:rPr>
            </w:pPr>
            <w:r w:rsidRPr="009C1935">
              <w:rPr>
                <w:rFonts w:ascii="Arial" w:hAnsi="Arial" w:cs="Arial"/>
                <w:lang w:val="en-GB"/>
              </w:rPr>
              <w:t>2,579.28</w:t>
            </w:r>
          </w:p>
        </w:tc>
        <w:tc>
          <w:tcPr>
            <w:tcW w:w="560" w:type="pct"/>
            <w:noWrap/>
            <w:vAlign w:val="center"/>
            <w:hideMark/>
          </w:tcPr>
          <w:p w14:paraId="0D7CE5C4" w14:textId="77777777" w:rsidR="008E0E4E" w:rsidRPr="009C1935" w:rsidRDefault="008E0E4E" w:rsidP="00FF2DC2">
            <w:pPr>
              <w:jc w:val="right"/>
              <w:rPr>
                <w:rFonts w:ascii="Arial" w:hAnsi="Arial" w:cs="Arial"/>
                <w:lang w:val="en-GB"/>
              </w:rPr>
            </w:pPr>
            <w:r w:rsidRPr="009C1935">
              <w:rPr>
                <w:rFonts w:ascii="Arial" w:hAnsi="Arial" w:cs="Arial"/>
                <w:lang w:val="en-GB"/>
              </w:rPr>
              <w:t>3,545.44</w:t>
            </w:r>
          </w:p>
        </w:tc>
        <w:tc>
          <w:tcPr>
            <w:tcW w:w="623" w:type="pct"/>
            <w:noWrap/>
            <w:vAlign w:val="center"/>
            <w:hideMark/>
          </w:tcPr>
          <w:p w14:paraId="0B875298" w14:textId="77777777" w:rsidR="008E0E4E" w:rsidRPr="009C1935" w:rsidRDefault="008E0E4E" w:rsidP="00FF2DC2">
            <w:pPr>
              <w:jc w:val="right"/>
              <w:rPr>
                <w:rFonts w:ascii="Arial" w:hAnsi="Arial" w:cs="Arial"/>
                <w:lang w:val="en-GB"/>
              </w:rPr>
            </w:pPr>
            <w:r w:rsidRPr="009C1935">
              <w:rPr>
                <w:rFonts w:ascii="Arial" w:hAnsi="Arial" w:cs="Arial"/>
                <w:lang w:val="en-GB"/>
              </w:rPr>
              <w:t>4,855.68</w:t>
            </w:r>
          </w:p>
        </w:tc>
        <w:tc>
          <w:tcPr>
            <w:tcW w:w="624" w:type="pct"/>
            <w:noWrap/>
            <w:vAlign w:val="center"/>
            <w:hideMark/>
          </w:tcPr>
          <w:p w14:paraId="61784225" w14:textId="77777777" w:rsidR="008E0E4E" w:rsidRPr="009C1935" w:rsidRDefault="008E0E4E" w:rsidP="00FF2DC2">
            <w:pPr>
              <w:jc w:val="right"/>
              <w:rPr>
                <w:rFonts w:ascii="Arial" w:hAnsi="Arial" w:cs="Arial"/>
                <w:lang w:val="en-GB"/>
              </w:rPr>
            </w:pPr>
            <w:r w:rsidRPr="009C1935">
              <w:rPr>
                <w:rFonts w:ascii="Arial" w:hAnsi="Arial" w:cs="Arial"/>
                <w:lang w:val="en-GB"/>
              </w:rPr>
              <w:t>5,833.36</w:t>
            </w:r>
          </w:p>
        </w:tc>
      </w:tr>
      <w:tr w:rsidR="008E0E4E" w:rsidRPr="009C1935" w14:paraId="682FA33E" w14:textId="77777777" w:rsidTr="00A43549">
        <w:trPr>
          <w:trHeight w:val="303"/>
          <w:jc w:val="center"/>
        </w:trPr>
        <w:tc>
          <w:tcPr>
            <w:tcW w:w="2072" w:type="pct"/>
            <w:vAlign w:val="center"/>
            <w:hideMark/>
          </w:tcPr>
          <w:p w14:paraId="3D6DD659" w14:textId="77777777" w:rsidR="008E0E4E" w:rsidRPr="009C1935" w:rsidRDefault="008E0E4E" w:rsidP="00FF2DC2">
            <w:pPr>
              <w:rPr>
                <w:rFonts w:ascii="Arial" w:hAnsi="Arial" w:cs="Arial"/>
                <w:bCs/>
                <w:lang w:val="en-GB"/>
              </w:rPr>
            </w:pPr>
            <w:r w:rsidRPr="009C1935">
              <w:rPr>
                <w:rFonts w:ascii="Arial" w:hAnsi="Arial" w:cs="Arial"/>
                <w:bCs/>
                <w:lang w:val="en-GB"/>
              </w:rPr>
              <w:t>Total expenses</w:t>
            </w:r>
          </w:p>
        </w:tc>
        <w:tc>
          <w:tcPr>
            <w:tcW w:w="561" w:type="pct"/>
            <w:noWrap/>
            <w:vAlign w:val="center"/>
            <w:hideMark/>
          </w:tcPr>
          <w:p w14:paraId="39C4FC2F" w14:textId="77777777" w:rsidR="008E0E4E" w:rsidRPr="009C1935" w:rsidRDefault="008E0E4E" w:rsidP="00FF2DC2">
            <w:pPr>
              <w:jc w:val="right"/>
              <w:rPr>
                <w:rFonts w:ascii="Arial" w:hAnsi="Arial" w:cs="Arial"/>
                <w:bCs/>
                <w:lang w:val="en-GB"/>
              </w:rPr>
            </w:pPr>
            <w:r w:rsidRPr="009C1935">
              <w:rPr>
                <w:rFonts w:ascii="Arial" w:hAnsi="Arial" w:cs="Arial"/>
                <w:bCs/>
                <w:lang w:val="en-GB"/>
              </w:rPr>
              <w:t>4,143.40</w:t>
            </w:r>
          </w:p>
        </w:tc>
        <w:tc>
          <w:tcPr>
            <w:tcW w:w="560" w:type="pct"/>
            <w:noWrap/>
            <w:vAlign w:val="center"/>
            <w:hideMark/>
          </w:tcPr>
          <w:p w14:paraId="550B6779" w14:textId="77777777" w:rsidR="008E0E4E" w:rsidRPr="009C1935" w:rsidRDefault="008E0E4E" w:rsidP="00FF2DC2">
            <w:pPr>
              <w:jc w:val="right"/>
              <w:rPr>
                <w:rFonts w:ascii="Arial" w:hAnsi="Arial" w:cs="Arial"/>
                <w:bCs/>
                <w:lang w:val="en-GB"/>
              </w:rPr>
            </w:pPr>
            <w:r w:rsidRPr="009C1935">
              <w:rPr>
                <w:rFonts w:ascii="Arial" w:hAnsi="Arial" w:cs="Arial"/>
                <w:bCs/>
                <w:lang w:val="en-GB"/>
              </w:rPr>
              <w:t>5,633.54</w:t>
            </w:r>
          </w:p>
        </w:tc>
        <w:tc>
          <w:tcPr>
            <w:tcW w:w="560" w:type="pct"/>
            <w:noWrap/>
            <w:vAlign w:val="center"/>
            <w:hideMark/>
          </w:tcPr>
          <w:p w14:paraId="318D62FA" w14:textId="77777777" w:rsidR="008E0E4E" w:rsidRPr="009C1935" w:rsidRDefault="008E0E4E" w:rsidP="00FF2DC2">
            <w:pPr>
              <w:jc w:val="right"/>
              <w:rPr>
                <w:rFonts w:ascii="Arial" w:hAnsi="Arial" w:cs="Arial"/>
                <w:bCs/>
                <w:lang w:val="en-GB"/>
              </w:rPr>
            </w:pPr>
            <w:r w:rsidRPr="009C1935">
              <w:rPr>
                <w:rFonts w:ascii="Arial" w:hAnsi="Arial" w:cs="Arial"/>
                <w:bCs/>
                <w:lang w:val="en-GB"/>
              </w:rPr>
              <w:t>7,393.23</w:t>
            </w:r>
          </w:p>
        </w:tc>
        <w:tc>
          <w:tcPr>
            <w:tcW w:w="623" w:type="pct"/>
            <w:noWrap/>
            <w:vAlign w:val="center"/>
            <w:hideMark/>
          </w:tcPr>
          <w:p w14:paraId="181AD861" w14:textId="77777777" w:rsidR="008E0E4E" w:rsidRPr="009C1935" w:rsidRDefault="008E0E4E" w:rsidP="00FF2DC2">
            <w:pPr>
              <w:jc w:val="right"/>
              <w:rPr>
                <w:rFonts w:ascii="Arial" w:hAnsi="Arial" w:cs="Arial"/>
                <w:bCs/>
                <w:lang w:val="en-GB"/>
              </w:rPr>
            </w:pPr>
            <w:r w:rsidRPr="009C1935">
              <w:rPr>
                <w:rFonts w:ascii="Arial" w:hAnsi="Arial" w:cs="Arial"/>
                <w:bCs/>
                <w:lang w:val="en-GB"/>
              </w:rPr>
              <w:t>9,536.32</w:t>
            </w:r>
          </w:p>
        </w:tc>
        <w:tc>
          <w:tcPr>
            <w:tcW w:w="624" w:type="pct"/>
            <w:noWrap/>
            <w:vAlign w:val="center"/>
            <w:hideMark/>
          </w:tcPr>
          <w:p w14:paraId="58EBC69F" w14:textId="77777777" w:rsidR="008E0E4E" w:rsidRPr="009C1935" w:rsidRDefault="008E0E4E" w:rsidP="00FF2DC2">
            <w:pPr>
              <w:jc w:val="right"/>
              <w:rPr>
                <w:rFonts w:ascii="Arial" w:hAnsi="Arial" w:cs="Arial"/>
                <w:bCs/>
                <w:lang w:val="en-GB"/>
              </w:rPr>
            </w:pPr>
            <w:r w:rsidRPr="009C1935">
              <w:rPr>
                <w:rFonts w:ascii="Arial" w:hAnsi="Arial" w:cs="Arial"/>
                <w:bCs/>
                <w:lang w:val="en-GB"/>
              </w:rPr>
              <w:t>11,751.60</w:t>
            </w:r>
          </w:p>
        </w:tc>
      </w:tr>
      <w:tr w:rsidR="008E0E4E" w:rsidRPr="009C1935" w14:paraId="530A9BA2" w14:textId="77777777" w:rsidTr="00A43549">
        <w:trPr>
          <w:trHeight w:val="303"/>
          <w:jc w:val="center"/>
        </w:trPr>
        <w:tc>
          <w:tcPr>
            <w:tcW w:w="5000" w:type="pct"/>
            <w:gridSpan w:val="6"/>
            <w:vAlign w:val="center"/>
            <w:hideMark/>
          </w:tcPr>
          <w:p w14:paraId="0696676E" w14:textId="77777777" w:rsidR="008E0E4E" w:rsidRPr="009C1935" w:rsidRDefault="008E0E4E" w:rsidP="00FF2DC2">
            <w:pPr>
              <w:rPr>
                <w:rFonts w:ascii="Arial" w:hAnsi="Arial" w:cs="Arial"/>
                <w:lang w:val="en-GB"/>
              </w:rPr>
            </w:pPr>
          </w:p>
        </w:tc>
      </w:tr>
      <w:tr w:rsidR="008E0E4E" w:rsidRPr="009C1935" w14:paraId="36B8A168" w14:textId="77777777" w:rsidTr="00A43549">
        <w:trPr>
          <w:trHeight w:val="606"/>
          <w:jc w:val="center"/>
        </w:trPr>
        <w:tc>
          <w:tcPr>
            <w:tcW w:w="2072" w:type="pct"/>
            <w:vAlign w:val="center"/>
            <w:hideMark/>
          </w:tcPr>
          <w:p w14:paraId="59018A4A" w14:textId="77777777" w:rsidR="008E0E4E" w:rsidRPr="009C1935" w:rsidRDefault="008E0E4E" w:rsidP="00FF2DC2">
            <w:pPr>
              <w:rPr>
                <w:rFonts w:ascii="Arial" w:hAnsi="Arial" w:cs="Arial"/>
                <w:bCs/>
                <w:lang w:val="en-GB"/>
              </w:rPr>
            </w:pPr>
            <w:r w:rsidRPr="009C1935">
              <w:rPr>
                <w:rFonts w:ascii="Arial" w:hAnsi="Arial" w:cs="Arial"/>
                <w:bCs/>
                <w:lang w:val="en-GB"/>
              </w:rPr>
              <w:t>Profit before interest, tax, depreciation</w:t>
            </w:r>
            <w:r w:rsidR="006C0685" w:rsidRPr="009C1935">
              <w:rPr>
                <w:rFonts w:ascii="Arial" w:hAnsi="Arial" w:cs="Arial"/>
                <w:bCs/>
                <w:lang w:val="en-GB"/>
              </w:rPr>
              <w:t>,</w:t>
            </w:r>
            <w:r w:rsidRPr="009C1935">
              <w:rPr>
                <w:rFonts w:ascii="Arial" w:hAnsi="Arial" w:cs="Arial"/>
                <w:bCs/>
                <w:lang w:val="en-GB"/>
              </w:rPr>
              <w:t xml:space="preserve"> and amortization</w:t>
            </w:r>
          </w:p>
        </w:tc>
        <w:tc>
          <w:tcPr>
            <w:tcW w:w="561" w:type="pct"/>
            <w:noWrap/>
            <w:vAlign w:val="center"/>
            <w:hideMark/>
          </w:tcPr>
          <w:p w14:paraId="2B231D10" w14:textId="77777777" w:rsidR="008E0E4E" w:rsidRPr="009C1935" w:rsidRDefault="008E0E4E" w:rsidP="00FF2DC2">
            <w:pPr>
              <w:jc w:val="right"/>
              <w:rPr>
                <w:rFonts w:ascii="Arial" w:hAnsi="Arial" w:cs="Arial"/>
                <w:bCs/>
                <w:lang w:val="en-GB"/>
              </w:rPr>
            </w:pPr>
            <w:r w:rsidRPr="009C1935">
              <w:rPr>
                <w:rFonts w:ascii="Arial" w:hAnsi="Arial" w:cs="Arial"/>
                <w:bCs/>
                <w:lang w:val="en-GB"/>
              </w:rPr>
              <w:t>612.02</w:t>
            </w:r>
          </w:p>
        </w:tc>
        <w:tc>
          <w:tcPr>
            <w:tcW w:w="560" w:type="pct"/>
            <w:noWrap/>
            <w:vAlign w:val="center"/>
            <w:hideMark/>
          </w:tcPr>
          <w:p w14:paraId="7D1EC307" w14:textId="77777777" w:rsidR="008E0E4E" w:rsidRPr="009C1935" w:rsidRDefault="008E0E4E" w:rsidP="00FF2DC2">
            <w:pPr>
              <w:jc w:val="right"/>
              <w:rPr>
                <w:rFonts w:ascii="Arial" w:hAnsi="Arial" w:cs="Arial"/>
                <w:bCs/>
                <w:lang w:val="en-GB"/>
              </w:rPr>
            </w:pPr>
            <w:r w:rsidRPr="009C1935">
              <w:rPr>
                <w:rFonts w:ascii="Arial" w:hAnsi="Arial" w:cs="Arial"/>
                <w:bCs/>
                <w:lang w:val="en-GB"/>
              </w:rPr>
              <w:t>860.80</w:t>
            </w:r>
          </w:p>
        </w:tc>
        <w:tc>
          <w:tcPr>
            <w:tcW w:w="560" w:type="pct"/>
            <w:noWrap/>
            <w:vAlign w:val="center"/>
            <w:hideMark/>
          </w:tcPr>
          <w:p w14:paraId="202CEA0B" w14:textId="77777777" w:rsidR="008E0E4E" w:rsidRPr="009C1935" w:rsidRDefault="008E0E4E" w:rsidP="00FF2DC2">
            <w:pPr>
              <w:jc w:val="right"/>
              <w:rPr>
                <w:rFonts w:ascii="Arial" w:hAnsi="Arial" w:cs="Arial"/>
                <w:bCs/>
                <w:lang w:val="en-GB"/>
              </w:rPr>
            </w:pPr>
            <w:r w:rsidRPr="009C1935">
              <w:rPr>
                <w:rFonts w:ascii="Arial" w:hAnsi="Arial" w:cs="Arial"/>
                <w:bCs/>
                <w:lang w:val="en-GB"/>
              </w:rPr>
              <w:t>880.25</w:t>
            </w:r>
          </w:p>
        </w:tc>
        <w:tc>
          <w:tcPr>
            <w:tcW w:w="623" w:type="pct"/>
            <w:noWrap/>
            <w:vAlign w:val="center"/>
            <w:hideMark/>
          </w:tcPr>
          <w:p w14:paraId="761B5D44" w14:textId="77777777" w:rsidR="008E0E4E" w:rsidRPr="009C1935" w:rsidRDefault="008E0E4E" w:rsidP="00FF2DC2">
            <w:pPr>
              <w:jc w:val="right"/>
              <w:rPr>
                <w:rFonts w:ascii="Arial" w:hAnsi="Arial" w:cs="Arial"/>
                <w:bCs/>
                <w:lang w:val="en-GB"/>
              </w:rPr>
            </w:pPr>
            <w:r w:rsidRPr="009C1935">
              <w:rPr>
                <w:rFonts w:ascii="Arial" w:hAnsi="Arial" w:cs="Arial"/>
                <w:bCs/>
                <w:lang w:val="en-GB"/>
              </w:rPr>
              <w:t>1,376.84</w:t>
            </w:r>
          </w:p>
        </w:tc>
        <w:tc>
          <w:tcPr>
            <w:tcW w:w="624" w:type="pct"/>
            <w:noWrap/>
            <w:vAlign w:val="center"/>
            <w:hideMark/>
          </w:tcPr>
          <w:p w14:paraId="12D5FF87" w14:textId="77777777" w:rsidR="008E0E4E" w:rsidRPr="009C1935" w:rsidRDefault="008E0E4E" w:rsidP="00FF2DC2">
            <w:pPr>
              <w:jc w:val="right"/>
              <w:rPr>
                <w:rFonts w:ascii="Arial" w:hAnsi="Arial" w:cs="Arial"/>
                <w:bCs/>
                <w:lang w:val="en-GB"/>
              </w:rPr>
            </w:pPr>
            <w:r w:rsidRPr="009C1935">
              <w:rPr>
                <w:rFonts w:ascii="Arial" w:hAnsi="Arial" w:cs="Arial"/>
                <w:bCs/>
                <w:lang w:val="en-GB"/>
              </w:rPr>
              <w:t>1,424.58</w:t>
            </w:r>
          </w:p>
        </w:tc>
      </w:tr>
      <w:tr w:rsidR="008E0E4E" w:rsidRPr="009C1935" w14:paraId="0632081A" w14:textId="77777777" w:rsidTr="00A43549">
        <w:trPr>
          <w:trHeight w:val="303"/>
          <w:jc w:val="center"/>
        </w:trPr>
        <w:tc>
          <w:tcPr>
            <w:tcW w:w="2072" w:type="pct"/>
            <w:noWrap/>
            <w:vAlign w:val="center"/>
            <w:hideMark/>
          </w:tcPr>
          <w:p w14:paraId="6414D192" w14:textId="77777777" w:rsidR="008E0E4E" w:rsidRPr="009C1935" w:rsidRDefault="008E0E4E" w:rsidP="00FF2DC2">
            <w:pPr>
              <w:rPr>
                <w:rFonts w:ascii="Arial" w:hAnsi="Arial" w:cs="Arial"/>
                <w:lang w:val="en-GB"/>
              </w:rPr>
            </w:pPr>
            <w:r w:rsidRPr="009C1935">
              <w:rPr>
                <w:rFonts w:ascii="Arial" w:hAnsi="Arial" w:cs="Arial"/>
                <w:lang w:val="en-GB"/>
              </w:rPr>
              <w:t>Finance costs</w:t>
            </w:r>
          </w:p>
        </w:tc>
        <w:tc>
          <w:tcPr>
            <w:tcW w:w="561" w:type="pct"/>
            <w:noWrap/>
            <w:vAlign w:val="center"/>
            <w:hideMark/>
          </w:tcPr>
          <w:p w14:paraId="0DB8B020" w14:textId="77777777" w:rsidR="008E0E4E" w:rsidRPr="009C1935" w:rsidRDefault="008E0E4E" w:rsidP="00FF2DC2">
            <w:pPr>
              <w:jc w:val="right"/>
              <w:rPr>
                <w:rFonts w:ascii="Arial" w:hAnsi="Arial" w:cs="Arial"/>
                <w:lang w:val="en-GB"/>
              </w:rPr>
            </w:pPr>
            <w:r w:rsidRPr="009C1935">
              <w:rPr>
                <w:rFonts w:ascii="Arial" w:hAnsi="Arial" w:cs="Arial"/>
                <w:lang w:val="en-GB"/>
              </w:rPr>
              <w:t>52.25</w:t>
            </w:r>
          </w:p>
        </w:tc>
        <w:tc>
          <w:tcPr>
            <w:tcW w:w="560" w:type="pct"/>
            <w:noWrap/>
            <w:vAlign w:val="center"/>
            <w:hideMark/>
          </w:tcPr>
          <w:p w14:paraId="01496630" w14:textId="77777777" w:rsidR="008E0E4E" w:rsidRPr="009C1935" w:rsidRDefault="008E0E4E" w:rsidP="00FF2DC2">
            <w:pPr>
              <w:jc w:val="right"/>
              <w:rPr>
                <w:rFonts w:ascii="Arial" w:hAnsi="Arial" w:cs="Arial"/>
                <w:lang w:val="en-GB"/>
              </w:rPr>
            </w:pPr>
            <w:r w:rsidRPr="009C1935">
              <w:rPr>
                <w:rFonts w:ascii="Arial" w:hAnsi="Arial" w:cs="Arial"/>
                <w:lang w:val="en-GB"/>
              </w:rPr>
              <w:t>87.04</w:t>
            </w:r>
          </w:p>
        </w:tc>
        <w:tc>
          <w:tcPr>
            <w:tcW w:w="560" w:type="pct"/>
            <w:noWrap/>
            <w:vAlign w:val="center"/>
            <w:hideMark/>
          </w:tcPr>
          <w:p w14:paraId="77E1F981" w14:textId="77777777" w:rsidR="008E0E4E" w:rsidRPr="009C1935" w:rsidRDefault="008E0E4E" w:rsidP="00FF2DC2">
            <w:pPr>
              <w:jc w:val="right"/>
              <w:rPr>
                <w:rFonts w:ascii="Arial" w:hAnsi="Arial" w:cs="Arial"/>
                <w:lang w:val="en-GB"/>
              </w:rPr>
            </w:pPr>
            <w:r w:rsidRPr="009C1935">
              <w:rPr>
                <w:rFonts w:ascii="Arial" w:hAnsi="Arial" w:cs="Arial"/>
                <w:lang w:val="en-GB"/>
              </w:rPr>
              <w:t>156.78</w:t>
            </w:r>
          </w:p>
        </w:tc>
        <w:tc>
          <w:tcPr>
            <w:tcW w:w="623" w:type="pct"/>
            <w:noWrap/>
            <w:vAlign w:val="center"/>
            <w:hideMark/>
          </w:tcPr>
          <w:p w14:paraId="332DC14D" w14:textId="77777777" w:rsidR="008E0E4E" w:rsidRPr="009C1935" w:rsidRDefault="008E0E4E" w:rsidP="00FF2DC2">
            <w:pPr>
              <w:jc w:val="right"/>
              <w:rPr>
                <w:rFonts w:ascii="Arial" w:hAnsi="Arial" w:cs="Arial"/>
                <w:lang w:val="en-GB"/>
              </w:rPr>
            </w:pPr>
            <w:r w:rsidRPr="009C1935">
              <w:rPr>
                <w:rFonts w:ascii="Arial" w:hAnsi="Arial" w:cs="Arial"/>
                <w:lang w:val="en-GB"/>
              </w:rPr>
              <w:t>266.95</w:t>
            </w:r>
          </w:p>
        </w:tc>
        <w:tc>
          <w:tcPr>
            <w:tcW w:w="624" w:type="pct"/>
            <w:noWrap/>
            <w:vAlign w:val="center"/>
            <w:hideMark/>
          </w:tcPr>
          <w:p w14:paraId="7D5D7A84" w14:textId="77777777" w:rsidR="008E0E4E" w:rsidRPr="009C1935" w:rsidRDefault="008E0E4E" w:rsidP="00FF2DC2">
            <w:pPr>
              <w:jc w:val="right"/>
              <w:rPr>
                <w:rFonts w:ascii="Arial" w:hAnsi="Arial" w:cs="Arial"/>
                <w:lang w:val="en-GB"/>
              </w:rPr>
            </w:pPr>
            <w:r w:rsidRPr="009C1935">
              <w:rPr>
                <w:rFonts w:ascii="Arial" w:hAnsi="Arial" w:cs="Arial"/>
                <w:lang w:val="en-GB"/>
              </w:rPr>
              <w:t>347.07</w:t>
            </w:r>
          </w:p>
        </w:tc>
      </w:tr>
      <w:tr w:rsidR="008E0E4E" w:rsidRPr="009C1935" w14:paraId="1A866088" w14:textId="77777777" w:rsidTr="00A43549">
        <w:trPr>
          <w:trHeight w:val="303"/>
          <w:jc w:val="center"/>
        </w:trPr>
        <w:tc>
          <w:tcPr>
            <w:tcW w:w="2072" w:type="pct"/>
            <w:noWrap/>
            <w:vAlign w:val="center"/>
            <w:hideMark/>
          </w:tcPr>
          <w:p w14:paraId="486D8185" w14:textId="77777777" w:rsidR="008E0E4E" w:rsidRPr="009C1935" w:rsidRDefault="008E0E4E" w:rsidP="00FF2DC2">
            <w:pPr>
              <w:rPr>
                <w:rFonts w:ascii="Arial" w:hAnsi="Arial" w:cs="Arial"/>
                <w:lang w:val="en-GB"/>
              </w:rPr>
            </w:pPr>
            <w:r w:rsidRPr="009C1935">
              <w:rPr>
                <w:rFonts w:ascii="Arial" w:hAnsi="Arial" w:cs="Arial"/>
                <w:lang w:val="en-GB"/>
              </w:rPr>
              <w:t>Depreciation and amortization</w:t>
            </w:r>
          </w:p>
        </w:tc>
        <w:tc>
          <w:tcPr>
            <w:tcW w:w="561" w:type="pct"/>
            <w:noWrap/>
            <w:vAlign w:val="center"/>
            <w:hideMark/>
          </w:tcPr>
          <w:p w14:paraId="2C0EAE60" w14:textId="77777777" w:rsidR="008E0E4E" w:rsidRPr="009C1935" w:rsidRDefault="008E0E4E" w:rsidP="00FF2DC2">
            <w:pPr>
              <w:jc w:val="right"/>
              <w:rPr>
                <w:rFonts w:ascii="Arial" w:hAnsi="Arial" w:cs="Arial"/>
                <w:lang w:val="en-GB"/>
              </w:rPr>
            </w:pPr>
            <w:r w:rsidRPr="009C1935">
              <w:rPr>
                <w:rFonts w:ascii="Arial" w:hAnsi="Arial" w:cs="Arial"/>
                <w:lang w:val="en-GB"/>
              </w:rPr>
              <w:t>313.89</w:t>
            </w:r>
          </w:p>
        </w:tc>
        <w:tc>
          <w:tcPr>
            <w:tcW w:w="560" w:type="pct"/>
            <w:noWrap/>
            <w:vAlign w:val="center"/>
            <w:hideMark/>
          </w:tcPr>
          <w:p w14:paraId="4A44514C" w14:textId="77777777" w:rsidR="008E0E4E" w:rsidRPr="009C1935" w:rsidRDefault="008E0E4E" w:rsidP="00FF2DC2">
            <w:pPr>
              <w:jc w:val="right"/>
              <w:rPr>
                <w:rFonts w:ascii="Arial" w:hAnsi="Arial" w:cs="Arial"/>
                <w:lang w:val="en-GB"/>
              </w:rPr>
            </w:pPr>
            <w:r w:rsidRPr="009C1935">
              <w:rPr>
                <w:rFonts w:ascii="Arial" w:hAnsi="Arial" w:cs="Arial"/>
                <w:lang w:val="en-GB"/>
              </w:rPr>
              <w:t>355.68</w:t>
            </w:r>
          </w:p>
        </w:tc>
        <w:tc>
          <w:tcPr>
            <w:tcW w:w="560" w:type="pct"/>
            <w:noWrap/>
            <w:vAlign w:val="center"/>
            <w:hideMark/>
          </w:tcPr>
          <w:p w14:paraId="39EFA1D5" w14:textId="77777777" w:rsidR="008E0E4E" w:rsidRPr="009C1935" w:rsidRDefault="008E0E4E" w:rsidP="00FF2DC2">
            <w:pPr>
              <w:jc w:val="right"/>
              <w:rPr>
                <w:rFonts w:ascii="Arial" w:hAnsi="Arial" w:cs="Arial"/>
                <w:lang w:val="en-GB"/>
              </w:rPr>
            </w:pPr>
            <w:r w:rsidRPr="009C1935">
              <w:rPr>
                <w:rFonts w:ascii="Arial" w:hAnsi="Arial" w:cs="Arial"/>
                <w:lang w:val="en-GB"/>
              </w:rPr>
              <w:t>439.69</w:t>
            </w:r>
          </w:p>
        </w:tc>
        <w:tc>
          <w:tcPr>
            <w:tcW w:w="623" w:type="pct"/>
            <w:noWrap/>
            <w:vAlign w:val="center"/>
            <w:hideMark/>
          </w:tcPr>
          <w:p w14:paraId="39203E53" w14:textId="77777777" w:rsidR="008E0E4E" w:rsidRPr="009C1935" w:rsidRDefault="008E0E4E" w:rsidP="00FF2DC2">
            <w:pPr>
              <w:jc w:val="right"/>
              <w:rPr>
                <w:rFonts w:ascii="Arial" w:hAnsi="Arial" w:cs="Arial"/>
                <w:lang w:val="en-GB"/>
              </w:rPr>
            </w:pPr>
            <w:r w:rsidRPr="009C1935">
              <w:rPr>
                <w:rFonts w:ascii="Arial" w:hAnsi="Arial" w:cs="Arial"/>
                <w:lang w:val="en-GB"/>
              </w:rPr>
              <w:t>546.81</w:t>
            </w:r>
          </w:p>
        </w:tc>
        <w:tc>
          <w:tcPr>
            <w:tcW w:w="624" w:type="pct"/>
            <w:noWrap/>
            <w:vAlign w:val="center"/>
            <w:hideMark/>
          </w:tcPr>
          <w:p w14:paraId="2503B6BE" w14:textId="77777777" w:rsidR="008E0E4E" w:rsidRPr="009C1935" w:rsidRDefault="008E0E4E" w:rsidP="00FF2DC2">
            <w:pPr>
              <w:jc w:val="right"/>
              <w:rPr>
                <w:rFonts w:ascii="Arial" w:hAnsi="Arial" w:cs="Arial"/>
                <w:lang w:val="en-GB"/>
              </w:rPr>
            </w:pPr>
            <w:r w:rsidRPr="009C1935">
              <w:rPr>
                <w:rFonts w:ascii="Arial" w:hAnsi="Arial" w:cs="Arial"/>
                <w:lang w:val="en-GB"/>
              </w:rPr>
              <w:t>619.56</w:t>
            </w:r>
          </w:p>
        </w:tc>
      </w:tr>
      <w:tr w:rsidR="008E0E4E" w:rsidRPr="009C1935" w14:paraId="5A3BAB0F" w14:textId="77777777" w:rsidTr="00A43549">
        <w:trPr>
          <w:trHeight w:val="303"/>
          <w:jc w:val="center"/>
        </w:trPr>
        <w:tc>
          <w:tcPr>
            <w:tcW w:w="2072" w:type="pct"/>
            <w:noWrap/>
            <w:vAlign w:val="center"/>
            <w:hideMark/>
          </w:tcPr>
          <w:p w14:paraId="3031FC27" w14:textId="77777777" w:rsidR="008E0E4E" w:rsidRPr="009C1935" w:rsidRDefault="008E0E4E" w:rsidP="00FF2DC2">
            <w:pPr>
              <w:rPr>
                <w:rFonts w:ascii="Arial" w:hAnsi="Arial" w:cs="Arial"/>
                <w:bCs/>
                <w:lang w:val="en-GB"/>
              </w:rPr>
            </w:pPr>
            <w:r w:rsidRPr="009C1935">
              <w:rPr>
                <w:rFonts w:ascii="Arial" w:hAnsi="Arial" w:cs="Arial"/>
                <w:bCs/>
                <w:lang w:val="en-GB"/>
              </w:rPr>
              <w:t>Profit before tax, as restated</w:t>
            </w:r>
          </w:p>
        </w:tc>
        <w:tc>
          <w:tcPr>
            <w:tcW w:w="561" w:type="pct"/>
            <w:noWrap/>
            <w:vAlign w:val="center"/>
            <w:hideMark/>
          </w:tcPr>
          <w:p w14:paraId="08A3273C" w14:textId="77777777" w:rsidR="008E0E4E" w:rsidRPr="009C1935" w:rsidRDefault="008E0E4E" w:rsidP="00FF2DC2">
            <w:pPr>
              <w:jc w:val="right"/>
              <w:rPr>
                <w:rFonts w:ascii="Arial" w:hAnsi="Arial" w:cs="Arial"/>
                <w:bCs/>
                <w:lang w:val="en-GB"/>
              </w:rPr>
            </w:pPr>
            <w:r w:rsidRPr="009C1935">
              <w:rPr>
                <w:rFonts w:ascii="Arial" w:hAnsi="Arial" w:cs="Arial"/>
                <w:bCs/>
                <w:lang w:val="en-GB"/>
              </w:rPr>
              <w:t>245.88</w:t>
            </w:r>
          </w:p>
        </w:tc>
        <w:tc>
          <w:tcPr>
            <w:tcW w:w="560" w:type="pct"/>
            <w:noWrap/>
            <w:vAlign w:val="center"/>
            <w:hideMark/>
          </w:tcPr>
          <w:p w14:paraId="7624CBB6" w14:textId="77777777" w:rsidR="008E0E4E" w:rsidRPr="009C1935" w:rsidRDefault="008E0E4E" w:rsidP="00FF2DC2">
            <w:pPr>
              <w:jc w:val="right"/>
              <w:rPr>
                <w:rFonts w:ascii="Arial" w:hAnsi="Arial" w:cs="Arial"/>
                <w:bCs/>
                <w:lang w:val="en-GB"/>
              </w:rPr>
            </w:pPr>
            <w:r w:rsidRPr="009C1935">
              <w:rPr>
                <w:rFonts w:ascii="Arial" w:hAnsi="Arial" w:cs="Arial"/>
                <w:bCs/>
                <w:lang w:val="en-GB"/>
              </w:rPr>
              <w:t>418.08</w:t>
            </w:r>
          </w:p>
        </w:tc>
        <w:tc>
          <w:tcPr>
            <w:tcW w:w="560" w:type="pct"/>
            <w:noWrap/>
            <w:vAlign w:val="center"/>
            <w:hideMark/>
          </w:tcPr>
          <w:p w14:paraId="7CA7F7AE" w14:textId="77777777" w:rsidR="008E0E4E" w:rsidRPr="009C1935" w:rsidRDefault="008E0E4E" w:rsidP="00FF2DC2">
            <w:pPr>
              <w:jc w:val="right"/>
              <w:rPr>
                <w:rFonts w:ascii="Arial" w:hAnsi="Arial" w:cs="Arial"/>
                <w:bCs/>
                <w:lang w:val="en-GB"/>
              </w:rPr>
            </w:pPr>
            <w:r w:rsidRPr="009C1935">
              <w:rPr>
                <w:rFonts w:ascii="Arial" w:hAnsi="Arial" w:cs="Arial"/>
                <w:bCs/>
                <w:lang w:val="en-GB"/>
              </w:rPr>
              <w:t>283.78</w:t>
            </w:r>
          </w:p>
        </w:tc>
        <w:tc>
          <w:tcPr>
            <w:tcW w:w="623" w:type="pct"/>
            <w:noWrap/>
            <w:vAlign w:val="center"/>
            <w:hideMark/>
          </w:tcPr>
          <w:p w14:paraId="52D5C413" w14:textId="77777777" w:rsidR="008E0E4E" w:rsidRPr="009C1935" w:rsidRDefault="008E0E4E" w:rsidP="00FF2DC2">
            <w:pPr>
              <w:jc w:val="right"/>
              <w:rPr>
                <w:rFonts w:ascii="Arial" w:hAnsi="Arial" w:cs="Arial"/>
                <w:bCs/>
                <w:lang w:val="en-GB"/>
              </w:rPr>
            </w:pPr>
            <w:r w:rsidRPr="009C1935">
              <w:rPr>
                <w:rFonts w:ascii="Arial" w:hAnsi="Arial" w:cs="Arial"/>
                <w:bCs/>
                <w:lang w:val="en-GB"/>
              </w:rPr>
              <w:t>563.08</w:t>
            </w:r>
          </w:p>
        </w:tc>
        <w:tc>
          <w:tcPr>
            <w:tcW w:w="624" w:type="pct"/>
            <w:noWrap/>
            <w:vAlign w:val="center"/>
            <w:hideMark/>
          </w:tcPr>
          <w:p w14:paraId="6DCFDC19" w14:textId="77777777" w:rsidR="008E0E4E" w:rsidRPr="009C1935" w:rsidRDefault="008E0E4E" w:rsidP="00FF2DC2">
            <w:pPr>
              <w:jc w:val="right"/>
              <w:rPr>
                <w:rFonts w:ascii="Arial" w:hAnsi="Arial" w:cs="Arial"/>
                <w:bCs/>
                <w:lang w:val="en-GB"/>
              </w:rPr>
            </w:pPr>
            <w:r w:rsidRPr="009C1935">
              <w:rPr>
                <w:rFonts w:ascii="Arial" w:hAnsi="Arial" w:cs="Arial"/>
                <w:bCs/>
                <w:lang w:val="en-GB"/>
              </w:rPr>
              <w:t>457.95</w:t>
            </w:r>
          </w:p>
        </w:tc>
      </w:tr>
      <w:tr w:rsidR="008E0E4E" w:rsidRPr="009C1935" w14:paraId="1F01BAA1" w14:textId="77777777" w:rsidTr="00A43549">
        <w:trPr>
          <w:trHeight w:val="303"/>
          <w:jc w:val="center"/>
        </w:trPr>
        <w:tc>
          <w:tcPr>
            <w:tcW w:w="2072" w:type="pct"/>
            <w:noWrap/>
            <w:vAlign w:val="center"/>
            <w:hideMark/>
          </w:tcPr>
          <w:p w14:paraId="3E1E4194" w14:textId="77777777" w:rsidR="008E0E4E" w:rsidRPr="009C1935" w:rsidRDefault="008E0E4E" w:rsidP="00A7108E">
            <w:pPr>
              <w:rPr>
                <w:rFonts w:ascii="Arial" w:hAnsi="Arial" w:cs="Arial"/>
                <w:bCs/>
                <w:lang w:val="en-GB"/>
              </w:rPr>
            </w:pPr>
            <w:r w:rsidRPr="009C1935">
              <w:rPr>
                <w:rFonts w:ascii="Arial" w:hAnsi="Arial" w:cs="Arial"/>
                <w:bCs/>
                <w:lang w:val="en-GB"/>
              </w:rPr>
              <w:t xml:space="preserve">Tax </w:t>
            </w:r>
            <w:r w:rsidR="00A7108E" w:rsidRPr="009C1935">
              <w:rPr>
                <w:rFonts w:ascii="Arial" w:hAnsi="Arial" w:cs="Arial"/>
                <w:bCs/>
                <w:lang w:val="en-GB"/>
              </w:rPr>
              <w:t>expense</w:t>
            </w:r>
          </w:p>
        </w:tc>
        <w:tc>
          <w:tcPr>
            <w:tcW w:w="561" w:type="pct"/>
            <w:noWrap/>
            <w:vAlign w:val="center"/>
            <w:hideMark/>
          </w:tcPr>
          <w:p w14:paraId="29C6B085" w14:textId="77777777" w:rsidR="008E0E4E" w:rsidRPr="009C1935" w:rsidRDefault="008E0E4E" w:rsidP="00FF2DC2">
            <w:pPr>
              <w:jc w:val="right"/>
              <w:rPr>
                <w:rFonts w:ascii="Arial" w:hAnsi="Arial" w:cs="Arial"/>
                <w:lang w:val="en-GB"/>
              </w:rPr>
            </w:pPr>
          </w:p>
        </w:tc>
        <w:tc>
          <w:tcPr>
            <w:tcW w:w="560" w:type="pct"/>
            <w:noWrap/>
            <w:vAlign w:val="center"/>
            <w:hideMark/>
          </w:tcPr>
          <w:p w14:paraId="466EAB6B" w14:textId="77777777" w:rsidR="008E0E4E" w:rsidRPr="009C1935" w:rsidRDefault="008E0E4E" w:rsidP="00FF2DC2">
            <w:pPr>
              <w:jc w:val="right"/>
              <w:rPr>
                <w:rFonts w:ascii="Arial" w:hAnsi="Arial" w:cs="Arial"/>
                <w:lang w:val="en-GB"/>
              </w:rPr>
            </w:pPr>
          </w:p>
        </w:tc>
        <w:tc>
          <w:tcPr>
            <w:tcW w:w="560" w:type="pct"/>
            <w:noWrap/>
            <w:vAlign w:val="center"/>
            <w:hideMark/>
          </w:tcPr>
          <w:p w14:paraId="1EB2FE31" w14:textId="77777777" w:rsidR="008E0E4E" w:rsidRPr="009C1935" w:rsidRDefault="008E0E4E" w:rsidP="00FF2DC2">
            <w:pPr>
              <w:jc w:val="right"/>
              <w:rPr>
                <w:rFonts w:ascii="Arial" w:hAnsi="Arial" w:cs="Arial"/>
                <w:lang w:val="en-GB"/>
              </w:rPr>
            </w:pPr>
          </w:p>
        </w:tc>
        <w:tc>
          <w:tcPr>
            <w:tcW w:w="623" w:type="pct"/>
            <w:noWrap/>
            <w:vAlign w:val="center"/>
            <w:hideMark/>
          </w:tcPr>
          <w:p w14:paraId="53CE5ADE" w14:textId="77777777" w:rsidR="008E0E4E" w:rsidRPr="009C1935" w:rsidRDefault="008E0E4E" w:rsidP="00FF2DC2">
            <w:pPr>
              <w:jc w:val="right"/>
              <w:rPr>
                <w:rFonts w:ascii="Arial" w:hAnsi="Arial" w:cs="Arial"/>
                <w:lang w:val="en-GB"/>
              </w:rPr>
            </w:pPr>
          </w:p>
        </w:tc>
        <w:tc>
          <w:tcPr>
            <w:tcW w:w="624" w:type="pct"/>
            <w:noWrap/>
            <w:vAlign w:val="center"/>
            <w:hideMark/>
          </w:tcPr>
          <w:p w14:paraId="2E80D1EA" w14:textId="77777777" w:rsidR="008E0E4E" w:rsidRPr="009C1935" w:rsidRDefault="008E0E4E" w:rsidP="00FF2DC2">
            <w:pPr>
              <w:jc w:val="right"/>
              <w:rPr>
                <w:rFonts w:ascii="Arial" w:hAnsi="Arial" w:cs="Arial"/>
                <w:lang w:val="en-GB"/>
              </w:rPr>
            </w:pPr>
          </w:p>
        </w:tc>
      </w:tr>
      <w:tr w:rsidR="008E0E4E" w:rsidRPr="009C1935" w14:paraId="3897D316" w14:textId="77777777" w:rsidTr="00A43549">
        <w:trPr>
          <w:trHeight w:val="303"/>
          <w:jc w:val="center"/>
        </w:trPr>
        <w:tc>
          <w:tcPr>
            <w:tcW w:w="2072" w:type="pct"/>
            <w:noWrap/>
            <w:vAlign w:val="center"/>
            <w:hideMark/>
          </w:tcPr>
          <w:p w14:paraId="206163F1" w14:textId="77777777" w:rsidR="008E0E4E" w:rsidRPr="009C1935" w:rsidRDefault="008E0E4E" w:rsidP="00A7108E">
            <w:pPr>
              <w:rPr>
                <w:rFonts w:ascii="Arial" w:hAnsi="Arial" w:cs="Arial"/>
                <w:lang w:val="en-GB"/>
              </w:rPr>
            </w:pPr>
            <w:r w:rsidRPr="009C1935">
              <w:rPr>
                <w:rFonts w:ascii="Arial" w:hAnsi="Arial" w:cs="Arial"/>
                <w:lang w:val="en-GB"/>
              </w:rPr>
              <w:t xml:space="preserve">Current </w:t>
            </w:r>
            <w:r w:rsidR="00A7108E" w:rsidRPr="009C1935">
              <w:rPr>
                <w:rFonts w:ascii="Arial" w:hAnsi="Arial" w:cs="Arial"/>
                <w:lang w:val="en-GB"/>
              </w:rPr>
              <w:t>tax</w:t>
            </w:r>
          </w:p>
        </w:tc>
        <w:tc>
          <w:tcPr>
            <w:tcW w:w="561" w:type="pct"/>
            <w:noWrap/>
            <w:vAlign w:val="center"/>
            <w:hideMark/>
          </w:tcPr>
          <w:p w14:paraId="5343E9E5" w14:textId="07E935B7" w:rsidR="008E0E4E" w:rsidRPr="009C1935" w:rsidRDefault="008E0E4E" w:rsidP="00FF2DC2">
            <w:pPr>
              <w:jc w:val="right"/>
              <w:rPr>
                <w:rFonts w:ascii="Arial" w:hAnsi="Arial" w:cs="Arial"/>
                <w:lang w:val="en-GB"/>
              </w:rPr>
            </w:pPr>
            <w:r w:rsidRPr="009C1935">
              <w:rPr>
                <w:rFonts w:ascii="Arial" w:hAnsi="Arial" w:cs="Arial"/>
                <w:lang w:val="en-GB"/>
              </w:rPr>
              <w:t>68</w:t>
            </w:r>
            <w:r w:rsidR="003C7079" w:rsidRPr="009C1935">
              <w:rPr>
                <w:rFonts w:ascii="Arial" w:hAnsi="Arial" w:cs="Arial"/>
                <w:lang w:val="en-GB"/>
              </w:rPr>
              <w:t>.00</w:t>
            </w:r>
          </w:p>
        </w:tc>
        <w:tc>
          <w:tcPr>
            <w:tcW w:w="560" w:type="pct"/>
            <w:noWrap/>
            <w:vAlign w:val="center"/>
            <w:hideMark/>
          </w:tcPr>
          <w:p w14:paraId="6F70CBC2" w14:textId="5C15D79A" w:rsidR="008E0E4E" w:rsidRPr="009C1935" w:rsidRDefault="008E0E4E" w:rsidP="00FF2DC2">
            <w:pPr>
              <w:jc w:val="right"/>
              <w:rPr>
                <w:rFonts w:ascii="Arial" w:hAnsi="Arial" w:cs="Arial"/>
                <w:lang w:val="en-GB"/>
              </w:rPr>
            </w:pPr>
            <w:r w:rsidRPr="009C1935">
              <w:rPr>
                <w:rFonts w:ascii="Arial" w:hAnsi="Arial" w:cs="Arial"/>
                <w:lang w:val="en-GB"/>
              </w:rPr>
              <w:t>106</w:t>
            </w:r>
            <w:r w:rsidR="003C7079" w:rsidRPr="009C1935">
              <w:rPr>
                <w:rFonts w:ascii="Arial" w:hAnsi="Arial" w:cs="Arial"/>
                <w:lang w:val="en-GB"/>
              </w:rPr>
              <w:t>.00</w:t>
            </w:r>
          </w:p>
        </w:tc>
        <w:tc>
          <w:tcPr>
            <w:tcW w:w="560" w:type="pct"/>
            <w:noWrap/>
            <w:vAlign w:val="center"/>
            <w:hideMark/>
          </w:tcPr>
          <w:p w14:paraId="5545BBF3" w14:textId="4CFD27CE" w:rsidR="008E0E4E" w:rsidRPr="009C1935" w:rsidRDefault="008E0E4E" w:rsidP="00FF2DC2">
            <w:pPr>
              <w:jc w:val="right"/>
              <w:rPr>
                <w:rFonts w:ascii="Arial" w:hAnsi="Arial" w:cs="Arial"/>
                <w:lang w:val="en-GB"/>
              </w:rPr>
            </w:pPr>
            <w:r w:rsidRPr="009C1935">
              <w:rPr>
                <w:rFonts w:ascii="Arial" w:hAnsi="Arial" w:cs="Arial"/>
                <w:lang w:val="en-GB"/>
              </w:rPr>
              <w:t>84</w:t>
            </w:r>
            <w:r w:rsidR="003C7079" w:rsidRPr="009C1935">
              <w:rPr>
                <w:rFonts w:ascii="Arial" w:hAnsi="Arial" w:cs="Arial"/>
                <w:lang w:val="en-GB"/>
              </w:rPr>
              <w:t>.00</w:t>
            </w:r>
          </w:p>
        </w:tc>
        <w:tc>
          <w:tcPr>
            <w:tcW w:w="623" w:type="pct"/>
            <w:noWrap/>
            <w:vAlign w:val="center"/>
            <w:hideMark/>
          </w:tcPr>
          <w:p w14:paraId="6F483776" w14:textId="26ECE327" w:rsidR="008E0E4E" w:rsidRPr="009C1935" w:rsidRDefault="008E0E4E" w:rsidP="00FF2DC2">
            <w:pPr>
              <w:jc w:val="right"/>
              <w:rPr>
                <w:rFonts w:ascii="Arial" w:hAnsi="Arial" w:cs="Arial"/>
                <w:lang w:val="en-GB"/>
              </w:rPr>
            </w:pPr>
            <w:r w:rsidRPr="009C1935">
              <w:rPr>
                <w:rFonts w:ascii="Arial" w:hAnsi="Arial" w:cs="Arial"/>
                <w:lang w:val="en-GB"/>
              </w:rPr>
              <w:t>152</w:t>
            </w:r>
            <w:r w:rsidR="003C7079" w:rsidRPr="009C1935">
              <w:rPr>
                <w:rFonts w:ascii="Arial" w:hAnsi="Arial" w:cs="Arial"/>
                <w:lang w:val="en-GB"/>
              </w:rPr>
              <w:t>.00</w:t>
            </w:r>
          </w:p>
        </w:tc>
        <w:tc>
          <w:tcPr>
            <w:tcW w:w="624" w:type="pct"/>
            <w:noWrap/>
            <w:vAlign w:val="center"/>
            <w:hideMark/>
          </w:tcPr>
          <w:p w14:paraId="40849012" w14:textId="59BA96D7" w:rsidR="008E0E4E" w:rsidRPr="009C1935" w:rsidRDefault="008E0E4E" w:rsidP="00FF2DC2">
            <w:pPr>
              <w:jc w:val="right"/>
              <w:rPr>
                <w:rFonts w:ascii="Arial" w:hAnsi="Arial" w:cs="Arial"/>
                <w:lang w:val="en-GB"/>
              </w:rPr>
            </w:pPr>
            <w:r w:rsidRPr="009C1935">
              <w:rPr>
                <w:rFonts w:ascii="Arial" w:hAnsi="Arial" w:cs="Arial"/>
                <w:lang w:val="en-GB"/>
              </w:rPr>
              <w:t>137</w:t>
            </w:r>
            <w:r w:rsidR="00380CC0" w:rsidRPr="009C1935">
              <w:rPr>
                <w:rFonts w:ascii="Arial" w:hAnsi="Arial" w:cs="Arial"/>
                <w:lang w:val="en-GB"/>
              </w:rPr>
              <w:t>.00</w:t>
            </w:r>
          </w:p>
        </w:tc>
      </w:tr>
      <w:tr w:rsidR="008E0E4E" w:rsidRPr="009C1935" w14:paraId="394F6DE6" w14:textId="77777777" w:rsidTr="00A43549">
        <w:trPr>
          <w:trHeight w:val="303"/>
          <w:jc w:val="center"/>
        </w:trPr>
        <w:tc>
          <w:tcPr>
            <w:tcW w:w="2072" w:type="pct"/>
            <w:noWrap/>
            <w:vAlign w:val="center"/>
            <w:hideMark/>
          </w:tcPr>
          <w:p w14:paraId="3389D6F3" w14:textId="77777777" w:rsidR="008E0E4E" w:rsidRPr="009C1935" w:rsidRDefault="008E0E4E" w:rsidP="00B66CFB">
            <w:pPr>
              <w:rPr>
                <w:rFonts w:ascii="Arial" w:hAnsi="Arial" w:cs="Arial"/>
                <w:lang w:val="en-GB"/>
              </w:rPr>
            </w:pPr>
            <w:r w:rsidRPr="009C1935">
              <w:rPr>
                <w:rFonts w:ascii="Arial" w:hAnsi="Arial" w:cs="Arial"/>
                <w:lang w:val="en-GB"/>
              </w:rPr>
              <w:t>Deferred tax charge/(credit)</w:t>
            </w:r>
          </w:p>
        </w:tc>
        <w:tc>
          <w:tcPr>
            <w:tcW w:w="561" w:type="pct"/>
            <w:noWrap/>
            <w:vAlign w:val="center"/>
            <w:hideMark/>
          </w:tcPr>
          <w:p w14:paraId="4A07E797" w14:textId="18BE6AD9" w:rsidR="008E0E4E" w:rsidRPr="009C1935" w:rsidRDefault="008E0E4E" w:rsidP="00FF2DC2">
            <w:pPr>
              <w:jc w:val="right"/>
              <w:rPr>
                <w:rFonts w:ascii="Arial" w:hAnsi="Arial" w:cs="Arial"/>
                <w:lang w:val="en-GB"/>
              </w:rPr>
            </w:pPr>
            <w:r w:rsidRPr="009C1935">
              <w:rPr>
                <w:rFonts w:ascii="Arial" w:hAnsi="Arial" w:cs="Arial"/>
                <w:lang w:val="en-GB"/>
              </w:rPr>
              <w:t>32.8</w:t>
            </w:r>
            <w:r w:rsidR="003C7079" w:rsidRPr="009C1935">
              <w:rPr>
                <w:rFonts w:ascii="Arial" w:hAnsi="Arial" w:cs="Arial"/>
                <w:lang w:val="en-GB"/>
              </w:rPr>
              <w:t>0</w:t>
            </w:r>
          </w:p>
        </w:tc>
        <w:tc>
          <w:tcPr>
            <w:tcW w:w="560" w:type="pct"/>
            <w:noWrap/>
            <w:vAlign w:val="center"/>
            <w:hideMark/>
          </w:tcPr>
          <w:p w14:paraId="2C4C785A" w14:textId="77777777" w:rsidR="008E0E4E" w:rsidRPr="009C1935" w:rsidRDefault="008E0E4E" w:rsidP="00FF2DC2">
            <w:pPr>
              <w:jc w:val="right"/>
              <w:rPr>
                <w:rFonts w:ascii="Arial" w:hAnsi="Arial" w:cs="Arial"/>
                <w:lang w:val="en-GB"/>
              </w:rPr>
            </w:pPr>
            <w:r w:rsidRPr="009C1935">
              <w:rPr>
                <w:rFonts w:ascii="Arial" w:hAnsi="Arial" w:cs="Arial"/>
                <w:lang w:val="en-GB"/>
              </w:rPr>
              <w:t>22.25</w:t>
            </w:r>
          </w:p>
        </w:tc>
        <w:tc>
          <w:tcPr>
            <w:tcW w:w="560" w:type="pct"/>
            <w:noWrap/>
            <w:vAlign w:val="center"/>
            <w:hideMark/>
          </w:tcPr>
          <w:p w14:paraId="0CB1EF23" w14:textId="77777777" w:rsidR="008E0E4E" w:rsidRPr="009C1935" w:rsidRDefault="008E0E4E" w:rsidP="00FF2DC2">
            <w:pPr>
              <w:jc w:val="right"/>
              <w:rPr>
                <w:rFonts w:ascii="Arial" w:hAnsi="Arial" w:cs="Arial"/>
                <w:lang w:val="en-GB"/>
              </w:rPr>
            </w:pPr>
            <w:r w:rsidRPr="009C1935">
              <w:rPr>
                <w:rFonts w:ascii="Arial" w:hAnsi="Arial" w:cs="Arial"/>
                <w:lang w:val="en-GB"/>
              </w:rPr>
              <w:t>15.33</w:t>
            </w:r>
          </w:p>
        </w:tc>
        <w:tc>
          <w:tcPr>
            <w:tcW w:w="623" w:type="pct"/>
            <w:noWrap/>
            <w:vAlign w:val="center"/>
            <w:hideMark/>
          </w:tcPr>
          <w:p w14:paraId="212FCE69" w14:textId="77777777" w:rsidR="008E0E4E" w:rsidRPr="009C1935" w:rsidRDefault="008E0E4E" w:rsidP="00FF2DC2">
            <w:pPr>
              <w:jc w:val="right"/>
              <w:rPr>
                <w:rFonts w:ascii="Arial" w:hAnsi="Arial" w:cs="Arial"/>
                <w:lang w:val="en-GB"/>
              </w:rPr>
            </w:pPr>
            <w:r w:rsidRPr="009C1935">
              <w:rPr>
                <w:rFonts w:ascii="Arial" w:hAnsi="Arial" w:cs="Arial"/>
                <w:lang w:val="en-GB"/>
              </w:rPr>
              <w:t>50.79</w:t>
            </w:r>
          </w:p>
        </w:tc>
        <w:tc>
          <w:tcPr>
            <w:tcW w:w="624" w:type="pct"/>
            <w:noWrap/>
            <w:vAlign w:val="center"/>
            <w:hideMark/>
          </w:tcPr>
          <w:p w14:paraId="420E4A91" w14:textId="77777777" w:rsidR="008E0E4E" w:rsidRPr="009C1935" w:rsidRDefault="008E0E4E" w:rsidP="00FF2DC2">
            <w:pPr>
              <w:jc w:val="right"/>
              <w:rPr>
                <w:rFonts w:ascii="Arial" w:hAnsi="Arial" w:cs="Arial"/>
                <w:lang w:val="en-GB"/>
              </w:rPr>
            </w:pPr>
            <w:r w:rsidRPr="009C1935">
              <w:rPr>
                <w:rFonts w:ascii="Arial" w:hAnsi="Arial" w:cs="Arial"/>
                <w:lang w:val="en-GB"/>
              </w:rPr>
              <w:t>31.75</w:t>
            </w:r>
          </w:p>
        </w:tc>
      </w:tr>
      <w:tr w:rsidR="008E0E4E" w:rsidRPr="009C1935" w14:paraId="328FAE2C" w14:textId="77777777" w:rsidTr="00A43549">
        <w:trPr>
          <w:trHeight w:val="303"/>
          <w:jc w:val="center"/>
        </w:trPr>
        <w:tc>
          <w:tcPr>
            <w:tcW w:w="2072" w:type="pct"/>
            <w:noWrap/>
            <w:vAlign w:val="center"/>
            <w:hideMark/>
          </w:tcPr>
          <w:p w14:paraId="3737E680" w14:textId="77777777" w:rsidR="008E0E4E" w:rsidRPr="009C1935" w:rsidRDefault="008E0E4E" w:rsidP="00A7108E">
            <w:pPr>
              <w:rPr>
                <w:rFonts w:ascii="Arial" w:hAnsi="Arial" w:cs="Arial"/>
                <w:lang w:val="en-GB"/>
              </w:rPr>
            </w:pPr>
            <w:r w:rsidRPr="009C1935">
              <w:rPr>
                <w:rFonts w:ascii="Arial" w:hAnsi="Arial" w:cs="Arial"/>
                <w:lang w:val="en-GB"/>
              </w:rPr>
              <w:t xml:space="preserve">Minimum </w:t>
            </w:r>
            <w:r w:rsidR="00A7108E" w:rsidRPr="009C1935">
              <w:rPr>
                <w:rFonts w:ascii="Arial" w:hAnsi="Arial" w:cs="Arial"/>
                <w:lang w:val="en-GB"/>
              </w:rPr>
              <w:t xml:space="preserve">alternate tax </w:t>
            </w:r>
            <w:r w:rsidRPr="009C1935">
              <w:rPr>
                <w:rFonts w:ascii="Arial" w:hAnsi="Arial" w:cs="Arial"/>
                <w:lang w:val="en-GB"/>
              </w:rPr>
              <w:t>credit entitlement</w:t>
            </w:r>
          </w:p>
        </w:tc>
        <w:tc>
          <w:tcPr>
            <w:tcW w:w="561" w:type="pct"/>
            <w:noWrap/>
            <w:vAlign w:val="center"/>
            <w:hideMark/>
          </w:tcPr>
          <w:p w14:paraId="76927D16" w14:textId="21F67CBD" w:rsidR="008E0E4E" w:rsidRPr="009C1935" w:rsidRDefault="00A43549" w:rsidP="00FF2DC2">
            <w:pPr>
              <w:jc w:val="right"/>
              <w:rPr>
                <w:rFonts w:ascii="Arial" w:hAnsi="Arial" w:cs="Arial"/>
                <w:lang w:val="en-GB"/>
              </w:rPr>
            </w:pPr>
            <w:r>
              <w:rPr>
                <w:rFonts w:ascii="Arial" w:hAnsi="Arial" w:cs="Arial"/>
                <w:lang w:val="en-GB"/>
              </w:rPr>
              <w:t>−</w:t>
            </w:r>
            <w:r w:rsidR="008E0E4E" w:rsidRPr="009C1935">
              <w:rPr>
                <w:rFonts w:ascii="Arial" w:hAnsi="Arial" w:cs="Arial"/>
                <w:lang w:val="en-GB"/>
              </w:rPr>
              <w:t>28.96</w:t>
            </w:r>
          </w:p>
        </w:tc>
        <w:tc>
          <w:tcPr>
            <w:tcW w:w="560" w:type="pct"/>
            <w:noWrap/>
            <w:vAlign w:val="center"/>
            <w:hideMark/>
          </w:tcPr>
          <w:p w14:paraId="6CD5A4DC" w14:textId="388053EC" w:rsidR="008E0E4E" w:rsidRPr="009C1935" w:rsidRDefault="00A43549" w:rsidP="00FF2DC2">
            <w:pPr>
              <w:jc w:val="right"/>
              <w:rPr>
                <w:rFonts w:ascii="Arial" w:hAnsi="Arial" w:cs="Arial"/>
                <w:lang w:val="en-GB"/>
              </w:rPr>
            </w:pPr>
            <w:r>
              <w:rPr>
                <w:rFonts w:ascii="Arial" w:hAnsi="Arial" w:cs="Arial"/>
                <w:lang w:val="en-GB"/>
              </w:rPr>
              <w:t>–</w:t>
            </w:r>
          </w:p>
        </w:tc>
        <w:tc>
          <w:tcPr>
            <w:tcW w:w="560" w:type="pct"/>
            <w:noWrap/>
            <w:vAlign w:val="center"/>
            <w:hideMark/>
          </w:tcPr>
          <w:p w14:paraId="5B226D1A" w14:textId="28A5986C" w:rsidR="008E0E4E" w:rsidRPr="009C1935" w:rsidRDefault="00A43549" w:rsidP="00FF2DC2">
            <w:pPr>
              <w:jc w:val="right"/>
              <w:rPr>
                <w:rFonts w:ascii="Arial" w:hAnsi="Arial" w:cs="Arial"/>
                <w:lang w:val="en-GB"/>
              </w:rPr>
            </w:pPr>
            <w:r>
              <w:rPr>
                <w:rFonts w:ascii="Arial" w:hAnsi="Arial" w:cs="Arial"/>
                <w:lang w:val="en-GB"/>
              </w:rPr>
              <w:t>–</w:t>
            </w:r>
          </w:p>
        </w:tc>
        <w:tc>
          <w:tcPr>
            <w:tcW w:w="623" w:type="pct"/>
            <w:noWrap/>
            <w:vAlign w:val="center"/>
            <w:hideMark/>
          </w:tcPr>
          <w:p w14:paraId="52C06EE9" w14:textId="576D84BA" w:rsidR="008E0E4E" w:rsidRPr="009C1935" w:rsidRDefault="00A43549" w:rsidP="00FF2DC2">
            <w:pPr>
              <w:jc w:val="right"/>
              <w:rPr>
                <w:rFonts w:ascii="Arial" w:hAnsi="Arial" w:cs="Arial"/>
                <w:lang w:val="en-GB"/>
              </w:rPr>
            </w:pPr>
            <w:r>
              <w:rPr>
                <w:rFonts w:ascii="Arial" w:hAnsi="Arial" w:cs="Arial"/>
                <w:lang w:val="en-GB"/>
              </w:rPr>
              <w:t>–</w:t>
            </w:r>
          </w:p>
        </w:tc>
        <w:tc>
          <w:tcPr>
            <w:tcW w:w="624" w:type="pct"/>
            <w:noWrap/>
            <w:vAlign w:val="center"/>
            <w:hideMark/>
          </w:tcPr>
          <w:p w14:paraId="3B6BD323" w14:textId="03663D70" w:rsidR="008E0E4E" w:rsidRPr="009C1935" w:rsidRDefault="00A43549" w:rsidP="00FF2DC2">
            <w:pPr>
              <w:jc w:val="right"/>
              <w:rPr>
                <w:rFonts w:ascii="Arial" w:hAnsi="Arial" w:cs="Arial"/>
                <w:lang w:val="en-GB"/>
              </w:rPr>
            </w:pPr>
            <w:r>
              <w:rPr>
                <w:rFonts w:ascii="Arial" w:hAnsi="Arial" w:cs="Arial"/>
                <w:lang w:val="en-GB"/>
              </w:rPr>
              <w:t>–</w:t>
            </w:r>
          </w:p>
        </w:tc>
      </w:tr>
      <w:tr w:rsidR="008E0E4E" w:rsidRPr="009C1935" w14:paraId="5AA2FFE5" w14:textId="77777777" w:rsidTr="00A43549">
        <w:trPr>
          <w:trHeight w:val="303"/>
          <w:jc w:val="center"/>
        </w:trPr>
        <w:tc>
          <w:tcPr>
            <w:tcW w:w="2072" w:type="pct"/>
            <w:noWrap/>
            <w:vAlign w:val="center"/>
            <w:hideMark/>
          </w:tcPr>
          <w:p w14:paraId="4D199A43" w14:textId="77777777" w:rsidR="008E0E4E" w:rsidRPr="009C1935" w:rsidRDefault="008E0E4E" w:rsidP="00FF2DC2">
            <w:pPr>
              <w:rPr>
                <w:rFonts w:ascii="Arial" w:hAnsi="Arial" w:cs="Arial"/>
                <w:bCs/>
                <w:lang w:val="en-GB"/>
              </w:rPr>
            </w:pPr>
            <w:r w:rsidRPr="009C1935">
              <w:rPr>
                <w:rFonts w:ascii="Arial" w:hAnsi="Arial" w:cs="Arial"/>
                <w:bCs/>
                <w:lang w:val="en-GB"/>
              </w:rPr>
              <w:t>Total tax expenses</w:t>
            </w:r>
          </w:p>
        </w:tc>
        <w:tc>
          <w:tcPr>
            <w:tcW w:w="561" w:type="pct"/>
            <w:noWrap/>
            <w:vAlign w:val="center"/>
            <w:hideMark/>
          </w:tcPr>
          <w:p w14:paraId="6A3FD2BB" w14:textId="77777777" w:rsidR="008E0E4E" w:rsidRPr="009C1935" w:rsidRDefault="008E0E4E" w:rsidP="00FF2DC2">
            <w:pPr>
              <w:jc w:val="right"/>
              <w:rPr>
                <w:rFonts w:ascii="Arial" w:hAnsi="Arial" w:cs="Arial"/>
                <w:bCs/>
                <w:lang w:val="en-GB"/>
              </w:rPr>
            </w:pPr>
            <w:r w:rsidRPr="009C1935">
              <w:rPr>
                <w:rFonts w:ascii="Arial" w:hAnsi="Arial" w:cs="Arial"/>
                <w:bCs/>
                <w:lang w:val="en-GB"/>
              </w:rPr>
              <w:t>71.84</w:t>
            </w:r>
          </w:p>
        </w:tc>
        <w:tc>
          <w:tcPr>
            <w:tcW w:w="560" w:type="pct"/>
            <w:noWrap/>
            <w:vAlign w:val="center"/>
            <w:hideMark/>
          </w:tcPr>
          <w:p w14:paraId="2D843A55" w14:textId="77777777" w:rsidR="008E0E4E" w:rsidRPr="009C1935" w:rsidRDefault="008E0E4E" w:rsidP="00FF2DC2">
            <w:pPr>
              <w:jc w:val="right"/>
              <w:rPr>
                <w:rFonts w:ascii="Arial" w:hAnsi="Arial" w:cs="Arial"/>
                <w:bCs/>
                <w:lang w:val="en-GB"/>
              </w:rPr>
            </w:pPr>
            <w:r w:rsidRPr="009C1935">
              <w:rPr>
                <w:rFonts w:ascii="Arial" w:hAnsi="Arial" w:cs="Arial"/>
                <w:bCs/>
                <w:lang w:val="en-GB"/>
              </w:rPr>
              <w:t>128.25</w:t>
            </w:r>
          </w:p>
        </w:tc>
        <w:tc>
          <w:tcPr>
            <w:tcW w:w="560" w:type="pct"/>
            <w:noWrap/>
            <w:vAlign w:val="center"/>
            <w:hideMark/>
          </w:tcPr>
          <w:p w14:paraId="44BEA605" w14:textId="77777777" w:rsidR="008E0E4E" w:rsidRPr="009C1935" w:rsidRDefault="008E0E4E" w:rsidP="00FF2DC2">
            <w:pPr>
              <w:jc w:val="right"/>
              <w:rPr>
                <w:rFonts w:ascii="Arial" w:hAnsi="Arial" w:cs="Arial"/>
                <w:bCs/>
                <w:lang w:val="en-GB"/>
              </w:rPr>
            </w:pPr>
            <w:r w:rsidRPr="009C1935">
              <w:rPr>
                <w:rFonts w:ascii="Arial" w:hAnsi="Arial" w:cs="Arial"/>
                <w:bCs/>
                <w:lang w:val="en-GB"/>
              </w:rPr>
              <w:t>99.33</w:t>
            </w:r>
          </w:p>
        </w:tc>
        <w:tc>
          <w:tcPr>
            <w:tcW w:w="623" w:type="pct"/>
            <w:noWrap/>
            <w:vAlign w:val="center"/>
            <w:hideMark/>
          </w:tcPr>
          <w:p w14:paraId="60F3F12B" w14:textId="77777777" w:rsidR="008E0E4E" w:rsidRPr="009C1935" w:rsidRDefault="008E0E4E" w:rsidP="00FF2DC2">
            <w:pPr>
              <w:jc w:val="right"/>
              <w:rPr>
                <w:rFonts w:ascii="Arial" w:hAnsi="Arial" w:cs="Arial"/>
                <w:bCs/>
                <w:lang w:val="en-GB"/>
              </w:rPr>
            </w:pPr>
            <w:r w:rsidRPr="009C1935">
              <w:rPr>
                <w:rFonts w:ascii="Arial" w:hAnsi="Arial" w:cs="Arial"/>
                <w:bCs/>
                <w:lang w:val="en-GB"/>
              </w:rPr>
              <w:t>202.79</w:t>
            </w:r>
          </w:p>
        </w:tc>
        <w:tc>
          <w:tcPr>
            <w:tcW w:w="624" w:type="pct"/>
            <w:noWrap/>
            <w:vAlign w:val="center"/>
            <w:hideMark/>
          </w:tcPr>
          <w:p w14:paraId="0977F948" w14:textId="77777777" w:rsidR="008E0E4E" w:rsidRPr="009C1935" w:rsidRDefault="008E0E4E" w:rsidP="00FF2DC2">
            <w:pPr>
              <w:jc w:val="right"/>
              <w:rPr>
                <w:rFonts w:ascii="Arial" w:hAnsi="Arial" w:cs="Arial"/>
                <w:bCs/>
                <w:lang w:val="en-GB"/>
              </w:rPr>
            </w:pPr>
            <w:r w:rsidRPr="009C1935">
              <w:rPr>
                <w:rFonts w:ascii="Arial" w:hAnsi="Arial" w:cs="Arial"/>
                <w:bCs/>
                <w:lang w:val="en-GB"/>
              </w:rPr>
              <w:t>168.75</w:t>
            </w:r>
          </w:p>
        </w:tc>
      </w:tr>
      <w:tr w:rsidR="008E0E4E" w:rsidRPr="009C1935" w14:paraId="3C73DEB8" w14:textId="77777777" w:rsidTr="00A43549">
        <w:trPr>
          <w:trHeight w:val="303"/>
          <w:jc w:val="center"/>
        </w:trPr>
        <w:tc>
          <w:tcPr>
            <w:tcW w:w="5000" w:type="pct"/>
            <w:gridSpan w:val="6"/>
            <w:vAlign w:val="center"/>
            <w:hideMark/>
          </w:tcPr>
          <w:p w14:paraId="3A3FCBA2" w14:textId="77777777" w:rsidR="008E0E4E" w:rsidRPr="009C1935" w:rsidRDefault="008E0E4E" w:rsidP="00FF2DC2">
            <w:pPr>
              <w:rPr>
                <w:rFonts w:ascii="Arial" w:hAnsi="Arial" w:cs="Arial"/>
                <w:lang w:val="en-GB"/>
              </w:rPr>
            </w:pPr>
          </w:p>
        </w:tc>
      </w:tr>
      <w:tr w:rsidR="008E0E4E" w:rsidRPr="009C1935" w14:paraId="732D5DEC" w14:textId="77777777" w:rsidTr="00A43549">
        <w:trPr>
          <w:trHeight w:val="408"/>
          <w:jc w:val="center"/>
        </w:trPr>
        <w:tc>
          <w:tcPr>
            <w:tcW w:w="2072" w:type="pct"/>
            <w:vAlign w:val="center"/>
            <w:hideMark/>
          </w:tcPr>
          <w:p w14:paraId="4433FCA7" w14:textId="77777777" w:rsidR="008E0E4E" w:rsidRPr="009C1935" w:rsidRDefault="008E0E4E" w:rsidP="00B66CFB">
            <w:pPr>
              <w:rPr>
                <w:rFonts w:ascii="Arial" w:hAnsi="Arial" w:cs="Arial"/>
                <w:bCs/>
                <w:lang w:val="en-GB"/>
              </w:rPr>
            </w:pPr>
            <w:r w:rsidRPr="009C1935">
              <w:rPr>
                <w:rFonts w:ascii="Arial" w:hAnsi="Arial" w:cs="Arial"/>
                <w:bCs/>
                <w:lang w:val="en-GB"/>
              </w:rPr>
              <w:t>Profit/(loss) for the year/period</w:t>
            </w:r>
          </w:p>
        </w:tc>
        <w:tc>
          <w:tcPr>
            <w:tcW w:w="561" w:type="pct"/>
            <w:noWrap/>
            <w:vAlign w:val="center"/>
            <w:hideMark/>
          </w:tcPr>
          <w:p w14:paraId="19707B45" w14:textId="77777777" w:rsidR="008E0E4E" w:rsidRPr="009C1935" w:rsidRDefault="008E0E4E" w:rsidP="00FF2DC2">
            <w:pPr>
              <w:jc w:val="right"/>
              <w:rPr>
                <w:rFonts w:ascii="Arial" w:hAnsi="Arial" w:cs="Arial"/>
                <w:bCs/>
                <w:lang w:val="en-GB"/>
              </w:rPr>
            </w:pPr>
            <w:r w:rsidRPr="009C1935">
              <w:rPr>
                <w:rFonts w:ascii="Arial" w:hAnsi="Arial" w:cs="Arial"/>
                <w:bCs/>
                <w:lang w:val="en-GB"/>
              </w:rPr>
              <w:t>174.04</w:t>
            </w:r>
          </w:p>
        </w:tc>
        <w:tc>
          <w:tcPr>
            <w:tcW w:w="560" w:type="pct"/>
            <w:noWrap/>
            <w:vAlign w:val="center"/>
            <w:hideMark/>
          </w:tcPr>
          <w:p w14:paraId="0B35CF6D" w14:textId="77777777" w:rsidR="008E0E4E" w:rsidRPr="009C1935" w:rsidRDefault="008E0E4E" w:rsidP="00FF2DC2">
            <w:pPr>
              <w:jc w:val="right"/>
              <w:rPr>
                <w:rFonts w:ascii="Arial" w:hAnsi="Arial" w:cs="Arial"/>
                <w:bCs/>
                <w:lang w:val="en-GB"/>
              </w:rPr>
            </w:pPr>
            <w:r w:rsidRPr="009C1935">
              <w:rPr>
                <w:rFonts w:ascii="Arial" w:hAnsi="Arial" w:cs="Arial"/>
                <w:bCs/>
                <w:lang w:val="en-GB"/>
              </w:rPr>
              <w:t>289.83</w:t>
            </w:r>
          </w:p>
        </w:tc>
        <w:tc>
          <w:tcPr>
            <w:tcW w:w="560" w:type="pct"/>
            <w:noWrap/>
            <w:vAlign w:val="center"/>
            <w:hideMark/>
          </w:tcPr>
          <w:p w14:paraId="2A633568" w14:textId="77777777" w:rsidR="008E0E4E" w:rsidRPr="009C1935" w:rsidRDefault="008E0E4E" w:rsidP="00FF2DC2">
            <w:pPr>
              <w:jc w:val="right"/>
              <w:rPr>
                <w:rFonts w:ascii="Arial" w:hAnsi="Arial" w:cs="Arial"/>
                <w:bCs/>
                <w:lang w:val="en-GB"/>
              </w:rPr>
            </w:pPr>
            <w:r w:rsidRPr="009C1935">
              <w:rPr>
                <w:rFonts w:ascii="Arial" w:hAnsi="Arial" w:cs="Arial"/>
                <w:bCs/>
                <w:lang w:val="en-GB"/>
              </w:rPr>
              <w:t>184.45</w:t>
            </w:r>
          </w:p>
        </w:tc>
        <w:tc>
          <w:tcPr>
            <w:tcW w:w="623" w:type="pct"/>
            <w:noWrap/>
            <w:vAlign w:val="center"/>
            <w:hideMark/>
          </w:tcPr>
          <w:p w14:paraId="3B04A216" w14:textId="77777777" w:rsidR="008E0E4E" w:rsidRPr="009C1935" w:rsidRDefault="008E0E4E" w:rsidP="00FF2DC2">
            <w:pPr>
              <w:jc w:val="right"/>
              <w:rPr>
                <w:rFonts w:ascii="Arial" w:hAnsi="Arial" w:cs="Arial"/>
                <w:bCs/>
                <w:lang w:val="en-GB"/>
              </w:rPr>
            </w:pPr>
            <w:r w:rsidRPr="009C1935">
              <w:rPr>
                <w:rFonts w:ascii="Arial" w:hAnsi="Arial" w:cs="Arial"/>
                <w:bCs/>
                <w:lang w:val="en-GB"/>
              </w:rPr>
              <w:t>360.29</w:t>
            </w:r>
          </w:p>
        </w:tc>
        <w:tc>
          <w:tcPr>
            <w:tcW w:w="624" w:type="pct"/>
            <w:noWrap/>
            <w:vAlign w:val="center"/>
            <w:hideMark/>
          </w:tcPr>
          <w:p w14:paraId="3BCAEE86" w14:textId="77777777" w:rsidR="008E0E4E" w:rsidRPr="009C1935" w:rsidRDefault="008E0E4E" w:rsidP="00FF2DC2">
            <w:pPr>
              <w:jc w:val="right"/>
              <w:rPr>
                <w:rFonts w:ascii="Arial" w:hAnsi="Arial" w:cs="Arial"/>
                <w:bCs/>
                <w:lang w:val="en-GB"/>
              </w:rPr>
            </w:pPr>
            <w:r w:rsidRPr="009C1935">
              <w:rPr>
                <w:rFonts w:ascii="Arial" w:hAnsi="Arial" w:cs="Arial"/>
                <w:bCs/>
                <w:lang w:val="en-GB"/>
              </w:rPr>
              <w:t>289.20</w:t>
            </w:r>
          </w:p>
        </w:tc>
      </w:tr>
    </w:tbl>
    <w:p w14:paraId="2E791F5F" w14:textId="351FAE64" w:rsidR="008E0E4E" w:rsidRPr="009C1935" w:rsidRDefault="008E0E4E" w:rsidP="00741604">
      <w:pPr>
        <w:pStyle w:val="FootnoteText1"/>
        <w:rPr>
          <w:lang w:val="en-GB"/>
        </w:rPr>
      </w:pPr>
      <w:r w:rsidRPr="009C1935">
        <w:rPr>
          <w:lang w:val="en-GB"/>
        </w:rPr>
        <w:t xml:space="preserve">Source: </w:t>
      </w:r>
      <w:r w:rsidR="003C7079" w:rsidRPr="009C1935">
        <w:rPr>
          <w:lang w:val="en-GB"/>
        </w:rPr>
        <w:t>Red-</w:t>
      </w:r>
      <w:r w:rsidRPr="009C1935">
        <w:rPr>
          <w:lang w:val="en-GB"/>
        </w:rPr>
        <w:t xml:space="preserve">herring prospectus of Narayana Health filed with </w:t>
      </w:r>
      <w:r w:rsidR="007C632C" w:rsidRPr="009C1935">
        <w:rPr>
          <w:lang w:val="en-GB"/>
        </w:rPr>
        <w:t xml:space="preserve">the </w:t>
      </w:r>
      <w:r w:rsidRPr="009C1935">
        <w:rPr>
          <w:lang w:val="en-GB"/>
        </w:rPr>
        <w:t>SEBI.</w:t>
      </w:r>
    </w:p>
    <w:p w14:paraId="77B54411" w14:textId="77777777" w:rsidR="008E0E4E" w:rsidRPr="009C1935" w:rsidRDefault="008E0E4E" w:rsidP="00453FA9">
      <w:pPr>
        <w:rPr>
          <w:b/>
          <w:lang w:val="en-GB"/>
        </w:rPr>
      </w:pPr>
      <w:r w:rsidRPr="009C1935">
        <w:rPr>
          <w:b/>
          <w:lang w:val="en-GB"/>
        </w:rPr>
        <w:br w:type="page"/>
      </w:r>
    </w:p>
    <w:p w14:paraId="0001481A" w14:textId="77777777" w:rsidR="008E0E4E" w:rsidRPr="009C1935" w:rsidRDefault="008E0E4E" w:rsidP="00741604">
      <w:pPr>
        <w:pStyle w:val="Casehead1"/>
        <w:jc w:val="center"/>
        <w:rPr>
          <w:lang w:val="en-GB"/>
        </w:rPr>
      </w:pPr>
      <w:r w:rsidRPr="009C1935">
        <w:rPr>
          <w:lang w:val="en-GB"/>
        </w:rPr>
        <w:lastRenderedPageBreak/>
        <w:t>EXHIBIT 8: CASH FLOW STATEMENT OF NARAYANA HEALTH</w:t>
      </w:r>
    </w:p>
    <w:p w14:paraId="4C37ADBD" w14:textId="77777777" w:rsidR="008E0E4E" w:rsidRPr="009C1935" w:rsidRDefault="00D32DC6" w:rsidP="00741604">
      <w:pPr>
        <w:pStyle w:val="Casehead2"/>
        <w:jc w:val="center"/>
        <w:rPr>
          <w:lang w:val="en-GB"/>
        </w:rPr>
      </w:pPr>
      <w:proofErr w:type="gramStart"/>
      <w:r w:rsidRPr="009C1935">
        <w:rPr>
          <w:lang w:val="en-GB"/>
        </w:rPr>
        <w:t>for</w:t>
      </w:r>
      <w:proofErr w:type="gramEnd"/>
      <w:r w:rsidRPr="009C1935">
        <w:rPr>
          <w:lang w:val="en-GB"/>
        </w:rPr>
        <w:t xml:space="preserve"> </w:t>
      </w:r>
      <w:r w:rsidR="008E0E4E" w:rsidRPr="009C1935">
        <w:rPr>
          <w:lang w:val="en-GB"/>
        </w:rPr>
        <w:t xml:space="preserve">the years ending March 31 (in </w:t>
      </w:r>
      <w:r w:rsidR="00CD0AE9" w:rsidRPr="009C1935">
        <w:rPr>
          <w:color w:val="222222"/>
          <w:shd w:val="clear" w:color="auto" w:fill="FFFFFF"/>
          <w:lang w:val="en-GB"/>
        </w:rPr>
        <w:t xml:space="preserve">₹ </w:t>
      </w:r>
      <w:r w:rsidR="008E0E4E" w:rsidRPr="009C1935">
        <w:rPr>
          <w:lang w:val="en-GB"/>
        </w:rPr>
        <w:t>millions)</w:t>
      </w:r>
    </w:p>
    <w:p w14:paraId="0F111085" w14:textId="77777777" w:rsidR="008E0E4E" w:rsidRPr="009C1935" w:rsidRDefault="008E0E4E" w:rsidP="00741604">
      <w:pPr>
        <w:pStyle w:val="BodyTextMain"/>
        <w:rPr>
          <w:lang w:val="en-GB"/>
        </w:rPr>
      </w:pPr>
    </w:p>
    <w:tbl>
      <w:tblPr>
        <w:tblStyle w:val="TableGrid"/>
        <w:tblW w:w="0" w:type="auto"/>
        <w:jc w:val="center"/>
        <w:tblLook w:val="04A0" w:firstRow="1" w:lastRow="0" w:firstColumn="1" w:lastColumn="0" w:noHBand="0" w:noVBand="1"/>
      </w:tblPr>
      <w:tblGrid>
        <w:gridCol w:w="4554"/>
        <w:gridCol w:w="909"/>
        <w:gridCol w:w="909"/>
        <w:gridCol w:w="909"/>
        <w:gridCol w:w="956"/>
        <w:gridCol w:w="956"/>
      </w:tblGrid>
      <w:tr w:rsidR="008E0E4E" w:rsidRPr="009C1935" w14:paraId="0C02EAAF" w14:textId="77777777" w:rsidTr="00B66CFB">
        <w:trPr>
          <w:trHeight w:val="300"/>
          <w:jc w:val="center"/>
        </w:trPr>
        <w:tc>
          <w:tcPr>
            <w:tcW w:w="4554" w:type="dxa"/>
            <w:vMerge w:val="restart"/>
            <w:vAlign w:val="center"/>
            <w:hideMark/>
          </w:tcPr>
          <w:p w14:paraId="1CB36C06"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Particulars</w:t>
            </w:r>
          </w:p>
        </w:tc>
        <w:tc>
          <w:tcPr>
            <w:tcW w:w="0" w:type="auto"/>
            <w:gridSpan w:val="5"/>
            <w:noWrap/>
            <w:vAlign w:val="center"/>
            <w:hideMark/>
          </w:tcPr>
          <w:p w14:paraId="2A43F461" w14:textId="77777777" w:rsidR="008E0E4E" w:rsidRPr="009C1935" w:rsidRDefault="008E0E4E" w:rsidP="00AC2ED2">
            <w:pPr>
              <w:jc w:val="center"/>
              <w:rPr>
                <w:rFonts w:ascii="Arial" w:hAnsi="Arial" w:cs="Arial"/>
                <w:b/>
                <w:bCs/>
                <w:sz w:val="19"/>
                <w:szCs w:val="19"/>
                <w:lang w:val="en-GB"/>
              </w:rPr>
            </w:pPr>
            <w:r w:rsidRPr="009C1935">
              <w:rPr>
                <w:rFonts w:ascii="Arial" w:hAnsi="Arial" w:cs="Arial"/>
                <w:b/>
                <w:bCs/>
                <w:sz w:val="19"/>
                <w:szCs w:val="19"/>
                <w:lang w:val="en-GB"/>
              </w:rPr>
              <w:t>For the year ended March</w:t>
            </w:r>
            <w:r w:rsidR="00AC2ED2" w:rsidRPr="009C1935">
              <w:rPr>
                <w:rFonts w:ascii="Arial" w:hAnsi="Arial" w:cs="Arial"/>
                <w:b/>
                <w:bCs/>
                <w:sz w:val="19"/>
                <w:szCs w:val="19"/>
                <w:lang w:val="en-GB"/>
              </w:rPr>
              <w:t xml:space="preserve"> 31</w:t>
            </w:r>
          </w:p>
        </w:tc>
      </w:tr>
      <w:tr w:rsidR="008E0E4E" w:rsidRPr="009C1935" w14:paraId="6329EC30" w14:textId="77777777" w:rsidTr="00B66CFB">
        <w:trPr>
          <w:trHeight w:val="288"/>
          <w:jc w:val="center"/>
        </w:trPr>
        <w:tc>
          <w:tcPr>
            <w:tcW w:w="4554" w:type="dxa"/>
            <w:vMerge/>
            <w:vAlign w:val="center"/>
            <w:hideMark/>
          </w:tcPr>
          <w:p w14:paraId="66F1ECF3" w14:textId="77777777" w:rsidR="008E0E4E" w:rsidRPr="009C1935" w:rsidRDefault="008E0E4E" w:rsidP="00FF2DC2">
            <w:pPr>
              <w:jc w:val="center"/>
              <w:rPr>
                <w:rFonts w:ascii="Arial" w:hAnsi="Arial" w:cs="Arial"/>
                <w:b/>
                <w:bCs/>
                <w:sz w:val="19"/>
                <w:szCs w:val="19"/>
                <w:lang w:val="en-GB"/>
              </w:rPr>
            </w:pPr>
          </w:p>
        </w:tc>
        <w:tc>
          <w:tcPr>
            <w:tcW w:w="0" w:type="auto"/>
            <w:noWrap/>
            <w:vAlign w:val="center"/>
            <w:hideMark/>
          </w:tcPr>
          <w:p w14:paraId="6A1C1B03"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2011</w:t>
            </w:r>
          </w:p>
        </w:tc>
        <w:tc>
          <w:tcPr>
            <w:tcW w:w="0" w:type="auto"/>
            <w:noWrap/>
            <w:vAlign w:val="center"/>
            <w:hideMark/>
          </w:tcPr>
          <w:p w14:paraId="53454224"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2012</w:t>
            </w:r>
          </w:p>
        </w:tc>
        <w:tc>
          <w:tcPr>
            <w:tcW w:w="0" w:type="auto"/>
            <w:noWrap/>
            <w:vAlign w:val="center"/>
            <w:hideMark/>
          </w:tcPr>
          <w:p w14:paraId="2307492E"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2013</w:t>
            </w:r>
          </w:p>
        </w:tc>
        <w:tc>
          <w:tcPr>
            <w:tcW w:w="0" w:type="auto"/>
            <w:noWrap/>
            <w:vAlign w:val="center"/>
            <w:hideMark/>
          </w:tcPr>
          <w:p w14:paraId="698F24FA"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2014</w:t>
            </w:r>
          </w:p>
        </w:tc>
        <w:tc>
          <w:tcPr>
            <w:tcW w:w="0" w:type="auto"/>
            <w:noWrap/>
            <w:vAlign w:val="center"/>
            <w:hideMark/>
          </w:tcPr>
          <w:p w14:paraId="338A7EA9" w14:textId="77777777" w:rsidR="008E0E4E" w:rsidRPr="009C1935" w:rsidRDefault="008E0E4E" w:rsidP="00FF2DC2">
            <w:pPr>
              <w:jc w:val="center"/>
              <w:rPr>
                <w:rFonts w:ascii="Arial" w:hAnsi="Arial" w:cs="Arial"/>
                <w:b/>
                <w:bCs/>
                <w:sz w:val="19"/>
                <w:szCs w:val="19"/>
                <w:lang w:val="en-GB"/>
              </w:rPr>
            </w:pPr>
            <w:r w:rsidRPr="009C1935">
              <w:rPr>
                <w:rFonts w:ascii="Arial" w:hAnsi="Arial" w:cs="Arial"/>
                <w:b/>
                <w:bCs/>
                <w:sz w:val="19"/>
                <w:szCs w:val="19"/>
                <w:lang w:val="en-GB"/>
              </w:rPr>
              <w:t>2015</w:t>
            </w:r>
          </w:p>
        </w:tc>
      </w:tr>
      <w:tr w:rsidR="008E0E4E" w:rsidRPr="009C1935" w14:paraId="18AF26A2" w14:textId="77777777" w:rsidTr="00B66CFB">
        <w:trPr>
          <w:trHeight w:val="288"/>
          <w:jc w:val="center"/>
        </w:trPr>
        <w:tc>
          <w:tcPr>
            <w:tcW w:w="4554" w:type="dxa"/>
            <w:vAlign w:val="center"/>
            <w:hideMark/>
          </w:tcPr>
          <w:p w14:paraId="5A56E2A0"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Cash flow from operating activities</w:t>
            </w:r>
          </w:p>
        </w:tc>
        <w:tc>
          <w:tcPr>
            <w:tcW w:w="0" w:type="auto"/>
            <w:noWrap/>
            <w:vAlign w:val="center"/>
            <w:hideMark/>
          </w:tcPr>
          <w:p w14:paraId="5240F143"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207468B7"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2CE1F200"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730DA258"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6D19FA95" w14:textId="77777777" w:rsidR="008E0E4E" w:rsidRPr="009C1935" w:rsidRDefault="008E0E4E" w:rsidP="00FF2DC2">
            <w:pPr>
              <w:jc w:val="right"/>
              <w:rPr>
                <w:rFonts w:ascii="Arial" w:hAnsi="Arial" w:cs="Arial"/>
                <w:sz w:val="19"/>
                <w:szCs w:val="19"/>
                <w:lang w:val="en-GB"/>
              </w:rPr>
            </w:pPr>
          </w:p>
        </w:tc>
      </w:tr>
      <w:tr w:rsidR="008E0E4E" w:rsidRPr="009C1935" w14:paraId="1A66FDA9" w14:textId="77777777" w:rsidTr="00B66CFB">
        <w:trPr>
          <w:trHeight w:val="288"/>
          <w:jc w:val="center"/>
        </w:trPr>
        <w:tc>
          <w:tcPr>
            <w:tcW w:w="4554" w:type="dxa"/>
            <w:vAlign w:val="center"/>
            <w:hideMark/>
          </w:tcPr>
          <w:p w14:paraId="1269DC1D"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Profit before tax, as restated</w:t>
            </w:r>
          </w:p>
        </w:tc>
        <w:tc>
          <w:tcPr>
            <w:tcW w:w="0" w:type="auto"/>
            <w:noWrap/>
            <w:vAlign w:val="center"/>
            <w:hideMark/>
          </w:tcPr>
          <w:p w14:paraId="022DEE0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245.88</w:t>
            </w:r>
          </w:p>
        </w:tc>
        <w:tc>
          <w:tcPr>
            <w:tcW w:w="0" w:type="auto"/>
            <w:noWrap/>
            <w:vAlign w:val="center"/>
            <w:hideMark/>
          </w:tcPr>
          <w:p w14:paraId="37120DF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418.08</w:t>
            </w:r>
          </w:p>
        </w:tc>
        <w:tc>
          <w:tcPr>
            <w:tcW w:w="0" w:type="auto"/>
            <w:noWrap/>
            <w:vAlign w:val="center"/>
            <w:hideMark/>
          </w:tcPr>
          <w:p w14:paraId="4AAE7AC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283.78</w:t>
            </w:r>
          </w:p>
        </w:tc>
        <w:tc>
          <w:tcPr>
            <w:tcW w:w="0" w:type="auto"/>
            <w:noWrap/>
            <w:vAlign w:val="center"/>
            <w:hideMark/>
          </w:tcPr>
          <w:p w14:paraId="22A8D7B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563.08</w:t>
            </w:r>
          </w:p>
        </w:tc>
        <w:tc>
          <w:tcPr>
            <w:tcW w:w="0" w:type="auto"/>
            <w:noWrap/>
            <w:vAlign w:val="center"/>
            <w:hideMark/>
          </w:tcPr>
          <w:p w14:paraId="4267925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457.95</w:t>
            </w:r>
          </w:p>
        </w:tc>
      </w:tr>
      <w:tr w:rsidR="008E0E4E" w:rsidRPr="009C1935" w14:paraId="3A498A21" w14:textId="77777777" w:rsidTr="00B66CFB">
        <w:trPr>
          <w:trHeight w:val="288"/>
          <w:jc w:val="center"/>
        </w:trPr>
        <w:tc>
          <w:tcPr>
            <w:tcW w:w="4554" w:type="dxa"/>
            <w:vAlign w:val="center"/>
            <w:hideMark/>
          </w:tcPr>
          <w:p w14:paraId="7C1E0A3E"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Adjustments:</w:t>
            </w:r>
          </w:p>
        </w:tc>
        <w:tc>
          <w:tcPr>
            <w:tcW w:w="0" w:type="auto"/>
            <w:noWrap/>
            <w:vAlign w:val="center"/>
            <w:hideMark/>
          </w:tcPr>
          <w:p w14:paraId="277BE22A"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56A01FA0"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57EA2A12"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4D5CD26C"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7D0169EC" w14:textId="77777777" w:rsidR="008E0E4E" w:rsidRPr="009C1935" w:rsidRDefault="008E0E4E" w:rsidP="00FF2DC2">
            <w:pPr>
              <w:jc w:val="right"/>
              <w:rPr>
                <w:rFonts w:ascii="Arial" w:hAnsi="Arial" w:cs="Arial"/>
                <w:sz w:val="19"/>
                <w:szCs w:val="19"/>
                <w:lang w:val="en-GB"/>
              </w:rPr>
            </w:pPr>
          </w:p>
        </w:tc>
      </w:tr>
      <w:tr w:rsidR="008E0E4E" w:rsidRPr="009C1935" w14:paraId="5A559404" w14:textId="77777777" w:rsidTr="00B66CFB">
        <w:trPr>
          <w:trHeight w:val="288"/>
          <w:jc w:val="center"/>
        </w:trPr>
        <w:tc>
          <w:tcPr>
            <w:tcW w:w="4554" w:type="dxa"/>
            <w:vAlign w:val="center"/>
            <w:hideMark/>
          </w:tcPr>
          <w:p w14:paraId="3244F685" w14:textId="77777777" w:rsidR="008E0E4E" w:rsidRPr="009C1935" w:rsidRDefault="008E0E4E" w:rsidP="00B66CFB">
            <w:pPr>
              <w:rPr>
                <w:rFonts w:ascii="Arial" w:hAnsi="Arial" w:cs="Arial"/>
                <w:sz w:val="19"/>
                <w:szCs w:val="19"/>
                <w:lang w:val="en-GB"/>
              </w:rPr>
            </w:pPr>
            <w:r w:rsidRPr="009C1935">
              <w:rPr>
                <w:rFonts w:ascii="Arial" w:hAnsi="Arial" w:cs="Arial"/>
                <w:sz w:val="19"/>
                <w:szCs w:val="19"/>
                <w:lang w:val="en-GB"/>
              </w:rPr>
              <w:t>Foreign exchange unrealized (gain)/loss, net</w:t>
            </w:r>
          </w:p>
        </w:tc>
        <w:tc>
          <w:tcPr>
            <w:tcW w:w="0" w:type="auto"/>
            <w:noWrap/>
            <w:vAlign w:val="center"/>
            <w:hideMark/>
          </w:tcPr>
          <w:p w14:paraId="1AB220B0" w14:textId="25E26B8F"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0.4</w:t>
            </w:r>
            <w:r w:rsidR="00380CC0" w:rsidRPr="009C1935">
              <w:rPr>
                <w:rFonts w:ascii="Arial" w:hAnsi="Arial" w:cs="Arial"/>
                <w:sz w:val="19"/>
                <w:szCs w:val="19"/>
                <w:lang w:val="en-GB"/>
              </w:rPr>
              <w:t>0</w:t>
            </w:r>
          </w:p>
        </w:tc>
        <w:tc>
          <w:tcPr>
            <w:tcW w:w="0" w:type="auto"/>
            <w:noWrap/>
            <w:vAlign w:val="center"/>
            <w:hideMark/>
          </w:tcPr>
          <w:p w14:paraId="3E9CC7A5" w14:textId="7A4525E3" w:rsidR="008E0E4E" w:rsidRPr="009C1935" w:rsidRDefault="00D32DC6"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0.5</w:t>
            </w:r>
            <w:r w:rsidR="00380CC0" w:rsidRPr="009C1935">
              <w:rPr>
                <w:rFonts w:ascii="Arial" w:hAnsi="Arial" w:cs="Arial"/>
                <w:sz w:val="19"/>
                <w:szCs w:val="19"/>
                <w:lang w:val="en-GB"/>
              </w:rPr>
              <w:t>0</w:t>
            </w:r>
          </w:p>
        </w:tc>
        <w:tc>
          <w:tcPr>
            <w:tcW w:w="0" w:type="auto"/>
            <w:noWrap/>
            <w:vAlign w:val="center"/>
            <w:hideMark/>
          </w:tcPr>
          <w:p w14:paraId="1FA3D844" w14:textId="0C783094"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6BAC5B94" w14:textId="7C488E6C"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4E42236B" w14:textId="77777777" w:rsidR="008E0E4E" w:rsidRPr="009C1935" w:rsidRDefault="00D32DC6"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1.09</w:t>
            </w:r>
          </w:p>
        </w:tc>
      </w:tr>
      <w:tr w:rsidR="008E0E4E" w:rsidRPr="009C1935" w14:paraId="65C35CEB" w14:textId="77777777" w:rsidTr="00B66CFB">
        <w:trPr>
          <w:trHeight w:val="288"/>
          <w:jc w:val="center"/>
        </w:trPr>
        <w:tc>
          <w:tcPr>
            <w:tcW w:w="4554" w:type="dxa"/>
            <w:vAlign w:val="center"/>
            <w:hideMark/>
          </w:tcPr>
          <w:p w14:paraId="201C369F"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Depreciation and amortization</w:t>
            </w:r>
          </w:p>
        </w:tc>
        <w:tc>
          <w:tcPr>
            <w:tcW w:w="0" w:type="auto"/>
            <w:noWrap/>
            <w:vAlign w:val="center"/>
            <w:hideMark/>
          </w:tcPr>
          <w:p w14:paraId="75682B14"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313.89</w:t>
            </w:r>
          </w:p>
        </w:tc>
        <w:tc>
          <w:tcPr>
            <w:tcW w:w="0" w:type="auto"/>
            <w:noWrap/>
            <w:vAlign w:val="center"/>
            <w:hideMark/>
          </w:tcPr>
          <w:p w14:paraId="38499CB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355.68</w:t>
            </w:r>
          </w:p>
        </w:tc>
        <w:tc>
          <w:tcPr>
            <w:tcW w:w="0" w:type="auto"/>
            <w:noWrap/>
            <w:vAlign w:val="center"/>
            <w:hideMark/>
          </w:tcPr>
          <w:p w14:paraId="7B0F163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439.69</w:t>
            </w:r>
          </w:p>
        </w:tc>
        <w:tc>
          <w:tcPr>
            <w:tcW w:w="0" w:type="auto"/>
            <w:noWrap/>
            <w:vAlign w:val="center"/>
            <w:hideMark/>
          </w:tcPr>
          <w:p w14:paraId="0CD50D9C"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546.81</w:t>
            </w:r>
          </w:p>
        </w:tc>
        <w:tc>
          <w:tcPr>
            <w:tcW w:w="0" w:type="auto"/>
            <w:noWrap/>
            <w:vAlign w:val="center"/>
            <w:hideMark/>
          </w:tcPr>
          <w:p w14:paraId="6477DF6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619.56</w:t>
            </w:r>
          </w:p>
        </w:tc>
      </w:tr>
      <w:tr w:rsidR="008E0E4E" w:rsidRPr="009C1935" w14:paraId="33CB93B9" w14:textId="77777777" w:rsidTr="00B66CFB">
        <w:trPr>
          <w:trHeight w:val="576"/>
          <w:jc w:val="center"/>
        </w:trPr>
        <w:tc>
          <w:tcPr>
            <w:tcW w:w="4554" w:type="dxa"/>
            <w:vAlign w:val="center"/>
            <w:hideMark/>
          </w:tcPr>
          <w:p w14:paraId="12D09B09"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Provision for other than temporary diminution in the value of long-term investments</w:t>
            </w:r>
          </w:p>
        </w:tc>
        <w:tc>
          <w:tcPr>
            <w:tcW w:w="0" w:type="auto"/>
            <w:noWrap/>
            <w:vAlign w:val="center"/>
            <w:hideMark/>
          </w:tcPr>
          <w:p w14:paraId="67D85ED1" w14:textId="6014FBBA"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72BA5AC1" w14:textId="3B338721"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72388E5A" w14:textId="5518E6D9"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7EBA16C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30.46</w:t>
            </w:r>
          </w:p>
        </w:tc>
        <w:tc>
          <w:tcPr>
            <w:tcW w:w="0" w:type="auto"/>
            <w:noWrap/>
            <w:vAlign w:val="center"/>
            <w:hideMark/>
          </w:tcPr>
          <w:p w14:paraId="44094C94"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10.74</w:t>
            </w:r>
          </w:p>
        </w:tc>
      </w:tr>
      <w:tr w:rsidR="008E0E4E" w:rsidRPr="009C1935" w14:paraId="68A63A7F" w14:textId="77777777" w:rsidTr="00B66CFB">
        <w:trPr>
          <w:trHeight w:val="288"/>
          <w:jc w:val="center"/>
        </w:trPr>
        <w:tc>
          <w:tcPr>
            <w:tcW w:w="4554" w:type="dxa"/>
            <w:vAlign w:val="center"/>
            <w:hideMark/>
          </w:tcPr>
          <w:p w14:paraId="23EEDE66"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Interest income on bank deposits and others</w:t>
            </w:r>
          </w:p>
        </w:tc>
        <w:tc>
          <w:tcPr>
            <w:tcW w:w="0" w:type="auto"/>
            <w:noWrap/>
            <w:vAlign w:val="center"/>
            <w:hideMark/>
          </w:tcPr>
          <w:p w14:paraId="1DD6BFC1"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7.70</w:t>
            </w:r>
          </w:p>
        </w:tc>
        <w:tc>
          <w:tcPr>
            <w:tcW w:w="0" w:type="auto"/>
            <w:noWrap/>
            <w:vAlign w:val="center"/>
            <w:hideMark/>
          </w:tcPr>
          <w:p w14:paraId="52871AA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4.39</w:t>
            </w:r>
          </w:p>
        </w:tc>
        <w:tc>
          <w:tcPr>
            <w:tcW w:w="0" w:type="auto"/>
            <w:noWrap/>
            <w:vAlign w:val="center"/>
            <w:hideMark/>
          </w:tcPr>
          <w:p w14:paraId="2415E30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4.20</w:t>
            </w:r>
          </w:p>
        </w:tc>
        <w:tc>
          <w:tcPr>
            <w:tcW w:w="0" w:type="auto"/>
            <w:noWrap/>
            <w:vAlign w:val="center"/>
            <w:hideMark/>
          </w:tcPr>
          <w:p w14:paraId="76B2D755"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6.41</w:t>
            </w:r>
          </w:p>
        </w:tc>
        <w:tc>
          <w:tcPr>
            <w:tcW w:w="0" w:type="auto"/>
            <w:noWrap/>
            <w:vAlign w:val="center"/>
            <w:hideMark/>
          </w:tcPr>
          <w:p w14:paraId="45FBD1A3"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32.12</w:t>
            </w:r>
          </w:p>
        </w:tc>
      </w:tr>
      <w:tr w:rsidR="008E0E4E" w:rsidRPr="009C1935" w14:paraId="35E6F2F2" w14:textId="77777777" w:rsidTr="00B66CFB">
        <w:trPr>
          <w:trHeight w:val="288"/>
          <w:jc w:val="center"/>
        </w:trPr>
        <w:tc>
          <w:tcPr>
            <w:tcW w:w="4554" w:type="dxa"/>
            <w:vAlign w:val="center"/>
            <w:hideMark/>
          </w:tcPr>
          <w:p w14:paraId="4C1F03A3"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Interest expense and other borrowing costs</w:t>
            </w:r>
          </w:p>
        </w:tc>
        <w:tc>
          <w:tcPr>
            <w:tcW w:w="0" w:type="auto"/>
            <w:noWrap/>
            <w:vAlign w:val="center"/>
            <w:hideMark/>
          </w:tcPr>
          <w:p w14:paraId="5CDB5476"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52.25</w:t>
            </w:r>
          </w:p>
        </w:tc>
        <w:tc>
          <w:tcPr>
            <w:tcW w:w="0" w:type="auto"/>
            <w:noWrap/>
            <w:vAlign w:val="center"/>
            <w:hideMark/>
          </w:tcPr>
          <w:p w14:paraId="6544214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87.04</w:t>
            </w:r>
          </w:p>
        </w:tc>
        <w:tc>
          <w:tcPr>
            <w:tcW w:w="0" w:type="auto"/>
            <w:noWrap/>
            <w:vAlign w:val="center"/>
            <w:hideMark/>
          </w:tcPr>
          <w:p w14:paraId="01BEC9D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156.78</w:t>
            </w:r>
          </w:p>
        </w:tc>
        <w:tc>
          <w:tcPr>
            <w:tcW w:w="0" w:type="auto"/>
            <w:noWrap/>
            <w:vAlign w:val="center"/>
            <w:hideMark/>
          </w:tcPr>
          <w:p w14:paraId="0F52E7EC"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266.95</w:t>
            </w:r>
          </w:p>
        </w:tc>
        <w:tc>
          <w:tcPr>
            <w:tcW w:w="0" w:type="auto"/>
            <w:noWrap/>
            <w:vAlign w:val="center"/>
            <w:hideMark/>
          </w:tcPr>
          <w:p w14:paraId="7A980AE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347.07</w:t>
            </w:r>
          </w:p>
        </w:tc>
      </w:tr>
      <w:tr w:rsidR="008E0E4E" w:rsidRPr="009C1935" w14:paraId="23350DC6" w14:textId="77777777" w:rsidTr="00B66CFB">
        <w:trPr>
          <w:trHeight w:val="288"/>
          <w:jc w:val="center"/>
        </w:trPr>
        <w:tc>
          <w:tcPr>
            <w:tcW w:w="4554" w:type="dxa"/>
            <w:vAlign w:val="center"/>
            <w:hideMark/>
          </w:tcPr>
          <w:p w14:paraId="7802FC36"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Profit on sale of non-current investment</w:t>
            </w:r>
          </w:p>
        </w:tc>
        <w:tc>
          <w:tcPr>
            <w:tcW w:w="0" w:type="auto"/>
            <w:noWrap/>
            <w:vAlign w:val="center"/>
            <w:hideMark/>
          </w:tcPr>
          <w:p w14:paraId="25929CB4" w14:textId="661FB166" w:rsidR="008E0E4E" w:rsidRPr="009C1935" w:rsidRDefault="00A43549"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04926D40" w14:textId="46D700C8" w:rsidR="008E0E4E" w:rsidRPr="009C1935" w:rsidRDefault="00A43549"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0075EB26" w14:textId="31696420" w:rsidR="008E0E4E" w:rsidRPr="009C1935" w:rsidRDefault="00A43549"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46CABB70"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93.02</w:t>
            </w:r>
          </w:p>
        </w:tc>
        <w:tc>
          <w:tcPr>
            <w:tcW w:w="0" w:type="auto"/>
            <w:noWrap/>
            <w:vAlign w:val="center"/>
            <w:hideMark/>
          </w:tcPr>
          <w:p w14:paraId="6A859F16" w14:textId="43B351C2" w:rsidR="008E0E4E" w:rsidRPr="009C1935" w:rsidRDefault="00A43549" w:rsidP="00FF2DC2">
            <w:pPr>
              <w:jc w:val="right"/>
              <w:rPr>
                <w:rFonts w:ascii="Arial" w:hAnsi="Arial" w:cs="Arial"/>
                <w:sz w:val="19"/>
                <w:szCs w:val="19"/>
                <w:lang w:val="en-GB"/>
              </w:rPr>
            </w:pPr>
            <w:r>
              <w:rPr>
                <w:rFonts w:ascii="Arial" w:hAnsi="Arial" w:cs="Arial"/>
                <w:sz w:val="19"/>
                <w:szCs w:val="19"/>
                <w:lang w:val="en-GB"/>
              </w:rPr>
              <w:t>–</w:t>
            </w:r>
          </w:p>
        </w:tc>
      </w:tr>
      <w:tr w:rsidR="008E0E4E" w:rsidRPr="009C1935" w14:paraId="25D104F8" w14:textId="77777777" w:rsidTr="00B66CFB">
        <w:trPr>
          <w:trHeight w:val="288"/>
          <w:jc w:val="center"/>
        </w:trPr>
        <w:tc>
          <w:tcPr>
            <w:tcW w:w="4554" w:type="dxa"/>
            <w:vAlign w:val="center"/>
            <w:hideMark/>
          </w:tcPr>
          <w:p w14:paraId="455E254B" w14:textId="7EB47D09" w:rsidR="008E0E4E" w:rsidRPr="009C1935" w:rsidRDefault="008E0E4E">
            <w:pPr>
              <w:rPr>
                <w:rFonts w:ascii="Arial" w:hAnsi="Arial" w:cs="Arial"/>
                <w:sz w:val="19"/>
                <w:szCs w:val="19"/>
                <w:lang w:val="en-GB"/>
              </w:rPr>
            </w:pPr>
            <w:r w:rsidRPr="009C1935">
              <w:rPr>
                <w:rFonts w:ascii="Arial" w:hAnsi="Arial" w:cs="Arial"/>
                <w:sz w:val="19"/>
                <w:szCs w:val="19"/>
                <w:lang w:val="en-GB"/>
              </w:rPr>
              <w:t>(Profit)/loss on sale of fixed assets</w:t>
            </w:r>
          </w:p>
        </w:tc>
        <w:tc>
          <w:tcPr>
            <w:tcW w:w="0" w:type="auto"/>
            <w:noWrap/>
            <w:vAlign w:val="center"/>
            <w:hideMark/>
          </w:tcPr>
          <w:p w14:paraId="47C98935"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1.77</w:t>
            </w:r>
          </w:p>
        </w:tc>
        <w:tc>
          <w:tcPr>
            <w:tcW w:w="0" w:type="auto"/>
            <w:noWrap/>
            <w:vAlign w:val="center"/>
            <w:hideMark/>
          </w:tcPr>
          <w:p w14:paraId="19A1A3BA" w14:textId="2CC520A9" w:rsidR="008E0E4E" w:rsidRPr="009C1935" w:rsidRDefault="00A43549"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6912D881" w14:textId="2D2020FC" w:rsidR="008E0E4E" w:rsidRPr="009C1935" w:rsidRDefault="00A43549"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1308C713"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0.29</w:t>
            </w:r>
          </w:p>
        </w:tc>
        <w:tc>
          <w:tcPr>
            <w:tcW w:w="0" w:type="auto"/>
            <w:noWrap/>
            <w:vAlign w:val="center"/>
            <w:hideMark/>
          </w:tcPr>
          <w:p w14:paraId="52C9E13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2.58</w:t>
            </w:r>
          </w:p>
        </w:tc>
      </w:tr>
      <w:tr w:rsidR="008E0E4E" w:rsidRPr="009C1935" w14:paraId="63F7A804" w14:textId="77777777" w:rsidTr="00B66CFB">
        <w:trPr>
          <w:trHeight w:val="288"/>
          <w:jc w:val="center"/>
        </w:trPr>
        <w:tc>
          <w:tcPr>
            <w:tcW w:w="4554" w:type="dxa"/>
            <w:vAlign w:val="center"/>
            <w:hideMark/>
          </w:tcPr>
          <w:p w14:paraId="5EB874B6"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Operating cash flow before working capital changes</w:t>
            </w:r>
          </w:p>
        </w:tc>
        <w:tc>
          <w:tcPr>
            <w:tcW w:w="0" w:type="auto"/>
            <w:noWrap/>
            <w:vAlign w:val="center"/>
            <w:hideMark/>
          </w:tcPr>
          <w:p w14:paraId="6562430E"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602.15</w:t>
            </w:r>
          </w:p>
        </w:tc>
        <w:tc>
          <w:tcPr>
            <w:tcW w:w="0" w:type="auto"/>
            <w:noWrap/>
            <w:vAlign w:val="center"/>
            <w:hideMark/>
          </w:tcPr>
          <w:p w14:paraId="05B3613B"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855.91</w:t>
            </w:r>
          </w:p>
        </w:tc>
        <w:tc>
          <w:tcPr>
            <w:tcW w:w="0" w:type="auto"/>
            <w:noWrap/>
            <w:vAlign w:val="center"/>
            <w:hideMark/>
          </w:tcPr>
          <w:p w14:paraId="4DA5D28C"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876.05</w:t>
            </w:r>
          </w:p>
        </w:tc>
        <w:tc>
          <w:tcPr>
            <w:tcW w:w="0" w:type="auto"/>
            <w:noWrap/>
            <w:vAlign w:val="center"/>
            <w:hideMark/>
          </w:tcPr>
          <w:p w14:paraId="6D8B34F3"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1,308.16</w:t>
            </w:r>
          </w:p>
        </w:tc>
        <w:tc>
          <w:tcPr>
            <w:tcW w:w="0" w:type="auto"/>
            <w:noWrap/>
            <w:vAlign w:val="center"/>
            <w:hideMark/>
          </w:tcPr>
          <w:p w14:paraId="107B444B"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1,404.69</w:t>
            </w:r>
          </w:p>
        </w:tc>
      </w:tr>
      <w:tr w:rsidR="008E0E4E" w:rsidRPr="009C1935" w14:paraId="5D478032" w14:textId="77777777" w:rsidTr="00B66CFB">
        <w:trPr>
          <w:trHeight w:val="288"/>
          <w:jc w:val="center"/>
        </w:trPr>
        <w:tc>
          <w:tcPr>
            <w:tcW w:w="4554" w:type="dxa"/>
            <w:vAlign w:val="center"/>
            <w:hideMark/>
          </w:tcPr>
          <w:p w14:paraId="2EF59931"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Changes in trade receivables</w:t>
            </w:r>
          </w:p>
        </w:tc>
        <w:tc>
          <w:tcPr>
            <w:tcW w:w="0" w:type="auto"/>
            <w:noWrap/>
            <w:vAlign w:val="center"/>
            <w:hideMark/>
          </w:tcPr>
          <w:p w14:paraId="1F02AA52"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252.43</w:t>
            </w:r>
          </w:p>
        </w:tc>
        <w:tc>
          <w:tcPr>
            <w:tcW w:w="0" w:type="auto"/>
            <w:noWrap/>
            <w:vAlign w:val="center"/>
            <w:hideMark/>
          </w:tcPr>
          <w:p w14:paraId="444CC423"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210.16</w:t>
            </w:r>
          </w:p>
        </w:tc>
        <w:tc>
          <w:tcPr>
            <w:tcW w:w="0" w:type="auto"/>
            <w:noWrap/>
            <w:vAlign w:val="center"/>
            <w:hideMark/>
          </w:tcPr>
          <w:p w14:paraId="500D3CF8"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242.26</w:t>
            </w:r>
          </w:p>
        </w:tc>
        <w:tc>
          <w:tcPr>
            <w:tcW w:w="0" w:type="auto"/>
            <w:noWrap/>
            <w:vAlign w:val="center"/>
            <w:hideMark/>
          </w:tcPr>
          <w:p w14:paraId="26E8D029" w14:textId="1B2C2CF1"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416.8</w:t>
            </w:r>
            <w:r w:rsidR="00380CC0" w:rsidRPr="009C1935">
              <w:rPr>
                <w:rFonts w:ascii="Arial" w:hAnsi="Arial" w:cs="Arial"/>
                <w:sz w:val="19"/>
                <w:szCs w:val="19"/>
                <w:lang w:val="en-GB"/>
              </w:rPr>
              <w:t>0</w:t>
            </w:r>
          </w:p>
        </w:tc>
        <w:tc>
          <w:tcPr>
            <w:tcW w:w="0" w:type="auto"/>
            <w:noWrap/>
            <w:vAlign w:val="center"/>
            <w:hideMark/>
          </w:tcPr>
          <w:p w14:paraId="4C86751C"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99.15</w:t>
            </w:r>
          </w:p>
        </w:tc>
      </w:tr>
      <w:tr w:rsidR="008E0E4E" w:rsidRPr="009C1935" w14:paraId="566F7313" w14:textId="77777777" w:rsidTr="00B66CFB">
        <w:trPr>
          <w:trHeight w:val="288"/>
          <w:jc w:val="center"/>
        </w:trPr>
        <w:tc>
          <w:tcPr>
            <w:tcW w:w="4554" w:type="dxa"/>
            <w:vAlign w:val="center"/>
            <w:hideMark/>
          </w:tcPr>
          <w:p w14:paraId="1B0DF3E1"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Changes in inventories</w:t>
            </w:r>
          </w:p>
        </w:tc>
        <w:tc>
          <w:tcPr>
            <w:tcW w:w="0" w:type="auto"/>
            <w:noWrap/>
            <w:vAlign w:val="center"/>
            <w:hideMark/>
          </w:tcPr>
          <w:p w14:paraId="0151BFEE"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95.42</w:t>
            </w:r>
          </w:p>
        </w:tc>
        <w:tc>
          <w:tcPr>
            <w:tcW w:w="0" w:type="auto"/>
            <w:noWrap/>
            <w:vAlign w:val="center"/>
            <w:hideMark/>
          </w:tcPr>
          <w:p w14:paraId="383CC1FD"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19.54</w:t>
            </w:r>
          </w:p>
        </w:tc>
        <w:tc>
          <w:tcPr>
            <w:tcW w:w="0" w:type="auto"/>
            <w:noWrap/>
            <w:vAlign w:val="center"/>
            <w:hideMark/>
          </w:tcPr>
          <w:p w14:paraId="0DEAC70E"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92.61</w:t>
            </w:r>
          </w:p>
        </w:tc>
        <w:tc>
          <w:tcPr>
            <w:tcW w:w="0" w:type="auto"/>
            <w:noWrap/>
            <w:vAlign w:val="center"/>
            <w:hideMark/>
          </w:tcPr>
          <w:p w14:paraId="02E30F40"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109.85</w:t>
            </w:r>
          </w:p>
        </w:tc>
        <w:tc>
          <w:tcPr>
            <w:tcW w:w="0" w:type="auto"/>
            <w:noWrap/>
            <w:vAlign w:val="center"/>
            <w:hideMark/>
          </w:tcPr>
          <w:p w14:paraId="5BCCAF57"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8.76</w:t>
            </w:r>
          </w:p>
        </w:tc>
      </w:tr>
      <w:tr w:rsidR="008E0E4E" w:rsidRPr="009C1935" w14:paraId="39C31CA3" w14:textId="77777777" w:rsidTr="00B66CFB">
        <w:trPr>
          <w:trHeight w:val="288"/>
          <w:jc w:val="center"/>
        </w:trPr>
        <w:tc>
          <w:tcPr>
            <w:tcW w:w="4554" w:type="dxa"/>
            <w:noWrap/>
            <w:vAlign w:val="center"/>
            <w:hideMark/>
          </w:tcPr>
          <w:p w14:paraId="0C9E81E9"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Changes in other assets</w:t>
            </w:r>
          </w:p>
        </w:tc>
        <w:tc>
          <w:tcPr>
            <w:tcW w:w="0" w:type="auto"/>
            <w:noWrap/>
            <w:vAlign w:val="center"/>
            <w:hideMark/>
          </w:tcPr>
          <w:p w14:paraId="37EA9199"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22.11</w:t>
            </w:r>
          </w:p>
        </w:tc>
        <w:tc>
          <w:tcPr>
            <w:tcW w:w="0" w:type="auto"/>
            <w:noWrap/>
            <w:vAlign w:val="center"/>
            <w:hideMark/>
          </w:tcPr>
          <w:p w14:paraId="3CE07F23"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12.25</w:t>
            </w:r>
          </w:p>
        </w:tc>
        <w:tc>
          <w:tcPr>
            <w:tcW w:w="0" w:type="auto"/>
            <w:noWrap/>
            <w:vAlign w:val="center"/>
            <w:hideMark/>
          </w:tcPr>
          <w:p w14:paraId="0B7A326B" w14:textId="49CB669B"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28.4</w:t>
            </w:r>
            <w:r w:rsidR="00380CC0" w:rsidRPr="009C1935">
              <w:rPr>
                <w:rFonts w:ascii="Arial" w:hAnsi="Arial" w:cs="Arial"/>
                <w:sz w:val="19"/>
                <w:szCs w:val="19"/>
                <w:lang w:val="en-GB"/>
              </w:rPr>
              <w:t>0</w:t>
            </w:r>
          </w:p>
        </w:tc>
        <w:tc>
          <w:tcPr>
            <w:tcW w:w="0" w:type="auto"/>
            <w:noWrap/>
            <w:vAlign w:val="center"/>
            <w:hideMark/>
          </w:tcPr>
          <w:p w14:paraId="69ECD809"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55.05</w:t>
            </w:r>
          </w:p>
        </w:tc>
        <w:tc>
          <w:tcPr>
            <w:tcW w:w="0" w:type="auto"/>
            <w:noWrap/>
            <w:vAlign w:val="center"/>
            <w:hideMark/>
          </w:tcPr>
          <w:p w14:paraId="3E28AEB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26.05</w:t>
            </w:r>
          </w:p>
        </w:tc>
      </w:tr>
      <w:tr w:rsidR="008E0E4E" w:rsidRPr="009C1935" w14:paraId="48251754" w14:textId="77777777" w:rsidTr="00B66CFB">
        <w:trPr>
          <w:trHeight w:val="288"/>
          <w:jc w:val="center"/>
        </w:trPr>
        <w:tc>
          <w:tcPr>
            <w:tcW w:w="4554" w:type="dxa"/>
            <w:noWrap/>
            <w:vAlign w:val="center"/>
            <w:hideMark/>
          </w:tcPr>
          <w:p w14:paraId="0D2E6C9D"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Changes in loans and advances</w:t>
            </w:r>
          </w:p>
        </w:tc>
        <w:tc>
          <w:tcPr>
            <w:tcW w:w="0" w:type="auto"/>
            <w:noWrap/>
            <w:vAlign w:val="center"/>
            <w:hideMark/>
          </w:tcPr>
          <w:p w14:paraId="49097CE1"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124.61</w:t>
            </w:r>
          </w:p>
        </w:tc>
        <w:tc>
          <w:tcPr>
            <w:tcW w:w="0" w:type="auto"/>
            <w:noWrap/>
            <w:vAlign w:val="center"/>
            <w:hideMark/>
          </w:tcPr>
          <w:p w14:paraId="0C08A646"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104.99</w:t>
            </w:r>
          </w:p>
        </w:tc>
        <w:tc>
          <w:tcPr>
            <w:tcW w:w="0" w:type="auto"/>
            <w:noWrap/>
            <w:vAlign w:val="center"/>
            <w:hideMark/>
          </w:tcPr>
          <w:p w14:paraId="42DF7970"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139.44</w:t>
            </w:r>
          </w:p>
        </w:tc>
        <w:tc>
          <w:tcPr>
            <w:tcW w:w="0" w:type="auto"/>
            <w:noWrap/>
            <w:vAlign w:val="center"/>
            <w:hideMark/>
          </w:tcPr>
          <w:p w14:paraId="12428566"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134.08</w:t>
            </w:r>
          </w:p>
        </w:tc>
        <w:tc>
          <w:tcPr>
            <w:tcW w:w="0" w:type="auto"/>
            <w:noWrap/>
            <w:vAlign w:val="center"/>
            <w:hideMark/>
          </w:tcPr>
          <w:p w14:paraId="1D044704" w14:textId="08C4CADB"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267.1</w:t>
            </w:r>
            <w:r w:rsidR="00380CC0" w:rsidRPr="009C1935">
              <w:rPr>
                <w:rFonts w:ascii="Arial" w:hAnsi="Arial" w:cs="Arial"/>
                <w:sz w:val="19"/>
                <w:szCs w:val="19"/>
                <w:lang w:val="en-GB"/>
              </w:rPr>
              <w:t>0</w:t>
            </w:r>
          </w:p>
        </w:tc>
      </w:tr>
      <w:tr w:rsidR="008E0E4E" w:rsidRPr="009C1935" w14:paraId="7607A2B2" w14:textId="77777777" w:rsidTr="00B66CFB">
        <w:trPr>
          <w:trHeight w:val="288"/>
          <w:jc w:val="center"/>
        </w:trPr>
        <w:tc>
          <w:tcPr>
            <w:tcW w:w="4554" w:type="dxa"/>
            <w:noWrap/>
            <w:vAlign w:val="center"/>
            <w:hideMark/>
          </w:tcPr>
          <w:p w14:paraId="51FCD82B"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Changes in liabilities and provisions</w:t>
            </w:r>
          </w:p>
        </w:tc>
        <w:tc>
          <w:tcPr>
            <w:tcW w:w="0" w:type="auto"/>
            <w:noWrap/>
            <w:vAlign w:val="center"/>
            <w:hideMark/>
          </w:tcPr>
          <w:p w14:paraId="6BFDBD9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332.32</w:t>
            </w:r>
          </w:p>
        </w:tc>
        <w:tc>
          <w:tcPr>
            <w:tcW w:w="0" w:type="auto"/>
            <w:noWrap/>
            <w:vAlign w:val="center"/>
            <w:hideMark/>
          </w:tcPr>
          <w:p w14:paraId="006021A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196.36</w:t>
            </w:r>
          </w:p>
        </w:tc>
        <w:tc>
          <w:tcPr>
            <w:tcW w:w="0" w:type="auto"/>
            <w:noWrap/>
            <w:vAlign w:val="center"/>
            <w:hideMark/>
          </w:tcPr>
          <w:p w14:paraId="02F6DF0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244.22</w:t>
            </w:r>
          </w:p>
        </w:tc>
        <w:tc>
          <w:tcPr>
            <w:tcW w:w="0" w:type="auto"/>
            <w:noWrap/>
            <w:vAlign w:val="center"/>
            <w:hideMark/>
          </w:tcPr>
          <w:p w14:paraId="53D7CD1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1,248.09</w:t>
            </w:r>
          </w:p>
        </w:tc>
        <w:tc>
          <w:tcPr>
            <w:tcW w:w="0" w:type="auto"/>
            <w:noWrap/>
            <w:vAlign w:val="center"/>
            <w:hideMark/>
          </w:tcPr>
          <w:p w14:paraId="18E3CBA1"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246.41</w:t>
            </w:r>
          </w:p>
        </w:tc>
      </w:tr>
      <w:tr w:rsidR="008E0E4E" w:rsidRPr="009C1935" w14:paraId="6A8E9847" w14:textId="77777777" w:rsidTr="00B66CFB">
        <w:trPr>
          <w:trHeight w:val="288"/>
          <w:jc w:val="center"/>
        </w:trPr>
        <w:tc>
          <w:tcPr>
            <w:tcW w:w="4554" w:type="dxa"/>
            <w:noWrap/>
            <w:vAlign w:val="center"/>
            <w:hideMark/>
          </w:tcPr>
          <w:p w14:paraId="1DF9843F"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Cash generated from operations</w:t>
            </w:r>
          </w:p>
        </w:tc>
        <w:tc>
          <w:tcPr>
            <w:tcW w:w="0" w:type="auto"/>
            <w:noWrap/>
            <w:vAlign w:val="center"/>
            <w:hideMark/>
          </w:tcPr>
          <w:p w14:paraId="085328DA"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439.90</w:t>
            </w:r>
          </w:p>
        </w:tc>
        <w:tc>
          <w:tcPr>
            <w:tcW w:w="0" w:type="auto"/>
            <w:noWrap/>
            <w:vAlign w:val="center"/>
            <w:hideMark/>
          </w:tcPr>
          <w:p w14:paraId="7952DD01"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705.33</w:t>
            </w:r>
          </w:p>
        </w:tc>
        <w:tc>
          <w:tcPr>
            <w:tcW w:w="0" w:type="auto"/>
            <w:noWrap/>
            <w:vAlign w:val="center"/>
            <w:hideMark/>
          </w:tcPr>
          <w:p w14:paraId="7AF556D6"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617.56</w:t>
            </w:r>
          </w:p>
        </w:tc>
        <w:tc>
          <w:tcPr>
            <w:tcW w:w="0" w:type="auto"/>
            <w:noWrap/>
            <w:vAlign w:val="center"/>
            <w:hideMark/>
          </w:tcPr>
          <w:p w14:paraId="31114A1A"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1,840.47</w:t>
            </w:r>
          </w:p>
        </w:tc>
        <w:tc>
          <w:tcPr>
            <w:tcW w:w="0" w:type="auto"/>
            <w:noWrap/>
            <w:vAlign w:val="center"/>
            <w:hideMark/>
          </w:tcPr>
          <w:p w14:paraId="7F5492BF"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809.32</w:t>
            </w:r>
          </w:p>
        </w:tc>
      </w:tr>
      <w:tr w:rsidR="008E0E4E" w:rsidRPr="009C1935" w14:paraId="6A96554B" w14:textId="77777777" w:rsidTr="00B66CFB">
        <w:trPr>
          <w:trHeight w:val="288"/>
          <w:jc w:val="center"/>
        </w:trPr>
        <w:tc>
          <w:tcPr>
            <w:tcW w:w="4554" w:type="dxa"/>
            <w:noWrap/>
            <w:vAlign w:val="center"/>
            <w:hideMark/>
          </w:tcPr>
          <w:p w14:paraId="7B74D566"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Income taxes paid, net</w:t>
            </w:r>
          </w:p>
        </w:tc>
        <w:tc>
          <w:tcPr>
            <w:tcW w:w="0" w:type="auto"/>
            <w:noWrap/>
            <w:vAlign w:val="center"/>
            <w:hideMark/>
          </w:tcPr>
          <w:p w14:paraId="4C2BA2B0"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101.12</w:t>
            </w:r>
          </w:p>
        </w:tc>
        <w:tc>
          <w:tcPr>
            <w:tcW w:w="0" w:type="auto"/>
            <w:noWrap/>
            <w:vAlign w:val="center"/>
            <w:hideMark/>
          </w:tcPr>
          <w:p w14:paraId="410D24DC"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131.59</w:t>
            </w:r>
          </w:p>
        </w:tc>
        <w:tc>
          <w:tcPr>
            <w:tcW w:w="0" w:type="auto"/>
            <w:noWrap/>
            <w:vAlign w:val="center"/>
            <w:hideMark/>
          </w:tcPr>
          <w:p w14:paraId="304BED7B"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172.28</w:t>
            </w:r>
          </w:p>
        </w:tc>
        <w:tc>
          <w:tcPr>
            <w:tcW w:w="0" w:type="auto"/>
            <w:noWrap/>
            <w:vAlign w:val="center"/>
            <w:hideMark/>
          </w:tcPr>
          <w:p w14:paraId="6BE24E30"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195.79</w:t>
            </w:r>
          </w:p>
        </w:tc>
        <w:tc>
          <w:tcPr>
            <w:tcW w:w="0" w:type="auto"/>
            <w:noWrap/>
            <w:vAlign w:val="center"/>
            <w:hideMark/>
          </w:tcPr>
          <w:p w14:paraId="63DE84B7"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199.83</w:t>
            </w:r>
          </w:p>
        </w:tc>
      </w:tr>
      <w:tr w:rsidR="008E0E4E" w:rsidRPr="009C1935" w14:paraId="4D4D7073" w14:textId="77777777" w:rsidTr="00B66CFB">
        <w:trPr>
          <w:trHeight w:val="288"/>
          <w:jc w:val="center"/>
        </w:trPr>
        <w:tc>
          <w:tcPr>
            <w:tcW w:w="4554" w:type="dxa"/>
            <w:noWrap/>
            <w:vAlign w:val="center"/>
            <w:hideMark/>
          </w:tcPr>
          <w:p w14:paraId="2452FEE8"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Net cash generated from operating activities (A)</w:t>
            </w:r>
          </w:p>
        </w:tc>
        <w:tc>
          <w:tcPr>
            <w:tcW w:w="0" w:type="auto"/>
            <w:noWrap/>
            <w:vAlign w:val="center"/>
            <w:hideMark/>
          </w:tcPr>
          <w:p w14:paraId="1F09C9E6"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338.78</w:t>
            </w:r>
          </w:p>
        </w:tc>
        <w:tc>
          <w:tcPr>
            <w:tcW w:w="0" w:type="auto"/>
            <w:noWrap/>
            <w:vAlign w:val="center"/>
            <w:hideMark/>
          </w:tcPr>
          <w:p w14:paraId="55933832"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573.74</w:t>
            </w:r>
          </w:p>
        </w:tc>
        <w:tc>
          <w:tcPr>
            <w:tcW w:w="0" w:type="auto"/>
            <w:noWrap/>
            <w:vAlign w:val="center"/>
            <w:hideMark/>
          </w:tcPr>
          <w:p w14:paraId="0BDFC67C"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445.28</w:t>
            </w:r>
          </w:p>
        </w:tc>
        <w:tc>
          <w:tcPr>
            <w:tcW w:w="0" w:type="auto"/>
            <w:noWrap/>
            <w:vAlign w:val="center"/>
            <w:hideMark/>
          </w:tcPr>
          <w:p w14:paraId="22CE413D"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1,644.68</w:t>
            </w:r>
          </w:p>
        </w:tc>
        <w:tc>
          <w:tcPr>
            <w:tcW w:w="0" w:type="auto"/>
            <w:noWrap/>
            <w:vAlign w:val="center"/>
            <w:hideMark/>
          </w:tcPr>
          <w:p w14:paraId="5DA991DB"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609.49</w:t>
            </w:r>
          </w:p>
        </w:tc>
      </w:tr>
    </w:tbl>
    <w:p w14:paraId="2EDFC937" w14:textId="77777777" w:rsidR="00FF2DC2" w:rsidRPr="009C1935" w:rsidRDefault="00FF2DC2" w:rsidP="00FF2DC2">
      <w:pPr>
        <w:pStyle w:val="BodyTextMain"/>
        <w:rPr>
          <w:lang w:val="en-GB"/>
        </w:rPr>
      </w:pPr>
    </w:p>
    <w:p w14:paraId="5A3709DD" w14:textId="77777777" w:rsidR="00FF2DC2" w:rsidRPr="009C1935" w:rsidRDefault="00FF2DC2" w:rsidP="00FF2DC2">
      <w:pPr>
        <w:pStyle w:val="BodyTextMain"/>
        <w:rPr>
          <w:lang w:val="en-GB"/>
        </w:rPr>
      </w:pPr>
    </w:p>
    <w:p w14:paraId="0C8236AF" w14:textId="77777777" w:rsidR="00FF2DC2" w:rsidRPr="009C1935" w:rsidRDefault="00FF2DC2" w:rsidP="00FF2DC2">
      <w:pPr>
        <w:pStyle w:val="BodyTextMain"/>
        <w:rPr>
          <w:lang w:val="en-GB"/>
        </w:rPr>
      </w:pPr>
    </w:p>
    <w:p w14:paraId="7A78916A" w14:textId="77777777" w:rsidR="00FF2DC2" w:rsidRPr="009C1935" w:rsidRDefault="00FF2DC2">
      <w:pPr>
        <w:spacing w:after="200" w:line="276" w:lineRule="auto"/>
        <w:rPr>
          <w:sz w:val="22"/>
          <w:szCs w:val="22"/>
          <w:lang w:val="en-GB"/>
        </w:rPr>
      </w:pPr>
      <w:r w:rsidRPr="009C1935">
        <w:rPr>
          <w:lang w:val="en-GB"/>
        </w:rPr>
        <w:br w:type="page"/>
      </w:r>
    </w:p>
    <w:p w14:paraId="7E6F9866" w14:textId="77777777" w:rsidR="00FF2DC2" w:rsidRPr="009C1935" w:rsidRDefault="00FF2DC2" w:rsidP="00FF2DC2">
      <w:pPr>
        <w:pStyle w:val="Casehead1"/>
        <w:jc w:val="center"/>
        <w:rPr>
          <w:lang w:val="en-GB"/>
        </w:rPr>
      </w:pPr>
      <w:r w:rsidRPr="009C1935">
        <w:rPr>
          <w:lang w:val="en-GB"/>
        </w:rPr>
        <w:lastRenderedPageBreak/>
        <w:t>EXHIBIT 8 (continued)</w:t>
      </w:r>
    </w:p>
    <w:p w14:paraId="1A367BDD" w14:textId="77777777" w:rsidR="00FF2DC2" w:rsidRPr="009C1935" w:rsidRDefault="00FF2DC2" w:rsidP="00FF2DC2">
      <w:pPr>
        <w:pStyle w:val="BodyTextMain"/>
        <w:rPr>
          <w:lang w:val="en-GB"/>
        </w:rPr>
      </w:pPr>
    </w:p>
    <w:tbl>
      <w:tblPr>
        <w:tblStyle w:val="TableGrid"/>
        <w:tblW w:w="0" w:type="auto"/>
        <w:jc w:val="center"/>
        <w:tblLook w:val="04A0" w:firstRow="1" w:lastRow="0" w:firstColumn="1" w:lastColumn="0" w:noHBand="0" w:noVBand="1"/>
      </w:tblPr>
      <w:tblGrid>
        <w:gridCol w:w="3922"/>
        <w:gridCol w:w="1067"/>
        <w:gridCol w:w="1035"/>
        <w:gridCol w:w="1067"/>
        <w:gridCol w:w="1067"/>
        <w:gridCol w:w="1067"/>
      </w:tblGrid>
      <w:tr w:rsidR="008E0E4E" w:rsidRPr="009C1935" w14:paraId="63F843A9" w14:textId="77777777" w:rsidTr="00B66CFB">
        <w:trPr>
          <w:trHeight w:val="288"/>
          <w:jc w:val="center"/>
        </w:trPr>
        <w:tc>
          <w:tcPr>
            <w:tcW w:w="3922" w:type="dxa"/>
            <w:noWrap/>
            <w:vAlign w:val="center"/>
            <w:hideMark/>
          </w:tcPr>
          <w:p w14:paraId="373A9C09"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Cash flow from investing activities</w:t>
            </w:r>
          </w:p>
        </w:tc>
        <w:tc>
          <w:tcPr>
            <w:tcW w:w="1067" w:type="dxa"/>
            <w:noWrap/>
            <w:vAlign w:val="center"/>
            <w:hideMark/>
          </w:tcPr>
          <w:p w14:paraId="5E80DB6F" w14:textId="77777777" w:rsidR="008E0E4E" w:rsidRPr="009C1935" w:rsidRDefault="008E0E4E" w:rsidP="00FF2DC2">
            <w:pPr>
              <w:jc w:val="right"/>
              <w:rPr>
                <w:rFonts w:ascii="Arial" w:hAnsi="Arial" w:cs="Arial"/>
                <w:sz w:val="19"/>
                <w:szCs w:val="19"/>
                <w:lang w:val="en-GB"/>
              </w:rPr>
            </w:pPr>
          </w:p>
        </w:tc>
        <w:tc>
          <w:tcPr>
            <w:tcW w:w="1035" w:type="dxa"/>
            <w:noWrap/>
            <w:vAlign w:val="center"/>
            <w:hideMark/>
          </w:tcPr>
          <w:p w14:paraId="106F2D2F"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14252138"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6F781D35"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6E057F79" w14:textId="77777777" w:rsidR="008E0E4E" w:rsidRPr="009C1935" w:rsidRDefault="008E0E4E" w:rsidP="00FF2DC2">
            <w:pPr>
              <w:jc w:val="right"/>
              <w:rPr>
                <w:rFonts w:ascii="Arial" w:hAnsi="Arial" w:cs="Arial"/>
                <w:sz w:val="19"/>
                <w:szCs w:val="19"/>
                <w:lang w:val="en-GB"/>
              </w:rPr>
            </w:pPr>
          </w:p>
        </w:tc>
      </w:tr>
      <w:tr w:rsidR="008E0E4E" w:rsidRPr="009C1935" w14:paraId="6E00BE76" w14:textId="77777777" w:rsidTr="00B66CFB">
        <w:trPr>
          <w:trHeight w:val="288"/>
          <w:jc w:val="center"/>
        </w:trPr>
        <w:tc>
          <w:tcPr>
            <w:tcW w:w="3922" w:type="dxa"/>
            <w:noWrap/>
            <w:vAlign w:val="center"/>
            <w:hideMark/>
          </w:tcPr>
          <w:p w14:paraId="46488A3A"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Purchase of fixed assets</w:t>
            </w:r>
          </w:p>
        </w:tc>
        <w:tc>
          <w:tcPr>
            <w:tcW w:w="1067" w:type="dxa"/>
            <w:noWrap/>
            <w:vAlign w:val="center"/>
            <w:hideMark/>
          </w:tcPr>
          <w:p w14:paraId="67EBB91F"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983.66</w:t>
            </w:r>
          </w:p>
        </w:tc>
        <w:tc>
          <w:tcPr>
            <w:tcW w:w="1035" w:type="dxa"/>
            <w:noWrap/>
            <w:vAlign w:val="center"/>
            <w:hideMark/>
          </w:tcPr>
          <w:p w14:paraId="5929C33C"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850.75</w:t>
            </w:r>
          </w:p>
        </w:tc>
        <w:tc>
          <w:tcPr>
            <w:tcW w:w="0" w:type="auto"/>
            <w:noWrap/>
            <w:vAlign w:val="center"/>
            <w:hideMark/>
          </w:tcPr>
          <w:p w14:paraId="3233C0FF"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1,071.67</w:t>
            </w:r>
          </w:p>
        </w:tc>
        <w:tc>
          <w:tcPr>
            <w:tcW w:w="0" w:type="auto"/>
            <w:noWrap/>
            <w:vAlign w:val="center"/>
            <w:hideMark/>
          </w:tcPr>
          <w:p w14:paraId="067FB535"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1,221.80</w:t>
            </w:r>
          </w:p>
        </w:tc>
        <w:tc>
          <w:tcPr>
            <w:tcW w:w="0" w:type="auto"/>
            <w:noWrap/>
            <w:vAlign w:val="center"/>
            <w:hideMark/>
          </w:tcPr>
          <w:p w14:paraId="6C575910"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803.07</w:t>
            </w:r>
          </w:p>
        </w:tc>
      </w:tr>
      <w:tr w:rsidR="008E0E4E" w:rsidRPr="009C1935" w14:paraId="0001D643" w14:textId="77777777" w:rsidTr="00B66CFB">
        <w:trPr>
          <w:trHeight w:val="288"/>
          <w:jc w:val="center"/>
        </w:trPr>
        <w:tc>
          <w:tcPr>
            <w:tcW w:w="3922" w:type="dxa"/>
            <w:vAlign w:val="center"/>
            <w:hideMark/>
          </w:tcPr>
          <w:p w14:paraId="2D979441"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Investment in subsidiary</w:t>
            </w:r>
          </w:p>
        </w:tc>
        <w:tc>
          <w:tcPr>
            <w:tcW w:w="1067" w:type="dxa"/>
            <w:noWrap/>
            <w:vAlign w:val="center"/>
            <w:hideMark/>
          </w:tcPr>
          <w:p w14:paraId="2B1F3DEF"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146.31</w:t>
            </w:r>
          </w:p>
        </w:tc>
        <w:tc>
          <w:tcPr>
            <w:tcW w:w="1035" w:type="dxa"/>
            <w:noWrap/>
            <w:vAlign w:val="center"/>
            <w:hideMark/>
          </w:tcPr>
          <w:p w14:paraId="6897B5C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19.58</w:t>
            </w:r>
          </w:p>
        </w:tc>
        <w:tc>
          <w:tcPr>
            <w:tcW w:w="0" w:type="auto"/>
            <w:noWrap/>
            <w:vAlign w:val="center"/>
            <w:hideMark/>
          </w:tcPr>
          <w:p w14:paraId="1F250608"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189.25</w:t>
            </w:r>
          </w:p>
        </w:tc>
        <w:tc>
          <w:tcPr>
            <w:tcW w:w="0" w:type="auto"/>
            <w:noWrap/>
            <w:vAlign w:val="center"/>
            <w:hideMark/>
          </w:tcPr>
          <w:p w14:paraId="6A6534F9"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403.92</w:t>
            </w:r>
          </w:p>
        </w:tc>
        <w:tc>
          <w:tcPr>
            <w:tcW w:w="0" w:type="auto"/>
            <w:noWrap/>
            <w:vAlign w:val="center"/>
            <w:hideMark/>
          </w:tcPr>
          <w:p w14:paraId="47AE2D0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377.38</w:t>
            </w:r>
          </w:p>
        </w:tc>
      </w:tr>
      <w:tr w:rsidR="008E0E4E" w:rsidRPr="009C1935" w14:paraId="5A018E98" w14:textId="77777777" w:rsidTr="00B66CFB">
        <w:trPr>
          <w:trHeight w:val="576"/>
          <w:jc w:val="center"/>
        </w:trPr>
        <w:tc>
          <w:tcPr>
            <w:tcW w:w="3922" w:type="dxa"/>
            <w:vAlign w:val="center"/>
            <w:hideMark/>
          </w:tcPr>
          <w:p w14:paraId="618579B7"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Movement in deposits (having original maturity of more than three months), net</w:t>
            </w:r>
          </w:p>
        </w:tc>
        <w:tc>
          <w:tcPr>
            <w:tcW w:w="1067" w:type="dxa"/>
            <w:noWrap/>
            <w:vAlign w:val="center"/>
            <w:hideMark/>
          </w:tcPr>
          <w:p w14:paraId="589B5638"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116.05</w:t>
            </w:r>
          </w:p>
        </w:tc>
        <w:tc>
          <w:tcPr>
            <w:tcW w:w="1035" w:type="dxa"/>
            <w:noWrap/>
            <w:vAlign w:val="center"/>
            <w:hideMark/>
          </w:tcPr>
          <w:p w14:paraId="5A4789E5"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26.74</w:t>
            </w:r>
          </w:p>
        </w:tc>
        <w:tc>
          <w:tcPr>
            <w:tcW w:w="0" w:type="auto"/>
            <w:noWrap/>
            <w:vAlign w:val="center"/>
            <w:hideMark/>
          </w:tcPr>
          <w:p w14:paraId="0581F115"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1.85</w:t>
            </w:r>
          </w:p>
        </w:tc>
        <w:tc>
          <w:tcPr>
            <w:tcW w:w="0" w:type="auto"/>
            <w:noWrap/>
            <w:vAlign w:val="center"/>
            <w:hideMark/>
          </w:tcPr>
          <w:p w14:paraId="650A72C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22.84</w:t>
            </w:r>
          </w:p>
        </w:tc>
        <w:tc>
          <w:tcPr>
            <w:tcW w:w="0" w:type="auto"/>
            <w:noWrap/>
            <w:vAlign w:val="center"/>
            <w:hideMark/>
          </w:tcPr>
          <w:p w14:paraId="5CE1B59F"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50.60</w:t>
            </w:r>
          </w:p>
        </w:tc>
      </w:tr>
      <w:tr w:rsidR="008E0E4E" w:rsidRPr="009C1935" w14:paraId="57553434" w14:textId="77777777" w:rsidTr="00B66CFB">
        <w:trPr>
          <w:trHeight w:val="576"/>
          <w:jc w:val="center"/>
        </w:trPr>
        <w:tc>
          <w:tcPr>
            <w:tcW w:w="3922" w:type="dxa"/>
            <w:vAlign w:val="center"/>
            <w:hideMark/>
          </w:tcPr>
          <w:p w14:paraId="08C84466"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Movement in deposits (due to mature after 12 months from the reporting date), net</w:t>
            </w:r>
          </w:p>
        </w:tc>
        <w:tc>
          <w:tcPr>
            <w:tcW w:w="1067" w:type="dxa"/>
            <w:noWrap/>
            <w:vAlign w:val="center"/>
            <w:hideMark/>
          </w:tcPr>
          <w:p w14:paraId="05F4B51B" w14:textId="05C79371"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1035" w:type="dxa"/>
            <w:noWrap/>
            <w:vAlign w:val="center"/>
            <w:hideMark/>
          </w:tcPr>
          <w:p w14:paraId="17D47B31" w14:textId="68137E42"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4D86CAFC" w14:textId="2955A860"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13.4</w:t>
            </w:r>
            <w:r w:rsidR="00380CC0" w:rsidRPr="009C1935">
              <w:rPr>
                <w:rFonts w:ascii="Arial" w:hAnsi="Arial" w:cs="Arial"/>
                <w:sz w:val="19"/>
                <w:szCs w:val="19"/>
                <w:lang w:val="en-GB"/>
              </w:rPr>
              <w:t>0</w:t>
            </w:r>
          </w:p>
        </w:tc>
        <w:tc>
          <w:tcPr>
            <w:tcW w:w="0" w:type="auto"/>
            <w:noWrap/>
            <w:vAlign w:val="center"/>
            <w:hideMark/>
          </w:tcPr>
          <w:p w14:paraId="47260AA0"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1.68</w:t>
            </w:r>
          </w:p>
        </w:tc>
        <w:tc>
          <w:tcPr>
            <w:tcW w:w="0" w:type="auto"/>
            <w:noWrap/>
            <w:vAlign w:val="center"/>
            <w:hideMark/>
          </w:tcPr>
          <w:p w14:paraId="1972773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2.39</w:t>
            </w:r>
          </w:p>
        </w:tc>
      </w:tr>
      <w:tr w:rsidR="008E0E4E" w:rsidRPr="009C1935" w14:paraId="133A76B3" w14:textId="77777777" w:rsidTr="00B66CFB">
        <w:trPr>
          <w:trHeight w:val="288"/>
          <w:jc w:val="center"/>
        </w:trPr>
        <w:tc>
          <w:tcPr>
            <w:tcW w:w="3922" w:type="dxa"/>
            <w:vAlign w:val="center"/>
            <w:hideMark/>
          </w:tcPr>
          <w:p w14:paraId="7AC08EF2"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Payment for acquisition of long-term investment</w:t>
            </w:r>
          </w:p>
        </w:tc>
        <w:tc>
          <w:tcPr>
            <w:tcW w:w="1067" w:type="dxa"/>
            <w:noWrap/>
            <w:vAlign w:val="center"/>
            <w:hideMark/>
          </w:tcPr>
          <w:p w14:paraId="4838D4DF" w14:textId="72297F91"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1035" w:type="dxa"/>
            <w:noWrap/>
            <w:vAlign w:val="center"/>
            <w:hideMark/>
          </w:tcPr>
          <w:p w14:paraId="474B4BB3" w14:textId="22169110"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2EA3DFF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0.26</w:t>
            </w:r>
          </w:p>
        </w:tc>
        <w:tc>
          <w:tcPr>
            <w:tcW w:w="0" w:type="auto"/>
            <w:noWrap/>
            <w:vAlign w:val="center"/>
            <w:hideMark/>
          </w:tcPr>
          <w:p w14:paraId="5FD369E2"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2.74</w:t>
            </w:r>
          </w:p>
        </w:tc>
        <w:tc>
          <w:tcPr>
            <w:tcW w:w="0" w:type="auto"/>
            <w:noWrap/>
            <w:vAlign w:val="center"/>
            <w:hideMark/>
          </w:tcPr>
          <w:p w14:paraId="4C91DF90"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883.95</w:t>
            </w:r>
          </w:p>
        </w:tc>
      </w:tr>
      <w:tr w:rsidR="008E0E4E" w:rsidRPr="009C1935" w14:paraId="7BAE7AE9" w14:textId="77777777" w:rsidTr="00B66CFB">
        <w:trPr>
          <w:trHeight w:val="288"/>
          <w:jc w:val="center"/>
        </w:trPr>
        <w:tc>
          <w:tcPr>
            <w:tcW w:w="3922" w:type="dxa"/>
            <w:vAlign w:val="center"/>
            <w:hideMark/>
          </w:tcPr>
          <w:p w14:paraId="44E86D45"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Government grant received</w:t>
            </w:r>
          </w:p>
        </w:tc>
        <w:tc>
          <w:tcPr>
            <w:tcW w:w="1067" w:type="dxa"/>
            <w:noWrap/>
            <w:vAlign w:val="center"/>
            <w:hideMark/>
          </w:tcPr>
          <w:p w14:paraId="23B4CB68" w14:textId="4BA118F0"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1035" w:type="dxa"/>
            <w:noWrap/>
            <w:vAlign w:val="center"/>
            <w:hideMark/>
          </w:tcPr>
          <w:p w14:paraId="69EC185D" w14:textId="753FA97A"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216FA1D8" w14:textId="342277AB"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50</w:t>
            </w:r>
            <w:r w:rsidR="00380CC0" w:rsidRPr="009C1935">
              <w:rPr>
                <w:rFonts w:ascii="Arial" w:hAnsi="Arial" w:cs="Arial"/>
                <w:sz w:val="19"/>
                <w:szCs w:val="19"/>
                <w:lang w:val="en-GB"/>
              </w:rPr>
              <w:t>.00</w:t>
            </w:r>
          </w:p>
        </w:tc>
        <w:tc>
          <w:tcPr>
            <w:tcW w:w="0" w:type="auto"/>
            <w:noWrap/>
            <w:vAlign w:val="center"/>
            <w:hideMark/>
          </w:tcPr>
          <w:p w14:paraId="52A0B130" w14:textId="562928C4"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170</w:t>
            </w:r>
            <w:r w:rsidR="00380CC0" w:rsidRPr="009C1935">
              <w:rPr>
                <w:rFonts w:ascii="Arial" w:hAnsi="Arial" w:cs="Arial"/>
                <w:sz w:val="19"/>
                <w:szCs w:val="19"/>
                <w:lang w:val="en-GB"/>
              </w:rPr>
              <w:t>.00</w:t>
            </w:r>
          </w:p>
        </w:tc>
        <w:tc>
          <w:tcPr>
            <w:tcW w:w="0" w:type="auto"/>
            <w:noWrap/>
            <w:vAlign w:val="center"/>
            <w:hideMark/>
          </w:tcPr>
          <w:p w14:paraId="79BA507B" w14:textId="7B9BA1E8"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r>
      <w:tr w:rsidR="008E0E4E" w:rsidRPr="009C1935" w14:paraId="3C6A2457" w14:textId="77777777" w:rsidTr="00B66CFB">
        <w:trPr>
          <w:trHeight w:val="288"/>
          <w:jc w:val="center"/>
        </w:trPr>
        <w:tc>
          <w:tcPr>
            <w:tcW w:w="3922" w:type="dxa"/>
            <w:vAlign w:val="center"/>
            <w:hideMark/>
          </w:tcPr>
          <w:p w14:paraId="6FAE4323"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Proceeds from sale of fixed assets</w:t>
            </w:r>
          </w:p>
        </w:tc>
        <w:tc>
          <w:tcPr>
            <w:tcW w:w="1067" w:type="dxa"/>
            <w:noWrap/>
            <w:vAlign w:val="center"/>
            <w:hideMark/>
          </w:tcPr>
          <w:p w14:paraId="0B5297B8"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3.79</w:t>
            </w:r>
          </w:p>
        </w:tc>
        <w:tc>
          <w:tcPr>
            <w:tcW w:w="1035" w:type="dxa"/>
            <w:noWrap/>
            <w:vAlign w:val="center"/>
            <w:hideMark/>
          </w:tcPr>
          <w:p w14:paraId="7A932703" w14:textId="3DB59909"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7A4C8EA1" w14:textId="341CB0F6"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6608B018" w14:textId="44BBF9D3"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7658816D"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10.11</w:t>
            </w:r>
          </w:p>
        </w:tc>
      </w:tr>
      <w:tr w:rsidR="008E0E4E" w:rsidRPr="009C1935" w14:paraId="32780D93" w14:textId="77777777" w:rsidTr="00B66CFB">
        <w:trPr>
          <w:trHeight w:val="288"/>
          <w:jc w:val="center"/>
        </w:trPr>
        <w:tc>
          <w:tcPr>
            <w:tcW w:w="3922" w:type="dxa"/>
            <w:vAlign w:val="center"/>
            <w:hideMark/>
          </w:tcPr>
          <w:p w14:paraId="4F00ED41"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Purchase of assets on slump sale</w:t>
            </w:r>
          </w:p>
        </w:tc>
        <w:tc>
          <w:tcPr>
            <w:tcW w:w="1067" w:type="dxa"/>
            <w:noWrap/>
            <w:vAlign w:val="center"/>
            <w:hideMark/>
          </w:tcPr>
          <w:p w14:paraId="719AB3AC" w14:textId="18C514FC"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1035" w:type="dxa"/>
            <w:noWrap/>
            <w:vAlign w:val="center"/>
            <w:hideMark/>
          </w:tcPr>
          <w:p w14:paraId="56EBBE40" w14:textId="5900A1AD"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2CEE8554" w14:textId="34F61AD4"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557DA67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419.83</w:t>
            </w:r>
          </w:p>
        </w:tc>
        <w:tc>
          <w:tcPr>
            <w:tcW w:w="0" w:type="auto"/>
            <w:noWrap/>
            <w:vAlign w:val="center"/>
            <w:hideMark/>
          </w:tcPr>
          <w:p w14:paraId="5067A028" w14:textId="22559E2E"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r>
      <w:tr w:rsidR="008E0E4E" w:rsidRPr="009C1935" w14:paraId="6441076F" w14:textId="77777777" w:rsidTr="00B66CFB">
        <w:trPr>
          <w:trHeight w:val="288"/>
          <w:jc w:val="center"/>
        </w:trPr>
        <w:tc>
          <w:tcPr>
            <w:tcW w:w="3922" w:type="dxa"/>
            <w:vAlign w:val="center"/>
            <w:hideMark/>
          </w:tcPr>
          <w:p w14:paraId="42ADA196"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Proceeds from sale of non-current investments</w:t>
            </w:r>
          </w:p>
        </w:tc>
        <w:tc>
          <w:tcPr>
            <w:tcW w:w="1067" w:type="dxa"/>
            <w:noWrap/>
            <w:vAlign w:val="center"/>
            <w:hideMark/>
          </w:tcPr>
          <w:p w14:paraId="1A1CC186" w14:textId="4609F5D1"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1035" w:type="dxa"/>
            <w:noWrap/>
            <w:vAlign w:val="center"/>
            <w:hideMark/>
          </w:tcPr>
          <w:p w14:paraId="5C38F6D6" w14:textId="2C1363D3"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106262AF" w14:textId="5959299F"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29709F7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168.78</w:t>
            </w:r>
          </w:p>
        </w:tc>
        <w:tc>
          <w:tcPr>
            <w:tcW w:w="0" w:type="auto"/>
            <w:noWrap/>
            <w:vAlign w:val="center"/>
            <w:hideMark/>
          </w:tcPr>
          <w:p w14:paraId="60A2E53C" w14:textId="671CE38C"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r>
      <w:tr w:rsidR="008E0E4E" w:rsidRPr="009C1935" w14:paraId="60756101" w14:textId="77777777" w:rsidTr="00B66CFB">
        <w:trPr>
          <w:trHeight w:val="288"/>
          <w:jc w:val="center"/>
        </w:trPr>
        <w:tc>
          <w:tcPr>
            <w:tcW w:w="3922" w:type="dxa"/>
            <w:vAlign w:val="center"/>
            <w:hideMark/>
          </w:tcPr>
          <w:p w14:paraId="2DC728F5"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Share application money received</w:t>
            </w:r>
          </w:p>
        </w:tc>
        <w:tc>
          <w:tcPr>
            <w:tcW w:w="1067" w:type="dxa"/>
            <w:noWrap/>
            <w:vAlign w:val="center"/>
            <w:hideMark/>
          </w:tcPr>
          <w:p w14:paraId="4C7B0D9A" w14:textId="244E2B42"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1035" w:type="dxa"/>
            <w:noWrap/>
            <w:vAlign w:val="center"/>
            <w:hideMark/>
          </w:tcPr>
          <w:p w14:paraId="27C5BB8B" w14:textId="1CCCC46C"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67B87ADE" w14:textId="454CE309"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2B4E7968" w14:textId="17222A6E"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7C944DB0" w14:textId="3DED9CDA"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300</w:t>
            </w:r>
            <w:r w:rsidR="00380CC0" w:rsidRPr="009C1935">
              <w:rPr>
                <w:rFonts w:ascii="Arial" w:hAnsi="Arial" w:cs="Arial"/>
                <w:sz w:val="19"/>
                <w:szCs w:val="19"/>
                <w:lang w:val="en-GB"/>
              </w:rPr>
              <w:t>.00</w:t>
            </w:r>
          </w:p>
        </w:tc>
      </w:tr>
      <w:tr w:rsidR="00397034" w:rsidRPr="009C1935" w14:paraId="1980864A" w14:textId="77777777" w:rsidTr="004668C4">
        <w:trPr>
          <w:trHeight w:val="288"/>
          <w:jc w:val="center"/>
        </w:trPr>
        <w:tc>
          <w:tcPr>
            <w:tcW w:w="3922" w:type="dxa"/>
            <w:vAlign w:val="center"/>
            <w:hideMark/>
          </w:tcPr>
          <w:p w14:paraId="12175E2D"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Unsecured loan given to related parties</w:t>
            </w:r>
          </w:p>
        </w:tc>
        <w:tc>
          <w:tcPr>
            <w:tcW w:w="1067" w:type="dxa"/>
            <w:noWrap/>
            <w:hideMark/>
          </w:tcPr>
          <w:p w14:paraId="25848CA9" w14:textId="02D8ECC7"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1035" w:type="dxa"/>
            <w:noWrap/>
            <w:hideMark/>
          </w:tcPr>
          <w:p w14:paraId="6914FE97" w14:textId="3D1C3471"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0" w:type="auto"/>
            <w:noWrap/>
            <w:hideMark/>
          </w:tcPr>
          <w:p w14:paraId="6577E6D5" w14:textId="7C27E241"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0" w:type="auto"/>
            <w:noWrap/>
            <w:hideMark/>
          </w:tcPr>
          <w:p w14:paraId="43DF5C82" w14:textId="5AD89F01"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0" w:type="auto"/>
            <w:noWrap/>
            <w:vAlign w:val="center"/>
            <w:hideMark/>
          </w:tcPr>
          <w:p w14:paraId="6AECCCFA" w14:textId="77777777"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−224.24</w:t>
            </w:r>
          </w:p>
        </w:tc>
      </w:tr>
      <w:tr w:rsidR="00397034" w:rsidRPr="009C1935" w14:paraId="1713D5E9" w14:textId="77777777" w:rsidTr="004668C4">
        <w:trPr>
          <w:trHeight w:val="288"/>
          <w:jc w:val="center"/>
        </w:trPr>
        <w:tc>
          <w:tcPr>
            <w:tcW w:w="3922" w:type="dxa"/>
            <w:vAlign w:val="center"/>
            <w:hideMark/>
          </w:tcPr>
          <w:p w14:paraId="72AC74E9"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Repayment of loan by related party</w:t>
            </w:r>
          </w:p>
        </w:tc>
        <w:tc>
          <w:tcPr>
            <w:tcW w:w="1067" w:type="dxa"/>
            <w:noWrap/>
            <w:hideMark/>
          </w:tcPr>
          <w:p w14:paraId="5D0DF90B" w14:textId="57002F1C"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1035" w:type="dxa"/>
            <w:noWrap/>
            <w:hideMark/>
          </w:tcPr>
          <w:p w14:paraId="7C17F222" w14:textId="7E14B9C6"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0" w:type="auto"/>
            <w:noWrap/>
            <w:hideMark/>
          </w:tcPr>
          <w:p w14:paraId="3DB10C12" w14:textId="211FC516"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0" w:type="auto"/>
            <w:noWrap/>
            <w:hideMark/>
          </w:tcPr>
          <w:p w14:paraId="4C28E2FC" w14:textId="4358C42D" w:rsidR="00397034" w:rsidRPr="009C1935" w:rsidRDefault="00397034" w:rsidP="00FF2DC2">
            <w:pPr>
              <w:jc w:val="right"/>
              <w:rPr>
                <w:rFonts w:ascii="Arial" w:hAnsi="Arial" w:cs="Arial"/>
                <w:sz w:val="19"/>
                <w:szCs w:val="19"/>
                <w:lang w:val="en-GB"/>
              </w:rPr>
            </w:pPr>
            <w:r w:rsidRPr="00D306BD">
              <w:rPr>
                <w:rFonts w:ascii="Arial" w:hAnsi="Arial" w:cs="Arial"/>
                <w:sz w:val="19"/>
                <w:szCs w:val="19"/>
                <w:lang w:val="en-GB"/>
              </w:rPr>
              <w:t>–</w:t>
            </w:r>
          </w:p>
        </w:tc>
        <w:tc>
          <w:tcPr>
            <w:tcW w:w="0" w:type="auto"/>
            <w:noWrap/>
            <w:vAlign w:val="center"/>
            <w:hideMark/>
          </w:tcPr>
          <w:p w14:paraId="5798AC38" w14:textId="77777777"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85.68</w:t>
            </w:r>
          </w:p>
        </w:tc>
      </w:tr>
      <w:tr w:rsidR="008E0E4E" w:rsidRPr="009C1935" w14:paraId="76CBB92D" w14:textId="77777777" w:rsidTr="00B66CFB">
        <w:trPr>
          <w:trHeight w:val="288"/>
          <w:jc w:val="center"/>
        </w:trPr>
        <w:tc>
          <w:tcPr>
            <w:tcW w:w="3922" w:type="dxa"/>
            <w:vAlign w:val="center"/>
            <w:hideMark/>
          </w:tcPr>
          <w:p w14:paraId="6F01FEE5"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Interest received on bank deposits and others</w:t>
            </w:r>
          </w:p>
        </w:tc>
        <w:tc>
          <w:tcPr>
            <w:tcW w:w="1067" w:type="dxa"/>
            <w:noWrap/>
            <w:vAlign w:val="center"/>
            <w:hideMark/>
          </w:tcPr>
          <w:p w14:paraId="3A9C7A52" w14:textId="33529EDC"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7.7</w:t>
            </w:r>
            <w:r w:rsidR="00380CC0" w:rsidRPr="009C1935">
              <w:rPr>
                <w:rFonts w:ascii="Arial" w:hAnsi="Arial" w:cs="Arial"/>
                <w:sz w:val="19"/>
                <w:szCs w:val="19"/>
                <w:lang w:val="en-GB"/>
              </w:rPr>
              <w:t>0</w:t>
            </w:r>
          </w:p>
        </w:tc>
        <w:tc>
          <w:tcPr>
            <w:tcW w:w="1035" w:type="dxa"/>
            <w:noWrap/>
            <w:vAlign w:val="center"/>
            <w:hideMark/>
          </w:tcPr>
          <w:p w14:paraId="200D819E"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3.37</w:t>
            </w:r>
          </w:p>
        </w:tc>
        <w:tc>
          <w:tcPr>
            <w:tcW w:w="0" w:type="auto"/>
            <w:noWrap/>
            <w:vAlign w:val="center"/>
            <w:hideMark/>
          </w:tcPr>
          <w:p w14:paraId="41325E78"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2.76</w:t>
            </w:r>
          </w:p>
        </w:tc>
        <w:tc>
          <w:tcPr>
            <w:tcW w:w="0" w:type="auto"/>
            <w:noWrap/>
            <w:vAlign w:val="center"/>
            <w:hideMark/>
          </w:tcPr>
          <w:p w14:paraId="445EF3C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4.74</w:t>
            </w:r>
          </w:p>
        </w:tc>
        <w:tc>
          <w:tcPr>
            <w:tcW w:w="0" w:type="auto"/>
            <w:noWrap/>
            <w:vAlign w:val="center"/>
            <w:hideMark/>
          </w:tcPr>
          <w:p w14:paraId="09BB7031"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18.43</w:t>
            </w:r>
          </w:p>
        </w:tc>
      </w:tr>
      <w:tr w:rsidR="008E0E4E" w:rsidRPr="009C1935" w14:paraId="0F4A9642" w14:textId="77777777" w:rsidTr="00B66CFB">
        <w:trPr>
          <w:trHeight w:val="288"/>
          <w:jc w:val="center"/>
        </w:trPr>
        <w:tc>
          <w:tcPr>
            <w:tcW w:w="3922" w:type="dxa"/>
            <w:vAlign w:val="center"/>
            <w:hideMark/>
          </w:tcPr>
          <w:p w14:paraId="008BE817"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Net cash (used in) investing activities (B)</w:t>
            </w:r>
          </w:p>
        </w:tc>
        <w:tc>
          <w:tcPr>
            <w:tcW w:w="1067" w:type="dxa"/>
            <w:noWrap/>
            <w:vAlign w:val="center"/>
            <w:hideMark/>
          </w:tcPr>
          <w:p w14:paraId="12536DD6"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1</w:t>
            </w:r>
            <w:r w:rsidR="00185133" w:rsidRPr="009C1935">
              <w:rPr>
                <w:rFonts w:ascii="Arial" w:hAnsi="Arial" w:cs="Arial"/>
                <w:b/>
                <w:bCs/>
                <w:sz w:val="19"/>
                <w:szCs w:val="19"/>
                <w:lang w:val="en-GB"/>
              </w:rPr>
              <w:t>,</w:t>
            </w:r>
            <w:r w:rsidR="008E0E4E" w:rsidRPr="009C1935">
              <w:rPr>
                <w:rFonts w:ascii="Arial" w:hAnsi="Arial" w:cs="Arial"/>
                <w:b/>
                <w:bCs/>
                <w:sz w:val="19"/>
                <w:szCs w:val="19"/>
                <w:lang w:val="en-GB"/>
              </w:rPr>
              <w:t>002.43</w:t>
            </w:r>
          </w:p>
        </w:tc>
        <w:tc>
          <w:tcPr>
            <w:tcW w:w="1035" w:type="dxa"/>
            <w:noWrap/>
            <w:vAlign w:val="center"/>
            <w:hideMark/>
          </w:tcPr>
          <w:p w14:paraId="25A9560E"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840.22</w:t>
            </w:r>
          </w:p>
        </w:tc>
        <w:tc>
          <w:tcPr>
            <w:tcW w:w="0" w:type="auto"/>
            <w:noWrap/>
            <w:vAlign w:val="center"/>
            <w:hideMark/>
          </w:tcPr>
          <w:p w14:paraId="6C57159C"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1</w:t>
            </w:r>
            <w:r w:rsidR="00185133" w:rsidRPr="009C1935">
              <w:rPr>
                <w:rFonts w:ascii="Arial" w:hAnsi="Arial" w:cs="Arial"/>
                <w:b/>
                <w:bCs/>
                <w:sz w:val="19"/>
                <w:szCs w:val="19"/>
                <w:lang w:val="en-GB"/>
              </w:rPr>
              <w:t>,</w:t>
            </w:r>
            <w:r w:rsidR="008E0E4E" w:rsidRPr="009C1935">
              <w:rPr>
                <w:rFonts w:ascii="Arial" w:hAnsi="Arial" w:cs="Arial"/>
                <w:b/>
                <w:bCs/>
                <w:sz w:val="19"/>
                <w:szCs w:val="19"/>
                <w:lang w:val="en-GB"/>
              </w:rPr>
              <w:t>223.67</w:t>
            </w:r>
          </w:p>
        </w:tc>
        <w:tc>
          <w:tcPr>
            <w:tcW w:w="0" w:type="auto"/>
            <w:noWrap/>
            <w:vAlign w:val="center"/>
            <w:hideMark/>
          </w:tcPr>
          <w:p w14:paraId="63E504E8"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1</w:t>
            </w:r>
            <w:r w:rsidR="00185133" w:rsidRPr="009C1935">
              <w:rPr>
                <w:rFonts w:ascii="Arial" w:hAnsi="Arial" w:cs="Arial"/>
                <w:b/>
                <w:bCs/>
                <w:sz w:val="19"/>
                <w:szCs w:val="19"/>
                <w:lang w:val="en-GB"/>
              </w:rPr>
              <w:t>,</w:t>
            </w:r>
            <w:r w:rsidR="008E0E4E" w:rsidRPr="009C1935">
              <w:rPr>
                <w:rFonts w:ascii="Arial" w:hAnsi="Arial" w:cs="Arial"/>
                <w:b/>
                <w:bCs/>
                <w:sz w:val="19"/>
                <w:szCs w:val="19"/>
                <w:lang w:val="en-GB"/>
              </w:rPr>
              <w:t>725.93</w:t>
            </w:r>
          </w:p>
        </w:tc>
        <w:tc>
          <w:tcPr>
            <w:tcW w:w="0" w:type="auto"/>
            <w:noWrap/>
            <w:vAlign w:val="center"/>
            <w:hideMark/>
          </w:tcPr>
          <w:p w14:paraId="63FA2AD8"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1</w:t>
            </w:r>
            <w:r w:rsidR="00185133" w:rsidRPr="009C1935">
              <w:rPr>
                <w:rFonts w:ascii="Arial" w:hAnsi="Arial" w:cs="Arial"/>
                <w:b/>
                <w:bCs/>
                <w:sz w:val="19"/>
                <w:szCs w:val="19"/>
                <w:lang w:val="en-GB"/>
              </w:rPr>
              <w:t>,</w:t>
            </w:r>
            <w:r w:rsidR="008E0E4E" w:rsidRPr="009C1935">
              <w:rPr>
                <w:rFonts w:ascii="Arial" w:hAnsi="Arial" w:cs="Arial"/>
                <w:b/>
                <w:bCs/>
                <w:sz w:val="19"/>
                <w:szCs w:val="19"/>
                <w:lang w:val="en-GB"/>
              </w:rPr>
              <w:t>922.63</w:t>
            </w:r>
          </w:p>
        </w:tc>
      </w:tr>
      <w:tr w:rsidR="008E0E4E" w:rsidRPr="008F1D1E" w14:paraId="43218B34" w14:textId="77777777" w:rsidTr="008F1D1E">
        <w:trPr>
          <w:trHeight w:val="144"/>
          <w:jc w:val="center"/>
        </w:trPr>
        <w:tc>
          <w:tcPr>
            <w:tcW w:w="3922" w:type="dxa"/>
            <w:vAlign w:val="center"/>
            <w:hideMark/>
          </w:tcPr>
          <w:p w14:paraId="3B732A22" w14:textId="77777777" w:rsidR="008E0E4E" w:rsidRPr="008F1D1E" w:rsidRDefault="008E0E4E" w:rsidP="00FF2DC2">
            <w:pPr>
              <w:rPr>
                <w:rFonts w:ascii="Arial" w:hAnsi="Arial" w:cs="Arial"/>
                <w:sz w:val="12"/>
                <w:szCs w:val="12"/>
                <w:lang w:val="en-GB"/>
              </w:rPr>
            </w:pPr>
          </w:p>
        </w:tc>
        <w:tc>
          <w:tcPr>
            <w:tcW w:w="1067" w:type="dxa"/>
            <w:noWrap/>
            <w:vAlign w:val="center"/>
            <w:hideMark/>
          </w:tcPr>
          <w:p w14:paraId="4C24311E" w14:textId="77777777" w:rsidR="008E0E4E" w:rsidRPr="008F1D1E" w:rsidRDefault="008E0E4E" w:rsidP="00FF2DC2">
            <w:pPr>
              <w:jc w:val="right"/>
              <w:rPr>
                <w:rFonts w:ascii="Arial" w:hAnsi="Arial" w:cs="Arial"/>
                <w:sz w:val="12"/>
                <w:szCs w:val="12"/>
                <w:lang w:val="en-GB"/>
              </w:rPr>
            </w:pPr>
          </w:p>
        </w:tc>
        <w:tc>
          <w:tcPr>
            <w:tcW w:w="1035" w:type="dxa"/>
            <w:noWrap/>
            <w:vAlign w:val="center"/>
            <w:hideMark/>
          </w:tcPr>
          <w:p w14:paraId="237D32C7" w14:textId="77777777" w:rsidR="008E0E4E" w:rsidRPr="008F1D1E" w:rsidRDefault="008E0E4E" w:rsidP="00FF2DC2">
            <w:pPr>
              <w:jc w:val="right"/>
              <w:rPr>
                <w:rFonts w:ascii="Arial" w:hAnsi="Arial" w:cs="Arial"/>
                <w:sz w:val="12"/>
                <w:szCs w:val="12"/>
                <w:lang w:val="en-GB"/>
              </w:rPr>
            </w:pPr>
          </w:p>
        </w:tc>
        <w:tc>
          <w:tcPr>
            <w:tcW w:w="0" w:type="auto"/>
            <w:noWrap/>
            <w:vAlign w:val="center"/>
            <w:hideMark/>
          </w:tcPr>
          <w:p w14:paraId="1511BED5" w14:textId="77777777" w:rsidR="008E0E4E" w:rsidRPr="008F1D1E" w:rsidRDefault="008E0E4E" w:rsidP="00FF2DC2">
            <w:pPr>
              <w:jc w:val="right"/>
              <w:rPr>
                <w:rFonts w:ascii="Arial" w:hAnsi="Arial" w:cs="Arial"/>
                <w:sz w:val="12"/>
                <w:szCs w:val="12"/>
                <w:lang w:val="en-GB"/>
              </w:rPr>
            </w:pPr>
          </w:p>
        </w:tc>
        <w:tc>
          <w:tcPr>
            <w:tcW w:w="0" w:type="auto"/>
            <w:noWrap/>
            <w:vAlign w:val="center"/>
            <w:hideMark/>
          </w:tcPr>
          <w:p w14:paraId="64D2B03E" w14:textId="77777777" w:rsidR="008E0E4E" w:rsidRPr="008F1D1E" w:rsidRDefault="008E0E4E" w:rsidP="00FF2DC2">
            <w:pPr>
              <w:jc w:val="right"/>
              <w:rPr>
                <w:rFonts w:ascii="Arial" w:hAnsi="Arial" w:cs="Arial"/>
                <w:sz w:val="12"/>
                <w:szCs w:val="12"/>
                <w:lang w:val="en-GB"/>
              </w:rPr>
            </w:pPr>
          </w:p>
        </w:tc>
        <w:tc>
          <w:tcPr>
            <w:tcW w:w="0" w:type="auto"/>
            <w:noWrap/>
            <w:vAlign w:val="center"/>
            <w:hideMark/>
          </w:tcPr>
          <w:p w14:paraId="01C02394" w14:textId="77777777" w:rsidR="008E0E4E" w:rsidRPr="008F1D1E" w:rsidRDefault="008E0E4E" w:rsidP="00FF2DC2">
            <w:pPr>
              <w:jc w:val="right"/>
              <w:rPr>
                <w:rFonts w:ascii="Arial" w:hAnsi="Arial" w:cs="Arial"/>
                <w:sz w:val="12"/>
                <w:szCs w:val="12"/>
                <w:lang w:val="en-GB"/>
              </w:rPr>
            </w:pPr>
          </w:p>
        </w:tc>
      </w:tr>
      <w:tr w:rsidR="008E0E4E" w:rsidRPr="009C1935" w14:paraId="21E92EE4" w14:textId="77777777" w:rsidTr="00B66CFB">
        <w:trPr>
          <w:trHeight w:val="288"/>
          <w:jc w:val="center"/>
        </w:trPr>
        <w:tc>
          <w:tcPr>
            <w:tcW w:w="3922" w:type="dxa"/>
            <w:vAlign w:val="center"/>
            <w:hideMark/>
          </w:tcPr>
          <w:p w14:paraId="78E62AB2"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Cash flow from financing activities</w:t>
            </w:r>
          </w:p>
        </w:tc>
        <w:tc>
          <w:tcPr>
            <w:tcW w:w="1067" w:type="dxa"/>
            <w:noWrap/>
            <w:vAlign w:val="center"/>
            <w:hideMark/>
          </w:tcPr>
          <w:p w14:paraId="3100F995" w14:textId="77777777" w:rsidR="008E0E4E" w:rsidRPr="009C1935" w:rsidRDefault="008E0E4E" w:rsidP="00FF2DC2">
            <w:pPr>
              <w:jc w:val="right"/>
              <w:rPr>
                <w:rFonts w:ascii="Arial" w:hAnsi="Arial" w:cs="Arial"/>
                <w:sz w:val="19"/>
                <w:szCs w:val="19"/>
                <w:lang w:val="en-GB"/>
              </w:rPr>
            </w:pPr>
          </w:p>
        </w:tc>
        <w:tc>
          <w:tcPr>
            <w:tcW w:w="1035" w:type="dxa"/>
            <w:noWrap/>
            <w:vAlign w:val="center"/>
            <w:hideMark/>
          </w:tcPr>
          <w:p w14:paraId="0D7399FB"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26E6E549"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02F6F6B8" w14:textId="77777777" w:rsidR="008E0E4E" w:rsidRPr="009C1935" w:rsidRDefault="008E0E4E" w:rsidP="00FF2DC2">
            <w:pPr>
              <w:jc w:val="right"/>
              <w:rPr>
                <w:rFonts w:ascii="Arial" w:hAnsi="Arial" w:cs="Arial"/>
                <w:sz w:val="19"/>
                <w:szCs w:val="19"/>
                <w:lang w:val="en-GB"/>
              </w:rPr>
            </w:pPr>
          </w:p>
        </w:tc>
        <w:tc>
          <w:tcPr>
            <w:tcW w:w="0" w:type="auto"/>
            <w:noWrap/>
            <w:vAlign w:val="center"/>
            <w:hideMark/>
          </w:tcPr>
          <w:p w14:paraId="5763921C" w14:textId="77777777" w:rsidR="008E0E4E" w:rsidRPr="009C1935" w:rsidRDefault="008E0E4E" w:rsidP="00FF2DC2">
            <w:pPr>
              <w:jc w:val="right"/>
              <w:rPr>
                <w:rFonts w:ascii="Arial" w:hAnsi="Arial" w:cs="Arial"/>
                <w:sz w:val="19"/>
                <w:szCs w:val="19"/>
                <w:lang w:val="en-GB"/>
              </w:rPr>
            </w:pPr>
          </w:p>
        </w:tc>
      </w:tr>
      <w:tr w:rsidR="008E0E4E" w:rsidRPr="009C1935" w14:paraId="7E909A89" w14:textId="77777777" w:rsidTr="00B66CFB">
        <w:trPr>
          <w:trHeight w:val="288"/>
          <w:jc w:val="center"/>
        </w:trPr>
        <w:tc>
          <w:tcPr>
            <w:tcW w:w="3922" w:type="dxa"/>
            <w:vAlign w:val="center"/>
            <w:hideMark/>
          </w:tcPr>
          <w:p w14:paraId="09B8AED5"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Proceeds from long-term borrowings</w:t>
            </w:r>
          </w:p>
        </w:tc>
        <w:tc>
          <w:tcPr>
            <w:tcW w:w="1067" w:type="dxa"/>
            <w:noWrap/>
            <w:vAlign w:val="center"/>
            <w:hideMark/>
          </w:tcPr>
          <w:p w14:paraId="0D17D83B"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614.07</w:t>
            </w:r>
          </w:p>
        </w:tc>
        <w:tc>
          <w:tcPr>
            <w:tcW w:w="1035" w:type="dxa"/>
            <w:noWrap/>
            <w:vAlign w:val="center"/>
            <w:hideMark/>
          </w:tcPr>
          <w:p w14:paraId="66CF0169"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468.02</w:t>
            </w:r>
          </w:p>
        </w:tc>
        <w:tc>
          <w:tcPr>
            <w:tcW w:w="0" w:type="auto"/>
            <w:noWrap/>
            <w:vAlign w:val="center"/>
            <w:hideMark/>
          </w:tcPr>
          <w:p w14:paraId="2E75F8E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932.27</w:t>
            </w:r>
          </w:p>
        </w:tc>
        <w:tc>
          <w:tcPr>
            <w:tcW w:w="0" w:type="auto"/>
            <w:noWrap/>
            <w:vAlign w:val="center"/>
            <w:hideMark/>
          </w:tcPr>
          <w:p w14:paraId="7EDA9500"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502.38</w:t>
            </w:r>
          </w:p>
        </w:tc>
        <w:tc>
          <w:tcPr>
            <w:tcW w:w="0" w:type="auto"/>
            <w:noWrap/>
            <w:vAlign w:val="center"/>
            <w:hideMark/>
          </w:tcPr>
          <w:p w14:paraId="22930E19" w14:textId="7D3D90EC"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985.8</w:t>
            </w:r>
            <w:r w:rsidR="00380CC0" w:rsidRPr="009C1935">
              <w:rPr>
                <w:rFonts w:ascii="Arial" w:hAnsi="Arial" w:cs="Arial"/>
                <w:sz w:val="19"/>
                <w:szCs w:val="19"/>
                <w:lang w:val="en-GB"/>
              </w:rPr>
              <w:t>0</w:t>
            </w:r>
          </w:p>
        </w:tc>
      </w:tr>
      <w:tr w:rsidR="008E0E4E" w:rsidRPr="009C1935" w14:paraId="7A8C85A3" w14:textId="77777777" w:rsidTr="00B66CFB">
        <w:trPr>
          <w:trHeight w:val="288"/>
          <w:jc w:val="center"/>
        </w:trPr>
        <w:tc>
          <w:tcPr>
            <w:tcW w:w="3922" w:type="dxa"/>
            <w:vAlign w:val="center"/>
            <w:hideMark/>
          </w:tcPr>
          <w:p w14:paraId="0C858896"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Proceeds from short-term borrowings</w:t>
            </w:r>
          </w:p>
        </w:tc>
        <w:tc>
          <w:tcPr>
            <w:tcW w:w="1067" w:type="dxa"/>
            <w:noWrap/>
            <w:vAlign w:val="center"/>
            <w:hideMark/>
          </w:tcPr>
          <w:p w14:paraId="79D59E0F" w14:textId="00029549"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1035" w:type="dxa"/>
            <w:noWrap/>
            <w:vAlign w:val="center"/>
            <w:hideMark/>
          </w:tcPr>
          <w:p w14:paraId="131D8ECD" w14:textId="090087F4"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6FFC10EE" w14:textId="72049058"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225</w:t>
            </w:r>
            <w:r w:rsidR="00380CC0" w:rsidRPr="009C1935">
              <w:rPr>
                <w:rFonts w:ascii="Arial" w:hAnsi="Arial" w:cs="Arial"/>
                <w:sz w:val="19"/>
                <w:szCs w:val="19"/>
                <w:lang w:val="en-GB"/>
              </w:rPr>
              <w:t>.00</w:t>
            </w:r>
          </w:p>
        </w:tc>
        <w:tc>
          <w:tcPr>
            <w:tcW w:w="0" w:type="auto"/>
            <w:noWrap/>
            <w:vAlign w:val="center"/>
            <w:hideMark/>
          </w:tcPr>
          <w:p w14:paraId="34227F16" w14:textId="7A3B0288" w:rsidR="008E0E4E" w:rsidRPr="009C1935" w:rsidRDefault="00397034" w:rsidP="00FF2DC2">
            <w:pPr>
              <w:jc w:val="right"/>
              <w:rPr>
                <w:rFonts w:ascii="Arial" w:hAnsi="Arial" w:cs="Arial"/>
                <w:sz w:val="19"/>
                <w:szCs w:val="19"/>
                <w:lang w:val="en-GB"/>
              </w:rPr>
            </w:pPr>
            <w:r>
              <w:rPr>
                <w:rFonts w:ascii="Arial" w:hAnsi="Arial" w:cs="Arial"/>
                <w:sz w:val="19"/>
                <w:szCs w:val="19"/>
                <w:lang w:val="en-GB"/>
              </w:rPr>
              <w:t>–</w:t>
            </w:r>
          </w:p>
        </w:tc>
        <w:tc>
          <w:tcPr>
            <w:tcW w:w="0" w:type="auto"/>
            <w:noWrap/>
            <w:vAlign w:val="center"/>
            <w:hideMark/>
          </w:tcPr>
          <w:p w14:paraId="2A7235F3" w14:textId="74305519"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300</w:t>
            </w:r>
            <w:r w:rsidR="00380CC0" w:rsidRPr="009C1935">
              <w:rPr>
                <w:rFonts w:ascii="Arial" w:hAnsi="Arial" w:cs="Arial"/>
                <w:sz w:val="19"/>
                <w:szCs w:val="19"/>
                <w:lang w:val="en-GB"/>
              </w:rPr>
              <w:t>.00</w:t>
            </w:r>
          </w:p>
        </w:tc>
      </w:tr>
      <w:tr w:rsidR="008E0E4E" w:rsidRPr="009C1935" w14:paraId="7E002F9A" w14:textId="77777777" w:rsidTr="00B66CFB">
        <w:trPr>
          <w:trHeight w:val="288"/>
          <w:jc w:val="center"/>
        </w:trPr>
        <w:tc>
          <w:tcPr>
            <w:tcW w:w="3922" w:type="dxa"/>
            <w:vAlign w:val="center"/>
            <w:hideMark/>
          </w:tcPr>
          <w:p w14:paraId="7BEFC0A9"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Repayment of long-term borrowings</w:t>
            </w:r>
          </w:p>
        </w:tc>
        <w:tc>
          <w:tcPr>
            <w:tcW w:w="1067" w:type="dxa"/>
            <w:noWrap/>
            <w:vAlign w:val="center"/>
            <w:hideMark/>
          </w:tcPr>
          <w:p w14:paraId="37BF1CBD" w14:textId="20F6B38B"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81</w:t>
            </w:r>
            <w:r w:rsidR="00380CC0" w:rsidRPr="009C1935">
              <w:rPr>
                <w:rFonts w:ascii="Arial" w:hAnsi="Arial" w:cs="Arial"/>
                <w:sz w:val="19"/>
                <w:szCs w:val="19"/>
                <w:lang w:val="en-GB"/>
              </w:rPr>
              <w:t>.00</w:t>
            </w:r>
          </w:p>
        </w:tc>
        <w:tc>
          <w:tcPr>
            <w:tcW w:w="1035" w:type="dxa"/>
            <w:noWrap/>
            <w:vAlign w:val="center"/>
            <w:hideMark/>
          </w:tcPr>
          <w:p w14:paraId="39BE568D"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125.02</w:t>
            </w:r>
          </w:p>
        </w:tc>
        <w:tc>
          <w:tcPr>
            <w:tcW w:w="0" w:type="auto"/>
            <w:noWrap/>
            <w:vAlign w:val="center"/>
            <w:hideMark/>
          </w:tcPr>
          <w:p w14:paraId="560B3B89"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202.61</w:t>
            </w:r>
          </w:p>
        </w:tc>
        <w:tc>
          <w:tcPr>
            <w:tcW w:w="0" w:type="auto"/>
            <w:noWrap/>
            <w:vAlign w:val="center"/>
            <w:hideMark/>
          </w:tcPr>
          <w:p w14:paraId="07F7C838"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418.59</w:t>
            </w:r>
          </w:p>
        </w:tc>
        <w:tc>
          <w:tcPr>
            <w:tcW w:w="0" w:type="auto"/>
            <w:noWrap/>
            <w:vAlign w:val="center"/>
            <w:hideMark/>
          </w:tcPr>
          <w:p w14:paraId="47C8D0D4"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2,744.06</w:t>
            </w:r>
          </w:p>
        </w:tc>
      </w:tr>
      <w:tr w:rsidR="00397034" w:rsidRPr="009C1935" w14:paraId="2265660D" w14:textId="77777777" w:rsidTr="00397034">
        <w:trPr>
          <w:trHeight w:val="288"/>
          <w:jc w:val="center"/>
        </w:trPr>
        <w:tc>
          <w:tcPr>
            <w:tcW w:w="3922" w:type="dxa"/>
            <w:vAlign w:val="center"/>
            <w:hideMark/>
          </w:tcPr>
          <w:p w14:paraId="682F17EF"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Repayment of short-term borrowings</w:t>
            </w:r>
          </w:p>
        </w:tc>
        <w:tc>
          <w:tcPr>
            <w:tcW w:w="1067" w:type="dxa"/>
            <w:noWrap/>
            <w:vAlign w:val="center"/>
            <w:hideMark/>
          </w:tcPr>
          <w:p w14:paraId="71B628BA" w14:textId="25E9591D" w:rsidR="00397034" w:rsidRPr="009C1935" w:rsidRDefault="00397034" w:rsidP="00397034">
            <w:pPr>
              <w:jc w:val="right"/>
              <w:rPr>
                <w:rFonts w:ascii="Arial" w:hAnsi="Arial" w:cs="Arial"/>
                <w:sz w:val="19"/>
                <w:szCs w:val="19"/>
                <w:lang w:val="en-GB"/>
              </w:rPr>
            </w:pPr>
            <w:r w:rsidRPr="00360F5B">
              <w:rPr>
                <w:rFonts w:ascii="Arial" w:hAnsi="Arial" w:cs="Arial"/>
                <w:sz w:val="19"/>
                <w:szCs w:val="19"/>
                <w:lang w:val="en-GB"/>
              </w:rPr>
              <w:t>–</w:t>
            </w:r>
          </w:p>
        </w:tc>
        <w:tc>
          <w:tcPr>
            <w:tcW w:w="1035" w:type="dxa"/>
            <w:noWrap/>
            <w:vAlign w:val="center"/>
            <w:hideMark/>
          </w:tcPr>
          <w:p w14:paraId="74455FE7" w14:textId="6F78C221" w:rsidR="00397034" w:rsidRPr="009C1935" w:rsidRDefault="00397034" w:rsidP="00397034">
            <w:pPr>
              <w:jc w:val="right"/>
              <w:rPr>
                <w:rFonts w:ascii="Arial" w:hAnsi="Arial" w:cs="Arial"/>
                <w:sz w:val="19"/>
                <w:szCs w:val="19"/>
                <w:lang w:val="en-GB"/>
              </w:rPr>
            </w:pPr>
            <w:r w:rsidRPr="00360F5B">
              <w:rPr>
                <w:rFonts w:ascii="Arial" w:hAnsi="Arial" w:cs="Arial"/>
                <w:sz w:val="19"/>
                <w:szCs w:val="19"/>
                <w:lang w:val="en-GB"/>
              </w:rPr>
              <w:t>–</w:t>
            </w:r>
          </w:p>
        </w:tc>
        <w:tc>
          <w:tcPr>
            <w:tcW w:w="0" w:type="auto"/>
            <w:noWrap/>
            <w:vAlign w:val="center"/>
            <w:hideMark/>
          </w:tcPr>
          <w:p w14:paraId="247D1655" w14:textId="06589C80" w:rsidR="00397034" w:rsidRPr="009C1935" w:rsidRDefault="00397034" w:rsidP="00397034">
            <w:pPr>
              <w:jc w:val="right"/>
              <w:rPr>
                <w:rFonts w:ascii="Arial" w:hAnsi="Arial" w:cs="Arial"/>
                <w:sz w:val="19"/>
                <w:szCs w:val="19"/>
                <w:lang w:val="en-GB"/>
              </w:rPr>
            </w:pPr>
            <w:r w:rsidRPr="00360F5B">
              <w:rPr>
                <w:rFonts w:ascii="Arial" w:hAnsi="Arial" w:cs="Arial"/>
                <w:sz w:val="19"/>
                <w:szCs w:val="19"/>
                <w:lang w:val="en-GB"/>
              </w:rPr>
              <w:t>–</w:t>
            </w:r>
          </w:p>
        </w:tc>
        <w:tc>
          <w:tcPr>
            <w:tcW w:w="0" w:type="auto"/>
            <w:noWrap/>
            <w:vAlign w:val="center"/>
            <w:hideMark/>
          </w:tcPr>
          <w:p w14:paraId="6DCE86A1" w14:textId="040DC265"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−225.00</w:t>
            </w:r>
          </w:p>
        </w:tc>
        <w:tc>
          <w:tcPr>
            <w:tcW w:w="0" w:type="auto"/>
            <w:noWrap/>
            <w:vAlign w:val="center"/>
            <w:hideMark/>
          </w:tcPr>
          <w:p w14:paraId="270FC0D5" w14:textId="4F867481"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−50.00</w:t>
            </w:r>
          </w:p>
        </w:tc>
      </w:tr>
      <w:tr w:rsidR="008E0E4E" w:rsidRPr="009C1935" w14:paraId="1AE762FE" w14:textId="77777777" w:rsidTr="00B66CFB">
        <w:trPr>
          <w:trHeight w:val="288"/>
          <w:jc w:val="center"/>
        </w:trPr>
        <w:tc>
          <w:tcPr>
            <w:tcW w:w="3922" w:type="dxa"/>
            <w:vAlign w:val="center"/>
            <w:hideMark/>
          </w:tcPr>
          <w:p w14:paraId="2708BCD1"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Change in bank overdrafts</w:t>
            </w:r>
          </w:p>
        </w:tc>
        <w:tc>
          <w:tcPr>
            <w:tcW w:w="1067" w:type="dxa"/>
            <w:noWrap/>
            <w:vAlign w:val="center"/>
            <w:hideMark/>
          </w:tcPr>
          <w:p w14:paraId="15406B54"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0.19</w:t>
            </w:r>
          </w:p>
        </w:tc>
        <w:tc>
          <w:tcPr>
            <w:tcW w:w="1035" w:type="dxa"/>
            <w:noWrap/>
            <w:vAlign w:val="center"/>
            <w:hideMark/>
          </w:tcPr>
          <w:p w14:paraId="63624157"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w:t>
            </w:r>
          </w:p>
        </w:tc>
        <w:tc>
          <w:tcPr>
            <w:tcW w:w="0" w:type="auto"/>
            <w:noWrap/>
            <w:vAlign w:val="center"/>
            <w:hideMark/>
          </w:tcPr>
          <w:p w14:paraId="4B719FEA"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68.22</w:t>
            </w:r>
          </w:p>
        </w:tc>
        <w:tc>
          <w:tcPr>
            <w:tcW w:w="0" w:type="auto"/>
            <w:noWrap/>
            <w:vAlign w:val="center"/>
            <w:hideMark/>
          </w:tcPr>
          <w:p w14:paraId="6110B0C4"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453.95</w:t>
            </w:r>
          </w:p>
        </w:tc>
        <w:tc>
          <w:tcPr>
            <w:tcW w:w="0" w:type="auto"/>
            <w:noWrap/>
            <w:vAlign w:val="center"/>
            <w:hideMark/>
          </w:tcPr>
          <w:p w14:paraId="585A4A76" w14:textId="1E697A53"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171.3</w:t>
            </w:r>
            <w:r w:rsidR="00380CC0" w:rsidRPr="009C1935">
              <w:rPr>
                <w:rFonts w:ascii="Arial" w:hAnsi="Arial" w:cs="Arial"/>
                <w:sz w:val="19"/>
                <w:szCs w:val="19"/>
                <w:lang w:val="en-GB"/>
              </w:rPr>
              <w:t>0</w:t>
            </w:r>
          </w:p>
        </w:tc>
      </w:tr>
      <w:tr w:rsidR="00397034" w:rsidRPr="009C1935" w14:paraId="1D0B362D" w14:textId="77777777" w:rsidTr="00397034">
        <w:trPr>
          <w:trHeight w:val="288"/>
          <w:jc w:val="center"/>
        </w:trPr>
        <w:tc>
          <w:tcPr>
            <w:tcW w:w="3922" w:type="dxa"/>
            <w:vAlign w:val="center"/>
            <w:hideMark/>
          </w:tcPr>
          <w:p w14:paraId="39CD60BF"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Proceeds from issue of debentures</w:t>
            </w:r>
          </w:p>
        </w:tc>
        <w:tc>
          <w:tcPr>
            <w:tcW w:w="1067" w:type="dxa"/>
            <w:noWrap/>
            <w:vAlign w:val="center"/>
            <w:hideMark/>
          </w:tcPr>
          <w:p w14:paraId="17055B40" w14:textId="1383E692"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1035" w:type="dxa"/>
            <w:noWrap/>
            <w:vAlign w:val="center"/>
            <w:hideMark/>
          </w:tcPr>
          <w:p w14:paraId="438A7440" w14:textId="47C59BD0"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319A9876" w14:textId="2CFC3925"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12D7BF36" w14:textId="508DA30C"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79CF3402" w14:textId="77777777"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1,000.00</w:t>
            </w:r>
          </w:p>
        </w:tc>
      </w:tr>
      <w:tr w:rsidR="00397034" w:rsidRPr="009C1935" w14:paraId="22DF7FA2" w14:textId="77777777" w:rsidTr="00397034">
        <w:trPr>
          <w:trHeight w:val="288"/>
          <w:jc w:val="center"/>
        </w:trPr>
        <w:tc>
          <w:tcPr>
            <w:tcW w:w="3922" w:type="dxa"/>
            <w:vAlign w:val="center"/>
            <w:hideMark/>
          </w:tcPr>
          <w:p w14:paraId="522A2327"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Expenses incurred in relation to issue of debentures</w:t>
            </w:r>
          </w:p>
        </w:tc>
        <w:tc>
          <w:tcPr>
            <w:tcW w:w="1067" w:type="dxa"/>
            <w:noWrap/>
            <w:vAlign w:val="center"/>
            <w:hideMark/>
          </w:tcPr>
          <w:p w14:paraId="359381F6" w14:textId="64E6808E"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1035" w:type="dxa"/>
            <w:noWrap/>
            <w:vAlign w:val="center"/>
            <w:hideMark/>
          </w:tcPr>
          <w:p w14:paraId="76ED7854" w14:textId="680E66D3"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0F2E370A" w14:textId="387809A2"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7B022C4F" w14:textId="0AB07287"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1D6ABCF3" w14:textId="77777777"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−16.85</w:t>
            </w:r>
          </w:p>
        </w:tc>
      </w:tr>
      <w:tr w:rsidR="00397034" w:rsidRPr="009C1935" w14:paraId="15E87E28" w14:textId="77777777" w:rsidTr="00397034">
        <w:trPr>
          <w:trHeight w:val="288"/>
          <w:jc w:val="center"/>
        </w:trPr>
        <w:tc>
          <w:tcPr>
            <w:tcW w:w="3922" w:type="dxa"/>
            <w:vAlign w:val="center"/>
            <w:hideMark/>
          </w:tcPr>
          <w:p w14:paraId="73303D05"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Proceeds from issue of equity shares</w:t>
            </w:r>
          </w:p>
        </w:tc>
        <w:tc>
          <w:tcPr>
            <w:tcW w:w="1067" w:type="dxa"/>
            <w:noWrap/>
            <w:vAlign w:val="center"/>
            <w:hideMark/>
          </w:tcPr>
          <w:p w14:paraId="1CA1DA7C" w14:textId="7116B3E6"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1035" w:type="dxa"/>
            <w:noWrap/>
            <w:vAlign w:val="center"/>
            <w:hideMark/>
          </w:tcPr>
          <w:p w14:paraId="08478FA8" w14:textId="0798C011"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3C5ED3E2" w14:textId="26C3A36A"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1CF35341" w14:textId="12C51978"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3DCDA966" w14:textId="77777777"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2,000.06</w:t>
            </w:r>
          </w:p>
        </w:tc>
      </w:tr>
      <w:tr w:rsidR="00397034" w:rsidRPr="009C1935" w14:paraId="57C39814" w14:textId="77777777" w:rsidTr="00397034">
        <w:trPr>
          <w:trHeight w:val="288"/>
          <w:jc w:val="center"/>
        </w:trPr>
        <w:tc>
          <w:tcPr>
            <w:tcW w:w="3922" w:type="dxa"/>
            <w:vAlign w:val="center"/>
            <w:hideMark/>
          </w:tcPr>
          <w:p w14:paraId="133C7EAE"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Expenses incurred in relation to issue of shares</w:t>
            </w:r>
          </w:p>
        </w:tc>
        <w:tc>
          <w:tcPr>
            <w:tcW w:w="1067" w:type="dxa"/>
            <w:noWrap/>
            <w:vAlign w:val="center"/>
            <w:hideMark/>
          </w:tcPr>
          <w:p w14:paraId="12D48AE4" w14:textId="1FF7B6A4"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1035" w:type="dxa"/>
            <w:noWrap/>
            <w:vAlign w:val="center"/>
            <w:hideMark/>
          </w:tcPr>
          <w:p w14:paraId="7EE110B6" w14:textId="2F3CE0E7"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1B4B05B0" w14:textId="30C6D8A6"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2825F63F" w14:textId="6E0DCE0C" w:rsidR="00397034" w:rsidRPr="009C1935" w:rsidRDefault="00397034" w:rsidP="00397034">
            <w:pPr>
              <w:jc w:val="right"/>
              <w:rPr>
                <w:rFonts w:ascii="Arial" w:hAnsi="Arial" w:cs="Arial"/>
                <w:sz w:val="19"/>
                <w:szCs w:val="19"/>
                <w:lang w:val="en-GB"/>
              </w:rPr>
            </w:pPr>
            <w:r w:rsidRPr="00A87FA8">
              <w:rPr>
                <w:rFonts w:ascii="Arial" w:hAnsi="Arial" w:cs="Arial"/>
                <w:sz w:val="19"/>
                <w:szCs w:val="19"/>
                <w:lang w:val="en-GB"/>
              </w:rPr>
              <w:t>–</w:t>
            </w:r>
          </w:p>
        </w:tc>
        <w:tc>
          <w:tcPr>
            <w:tcW w:w="0" w:type="auto"/>
            <w:noWrap/>
            <w:vAlign w:val="center"/>
            <w:hideMark/>
          </w:tcPr>
          <w:p w14:paraId="5364A966" w14:textId="77777777"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−56.18</w:t>
            </w:r>
          </w:p>
        </w:tc>
      </w:tr>
      <w:tr w:rsidR="008E0E4E" w:rsidRPr="009C1935" w14:paraId="1717C1E3" w14:textId="77777777" w:rsidTr="00B66CFB">
        <w:trPr>
          <w:trHeight w:val="288"/>
          <w:jc w:val="center"/>
        </w:trPr>
        <w:tc>
          <w:tcPr>
            <w:tcW w:w="3922" w:type="dxa"/>
            <w:vAlign w:val="center"/>
            <w:hideMark/>
          </w:tcPr>
          <w:p w14:paraId="05AE11EF" w14:textId="77777777" w:rsidR="008E0E4E" w:rsidRPr="009C1935" w:rsidRDefault="008E0E4E" w:rsidP="00FF2DC2">
            <w:pPr>
              <w:rPr>
                <w:rFonts w:ascii="Arial" w:hAnsi="Arial" w:cs="Arial"/>
                <w:sz w:val="19"/>
                <w:szCs w:val="19"/>
                <w:lang w:val="en-GB"/>
              </w:rPr>
            </w:pPr>
            <w:r w:rsidRPr="009C1935">
              <w:rPr>
                <w:rFonts w:ascii="Arial" w:hAnsi="Arial" w:cs="Arial"/>
                <w:sz w:val="19"/>
                <w:szCs w:val="19"/>
                <w:lang w:val="en-GB"/>
              </w:rPr>
              <w:t>Interest and other borrowing costs paid</w:t>
            </w:r>
          </w:p>
        </w:tc>
        <w:tc>
          <w:tcPr>
            <w:tcW w:w="1067" w:type="dxa"/>
            <w:noWrap/>
            <w:vAlign w:val="center"/>
            <w:hideMark/>
          </w:tcPr>
          <w:p w14:paraId="01F2A910" w14:textId="77777777" w:rsidR="008E0E4E" w:rsidRPr="009C1935" w:rsidRDefault="00CA2025"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48.45</w:t>
            </w:r>
          </w:p>
        </w:tc>
        <w:tc>
          <w:tcPr>
            <w:tcW w:w="1035" w:type="dxa"/>
            <w:noWrap/>
            <w:vAlign w:val="center"/>
            <w:hideMark/>
          </w:tcPr>
          <w:p w14:paraId="554C76DF" w14:textId="77777777" w:rsidR="008E0E4E" w:rsidRPr="009C1935" w:rsidRDefault="00CA2025"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84.65</w:t>
            </w:r>
          </w:p>
        </w:tc>
        <w:tc>
          <w:tcPr>
            <w:tcW w:w="0" w:type="auto"/>
            <w:noWrap/>
            <w:vAlign w:val="center"/>
            <w:hideMark/>
          </w:tcPr>
          <w:p w14:paraId="71791B5C" w14:textId="77777777" w:rsidR="008E0E4E" w:rsidRPr="009C1935" w:rsidRDefault="00CA2025"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155.22</w:t>
            </w:r>
          </w:p>
        </w:tc>
        <w:tc>
          <w:tcPr>
            <w:tcW w:w="0" w:type="auto"/>
            <w:noWrap/>
            <w:vAlign w:val="center"/>
            <w:hideMark/>
          </w:tcPr>
          <w:p w14:paraId="4E1B7ACD" w14:textId="1EE75258" w:rsidR="008E0E4E" w:rsidRPr="009C1935" w:rsidRDefault="00CA2025"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264</w:t>
            </w:r>
            <w:r w:rsidR="00380CC0" w:rsidRPr="009C1935">
              <w:rPr>
                <w:rFonts w:ascii="Arial" w:hAnsi="Arial" w:cs="Arial"/>
                <w:sz w:val="19"/>
                <w:szCs w:val="19"/>
                <w:lang w:val="en-GB"/>
              </w:rPr>
              <w:t>.00</w:t>
            </w:r>
          </w:p>
        </w:tc>
        <w:tc>
          <w:tcPr>
            <w:tcW w:w="0" w:type="auto"/>
            <w:noWrap/>
            <w:vAlign w:val="center"/>
            <w:hideMark/>
          </w:tcPr>
          <w:p w14:paraId="0F42F759" w14:textId="77777777" w:rsidR="008E0E4E" w:rsidRPr="009C1935" w:rsidRDefault="009E6E50" w:rsidP="00FF2DC2">
            <w:pPr>
              <w:jc w:val="right"/>
              <w:rPr>
                <w:rFonts w:ascii="Arial" w:hAnsi="Arial" w:cs="Arial"/>
                <w:sz w:val="19"/>
                <w:szCs w:val="19"/>
                <w:lang w:val="en-GB"/>
              </w:rPr>
            </w:pPr>
            <w:r w:rsidRPr="009C1935">
              <w:rPr>
                <w:rFonts w:ascii="Arial" w:hAnsi="Arial" w:cs="Arial"/>
                <w:sz w:val="19"/>
                <w:szCs w:val="19"/>
                <w:lang w:val="en-GB"/>
              </w:rPr>
              <w:t>−</w:t>
            </w:r>
            <w:r w:rsidR="008E0E4E" w:rsidRPr="009C1935">
              <w:rPr>
                <w:rFonts w:ascii="Arial" w:hAnsi="Arial" w:cs="Arial"/>
                <w:sz w:val="19"/>
                <w:szCs w:val="19"/>
                <w:lang w:val="en-GB"/>
              </w:rPr>
              <w:t>316.95</w:t>
            </w:r>
          </w:p>
        </w:tc>
      </w:tr>
      <w:tr w:rsidR="008E0E4E" w:rsidRPr="009C1935" w14:paraId="33BEBB55" w14:textId="77777777" w:rsidTr="00B66CFB">
        <w:trPr>
          <w:trHeight w:val="288"/>
          <w:jc w:val="center"/>
        </w:trPr>
        <w:tc>
          <w:tcPr>
            <w:tcW w:w="3922" w:type="dxa"/>
            <w:vAlign w:val="center"/>
            <w:hideMark/>
          </w:tcPr>
          <w:p w14:paraId="0575EFEB" w14:textId="77777777" w:rsidR="008E0E4E" w:rsidRPr="009C1935" w:rsidRDefault="008E0E4E" w:rsidP="00B66CFB">
            <w:pPr>
              <w:rPr>
                <w:rFonts w:ascii="Arial" w:hAnsi="Arial" w:cs="Arial"/>
                <w:b/>
                <w:bCs/>
                <w:sz w:val="19"/>
                <w:szCs w:val="19"/>
                <w:lang w:val="en-GB"/>
              </w:rPr>
            </w:pPr>
            <w:r w:rsidRPr="009C1935">
              <w:rPr>
                <w:rFonts w:ascii="Arial" w:hAnsi="Arial" w:cs="Arial"/>
                <w:b/>
                <w:bCs/>
                <w:sz w:val="19"/>
                <w:szCs w:val="19"/>
                <w:lang w:val="en-GB"/>
              </w:rPr>
              <w:t>Net cash provided by/(used in) financing activities (C)</w:t>
            </w:r>
          </w:p>
        </w:tc>
        <w:tc>
          <w:tcPr>
            <w:tcW w:w="1067" w:type="dxa"/>
            <w:noWrap/>
            <w:vAlign w:val="center"/>
            <w:hideMark/>
          </w:tcPr>
          <w:p w14:paraId="1881C4AB"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484.81</w:t>
            </w:r>
          </w:p>
        </w:tc>
        <w:tc>
          <w:tcPr>
            <w:tcW w:w="1035" w:type="dxa"/>
            <w:noWrap/>
            <w:vAlign w:val="center"/>
            <w:hideMark/>
          </w:tcPr>
          <w:p w14:paraId="456293BC"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258.35</w:t>
            </w:r>
          </w:p>
        </w:tc>
        <w:tc>
          <w:tcPr>
            <w:tcW w:w="0" w:type="auto"/>
            <w:noWrap/>
            <w:vAlign w:val="center"/>
            <w:hideMark/>
          </w:tcPr>
          <w:p w14:paraId="71CA754D"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867.66</w:t>
            </w:r>
          </w:p>
        </w:tc>
        <w:tc>
          <w:tcPr>
            <w:tcW w:w="0" w:type="auto"/>
            <w:noWrap/>
            <w:vAlign w:val="center"/>
            <w:hideMark/>
          </w:tcPr>
          <w:p w14:paraId="7F02FB49"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48.74</w:t>
            </w:r>
          </w:p>
        </w:tc>
        <w:tc>
          <w:tcPr>
            <w:tcW w:w="0" w:type="auto"/>
            <w:noWrap/>
            <w:vAlign w:val="center"/>
            <w:hideMark/>
          </w:tcPr>
          <w:p w14:paraId="306F2A83"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w:t>
            </w:r>
            <w:r w:rsidR="00185133" w:rsidRPr="009C1935">
              <w:rPr>
                <w:rFonts w:ascii="Arial" w:hAnsi="Arial" w:cs="Arial"/>
                <w:b/>
                <w:bCs/>
                <w:sz w:val="19"/>
                <w:szCs w:val="19"/>
                <w:lang w:val="en-GB"/>
              </w:rPr>
              <w:t>,</w:t>
            </w:r>
            <w:r w:rsidRPr="009C1935">
              <w:rPr>
                <w:rFonts w:ascii="Arial" w:hAnsi="Arial" w:cs="Arial"/>
                <w:b/>
                <w:bCs/>
                <w:sz w:val="19"/>
                <w:szCs w:val="19"/>
                <w:lang w:val="en-GB"/>
              </w:rPr>
              <w:t>273.12</w:t>
            </w:r>
          </w:p>
        </w:tc>
      </w:tr>
      <w:tr w:rsidR="008E0E4E" w:rsidRPr="009C1935" w14:paraId="1453BF96" w14:textId="77777777" w:rsidTr="008F1D1E">
        <w:trPr>
          <w:trHeight w:val="432"/>
          <w:jc w:val="center"/>
        </w:trPr>
        <w:tc>
          <w:tcPr>
            <w:tcW w:w="3922" w:type="dxa"/>
            <w:vAlign w:val="center"/>
            <w:hideMark/>
          </w:tcPr>
          <w:p w14:paraId="37257A41" w14:textId="77777777" w:rsidR="008E0E4E" w:rsidRPr="009C1935" w:rsidRDefault="008E0E4E" w:rsidP="00FF2DC2">
            <w:pPr>
              <w:rPr>
                <w:rFonts w:ascii="Arial" w:hAnsi="Arial" w:cs="Arial"/>
                <w:b/>
                <w:bCs/>
                <w:sz w:val="19"/>
                <w:szCs w:val="19"/>
                <w:lang w:val="en-GB"/>
              </w:rPr>
            </w:pPr>
            <w:r w:rsidRPr="009C1935">
              <w:rPr>
                <w:rFonts w:ascii="Arial" w:hAnsi="Arial" w:cs="Arial"/>
                <w:b/>
                <w:bCs/>
                <w:sz w:val="19"/>
                <w:szCs w:val="19"/>
                <w:lang w:val="en-GB"/>
              </w:rPr>
              <w:t>Net (decrease) / increase in cash and cash equivalents (A</w:t>
            </w:r>
            <w:r w:rsidR="00207F46" w:rsidRPr="009C1935">
              <w:rPr>
                <w:rFonts w:ascii="Arial" w:hAnsi="Arial" w:cs="Arial"/>
                <w:b/>
                <w:bCs/>
                <w:sz w:val="19"/>
                <w:szCs w:val="19"/>
                <w:lang w:val="en-GB"/>
              </w:rPr>
              <w:t xml:space="preserve"> </w:t>
            </w:r>
            <w:r w:rsidRPr="009C1935">
              <w:rPr>
                <w:rFonts w:ascii="Arial" w:hAnsi="Arial" w:cs="Arial"/>
                <w:b/>
                <w:bCs/>
                <w:sz w:val="19"/>
                <w:szCs w:val="19"/>
                <w:lang w:val="en-GB"/>
              </w:rPr>
              <w:t>+</w:t>
            </w:r>
            <w:r w:rsidR="00207F46" w:rsidRPr="009C1935">
              <w:rPr>
                <w:rFonts w:ascii="Arial" w:hAnsi="Arial" w:cs="Arial"/>
                <w:b/>
                <w:bCs/>
                <w:sz w:val="19"/>
                <w:szCs w:val="19"/>
                <w:lang w:val="en-GB"/>
              </w:rPr>
              <w:t xml:space="preserve"> </w:t>
            </w:r>
            <w:r w:rsidRPr="009C1935">
              <w:rPr>
                <w:rFonts w:ascii="Arial" w:hAnsi="Arial" w:cs="Arial"/>
                <w:b/>
                <w:bCs/>
                <w:sz w:val="19"/>
                <w:szCs w:val="19"/>
                <w:lang w:val="en-GB"/>
              </w:rPr>
              <w:t>B</w:t>
            </w:r>
            <w:r w:rsidR="00207F46" w:rsidRPr="009C1935">
              <w:rPr>
                <w:rFonts w:ascii="Arial" w:hAnsi="Arial" w:cs="Arial"/>
                <w:b/>
                <w:bCs/>
                <w:sz w:val="19"/>
                <w:szCs w:val="19"/>
                <w:lang w:val="en-GB"/>
              </w:rPr>
              <w:t xml:space="preserve"> </w:t>
            </w:r>
            <w:r w:rsidRPr="009C1935">
              <w:rPr>
                <w:rFonts w:ascii="Arial" w:hAnsi="Arial" w:cs="Arial"/>
                <w:b/>
                <w:bCs/>
                <w:sz w:val="19"/>
                <w:szCs w:val="19"/>
                <w:lang w:val="en-GB"/>
              </w:rPr>
              <w:t>+</w:t>
            </w:r>
            <w:r w:rsidR="00207F46" w:rsidRPr="009C1935">
              <w:rPr>
                <w:rFonts w:ascii="Arial" w:hAnsi="Arial" w:cs="Arial"/>
                <w:b/>
                <w:bCs/>
                <w:sz w:val="19"/>
                <w:szCs w:val="19"/>
                <w:lang w:val="en-GB"/>
              </w:rPr>
              <w:t xml:space="preserve"> </w:t>
            </w:r>
            <w:r w:rsidRPr="009C1935">
              <w:rPr>
                <w:rFonts w:ascii="Arial" w:hAnsi="Arial" w:cs="Arial"/>
                <w:b/>
                <w:bCs/>
                <w:sz w:val="19"/>
                <w:szCs w:val="19"/>
                <w:lang w:val="en-GB"/>
              </w:rPr>
              <w:t>C)</w:t>
            </w:r>
          </w:p>
        </w:tc>
        <w:tc>
          <w:tcPr>
            <w:tcW w:w="1067" w:type="dxa"/>
            <w:noWrap/>
            <w:vAlign w:val="center"/>
            <w:hideMark/>
          </w:tcPr>
          <w:p w14:paraId="33CFE94E"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178.84</w:t>
            </w:r>
          </w:p>
        </w:tc>
        <w:tc>
          <w:tcPr>
            <w:tcW w:w="1035" w:type="dxa"/>
            <w:noWrap/>
            <w:vAlign w:val="center"/>
            <w:hideMark/>
          </w:tcPr>
          <w:p w14:paraId="4A361912"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8.13</w:t>
            </w:r>
          </w:p>
        </w:tc>
        <w:tc>
          <w:tcPr>
            <w:tcW w:w="0" w:type="auto"/>
            <w:noWrap/>
            <w:vAlign w:val="center"/>
            <w:hideMark/>
          </w:tcPr>
          <w:p w14:paraId="186CA92C"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89.27</w:t>
            </w:r>
          </w:p>
        </w:tc>
        <w:tc>
          <w:tcPr>
            <w:tcW w:w="0" w:type="auto"/>
            <w:noWrap/>
            <w:vAlign w:val="center"/>
            <w:hideMark/>
          </w:tcPr>
          <w:p w14:paraId="1BA2CA76"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32.51</w:t>
            </w:r>
          </w:p>
        </w:tc>
        <w:tc>
          <w:tcPr>
            <w:tcW w:w="0" w:type="auto"/>
            <w:noWrap/>
            <w:vAlign w:val="center"/>
            <w:hideMark/>
          </w:tcPr>
          <w:p w14:paraId="4F3DE3AA" w14:textId="77777777" w:rsidR="008E0E4E" w:rsidRPr="009C1935" w:rsidRDefault="009E6E50" w:rsidP="00FF2DC2">
            <w:pPr>
              <w:jc w:val="right"/>
              <w:rPr>
                <w:rFonts w:ascii="Arial" w:hAnsi="Arial" w:cs="Arial"/>
                <w:b/>
                <w:bCs/>
                <w:sz w:val="19"/>
                <w:szCs w:val="19"/>
                <w:lang w:val="en-GB"/>
              </w:rPr>
            </w:pPr>
            <w:r w:rsidRPr="009C1935">
              <w:rPr>
                <w:rFonts w:ascii="Arial" w:hAnsi="Arial" w:cs="Arial"/>
                <w:b/>
                <w:sz w:val="19"/>
                <w:szCs w:val="19"/>
                <w:lang w:val="en-GB"/>
              </w:rPr>
              <w:t>−</w:t>
            </w:r>
            <w:r w:rsidR="008E0E4E" w:rsidRPr="009C1935">
              <w:rPr>
                <w:rFonts w:ascii="Arial" w:hAnsi="Arial" w:cs="Arial"/>
                <w:b/>
                <w:bCs/>
                <w:sz w:val="19"/>
                <w:szCs w:val="19"/>
                <w:lang w:val="en-GB"/>
              </w:rPr>
              <w:t>40.02</w:t>
            </w:r>
          </w:p>
        </w:tc>
      </w:tr>
      <w:tr w:rsidR="008E0E4E" w:rsidRPr="009C1935" w14:paraId="12A92018" w14:textId="77777777" w:rsidTr="00B66CFB">
        <w:trPr>
          <w:trHeight w:val="576"/>
          <w:jc w:val="center"/>
        </w:trPr>
        <w:tc>
          <w:tcPr>
            <w:tcW w:w="3922" w:type="dxa"/>
            <w:vAlign w:val="center"/>
            <w:hideMark/>
          </w:tcPr>
          <w:p w14:paraId="6BE99443" w14:textId="77777777" w:rsidR="008E0E4E" w:rsidRPr="009C1935" w:rsidRDefault="008E0E4E" w:rsidP="00B66CFB">
            <w:pPr>
              <w:rPr>
                <w:rFonts w:ascii="Arial" w:hAnsi="Arial" w:cs="Arial"/>
                <w:sz w:val="19"/>
                <w:szCs w:val="19"/>
                <w:lang w:val="en-GB"/>
              </w:rPr>
            </w:pPr>
            <w:r w:rsidRPr="009C1935">
              <w:rPr>
                <w:rFonts w:ascii="Arial" w:hAnsi="Arial" w:cs="Arial"/>
                <w:sz w:val="19"/>
                <w:szCs w:val="19"/>
                <w:lang w:val="en-GB"/>
              </w:rPr>
              <w:t>Cash and cash equivalents at the beginning of the year/period</w:t>
            </w:r>
          </w:p>
        </w:tc>
        <w:tc>
          <w:tcPr>
            <w:tcW w:w="1067" w:type="dxa"/>
            <w:noWrap/>
            <w:vAlign w:val="center"/>
            <w:hideMark/>
          </w:tcPr>
          <w:p w14:paraId="7AE9C61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313.64</w:t>
            </w:r>
          </w:p>
        </w:tc>
        <w:tc>
          <w:tcPr>
            <w:tcW w:w="1035" w:type="dxa"/>
            <w:noWrap/>
            <w:vAlign w:val="center"/>
            <w:hideMark/>
          </w:tcPr>
          <w:p w14:paraId="7560AAEE" w14:textId="03A52838"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134.8</w:t>
            </w:r>
            <w:r w:rsidR="00380CC0" w:rsidRPr="009C1935">
              <w:rPr>
                <w:rFonts w:ascii="Arial" w:hAnsi="Arial" w:cs="Arial"/>
                <w:sz w:val="19"/>
                <w:szCs w:val="19"/>
                <w:lang w:val="en-GB"/>
              </w:rPr>
              <w:t>0</w:t>
            </w:r>
          </w:p>
        </w:tc>
        <w:tc>
          <w:tcPr>
            <w:tcW w:w="0" w:type="auto"/>
            <w:noWrap/>
            <w:vAlign w:val="center"/>
            <w:hideMark/>
          </w:tcPr>
          <w:p w14:paraId="188A592F"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126.67</w:t>
            </w:r>
          </w:p>
        </w:tc>
        <w:tc>
          <w:tcPr>
            <w:tcW w:w="0" w:type="auto"/>
            <w:noWrap/>
            <w:vAlign w:val="center"/>
            <w:hideMark/>
          </w:tcPr>
          <w:p w14:paraId="0E8C2922" w14:textId="77777777"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215.94</w:t>
            </w:r>
          </w:p>
        </w:tc>
        <w:tc>
          <w:tcPr>
            <w:tcW w:w="0" w:type="auto"/>
            <w:noWrap/>
            <w:vAlign w:val="center"/>
            <w:hideMark/>
          </w:tcPr>
          <w:p w14:paraId="3212B4A6" w14:textId="04B13C78" w:rsidR="008E0E4E" w:rsidRPr="009C1935" w:rsidRDefault="008E0E4E" w:rsidP="00FF2DC2">
            <w:pPr>
              <w:jc w:val="right"/>
              <w:rPr>
                <w:rFonts w:ascii="Arial" w:hAnsi="Arial" w:cs="Arial"/>
                <w:sz w:val="19"/>
                <w:szCs w:val="19"/>
                <w:lang w:val="en-GB"/>
              </w:rPr>
            </w:pPr>
            <w:r w:rsidRPr="009C1935">
              <w:rPr>
                <w:rFonts w:ascii="Arial" w:hAnsi="Arial" w:cs="Arial"/>
                <w:sz w:val="19"/>
                <w:szCs w:val="19"/>
                <w:lang w:val="en-GB"/>
              </w:rPr>
              <w:t>187</w:t>
            </w:r>
            <w:r w:rsidR="00380CC0" w:rsidRPr="009C1935">
              <w:rPr>
                <w:rFonts w:ascii="Arial" w:hAnsi="Arial" w:cs="Arial"/>
                <w:sz w:val="19"/>
                <w:szCs w:val="19"/>
                <w:lang w:val="en-GB"/>
              </w:rPr>
              <w:t>.00</w:t>
            </w:r>
          </w:p>
        </w:tc>
      </w:tr>
      <w:tr w:rsidR="00397034" w:rsidRPr="009C1935" w14:paraId="37D578D0" w14:textId="77777777" w:rsidTr="00397034">
        <w:trPr>
          <w:trHeight w:val="300"/>
          <w:jc w:val="center"/>
        </w:trPr>
        <w:tc>
          <w:tcPr>
            <w:tcW w:w="3922" w:type="dxa"/>
            <w:vAlign w:val="center"/>
            <w:hideMark/>
          </w:tcPr>
          <w:p w14:paraId="7D40FFBF" w14:textId="77777777" w:rsidR="00397034" w:rsidRPr="009C1935" w:rsidRDefault="00397034" w:rsidP="00FF2DC2">
            <w:pPr>
              <w:rPr>
                <w:rFonts w:ascii="Arial" w:hAnsi="Arial" w:cs="Arial"/>
                <w:sz w:val="19"/>
                <w:szCs w:val="19"/>
                <w:lang w:val="en-GB"/>
              </w:rPr>
            </w:pPr>
            <w:r w:rsidRPr="009C1935">
              <w:rPr>
                <w:rFonts w:ascii="Arial" w:hAnsi="Arial" w:cs="Arial"/>
                <w:sz w:val="19"/>
                <w:szCs w:val="19"/>
                <w:lang w:val="en-GB"/>
              </w:rPr>
              <w:t>Cash and cash equivalent acquired on slump sale basis</w:t>
            </w:r>
          </w:p>
        </w:tc>
        <w:tc>
          <w:tcPr>
            <w:tcW w:w="1067" w:type="dxa"/>
            <w:noWrap/>
            <w:vAlign w:val="center"/>
            <w:hideMark/>
          </w:tcPr>
          <w:p w14:paraId="41A04A15" w14:textId="74D6666A" w:rsidR="00397034" w:rsidRPr="009C1935" w:rsidRDefault="00397034" w:rsidP="00397034">
            <w:pPr>
              <w:jc w:val="right"/>
              <w:rPr>
                <w:rFonts w:ascii="Arial" w:hAnsi="Arial" w:cs="Arial"/>
                <w:sz w:val="19"/>
                <w:szCs w:val="19"/>
                <w:lang w:val="en-GB"/>
              </w:rPr>
            </w:pPr>
            <w:r w:rsidRPr="00055F1E">
              <w:rPr>
                <w:rFonts w:ascii="Arial" w:hAnsi="Arial" w:cs="Arial"/>
                <w:sz w:val="19"/>
                <w:szCs w:val="19"/>
                <w:lang w:val="en-GB"/>
              </w:rPr>
              <w:t>–</w:t>
            </w:r>
          </w:p>
        </w:tc>
        <w:tc>
          <w:tcPr>
            <w:tcW w:w="1035" w:type="dxa"/>
            <w:noWrap/>
            <w:vAlign w:val="center"/>
            <w:hideMark/>
          </w:tcPr>
          <w:p w14:paraId="3D46DFAC" w14:textId="5C3B3A48" w:rsidR="00397034" w:rsidRPr="009C1935" w:rsidRDefault="00397034" w:rsidP="00397034">
            <w:pPr>
              <w:jc w:val="right"/>
              <w:rPr>
                <w:rFonts w:ascii="Arial" w:hAnsi="Arial" w:cs="Arial"/>
                <w:sz w:val="19"/>
                <w:szCs w:val="19"/>
                <w:lang w:val="en-GB"/>
              </w:rPr>
            </w:pPr>
            <w:r w:rsidRPr="00055F1E">
              <w:rPr>
                <w:rFonts w:ascii="Arial" w:hAnsi="Arial" w:cs="Arial"/>
                <w:sz w:val="19"/>
                <w:szCs w:val="19"/>
                <w:lang w:val="en-GB"/>
              </w:rPr>
              <w:t>–</w:t>
            </w:r>
          </w:p>
        </w:tc>
        <w:tc>
          <w:tcPr>
            <w:tcW w:w="0" w:type="auto"/>
            <w:noWrap/>
            <w:vAlign w:val="center"/>
            <w:hideMark/>
          </w:tcPr>
          <w:p w14:paraId="62FF8D5E" w14:textId="61505228" w:rsidR="00397034" w:rsidRPr="009C1935" w:rsidRDefault="00397034" w:rsidP="00397034">
            <w:pPr>
              <w:jc w:val="right"/>
              <w:rPr>
                <w:rFonts w:ascii="Arial" w:hAnsi="Arial" w:cs="Arial"/>
                <w:sz w:val="19"/>
                <w:szCs w:val="19"/>
                <w:lang w:val="en-GB"/>
              </w:rPr>
            </w:pPr>
            <w:r w:rsidRPr="00055F1E">
              <w:rPr>
                <w:rFonts w:ascii="Arial" w:hAnsi="Arial" w:cs="Arial"/>
                <w:sz w:val="19"/>
                <w:szCs w:val="19"/>
                <w:lang w:val="en-GB"/>
              </w:rPr>
              <w:t>–</w:t>
            </w:r>
          </w:p>
        </w:tc>
        <w:tc>
          <w:tcPr>
            <w:tcW w:w="0" w:type="auto"/>
            <w:noWrap/>
            <w:vAlign w:val="center"/>
            <w:hideMark/>
          </w:tcPr>
          <w:p w14:paraId="00DF3EB9" w14:textId="77777777" w:rsidR="00397034" w:rsidRPr="009C1935" w:rsidRDefault="00397034" w:rsidP="00FF2DC2">
            <w:pPr>
              <w:jc w:val="right"/>
              <w:rPr>
                <w:rFonts w:ascii="Arial" w:hAnsi="Arial" w:cs="Arial"/>
                <w:sz w:val="19"/>
                <w:szCs w:val="19"/>
                <w:lang w:val="en-GB"/>
              </w:rPr>
            </w:pPr>
            <w:r w:rsidRPr="009C1935">
              <w:rPr>
                <w:rFonts w:ascii="Arial" w:hAnsi="Arial" w:cs="Arial"/>
                <w:sz w:val="19"/>
                <w:szCs w:val="19"/>
                <w:lang w:val="en-GB"/>
              </w:rPr>
              <w:t>3.57</w:t>
            </w:r>
          </w:p>
        </w:tc>
        <w:tc>
          <w:tcPr>
            <w:tcW w:w="0" w:type="auto"/>
            <w:noWrap/>
            <w:vAlign w:val="center"/>
            <w:hideMark/>
          </w:tcPr>
          <w:p w14:paraId="0F75DE15" w14:textId="23FC15E1" w:rsidR="00397034" w:rsidRPr="009C1935" w:rsidRDefault="00397034" w:rsidP="00FF2DC2">
            <w:pPr>
              <w:jc w:val="right"/>
              <w:rPr>
                <w:rFonts w:ascii="Arial" w:hAnsi="Arial" w:cs="Arial"/>
                <w:sz w:val="19"/>
                <w:szCs w:val="19"/>
                <w:lang w:val="en-GB"/>
              </w:rPr>
            </w:pPr>
            <w:r>
              <w:rPr>
                <w:rFonts w:ascii="Arial" w:hAnsi="Arial" w:cs="Arial"/>
                <w:sz w:val="19"/>
                <w:szCs w:val="19"/>
                <w:lang w:val="en-GB"/>
              </w:rPr>
              <w:t>–</w:t>
            </w:r>
          </w:p>
        </w:tc>
      </w:tr>
      <w:tr w:rsidR="008E0E4E" w:rsidRPr="009C1935" w14:paraId="3C185848" w14:textId="77777777" w:rsidTr="00B66CFB">
        <w:trPr>
          <w:trHeight w:val="288"/>
          <w:jc w:val="center"/>
        </w:trPr>
        <w:tc>
          <w:tcPr>
            <w:tcW w:w="3922" w:type="dxa"/>
            <w:vAlign w:val="center"/>
            <w:hideMark/>
          </w:tcPr>
          <w:p w14:paraId="138896D9" w14:textId="77777777" w:rsidR="008E0E4E" w:rsidRPr="009C1935" w:rsidRDefault="008E0E4E" w:rsidP="00B66CFB">
            <w:pPr>
              <w:rPr>
                <w:rFonts w:ascii="Arial" w:hAnsi="Arial" w:cs="Arial"/>
                <w:b/>
                <w:bCs/>
                <w:sz w:val="19"/>
                <w:szCs w:val="19"/>
                <w:lang w:val="en-GB"/>
              </w:rPr>
            </w:pPr>
            <w:r w:rsidRPr="009C1935">
              <w:rPr>
                <w:rFonts w:ascii="Arial" w:hAnsi="Arial" w:cs="Arial"/>
                <w:b/>
                <w:bCs/>
                <w:sz w:val="19"/>
                <w:szCs w:val="19"/>
                <w:lang w:val="en-GB"/>
              </w:rPr>
              <w:t>Cash and cash equivalents at the end of the year/period</w:t>
            </w:r>
          </w:p>
        </w:tc>
        <w:tc>
          <w:tcPr>
            <w:tcW w:w="1067" w:type="dxa"/>
            <w:noWrap/>
            <w:vAlign w:val="center"/>
            <w:hideMark/>
          </w:tcPr>
          <w:p w14:paraId="7A0FC55D" w14:textId="00A6FAF8"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134.8</w:t>
            </w:r>
            <w:r w:rsidR="00380CC0" w:rsidRPr="009C1935">
              <w:rPr>
                <w:rFonts w:ascii="Arial" w:hAnsi="Arial" w:cs="Arial"/>
                <w:b/>
                <w:bCs/>
                <w:sz w:val="19"/>
                <w:szCs w:val="19"/>
                <w:lang w:val="en-GB"/>
              </w:rPr>
              <w:t>0</w:t>
            </w:r>
          </w:p>
        </w:tc>
        <w:tc>
          <w:tcPr>
            <w:tcW w:w="1035" w:type="dxa"/>
            <w:noWrap/>
            <w:vAlign w:val="center"/>
            <w:hideMark/>
          </w:tcPr>
          <w:p w14:paraId="4A138C60"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126.67</w:t>
            </w:r>
          </w:p>
        </w:tc>
        <w:tc>
          <w:tcPr>
            <w:tcW w:w="0" w:type="auto"/>
            <w:noWrap/>
            <w:vAlign w:val="center"/>
            <w:hideMark/>
          </w:tcPr>
          <w:p w14:paraId="6AFD27FF"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215.94</w:t>
            </w:r>
          </w:p>
        </w:tc>
        <w:tc>
          <w:tcPr>
            <w:tcW w:w="0" w:type="auto"/>
            <w:noWrap/>
            <w:vAlign w:val="center"/>
            <w:hideMark/>
          </w:tcPr>
          <w:p w14:paraId="0CF45BC6" w14:textId="2B4EAF8B"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187</w:t>
            </w:r>
            <w:r w:rsidR="00380CC0" w:rsidRPr="009C1935">
              <w:rPr>
                <w:rFonts w:ascii="Arial" w:hAnsi="Arial" w:cs="Arial"/>
                <w:b/>
                <w:bCs/>
                <w:sz w:val="19"/>
                <w:szCs w:val="19"/>
                <w:lang w:val="en-GB"/>
              </w:rPr>
              <w:t>.00</w:t>
            </w:r>
          </w:p>
        </w:tc>
        <w:tc>
          <w:tcPr>
            <w:tcW w:w="0" w:type="auto"/>
            <w:noWrap/>
            <w:vAlign w:val="center"/>
            <w:hideMark/>
          </w:tcPr>
          <w:p w14:paraId="15717168" w14:textId="77777777" w:rsidR="008E0E4E" w:rsidRPr="009C1935" w:rsidRDefault="008E0E4E" w:rsidP="00FF2DC2">
            <w:pPr>
              <w:jc w:val="right"/>
              <w:rPr>
                <w:rFonts w:ascii="Arial" w:hAnsi="Arial" w:cs="Arial"/>
                <w:b/>
                <w:bCs/>
                <w:sz w:val="19"/>
                <w:szCs w:val="19"/>
                <w:lang w:val="en-GB"/>
              </w:rPr>
            </w:pPr>
            <w:r w:rsidRPr="009C1935">
              <w:rPr>
                <w:rFonts w:ascii="Arial" w:hAnsi="Arial" w:cs="Arial"/>
                <w:b/>
                <w:bCs/>
                <w:sz w:val="19"/>
                <w:szCs w:val="19"/>
                <w:lang w:val="en-GB"/>
              </w:rPr>
              <w:t>146.98</w:t>
            </w:r>
          </w:p>
        </w:tc>
      </w:tr>
    </w:tbl>
    <w:p w14:paraId="71044DD8" w14:textId="77777777" w:rsidR="008F1D1E" w:rsidRDefault="008F1D1E" w:rsidP="00B66CFB">
      <w:pPr>
        <w:pStyle w:val="FootnoteText1"/>
        <w:rPr>
          <w:lang w:val="en-GB"/>
        </w:rPr>
      </w:pPr>
    </w:p>
    <w:p w14:paraId="0BEF28FE" w14:textId="4D2B52CD" w:rsidR="008F1D1E" w:rsidRDefault="008E0E4E" w:rsidP="008F1D1E">
      <w:pPr>
        <w:pStyle w:val="FootnoteText1"/>
        <w:rPr>
          <w:iCs w:val="0"/>
          <w:lang w:val="en-GB"/>
        </w:rPr>
      </w:pPr>
      <w:r w:rsidRPr="009C1935">
        <w:rPr>
          <w:lang w:val="en-GB"/>
        </w:rPr>
        <w:t xml:space="preserve">Source: </w:t>
      </w:r>
      <w:r w:rsidR="003C7079" w:rsidRPr="009C1935">
        <w:rPr>
          <w:lang w:val="en-GB"/>
        </w:rPr>
        <w:t>Red-</w:t>
      </w:r>
      <w:r w:rsidRPr="009C1935">
        <w:rPr>
          <w:lang w:val="en-GB"/>
        </w:rPr>
        <w:t xml:space="preserve">herring prospectus of Narayana Health filed with </w:t>
      </w:r>
      <w:r w:rsidR="007C632C" w:rsidRPr="009C1935">
        <w:rPr>
          <w:lang w:val="en-GB"/>
        </w:rPr>
        <w:t xml:space="preserve">the </w:t>
      </w:r>
      <w:r w:rsidRPr="009C1935">
        <w:rPr>
          <w:lang w:val="en-GB"/>
        </w:rPr>
        <w:t>SEBI.</w:t>
      </w:r>
      <w:r w:rsidR="008F1D1E">
        <w:rPr>
          <w:lang w:val="en-GB"/>
        </w:rPr>
        <w:br w:type="page"/>
      </w:r>
    </w:p>
    <w:p w14:paraId="434A2BBE" w14:textId="77777777" w:rsidR="008E0E4E" w:rsidRPr="009C1935" w:rsidRDefault="008E0E4E" w:rsidP="00741604">
      <w:pPr>
        <w:pStyle w:val="Casehead1"/>
        <w:jc w:val="center"/>
        <w:rPr>
          <w:rFonts w:eastAsia="Calibri"/>
          <w:lang w:val="en-GB"/>
        </w:rPr>
      </w:pPr>
      <w:r w:rsidRPr="009C1935">
        <w:rPr>
          <w:rFonts w:eastAsia="Calibri"/>
          <w:lang w:val="en-GB"/>
        </w:rPr>
        <w:lastRenderedPageBreak/>
        <w:t>EXHIBIT 9: HISTORICAL FINANCIAL ANALYSIS OF NAR</w:t>
      </w:r>
      <w:r w:rsidR="00914621" w:rsidRPr="009C1935">
        <w:rPr>
          <w:rFonts w:eastAsia="Calibri"/>
          <w:lang w:val="en-GB"/>
        </w:rPr>
        <w:t>a</w:t>
      </w:r>
      <w:r w:rsidRPr="009C1935">
        <w:rPr>
          <w:rFonts w:eastAsia="Calibri"/>
          <w:lang w:val="en-GB"/>
        </w:rPr>
        <w:t>YANA HEALTH</w:t>
      </w:r>
    </w:p>
    <w:p w14:paraId="0F7CF05E" w14:textId="77777777" w:rsidR="008E0E4E" w:rsidRPr="009C1935" w:rsidRDefault="008E0E4E" w:rsidP="00741604">
      <w:pPr>
        <w:pStyle w:val="BodyTextMain"/>
        <w:rPr>
          <w:rFonts w:eastAsia="Calibr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993"/>
        <w:gridCol w:w="992"/>
        <w:gridCol w:w="1134"/>
        <w:gridCol w:w="1134"/>
        <w:gridCol w:w="1132"/>
        <w:gridCol w:w="1054"/>
      </w:tblGrid>
      <w:tr w:rsidR="008E0E4E" w:rsidRPr="009C1935" w14:paraId="09446476" w14:textId="77777777" w:rsidTr="0037757F">
        <w:trPr>
          <w:trHeight w:val="20"/>
          <w:jc w:val="center"/>
        </w:trPr>
        <w:tc>
          <w:tcPr>
            <w:tcW w:w="2943" w:type="dxa"/>
            <w:vAlign w:val="center"/>
            <w:hideMark/>
          </w:tcPr>
          <w:p w14:paraId="471DFF8B" w14:textId="77777777" w:rsidR="008E0E4E" w:rsidRPr="009C1935" w:rsidRDefault="008E0E4E" w:rsidP="00803A05">
            <w:pPr>
              <w:jc w:val="center"/>
              <w:rPr>
                <w:rFonts w:ascii="Arial" w:eastAsia="Calibri" w:hAnsi="Arial" w:cs="Arial"/>
                <w:b/>
                <w:bCs/>
                <w:sz w:val="19"/>
                <w:szCs w:val="19"/>
                <w:lang w:val="en-GB"/>
              </w:rPr>
            </w:pPr>
            <w:r w:rsidRPr="009C1935">
              <w:rPr>
                <w:rFonts w:ascii="Arial" w:eastAsia="Calibri" w:hAnsi="Arial" w:cs="Arial"/>
                <w:b/>
                <w:bCs/>
                <w:sz w:val="19"/>
                <w:szCs w:val="19"/>
                <w:lang w:val="en-GB"/>
              </w:rPr>
              <w:t>Particulars</w:t>
            </w:r>
          </w:p>
        </w:tc>
        <w:tc>
          <w:tcPr>
            <w:tcW w:w="993" w:type="dxa"/>
            <w:vAlign w:val="center"/>
            <w:hideMark/>
          </w:tcPr>
          <w:p w14:paraId="64E15694" w14:textId="77777777" w:rsidR="008E0E4E" w:rsidRPr="009C1935" w:rsidRDefault="008E0E4E" w:rsidP="00803A05">
            <w:pPr>
              <w:jc w:val="center"/>
              <w:rPr>
                <w:rFonts w:ascii="Arial" w:eastAsia="Calibri" w:hAnsi="Arial" w:cs="Arial"/>
                <w:b/>
                <w:bCs/>
                <w:sz w:val="19"/>
                <w:szCs w:val="19"/>
                <w:lang w:val="en-GB"/>
              </w:rPr>
            </w:pPr>
            <w:r w:rsidRPr="009C1935">
              <w:rPr>
                <w:rFonts w:ascii="Arial" w:eastAsia="Calibri" w:hAnsi="Arial" w:cs="Arial"/>
                <w:b/>
                <w:bCs/>
                <w:sz w:val="19"/>
                <w:szCs w:val="19"/>
                <w:lang w:val="en-GB"/>
              </w:rPr>
              <w:t>2011</w:t>
            </w:r>
          </w:p>
        </w:tc>
        <w:tc>
          <w:tcPr>
            <w:tcW w:w="992" w:type="dxa"/>
            <w:vAlign w:val="center"/>
            <w:hideMark/>
          </w:tcPr>
          <w:p w14:paraId="33C358DD" w14:textId="77777777" w:rsidR="008E0E4E" w:rsidRPr="009C1935" w:rsidRDefault="008E0E4E" w:rsidP="00803A05">
            <w:pPr>
              <w:jc w:val="center"/>
              <w:rPr>
                <w:rFonts w:ascii="Arial" w:eastAsia="Calibri" w:hAnsi="Arial" w:cs="Arial"/>
                <w:b/>
                <w:bCs/>
                <w:sz w:val="19"/>
                <w:szCs w:val="19"/>
                <w:lang w:val="en-GB"/>
              </w:rPr>
            </w:pPr>
            <w:r w:rsidRPr="009C1935">
              <w:rPr>
                <w:rFonts w:ascii="Arial" w:eastAsia="Calibri" w:hAnsi="Arial" w:cs="Arial"/>
                <w:b/>
                <w:bCs/>
                <w:sz w:val="19"/>
                <w:szCs w:val="19"/>
                <w:lang w:val="en-GB"/>
              </w:rPr>
              <w:t>2012</w:t>
            </w:r>
          </w:p>
        </w:tc>
        <w:tc>
          <w:tcPr>
            <w:tcW w:w="1134" w:type="dxa"/>
            <w:vAlign w:val="center"/>
            <w:hideMark/>
          </w:tcPr>
          <w:p w14:paraId="6834DBBE" w14:textId="77777777" w:rsidR="008E0E4E" w:rsidRPr="009C1935" w:rsidRDefault="008E0E4E" w:rsidP="00803A05">
            <w:pPr>
              <w:jc w:val="center"/>
              <w:rPr>
                <w:rFonts w:ascii="Arial" w:eastAsia="Calibri" w:hAnsi="Arial" w:cs="Arial"/>
                <w:b/>
                <w:bCs/>
                <w:sz w:val="19"/>
                <w:szCs w:val="19"/>
                <w:lang w:val="en-GB"/>
              </w:rPr>
            </w:pPr>
            <w:r w:rsidRPr="009C1935">
              <w:rPr>
                <w:rFonts w:ascii="Arial" w:eastAsia="Calibri" w:hAnsi="Arial" w:cs="Arial"/>
                <w:b/>
                <w:bCs/>
                <w:sz w:val="19"/>
                <w:szCs w:val="19"/>
                <w:lang w:val="en-GB"/>
              </w:rPr>
              <w:t>2013</w:t>
            </w:r>
          </w:p>
        </w:tc>
        <w:tc>
          <w:tcPr>
            <w:tcW w:w="1134" w:type="dxa"/>
            <w:vAlign w:val="center"/>
            <w:hideMark/>
          </w:tcPr>
          <w:p w14:paraId="4EDEF079" w14:textId="77777777" w:rsidR="008E0E4E" w:rsidRPr="009C1935" w:rsidRDefault="008E0E4E" w:rsidP="00803A05">
            <w:pPr>
              <w:jc w:val="center"/>
              <w:rPr>
                <w:rFonts w:ascii="Arial" w:eastAsia="Calibri" w:hAnsi="Arial" w:cs="Arial"/>
                <w:b/>
                <w:bCs/>
                <w:sz w:val="19"/>
                <w:szCs w:val="19"/>
                <w:lang w:val="en-GB"/>
              </w:rPr>
            </w:pPr>
            <w:r w:rsidRPr="009C1935">
              <w:rPr>
                <w:rFonts w:ascii="Arial" w:eastAsia="Calibri" w:hAnsi="Arial" w:cs="Arial"/>
                <w:b/>
                <w:bCs/>
                <w:sz w:val="19"/>
                <w:szCs w:val="19"/>
                <w:lang w:val="en-GB"/>
              </w:rPr>
              <w:t>2014</w:t>
            </w:r>
          </w:p>
        </w:tc>
        <w:tc>
          <w:tcPr>
            <w:tcW w:w="1132" w:type="dxa"/>
            <w:vAlign w:val="center"/>
            <w:hideMark/>
          </w:tcPr>
          <w:p w14:paraId="59BC33BD" w14:textId="77777777" w:rsidR="008E0E4E" w:rsidRPr="009C1935" w:rsidRDefault="008E0E4E" w:rsidP="00803A05">
            <w:pPr>
              <w:jc w:val="center"/>
              <w:rPr>
                <w:rFonts w:ascii="Arial" w:eastAsia="Calibri" w:hAnsi="Arial" w:cs="Arial"/>
                <w:b/>
                <w:bCs/>
                <w:sz w:val="19"/>
                <w:szCs w:val="19"/>
                <w:lang w:val="en-GB"/>
              </w:rPr>
            </w:pPr>
            <w:r w:rsidRPr="009C1935">
              <w:rPr>
                <w:rFonts w:ascii="Arial" w:eastAsia="Calibri" w:hAnsi="Arial" w:cs="Arial"/>
                <w:b/>
                <w:bCs/>
                <w:sz w:val="19"/>
                <w:szCs w:val="19"/>
                <w:lang w:val="en-GB"/>
              </w:rPr>
              <w:t>2015</w:t>
            </w:r>
          </w:p>
        </w:tc>
        <w:tc>
          <w:tcPr>
            <w:tcW w:w="1054" w:type="dxa"/>
            <w:vAlign w:val="center"/>
          </w:tcPr>
          <w:p w14:paraId="2419B513" w14:textId="77777777" w:rsidR="008E0E4E" w:rsidRPr="009C1935" w:rsidRDefault="008E0E4E" w:rsidP="00803A05">
            <w:pPr>
              <w:jc w:val="center"/>
              <w:rPr>
                <w:rFonts w:ascii="Arial" w:eastAsia="Calibri" w:hAnsi="Arial" w:cs="Arial"/>
                <w:b/>
                <w:bCs/>
                <w:sz w:val="19"/>
                <w:szCs w:val="19"/>
                <w:lang w:val="en-GB"/>
              </w:rPr>
            </w:pPr>
            <w:r w:rsidRPr="009C1935">
              <w:rPr>
                <w:rFonts w:ascii="Arial" w:eastAsia="Calibri" w:hAnsi="Arial" w:cs="Arial"/>
                <w:b/>
                <w:bCs/>
                <w:sz w:val="19"/>
                <w:szCs w:val="19"/>
                <w:lang w:val="en-GB"/>
              </w:rPr>
              <w:t>Average</w:t>
            </w:r>
          </w:p>
        </w:tc>
      </w:tr>
      <w:tr w:rsidR="008E0E4E" w:rsidRPr="009C1935" w14:paraId="58C9A007" w14:textId="77777777" w:rsidTr="0037757F">
        <w:trPr>
          <w:trHeight w:val="20"/>
          <w:jc w:val="center"/>
        </w:trPr>
        <w:tc>
          <w:tcPr>
            <w:tcW w:w="2943" w:type="dxa"/>
            <w:noWrap/>
            <w:vAlign w:val="center"/>
            <w:hideMark/>
          </w:tcPr>
          <w:p w14:paraId="1FCEAC14"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Total </w:t>
            </w:r>
            <w:r w:rsidR="00207F46" w:rsidRPr="009C1935">
              <w:rPr>
                <w:rFonts w:ascii="Arial" w:eastAsia="Calibri" w:hAnsi="Arial" w:cs="Arial"/>
                <w:bCs/>
                <w:sz w:val="19"/>
                <w:szCs w:val="19"/>
                <w:lang w:val="en-GB"/>
              </w:rPr>
              <w:t>revenue</w:t>
            </w:r>
          </w:p>
        </w:tc>
        <w:tc>
          <w:tcPr>
            <w:tcW w:w="993" w:type="dxa"/>
            <w:noWrap/>
            <w:vAlign w:val="center"/>
            <w:hideMark/>
          </w:tcPr>
          <w:p w14:paraId="56AC515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4</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755.42</w:t>
            </w:r>
          </w:p>
        </w:tc>
        <w:tc>
          <w:tcPr>
            <w:tcW w:w="992" w:type="dxa"/>
            <w:noWrap/>
            <w:vAlign w:val="center"/>
            <w:hideMark/>
          </w:tcPr>
          <w:p w14:paraId="2BBA04F3"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6</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494.34</w:t>
            </w:r>
          </w:p>
        </w:tc>
        <w:tc>
          <w:tcPr>
            <w:tcW w:w="1134" w:type="dxa"/>
            <w:noWrap/>
            <w:vAlign w:val="center"/>
            <w:hideMark/>
          </w:tcPr>
          <w:p w14:paraId="1A5C9F8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273.48</w:t>
            </w:r>
          </w:p>
        </w:tc>
        <w:tc>
          <w:tcPr>
            <w:tcW w:w="1134" w:type="dxa"/>
            <w:noWrap/>
            <w:vAlign w:val="center"/>
            <w:hideMark/>
          </w:tcPr>
          <w:p w14:paraId="6E6152FD"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10</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913.16</w:t>
            </w:r>
          </w:p>
        </w:tc>
        <w:tc>
          <w:tcPr>
            <w:tcW w:w="1132" w:type="dxa"/>
            <w:noWrap/>
            <w:vAlign w:val="center"/>
            <w:hideMark/>
          </w:tcPr>
          <w:p w14:paraId="26B9964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13</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176.1</w:t>
            </w:r>
          </w:p>
        </w:tc>
        <w:tc>
          <w:tcPr>
            <w:tcW w:w="1054" w:type="dxa"/>
            <w:vAlign w:val="center"/>
          </w:tcPr>
          <w:p w14:paraId="38C781C1"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8</w:t>
            </w:r>
            <w:r w:rsidR="00207F46" w:rsidRPr="009C1935">
              <w:rPr>
                <w:rFonts w:ascii="Arial" w:hAnsi="Arial" w:cs="Arial"/>
                <w:color w:val="000000"/>
                <w:sz w:val="19"/>
                <w:szCs w:val="19"/>
                <w:lang w:val="en-GB"/>
              </w:rPr>
              <w:t>,</w:t>
            </w:r>
            <w:r w:rsidRPr="009C1935">
              <w:rPr>
                <w:rFonts w:ascii="Arial" w:hAnsi="Arial" w:cs="Arial"/>
                <w:color w:val="000000"/>
                <w:sz w:val="19"/>
                <w:szCs w:val="19"/>
                <w:lang w:val="en-GB"/>
              </w:rPr>
              <w:t>722.52</w:t>
            </w:r>
          </w:p>
        </w:tc>
      </w:tr>
      <w:tr w:rsidR="008E0E4E" w:rsidRPr="009C1935" w14:paraId="69A5F547" w14:textId="77777777" w:rsidTr="0037757F">
        <w:trPr>
          <w:trHeight w:val="20"/>
          <w:jc w:val="center"/>
        </w:trPr>
        <w:tc>
          <w:tcPr>
            <w:tcW w:w="2943" w:type="dxa"/>
            <w:noWrap/>
            <w:vAlign w:val="center"/>
            <w:hideMark/>
          </w:tcPr>
          <w:p w14:paraId="4A0D215B"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Revenue </w:t>
            </w:r>
            <w:r w:rsidR="00207F46" w:rsidRPr="009C1935">
              <w:rPr>
                <w:rFonts w:ascii="Arial" w:eastAsia="Calibri" w:hAnsi="Arial" w:cs="Arial"/>
                <w:bCs/>
                <w:sz w:val="19"/>
                <w:szCs w:val="19"/>
                <w:lang w:val="en-GB"/>
              </w:rPr>
              <w:t>growth rate</w:t>
            </w:r>
          </w:p>
        </w:tc>
        <w:tc>
          <w:tcPr>
            <w:tcW w:w="993" w:type="dxa"/>
            <w:noWrap/>
            <w:vAlign w:val="center"/>
            <w:hideMark/>
          </w:tcPr>
          <w:p w14:paraId="74C580B7" w14:textId="77777777" w:rsidR="008E0E4E" w:rsidRPr="009C1935" w:rsidRDefault="008E0E4E" w:rsidP="00803A05">
            <w:pPr>
              <w:jc w:val="right"/>
              <w:rPr>
                <w:rFonts w:ascii="Arial" w:eastAsia="Calibri" w:hAnsi="Arial" w:cs="Arial"/>
                <w:sz w:val="19"/>
                <w:szCs w:val="19"/>
                <w:lang w:val="en-GB"/>
              </w:rPr>
            </w:pPr>
          </w:p>
        </w:tc>
        <w:tc>
          <w:tcPr>
            <w:tcW w:w="992" w:type="dxa"/>
            <w:noWrap/>
            <w:vAlign w:val="center"/>
            <w:hideMark/>
          </w:tcPr>
          <w:p w14:paraId="57E7D27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0.3657</w:t>
            </w:r>
          </w:p>
        </w:tc>
        <w:tc>
          <w:tcPr>
            <w:tcW w:w="1134" w:type="dxa"/>
            <w:noWrap/>
            <w:vAlign w:val="center"/>
            <w:hideMark/>
          </w:tcPr>
          <w:p w14:paraId="7381B495" w14:textId="25896C4B"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0.274</w:t>
            </w:r>
            <w:r w:rsidR="00380CC0" w:rsidRPr="009C1935">
              <w:rPr>
                <w:rFonts w:ascii="Arial" w:eastAsia="Calibri" w:hAnsi="Arial" w:cs="Arial"/>
                <w:sz w:val="19"/>
                <w:szCs w:val="19"/>
                <w:lang w:val="en-GB"/>
              </w:rPr>
              <w:t>0</w:t>
            </w:r>
          </w:p>
        </w:tc>
        <w:tc>
          <w:tcPr>
            <w:tcW w:w="1134" w:type="dxa"/>
            <w:noWrap/>
            <w:vAlign w:val="center"/>
            <w:hideMark/>
          </w:tcPr>
          <w:p w14:paraId="51F9AF6A"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0.3191</w:t>
            </w:r>
          </w:p>
        </w:tc>
        <w:tc>
          <w:tcPr>
            <w:tcW w:w="1132" w:type="dxa"/>
            <w:noWrap/>
            <w:vAlign w:val="center"/>
            <w:hideMark/>
          </w:tcPr>
          <w:p w14:paraId="72CB55F0"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0.2074</w:t>
            </w:r>
          </w:p>
        </w:tc>
        <w:tc>
          <w:tcPr>
            <w:tcW w:w="1054" w:type="dxa"/>
            <w:vAlign w:val="center"/>
          </w:tcPr>
          <w:p w14:paraId="7DACCF9F"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0.2915</w:t>
            </w:r>
          </w:p>
        </w:tc>
      </w:tr>
      <w:tr w:rsidR="008E0E4E" w:rsidRPr="009C1935" w14:paraId="1FA06267" w14:textId="77777777" w:rsidTr="0037757F">
        <w:trPr>
          <w:trHeight w:val="20"/>
          <w:jc w:val="center"/>
        </w:trPr>
        <w:tc>
          <w:tcPr>
            <w:tcW w:w="2943" w:type="dxa"/>
            <w:noWrap/>
            <w:vAlign w:val="center"/>
            <w:hideMark/>
          </w:tcPr>
          <w:p w14:paraId="1EBFA200" w14:textId="77777777" w:rsidR="008E0E4E" w:rsidRPr="009C1935" w:rsidRDefault="008E0E4E" w:rsidP="00803A05">
            <w:pPr>
              <w:rPr>
                <w:rFonts w:ascii="Arial" w:eastAsia="Calibri" w:hAnsi="Arial" w:cs="Arial"/>
                <w:bCs/>
                <w:sz w:val="19"/>
                <w:szCs w:val="19"/>
                <w:lang w:val="en-GB"/>
              </w:rPr>
            </w:pPr>
            <w:r w:rsidRPr="009C1935">
              <w:rPr>
                <w:rFonts w:ascii="Arial" w:eastAsia="Calibri" w:hAnsi="Arial" w:cs="Arial"/>
                <w:bCs/>
                <w:sz w:val="19"/>
                <w:szCs w:val="19"/>
                <w:lang w:val="en-GB"/>
              </w:rPr>
              <w:t>Expenses</w:t>
            </w:r>
          </w:p>
        </w:tc>
        <w:tc>
          <w:tcPr>
            <w:tcW w:w="993" w:type="dxa"/>
            <w:noWrap/>
            <w:vAlign w:val="center"/>
            <w:hideMark/>
          </w:tcPr>
          <w:p w14:paraId="38B6A17B" w14:textId="5FA73F6B"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4</w:t>
            </w:r>
            <w:r w:rsidR="00E92515" w:rsidRPr="009C1935">
              <w:rPr>
                <w:rFonts w:ascii="Arial" w:eastAsia="Calibri" w:hAnsi="Arial" w:cs="Arial"/>
                <w:sz w:val="19"/>
                <w:szCs w:val="19"/>
                <w:lang w:val="en-GB"/>
              </w:rPr>
              <w:t>,</w:t>
            </w:r>
            <w:r w:rsidRPr="009C1935">
              <w:rPr>
                <w:rFonts w:ascii="Arial" w:eastAsia="Calibri" w:hAnsi="Arial" w:cs="Arial"/>
                <w:sz w:val="19"/>
                <w:szCs w:val="19"/>
                <w:lang w:val="en-GB"/>
              </w:rPr>
              <w:t>143.4</w:t>
            </w:r>
            <w:r w:rsidR="00380CC0" w:rsidRPr="009C1935">
              <w:rPr>
                <w:rFonts w:ascii="Arial" w:eastAsia="Calibri" w:hAnsi="Arial" w:cs="Arial"/>
                <w:sz w:val="19"/>
                <w:szCs w:val="19"/>
                <w:lang w:val="en-GB"/>
              </w:rPr>
              <w:t>0</w:t>
            </w:r>
          </w:p>
        </w:tc>
        <w:tc>
          <w:tcPr>
            <w:tcW w:w="992" w:type="dxa"/>
            <w:noWrap/>
            <w:vAlign w:val="center"/>
            <w:hideMark/>
          </w:tcPr>
          <w:p w14:paraId="515DD076"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633.54</w:t>
            </w:r>
          </w:p>
        </w:tc>
        <w:tc>
          <w:tcPr>
            <w:tcW w:w="1134" w:type="dxa"/>
            <w:noWrap/>
            <w:vAlign w:val="center"/>
            <w:hideMark/>
          </w:tcPr>
          <w:p w14:paraId="17132479"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7</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393.23</w:t>
            </w:r>
          </w:p>
        </w:tc>
        <w:tc>
          <w:tcPr>
            <w:tcW w:w="1134" w:type="dxa"/>
            <w:noWrap/>
            <w:vAlign w:val="center"/>
            <w:hideMark/>
          </w:tcPr>
          <w:p w14:paraId="546AF51F"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9</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536.32</w:t>
            </w:r>
          </w:p>
        </w:tc>
        <w:tc>
          <w:tcPr>
            <w:tcW w:w="1132" w:type="dxa"/>
            <w:noWrap/>
            <w:vAlign w:val="center"/>
            <w:hideMark/>
          </w:tcPr>
          <w:p w14:paraId="264A84D3" w14:textId="2E38DF1D"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11</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751.6</w:t>
            </w:r>
            <w:r w:rsidR="00380CC0" w:rsidRPr="009C1935">
              <w:rPr>
                <w:rFonts w:ascii="Arial" w:eastAsia="Calibri" w:hAnsi="Arial" w:cs="Arial"/>
                <w:sz w:val="19"/>
                <w:szCs w:val="19"/>
                <w:lang w:val="en-GB"/>
              </w:rPr>
              <w:t>0</w:t>
            </w:r>
          </w:p>
        </w:tc>
        <w:tc>
          <w:tcPr>
            <w:tcW w:w="1054" w:type="dxa"/>
            <w:vAlign w:val="center"/>
          </w:tcPr>
          <w:p w14:paraId="13D64EF9"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7</w:t>
            </w:r>
            <w:r w:rsidR="00207F46" w:rsidRPr="009C1935">
              <w:rPr>
                <w:rFonts w:ascii="Arial" w:hAnsi="Arial" w:cs="Arial"/>
                <w:color w:val="000000"/>
                <w:sz w:val="19"/>
                <w:szCs w:val="19"/>
                <w:lang w:val="en-GB"/>
              </w:rPr>
              <w:t>,</w:t>
            </w:r>
            <w:r w:rsidRPr="009C1935">
              <w:rPr>
                <w:rFonts w:ascii="Arial" w:hAnsi="Arial" w:cs="Arial"/>
                <w:color w:val="000000"/>
                <w:sz w:val="19"/>
                <w:szCs w:val="19"/>
                <w:lang w:val="en-GB"/>
              </w:rPr>
              <w:t>691.62</w:t>
            </w:r>
          </w:p>
        </w:tc>
      </w:tr>
      <w:tr w:rsidR="008E0E4E" w:rsidRPr="009C1935" w14:paraId="505111FC" w14:textId="77777777" w:rsidTr="0037757F">
        <w:trPr>
          <w:trHeight w:val="20"/>
          <w:jc w:val="center"/>
        </w:trPr>
        <w:tc>
          <w:tcPr>
            <w:tcW w:w="2943" w:type="dxa"/>
            <w:noWrap/>
            <w:vAlign w:val="center"/>
            <w:hideMark/>
          </w:tcPr>
          <w:p w14:paraId="66EBC8E1"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Expenditure % of </w:t>
            </w:r>
            <w:r w:rsidR="00207F46" w:rsidRPr="009C1935">
              <w:rPr>
                <w:rFonts w:ascii="Arial" w:eastAsia="Calibri" w:hAnsi="Arial" w:cs="Arial"/>
                <w:bCs/>
                <w:sz w:val="19"/>
                <w:szCs w:val="19"/>
                <w:lang w:val="en-GB"/>
              </w:rPr>
              <w:t>sales</w:t>
            </w:r>
          </w:p>
        </w:tc>
        <w:tc>
          <w:tcPr>
            <w:tcW w:w="993" w:type="dxa"/>
            <w:noWrap/>
            <w:vAlign w:val="center"/>
            <w:hideMark/>
          </w:tcPr>
          <w:p w14:paraId="7E865A2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0.8713</w:t>
            </w:r>
          </w:p>
        </w:tc>
        <w:tc>
          <w:tcPr>
            <w:tcW w:w="992" w:type="dxa"/>
            <w:noWrap/>
            <w:vAlign w:val="center"/>
            <w:hideMark/>
          </w:tcPr>
          <w:p w14:paraId="033E1C2F"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0.8675</w:t>
            </w:r>
          </w:p>
        </w:tc>
        <w:tc>
          <w:tcPr>
            <w:tcW w:w="1134" w:type="dxa"/>
            <w:noWrap/>
            <w:vAlign w:val="center"/>
            <w:hideMark/>
          </w:tcPr>
          <w:p w14:paraId="00CBF498"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0.8936</w:t>
            </w:r>
          </w:p>
        </w:tc>
        <w:tc>
          <w:tcPr>
            <w:tcW w:w="1134" w:type="dxa"/>
            <w:noWrap/>
            <w:vAlign w:val="center"/>
            <w:hideMark/>
          </w:tcPr>
          <w:p w14:paraId="2B732392"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0.8738</w:t>
            </w:r>
          </w:p>
        </w:tc>
        <w:tc>
          <w:tcPr>
            <w:tcW w:w="1132" w:type="dxa"/>
            <w:noWrap/>
            <w:vAlign w:val="center"/>
            <w:hideMark/>
          </w:tcPr>
          <w:p w14:paraId="7B2852EC"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0.8919</w:t>
            </w:r>
          </w:p>
        </w:tc>
        <w:tc>
          <w:tcPr>
            <w:tcW w:w="1054" w:type="dxa"/>
            <w:vAlign w:val="center"/>
          </w:tcPr>
          <w:p w14:paraId="55023250"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0.8796</w:t>
            </w:r>
          </w:p>
        </w:tc>
      </w:tr>
      <w:tr w:rsidR="008E0E4E" w:rsidRPr="009C1935" w14:paraId="45CDC78D" w14:textId="77777777" w:rsidTr="0037757F">
        <w:trPr>
          <w:trHeight w:val="20"/>
          <w:jc w:val="center"/>
        </w:trPr>
        <w:tc>
          <w:tcPr>
            <w:tcW w:w="2943" w:type="dxa"/>
            <w:noWrap/>
            <w:vAlign w:val="center"/>
            <w:hideMark/>
          </w:tcPr>
          <w:p w14:paraId="512BD21A" w14:textId="77777777" w:rsidR="008E0E4E" w:rsidRPr="009C1935" w:rsidRDefault="008E0E4E" w:rsidP="00803A05">
            <w:pPr>
              <w:rPr>
                <w:rFonts w:ascii="Arial" w:eastAsia="Calibri" w:hAnsi="Arial" w:cs="Arial"/>
                <w:bCs/>
                <w:sz w:val="19"/>
                <w:szCs w:val="19"/>
                <w:lang w:val="en-GB"/>
              </w:rPr>
            </w:pPr>
            <w:r w:rsidRPr="009C1935">
              <w:rPr>
                <w:rFonts w:ascii="Arial" w:eastAsia="Calibri" w:hAnsi="Arial" w:cs="Arial"/>
                <w:bCs/>
                <w:sz w:val="19"/>
                <w:szCs w:val="19"/>
                <w:lang w:val="en-GB"/>
              </w:rPr>
              <w:t>EBITDA</w:t>
            </w:r>
          </w:p>
        </w:tc>
        <w:tc>
          <w:tcPr>
            <w:tcW w:w="993" w:type="dxa"/>
            <w:noWrap/>
            <w:vAlign w:val="center"/>
            <w:hideMark/>
          </w:tcPr>
          <w:p w14:paraId="19281C52"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612.02</w:t>
            </w:r>
          </w:p>
        </w:tc>
        <w:tc>
          <w:tcPr>
            <w:tcW w:w="992" w:type="dxa"/>
            <w:noWrap/>
            <w:vAlign w:val="center"/>
            <w:hideMark/>
          </w:tcPr>
          <w:p w14:paraId="32D32658" w14:textId="240C343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860.8</w:t>
            </w:r>
            <w:r w:rsidR="00380CC0" w:rsidRPr="009C1935">
              <w:rPr>
                <w:rFonts w:ascii="Arial" w:eastAsia="Calibri" w:hAnsi="Arial" w:cs="Arial"/>
                <w:sz w:val="19"/>
                <w:szCs w:val="19"/>
                <w:lang w:val="en-GB"/>
              </w:rPr>
              <w:t>0</w:t>
            </w:r>
          </w:p>
        </w:tc>
        <w:tc>
          <w:tcPr>
            <w:tcW w:w="1134" w:type="dxa"/>
            <w:noWrap/>
            <w:vAlign w:val="center"/>
            <w:hideMark/>
          </w:tcPr>
          <w:p w14:paraId="6972CC6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880.25</w:t>
            </w:r>
          </w:p>
        </w:tc>
        <w:tc>
          <w:tcPr>
            <w:tcW w:w="1134" w:type="dxa"/>
            <w:noWrap/>
            <w:vAlign w:val="center"/>
            <w:hideMark/>
          </w:tcPr>
          <w:p w14:paraId="74190587"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376.84</w:t>
            </w:r>
          </w:p>
        </w:tc>
        <w:tc>
          <w:tcPr>
            <w:tcW w:w="1132" w:type="dxa"/>
            <w:noWrap/>
            <w:vAlign w:val="center"/>
            <w:hideMark/>
          </w:tcPr>
          <w:p w14:paraId="7EF5F204"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424.58</w:t>
            </w:r>
          </w:p>
        </w:tc>
        <w:tc>
          <w:tcPr>
            <w:tcW w:w="1054" w:type="dxa"/>
            <w:vAlign w:val="center"/>
          </w:tcPr>
          <w:p w14:paraId="3C528BE6"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1</w:t>
            </w:r>
            <w:r w:rsidR="00207F46" w:rsidRPr="009C1935">
              <w:rPr>
                <w:rFonts w:ascii="Arial" w:hAnsi="Arial" w:cs="Arial"/>
                <w:color w:val="000000"/>
                <w:sz w:val="19"/>
                <w:szCs w:val="19"/>
                <w:lang w:val="en-GB"/>
              </w:rPr>
              <w:t>,</w:t>
            </w:r>
            <w:r w:rsidRPr="009C1935">
              <w:rPr>
                <w:rFonts w:ascii="Arial" w:hAnsi="Arial" w:cs="Arial"/>
                <w:color w:val="000000"/>
                <w:sz w:val="19"/>
                <w:szCs w:val="19"/>
                <w:lang w:val="en-GB"/>
              </w:rPr>
              <w:t>030.89</w:t>
            </w:r>
          </w:p>
        </w:tc>
      </w:tr>
      <w:tr w:rsidR="008E0E4E" w:rsidRPr="009C1935" w14:paraId="627D6628" w14:textId="77777777" w:rsidTr="0037757F">
        <w:trPr>
          <w:trHeight w:val="20"/>
          <w:jc w:val="center"/>
        </w:trPr>
        <w:tc>
          <w:tcPr>
            <w:tcW w:w="2943" w:type="dxa"/>
            <w:noWrap/>
            <w:vAlign w:val="center"/>
            <w:hideMark/>
          </w:tcPr>
          <w:p w14:paraId="026D53A1"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Minus: Depreciation &amp; </w:t>
            </w:r>
            <w:r w:rsidR="00207F46" w:rsidRPr="009C1935">
              <w:rPr>
                <w:rFonts w:ascii="Arial" w:eastAsia="Calibri" w:hAnsi="Arial" w:cs="Arial"/>
                <w:bCs/>
                <w:sz w:val="19"/>
                <w:szCs w:val="19"/>
                <w:lang w:val="en-GB"/>
              </w:rPr>
              <w:t>amortization</w:t>
            </w:r>
          </w:p>
        </w:tc>
        <w:tc>
          <w:tcPr>
            <w:tcW w:w="993" w:type="dxa"/>
            <w:noWrap/>
            <w:vAlign w:val="center"/>
            <w:hideMark/>
          </w:tcPr>
          <w:p w14:paraId="372DEE14"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313.89</w:t>
            </w:r>
          </w:p>
        </w:tc>
        <w:tc>
          <w:tcPr>
            <w:tcW w:w="992" w:type="dxa"/>
            <w:noWrap/>
            <w:vAlign w:val="center"/>
            <w:hideMark/>
          </w:tcPr>
          <w:p w14:paraId="78133DA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355.68</w:t>
            </w:r>
          </w:p>
        </w:tc>
        <w:tc>
          <w:tcPr>
            <w:tcW w:w="1134" w:type="dxa"/>
            <w:noWrap/>
            <w:vAlign w:val="center"/>
            <w:hideMark/>
          </w:tcPr>
          <w:p w14:paraId="1530E59F"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439.69</w:t>
            </w:r>
          </w:p>
        </w:tc>
        <w:tc>
          <w:tcPr>
            <w:tcW w:w="1134" w:type="dxa"/>
            <w:noWrap/>
            <w:vAlign w:val="center"/>
            <w:hideMark/>
          </w:tcPr>
          <w:p w14:paraId="0FE5AFD9"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546.81</w:t>
            </w:r>
          </w:p>
        </w:tc>
        <w:tc>
          <w:tcPr>
            <w:tcW w:w="1132" w:type="dxa"/>
            <w:noWrap/>
            <w:vAlign w:val="center"/>
            <w:hideMark/>
          </w:tcPr>
          <w:p w14:paraId="7997DC50"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619.56</w:t>
            </w:r>
          </w:p>
        </w:tc>
        <w:tc>
          <w:tcPr>
            <w:tcW w:w="1054" w:type="dxa"/>
            <w:vAlign w:val="center"/>
          </w:tcPr>
          <w:p w14:paraId="51EBEA03"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455.13</w:t>
            </w:r>
          </w:p>
        </w:tc>
      </w:tr>
      <w:tr w:rsidR="008E0E4E" w:rsidRPr="009C1935" w14:paraId="2514C057" w14:textId="77777777" w:rsidTr="0037757F">
        <w:trPr>
          <w:trHeight w:val="20"/>
          <w:jc w:val="center"/>
        </w:trPr>
        <w:tc>
          <w:tcPr>
            <w:tcW w:w="2943" w:type="dxa"/>
            <w:noWrap/>
            <w:vAlign w:val="center"/>
            <w:hideMark/>
          </w:tcPr>
          <w:p w14:paraId="7FC4EA0A"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Depreciations % of </w:t>
            </w:r>
            <w:r w:rsidR="00207F46" w:rsidRPr="009C1935">
              <w:rPr>
                <w:rFonts w:ascii="Arial" w:eastAsia="Calibri" w:hAnsi="Arial" w:cs="Arial"/>
                <w:bCs/>
                <w:sz w:val="19"/>
                <w:szCs w:val="19"/>
                <w:lang w:val="en-GB"/>
              </w:rPr>
              <w:t>sales</w:t>
            </w:r>
          </w:p>
        </w:tc>
        <w:tc>
          <w:tcPr>
            <w:tcW w:w="993" w:type="dxa"/>
            <w:noWrap/>
            <w:vAlign w:val="center"/>
            <w:hideMark/>
          </w:tcPr>
          <w:p w14:paraId="405375D9" w14:textId="033BF9F3"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0.066</w:t>
            </w:r>
            <w:r w:rsidR="00380CC0" w:rsidRPr="009C1935">
              <w:rPr>
                <w:rFonts w:ascii="Arial" w:eastAsia="Calibri" w:hAnsi="Arial" w:cs="Arial"/>
                <w:sz w:val="19"/>
                <w:szCs w:val="19"/>
                <w:lang w:val="en-GB"/>
              </w:rPr>
              <w:t>0</w:t>
            </w:r>
          </w:p>
        </w:tc>
        <w:tc>
          <w:tcPr>
            <w:tcW w:w="992" w:type="dxa"/>
            <w:noWrap/>
            <w:vAlign w:val="center"/>
            <w:hideMark/>
          </w:tcPr>
          <w:p w14:paraId="5CDCD52E"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0.0548</w:t>
            </w:r>
          </w:p>
        </w:tc>
        <w:tc>
          <w:tcPr>
            <w:tcW w:w="1134" w:type="dxa"/>
            <w:noWrap/>
            <w:vAlign w:val="center"/>
            <w:hideMark/>
          </w:tcPr>
          <w:p w14:paraId="1EEB2D44"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0.0531</w:t>
            </w:r>
          </w:p>
        </w:tc>
        <w:tc>
          <w:tcPr>
            <w:tcW w:w="1134" w:type="dxa"/>
            <w:noWrap/>
            <w:vAlign w:val="center"/>
            <w:hideMark/>
          </w:tcPr>
          <w:p w14:paraId="3F343E3A"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0.0501</w:t>
            </w:r>
          </w:p>
        </w:tc>
        <w:tc>
          <w:tcPr>
            <w:tcW w:w="1132" w:type="dxa"/>
            <w:noWrap/>
            <w:vAlign w:val="center"/>
            <w:hideMark/>
          </w:tcPr>
          <w:p w14:paraId="52441D92" w14:textId="2EF09C32"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0.047</w:t>
            </w:r>
            <w:r w:rsidR="00380CC0" w:rsidRPr="009C1935">
              <w:rPr>
                <w:rFonts w:ascii="Arial" w:eastAsia="Calibri" w:hAnsi="Arial" w:cs="Arial"/>
                <w:sz w:val="19"/>
                <w:szCs w:val="19"/>
                <w:lang w:val="en-GB"/>
              </w:rPr>
              <w:t>0</w:t>
            </w:r>
          </w:p>
        </w:tc>
        <w:tc>
          <w:tcPr>
            <w:tcW w:w="1054" w:type="dxa"/>
            <w:vAlign w:val="center"/>
          </w:tcPr>
          <w:p w14:paraId="1A2F5677"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0.0542</w:t>
            </w:r>
          </w:p>
        </w:tc>
      </w:tr>
      <w:tr w:rsidR="008E0E4E" w:rsidRPr="009C1935" w14:paraId="3ACC0EC1" w14:textId="77777777" w:rsidTr="0037757F">
        <w:trPr>
          <w:trHeight w:val="20"/>
          <w:jc w:val="center"/>
        </w:trPr>
        <w:tc>
          <w:tcPr>
            <w:tcW w:w="2943" w:type="dxa"/>
            <w:noWrap/>
            <w:vAlign w:val="center"/>
            <w:hideMark/>
          </w:tcPr>
          <w:p w14:paraId="28238A6C" w14:textId="77777777" w:rsidR="008E0E4E" w:rsidRPr="009C1935" w:rsidRDefault="008E0E4E" w:rsidP="00803A05">
            <w:pPr>
              <w:rPr>
                <w:rFonts w:ascii="Arial" w:eastAsia="Calibri" w:hAnsi="Arial" w:cs="Arial"/>
                <w:bCs/>
                <w:sz w:val="19"/>
                <w:szCs w:val="19"/>
                <w:lang w:val="en-GB"/>
              </w:rPr>
            </w:pPr>
            <w:r w:rsidRPr="009C1935">
              <w:rPr>
                <w:rFonts w:ascii="Arial" w:eastAsia="Calibri" w:hAnsi="Arial" w:cs="Arial"/>
                <w:bCs/>
                <w:sz w:val="19"/>
                <w:szCs w:val="19"/>
                <w:lang w:val="en-GB"/>
              </w:rPr>
              <w:t>EBIT</w:t>
            </w:r>
          </w:p>
        </w:tc>
        <w:tc>
          <w:tcPr>
            <w:tcW w:w="993" w:type="dxa"/>
            <w:noWrap/>
            <w:vAlign w:val="center"/>
            <w:hideMark/>
          </w:tcPr>
          <w:p w14:paraId="76820947"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298.13</w:t>
            </w:r>
          </w:p>
        </w:tc>
        <w:tc>
          <w:tcPr>
            <w:tcW w:w="992" w:type="dxa"/>
            <w:noWrap/>
            <w:vAlign w:val="center"/>
            <w:hideMark/>
          </w:tcPr>
          <w:p w14:paraId="75AAE3E6"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505.12</w:t>
            </w:r>
          </w:p>
        </w:tc>
        <w:tc>
          <w:tcPr>
            <w:tcW w:w="1134" w:type="dxa"/>
            <w:noWrap/>
            <w:vAlign w:val="center"/>
            <w:hideMark/>
          </w:tcPr>
          <w:p w14:paraId="37F5D92E"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440.56</w:t>
            </w:r>
          </w:p>
        </w:tc>
        <w:tc>
          <w:tcPr>
            <w:tcW w:w="1134" w:type="dxa"/>
            <w:noWrap/>
            <w:vAlign w:val="center"/>
            <w:hideMark/>
          </w:tcPr>
          <w:p w14:paraId="6D997F77"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830.03</w:t>
            </w:r>
          </w:p>
        </w:tc>
        <w:tc>
          <w:tcPr>
            <w:tcW w:w="1132" w:type="dxa"/>
            <w:noWrap/>
            <w:vAlign w:val="center"/>
            <w:hideMark/>
          </w:tcPr>
          <w:p w14:paraId="34BBFC8E"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805.02</w:t>
            </w:r>
          </w:p>
        </w:tc>
        <w:tc>
          <w:tcPr>
            <w:tcW w:w="1054" w:type="dxa"/>
            <w:vAlign w:val="center"/>
          </w:tcPr>
          <w:p w14:paraId="2AD4A509"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575.77</w:t>
            </w:r>
          </w:p>
        </w:tc>
      </w:tr>
      <w:tr w:rsidR="008E0E4E" w:rsidRPr="009C1935" w14:paraId="7FD61D05" w14:textId="77777777" w:rsidTr="0037757F">
        <w:trPr>
          <w:trHeight w:val="20"/>
          <w:jc w:val="center"/>
        </w:trPr>
        <w:tc>
          <w:tcPr>
            <w:tcW w:w="2943" w:type="dxa"/>
            <w:noWrap/>
            <w:vAlign w:val="center"/>
            <w:hideMark/>
          </w:tcPr>
          <w:p w14:paraId="415EDCB4" w14:textId="77777777" w:rsidR="008E0E4E" w:rsidRPr="009C1935" w:rsidRDefault="008E0E4E" w:rsidP="00803A05">
            <w:pPr>
              <w:rPr>
                <w:rFonts w:ascii="Arial" w:eastAsia="Calibri" w:hAnsi="Arial" w:cs="Arial"/>
                <w:bCs/>
                <w:sz w:val="19"/>
                <w:szCs w:val="19"/>
                <w:lang w:val="en-GB"/>
              </w:rPr>
            </w:pPr>
            <w:r w:rsidRPr="009C1935">
              <w:rPr>
                <w:rFonts w:ascii="Arial" w:eastAsia="Calibri" w:hAnsi="Arial" w:cs="Arial"/>
                <w:bCs/>
                <w:sz w:val="19"/>
                <w:szCs w:val="19"/>
                <w:lang w:val="en-GB"/>
              </w:rPr>
              <w:t>Taxes</w:t>
            </w:r>
          </w:p>
        </w:tc>
        <w:tc>
          <w:tcPr>
            <w:tcW w:w="993" w:type="dxa"/>
            <w:noWrap/>
            <w:vAlign w:val="center"/>
            <w:hideMark/>
          </w:tcPr>
          <w:p w14:paraId="6F45B004"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104.35</w:t>
            </w:r>
          </w:p>
        </w:tc>
        <w:tc>
          <w:tcPr>
            <w:tcW w:w="992" w:type="dxa"/>
            <w:noWrap/>
            <w:vAlign w:val="center"/>
            <w:hideMark/>
          </w:tcPr>
          <w:p w14:paraId="5F7E865B" w14:textId="5FA4F77E"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176.8</w:t>
            </w:r>
            <w:r w:rsidR="00380CC0" w:rsidRPr="009C1935">
              <w:rPr>
                <w:rFonts w:ascii="Arial" w:eastAsia="Calibri" w:hAnsi="Arial" w:cs="Arial"/>
                <w:sz w:val="19"/>
                <w:szCs w:val="19"/>
                <w:lang w:val="en-GB"/>
              </w:rPr>
              <w:t>0</w:t>
            </w:r>
          </w:p>
        </w:tc>
        <w:tc>
          <w:tcPr>
            <w:tcW w:w="1134" w:type="dxa"/>
            <w:noWrap/>
            <w:vAlign w:val="center"/>
            <w:hideMark/>
          </w:tcPr>
          <w:p w14:paraId="13F54979" w14:textId="56B778A2"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154.2</w:t>
            </w:r>
            <w:r w:rsidR="00380CC0" w:rsidRPr="009C1935">
              <w:rPr>
                <w:rFonts w:ascii="Arial" w:eastAsia="Calibri" w:hAnsi="Arial" w:cs="Arial"/>
                <w:sz w:val="19"/>
                <w:szCs w:val="19"/>
                <w:lang w:val="en-GB"/>
              </w:rPr>
              <w:t>0</w:t>
            </w:r>
          </w:p>
        </w:tc>
        <w:tc>
          <w:tcPr>
            <w:tcW w:w="1134" w:type="dxa"/>
            <w:noWrap/>
            <w:vAlign w:val="center"/>
            <w:hideMark/>
          </w:tcPr>
          <w:p w14:paraId="44105676"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290.51</w:t>
            </w:r>
          </w:p>
        </w:tc>
        <w:tc>
          <w:tcPr>
            <w:tcW w:w="1132" w:type="dxa"/>
            <w:noWrap/>
            <w:vAlign w:val="center"/>
            <w:hideMark/>
          </w:tcPr>
          <w:p w14:paraId="41D1CCDA"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281.76</w:t>
            </w:r>
          </w:p>
        </w:tc>
        <w:tc>
          <w:tcPr>
            <w:tcW w:w="1054" w:type="dxa"/>
            <w:vAlign w:val="center"/>
          </w:tcPr>
          <w:p w14:paraId="28AC94D3"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201.52</w:t>
            </w:r>
          </w:p>
        </w:tc>
      </w:tr>
      <w:tr w:rsidR="008E0E4E" w:rsidRPr="009C1935" w14:paraId="5E5F9CE3" w14:textId="77777777" w:rsidTr="0037757F">
        <w:trPr>
          <w:trHeight w:val="20"/>
          <w:jc w:val="center"/>
        </w:trPr>
        <w:tc>
          <w:tcPr>
            <w:tcW w:w="2943" w:type="dxa"/>
            <w:noWrap/>
            <w:vAlign w:val="center"/>
            <w:hideMark/>
          </w:tcPr>
          <w:p w14:paraId="542435C3"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Net </w:t>
            </w:r>
            <w:r w:rsidR="00207F46" w:rsidRPr="009C1935">
              <w:rPr>
                <w:rFonts w:ascii="Arial" w:eastAsia="Calibri" w:hAnsi="Arial" w:cs="Arial"/>
                <w:bCs/>
                <w:sz w:val="19"/>
                <w:szCs w:val="19"/>
                <w:lang w:val="en-GB"/>
              </w:rPr>
              <w:t>income</w:t>
            </w:r>
          </w:p>
        </w:tc>
        <w:tc>
          <w:tcPr>
            <w:tcW w:w="993" w:type="dxa"/>
            <w:noWrap/>
            <w:vAlign w:val="center"/>
            <w:hideMark/>
          </w:tcPr>
          <w:p w14:paraId="0C2F57E1"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193.78</w:t>
            </w:r>
          </w:p>
        </w:tc>
        <w:tc>
          <w:tcPr>
            <w:tcW w:w="992" w:type="dxa"/>
            <w:noWrap/>
            <w:vAlign w:val="center"/>
            <w:hideMark/>
          </w:tcPr>
          <w:p w14:paraId="0F4B04A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328.33</w:t>
            </w:r>
          </w:p>
        </w:tc>
        <w:tc>
          <w:tcPr>
            <w:tcW w:w="1134" w:type="dxa"/>
            <w:noWrap/>
            <w:vAlign w:val="center"/>
            <w:hideMark/>
          </w:tcPr>
          <w:p w14:paraId="4BFDE05E"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286.36</w:t>
            </w:r>
          </w:p>
        </w:tc>
        <w:tc>
          <w:tcPr>
            <w:tcW w:w="1134" w:type="dxa"/>
            <w:noWrap/>
            <w:vAlign w:val="center"/>
            <w:hideMark/>
          </w:tcPr>
          <w:p w14:paraId="6595595A"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539.52</w:t>
            </w:r>
          </w:p>
        </w:tc>
        <w:tc>
          <w:tcPr>
            <w:tcW w:w="1132" w:type="dxa"/>
            <w:noWrap/>
            <w:vAlign w:val="center"/>
            <w:hideMark/>
          </w:tcPr>
          <w:p w14:paraId="2D91BE6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523.26</w:t>
            </w:r>
          </w:p>
        </w:tc>
        <w:tc>
          <w:tcPr>
            <w:tcW w:w="1054" w:type="dxa"/>
            <w:vAlign w:val="center"/>
          </w:tcPr>
          <w:p w14:paraId="4B42D7DA"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374.25</w:t>
            </w:r>
          </w:p>
        </w:tc>
      </w:tr>
      <w:tr w:rsidR="008E0E4E" w:rsidRPr="009C1935" w14:paraId="2BF83B43" w14:textId="77777777" w:rsidTr="0037757F">
        <w:trPr>
          <w:trHeight w:val="20"/>
          <w:jc w:val="center"/>
        </w:trPr>
        <w:tc>
          <w:tcPr>
            <w:tcW w:w="8328" w:type="dxa"/>
            <w:gridSpan w:val="6"/>
            <w:noWrap/>
            <w:vAlign w:val="center"/>
            <w:hideMark/>
          </w:tcPr>
          <w:p w14:paraId="15129060" w14:textId="77777777" w:rsidR="008E0E4E" w:rsidRPr="009C1935" w:rsidRDefault="008E0E4E" w:rsidP="00803A05">
            <w:pPr>
              <w:rPr>
                <w:rFonts w:ascii="Arial" w:eastAsia="Calibri" w:hAnsi="Arial" w:cs="Arial"/>
                <w:sz w:val="19"/>
                <w:szCs w:val="19"/>
                <w:lang w:val="en-GB"/>
              </w:rPr>
            </w:pPr>
          </w:p>
        </w:tc>
        <w:tc>
          <w:tcPr>
            <w:tcW w:w="1054" w:type="dxa"/>
            <w:vAlign w:val="center"/>
          </w:tcPr>
          <w:p w14:paraId="04397989" w14:textId="77777777" w:rsidR="008E0E4E" w:rsidRPr="009C1935" w:rsidRDefault="008E0E4E" w:rsidP="00741604">
            <w:pPr>
              <w:rPr>
                <w:rFonts w:ascii="Arial" w:eastAsia="Calibri" w:hAnsi="Arial" w:cs="Arial"/>
                <w:sz w:val="19"/>
                <w:szCs w:val="19"/>
                <w:lang w:val="en-GB"/>
              </w:rPr>
            </w:pPr>
          </w:p>
        </w:tc>
      </w:tr>
      <w:tr w:rsidR="008E0E4E" w:rsidRPr="009C1935" w14:paraId="62153853" w14:textId="77777777" w:rsidTr="0037757F">
        <w:trPr>
          <w:trHeight w:val="20"/>
          <w:jc w:val="center"/>
        </w:trPr>
        <w:tc>
          <w:tcPr>
            <w:tcW w:w="2943" w:type="dxa"/>
            <w:noWrap/>
            <w:vAlign w:val="center"/>
            <w:hideMark/>
          </w:tcPr>
          <w:p w14:paraId="6D063F8C" w14:textId="77777777" w:rsidR="008E0E4E" w:rsidRPr="009C1935" w:rsidRDefault="008E0E4E" w:rsidP="00803A05">
            <w:pPr>
              <w:rPr>
                <w:rFonts w:ascii="Arial" w:eastAsia="Calibri" w:hAnsi="Arial" w:cs="Arial"/>
                <w:bCs/>
                <w:sz w:val="19"/>
                <w:szCs w:val="19"/>
                <w:lang w:val="en-GB"/>
              </w:rPr>
            </w:pPr>
            <w:r w:rsidRPr="009C1935">
              <w:rPr>
                <w:rFonts w:ascii="Arial" w:eastAsia="Calibri" w:hAnsi="Arial" w:cs="Arial"/>
                <w:bCs/>
                <w:sz w:val="19"/>
                <w:szCs w:val="19"/>
                <w:lang w:val="en-GB"/>
              </w:rPr>
              <w:t>EBIT</w:t>
            </w:r>
          </w:p>
        </w:tc>
        <w:tc>
          <w:tcPr>
            <w:tcW w:w="993" w:type="dxa"/>
            <w:noWrap/>
            <w:vAlign w:val="center"/>
            <w:hideMark/>
          </w:tcPr>
          <w:p w14:paraId="23C0BF4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298.13</w:t>
            </w:r>
          </w:p>
        </w:tc>
        <w:tc>
          <w:tcPr>
            <w:tcW w:w="992" w:type="dxa"/>
            <w:noWrap/>
            <w:vAlign w:val="center"/>
            <w:hideMark/>
          </w:tcPr>
          <w:p w14:paraId="347672A3"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505.12</w:t>
            </w:r>
          </w:p>
        </w:tc>
        <w:tc>
          <w:tcPr>
            <w:tcW w:w="1134" w:type="dxa"/>
            <w:noWrap/>
            <w:vAlign w:val="center"/>
            <w:hideMark/>
          </w:tcPr>
          <w:p w14:paraId="3F18B660"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440.56</w:t>
            </w:r>
          </w:p>
        </w:tc>
        <w:tc>
          <w:tcPr>
            <w:tcW w:w="1134" w:type="dxa"/>
            <w:noWrap/>
            <w:vAlign w:val="center"/>
            <w:hideMark/>
          </w:tcPr>
          <w:p w14:paraId="32194E94"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830.03</w:t>
            </w:r>
          </w:p>
        </w:tc>
        <w:tc>
          <w:tcPr>
            <w:tcW w:w="1132" w:type="dxa"/>
            <w:noWrap/>
            <w:vAlign w:val="center"/>
            <w:hideMark/>
          </w:tcPr>
          <w:p w14:paraId="0FE8451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805.02</w:t>
            </w:r>
          </w:p>
        </w:tc>
        <w:tc>
          <w:tcPr>
            <w:tcW w:w="1054" w:type="dxa"/>
            <w:vAlign w:val="center"/>
          </w:tcPr>
          <w:p w14:paraId="5CAFDF45"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575.77</w:t>
            </w:r>
          </w:p>
        </w:tc>
      </w:tr>
      <w:tr w:rsidR="008E0E4E" w:rsidRPr="009C1935" w14:paraId="3083894B" w14:textId="77777777" w:rsidTr="0037757F">
        <w:trPr>
          <w:trHeight w:val="20"/>
          <w:jc w:val="center"/>
        </w:trPr>
        <w:tc>
          <w:tcPr>
            <w:tcW w:w="2943" w:type="dxa"/>
            <w:noWrap/>
            <w:vAlign w:val="center"/>
            <w:hideMark/>
          </w:tcPr>
          <w:p w14:paraId="631EB552"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Plus: Depreciation &amp; </w:t>
            </w:r>
            <w:r w:rsidR="00207F46" w:rsidRPr="009C1935">
              <w:rPr>
                <w:rFonts w:ascii="Arial" w:eastAsia="Calibri" w:hAnsi="Arial" w:cs="Arial"/>
                <w:bCs/>
                <w:sz w:val="19"/>
                <w:szCs w:val="19"/>
                <w:lang w:val="en-GB"/>
              </w:rPr>
              <w:t>amortization</w:t>
            </w:r>
          </w:p>
        </w:tc>
        <w:tc>
          <w:tcPr>
            <w:tcW w:w="993" w:type="dxa"/>
            <w:noWrap/>
            <w:vAlign w:val="center"/>
            <w:hideMark/>
          </w:tcPr>
          <w:p w14:paraId="2C1EFD9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313.89</w:t>
            </w:r>
          </w:p>
        </w:tc>
        <w:tc>
          <w:tcPr>
            <w:tcW w:w="992" w:type="dxa"/>
            <w:noWrap/>
            <w:vAlign w:val="center"/>
            <w:hideMark/>
          </w:tcPr>
          <w:p w14:paraId="3BF2FB18"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355.68</w:t>
            </w:r>
          </w:p>
        </w:tc>
        <w:tc>
          <w:tcPr>
            <w:tcW w:w="1134" w:type="dxa"/>
            <w:noWrap/>
            <w:vAlign w:val="center"/>
            <w:hideMark/>
          </w:tcPr>
          <w:p w14:paraId="7397A9DF"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439.69</w:t>
            </w:r>
          </w:p>
        </w:tc>
        <w:tc>
          <w:tcPr>
            <w:tcW w:w="1134" w:type="dxa"/>
            <w:noWrap/>
            <w:vAlign w:val="center"/>
            <w:hideMark/>
          </w:tcPr>
          <w:p w14:paraId="1C5CCE4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546.81</w:t>
            </w:r>
          </w:p>
        </w:tc>
        <w:tc>
          <w:tcPr>
            <w:tcW w:w="1132" w:type="dxa"/>
            <w:noWrap/>
            <w:vAlign w:val="center"/>
            <w:hideMark/>
          </w:tcPr>
          <w:p w14:paraId="2F61E317"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619.56</w:t>
            </w:r>
          </w:p>
        </w:tc>
        <w:tc>
          <w:tcPr>
            <w:tcW w:w="1054" w:type="dxa"/>
            <w:vAlign w:val="center"/>
          </w:tcPr>
          <w:p w14:paraId="5951C1C5"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455.13</w:t>
            </w:r>
          </w:p>
        </w:tc>
      </w:tr>
      <w:tr w:rsidR="008E0E4E" w:rsidRPr="009C1935" w14:paraId="18490701" w14:textId="77777777" w:rsidTr="0037757F">
        <w:trPr>
          <w:trHeight w:val="20"/>
          <w:jc w:val="center"/>
        </w:trPr>
        <w:tc>
          <w:tcPr>
            <w:tcW w:w="2943" w:type="dxa"/>
            <w:noWrap/>
            <w:vAlign w:val="center"/>
            <w:hideMark/>
          </w:tcPr>
          <w:p w14:paraId="4136DD36" w14:textId="77777777" w:rsidR="008E0E4E" w:rsidRPr="009C1935" w:rsidRDefault="008E0E4E" w:rsidP="00803A05">
            <w:pPr>
              <w:rPr>
                <w:rFonts w:ascii="Arial" w:eastAsia="Calibri" w:hAnsi="Arial" w:cs="Arial"/>
                <w:bCs/>
                <w:sz w:val="19"/>
                <w:szCs w:val="19"/>
                <w:lang w:val="en-GB"/>
              </w:rPr>
            </w:pPr>
            <w:r w:rsidRPr="009C1935">
              <w:rPr>
                <w:rFonts w:ascii="Arial" w:eastAsia="Calibri" w:hAnsi="Arial" w:cs="Arial"/>
                <w:bCs/>
                <w:sz w:val="19"/>
                <w:szCs w:val="19"/>
                <w:lang w:val="en-GB"/>
              </w:rPr>
              <w:t>Minus: Taxes</w:t>
            </w:r>
          </w:p>
        </w:tc>
        <w:tc>
          <w:tcPr>
            <w:tcW w:w="993" w:type="dxa"/>
            <w:noWrap/>
            <w:vAlign w:val="center"/>
            <w:hideMark/>
          </w:tcPr>
          <w:p w14:paraId="70D127B9"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104.35</w:t>
            </w:r>
          </w:p>
        </w:tc>
        <w:tc>
          <w:tcPr>
            <w:tcW w:w="992" w:type="dxa"/>
            <w:noWrap/>
            <w:vAlign w:val="center"/>
            <w:hideMark/>
          </w:tcPr>
          <w:p w14:paraId="22EDCC82"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176.79</w:t>
            </w:r>
          </w:p>
        </w:tc>
        <w:tc>
          <w:tcPr>
            <w:tcW w:w="1134" w:type="dxa"/>
            <w:noWrap/>
            <w:vAlign w:val="center"/>
            <w:hideMark/>
          </w:tcPr>
          <w:p w14:paraId="17CB6B13" w14:textId="579BD33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154.2</w:t>
            </w:r>
            <w:r w:rsidR="00380CC0" w:rsidRPr="009C1935">
              <w:rPr>
                <w:rFonts w:ascii="Arial" w:eastAsia="Calibri" w:hAnsi="Arial" w:cs="Arial"/>
                <w:sz w:val="19"/>
                <w:szCs w:val="19"/>
                <w:lang w:val="en-GB"/>
              </w:rPr>
              <w:t>0</w:t>
            </w:r>
          </w:p>
        </w:tc>
        <w:tc>
          <w:tcPr>
            <w:tcW w:w="1134" w:type="dxa"/>
            <w:noWrap/>
            <w:vAlign w:val="center"/>
            <w:hideMark/>
          </w:tcPr>
          <w:p w14:paraId="71D77531"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290.51</w:t>
            </w:r>
          </w:p>
        </w:tc>
        <w:tc>
          <w:tcPr>
            <w:tcW w:w="1132" w:type="dxa"/>
            <w:noWrap/>
            <w:vAlign w:val="center"/>
            <w:hideMark/>
          </w:tcPr>
          <w:p w14:paraId="71B7C8F7"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281.76</w:t>
            </w:r>
          </w:p>
        </w:tc>
        <w:tc>
          <w:tcPr>
            <w:tcW w:w="1054" w:type="dxa"/>
            <w:vAlign w:val="center"/>
          </w:tcPr>
          <w:p w14:paraId="32A5A8C9"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201.52</w:t>
            </w:r>
          </w:p>
        </w:tc>
      </w:tr>
      <w:tr w:rsidR="008E0E4E" w:rsidRPr="009C1935" w14:paraId="0E37DA69" w14:textId="77777777" w:rsidTr="0037757F">
        <w:trPr>
          <w:trHeight w:val="20"/>
          <w:jc w:val="center"/>
        </w:trPr>
        <w:tc>
          <w:tcPr>
            <w:tcW w:w="2943" w:type="dxa"/>
            <w:noWrap/>
            <w:vAlign w:val="center"/>
            <w:hideMark/>
          </w:tcPr>
          <w:p w14:paraId="449E7EFD"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Operating </w:t>
            </w:r>
            <w:r w:rsidR="00207F46" w:rsidRPr="009C1935">
              <w:rPr>
                <w:rFonts w:ascii="Arial" w:eastAsia="Calibri" w:hAnsi="Arial" w:cs="Arial"/>
                <w:bCs/>
                <w:sz w:val="19"/>
                <w:szCs w:val="19"/>
                <w:lang w:val="en-GB"/>
              </w:rPr>
              <w:t>cash flow</w:t>
            </w:r>
          </w:p>
        </w:tc>
        <w:tc>
          <w:tcPr>
            <w:tcW w:w="993" w:type="dxa"/>
            <w:noWrap/>
            <w:vAlign w:val="center"/>
            <w:hideMark/>
          </w:tcPr>
          <w:p w14:paraId="0F7A90A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507.67</w:t>
            </w:r>
          </w:p>
        </w:tc>
        <w:tc>
          <w:tcPr>
            <w:tcW w:w="992" w:type="dxa"/>
            <w:noWrap/>
            <w:vAlign w:val="center"/>
            <w:hideMark/>
          </w:tcPr>
          <w:p w14:paraId="6C0BD086" w14:textId="1002C232"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684</w:t>
            </w:r>
            <w:r w:rsidR="00380CC0" w:rsidRPr="009C1935">
              <w:rPr>
                <w:rFonts w:ascii="Arial" w:eastAsia="Calibri" w:hAnsi="Arial" w:cs="Arial"/>
                <w:sz w:val="19"/>
                <w:szCs w:val="19"/>
                <w:lang w:val="en-GB"/>
              </w:rPr>
              <w:t>.00</w:t>
            </w:r>
          </w:p>
        </w:tc>
        <w:tc>
          <w:tcPr>
            <w:tcW w:w="1134" w:type="dxa"/>
            <w:noWrap/>
            <w:vAlign w:val="center"/>
            <w:hideMark/>
          </w:tcPr>
          <w:p w14:paraId="1C4B8291"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726.01</w:t>
            </w:r>
          </w:p>
        </w:tc>
        <w:tc>
          <w:tcPr>
            <w:tcW w:w="1134" w:type="dxa"/>
            <w:noWrap/>
            <w:vAlign w:val="center"/>
            <w:hideMark/>
          </w:tcPr>
          <w:p w14:paraId="17DCBF1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086.33</w:t>
            </w:r>
          </w:p>
        </w:tc>
        <w:tc>
          <w:tcPr>
            <w:tcW w:w="1132" w:type="dxa"/>
            <w:noWrap/>
            <w:vAlign w:val="center"/>
            <w:hideMark/>
          </w:tcPr>
          <w:p w14:paraId="0A9B4A45"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w:t>
            </w:r>
            <w:r w:rsidR="00207F46" w:rsidRPr="009C1935">
              <w:rPr>
                <w:rFonts w:ascii="Arial" w:eastAsia="Calibri" w:hAnsi="Arial" w:cs="Arial"/>
                <w:sz w:val="19"/>
                <w:szCs w:val="19"/>
                <w:lang w:val="en-GB"/>
              </w:rPr>
              <w:t>,</w:t>
            </w:r>
            <w:r w:rsidRPr="009C1935">
              <w:rPr>
                <w:rFonts w:ascii="Arial" w:eastAsia="Calibri" w:hAnsi="Arial" w:cs="Arial"/>
                <w:sz w:val="19"/>
                <w:szCs w:val="19"/>
                <w:lang w:val="en-GB"/>
              </w:rPr>
              <w:t>142.82</w:t>
            </w:r>
          </w:p>
        </w:tc>
        <w:tc>
          <w:tcPr>
            <w:tcW w:w="1054" w:type="dxa"/>
            <w:vAlign w:val="center"/>
          </w:tcPr>
          <w:p w14:paraId="027CF10B"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829.38</w:t>
            </w:r>
          </w:p>
        </w:tc>
      </w:tr>
      <w:tr w:rsidR="008E0E4E" w:rsidRPr="009C1935" w14:paraId="182FB87E" w14:textId="77777777" w:rsidTr="0037757F">
        <w:trPr>
          <w:trHeight w:val="20"/>
          <w:jc w:val="center"/>
        </w:trPr>
        <w:tc>
          <w:tcPr>
            <w:tcW w:w="2943" w:type="dxa"/>
            <w:noWrap/>
            <w:vAlign w:val="center"/>
            <w:hideMark/>
          </w:tcPr>
          <w:p w14:paraId="0FC2B675"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Minus: Δ </w:t>
            </w:r>
            <w:r w:rsidR="00207F46" w:rsidRPr="009C1935">
              <w:rPr>
                <w:rFonts w:ascii="Arial" w:eastAsia="Calibri" w:hAnsi="Arial" w:cs="Arial"/>
                <w:bCs/>
                <w:sz w:val="19"/>
                <w:szCs w:val="19"/>
                <w:lang w:val="en-GB"/>
              </w:rPr>
              <w:t>net working capital</w:t>
            </w:r>
            <w:r w:rsidR="00803A05" w:rsidRPr="009C1935">
              <w:rPr>
                <w:rFonts w:ascii="Arial" w:eastAsia="Calibri" w:hAnsi="Arial" w:cs="Arial"/>
                <w:bCs/>
                <w:sz w:val="19"/>
                <w:szCs w:val="19"/>
                <w:lang w:val="en-GB"/>
              </w:rPr>
              <w:t>*</w:t>
            </w:r>
          </w:p>
        </w:tc>
        <w:tc>
          <w:tcPr>
            <w:tcW w:w="993" w:type="dxa"/>
            <w:noWrap/>
            <w:vAlign w:val="center"/>
            <w:hideMark/>
          </w:tcPr>
          <w:p w14:paraId="3BDE557C"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162.25</w:t>
            </w:r>
          </w:p>
        </w:tc>
        <w:tc>
          <w:tcPr>
            <w:tcW w:w="992" w:type="dxa"/>
            <w:noWrap/>
            <w:vAlign w:val="center"/>
            <w:hideMark/>
          </w:tcPr>
          <w:p w14:paraId="5B824B9D"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150.58</w:t>
            </w:r>
          </w:p>
        </w:tc>
        <w:tc>
          <w:tcPr>
            <w:tcW w:w="1134" w:type="dxa"/>
            <w:noWrap/>
            <w:vAlign w:val="center"/>
            <w:hideMark/>
          </w:tcPr>
          <w:p w14:paraId="309BB082"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258.49</w:t>
            </w:r>
          </w:p>
        </w:tc>
        <w:tc>
          <w:tcPr>
            <w:tcW w:w="1134" w:type="dxa"/>
            <w:noWrap/>
            <w:vAlign w:val="center"/>
            <w:hideMark/>
          </w:tcPr>
          <w:p w14:paraId="5FCF4956" w14:textId="77777777" w:rsidR="008E0E4E" w:rsidRPr="009C1935" w:rsidRDefault="00AE6B63" w:rsidP="00803A05">
            <w:pPr>
              <w:jc w:val="right"/>
              <w:rPr>
                <w:rFonts w:ascii="Arial" w:eastAsia="Calibri" w:hAnsi="Arial" w:cs="Arial"/>
                <w:sz w:val="19"/>
                <w:szCs w:val="19"/>
                <w:lang w:val="en-GB"/>
              </w:rPr>
            </w:pPr>
            <w:r w:rsidRPr="009C1935">
              <w:rPr>
                <w:rFonts w:ascii="Arial" w:hAnsi="Arial" w:cs="Arial"/>
                <w:sz w:val="19"/>
                <w:szCs w:val="19"/>
                <w:lang w:val="en-GB"/>
              </w:rPr>
              <w:t>−</w:t>
            </w:r>
            <w:r w:rsidR="008E0E4E" w:rsidRPr="009C1935">
              <w:rPr>
                <w:rFonts w:ascii="Arial" w:eastAsia="Calibri" w:hAnsi="Arial" w:cs="Arial"/>
                <w:sz w:val="19"/>
                <w:szCs w:val="19"/>
                <w:lang w:val="en-GB"/>
              </w:rPr>
              <w:t>532.31</w:t>
            </w:r>
          </w:p>
        </w:tc>
        <w:tc>
          <w:tcPr>
            <w:tcW w:w="1132" w:type="dxa"/>
            <w:noWrap/>
            <w:vAlign w:val="center"/>
            <w:hideMark/>
          </w:tcPr>
          <w:p w14:paraId="2E3D477A"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595.37</w:t>
            </w:r>
          </w:p>
        </w:tc>
        <w:tc>
          <w:tcPr>
            <w:tcW w:w="1054" w:type="dxa"/>
            <w:vAlign w:val="center"/>
          </w:tcPr>
          <w:p w14:paraId="7FEBE7FC"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126.88</w:t>
            </w:r>
          </w:p>
        </w:tc>
      </w:tr>
      <w:tr w:rsidR="008E0E4E" w:rsidRPr="009C1935" w14:paraId="0A7609D2" w14:textId="77777777" w:rsidTr="0037757F">
        <w:trPr>
          <w:trHeight w:val="20"/>
          <w:jc w:val="center"/>
        </w:trPr>
        <w:tc>
          <w:tcPr>
            <w:tcW w:w="2943" w:type="dxa"/>
            <w:noWrap/>
            <w:vAlign w:val="center"/>
            <w:hideMark/>
          </w:tcPr>
          <w:p w14:paraId="79C57CAE"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Change in </w:t>
            </w:r>
            <w:r w:rsidR="00207F46" w:rsidRPr="009C1935">
              <w:rPr>
                <w:rFonts w:ascii="Arial" w:eastAsia="Calibri" w:hAnsi="Arial" w:cs="Arial"/>
                <w:bCs/>
                <w:sz w:val="19"/>
                <w:szCs w:val="19"/>
                <w:lang w:val="en-GB"/>
              </w:rPr>
              <w:t xml:space="preserve">net working capital </w:t>
            </w:r>
            <w:r w:rsidRPr="009C1935">
              <w:rPr>
                <w:rFonts w:ascii="Arial" w:eastAsia="Calibri" w:hAnsi="Arial" w:cs="Arial"/>
                <w:bCs/>
                <w:sz w:val="19"/>
                <w:szCs w:val="19"/>
                <w:lang w:val="en-GB"/>
              </w:rPr>
              <w:t xml:space="preserve">% of </w:t>
            </w:r>
            <w:r w:rsidR="00207F46" w:rsidRPr="009C1935">
              <w:rPr>
                <w:rFonts w:ascii="Arial" w:eastAsia="Calibri" w:hAnsi="Arial" w:cs="Arial"/>
                <w:bCs/>
                <w:sz w:val="19"/>
                <w:szCs w:val="19"/>
                <w:lang w:val="en-GB"/>
              </w:rPr>
              <w:t>sales</w:t>
            </w:r>
          </w:p>
        </w:tc>
        <w:tc>
          <w:tcPr>
            <w:tcW w:w="993" w:type="dxa"/>
            <w:noWrap/>
            <w:vAlign w:val="center"/>
            <w:hideMark/>
          </w:tcPr>
          <w:p w14:paraId="284D2748" w14:textId="6188B1D1"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0.03</w:t>
            </w:r>
            <w:r w:rsidR="00380CC0" w:rsidRPr="009C1935">
              <w:rPr>
                <w:rFonts w:ascii="Arial" w:eastAsia="Calibri" w:hAnsi="Arial" w:cs="Arial"/>
                <w:sz w:val="19"/>
                <w:szCs w:val="19"/>
                <w:lang w:val="en-GB"/>
              </w:rPr>
              <w:t>0</w:t>
            </w:r>
          </w:p>
        </w:tc>
        <w:tc>
          <w:tcPr>
            <w:tcW w:w="992" w:type="dxa"/>
            <w:noWrap/>
            <w:vAlign w:val="center"/>
            <w:hideMark/>
          </w:tcPr>
          <w:p w14:paraId="32E8C99A" w14:textId="727DDCB3"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0.02</w:t>
            </w:r>
            <w:r w:rsidR="00380CC0" w:rsidRPr="009C1935">
              <w:rPr>
                <w:rFonts w:ascii="Arial" w:eastAsia="Calibri" w:hAnsi="Arial" w:cs="Arial"/>
                <w:sz w:val="19"/>
                <w:szCs w:val="19"/>
                <w:lang w:val="en-GB"/>
              </w:rPr>
              <w:t>0</w:t>
            </w:r>
          </w:p>
        </w:tc>
        <w:tc>
          <w:tcPr>
            <w:tcW w:w="1134" w:type="dxa"/>
            <w:noWrap/>
            <w:vAlign w:val="center"/>
            <w:hideMark/>
          </w:tcPr>
          <w:p w14:paraId="278AE79F" w14:textId="7ECF1ED3"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0.03</w:t>
            </w:r>
            <w:r w:rsidR="00380CC0" w:rsidRPr="009C1935">
              <w:rPr>
                <w:rFonts w:ascii="Arial" w:eastAsia="Calibri" w:hAnsi="Arial" w:cs="Arial"/>
                <w:sz w:val="19"/>
                <w:szCs w:val="19"/>
                <w:lang w:val="en-GB"/>
              </w:rPr>
              <w:t>0</w:t>
            </w:r>
          </w:p>
        </w:tc>
        <w:tc>
          <w:tcPr>
            <w:tcW w:w="1134" w:type="dxa"/>
            <w:noWrap/>
            <w:vAlign w:val="center"/>
            <w:hideMark/>
          </w:tcPr>
          <w:p w14:paraId="16E48DF7" w14:textId="49EC06D6" w:rsidR="008E0E4E" w:rsidRPr="009C1935" w:rsidRDefault="00295FF3" w:rsidP="00803A05">
            <w:pPr>
              <w:jc w:val="right"/>
              <w:rPr>
                <w:rFonts w:ascii="Arial" w:eastAsia="Calibri" w:hAnsi="Arial" w:cs="Arial"/>
                <w:sz w:val="19"/>
                <w:szCs w:val="19"/>
                <w:lang w:val="en-GB"/>
              </w:rPr>
            </w:pPr>
            <w:r w:rsidRPr="009C1935">
              <w:rPr>
                <w:rFonts w:ascii="Arial" w:eastAsia="Calibri" w:hAnsi="Arial" w:cs="Arial"/>
                <w:sz w:val="19"/>
                <w:szCs w:val="19"/>
                <w:lang w:val="en-GB"/>
              </w:rPr>
              <w:t>–</w:t>
            </w:r>
            <w:r w:rsidR="008E0E4E" w:rsidRPr="009C1935">
              <w:rPr>
                <w:rFonts w:ascii="Arial" w:eastAsia="Calibri" w:hAnsi="Arial" w:cs="Arial"/>
                <w:sz w:val="19"/>
                <w:szCs w:val="19"/>
                <w:lang w:val="en-GB"/>
              </w:rPr>
              <w:t>0.05</w:t>
            </w:r>
            <w:r w:rsidR="00380CC0" w:rsidRPr="009C1935">
              <w:rPr>
                <w:rFonts w:ascii="Arial" w:eastAsia="Calibri" w:hAnsi="Arial" w:cs="Arial"/>
                <w:sz w:val="19"/>
                <w:szCs w:val="19"/>
                <w:lang w:val="en-GB"/>
              </w:rPr>
              <w:t>0</w:t>
            </w:r>
          </w:p>
        </w:tc>
        <w:tc>
          <w:tcPr>
            <w:tcW w:w="1132" w:type="dxa"/>
            <w:noWrap/>
            <w:vAlign w:val="center"/>
            <w:hideMark/>
          </w:tcPr>
          <w:p w14:paraId="5926EFFB" w14:textId="54E0AA24"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0.05</w:t>
            </w:r>
            <w:r w:rsidR="00380CC0" w:rsidRPr="009C1935">
              <w:rPr>
                <w:rFonts w:ascii="Arial" w:eastAsia="Calibri" w:hAnsi="Arial" w:cs="Arial"/>
                <w:sz w:val="19"/>
                <w:szCs w:val="19"/>
                <w:lang w:val="en-GB"/>
              </w:rPr>
              <w:t>0</w:t>
            </w:r>
          </w:p>
        </w:tc>
        <w:tc>
          <w:tcPr>
            <w:tcW w:w="1054" w:type="dxa"/>
            <w:vAlign w:val="center"/>
          </w:tcPr>
          <w:p w14:paraId="45D15350"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0.017</w:t>
            </w:r>
          </w:p>
        </w:tc>
      </w:tr>
      <w:tr w:rsidR="008E0E4E" w:rsidRPr="009C1935" w14:paraId="707C14A1" w14:textId="77777777" w:rsidTr="0037757F">
        <w:trPr>
          <w:trHeight w:val="20"/>
          <w:jc w:val="center"/>
        </w:trPr>
        <w:tc>
          <w:tcPr>
            <w:tcW w:w="2943" w:type="dxa"/>
            <w:noWrap/>
            <w:vAlign w:val="center"/>
            <w:hideMark/>
          </w:tcPr>
          <w:p w14:paraId="6D636406"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Minus: P&amp;E </w:t>
            </w:r>
            <w:r w:rsidR="00207F46" w:rsidRPr="009C1935">
              <w:rPr>
                <w:rFonts w:ascii="Arial" w:eastAsia="Calibri" w:hAnsi="Arial" w:cs="Arial"/>
                <w:bCs/>
                <w:sz w:val="19"/>
                <w:szCs w:val="19"/>
                <w:lang w:val="en-GB"/>
              </w:rPr>
              <w:t>expenditure</w:t>
            </w:r>
            <w:r w:rsidR="00803A05" w:rsidRPr="009C1935">
              <w:rPr>
                <w:rFonts w:ascii="Arial" w:eastAsia="Calibri" w:hAnsi="Arial" w:cs="Arial"/>
                <w:bCs/>
                <w:sz w:val="19"/>
                <w:szCs w:val="19"/>
                <w:lang w:val="en-GB"/>
              </w:rPr>
              <w:t>**</w:t>
            </w:r>
          </w:p>
        </w:tc>
        <w:tc>
          <w:tcPr>
            <w:tcW w:w="993" w:type="dxa"/>
            <w:noWrap/>
            <w:vAlign w:val="center"/>
            <w:hideMark/>
          </w:tcPr>
          <w:p w14:paraId="190136DD"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983.66</w:t>
            </w:r>
          </w:p>
        </w:tc>
        <w:tc>
          <w:tcPr>
            <w:tcW w:w="992" w:type="dxa"/>
            <w:noWrap/>
            <w:vAlign w:val="center"/>
            <w:hideMark/>
          </w:tcPr>
          <w:p w14:paraId="5EA2795A"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850.75</w:t>
            </w:r>
          </w:p>
        </w:tc>
        <w:tc>
          <w:tcPr>
            <w:tcW w:w="1134" w:type="dxa"/>
            <w:noWrap/>
            <w:vAlign w:val="center"/>
            <w:hideMark/>
          </w:tcPr>
          <w:p w14:paraId="1A164CF6"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1,071.67</w:t>
            </w:r>
          </w:p>
        </w:tc>
        <w:tc>
          <w:tcPr>
            <w:tcW w:w="1134" w:type="dxa"/>
            <w:noWrap/>
            <w:vAlign w:val="center"/>
            <w:hideMark/>
          </w:tcPr>
          <w:p w14:paraId="649335F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1,221.80</w:t>
            </w:r>
          </w:p>
        </w:tc>
        <w:tc>
          <w:tcPr>
            <w:tcW w:w="1132" w:type="dxa"/>
            <w:noWrap/>
            <w:vAlign w:val="center"/>
            <w:hideMark/>
          </w:tcPr>
          <w:p w14:paraId="7E8ADC5C"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803.07</w:t>
            </w:r>
          </w:p>
        </w:tc>
        <w:tc>
          <w:tcPr>
            <w:tcW w:w="1054" w:type="dxa"/>
            <w:vAlign w:val="center"/>
          </w:tcPr>
          <w:p w14:paraId="3034B121" w14:textId="77777777" w:rsidR="008E0E4E" w:rsidRPr="009C1935" w:rsidRDefault="008E0E4E" w:rsidP="00803A05">
            <w:pPr>
              <w:jc w:val="right"/>
              <w:rPr>
                <w:rFonts w:ascii="Arial" w:hAnsi="Arial" w:cs="Arial"/>
                <w:color w:val="000000"/>
                <w:sz w:val="19"/>
                <w:szCs w:val="19"/>
                <w:lang w:val="en-GB"/>
              </w:rPr>
            </w:pPr>
            <w:r w:rsidRPr="009C1935">
              <w:rPr>
                <w:rFonts w:ascii="Arial" w:hAnsi="Arial" w:cs="Arial"/>
                <w:color w:val="000000"/>
                <w:sz w:val="19"/>
                <w:szCs w:val="19"/>
                <w:lang w:val="en-GB"/>
              </w:rPr>
              <w:t>986.19</w:t>
            </w:r>
          </w:p>
        </w:tc>
      </w:tr>
      <w:tr w:rsidR="008E0E4E" w:rsidRPr="009C1935" w14:paraId="50947D88" w14:textId="77777777" w:rsidTr="0037757F">
        <w:trPr>
          <w:trHeight w:val="20"/>
          <w:jc w:val="center"/>
        </w:trPr>
        <w:tc>
          <w:tcPr>
            <w:tcW w:w="2943" w:type="dxa"/>
            <w:noWrap/>
            <w:vAlign w:val="center"/>
            <w:hideMark/>
          </w:tcPr>
          <w:p w14:paraId="633055EE" w14:textId="77777777" w:rsidR="008E0E4E" w:rsidRPr="009C1935" w:rsidRDefault="008E0E4E" w:rsidP="00207F46">
            <w:pPr>
              <w:rPr>
                <w:rFonts w:ascii="Arial" w:eastAsia="Calibri" w:hAnsi="Arial" w:cs="Arial"/>
                <w:bCs/>
                <w:sz w:val="19"/>
                <w:szCs w:val="19"/>
                <w:lang w:val="en-GB"/>
              </w:rPr>
            </w:pPr>
            <w:r w:rsidRPr="009C1935">
              <w:rPr>
                <w:rFonts w:ascii="Arial" w:eastAsia="Calibri" w:hAnsi="Arial" w:cs="Arial"/>
                <w:bCs/>
                <w:sz w:val="19"/>
                <w:szCs w:val="19"/>
                <w:lang w:val="en-GB"/>
              </w:rPr>
              <w:t xml:space="preserve">Equals: Enterprise </w:t>
            </w:r>
            <w:r w:rsidR="00207F46" w:rsidRPr="009C1935">
              <w:rPr>
                <w:rFonts w:ascii="Arial" w:eastAsia="Calibri" w:hAnsi="Arial" w:cs="Arial"/>
                <w:bCs/>
                <w:sz w:val="19"/>
                <w:szCs w:val="19"/>
                <w:lang w:val="en-GB"/>
              </w:rPr>
              <w:t>cash flow</w:t>
            </w:r>
          </w:p>
        </w:tc>
        <w:tc>
          <w:tcPr>
            <w:tcW w:w="993" w:type="dxa"/>
            <w:noWrap/>
            <w:vAlign w:val="center"/>
            <w:hideMark/>
          </w:tcPr>
          <w:p w14:paraId="505D6599" w14:textId="77777777" w:rsidR="008E0E4E" w:rsidRPr="009C1935" w:rsidRDefault="0045542B" w:rsidP="00803A05">
            <w:pPr>
              <w:jc w:val="right"/>
              <w:rPr>
                <w:rFonts w:ascii="Arial" w:eastAsia="Calibri" w:hAnsi="Arial" w:cs="Arial"/>
                <w:sz w:val="19"/>
                <w:szCs w:val="19"/>
                <w:lang w:val="en-GB"/>
              </w:rPr>
            </w:pPr>
            <w:r w:rsidRPr="009C1935">
              <w:rPr>
                <w:rFonts w:ascii="Arial" w:hAnsi="Arial" w:cs="Arial"/>
                <w:sz w:val="19"/>
                <w:szCs w:val="19"/>
                <w:lang w:val="en-GB"/>
              </w:rPr>
              <w:t>−</w:t>
            </w:r>
            <w:r w:rsidR="008E0E4E" w:rsidRPr="009C1935">
              <w:rPr>
                <w:rFonts w:ascii="Arial" w:eastAsia="Calibri" w:hAnsi="Arial" w:cs="Arial"/>
                <w:sz w:val="19"/>
                <w:szCs w:val="19"/>
                <w:lang w:val="en-GB"/>
              </w:rPr>
              <w:t>638.24</w:t>
            </w:r>
          </w:p>
        </w:tc>
        <w:tc>
          <w:tcPr>
            <w:tcW w:w="992" w:type="dxa"/>
            <w:noWrap/>
            <w:vAlign w:val="center"/>
            <w:hideMark/>
          </w:tcPr>
          <w:p w14:paraId="2A0F8C21" w14:textId="77777777" w:rsidR="008E0E4E" w:rsidRPr="009C1935" w:rsidRDefault="0045542B" w:rsidP="00803A05">
            <w:pPr>
              <w:jc w:val="right"/>
              <w:rPr>
                <w:rFonts w:ascii="Arial" w:eastAsia="Calibri" w:hAnsi="Arial" w:cs="Arial"/>
                <w:sz w:val="19"/>
                <w:szCs w:val="19"/>
                <w:lang w:val="en-GB"/>
              </w:rPr>
            </w:pPr>
            <w:r w:rsidRPr="009C1935">
              <w:rPr>
                <w:rFonts w:ascii="Arial" w:hAnsi="Arial" w:cs="Arial"/>
                <w:sz w:val="19"/>
                <w:szCs w:val="19"/>
                <w:lang w:val="en-GB"/>
              </w:rPr>
              <w:t>−</w:t>
            </w:r>
            <w:r w:rsidR="008E0E4E" w:rsidRPr="009C1935">
              <w:rPr>
                <w:rFonts w:ascii="Arial" w:eastAsia="Calibri" w:hAnsi="Arial" w:cs="Arial"/>
                <w:sz w:val="19"/>
                <w:szCs w:val="19"/>
                <w:lang w:val="en-GB"/>
              </w:rPr>
              <w:t>317.32</w:t>
            </w:r>
          </w:p>
        </w:tc>
        <w:tc>
          <w:tcPr>
            <w:tcW w:w="1134" w:type="dxa"/>
            <w:noWrap/>
            <w:vAlign w:val="center"/>
            <w:hideMark/>
          </w:tcPr>
          <w:p w14:paraId="317F96E5" w14:textId="77777777" w:rsidR="008E0E4E" w:rsidRPr="009C1935" w:rsidRDefault="0045542B" w:rsidP="00803A05">
            <w:pPr>
              <w:jc w:val="right"/>
              <w:rPr>
                <w:rFonts w:ascii="Arial" w:eastAsia="Calibri" w:hAnsi="Arial" w:cs="Arial"/>
                <w:sz w:val="19"/>
                <w:szCs w:val="19"/>
                <w:lang w:val="en-GB"/>
              </w:rPr>
            </w:pPr>
            <w:r w:rsidRPr="009C1935">
              <w:rPr>
                <w:rFonts w:ascii="Arial" w:hAnsi="Arial" w:cs="Arial"/>
                <w:sz w:val="19"/>
                <w:szCs w:val="19"/>
                <w:lang w:val="en-GB"/>
              </w:rPr>
              <w:t>−</w:t>
            </w:r>
            <w:r w:rsidR="008E0E4E" w:rsidRPr="009C1935">
              <w:rPr>
                <w:rFonts w:ascii="Arial" w:eastAsia="Calibri" w:hAnsi="Arial" w:cs="Arial"/>
                <w:sz w:val="19"/>
                <w:szCs w:val="19"/>
                <w:lang w:val="en-GB"/>
              </w:rPr>
              <w:t>604.11</w:t>
            </w:r>
          </w:p>
        </w:tc>
        <w:tc>
          <w:tcPr>
            <w:tcW w:w="1134" w:type="dxa"/>
            <w:noWrap/>
            <w:vAlign w:val="center"/>
            <w:hideMark/>
          </w:tcPr>
          <w:p w14:paraId="06CC9EEB" w14:textId="77777777" w:rsidR="008E0E4E" w:rsidRPr="009C1935" w:rsidRDefault="008E0E4E" w:rsidP="00803A05">
            <w:pPr>
              <w:jc w:val="right"/>
              <w:rPr>
                <w:rFonts w:ascii="Arial" w:eastAsia="Calibri" w:hAnsi="Arial" w:cs="Arial"/>
                <w:sz w:val="19"/>
                <w:szCs w:val="19"/>
                <w:lang w:val="en-GB"/>
              </w:rPr>
            </w:pPr>
            <w:r w:rsidRPr="009C1935">
              <w:rPr>
                <w:rFonts w:ascii="Arial" w:eastAsia="Calibri" w:hAnsi="Arial" w:cs="Arial"/>
                <w:sz w:val="19"/>
                <w:szCs w:val="19"/>
                <w:lang w:val="en-GB"/>
              </w:rPr>
              <w:t>396.84</w:t>
            </w:r>
          </w:p>
        </w:tc>
        <w:tc>
          <w:tcPr>
            <w:tcW w:w="1132" w:type="dxa"/>
            <w:noWrap/>
            <w:vAlign w:val="center"/>
            <w:hideMark/>
          </w:tcPr>
          <w:p w14:paraId="72F95B09" w14:textId="77777777" w:rsidR="008E0E4E" w:rsidRPr="009C1935" w:rsidRDefault="0045542B" w:rsidP="00803A05">
            <w:pPr>
              <w:jc w:val="right"/>
              <w:rPr>
                <w:rFonts w:ascii="Arial" w:eastAsia="Calibri" w:hAnsi="Arial" w:cs="Arial"/>
                <w:sz w:val="19"/>
                <w:szCs w:val="19"/>
                <w:lang w:val="en-GB"/>
              </w:rPr>
            </w:pPr>
            <w:r w:rsidRPr="009C1935">
              <w:rPr>
                <w:rFonts w:ascii="Arial" w:hAnsi="Arial" w:cs="Arial"/>
                <w:sz w:val="19"/>
                <w:szCs w:val="19"/>
                <w:lang w:val="en-GB"/>
              </w:rPr>
              <w:t>−</w:t>
            </w:r>
            <w:r w:rsidR="008E0E4E" w:rsidRPr="009C1935">
              <w:rPr>
                <w:rFonts w:ascii="Arial" w:eastAsia="Calibri" w:hAnsi="Arial" w:cs="Arial"/>
                <w:sz w:val="19"/>
                <w:szCs w:val="19"/>
                <w:lang w:val="en-GB"/>
              </w:rPr>
              <w:t>255.62</w:t>
            </w:r>
          </w:p>
        </w:tc>
        <w:tc>
          <w:tcPr>
            <w:tcW w:w="1054" w:type="dxa"/>
            <w:vAlign w:val="center"/>
          </w:tcPr>
          <w:p w14:paraId="632654EA" w14:textId="77777777" w:rsidR="008E0E4E" w:rsidRPr="009C1935" w:rsidRDefault="0045542B" w:rsidP="00803A05">
            <w:pPr>
              <w:jc w:val="right"/>
              <w:rPr>
                <w:rFonts w:ascii="Arial" w:hAnsi="Arial" w:cs="Arial"/>
                <w:color w:val="000000"/>
                <w:sz w:val="19"/>
                <w:szCs w:val="19"/>
                <w:lang w:val="en-GB"/>
              </w:rPr>
            </w:pPr>
            <w:r w:rsidRPr="009C1935">
              <w:rPr>
                <w:rFonts w:ascii="Arial" w:hAnsi="Arial" w:cs="Arial"/>
                <w:sz w:val="19"/>
                <w:szCs w:val="19"/>
                <w:lang w:val="en-GB"/>
              </w:rPr>
              <w:t>−</w:t>
            </w:r>
            <w:r w:rsidR="008E0E4E" w:rsidRPr="009C1935">
              <w:rPr>
                <w:rFonts w:ascii="Arial" w:hAnsi="Arial" w:cs="Arial"/>
                <w:color w:val="000000"/>
                <w:sz w:val="19"/>
                <w:szCs w:val="19"/>
                <w:lang w:val="en-GB"/>
              </w:rPr>
              <w:t>283.69</w:t>
            </w:r>
          </w:p>
        </w:tc>
      </w:tr>
    </w:tbl>
    <w:p w14:paraId="6BA0B327" w14:textId="77777777" w:rsidR="00487D01" w:rsidRPr="009C1935" w:rsidRDefault="00487D01" w:rsidP="00741604">
      <w:pPr>
        <w:pStyle w:val="FootnoteText1"/>
        <w:rPr>
          <w:rFonts w:eastAsia="Calibri"/>
          <w:lang w:val="en-GB"/>
        </w:rPr>
      </w:pPr>
    </w:p>
    <w:p w14:paraId="6EF555A7" w14:textId="1983FA19" w:rsidR="008E0E4E" w:rsidRPr="008F1D1E" w:rsidRDefault="003C7079" w:rsidP="00741604">
      <w:pPr>
        <w:pStyle w:val="FootnoteText1"/>
        <w:rPr>
          <w:rFonts w:eastAsia="Calibri"/>
          <w:spacing w:val="-2"/>
          <w:lang w:val="en-GB"/>
        </w:rPr>
      </w:pPr>
      <w:r w:rsidRPr="008F1D1E">
        <w:rPr>
          <w:rFonts w:eastAsia="Calibri"/>
          <w:spacing w:val="-2"/>
          <w:lang w:val="en-GB"/>
        </w:rPr>
        <w:t xml:space="preserve">Notes: </w:t>
      </w:r>
      <w:r w:rsidR="00803A05" w:rsidRPr="008F1D1E">
        <w:rPr>
          <w:rFonts w:eastAsia="Calibri"/>
          <w:spacing w:val="-2"/>
          <w:lang w:val="en-GB"/>
        </w:rPr>
        <w:t xml:space="preserve">* </w:t>
      </w:r>
      <w:r w:rsidR="00803A05" w:rsidRPr="008F1D1E">
        <w:rPr>
          <w:spacing w:val="-2"/>
          <w:lang w:val="en-GB"/>
        </w:rPr>
        <w:t xml:space="preserve">Obtained by subtracting </w:t>
      </w:r>
      <w:r w:rsidR="00207F46" w:rsidRPr="008F1D1E">
        <w:rPr>
          <w:spacing w:val="-2"/>
          <w:lang w:val="en-GB"/>
        </w:rPr>
        <w:t xml:space="preserve">“Cash </w:t>
      </w:r>
      <w:r w:rsidR="00803A05" w:rsidRPr="008F1D1E">
        <w:rPr>
          <w:spacing w:val="-2"/>
          <w:lang w:val="en-GB"/>
        </w:rPr>
        <w:t xml:space="preserve">generated from </w:t>
      </w:r>
      <w:r w:rsidR="00207F46" w:rsidRPr="008F1D1E">
        <w:rPr>
          <w:spacing w:val="-2"/>
          <w:lang w:val="en-GB"/>
        </w:rPr>
        <w:t xml:space="preserve">operations” </w:t>
      </w:r>
      <w:r w:rsidR="00803A05" w:rsidRPr="008F1D1E">
        <w:rPr>
          <w:spacing w:val="-2"/>
          <w:lang w:val="en-GB"/>
        </w:rPr>
        <w:t xml:space="preserve">from </w:t>
      </w:r>
      <w:r w:rsidR="00207F46" w:rsidRPr="008F1D1E">
        <w:rPr>
          <w:spacing w:val="-2"/>
          <w:lang w:val="en-GB"/>
        </w:rPr>
        <w:t xml:space="preserve">“Operating </w:t>
      </w:r>
      <w:r w:rsidR="00803A05" w:rsidRPr="008F1D1E">
        <w:rPr>
          <w:spacing w:val="-2"/>
          <w:lang w:val="en-GB"/>
        </w:rPr>
        <w:t xml:space="preserve">cash flow before working capital </w:t>
      </w:r>
      <w:r w:rsidR="00207F46" w:rsidRPr="008F1D1E">
        <w:rPr>
          <w:spacing w:val="-2"/>
          <w:lang w:val="en-GB"/>
        </w:rPr>
        <w:t xml:space="preserve">changes” </w:t>
      </w:r>
      <w:r w:rsidR="00803A05" w:rsidRPr="008F1D1E">
        <w:rPr>
          <w:spacing w:val="-2"/>
          <w:lang w:val="en-GB"/>
        </w:rPr>
        <w:t xml:space="preserve">of cash flow statement (see Exhibit </w:t>
      </w:r>
      <w:r w:rsidR="0046736F" w:rsidRPr="008F1D1E">
        <w:rPr>
          <w:spacing w:val="-2"/>
          <w:lang w:val="en-GB"/>
        </w:rPr>
        <w:t>8</w:t>
      </w:r>
      <w:r w:rsidRPr="008F1D1E">
        <w:rPr>
          <w:spacing w:val="-2"/>
          <w:lang w:val="en-GB"/>
        </w:rPr>
        <w:t xml:space="preserve">); </w:t>
      </w:r>
      <w:r w:rsidR="00803A05" w:rsidRPr="008F1D1E">
        <w:rPr>
          <w:rFonts w:eastAsia="Calibri"/>
          <w:spacing w:val="-2"/>
          <w:lang w:val="en-GB"/>
        </w:rPr>
        <w:t>**</w:t>
      </w:r>
      <w:r w:rsidR="00803A05" w:rsidRPr="008F1D1E">
        <w:rPr>
          <w:spacing w:val="-2"/>
          <w:lang w:val="en-GB"/>
        </w:rPr>
        <w:t xml:space="preserve"> Purchase of fixed assets (CAPEX) from </w:t>
      </w:r>
      <w:r w:rsidR="00207F46" w:rsidRPr="008F1D1E">
        <w:rPr>
          <w:spacing w:val="-2"/>
          <w:lang w:val="en-GB"/>
        </w:rPr>
        <w:t xml:space="preserve">cash flow statement </w:t>
      </w:r>
      <w:r w:rsidR="00803A05" w:rsidRPr="008F1D1E">
        <w:rPr>
          <w:spacing w:val="-2"/>
          <w:lang w:val="en-GB"/>
        </w:rPr>
        <w:t xml:space="preserve">(see Exhibit </w:t>
      </w:r>
      <w:r w:rsidR="0046736F" w:rsidRPr="008F1D1E">
        <w:rPr>
          <w:spacing w:val="-2"/>
          <w:lang w:val="en-GB"/>
        </w:rPr>
        <w:t>8</w:t>
      </w:r>
      <w:r w:rsidR="00803A05" w:rsidRPr="008F1D1E">
        <w:rPr>
          <w:spacing w:val="-2"/>
          <w:lang w:val="en-GB"/>
        </w:rPr>
        <w:t>).</w:t>
      </w:r>
    </w:p>
    <w:p w14:paraId="54E3E10D" w14:textId="77777777" w:rsidR="00803A05" w:rsidRPr="009C1935" w:rsidRDefault="00803A05" w:rsidP="00741604">
      <w:pPr>
        <w:pStyle w:val="FootnoteText1"/>
        <w:rPr>
          <w:rFonts w:eastAsia="Calibri"/>
          <w:lang w:val="en-GB"/>
        </w:rPr>
      </w:pPr>
    </w:p>
    <w:p w14:paraId="453D9374" w14:textId="77777777" w:rsidR="008E0E4E" w:rsidRPr="009C1935" w:rsidRDefault="008E0E4E" w:rsidP="00741604">
      <w:pPr>
        <w:pStyle w:val="FootnoteText1"/>
        <w:rPr>
          <w:rFonts w:eastAsia="Calibri"/>
          <w:lang w:val="en-GB"/>
        </w:rPr>
      </w:pPr>
      <w:r w:rsidRPr="009C1935">
        <w:rPr>
          <w:rFonts w:eastAsia="Calibri"/>
          <w:lang w:val="en-GB"/>
        </w:rPr>
        <w:t xml:space="preserve">Source: Authors’ calculation based on data provided in case </w:t>
      </w:r>
      <w:r w:rsidR="00207F46" w:rsidRPr="009C1935">
        <w:rPr>
          <w:rFonts w:eastAsia="Calibri"/>
          <w:lang w:val="en-GB"/>
        </w:rPr>
        <w:t xml:space="preserve">Exhibit </w:t>
      </w:r>
      <w:r w:rsidRPr="009C1935">
        <w:rPr>
          <w:rFonts w:eastAsia="Calibri"/>
          <w:lang w:val="en-GB"/>
        </w:rPr>
        <w:t>7.</w:t>
      </w:r>
    </w:p>
    <w:p w14:paraId="664E99E9" w14:textId="77777777" w:rsidR="00803A05" w:rsidRPr="009C1935" w:rsidRDefault="00803A05" w:rsidP="00741604">
      <w:pPr>
        <w:pStyle w:val="BodyTextMain"/>
        <w:rPr>
          <w:lang w:val="en-GB"/>
        </w:rPr>
      </w:pPr>
    </w:p>
    <w:p w14:paraId="70737880" w14:textId="77777777" w:rsidR="008E0E4E" w:rsidRPr="009C1935" w:rsidRDefault="008E0E4E" w:rsidP="00741604">
      <w:pPr>
        <w:pStyle w:val="BodyTextMain"/>
        <w:rPr>
          <w:lang w:val="en-GB"/>
        </w:rPr>
      </w:pPr>
    </w:p>
    <w:p w14:paraId="18E2C62E" w14:textId="77777777" w:rsidR="008E0E4E" w:rsidRPr="009C1935" w:rsidRDefault="008E0E4E" w:rsidP="00453FA9">
      <w:pPr>
        <w:jc w:val="center"/>
        <w:rPr>
          <w:rFonts w:ascii="Arial" w:hAnsi="Arial" w:cs="Arial"/>
          <w:b/>
          <w:lang w:val="en-GB"/>
        </w:rPr>
      </w:pPr>
      <w:r w:rsidRPr="009C1935">
        <w:rPr>
          <w:rFonts w:ascii="Arial" w:hAnsi="Arial" w:cs="Arial"/>
          <w:b/>
          <w:lang w:val="en-GB"/>
        </w:rPr>
        <w:t>EXHIBIT 10: DATA FOR VALUATION EXERCISE</w:t>
      </w:r>
    </w:p>
    <w:p w14:paraId="152F7E3F" w14:textId="77777777" w:rsidR="00A533EF" w:rsidRPr="009C1935" w:rsidRDefault="00A533EF" w:rsidP="00D63493">
      <w:pPr>
        <w:pStyle w:val="BodyTextMain"/>
        <w:rPr>
          <w:rFonts w:ascii="Arial" w:eastAsia="Calibri" w:hAnsi="Arial" w:cs="Arial"/>
          <w:sz w:val="16"/>
          <w:szCs w:val="16"/>
          <w:lang w:val="en-GB"/>
        </w:rPr>
      </w:pPr>
    </w:p>
    <w:p w14:paraId="0CF48EF9" w14:textId="7DC91D51" w:rsidR="008E0E4E" w:rsidRPr="009C1935" w:rsidRDefault="006C09D5" w:rsidP="00D63493">
      <w:pPr>
        <w:pStyle w:val="BodyTextMain"/>
        <w:rPr>
          <w:rFonts w:ascii="Arial" w:eastAsia="Calibri" w:hAnsi="Arial" w:cs="Arial"/>
          <w:sz w:val="20"/>
          <w:szCs w:val="20"/>
          <w:lang w:val="en-GB"/>
        </w:rPr>
      </w:pPr>
      <w:r w:rsidRPr="009C1935">
        <w:rPr>
          <w:rFonts w:ascii="Arial" w:eastAsia="Calibri" w:hAnsi="Arial" w:cs="Arial"/>
          <w:sz w:val="20"/>
          <w:szCs w:val="20"/>
          <w:lang w:val="en-GB"/>
        </w:rPr>
        <w:t xml:space="preserve">The beta </w:t>
      </w:r>
      <w:r w:rsidR="008E0E4E" w:rsidRPr="009C1935">
        <w:rPr>
          <w:rFonts w:ascii="Arial" w:eastAsia="Calibri" w:hAnsi="Arial" w:cs="Arial"/>
          <w:sz w:val="20"/>
          <w:szCs w:val="20"/>
          <w:lang w:val="en-GB"/>
        </w:rPr>
        <w:t xml:space="preserve">for </w:t>
      </w:r>
      <w:r w:rsidRPr="009C1935">
        <w:rPr>
          <w:rFonts w:ascii="Arial" w:eastAsia="Calibri" w:hAnsi="Arial" w:cs="Arial"/>
          <w:sz w:val="20"/>
          <w:szCs w:val="20"/>
          <w:lang w:val="en-GB"/>
        </w:rPr>
        <w:t xml:space="preserve">the </w:t>
      </w:r>
      <w:r w:rsidR="008E0E4E" w:rsidRPr="009C1935">
        <w:rPr>
          <w:rFonts w:ascii="Arial" w:eastAsia="Calibri" w:hAnsi="Arial" w:cs="Arial"/>
          <w:sz w:val="20"/>
          <w:szCs w:val="20"/>
          <w:lang w:val="en-GB"/>
        </w:rPr>
        <w:t xml:space="preserve">healthcare industry and </w:t>
      </w:r>
      <w:r w:rsidRPr="009C1935">
        <w:rPr>
          <w:rFonts w:ascii="Arial" w:eastAsia="Calibri" w:hAnsi="Arial" w:cs="Arial"/>
          <w:sz w:val="20"/>
          <w:szCs w:val="20"/>
          <w:lang w:val="en-GB"/>
        </w:rPr>
        <w:t>the risk-</w:t>
      </w:r>
      <w:r w:rsidR="008E0E4E" w:rsidRPr="009C1935">
        <w:rPr>
          <w:rFonts w:ascii="Arial" w:eastAsia="Calibri" w:hAnsi="Arial" w:cs="Arial"/>
          <w:sz w:val="20"/>
          <w:szCs w:val="20"/>
          <w:lang w:val="en-GB"/>
        </w:rPr>
        <w:t xml:space="preserve">free rate of return </w:t>
      </w:r>
      <w:r w:rsidR="00B63A8E" w:rsidRPr="009C1935">
        <w:rPr>
          <w:rFonts w:ascii="Arial" w:eastAsia="Calibri" w:hAnsi="Arial" w:cs="Arial"/>
          <w:sz w:val="20"/>
          <w:szCs w:val="20"/>
          <w:lang w:val="en-GB"/>
        </w:rPr>
        <w:t xml:space="preserve">were </w:t>
      </w:r>
      <w:r w:rsidR="008E0E4E" w:rsidRPr="009C1935">
        <w:rPr>
          <w:rFonts w:ascii="Arial" w:eastAsia="Calibri" w:hAnsi="Arial" w:cs="Arial"/>
          <w:sz w:val="20"/>
          <w:szCs w:val="20"/>
          <w:lang w:val="en-GB"/>
        </w:rPr>
        <w:t>0.596 and 6.5</w:t>
      </w:r>
      <w:r w:rsidR="00380CC0" w:rsidRPr="009C1935">
        <w:rPr>
          <w:rFonts w:ascii="Arial" w:eastAsia="Calibri" w:hAnsi="Arial" w:cs="Arial"/>
          <w:sz w:val="20"/>
          <w:szCs w:val="20"/>
          <w:lang w:val="en-GB"/>
        </w:rPr>
        <w:t xml:space="preserve"> per cent,</w:t>
      </w:r>
      <w:r w:rsidR="008E0E4E" w:rsidRPr="009C1935">
        <w:rPr>
          <w:rFonts w:ascii="Arial" w:eastAsia="Calibri" w:hAnsi="Arial" w:cs="Arial"/>
          <w:sz w:val="20"/>
          <w:szCs w:val="20"/>
          <w:lang w:val="en-GB"/>
        </w:rPr>
        <w:t xml:space="preserve"> respectively. </w:t>
      </w:r>
      <w:r w:rsidRPr="009C1935">
        <w:rPr>
          <w:rFonts w:ascii="Arial" w:eastAsia="Calibri" w:hAnsi="Arial" w:cs="Arial"/>
          <w:sz w:val="20"/>
          <w:szCs w:val="20"/>
          <w:lang w:val="en-GB"/>
        </w:rPr>
        <w:t xml:space="preserve">The total </w:t>
      </w:r>
      <w:r w:rsidR="008E0E4E" w:rsidRPr="009C1935">
        <w:rPr>
          <w:rFonts w:ascii="Arial" w:eastAsia="Calibri" w:hAnsi="Arial" w:cs="Arial"/>
          <w:sz w:val="20"/>
          <w:szCs w:val="20"/>
          <w:lang w:val="en-GB"/>
        </w:rPr>
        <w:t xml:space="preserve">equity risk premium for </w:t>
      </w:r>
      <w:r w:rsidRPr="009C1935">
        <w:rPr>
          <w:rFonts w:ascii="Arial" w:eastAsia="Calibri" w:hAnsi="Arial" w:cs="Arial"/>
          <w:sz w:val="20"/>
          <w:szCs w:val="20"/>
          <w:lang w:val="en-GB"/>
        </w:rPr>
        <w:t xml:space="preserve">the </w:t>
      </w:r>
      <w:r w:rsidR="008E0E4E" w:rsidRPr="009C1935">
        <w:rPr>
          <w:rFonts w:ascii="Arial" w:eastAsia="Calibri" w:hAnsi="Arial" w:cs="Arial"/>
          <w:sz w:val="20"/>
          <w:szCs w:val="20"/>
          <w:lang w:val="en-GB"/>
        </w:rPr>
        <w:t>Indian market was 9.71</w:t>
      </w:r>
      <w:r w:rsidR="00380CC0" w:rsidRPr="009C1935">
        <w:rPr>
          <w:rFonts w:ascii="Arial" w:eastAsia="Calibri" w:hAnsi="Arial" w:cs="Arial"/>
          <w:sz w:val="20"/>
          <w:szCs w:val="20"/>
          <w:lang w:val="en-GB"/>
        </w:rPr>
        <w:t xml:space="preserve"> per cent.</w:t>
      </w:r>
      <w:r w:rsidR="008E0E4E" w:rsidRPr="009C1935">
        <w:rPr>
          <w:rFonts w:ascii="Arial" w:eastAsia="Calibri" w:hAnsi="Arial" w:cs="Arial"/>
          <w:sz w:val="20"/>
          <w:szCs w:val="20"/>
          <w:lang w:val="en-GB"/>
        </w:rPr>
        <w:t xml:space="preserve"> </w:t>
      </w:r>
      <w:r w:rsidRPr="009C1935">
        <w:rPr>
          <w:rFonts w:ascii="Arial" w:eastAsia="Calibri" w:hAnsi="Arial" w:cs="Arial"/>
          <w:sz w:val="20"/>
          <w:szCs w:val="20"/>
          <w:lang w:val="en-GB"/>
        </w:rPr>
        <w:t xml:space="preserve">The cost </w:t>
      </w:r>
      <w:r w:rsidR="008E0E4E" w:rsidRPr="009C1935">
        <w:rPr>
          <w:rFonts w:ascii="Arial" w:eastAsia="Calibri" w:hAnsi="Arial" w:cs="Arial"/>
          <w:sz w:val="20"/>
          <w:szCs w:val="20"/>
          <w:lang w:val="en-GB"/>
        </w:rPr>
        <w:t>of debt for Narayana Health could be assumed to be 10</w:t>
      </w:r>
      <w:r w:rsidR="00380CC0" w:rsidRPr="009C1935">
        <w:rPr>
          <w:rFonts w:ascii="Arial" w:eastAsia="Calibri" w:hAnsi="Arial" w:cs="Arial"/>
          <w:sz w:val="20"/>
          <w:szCs w:val="20"/>
          <w:lang w:val="en-GB"/>
        </w:rPr>
        <w:t xml:space="preserve"> per cent.</w:t>
      </w:r>
    </w:p>
    <w:p w14:paraId="0A886A22" w14:textId="77777777" w:rsidR="00A533EF" w:rsidRPr="009C1935" w:rsidRDefault="00A533EF" w:rsidP="00D63493">
      <w:pPr>
        <w:pStyle w:val="BodyTextMain"/>
        <w:rPr>
          <w:rFonts w:ascii="Arial" w:hAnsi="Arial" w:cs="Arial"/>
          <w:sz w:val="20"/>
          <w:szCs w:val="20"/>
          <w:lang w:val="en-GB"/>
        </w:rPr>
      </w:pPr>
    </w:p>
    <w:p w14:paraId="1D1D8BB3" w14:textId="27769B65" w:rsidR="00803A05" w:rsidRPr="009C1935" w:rsidRDefault="008E0E4E" w:rsidP="00D63493">
      <w:pPr>
        <w:pStyle w:val="BodyTextMain"/>
        <w:rPr>
          <w:rFonts w:ascii="Arial" w:hAnsi="Arial" w:cs="Arial"/>
          <w:sz w:val="20"/>
          <w:szCs w:val="20"/>
          <w:lang w:val="en-GB"/>
        </w:rPr>
      </w:pPr>
      <w:r w:rsidRPr="009C1935">
        <w:rPr>
          <w:rFonts w:ascii="Arial" w:hAnsi="Arial" w:cs="Arial"/>
          <w:sz w:val="20"/>
          <w:szCs w:val="20"/>
          <w:lang w:val="en-GB"/>
        </w:rPr>
        <w:t xml:space="preserve">Discounted </w:t>
      </w:r>
      <w:r w:rsidR="00EA18B9" w:rsidRPr="009C1935">
        <w:rPr>
          <w:rFonts w:ascii="Arial" w:hAnsi="Arial" w:cs="Arial"/>
          <w:sz w:val="20"/>
          <w:szCs w:val="20"/>
          <w:lang w:val="en-GB"/>
        </w:rPr>
        <w:t xml:space="preserve">cash flow </w:t>
      </w:r>
      <w:r w:rsidRPr="009C1935">
        <w:rPr>
          <w:rFonts w:ascii="Arial" w:hAnsi="Arial" w:cs="Arial"/>
          <w:sz w:val="20"/>
          <w:szCs w:val="20"/>
          <w:lang w:val="en-GB"/>
        </w:rPr>
        <w:t>(DCF) analysis could be used for the valuation of the firm by forecasting the future revenues of the firm. Financial information of the past several years would help in forecasting future revenue streams. Multiple valuation</w:t>
      </w:r>
      <w:r w:rsidR="00A533EF" w:rsidRPr="009C1935">
        <w:rPr>
          <w:rFonts w:ascii="Arial" w:hAnsi="Arial" w:cs="Arial"/>
          <w:sz w:val="20"/>
          <w:szCs w:val="20"/>
          <w:lang w:val="en-GB"/>
        </w:rPr>
        <w:t xml:space="preserve"> </w:t>
      </w:r>
      <w:r w:rsidR="00453FA9" w:rsidRPr="009C1935">
        <w:rPr>
          <w:rFonts w:ascii="Arial" w:hAnsi="Arial" w:cs="Arial"/>
          <w:sz w:val="20"/>
          <w:szCs w:val="20"/>
          <w:lang w:val="en-GB"/>
        </w:rPr>
        <w:t>could also help in finding the right value of the firm</w:t>
      </w:r>
      <w:r w:rsidR="00B63A8E" w:rsidRPr="009C1935">
        <w:rPr>
          <w:rFonts w:ascii="Arial" w:hAnsi="Arial" w:cs="Arial"/>
          <w:sz w:val="20"/>
          <w:szCs w:val="20"/>
          <w:lang w:val="en-GB"/>
        </w:rPr>
        <w:t xml:space="preserve">; </w:t>
      </w:r>
      <w:r w:rsidR="00453FA9" w:rsidRPr="009C1935">
        <w:rPr>
          <w:rFonts w:ascii="Arial" w:hAnsi="Arial" w:cs="Arial"/>
          <w:sz w:val="20"/>
          <w:szCs w:val="20"/>
          <w:lang w:val="en-GB"/>
        </w:rPr>
        <w:t>however</w:t>
      </w:r>
      <w:r w:rsidR="00B63A8E" w:rsidRPr="009C1935">
        <w:rPr>
          <w:rFonts w:ascii="Arial" w:hAnsi="Arial" w:cs="Arial"/>
          <w:sz w:val="20"/>
          <w:szCs w:val="20"/>
          <w:lang w:val="en-GB"/>
        </w:rPr>
        <w:t>,</w:t>
      </w:r>
      <w:r w:rsidR="00453FA9" w:rsidRPr="009C1935">
        <w:rPr>
          <w:rFonts w:ascii="Arial" w:hAnsi="Arial" w:cs="Arial"/>
          <w:sz w:val="20"/>
          <w:szCs w:val="20"/>
          <w:lang w:val="en-GB"/>
        </w:rPr>
        <w:t xml:space="preserve"> determining the right valuation multiple by considering various </w:t>
      </w:r>
      <w:r w:rsidR="00EA18B9" w:rsidRPr="009C1935">
        <w:rPr>
          <w:rFonts w:ascii="Arial" w:hAnsi="Arial" w:cs="Arial"/>
          <w:sz w:val="20"/>
          <w:szCs w:val="20"/>
          <w:lang w:val="en-GB"/>
        </w:rPr>
        <w:t>factors—</w:t>
      </w:r>
      <w:r w:rsidR="00453FA9" w:rsidRPr="009C1935">
        <w:rPr>
          <w:rFonts w:ascii="Arial" w:hAnsi="Arial" w:cs="Arial"/>
          <w:sz w:val="20"/>
          <w:szCs w:val="20"/>
          <w:lang w:val="en-GB"/>
        </w:rPr>
        <w:t xml:space="preserve">like future growth potential of </w:t>
      </w:r>
      <w:r w:rsidR="00EA18B9" w:rsidRPr="009C1935">
        <w:rPr>
          <w:rFonts w:ascii="Arial" w:hAnsi="Arial" w:cs="Arial"/>
          <w:sz w:val="20"/>
          <w:szCs w:val="20"/>
          <w:lang w:val="en-GB"/>
        </w:rPr>
        <w:t xml:space="preserve">the </w:t>
      </w:r>
      <w:r w:rsidR="00453FA9" w:rsidRPr="009C1935">
        <w:rPr>
          <w:rFonts w:ascii="Arial" w:hAnsi="Arial" w:cs="Arial"/>
          <w:sz w:val="20"/>
          <w:szCs w:val="20"/>
          <w:lang w:val="en-GB"/>
        </w:rPr>
        <w:t xml:space="preserve">healthcare industry, </w:t>
      </w:r>
      <w:r w:rsidR="00EA18B9" w:rsidRPr="009C1935">
        <w:rPr>
          <w:rFonts w:ascii="Arial" w:hAnsi="Arial" w:cs="Arial"/>
          <w:sz w:val="20"/>
          <w:szCs w:val="20"/>
          <w:lang w:val="en-GB"/>
        </w:rPr>
        <w:t xml:space="preserve">and </w:t>
      </w:r>
      <w:r w:rsidR="00453FA9" w:rsidRPr="009C1935">
        <w:rPr>
          <w:rFonts w:ascii="Arial" w:hAnsi="Arial" w:cs="Arial"/>
          <w:sz w:val="20"/>
          <w:szCs w:val="20"/>
          <w:lang w:val="en-GB"/>
        </w:rPr>
        <w:t>strength</w:t>
      </w:r>
      <w:r w:rsidR="00B63A8E" w:rsidRPr="009C1935">
        <w:rPr>
          <w:rFonts w:ascii="Arial" w:hAnsi="Arial" w:cs="Arial"/>
          <w:sz w:val="20"/>
          <w:szCs w:val="20"/>
          <w:lang w:val="en-GB"/>
        </w:rPr>
        <w:t>s</w:t>
      </w:r>
      <w:r w:rsidR="00453FA9" w:rsidRPr="009C1935">
        <w:rPr>
          <w:rFonts w:ascii="Arial" w:hAnsi="Arial" w:cs="Arial"/>
          <w:sz w:val="20"/>
          <w:szCs w:val="20"/>
          <w:lang w:val="en-GB"/>
        </w:rPr>
        <w:t xml:space="preserve"> and weakness</w:t>
      </w:r>
      <w:r w:rsidR="00B63A8E" w:rsidRPr="009C1935">
        <w:rPr>
          <w:rFonts w:ascii="Arial" w:hAnsi="Arial" w:cs="Arial"/>
          <w:sz w:val="20"/>
          <w:szCs w:val="20"/>
          <w:lang w:val="en-GB"/>
        </w:rPr>
        <w:t>es</w:t>
      </w:r>
      <w:r w:rsidR="00453FA9" w:rsidRPr="009C1935">
        <w:rPr>
          <w:rFonts w:ascii="Arial" w:hAnsi="Arial" w:cs="Arial"/>
          <w:sz w:val="20"/>
          <w:szCs w:val="20"/>
          <w:lang w:val="en-GB"/>
        </w:rPr>
        <w:t xml:space="preserve"> of NH’s business model</w:t>
      </w:r>
      <w:r w:rsidR="00EA18B9" w:rsidRPr="009C1935">
        <w:rPr>
          <w:rFonts w:ascii="Arial" w:hAnsi="Arial" w:cs="Arial"/>
          <w:sz w:val="20"/>
          <w:szCs w:val="20"/>
          <w:lang w:val="en-GB"/>
        </w:rPr>
        <w:t>—</w:t>
      </w:r>
      <w:r w:rsidR="00453FA9" w:rsidRPr="009C1935">
        <w:rPr>
          <w:rFonts w:ascii="Arial" w:hAnsi="Arial" w:cs="Arial"/>
          <w:sz w:val="20"/>
          <w:szCs w:val="20"/>
          <w:lang w:val="en-GB"/>
        </w:rPr>
        <w:t xml:space="preserve">was the real challenge. </w:t>
      </w:r>
      <w:r w:rsidR="00453FA9" w:rsidRPr="009C1935">
        <w:rPr>
          <w:rFonts w:ascii="Arial" w:eastAsia="Calibri" w:hAnsi="Arial" w:cs="Arial"/>
          <w:sz w:val="20"/>
          <w:szCs w:val="20"/>
          <w:lang w:val="en-GB"/>
        </w:rPr>
        <w:t>Valuation multiples</w:t>
      </w:r>
      <w:r w:rsidR="00B63A8E" w:rsidRPr="009C1935">
        <w:rPr>
          <w:rFonts w:ascii="Arial" w:eastAsia="Calibri" w:hAnsi="Arial" w:cs="Arial"/>
          <w:sz w:val="20"/>
          <w:szCs w:val="20"/>
          <w:lang w:val="en-GB"/>
        </w:rPr>
        <w:t>,</w:t>
      </w:r>
      <w:r w:rsidR="00453FA9" w:rsidRPr="009C1935">
        <w:rPr>
          <w:rFonts w:ascii="Arial" w:eastAsia="Calibri" w:hAnsi="Arial" w:cs="Arial"/>
          <w:sz w:val="20"/>
          <w:szCs w:val="20"/>
          <w:lang w:val="en-GB"/>
        </w:rPr>
        <w:t xml:space="preserve"> namely, </w:t>
      </w:r>
      <w:r w:rsidR="00EA18B9" w:rsidRPr="009C1935">
        <w:rPr>
          <w:rFonts w:ascii="Arial" w:eastAsia="Calibri" w:hAnsi="Arial" w:cs="Arial"/>
          <w:sz w:val="20"/>
          <w:szCs w:val="20"/>
          <w:lang w:val="en-GB"/>
        </w:rPr>
        <w:t>price</w:t>
      </w:r>
      <w:r w:rsidR="00B63A8E" w:rsidRPr="009C1935">
        <w:rPr>
          <w:rFonts w:ascii="Arial" w:eastAsia="Calibri" w:hAnsi="Arial" w:cs="Arial"/>
          <w:sz w:val="20"/>
          <w:szCs w:val="20"/>
          <w:lang w:val="en-GB"/>
        </w:rPr>
        <w:t>-to-</w:t>
      </w:r>
      <w:r w:rsidR="00EA18B9" w:rsidRPr="009C1935">
        <w:rPr>
          <w:rFonts w:ascii="Arial" w:eastAsia="Calibri" w:hAnsi="Arial" w:cs="Arial"/>
          <w:sz w:val="20"/>
          <w:szCs w:val="20"/>
          <w:lang w:val="en-GB"/>
        </w:rPr>
        <w:t xml:space="preserve">earnings </w:t>
      </w:r>
      <w:r w:rsidR="00453FA9" w:rsidRPr="009C1935">
        <w:rPr>
          <w:rFonts w:ascii="Arial" w:eastAsia="Calibri" w:hAnsi="Arial" w:cs="Arial"/>
          <w:sz w:val="20"/>
          <w:szCs w:val="20"/>
          <w:lang w:val="en-GB"/>
        </w:rPr>
        <w:t xml:space="preserve">(P/E) </w:t>
      </w:r>
      <w:r w:rsidR="00EA18B9" w:rsidRPr="009C1935">
        <w:rPr>
          <w:rFonts w:ascii="Arial" w:eastAsia="Calibri" w:hAnsi="Arial" w:cs="Arial"/>
          <w:sz w:val="20"/>
          <w:szCs w:val="20"/>
          <w:lang w:val="en-GB"/>
        </w:rPr>
        <w:t>ratio</w:t>
      </w:r>
      <w:r w:rsidR="00453FA9" w:rsidRPr="009C1935">
        <w:rPr>
          <w:rFonts w:ascii="Arial" w:eastAsia="Calibri" w:hAnsi="Arial" w:cs="Arial"/>
          <w:sz w:val="20"/>
          <w:szCs w:val="20"/>
          <w:lang w:val="en-GB"/>
        </w:rPr>
        <w:t xml:space="preserve">, </w:t>
      </w:r>
      <w:r w:rsidR="00EA18B9" w:rsidRPr="009C1935">
        <w:rPr>
          <w:rFonts w:ascii="Arial" w:eastAsia="Calibri" w:hAnsi="Arial" w:cs="Arial"/>
          <w:sz w:val="20"/>
          <w:szCs w:val="20"/>
          <w:lang w:val="en-GB"/>
        </w:rPr>
        <w:t>price</w:t>
      </w:r>
      <w:r w:rsidR="00B63A8E" w:rsidRPr="009C1935">
        <w:rPr>
          <w:rFonts w:ascii="Arial" w:eastAsia="Calibri" w:hAnsi="Arial" w:cs="Arial"/>
          <w:sz w:val="20"/>
          <w:szCs w:val="20"/>
          <w:lang w:val="en-GB"/>
        </w:rPr>
        <w:t>-to-</w:t>
      </w:r>
      <w:r w:rsidR="00EA18B9" w:rsidRPr="009C1935">
        <w:rPr>
          <w:rFonts w:ascii="Arial" w:eastAsia="Calibri" w:hAnsi="Arial" w:cs="Arial"/>
          <w:sz w:val="20"/>
          <w:szCs w:val="20"/>
          <w:lang w:val="en-GB"/>
        </w:rPr>
        <w:t xml:space="preserve">book </w:t>
      </w:r>
      <w:r w:rsidR="00453FA9" w:rsidRPr="009C1935">
        <w:rPr>
          <w:rFonts w:ascii="Arial" w:eastAsia="Calibri" w:hAnsi="Arial" w:cs="Arial"/>
          <w:sz w:val="20"/>
          <w:szCs w:val="20"/>
          <w:lang w:val="en-GB"/>
        </w:rPr>
        <w:t xml:space="preserve">(P/B) </w:t>
      </w:r>
      <w:r w:rsidR="00EA18B9" w:rsidRPr="009C1935">
        <w:rPr>
          <w:rFonts w:ascii="Arial" w:eastAsia="Calibri" w:hAnsi="Arial" w:cs="Arial"/>
          <w:sz w:val="20"/>
          <w:szCs w:val="20"/>
          <w:lang w:val="en-GB"/>
        </w:rPr>
        <w:t>ratio</w:t>
      </w:r>
      <w:r w:rsidR="00453FA9" w:rsidRPr="009C1935">
        <w:rPr>
          <w:rFonts w:ascii="Arial" w:eastAsia="Calibri" w:hAnsi="Arial" w:cs="Arial"/>
          <w:sz w:val="20"/>
          <w:szCs w:val="20"/>
          <w:lang w:val="en-GB"/>
        </w:rPr>
        <w:t xml:space="preserve">, </w:t>
      </w:r>
      <w:r w:rsidR="00EA18B9" w:rsidRPr="009C1935">
        <w:rPr>
          <w:rFonts w:ascii="Arial" w:eastAsia="Calibri" w:hAnsi="Arial" w:cs="Arial"/>
          <w:sz w:val="20"/>
          <w:szCs w:val="20"/>
          <w:lang w:val="en-GB"/>
        </w:rPr>
        <w:t xml:space="preserve">enterprise value </w:t>
      </w:r>
      <w:r w:rsidR="00453FA9" w:rsidRPr="009C1935">
        <w:rPr>
          <w:rFonts w:ascii="Arial" w:eastAsia="Calibri" w:hAnsi="Arial" w:cs="Arial"/>
          <w:sz w:val="20"/>
          <w:szCs w:val="20"/>
          <w:lang w:val="en-GB"/>
        </w:rPr>
        <w:t>(EV</w:t>
      </w:r>
      <w:r w:rsidR="00B63A8E" w:rsidRPr="009C1935">
        <w:rPr>
          <w:rFonts w:ascii="Arial" w:eastAsia="Calibri" w:hAnsi="Arial" w:cs="Arial"/>
          <w:sz w:val="20"/>
          <w:szCs w:val="20"/>
          <w:lang w:val="en-GB"/>
        </w:rPr>
        <w:t>)–</w:t>
      </w:r>
      <w:r w:rsidR="00EA18B9" w:rsidRPr="009C1935">
        <w:rPr>
          <w:rFonts w:ascii="Arial" w:eastAsia="Calibri" w:hAnsi="Arial" w:cs="Arial"/>
          <w:sz w:val="20"/>
          <w:szCs w:val="20"/>
          <w:lang w:val="en-GB"/>
        </w:rPr>
        <w:t>sales ratio</w:t>
      </w:r>
      <w:r w:rsidR="00453FA9" w:rsidRPr="009C1935">
        <w:rPr>
          <w:rFonts w:ascii="Arial" w:eastAsia="Calibri" w:hAnsi="Arial" w:cs="Arial"/>
          <w:sz w:val="20"/>
          <w:szCs w:val="20"/>
          <w:lang w:val="en-GB"/>
        </w:rPr>
        <w:t xml:space="preserve">, </w:t>
      </w:r>
      <w:r w:rsidR="00B63A8E" w:rsidRPr="009C1935">
        <w:rPr>
          <w:rFonts w:ascii="Arial" w:eastAsia="Calibri" w:hAnsi="Arial" w:cs="Arial"/>
          <w:sz w:val="20"/>
          <w:szCs w:val="20"/>
          <w:lang w:val="en-GB"/>
        </w:rPr>
        <w:t xml:space="preserve">and </w:t>
      </w:r>
      <w:r w:rsidR="00453FA9" w:rsidRPr="009C1935">
        <w:rPr>
          <w:rFonts w:ascii="Arial" w:eastAsia="Calibri" w:hAnsi="Arial" w:cs="Arial"/>
          <w:sz w:val="20"/>
          <w:szCs w:val="20"/>
          <w:lang w:val="en-GB"/>
        </w:rPr>
        <w:t>EV/EBITDA (</w:t>
      </w:r>
      <w:r w:rsidR="00EA18B9" w:rsidRPr="009C1935">
        <w:rPr>
          <w:rFonts w:ascii="Arial" w:eastAsia="Calibri" w:hAnsi="Arial" w:cs="Arial"/>
          <w:sz w:val="20"/>
          <w:szCs w:val="20"/>
          <w:lang w:val="en-GB"/>
        </w:rPr>
        <w:t xml:space="preserve">earnings </w:t>
      </w:r>
      <w:r w:rsidR="00453FA9" w:rsidRPr="009C1935">
        <w:rPr>
          <w:rFonts w:ascii="Arial" w:eastAsia="Calibri" w:hAnsi="Arial" w:cs="Arial"/>
          <w:sz w:val="20"/>
          <w:szCs w:val="20"/>
          <w:lang w:val="en-GB"/>
        </w:rPr>
        <w:t xml:space="preserve">before </w:t>
      </w:r>
      <w:r w:rsidR="00EA18B9" w:rsidRPr="009C1935">
        <w:rPr>
          <w:rFonts w:ascii="Arial" w:eastAsia="Calibri" w:hAnsi="Arial" w:cs="Arial"/>
          <w:sz w:val="20"/>
          <w:szCs w:val="20"/>
          <w:lang w:val="en-GB"/>
        </w:rPr>
        <w:t>interest</w:t>
      </w:r>
      <w:r w:rsidR="00233A55" w:rsidRPr="009C1935">
        <w:rPr>
          <w:rFonts w:ascii="Arial" w:eastAsia="Calibri" w:hAnsi="Arial" w:cs="Arial"/>
          <w:sz w:val="20"/>
          <w:szCs w:val="20"/>
          <w:lang w:val="en-GB"/>
        </w:rPr>
        <w:t>,</w:t>
      </w:r>
      <w:r w:rsidR="00EA18B9" w:rsidRPr="009C1935">
        <w:rPr>
          <w:rFonts w:ascii="Arial" w:eastAsia="Calibri" w:hAnsi="Arial" w:cs="Arial"/>
          <w:sz w:val="20"/>
          <w:szCs w:val="20"/>
          <w:lang w:val="en-GB"/>
        </w:rPr>
        <w:t xml:space="preserve"> tax</w:t>
      </w:r>
      <w:r w:rsidR="00233A55" w:rsidRPr="009C1935">
        <w:rPr>
          <w:rFonts w:ascii="Arial" w:eastAsia="Calibri" w:hAnsi="Arial" w:cs="Arial"/>
          <w:sz w:val="20"/>
          <w:szCs w:val="20"/>
          <w:lang w:val="en-GB"/>
        </w:rPr>
        <w:t>,</w:t>
      </w:r>
      <w:r w:rsidR="00EA18B9" w:rsidRPr="009C1935">
        <w:rPr>
          <w:rFonts w:ascii="Arial" w:eastAsia="Calibri" w:hAnsi="Arial" w:cs="Arial"/>
          <w:sz w:val="20"/>
          <w:szCs w:val="20"/>
          <w:lang w:val="en-GB"/>
        </w:rPr>
        <w:t xml:space="preserve"> depreciation, </w:t>
      </w:r>
      <w:r w:rsidR="00453FA9" w:rsidRPr="009C1935">
        <w:rPr>
          <w:rFonts w:ascii="Arial" w:eastAsia="Calibri" w:hAnsi="Arial" w:cs="Arial"/>
          <w:sz w:val="20"/>
          <w:szCs w:val="20"/>
          <w:lang w:val="en-GB"/>
        </w:rPr>
        <w:t xml:space="preserve">and </w:t>
      </w:r>
      <w:r w:rsidR="00EA18B9" w:rsidRPr="009C1935">
        <w:rPr>
          <w:rFonts w:ascii="Arial" w:eastAsia="Calibri" w:hAnsi="Arial" w:cs="Arial"/>
          <w:sz w:val="20"/>
          <w:szCs w:val="20"/>
          <w:lang w:val="en-GB"/>
        </w:rPr>
        <w:t>amortization</w:t>
      </w:r>
      <w:r w:rsidR="00453FA9" w:rsidRPr="009C1935">
        <w:rPr>
          <w:rFonts w:ascii="Arial" w:eastAsia="Calibri" w:hAnsi="Arial" w:cs="Arial"/>
          <w:sz w:val="20"/>
          <w:szCs w:val="20"/>
          <w:lang w:val="en-GB"/>
        </w:rPr>
        <w:t>)</w:t>
      </w:r>
      <w:r w:rsidR="00B63A8E" w:rsidRPr="009C1935">
        <w:rPr>
          <w:rFonts w:ascii="Arial" w:eastAsia="Calibri" w:hAnsi="Arial" w:cs="Arial"/>
          <w:sz w:val="20"/>
          <w:szCs w:val="20"/>
          <w:lang w:val="en-GB"/>
        </w:rPr>
        <w:t>,</w:t>
      </w:r>
      <w:r w:rsidR="00453FA9" w:rsidRPr="009C1935">
        <w:rPr>
          <w:rFonts w:ascii="Arial" w:eastAsia="Calibri" w:hAnsi="Arial" w:cs="Arial"/>
          <w:sz w:val="20"/>
          <w:szCs w:val="20"/>
          <w:lang w:val="en-GB"/>
        </w:rPr>
        <w:t xml:space="preserve"> could be used for multiple valuation. </w:t>
      </w:r>
      <w:r w:rsidR="00B63A8E" w:rsidRPr="009C1935">
        <w:rPr>
          <w:rFonts w:ascii="Arial" w:eastAsia="Calibri" w:hAnsi="Arial" w:cs="Arial"/>
          <w:sz w:val="20"/>
          <w:szCs w:val="20"/>
          <w:lang w:val="en-GB"/>
        </w:rPr>
        <w:t xml:space="preserve">The </w:t>
      </w:r>
      <w:r w:rsidR="00453FA9" w:rsidRPr="009C1935">
        <w:rPr>
          <w:rFonts w:ascii="Arial" w:hAnsi="Arial" w:cs="Arial"/>
          <w:sz w:val="20"/>
          <w:szCs w:val="20"/>
          <w:lang w:val="en-GB"/>
        </w:rPr>
        <w:t>DCF analysis method and multiple valuation method would help Narayana Health in determining the appropriate offer price range for the issue.</w:t>
      </w:r>
    </w:p>
    <w:p w14:paraId="11851012" w14:textId="77777777" w:rsidR="00B63A8E" w:rsidRPr="009C1935" w:rsidRDefault="00B63A8E" w:rsidP="00D63493">
      <w:pPr>
        <w:pStyle w:val="BodyTextMain"/>
        <w:rPr>
          <w:rFonts w:ascii="Arial" w:hAnsi="Arial" w:cs="Arial"/>
          <w:sz w:val="20"/>
          <w:szCs w:val="20"/>
          <w:lang w:val="en-GB"/>
        </w:rPr>
      </w:pPr>
    </w:p>
    <w:p w14:paraId="36D13880" w14:textId="30E7F4C8" w:rsidR="00397034" w:rsidRDefault="008F1D1E" w:rsidP="00A533EF">
      <w:pPr>
        <w:pStyle w:val="FootnoteText1"/>
        <w:rPr>
          <w:rFonts w:eastAsia="Calibri"/>
          <w:lang w:val="en-GB"/>
        </w:rPr>
      </w:pPr>
      <w:r>
        <w:rPr>
          <w:rFonts w:eastAsia="Calibri"/>
          <w:lang w:val="en-GB"/>
        </w:rPr>
        <w:t>Source</w:t>
      </w:r>
      <w:r w:rsidR="00A533EF" w:rsidRPr="009C1935">
        <w:rPr>
          <w:rFonts w:eastAsia="Calibri"/>
          <w:lang w:val="en-GB"/>
        </w:rPr>
        <w:t xml:space="preserve">: </w:t>
      </w:r>
      <w:r w:rsidR="00A533EF" w:rsidRPr="009C1935">
        <w:rPr>
          <w:rFonts w:eastAsia="Calibri"/>
          <w:vertAlign w:val="superscript"/>
          <w:lang w:val="en-GB"/>
        </w:rPr>
        <w:t xml:space="preserve"> </w:t>
      </w:r>
      <w:r w:rsidR="002F0588" w:rsidRPr="009C1935">
        <w:rPr>
          <w:rFonts w:eastAsia="Calibri"/>
          <w:lang w:val="en-GB"/>
        </w:rPr>
        <w:t>Beta based on a</w:t>
      </w:r>
      <w:r w:rsidR="00803A05" w:rsidRPr="009C1935">
        <w:rPr>
          <w:color w:val="000000"/>
          <w:lang w:val="en-GB" w:eastAsia="en-IN"/>
        </w:rPr>
        <w:t xml:space="preserve">uthors’ calculation from historical share prices of comparable competitors Apollo and Fortis between FY 2014 </w:t>
      </w:r>
      <w:r w:rsidR="00EA18B9" w:rsidRPr="009C1935">
        <w:rPr>
          <w:color w:val="000000"/>
          <w:lang w:val="en-GB" w:eastAsia="en-IN"/>
        </w:rPr>
        <w:t xml:space="preserve">and </w:t>
      </w:r>
      <w:r w:rsidR="00803A05" w:rsidRPr="009C1935">
        <w:rPr>
          <w:color w:val="000000"/>
          <w:lang w:val="en-GB" w:eastAsia="en-IN"/>
        </w:rPr>
        <w:t>FY 2015</w:t>
      </w:r>
      <w:r w:rsidR="00A533EF" w:rsidRPr="009C1935">
        <w:rPr>
          <w:color w:val="000000"/>
          <w:lang w:val="en-GB" w:eastAsia="en-IN"/>
        </w:rPr>
        <w:t xml:space="preserve">; </w:t>
      </w:r>
      <w:r w:rsidR="002F0588" w:rsidRPr="009C1935">
        <w:rPr>
          <w:rFonts w:eastAsia="Calibri"/>
          <w:lang w:val="en-GB"/>
        </w:rPr>
        <w:t xml:space="preserve">Risk-free rate of return = </w:t>
      </w:r>
      <w:r w:rsidR="002F0588" w:rsidRPr="009C1935">
        <w:rPr>
          <w:lang w:val="en-GB"/>
        </w:rPr>
        <w:t>g</w:t>
      </w:r>
      <w:r w:rsidR="00803A05" w:rsidRPr="009C1935">
        <w:rPr>
          <w:lang w:val="en-GB"/>
        </w:rPr>
        <w:t xml:space="preserve">eneric Indian government </w:t>
      </w:r>
      <w:r w:rsidR="00EA18B9" w:rsidRPr="009C1935">
        <w:rPr>
          <w:lang w:val="en-GB"/>
        </w:rPr>
        <w:t>10-</w:t>
      </w:r>
      <w:r w:rsidR="00803A05" w:rsidRPr="009C1935">
        <w:rPr>
          <w:lang w:val="en-GB"/>
        </w:rPr>
        <w:t>year bond bid yield</w:t>
      </w:r>
      <w:r w:rsidR="00A11E5C" w:rsidRPr="009C1935">
        <w:rPr>
          <w:lang w:val="en-GB"/>
        </w:rPr>
        <w:t xml:space="preserve">, </w:t>
      </w:r>
      <w:r w:rsidR="00803A05" w:rsidRPr="009C1935">
        <w:rPr>
          <w:lang w:val="en-GB"/>
        </w:rPr>
        <w:t>Bloomberg Market</w:t>
      </w:r>
      <w:r w:rsidR="00A11E5C" w:rsidRPr="009C1935">
        <w:rPr>
          <w:lang w:val="en-GB"/>
        </w:rPr>
        <w:t>s</w:t>
      </w:r>
      <w:r w:rsidR="00B63A8E" w:rsidRPr="009C1935">
        <w:rPr>
          <w:lang w:val="en-GB"/>
        </w:rPr>
        <w:t>,</w:t>
      </w:r>
      <w:r w:rsidR="00803A05" w:rsidRPr="009C1935">
        <w:rPr>
          <w:lang w:val="en-GB"/>
        </w:rPr>
        <w:t xml:space="preserve"> </w:t>
      </w:r>
      <w:r w:rsidR="00B63A8E" w:rsidRPr="009C1935">
        <w:rPr>
          <w:lang w:val="en-GB"/>
        </w:rPr>
        <w:t xml:space="preserve">accessed </w:t>
      </w:r>
      <w:r w:rsidR="00E741F9" w:rsidRPr="009C1935">
        <w:rPr>
          <w:lang w:val="en-GB"/>
        </w:rPr>
        <w:t>December 30, 2016</w:t>
      </w:r>
      <w:r w:rsidR="00B63A8E" w:rsidRPr="009C1935">
        <w:rPr>
          <w:lang w:val="en-GB"/>
        </w:rPr>
        <w:t xml:space="preserve">, </w:t>
      </w:r>
      <w:r w:rsidR="00A533EF" w:rsidRPr="009C1935">
        <w:rPr>
          <w:lang w:val="en-GB"/>
        </w:rPr>
        <w:t xml:space="preserve">www.bloomberg.com/quote/GIND10YR:IND; </w:t>
      </w:r>
      <w:r w:rsidR="002F0588" w:rsidRPr="009C1935">
        <w:rPr>
          <w:rFonts w:eastAsia="Calibri"/>
          <w:lang w:val="en-GB"/>
        </w:rPr>
        <w:t xml:space="preserve">Total equity risk premium based on </w:t>
      </w:r>
      <w:proofErr w:type="spellStart"/>
      <w:r w:rsidR="002A68CE" w:rsidRPr="009C1935">
        <w:rPr>
          <w:lang w:val="en-GB"/>
        </w:rPr>
        <w:t>Aswath</w:t>
      </w:r>
      <w:proofErr w:type="spellEnd"/>
      <w:r w:rsidR="002A68CE" w:rsidRPr="009C1935">
        <w:rPr>
          <w:lang w:val="en-GB"/>
        </w:rPr>
        <w:t xml:space="preserve"> </w:t>
      </w:r>
      <w:proofErr w:type="spellStart"/>
      <w:r w:rsidR="002A68CE" w:rsidRPr="009C1935">
        <w:rPr>
          <w:lang w:val="en-GB"/>
        </w:rPr>
        <w:t>Damodaran</w:t>
      </w:r>
      <w:proofErr w:type="spellEnd"/>
      <w:r w:rsidR="002A68CE" w:rsidRPr="009C1935">
        <w:rPr>
          <w:lang w:val="en-GB"/>
        </w:rPr>
        <w:t xml:space="preserve">, “Country Default Spreads and Risk Premiums,” NYU Stern, July 2016, </w:t>
      </w:r>
      <w:r w:rsidR="00B63A8E" w:rsidRPr="009C1935">
        <w:rPr>
          <w:lang w:val="en-GB"/>
        </w:rPr>
        <w:t>accessed</w:t>
      </w:r>
      <w:r w:rsidR="00A533EF" w:rsidRPr="009C1935">
        <w:rPr>
          <w:lang w:val="en-GB"/>
        </w:rPr>
        <w:t xml:space="preserve">, </w:t>
      </w:r>
      <w:r w:rsidR="00E741F9" w:rsidRPr="009C1935">
        <w:rPr>
          <w:lang w:val="en-GB"/>
        </w:rPr>
        <w:t>January 2, 201</w:t>
      </w:r>
      <w:r w:rsidR="006450EE" w:rsidRPr="009C1935">
        <w:rPr>
          <w:lang w:val="en-GB"/>
        </w:rPr>
        <w:t>7</w:t>
      </w:r>
      <w:r w:rsidR="00B63A8E" w:rsidRPr="009C1935">
        <w:rPr>
          <w:lang w:val="en-GB"/>
        </w:rPr>
        <w:t xml:space="preserve">, </w:t>
      </w:r>
      <w:r w:rsidR="00A533EF" w:rsidRPr="009C1935">
        <w:rPr>
          <w:lang w:val="en-GB"/>
        </w:rPr>
        <w:t xml:space="preserve">http://pages.stern.nyu.edu/~adamodar/New_Home_Page/datafile/ctryprem.htm; </w:t>
      </w:r>
      <w:r w:rsidR="002F0588" w:rsidRPr="009C1935">
        <w:rPr>
          <w:rFonts w:eastAsia="Calibri"/>
          <w:lang w:val="en-GB"/>
        </w:rPr>
        <w:t>Cost of debt = a</w:t>
      </w:r>
      <w:r w:rsidR="002A68CE" w:rsidRPr="009C1935">
        <w:rPr>
          <w:lang w:val="en-GB"/>
        </w:rPr>
        <w:t xml:space="preserve">verage approximation of </w:t>
      </w:r>
      <w:r w:rsidR="00EA18B9" w:rsidRPr="009C1935">
        <w:rPr>
          <w:lang w:val="en-GB"/>
        </w:rPr>
        <w:t>long-</w:t>
      </w:r>
      <w:r w:rsidR="002A68CE" w:rsidRPr="009C1935">
        <w:rPr>
          <w:lang w:val="en-GB"/>
        </w:rPr>
        <w:t xml:space="preserve">term debt annual interest rate given in </w:t>
      </w:r>
      <w:r w:rsidR="002F0588" w:rsidRPr="009C1935">
        <w:rPr>
          <w:lang w:val="en-GB"/>
        </w:rPr>
        <w:t>red-</w:t>
      </w:r>
      <w:r w:rsidR="002A68CE" w:rsidRPr="009C1935">
        <w:rPr>
          <w:lang w:val="en-GB"/>
        </w:rPr>
        <w:t xml:space="preserve">herring prospectus of Narayana Health filed with </w:t>
      </w:r>
      <w:r w:rsidR="00B63A8E" w:rsidRPr="009C1935">
        <w:rPr>
          <w:lang w:val="en-GB"/>
        </w:rPr>
        <w:t xml:space="preserve">the </w:t>
      </w:r>
      <w:r w:rsidR="002A68CE" w:rsidRPr="009C1935">
        <w:rPr>
          <w:lang w:val="en-GB"/>
        </w:rPr>
        <w:t>SEBI</w:t>
      </w:r>
      <w:r w:rsidR="00A533EF" w:rsidRPr="009C1935">
        <w:rPr>
          <w:lang w:val="en-GB"/>
        </w:rPr>
        <w:t xml:space="preserve">; </w:t>
      </w:r>
      <w:r w:rsidR="002F0588" w:rsidRPr="009C1935">
        <w:rPr>
          <w:rFonts w:eastAsia="Calibri"/>
          <w:lang w:val="en-GB"/>
        </w:rPr>
        <w:t>Multiple valuation</w:t>
      </w:r>
      <w:r w:rsidR="00B63A8E" w:rsidRPr="009C1935">
        <w:rPr>
          <w:rFonts w:eastAsia="Calibri"/>
          <w:lang w:val="en-GB"/>
        </w:rPr>
        <w:t xml:space="preserve"> </w:t>
      </w:r>
      <w:r w:rsidR="002F0588" w:rsidRPr="009C1935">
        <w:rPr>
          <w:rFonts w:eastAsia="Calibri"/>
          <w:lang w:val="en-GB"/>
        </w:rPr>
        <w:t xml:space="preserve">was </w:t>
      </w:r>
      <w:r w:rsidR="002A68CE" w:rsidRPr="009C1935">
        <w:rPr>
          <w:rFonts w:eastAsia="Calibri"/>
          <w:lang w:val="en-GB"/>
        </w:rPr>
        <w:t xml:space="preserve">a method of company valuation </w:t>
      </w:r>
      <w:r w:rsidR="00B63A8E" w:rsidRPr="009C1935">
        <w:rPr>
          <w:rFonts w:eastAsia="Calibri"/>
          <w:lang w:val="en-GB"/>
        </w:rPr>
        <w:t xml:space="preserve">that </w:t>
      </w:r>
      <w:r w:rsidR="002F0588" w:rsidRPr="009C1935">
        <w:rPr>
          <w:rFonts w:eastAsia="Calibri"/>
          <w:lang w:val="en-GB"/>
        </w:rPr>
        <w:t xml:space="preserve">used </w:t>
      </w:r>
      <w:r w:rsidR="002A68CE" w:rsidRPr="009C1935">
        <w:rPr>
          <w:rFonts w:eastAsia="Calibri"/>
          <w:lang w:val="en-GB"/>
        </w:rPr>
        <w:t>different multiples of comparable firm(s).</w:t>
      </w:r>
    </w:p>
    <w:p w14:paraId="248DA33E" w14:textId="13715208" w:rsidR="004D0A3B" w:rsidRPr="009C1935" w:rsidRDefault="004D0A3B" w:rsidP="00A533EF">
      <w:pPr>
        <w:pStyle w:val="FootnoteText1"/>
        <w:rPr>
          <w:rFonts w:eastAsia="Calibri"/>
          <w:lang w:val="en-GB"/>
        </w:rPr>
      </w:pPr>
      <w:r w:rsidRPr="009C1935">
        <w:rPr>
          <w:rFonts w:eastAsia="Calibri"/>
          <w:lang w:val="en-GB"/>
        </w:rPr>
        <w:br w:type="page"/>
      </w:r>
    </w:p>
    <w:p w14:paraId="68BC431F" w14:textId="77777777" w:rsidR="00453FA9" w:rsidRPr="009C1935" w:rsidRDefault="00453FA9" w:rsidP="00453FA9">
      <w:pPr>
        <w:jc w:val="both"/>
        <w:rPr>
          <w:rFonts w:ascii="Arial" w:hAnsi="Arial" w:cs="Arial"/>
          <w:b/>
          <w:lang w:val="en-GB"/>
        </w:rPr>
      </w:pPr>
      <w:r w:rsidRPr="009C1935">
        <w:rPr>
          <w:rFonts w:ascii="Arial" w:hAnsi="Arial" w:cs="Arial"/>
          <w:b/>
          <w:lang w:val="en-GB"/>
        </w:rPr>
        <w:lastRenderedPageBreak/>
        <w:t>ENDNOTES</w:t>
      </w:r>
    </w:p>
    <w:sectPr w:rsidR="00453FA9" w:rsidRPr="009C1935"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1EFD75" w15:done="0"/>
  <w15:commentEx w15:paraId="78C5A3B8" w15:done="0"/>
  <w15:commentEx w15:paraId="50E230F6" w15:done="0"/>
  <w15:commentEx w15:paraId="1AD8D382" w15:done="0"/>
  <w15:commentEx w15:paraId="4B732E7C" w15:done="0"/>
  <w15:commentEx w15:paraId="5A4A6F28" w15:done="0"/>
  <w15:commentEx w15:paraId="26DFEFBD" w15:done="0"/>
  <w15:commentEx w15:paraId="2AB6D242" w15:done="0"/>
  <w15:commentEx w15:paraId="0767CE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04C2E" w14:textId="77777777" w:rsidR="00BF2E9D" w:rsidRDefault="00BF2E9D" w:rsidP="00D75295">
      <w:r>
        <w:separator/>
      </w:r>
    </w:p>
  </w:endnote>
  <w:endnote w:type="continuationSeparator" w:id="0">
    <w:p w14:paraId="2E3633D7" w14:textId="77777777" w:rsidR="00BF2E9D" w:rsidRDefault="00BF2E9D" w:rsidP="00D75295">
      <w:r>
        <w:continuationSeparator/>
      </w:r>
    </w:p>
  </w:endnote>
  <w:endnote w:id="1">
    <w:p w14:paraId="563498F3" w14:textId="77777777" w:rsidR="00BF2E9D" w:rsidRDefault="00BF2E9D" w:rsidP="009E4601">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w:t>
      </w:r>
      <w:r w:rsidRPr="007D3CE6">
        <w:t xml:space="preserve">Narayana </w:t>
      </w:r>
      <w:proofErr w:type="spellStart"/>
      <w:r w:rsidRPr="007D3CE6">
        <w:t>Hrudayalaya</w:t>
      </w:r>
      <w:proofErr w:type="spellEnd"/>
      <w:r w:rsidRPr="007D3CE6">
        <w:t xml:space="preserve"> Private Limited</w:t>
      </w:r>
      <w:r>
        <w:t xml:space="preserve"> or any of its employees.</w:t>
      </w:r>
    </w:p>
  </w:endnote>
  <w:endnote w:id="2">
    <w:p w14:paraId="378F7CB3" w14:textId="157B5149"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w:t>
      </w:r>
      <w:r w:rsidRPr="00561618">
        <w:rPr>
          <w:rFonts w:ascii="Arial" w:hAnsi="Arial" w:cs="Arial"/>
          <w:sz w:val="17"/>
          <w:szCs w:val="17"/>
          <w:lang w:val="en-IN"/>
        </w:rPr>
        <w:t xml:space="preserve">Narayana Health </w:t>
      </w:r>
      <w:r>
        <w:rPr>
          <w:rFonts w:ascii="Arial" w:hAnsi="Arial" w:cs="Arial"/>
          <w:sz w:val="17"/>
          <w:szCs w:val="17"/>
          <w:lang w:val="en-IN"/>
        </w:rPr>
        <w:t>wa</w:t>
      </w:r>
      <w:r w:rsidRPr="00561618">
        <w:rPr>
          <w:rFonts w:ascii="Arial" w:hAnsi="Arial" w:cs="Arial"/>
          <w:sz w:val="17"/>
          <w:szCs w:val="17"/>
          <w:lang w:val="en-IN"/>
        </w:rPr>
        <w:t xml:space="preserve">s the brand name of Narayana </w:t>
      </w:r>
      <w:proofErr w:type="spellStart"/>
      <w:r w:rsidRPr="00561618">
        <w:rPr>
          <w:rFonts w:ascii="Arial" w:hAnsi="Arial" w:cs="Arial"/>
          <w:sz w:val="17"/>
          <w:szCs w:val="17"/>
          <w:lang w:val="en-IN"/>
        </w:rPr>
        <w:t>Hrudayalaya</w:t>
      </w:r>
      <w:proofErr w:type="spellEnd"/>
      <w:r w:rsidRPr="00561618">
        <w:rPr>
          <w:rFonts w:ascii="Arial" w:hAnsi="Arial" w:cs="Arial"/>
          <w:sz w:val="17"/>
          <w:szCs w:val="17"/>
          <w:lang w:val="en-IN"/>
        </w:rPr>
        <w:t xml:space="preserve"> Limited.</w:t>
      </w:r>
    </w:p>
  </w:endnote>
  <w:endnote w:id="3">
    <w:p w14:paraId="16AFBC8A" w14:textId="36EA0A1A" w:rsidR="00BF2E9D" w:rsidRPr="00561618" w:rsidRDefault="00BF2E9D" w:rsidP="00360AE5">
      <w:pPr>
        <w:pStyle w:val="FootnoteText1"/>
        <w:rPr>
          <w:lang w:val="en-IN"/>
        </w:rPr>
      </w:pPr>
      <w:r w:rsidRPr="00561618">
        <w:rPr>
          <w:rStyle w:val="EndnoteReference"/>
        </w:rPr>
        <w:endnoteRef/>
      </w:r>
      <w:r w:rsidRPr="00561618">
        <w:t xml:space="preserve"> </w:t>
      </w:r>
      <w:r w:rsidRPr="00045753">
        <w:fldChar w:fldCharType="begin"/>
      </w:r>
      <w:r w:rsidRPr="00045753">
        <w:instrText xml:space="preserve"> ADDIN ZOTERO_ITEM CSL_CITATION {"citationID":"tZihhMoR","properties":{"formattedCitation":"{\\rtf \\uc0\\u8220{}Exit Routes in Private Equity Transactions | HVCA,\\uc0\\u8221{} accessed December 26, 2016, http://www.hvca.hu/pevc-explained/private-equity/exit-routes-in-private-equity-transactions/.}","plainCitation":"“Exit Routes in Private Equity Transactions | HVCA,” accessed December 26, 2016, http://www.hvca.hu/pevc-explained/private-equity/exit-routes-in-private-equity-transactions/."},"citationItems":[{"id":463,"uris":["http://zotero.org/users/3272414/items/NT3M98M5"],"uri":["http://zotero.org/users/3272414/items/NT3M98M5"],"itemData":{"id":463,"type":"post-weblog","title":"Exit Routes in Private Equity Transactions | HVCA","URL":"http://www.hvca.hu/pevc-explained/private-equity/exit-routes-in-private-equity-transactions/","accessed":{"date-parts":[["2016",12,26]]}}}],"schema":"https://github.com/citation-style-language/schema/raw/master/csl-citation.json"} </w:instrText>
      </w:r>
      <w:r w:rsidRPr="00045753">
        <w:fldChar w:fldCharType="separate"/>
      </w:r>
      <w:r w:rsidRPr="00045753">
        <w:t xml:space="preserve">“Exit Routes in Private Equity Transactions,” </w:t>
      </w:r>
      <w:r>
        <w:t>Hungarian Private Equity and Venture Capital Association (HVCA)</w:t>
      </w:r>
      <w:r w:rsidRPr="00045753">
        <w:t>, accessed December 26, 2016, www.hvca.hu/pevc-explained/private-equity/exit-routes-in-private-equity-transactions.</w:t>
      </w:r>
      <w:r w:rsidRPr="00045753">
        <w:fldChar w:fldCharType="end"/>
      </w:r>
    </w:p>
  </w:endnote>
  <w:endnote w:id="4">
    <w:p w14:paraId="6EE0C7FB" w14:textId="77777777" w:rsidR="00BF2E9D" w:rsidRPr="00561618" w:rsidRDefault="00BF2E9D" w:rsidP="00725C28">
      <w:pPr>
        <w:pStyle w:val="FootnoteText1"/>
        <w:rPr>
          <w:lang w:val="en-IN"/>
        </w:rPr>
      </w:pPr>
      <w:r w:rsidRPr="00561618">
        <w:rPr>
          <w:rStyle w:val="EndnoteReference"/>
        </w:rPr>
        <w:endnoteRef/>
      </w:r>
      <w:r w:rsidRPr="00561618">
        <w:t xml:space="preserve"> </w:t>
      </w:r>
      <w:r w:rsidRPr="00CD6ADA">
        <w:fldChar w:fldCharType="begin"/>
      </w:r>
      <w:r w:rsidRPr="00CD6ADA">
        <w:instrText xml:space="preserve"> ADDIN ZOTERO_ITEM CSL_CITATION {"citationID":"dGvuLMef","properties":{"formattedCitation":"{\\rtf Ansuya Harjani, \\uc0\\u8220{}Here\\uc0\\u8217{}s Why India\\uc0\\u8217{}s Once-Dozy IPO Market Is Rallying,\\uc0\\u8221{} {\\i{}CNBC}, October 21, 2015, http://www.cnbc.com/2015/10/21/will-coffee-day-and-indigo-revive-indias-ipo-market.html.}","plainCitation":"Ansuya Harjani, “Here’s Why India’s Once-Dozy IPO Market Is Rallying,” CNBC, October 21, 2015, http://www.cnbc.com/2015/10/21/will-coffee-day-and-indigo-revive-indias-ipo-market.html."},"citationItems":[{"id":424,"uris":["http://zotero.org/users/3272414/items/XBVWK63A"],"uri":["http://zotero.org/users/3272414/items/XBVWK63A"],"itemData":{"id":424,"type":"webpage","title":"Here's why India's once-dozy IPO market is rallying","container-title":"CNBC","abstract":"India's IPO market is coming back to life as companies take advantage of investor ebullience on the country's economic prospects.","URL":"http://www.cnbc.com/2015/10/21/will-coffee-day-and-indigo-revive-indias-ipo-market.html","author":[{"family":"Harjani","given":"Ansuya"}],"issued":{"date-parts":[["2015",10,21]]},"accessed":{"date-parts":[["2016",12,18]]}}}],"schema":"https://github.com/citation-style-language/schema/raw/master/csl-citation.json"} </w:instrText>
      </w:r>
      <w:r w:rsidRPr="00CD6ADA">
        <w:fldChar w:fldCharType="separate"/>
      </w:r>
      <w:r w:rsidRPr="00CD6ADA">
        <w:t xml:space="preserve">Ansuya Harjani, “2015: Revival Year for India’s IPO Market?” </w:t>
      </w:r>
      <w:r w:rsidRPr="00CD6ADA">
        <w:rPr>
          <w:i/>
        </w:rPr>
        <w:t>CNBC</w:t>
      </w:r>
      <w:r w:rsidRPr="00CD6ADA">
        <w:t>, October 21, 2015, accessed May 28, 2017, www.cnbc.com/2015/10/21/will-coffee-day-and-indigo-revive-indias-ipo-market.html.</w:t>
      </w:r>
      <w:r w:rsidRPr="00CD6ADA">
        <w:fldChar w:fldCharType="end"/>
      </w:r>
    </w:p>
  </w:endnote>
  <w:endnote w:id="5">
    <w:p w14:paraId="4064DDD2" w14:textId="647C8326" w:rsidR="00BF2E9D" w:rsidRPr="00561618" w:rsidRDefault="00BF2E9D" w:rsidP="00725C28">
      <w:pPr>
        <w:pStyle w:val="FootnoteText1"/>
        <w:rPr>
          <w:lang w:val="en-IN"/>
        </w:rPr>
      </w:pPr>
      <w:r w:rsidRPr="00561618">
        <w:rPr>
          <w:rStyle w:val="EndnoteReference"/>
        </w:rPr>
        <w:endnoteRef/>
      </w:r>
      <w:r>
        <w:t xml:space="preserve"> </w:t>
      </w:r>
      <w:r w:rsidRPr="007A0DE8">
        <w:fldChar w:fldCharType="begin"/>
      </w:r>
      <w:r w:rsidRPr="007A0DE8">
        <w:instrText xml:space="preserve"> ADDIN ZOTERO_ITEM CSL_CITATION {"citationID":"NbYB43yU","properties":{"formattedCitation":"{\\rtf \\uc0\\u8220{}IMF World Economic Outlook (WEO) Update, January 2016:,\\uc0\\u8221{} accessed December 18, 2016, http://www.imf.org/external/pubs/ft/weo/2016/update/01/.}","plainCitation":"“IMF World Economic Outlook (WEO) Update, January 2016:,” accessed December 18, 2016, http://www.imf.org/external/pubs/ft/weo/2016/update/01/."},"citationItems":[{"id":452,"uris":["http://zotero.org/users/3272414/items/XVQTWDW4"],"uri":["http://zotero.org/users/3272414/items/XVQTWDW4"],"itemData":{"id":452,"type":"webpage","title":"IMF World Economic Outlook (WEO) Update, January 2016:","URL":"http://www.imf.org/external/pubs/ft/weo/2016/update/01/","accessed":{"date-parts":[["2016",12,18]]}}}],"schema":"https://github.com/citation-style-language/schema/raw/master/csl-citation.json"} </w:instrText>
      </w:r>
      <w:r w:rsidRPr="007A0DE8">
        <w:fldChar w:fldCharType="separate"/>
      </w:r>
      <w:r w:rsidRPr="007A0DE8">
        <w:t>“</w:t>
      </w:r>
      <w:r>
        <w:t xml:space="preserve">Subdued Demand, Diminished Prospects: </w:t>
      </w:r>
      <w:r w:rsidRPr="007A0DE8">
        <w:t xml:space="preserve">World Economic Outlook (WEO) Update,” International Monetary Fund, January 2016, accessed December 18, 2016, </w:t>
      </w:r>
      <w:r w:rsidRPr="00360AE5">
        <w:t>www.imf.org/external/pubs/ft/weo/2016/update/01/</w:t>
      </w:r>
      <w:r>
        <w:t xml:space="preserve">; </w:t>
      </w:r>
      <w:r w:rsidRPr="007A0DE8">
        <w:fldChar w:fldCharType="end"/>
      </w:r>
      <w:r w:rsidRPr="00E92B89">
        <w:t>A financial year (FY) in India started on April 1 and ended on March 31.</w:t>
      </w:r>
    </w:p>
  </w:endnote>
  <w:endnote w:id="6">
    <w:p w14:paraId="78BA86C2" w14:textId="67697E54" w:rsidR="00BF2E9D" w:rsidRPr="00561618" w:rsidRDefault="00BF2E9D" w:rsidP="00725C28">
      <w:pPr>
        <w:pStyle w:val="FootnoteText1"/>
        <w:rPr>
          <w:lang w:val="en-IN"/>
        </w:rPr>
      </w:pPr>
      <w:r w:rsidRPr="00561618">
        <w:rPr>
          <w:rStyle w:val="EndnoteReference"/>
        </w:rPr>
        <w:endnoteRef/>
      </w:r>
      <w:r>
        <w:t xml:space="preserve"> </w:t>
      </w:r>
      <w:r w:rsidRPr="00561618">
        <w:t>Al</w:t>
      </w:r>
      <w:r>
        <w:t>l dollar figures are U</w:t>
      </w:r>
      <w:r w:rsidR="00397034">
        <w:t>.</w:t>
      </w:r>
      <w:r>
        <w:t>S</w:t>
      </w:r>
      <w:r w:rsidR="00397034">
        <w:t>.</w:t>
      </w:r>
      <w:r>
        <w:t xml:space="preserve"> dollars;</w:t>
      </w:r>
      <w:r w:rsidRPr="00561618">
        <w:t xml:space="preserve"> “GDP per Capita (Current US$),” The World Bank, accessed December 26, 2016, http://data.worldbank.org/indicator/NY.GDP.PCAP.CD.</w:t>
      </w:r>
    </w:p>
  </w:endnote>
  <w:endnote w:id="7">
    <w:p w14:paraId="26D0C4E0" w14:textId="7B7C5B3E" w:rsidR="00BF2E9D" w:rsidRPr="00561618" w:rsidRDefault="00BF2E9D" w:rsidP="00725C28">
      <w:pPr>
        <w:pStyle w:val="FootnoteText1"/>
        <w:rPr>
          <w:lang w:val="en-IN"/>
        </w:rPr>
      </w:pPr>
      <w:r w:rsidRPr="00561618">
        <w:rPr>
          <w:rStyle w:val="EndnoteReference"/>
        </w:rPr>
        <w:endnoteRef/>
      </w:r>
      <w:r w:rsidRPr="00561618">
        <w:t xml:space="preserve"> Rahul Oberoi, “Oiling the Wheels,” </w:t>
      </w:r>
      <w:r w:rsidRPr="00561618">
        <w:rPr>
          <w:i/>
        </w:rPr>
        <w:t>Money Today</w:t>
      </w:r>
      <w:r w:rsidRPr="00561618">
        <w:t xml:space="preserve">, </w:t>
      </w:r>
      <w:r>
        <w:t xml:space="preserve">February 2015, </w:t>
      </w:r>
      <w:r w:rsidRPr="00561618">
        <w:t xml:space="preserve">accessed December 26, 2016, www.businesstoday.in/moneytoday/stocks/falling-oil-prices-will-bring-a-windfall-for-india </w:t>
      </w:r>
      <w:proofErr w:type="spellStart"/>
      <w:r w:rsidRPr="00561618">
        <w:t>inc</w:t>
      </w:r>
      <w:proofErr w:type="spellEnd"/>
      <w:r w:rsidRPr="00561618">
        <w:t>/story/215108.html.</w:t>
      </w:r>
    </w:p>
  </w:endnote>
  <w:endnote w:id="8">
    <w:p w14:paraId="3480119E" w14:textId="26F5BDD8" w:rsidR="0008572C" w:rsidRDefault="00BF2E9D" w:rsidP="00725C28">
      <w:pPr>
        <w:pStyle w:val="FootnoteText1"/>
      </w:pPr>
      <w:r w:rsidRPr="00561618">
        <w:rPr>
          <w:rStyle w:val="EndnoteReference"/>
        </w:rPr>
        <w:endnoteRef/>
      </w:r>
      <w:r w:rsidRPr="00561618">
        <w:t xml:space="preserve"> “Press Release: IMF Managing Director Meets Prime Minister Modi, Announces High Level Regional Conference,” International Monetary Fund, March 17, 2015, accessed December 26, 2016, </w:t>
      </w:r>
      <w:r w:rsidR="0008572C" w:rsidRPr="0008572C">
        <w:t>www.imf.org/external/np/sec/pr/2015/pr151</w:t>
      </w:r>
    </w:p>
    <w:p w14:paraId="321D9DB7" w14:textId="3030AF12" w:rsidR="00BF2E9D" w:rsidRPr="00561618" w:rsidRDefault="00BF2E9D" w:rsidP="00725C28">
      <w:pPr>
        <w:pStyle w:val="FootnoteText1"/>
        <w:rPr>
          <w:lang w:val="en-IN"/>
        </w:rPr>
      </w:pPr>
      <w:r w:rsidRPr="00561618">
        <w:t>18</w:t>
      </w:r>
      <w:proofErr w:type="gramStart"/>
      <w:r w:rsidRPr="00561618">
        <w:t>.htm</w:t>
      </w:r>
      <w:proofErr w:type="gramEnd"/>
      <w:r w:rsidRPr="00561618">
        <w:t>.</w:t>
      </w:r>
    </w:p>
  </w:endnote>
  <w:endnote w:id="9">
    <w:p w14:paraId="3538553D" w14:textId="77777777"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w:t>
      </w:r>
      <w:proofErr w:type="gramStart"/>
      <w:r w:rsidRPr="00561618">
        <w:rPr>
          <w:rFonts w:ascii="Arial" w:hAnsi="Arial" w:cs="Arial"/>
          <w:sz w:val="17"/>
          <w:szCs w:val="17"/>
        </w:rPr>
        <w:t>The total</w:t>
      </w:r>
      <w:r w:rsidRPr="00561618">
        <w:rPr>
          <w:rFonts w:ascii="Arial" w:hAnsi="Arial" w:cs="Arial"/>
          <w:sz w:val="17"/>
          <w:szCs w:val="17"/>
          <w:lang w:val="en-IN"/>
        </w:rPr>
        <w:t xml:space="preserve"> sum of government and private expenditure on healthcare.</w:t>
      </w:r>
      <w:proofErr w:type="gramEnd"/>
    </w:p>
  </w:endnote>
  <w:endnote w:id="10">
    <w:p w14:paraId="4D2AE43E" w14:textId="77777777" w:rsidR="00BF2E9D" w:rsidRPr="00561618" w:rsidRDefault="00BF2E9D" w:rsidP="00725C28">
      <w:pPr>
        <w:pStyle w:val="FootnoteText1"/>
        <w:rPr>
          <w:lang w:val="en-IN"/>
        </w:rPr>
      </w:pPr>
      <w:r w:rsidRPr="00561618">
        <w:rPr>
          <w:rStyle w:val="EndnoteReference"/>
        </w:rPr>
        <w:endnoteRef/>
      </w:r>
      <w:r w:rsidRPr="00561618">
        <w:t xml:space="preserve"> “India,” WHO, accessed December 26, 2016, www.who.int/countries/ind/en.</w:t>
      </w:r>
    </w:p>
  </w:endnote>
  <w:endnote w:id="11">
    <w:p w14:paraId="01830BA0" w14:textId="0CC6F5EE" w:rsidR="00BF2E9D" w:rsidRPr="00561618" w:rsidRDefault="00BF2E9D" w:rsidP="00725C28">
      <w:pPr>
        <w:pStyle w:val="FootnoteText1"/>
        <w:rPr>
          <w:lang w:val="en-IN"/>
        </w:rPr>
      </w:pPr>
      <w:r w:rsidRPr="00561618">
        <w:rPr>
          <w:rStyle w:val="EndnoteReference"/>
        </w:rPr>
        <w:endnoteRef/>
      </w:r>
      <w:r w:rsidRPr="00561618">
        <w:t xml:space="preserve"> “Healthcare Industry in India,” India Brand Equity Foundation, accessed December 26, 2016, www.ibef.org/industry/healthcare-india.aspx.</w:t>
      </w:r>
    </w:p>
  </w:endnote>
  <w:endnote w:id="12">
    <w:p w14:paraId="1B619839" w14:textId="601AE9AF" w:rsidR="00BF2E9D" w:rsidRPr="00561618" w:rsidRDefault="00BF2E9D" w:rsidP="00725C28">
      <w:pPr>
        <w:pStyle w:val="FootnoteText1"/>
        <w:rPr>
          <w:lang w:val="en-IN"/>
        </w:rPr>
      </w:pPr>
      <w:r w:rsidRPr="00561618">
        <w:rPr>
          <w:rStyle w:val="EndnoteReference"/>
        </w:rPr>
        <w:endnoteRef/>
      </w:r>
      <w:r w:rsidRPr="00561618">
        <w:t xml:space="preserve"> </w:t>
      </w:r>
      <w:proofErr w:type="spellStart"/>
      <w:r w:rsidRPr="00561618">
        <w:t>Nandakumar</w:t>
      </w:r>
      <w:proofErr w:type="spellEnd"/>
      <w:r w:rsidRPr="00561618">
        <w:t xml:space="preserve"> </w:t>
      </w:r>
      <w:proofErr w:type="spellStart"/>
      <w:r w:rsidRPr="00561618">
        <w:t>Jairam</w:t>
      </w:r>
      <w:proofErr w:type="spellEnd"/>
      <w:r>
        <w:t xml:space="preserve">, Ashok </w:t>
      </w:r>
      <w:proofErr w:type="spellStart"/>
      <w:r>
        <w:t>Kakkar</w:t>
      </w:r>
      <w:proofErr w:type="spellEnd"/>
      <w:r>
        <w:t>, and Vishal Bali,</w:t>
      </w:r>
      <w:r w:rsidRPr="00561618">
        <w:t xml:space="preserve"> </w:t>
      </w:r>
      <w:r w:rsidRPr="00561618">
        <w:rPr>
          <w:i/>
        </w:rPr>
        <w:t>Healthcare: The Neglected GDP Driver</w:t>
      </w:r>
      <w:r w:rsidRPr="00561618">
        <w:t xml:space="preserve"> (KPMG and FICCI, 2015), accessed May 31, 2017, https://assets.kpmg.com/content/dam/kpmg/pdf/2016/03/Healthcare-the-neglected-GDP-driver-2015.pdf.</w:t>
      </w:r>
    </w:p>
  </w:endnote>
  <w:endnote w:id="13">
    <w:p w14:paraId="0A1984CC" w14:textId="77777777" w:rsidR="00BF2E9D" w:rsidRPr="00561618" w:rsidRDefault="00BF2E9D" w:rsidP="00725C28">
      <w:pPr>
        <w:pStyle w:val="FootnoteText1"/>
        <w:rPr>
          <w:lang w:val="en-IN"/>
        </w:rPr>
      </w:pPr>
      <w:r w:rsidRPr="00561618">
        <w:rPr>
          <w:rStyle w:val="EndnoteReference"/>
        </w:rPr>
        <w:endnoteRef/>
      </w:r>
      <w:r w:rsidRPr="00561618">
        <w:t xml:space="preserve"> BS B2B Bureau, “Indian Telemedicine Market to Become More Than </w:t>
      </w:r>
      <w:proofErr w:type="gramStart"/>
      <w:r w:rsidRPr="00561618">
        <w:t>Double</w:t>
      </w:r>
      <w:proofErr w:type="gramEnd"/>
      <w:r w:rsidRPr="00561618">
        <w:t xml:space="preserve"> by 2020,” </w:t>
      </w:r>
      <w:r w:rsidRPr="00561618">
        <w:rPr>
          <w:i/>
        </w:rPr>
        <w:t>Business Standard India</w:t>
      </w:r>
      <w:r w:rsidRPr="00561618">
        <w:t>, June 6, 2016, accessed May 29, 2017, www.business-standard.com/content/b2b-pharma/indian-telemedicine-market-to-become-more-than-double-by-2020-116060600568_1.html.</w:t>
      </w:r>
    </w:p>
  </w:endnote>
  <w:endnote w:id="14">
    <w:p w14:paraId="10084D08" w14:textId="3C80D2D9" w:rsidR="00BF2E9D" w:rsidRPr="00561618" w:rsidRDefault="00BF2E9D" w:rsidP="00725C28">
      <w:pPr>
        <w:pStyle w:val="FootnoteText1"/>
        <w:rPr>
          <w:lang w:val="en-IN"/>
        </w:rPr>
      </w:pPr>
      <w:r w:rsidRPr="00561618">
        <w:rPr>
          <w:rStyle w:val="EndnoteReference"/>
        </w:rPr>
        <w:endnoteRef/>
      </w:r>
      <w:r w:rsidRPr="00561618">
        <w:t xml:space="preserve"> </w:t>
      </w:r>
      <w:proofErr w:type="gramStart"/>
      <w:r w:rsidRPr="00561618">
        <w:t>“Life Expectancy at Birth, Total (Years),” The World Bank, accessed December 26, 2016, http://data.worldbank.org/indicator/SP.DYN.LE00.IN.</w:t>
      </w:r>
      <w:proofErr w:type="gramEnd"/>
    </w:p>
  </w:endnote>
  <w:endnote w:id="15">
    <w:p w14:paraId="297FEF9B" w14:textId="7DDB0764" w:rsidR="00BF2E9D" w:rsidRPr="00561618" w:rsidRDefault="00BF2E9D" w:rsidP="00725C28">
      <w:pPr>
        <w:pStyle w:val="FootnoteText1"/>
        <w:rPr>
          <w:lang w:val="en-IN"/>
        </w:rPr>
      </w:pPr>
      <w:r w:rsidRPr="00561618">
        <w:rPr>
          <w:rStyle w:val="EndnoteReference"/>
        </w:rPr>
        <w:endnoteRef/>
      </w:r>
      <w:r w:rsidRPr="00561618">
        <w:t xml:space="preserve"> Vijay </w:t>
      </w:r>
      <w:proofErr w:type="spellStart"/>
      <w:r w:rsidRPr="00561618">
        <w:t>Ramnath</w:t>
      </w:r>
      <w:proofErr w:type="spellEnd"/>
      <w:r w:rsidRPr="00561618">
        <w:t xml:space="preserve"> </w:t>
      </w:r>
      <w:proofErr w:type="spellStart"/>
      <w:r w:rsidRPr="00561618">
        <w:t>Jayaraman</w:t>
      </w:r>
      <w:proofErr w:type="spellEnd"/>
      <w:r w:rsidRPr="00561618">
        <w:t xml:space="preserve">, “5 Things to Know </w:t>
      </w:r>
      <w:proofErr w:type="gramStart"/>
      <w:r w:rsidRPr="00561618">
        <w:t>About</w:t>
      </w:r>
      <w:proofErr w:type="gramEnd"/>
      <w:r w:rsidRPr="00561618">
        <w:t xml:space="preserve"> India’s Healthcare System,” </w:t>
      </w:r>
      <w:r w:rsidRPr="00561618">
        <w:rPr>
          <w:i/>
        </w:rPr>
        <w:t>Forbes India</w:t>
      </w:r>
      <w:r w:rsidRPr="00561618">
        <w:t>, September 11, 201</w:t>
      </w:r>
      <w:r>
        <w:t>4</w:t>
      </w:r>
      <w:r w:rsidRPr="00561618">
        <w:t xml:space="preserve">, accessed May 29, 2017, </w:t>
      </w:r>
      <w:r w:rsidRPr="00825BEF">
        <w:t>www.forbesindia.com/blog/health/5-things-to-know-about-the-indias-healthcare-system/</w:t>
      </w:r>
      <w:r w:rsidRPr="00561618">
        <w:t xml:space="preserve">. </w:t>
      </w:r>
    </w:p>
  </w:endnote>
  <w:endnote w:id="16">
    <w:p w14:paraId="263CE43C" w14:textId="77777777" w:rsidR="0008572C" w:rsidRDefault="00BF2E9D" w:rsidP="00825BEF">
      <w:pPr>
        <w:pStyle w:val="FootnoteText1"/>
        <w:rPr>
          <w:spacing w:val="-2"/>
        </w:rPr>
      </w:pPr>
      <w:r w:rsidRPr="00561618">
        <w:rPr>
          <w:rStyle w:val="EndnoteReference"/>
        </w:rPr>
        <w:endnoteRef/>
      </w:r>
      <w:r w:rsidRPr="00561618">
        <w:t xml:space="preserve"> </w:t>
      </w:r>
      <w:r w:rsidRPr="00397034">
        <w:rPr>
          <w:spacing w:val="-2"/>
        </w:rPr>
        <w:t xml:space="preserve">D.E. Bloom, E.T. </w:t>
      </w:r>
      <w:proofErr w:type="spellStart"/>
      <w:r w:rsidRPr="00397034">
        <w:rPr>
          <w:spacing w:val="-2"/>
        </w:rPr>
        <w:t>Cafiero</w:t>
      </w:r>
      <w:proofErr w:type="spellEnd"/>
      <w:r w:rsidRPr="00397034">
        <w:rPr>
          <w:spacing w:val="-2"/>
        </w:rPr>
        <w:t xml:space="preserve">, E. </w:t>
      </w:r>
      <w:proofErr w:type="spellStart"/>
      <w:r w:rsidRPr="00397034">
        <w:rPr>
          <w:spacing w:val="-2"/>
        </w:rPr>
        <w:t>Jané-Llopis</w:t>
      </w:r>
      <w:proofErr w:type="spellEnd"/>
      <w:r w:rsidRPr="00397034">
        <w:rPr>
          <w:spacing w:val="-2"/>
        </w:rPr>
        <w:t>, S. Abrahams-</w:t>
      </w:r>
      <w:proofErr w:type="spellStart"/>
      <w:r w:rsidRPr="00397034">
        <w:rPr>
          <w:spacing w:val="-2"/>
        </w:rPr>
        <w:t>Gessel</w:t>
      </w:r>
      <w:proofErr w:type="spellEnd"/>
      <w:r w:rsidRPr="00397034">
        <w:rPr>
          <w:spacing w:val="-2"/>
        </w:rPr>
        <w:t xml:space="preserve">, L.R. Bloom, S. </w:t>
      </w:r>
      <w:proofErr w:type="spellStart"/>
      <w:r w:rsidRPr="00397034">
        <w:rPr>
          <w:spacing w:val="-2"/>
        </w:rPr>
        <w:t>Fathima</w:t>
      </w:r>
      <w:proofErr w:type="spellEnd"/>
      <w:r w:rsidRPr="00397034">
        <w:rPr>
          <w:spacing w:val="-2"/>
        </w:rPr>
        <w:t xml:space="preserve">, A.B. Feigl, et al., </w:t>
      </w:r>
      <w:r w:rsidRPr="00397034">
        <w:rPr>
          <w:i/>
          <w:spacing w:val="-2"/>
        </w:rPr>
        <w:t xml:space="preserve">The Global Economic Burden of </w:t>
      </w:r>
      <w:proofErr w:type="spellStart"/>
      <w:r w:rsidRPr="00397034">
        <w:rPr>
          <w:i/>
          <w:spacing w:val="-2"/>
        </w:rPr>
        <w:t>Noncommunicable</w:t>
      </w:r>
      <w:proofErr w:type="spellEnd"/>
      <w:r w:rsidRPr="00397034">
        <w:rPr>
          <w:i/>
          <w:spacing w:val="-2"/>
        </w:rPr>
        <w:t xml:space="preserve"> Diseases</w:t>
      </w:r>
      <w:r w:rsidRPr="00397034">
        <w:rPr>
          <w:spacing w:val="-2"/>
        </w:rPr>
        <w:t xml:space="preserve"> (Geneva: World Economic Forum and Harvard School of Public Health, September 2011), accessed July 17, 2017, www3.weforum.org/docs/WEF_Harvard_HE_GlobalEconomicBurdenNonCommuni</w:t>
      </w:r>
    </w:p>
    <w:p w14:paraId="2C17D847" w14:textId="090CA113" w:rsidR="00BF2E9D" w:rsidRPr="00397034" w:rsidRDefault="00BF2E9D" w:rsidP="00825BEF">
      <w:pPr>
        <w:pStyle w:val="FootnoteText1"/>
        <w:rPr>
          <w:spacing w:val="-2"/>
          <w:lang w:val="en-IN"/>
        </w:rPr>
      </w:pPr>
      <w:proofErr w:type="gramStart"/>
      <w:r w:rsidRPr="00397034">
        <w:rPr>
          <w:spacing w:val="-2"/>
        </w:rPr>
        <w:t>cableDiseases_2011.pdf.</w:t>
      </w:r>
      <w:proofErr w:type="gramEnd"/>
      <w:r w:rsidRPr="00397034">
        <w:rPr>
          <w:spacing w:val="-2"/>
        </w:rPr>
        <w:t xml:space="preserve"> </w:t>
      </w:r>
    </w:p>
  </w:endnote>
  <w:endnote w:id="17">
    <w:p w14:paraId="4C00FC6A" w14:textId="4E414A73" w:rsidR="00BF2E9D" w:rsidRPr="00561618" w:rsidRDefault="00BF2E9D" w:rsidP="00725C28">
      <w:pPr>
        <w:pStyle w:val="FootnoteText1"/>
        <w:rPr>
          <w:lang w:val="en-IN"/>
        </w:rPr>
      </w:pPr>
      <w:r w:rsidRPr="00561618">
        <w:rPr>
          <w:rStyle w:val="EndnoteReference"/>
        </w:rPr>
        <w:endnoteRef/>
      </w:r>
      <w:r w:rsidRPr="00561618">
        <w:t xml:space="preserve"> Vishal Bali, “Healthcare: A Collective National Agenda,” </w:t>
      </w:r>
      <w:r w:rsidRPr="00561618">
        <w:rPr>
          <w:i/>
        </w:rPr>
        <w:t xml:space="preserve">BW </w:t>
      </w:r>
      <w:proofErr w:type="spellStart"/>
      <w:r w:rsidRPr="00561618">
        <w:rPr>
          <w:i/>
        </w:rPr>
        <w:t>Businessworld</w:t>
      </w:r>
      <w:proofErr w:type="spellEnd"/>
      <w:r w:rsidRPr="00561618">
        <w:t>, February 29, 2016, accessed May 29, 2017, http://businessworld.in/article/Healthcare-A-Collective-N</w:t>
      </w:r>
      <w:r>
        <w:t>ational-Agenda/29-02-2016-91513;</w:t>
      </w:r>
      <w:r w:rsidRPr="00561618">
        <w:t xml:space="preserve"> “Global Health Observatory Data Repository</w:t>
      </w:r>
      <w:r>
        <w:t>:</w:t>
      </w:r>
      <w:r w:rsidRPr="00561618">
        <w:t xml:space="preserve"> Density per 1</w:t>
      </w:r>
      <w:r>
        <w:t>,</w:t>
      </w:r>
      <w:r w:rsidRPr="00561618">
        <w:t>000</w:t>
      </w:r>
      <w:r>
        <w:t>,</w:t>
      </w:r>
      <w:r w:rsidRPr="00561618">
        <w:t xml:space="preserve"> Data by Country,” W</w:t>
      </w:r>
      <w:r>
        <w:t>orld Health Organization</w:t>
      </w:r>
      <w:r w:rsidRPr="00561618">
        <w:t>, accessed December 26, 2016, http://apps.who.int/gho/data/node.main.A1444.</w:t>
      </w:r>
    </w:p>
  </w:endnote>
  <w:endnote w:id="18">
    <w:p w14:paraId="5CE03F17" w14:textId="77777777" w:rsidR="00BF2E9D" w:rsidRPr="00561618" w:rsidRDefault="00BF2E9D" w:rsidP="00725C28">
      <w:pPr>
        <w:pStyle w:val="FootnoteText1"/>
        <w:rPr>
          <w:lang w:val="en-IN"/>
        </w:rPr>
      </w:pPr>
      <w:r w:rsidRPr="00561618">
        <w:rPr>
          <w:rStyle w:val="EndnoteReference"/>
        </w:rPr>
        <w:endnoteRef/>
      </w:r>
      <w:r w:rsidRPr="00561618">
        <w:t xml:space="preserve"> </w:t>
      </w:r>
      <w:proofErr w:type="gramStart"/>
      <w:r w:rsidRPr="00561618">
        <w:t>Vishal Bali, “Missing the Bus?”</w:t>
      </w:r>
      <w:proofErr w:type="gramEnd"/>
      <w:r w:rsidRPr="00561618">
        <w:t xml:space="preserve"> </w:t>
      </w:r>
      <w:r w:rsidRPr="00561618">
        <w:rPr>
          <w:i/>
        </w:rPr>
        <w:t xml:space="preserve">BW </w:t>
      </w:r>
      <w:proofErr w:type="spellStart"/>
      <w:r w:rsidRPr="00561618">
        <w:rPr>
          <w:i/>
        </w:rPr>
        <w:t>Businessworld</w:t>
      </w:r>
      <w:proofErr w:type="spellEnd"/>
      <w:r w:rsidRPr="00561618">
        <w:t>, March 17, 2016, accessed May 31, 2017, http://businessworld.in/article/Missing-The-Bus-/17-03-2016-92051.</w:t>
      </w:r>
    </w:p>
  </w:endnote>
  <w:endnote w:id="19">
    <w:p w14:paraId="21E14FF1" w14:textId="4798C465"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w:t>
      </w:r>
      <w:r>
        <w:rPr>
          <w:rFonts w:ascii="Arial" w:hAnsi="Arial" w:cs="Arial"/>
          <w:sz w:val="17"/>
          <w:szCs w:val="17"/>
        </w:rPr>
        <w:t xml:space="preserve">₹ = INR = </w:t>
      </w:r>
      <w:r w:rsidRPr="00561618">
        <w:rPr>
          <w:rFonts w:ascii="Arial" w:hAnsi="Arial" w:cs="Arial"/>
          <w:sz w:val="17"/>
          <w:szCs w:val="17"/>
          <w:lang w:val="en-IN"/>
        </w:rPr>
        <w:t>Indian rupees</w:t>
      </w:r>
      <w:r>
        <w:rPr>
          <w:rFonts w:ascii="Arial" w:hAnsi="Arial" w:cs="Arial"/>
          <w:sz w:val="17"/>
          <w:szCs w:val="17"/>
          <w:lang w:val="en-IN"/>
        </w:rPr>
        <w:t>; US$1.00 = ₹</w:t>
      </w:r>
      <w:r w:rsidRPr="00561618">
        <w:rPr>
          <w:rFonts w:ascii="Arial" w:hAnsi="Arial" w:cs="Arial"/>
          <w:sz w:val="17"/>
          <w:szCs w:val="17"/>
          <w:lang w:val="en-IN"/>
        </w:rPr>
        <w:t>67.15 on August 29, 2016.</w:t>
      </w:r>
    </w:p>
  </w:endnote>
  <w:endnote w:id="20">
    <w:p w14:paraId="5BC48A52" w14:textId="4AB3309B"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Adopted from </w:t>
      </w:r>
      <w:r w:rsidRPr="00561618">
        <w:rPr>
          <w:rFonts w:ascii="Arial" w:hAnsi="Arial" w:cs="Arial"/>
          <w:sz w:val="17"/>
          <w:szCs w:val="17"/>
          <w:lang w:val="en-IN"/>
        </w:rPr>
        <w:t>Narayana Health’s red</w:t>
      </w:r>
      <w:r>
        <w:rPr>
          <w:rFonts w:ascii="Arial" w:hAnsi="Arial" w:cs="Arial"/>
          <w:sz w:val="17"/>
          <w:szCs w:val="17"/>
          <w:lang w:val="en-IN"/>
        </w:rPr>
        <w:t>-</w:t>
      </w:r>
      <w:r w:rsidRPr="00561618">
        <w:rPr>
          <w:rFonts w:ascii="Arial" w:hAnsi="Arial" w:cs="Arial"/>
          <w:sz w:val="17"/>
          <w:szCs w:val="17"/>
          <w:lang w:val="en-IN"/>
        </w:rPr>
        <w:t>herring draft prospectus filed with the SEBI.</w:t>
      </w:r>
    </w:p>
  </w:endnote>
  <w:endnote w:id="21">
    <w:p w14:paraId="1DFB475B" w14:textId="77777777" w:rsidR="00BF2E9D" w:rsidRPr="00561618" w:rsidRDefault="00BF2E9D" w:rsidP="00725C28">
      <w:pPr>
        <w:pStyle w:val="FootnoteText1"/>
        <w:rPr>
          <w:lang w:val="en-IN"/>
        </w:rPr>
      </w:pPr>
      <w:r w:rsidRPr="00561618">
        <w:rPr>
          <w:rStyle w:val="EndnoteReference"/>
        </w:rPr>
        <w:endnoteRef/>
      </w:r>
      <w:r w:rsidRPr="00561618">
        <w:t xml:space="preserve"> “Narayana </w:t>
      </w:r>
      <w:proofErr w:type="spellStart"/>
      <w:r w:rsidRPr="00561618">
        <w:t>Hrudayalaya</w:t>
      </w:r>
      <w:proofErr w:type="spellEnd"/>
      <w:r w:rsidRPr="00561618">
        <w:t xml:space="preserve">: A Model for Accessible, Affordable Health Care?” </w:t>
      </w:r>
      <w:proofErr w:type="spellStart"/>
      <w:r w:rsidRPr="00561618">
        <w:t>Knowledge@Wharton</w:t>
      </w:r>
      <w:proofErr w:type="spellEnd"/>
      <w:r w:rsidRPr="00561618">
        <w:t>, July 1, 2010, accessed May 31, 2017, http://knowledge.wharton.upenn.edu/article/narayana-hrudayalaya-a-model-for-accessible-affordable-health-care.</w:t>
      </w:r>
    </w:p>
  </w:endnote>
  <w:endnote w:id="22">
    <w:p w14:paraId="4BED202F" w14:textId="1DE5C527" w:rsidR="00BF2E9D" w:rsidRPr="00561618" w:rsidRDefault="00BF2E9D" w:rsidP="00725C28">
      <w:pPr>
        <w:pStyle w:val="FootnoteText1"/>
        <w:rPr>
          <w:lang w:val="en-IN"/>
        </w:rPr>
      </w:pPr>
      <w:r w:rsidRPr="00561618">
        <w:rPr>
          <w:rStyle w:val="EndnoteReference"/>
        </w:rPr>
        <w:endnoteRef/>
      </w:r>
      <w:r w:rsidRPr="00561618">
        <w:t xml:space="preserve"> “Dr. Shetty’s Letter to the Children,” Health City Cayman Islands, accessed December 26, 2016, www.healthcitycaymanislands.com/about/our-leadership/dr-shetty-message.</w:t>
      </w:r>
    </w:p>
  </w:endnote>
  <w:endnote w:id="23">
    <w:p w14:paraId="62F898C4" w14:textId="77777777" w:rsidR="00BF2E9D" w:rsidRPr="00561618" w:rsidRDefault="00BF2E9D" w:rsidP="00725C28">
      <w:pPr>
        <w:pStyle w:val="EndnoteText"/>
        <w:jc w:val="both"/>
        <w:rPr>
          <w:rFonts w:ascii="Arial" w:hAnsi="Arial" w:cs="Arial"/>
          <w:sz w:val="17"/>
          <w:szCs w:val="17"/>
        </w:rPr>
      </w:pPr>
      <w:r w:rsidRPr="001A4673">
        <w:rPr>
          <w:rFonts w:ascii="Arial" w:hAnsi="Arial" w:cs="Arial"/>
          <w:iCs/>
          <w:sz w:val="17"/>
          <w:szCs w:val="17"/>
          <w:vertAlign w:val="superscript"/>
        </w:rPr>
        <w:endnoteRef/>
      </w:r>
      <w:r w:rsidRPr="001A4673">
        <w:rPr>
          <w:rFonts w:ascii="Arial" w:hAnsi="Arial" w:cs="Arial"/>
          <w:iCs/>
          <w:sz w:val="17"/>
          <w:szCs w:val="17"/>
        </w:rPr>
        <w:t xml:space="preserve"> Indian Brand Equity Foundation, </w:t>
      </w:r>
      <w:r w:rsidRPr="001A4673">
        <w:rPr>
          <w:rFonts w:ascii="Arial" w:hAnsi="Arial" w:cs="Arial"/>
          <w:iCs/>
          <w:sz w:val="17"/>
          <w:szCs w:val="17"/>
        </w:rPr>
        <w:fldChar w:fldCharType="begin"/>
      </w:r>
      <w:r w:rsidRPr="001A4673">
        <w:rPr>
          <w:rFonts w:ascii="Arial" w:hAnsi="Arial" w:cs="Arial"/>
          <w:iCs/>
          <w:sz w:val="17"/>
          <w:szCs w:val="17"/>
        </w:rPr>
        <w:instrText xml:space="preserve"> ADDIN ZOTERO_ITEM CSL_CITATION {"citationID":"QiMRaLPx","properties":{"formattedCitation":"{\\rtf \\uc0\\u8220{}Making Heart Care Affordable\\uc0\\u8221{} (Indian Brand Equity Foundation, n.d.), http://www.brandindiapharma.in/current-events-health/images/Making_heart_care_affordable.pdf.}","plainCitation":"“Making Heart Care Affordable” (Indian Brand Equity Foundation, n.d.), http://www.brandindiapharma.in/current-events-health/images/Making_heart_care_affordable.pdf."},"citationItems":[{"id":504,"uris":["http://zotero.org/users/3272414/items/NI8Q84WM"],"uri":["http://zotero.org/users/3272414/items/NI8Q84WM"],"itemData":{"id":504,"type":"report","title":"Making Heart Care Affordable","publisher":"Indian Brand Equity Foundation","abstract":"A doctor, with experience of more than 20 years and with the\nhonour of being personal physician to Mother Teresa, reinvents\nthe process of delivering heart care by applying the principle of\neconomies of scale. At the Narayana Hrudayalaya, heart surgeries\nare performed at a tenth of the cost of surgeries in the developed\nworld. The founder of the hospital, Dr. Devi Prasad Shetty,\nand his team have devised some innovative cost management\ntechniques. Dr. Shetty has also been instrumental in setting up\na microinsurance scheme to augment the healthcare spending\npower of the rural population.","URL":"http://www.brandindiapharma.in/current-events-health/images/Making_heart_care_affordable.pdf"}}],"schema":"https://github.com/citation-style-language/schema/raw/master/csl-citation.json"} </w:instrText>
      </w:r>
      <w:r w:rsidRPr="001A4673">
        <w:rPr>
          <w:rFonts w:ascii="Arial" w:hAnsi="Arial" w:cs="Arial"/>
          <w:iCs/>
          <w:sz w:val="17"/>
          <w:szCs w:val="17"/>
        </w:rPr>
        <w:fldChar w:fldCharType="separate"/>
      </w:r>
      <w:r w:rsidRPr="001A4673">
        <w:rPr>
          <w:rFonts w:ascii="Arial" w:hAnsi="Arial" w:cs="Arial"/>
          <w:i/>
          <w:iCs/>
          <w:sz w:val="17"/>
          <w:szCs w:val="17"/>
        </w:rPr>
        <w:t>Making Heart Care Affordable</w:t>
      </w:r>
      <w:r w:rsidRPr="001A4673">
        <w:rPr>
          <w:rFonts w:ascii="Arial" w:hAnsi="Arial" w:cs="Arial"/>
          <w:iCs/>
          <w:sz w:val="17"/>
          <w:szCs w:val="17"/>
        </w:rPr>
        <w:t>, accessed May 31, 2017, www.brandindiapharma.in/current-events-health/images/Making_heart_care_affordable.pdf</w:t>
      </w:r>
      <w:r w:rsidRPr="001A4673">
        <w:rPr>
          <w:rFonts w:ascii="Arial" w:hAnsi="Arial" w:cs="Arial"/>
          <w:sz w:val="17"/>
          <w:szCs w:val="17"/>
        </w:rPr>
        <w:fldChar w:fldCharType="end"/>
      </w:r>
      <w:r w:rsidRPr="001A4673">
        <w:rPr>
          <w:rFonts w:ascii="Arial" w:hAnsi="Arial" w:cs="Arial"/>
          <w:iCs/>
          <w:sz w:val="17"/>
          <w:szCs w:val="17"/>
        </w:rPr>
        <w:t>.</w:t>
      </w:r>
    </w:p>
  </w:endnote>
  <w:endnote w:id="24">
    <w:p w14:paraId="76099468" w14:textId="77777777" w:rsidR="00BF2E9D" w:rsidRPr="00561618" w:rsidRDefault="00BF2E9D" w:rsidP="00725C28">
      <w:pPr>
        <w:pStyle w:val="FootnoteText1"/>
        <w:rPr>
          <w:lang w:val="en-IN"/>
        </w:rPr>
      </w:pPr>
      <w:r w:rsidRPr="00561618">
        <w:rPr>
          <w:rStyle w:val="EndnoteReference"/>
        </w:rPr>
        <w:endnoteRef/>
      </w:r>
      <w:r w:rsidRPr="00561618">
        <w:t xml:space="preserve"> “NH Identity,” Narayana Health, accessed December 26, 2016, www.narayanahealth.org/about-us/nh-identity.</w:t>
      </w:r>
    </w:p>
  </w:endnote>
  <w:endnote w:id="25">
    <w:p w14:paraId="688F47A0" w14:textId="77777777" w:rsidR="00BF2E9D" w:rsidRPr="00561618" w:rsidRDefault="00BF2E9D" w:rsidP="00725C28">
      <w:pPr>
        <w:pStyle w:val="FootnoteText1"/>
        <w:rPr>
          <w:lang w:val="en-IN"/>
        </w:rPr>
      </w:pPr>
      <w:r w:rsidRPr="00561618">
        <w:rPr>
          <w:rStyle w:val="EndnoteReference"/>
        </w:rPr>
        <w:endnoteRef/>
      </w:r>
      <w:r w:rsidRPr="00561618">
        <w:t xml:space="preserve"> PTI, “Narayana </w:t>
      </w:r>
      <w:proofErr w:type="spellStart"/>
      <w:r w:rsidRPr="00561618">
        <w:t>Hrudayalaya</w:t>
      </w:r>
      <w:proofErr w:type="spellEnd"/>
      <w:r w:rsidRPr="00561618">
        <w:t xml:space="preserve"> to Set </w:t>
      </w:r>
      <w:proofErr w:type="gramStart"/>
      <w:r w:rsidRPr="00561618">
        <w:t>Up</w:t>
      </w:r>
      <w:proofErr w:type="gramEnd"/>
      <w:r w:rsidRPr="00561618">
        <w:t xml:space="preserve"> Four 5,000 Bed Health Cities in India,” </w:t>
      </w:r>
      <w:r w:rsidRPr="00561618">
        <w:rPr>
          <w:i/>
        </w:rPr>
        <w:t>The Economic Times</w:t>
      </w:r>
      <w:r w:rsidRPr="00561618">
        <w:t>, May 3, 2012, accessed May 29, 2017, http://economictimes.indiatimes.com/industry/healthcare/biotech/healthcare/narayana-hrudayalaya-to-set-up-four-5000-bed-health-cities-in-india/articleshow/12980582.cms?intenttarget=no.</w:t>
      </w:r>
    </w:p>
  </w:endnote>
  <w:endnote w:id="26">
    <w:p w14:paraId="5BBBAA0D" w14:textId="575C82F3" w:rsidR="00BF2E9D" w:rsidRPr="00561618" w:rsidRDefault="00BF2E9D" w:rsidP="00725C28">
      <w:pPr>
        <w:pStyle w:val="EndnoteText"/>
        <w:jc w:val="both"/>
        <w:rPr>
          <w:rFonts w:ascii="Arial" w:hAnsi="Arial" w:cs="Arial"/>
          <w:sz w:val="17"/>
          <w:szCs w:val="17"/>
        </w:rPr>
      </w:pPr>
      <w:r w:rsidRPr="00561618">
        <w:rPr>
          <w:rStyle w:val="EndnoteReference"/>
          <w:rFonts w:ascii="Arial" w:hAnsi="Arial" w:cs="Arial"/>
          <w:sz w:val="17"/>
          <w:szCs w:val="17"/>
        </w:rPr>
        <w:endnoteRef/>
      </w:r>
      <w:r w:rsidRPr="00561618">
        <w:rPr>
          <w:rFonts w:ascii="Arial" w:hAnsi="Arial" w:cs="Arial"/>
          <w:sz w:val="17"/>
          <w:szCs w:val="17"/>
        </w:rPr>
        <w:t xml:space="preserve"> </w:t>
      </w:r>
      <w:proofErr w:type="gramStart"/>
      <w:r w:rsidRPr="00561618">
        <w:rPr>
          <w:rFonts w:ascii="Arial" w:hAnsi="Arial" w:cs="Arial"/>
          <w:sz w:val="17"/>
          <w:szCs w:val="17"/>
        </w:rPr>
        <w:t xml:space="preserve">“Narayana </w:t>
      </w:r>
      <w:proofErr w:type="spellStart"/>
      <w:r w:rsidRPr="00561618">
        <w:rPr>
          <w:rFonts w:ascii="Arial" w:hAnsi="Arial" w:cs="Arial"/>
          <w:sz w:val="17"/>
          <w:szCs w:val="17"/>
        </w:rPr>
        <w:t>Hrudayalaya</w:t>
      </w:r>
      <w:proofErr w:type="spellEnd"/>
      <w:r w:rsidRPr="00561618">
        <w:rPr>
          <w:rFonts w:ascii="Arial" w:hAnsi="Arial" w:cs="Arial"/>
          <w:sz w:val="17"/>
          <w:szCs w:val="17"/>
        </w:rPr>
        <w:t xml:space="preserve">: A Model for Accessible, Affordable Health Care?” </w:t>
      </w:r>
      <w:r>
        <w:rPr>
          <w:rFonts w:ascii="Arial" w:hAnsi="Arial" w:cs="Arial"/>
          <w:sz w:val="17"/>
          <w:szCs w:val="17"/>
        </w:rPr>
        <w:t>op. cit</w:t>
      </w:r>
      <w:r w:rsidRPr="00561618">
        <w:rPr>
          <w:rFonts w:ascii="Arial" w:hAnsi="Arial" w:cs="Arial"/>
          <w:sz w:val="17"/>
          <w:szCs w:val="17"/>
        </w:rPr>
        <w:t>.</w:t>
      </w:r>
      <w:proofErr w:type="gramEnd"/>
    </w:p>
  </w:endnote>
  <w:endnote w:id="27">
    <w:p w14:paraId="4977A843" w14:textId="77777777" w:rsidR="00BF2E9D" w:rsidRPr="00561618" w:rsidRDefault="00BF2E9D" w:rsidP="00725C28">
      <w:pPr>
        <w:pStyle w:val="FootnoteText1"/>
        <w:rPr>
          <w:lang w:val="en-IN"/>
        </w:rPr>
      </w:pPr>
      <w:r w:rsidRPr="00561618">
        <w:rPr>
          <w:rStyle w:val="EndnoteReference"/>
        </w:rPr>
        <w:endnoteRef/>
      </w:r>
      <w:r w:rsidRPr="00561618">
        <w:t xml:space="preserve"> </w:t>
      </w:r>
      <w:proofErr w:type="spellStart"/>
      <w:r w:rsidRPr="00561618">
        <w:t>Geeta</w:t>
      </w:r>
      <w:proofErr w:type="spellEnd"/>
      <w:r w:rsidRPr="00561618">
        <w:t xml:space="preserve"> </w:t>
      </w:r>
      <w:proofErr w:type="spellStart"/>
      <w:r w:rsidRPr="00561618">
        <w:t>Anand</w:t>
      </w:r>
      <w:proofErr w:type="spellEnd"/>
      <w:r w:rsidRPr="00561618">
        <w:t xml:space="preserve">, “The Henry Ford of Heart Surgery,” </w:t>
      </w:r>
      <w:r w:rsidRPr="00561618">
        <w:rPr>
          <w:i/>
        </w:rPr>
        <w:t>The</w:t>
      </w:r>
      <w:r w:rsidRPr="00561618">
        <w:t xml:space="preserve"> </w:t>
      </w:r>
      <w:r w:rsidRPr="00561618">
        <w:rPr>
          <w:i/>
        </w:rPr>
        <w:t>Wall Street Journal</w:t>
      </w:r>
      <w:r w:rsidRPr="00561618">
        <w:t>, November 25, 2009, accessed May 31, 2017, www.wsj.com/articles/SB125875892887958111.</w:t>
      </w:r>
    </w:p>
  </w:endnote>
  <w:endnote w:id="28">
    <w:p w14:paraId="0E7EEFA1" w14:textId="1DACCD7D" w:rsidR="00BF2E9D" w:rsidRPr="00561618" w:rsidRDefault="00BF2E9D" w:rsidP="00725C28">
      <w:pPr>
        <w:pStyle w:val="FootnoteText1"/>
        <w:rPr>
          <w:lang w:val="en-IN"/>
        </w:rPr>
      </w:pPr>
      <w:r w:rsidRPr="00561618">
        <w:rPr>
          <w:rStyle w:val="EndnoteReference"/>
        </w:rPr>
        <w:endnoteRef/>
      </w:r>
      <w:r w:rsidRPr="00561618">
        <w:t xml:space="preserve"> </w:t>
      </w:r>
      <w:r>
        <w:t>Ibid</w:t>
      </w:r>
      <w:r w:rsidRPr="00561618">
        <w:t>.</w:t>
      </w:r>
    </w:p>
  </w:endnote>
  <w:endnote w:id="29">
    <w:p w14:paraId="35259E55" w14:textId="26CC53E6" w:rsidR="0008572C" w:rsidRDefault="00BF2E9D" w:rsidP="00725C28">
      <w:pPr>
        <w:pStyle w:val="FootnoteText1"/>
        <w:rPr>
          <w:spacing w:val="-2"/>
        </w:rPr>
      </w:pPr>
      <w:r w:rsidRPr="00561618">
        <w:rPr>
          <w:rStyle w:val="EndnoteReference"/>
        </w:rPr>
        <w:endnoteRef/>
      </w:r>
      <w:r w:rsidRPr="00561618">
        <w:t xml:space="preserve"> </w:t>
      </w:r>
      <w:r w:rsidRPr="00BF2E9D">
        <w:rPr>
          <w:spacing w:val="-2"/>
        </w:rPr>
        <w:t xml:space="preserve">“And the Winners Were . . .,” </w:t>
      </w:r>
      <w:r w:rsidRPr="00BF2E9D">
        <w:rPr>
          <w:i/>
          <w:spacing w:val="-2"/>
        </w:rPr>
        <w:t>The Economist</w:t>
      </w:r>
      <w:r w:rsidRPr="00BF2E9D">
        <w:rPr>
          <w:spacing w:val="-2"/>
        </w:rPr>
        <w:t xml:space="preserve">, December 3, 2011, accessed May 31, 2017, </w:t>
      </w:r>
      <w:r w:rsidR="0008572C" w:rsidRPr="0008572C">
        <w:rPr>
          <w:spacing w:val="-2"/>
        </w:rPr>
        <w:t>www.economist.com/node/</w:t>
      </w:r>
    </w:p>
    <w:p w14:paraId="36BBAC6F" w14:textId="7F37F200" w:rsidR="00BF2E9D" w:rsidRPr="00BF2E9D" w:rsidRDefault="00BF2E9D" w:rsidP="00725C28">
      <w:pPr>
        <w:pStyle w:val="FootnoteText1"/>
        <w:rPr>
          <w:spacing w:val="-2"/>
          <w:lang w:val="en-IN"/>
        </w:rPr>
      </w:pPr>
      <w:r w:rsidRPr="00BF2E9D">
        <w:rPr>
          <w:spacing w:val="-2"/>
        </w:rPr>
        <w:t>21540389.</w:t>
      </w:r>
    </w:p>
  </w:endnote>
  <w:endnote w:id="30">
    <w:p w14:paraId="58D2F9F6" w14:textId="77777777" w:rsidR="00BF2E9D" w:rsidRPr="00561618" w:rsidRDefault="00BF2E9D" w:rsidP="00725C28">
      <w:pPr>
        <w:pStyle w:val="FootnoteText1"/>
        <w:rPr>
          <w:lang w:val="en-IN"/>
        </w:rPr>
      </w:pPr>
      <w:r w:rsidRPr="00561618">
        <w:rPr>
          <w:rStyle w:val="EndnoteReference"/>
        </w:rPr>
        <w:endnoteRef/>
      </w:r>
      <w:r w:rsidRPr="00561618">
        <w:t xml:space="preserve"> N. </w:t>
      </w:r>
      <w:proofErr w:type="spellStart"/>
      <w:r w:rsidRPr="00561618">
        <w:t>Madhavan</w:t>
      </w:r>
      <w:proofErr w:type="spellEnd"/>
      <w:r w:rsidRPr="00561618">
        <w:t xml:space="preserve">, “Compassionate Heart, Business Mind,” </w:t>
      </w:r>
      <w:r w:rsidRPr="00561618">
        <w:rPr>
          <w:i/>
        </w:rPr>
        <w:t>Business Today</w:t>
      </w:r>
      <w:r w:rsidRPr="00561618">
        <w:t>, May 25, 2014, accessed May 31, 2017, www.businesstoday.in/magazine/cover-story/biggest-india-innovation-narayana-health/story/205823.html.</w:t>
      </w:r>
    </w:p>
  </w:endnote>
  <w:endnote w:id="31">
    <w:p w14:paraId="30CC31D4" w14:textId="77777777" w:rsidR="00BF2E9D" w:rsidRPr="00561618" w:rsidRDefault="00BF2E9D" w:rsidP="00725C28">
      <w:pPr>
        <w:pStyle w:val="FootnoteText1"/>
        <w:rPr>
          <w:lang w:val="en-IN"/>
        </w:rPr>
      </w:pPr>
      <w:r w:rsidRPr="00561618">
        <w:rPr>
          <w:rStyle w:val="EndnoteReference"/>
        </w:rPr>
        <w:endnoteRef/>
      </w:r>
      <w:r w:rsidRPr="00561618">
        <w:t xml:space="preserve"> “Awards and Recognition,” Narayana Health, accessed December 26, 2016, www.narayanahealth.org/about-us/awards-and-recognitions.</w:t>
      </w:r>
    </w:p>
  </w:endnote>
  <w:endnote w:id="32">
    <w:p w14:paraId="24A0553A" w14:textId="6DF949C4" w:rsidR="00BF2E9D" w:rsidRPr="00561618" w:rsidRDefault="00BF2E9D" w:rsidP="00725C28">
      <w:pPr>
        <w:pStyle w:val="FootnoteText1"/>
      </w:pPr>
      <w:r w:rsidRPr="00561618">
        <w:rPr>
          <w:rStyle w:val="EndnoteReference"/>
        </w:rPr>
        <w:endnoteRef/>
      </w:r>
      <w:r w:rsidRPr="00561618">
        <w:t xml:space="preserve"> </w:t>
      </w:r>
      <w:proofErr w:type="spellStart"/>
      <w:proofErr w:type="gramStart"/>
      <w:r w:rsidRPr="00561618">
        <w:t>Madhavan</w:t>
      </w:r>
      <w:proofErr w:type="spellEnd"/>
      <w:r w:rsidRPr="00561618">
        <w:t xml:space="preserve">, </w:t>
      </w:r>
      <w:r>
        <w:t>op. cit</w:t>
      </w:r>
      <w:r w:rsidRPr="00561618">
        <w:t>.</w:t>
      </w:r>
      <w:proofErr w:type="gramEnd"/>
    </w:p>
  </w:endnote>
  <w:endnote w:id="33">
    <w:p w14:paraId="2FBDFFD8" w14:textId="19DEEDB6"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w:t>
      </w:r>
      <w:proofErr w:type="spellStart"/>
      <w:r w:rsidRPr="00E76732">
        <w:rPr>
          <w:rFonts w:ascii="Arial" w:hAnsi="Arial" w:cs="Arial"/>
          <w:sz w:val="17"/>
          <w:szCs w:val="17"/>
        </w:rPr>
        <w:t>Arogya</w:t>
      </w:r>
      <w:proofErr w:type="spellEnd"/>
      <w:r w:rsidRPr="00E76732">
        <w:rPr>
          <w:rFonts w:ascii="Arial" w:hAnsi="Arial" w:cs="Arial"/>
          <w:sz w:val="17"/>
          <w:szCs w:val="17"/>
        </w:rPr>
        <w:t xml:space="preserve"> </w:t>
      </w:r>
      <w:proofErr w:type="spellStart"/>
      <w:r w:rsidRPr="00E76732">
        <w:rPr>
          <w:rFonts w:ascii="Arial" w:hAnsi="Arial" w:cs="Arial"/>
          <w:sz w:val="17"/>
          <w:szCs w:val="17"/>
        </w:rPr>
        <w:t>Raksha</w:t>
      </w:r>
      <w:proofErr w:type="spellEnd"/>
      <w:r w:rsidRPr="00E76732">
        <w:rPr>
          <w:rFonts w:ascii="Arial" w:hAnsi="Arial" w:cs="Arial"/>
          <w:sz w:val="17"/>
          <w:szCs w:val="17"/>
        </w:rPr>
        <w:t xml:space="preserve"> </w:t>
      </w:r>
      <w:proofErr w:type="spellStart"/>
      <w:r w:rsidRPr="00E76732">
        <w:rPr>
          <w:rFonts w:ascii="Arial" w:hAnsi="Arial" w:cs="Arial"/>
          <w:sz w:val="17"/>
          <w:szCs w:val="17"/>
        </w:rPr>
        <w:t>Yojana</w:t>
      </w:r>
      <w:proofErr w:type="spellEnd"/>
      <w:r w:rsidRPr="00E76732">
        <w:rPr>
          <w:rFonts w:ascii="Arial" w:hAnsi="Arial" w:cs="Arial"/>
          <w:sz w:val="17"/>
          <w:szCs w:val="17"/>
        </w:rPr>
        <w:t xml:space="preserve"> </w:t>
      </w:r>
      <w:r w:rsidRPr="00561618">
        <w:rPr>
          <w:rFonts w:ascii="Arial" w:hAnsi="Arial" w:cs="Arial"/>
          <w:sz w:val="17"/>
          <w:szCs w:val="17"/>
        </w:rPr>
        <w:t xml:space="preserve">was a unique micro-health insurance scheme launched by </w:t>
      </w:r>
      <w:proofErr w:type="spellStart"/>
      <w:r w:rsidRPr="00561618">
        <w:rPr>
          <w:rFonts w:ascii="Arial" w:hAnsi="Arial" w:cs="Arial"/>
          <w:sz w:val="17"/>
          <w:szCs w:val="17"/>
        </w:rPr>
        <w:t>Biocon</w:t>
      </w:r>
      <w:proofErr w:type="spellEnd"/>
      <w:r w:rsidRPr="00561618">
        <w:rPr>
          <w:rFonts w:ascii="Arial" w:hAnsi="Arial" w:cs="Arial"/>
          <w:sz w:val="17"/>
          <w:szCs w:val="17"/>
        </w:rPr>
        <w:t xml:space="preserve"> Foundation in association with Narayana Health in 2004. It offered people of rural India affordable access to high-quality healthcare by paying a small amount of </w:t>
      </w:r>
      <w:r w:rsidRPr="00561618">
        <w:rPr>
          <w:rFonts w:ascii="Arial" w:hAnsi="Arial" w:cs="Arial"/>
          <w:color w:val="222222"/>
          <w:sz w:val="17"/>
          <w:szCs w:val="17"/>
          <w:shd w:val="clear" w:color="auto" w:fill="FFFFFF"/>
        </w:rPr>
        <w:t>₹</w:t>
      </w:r>
      <w:r w:rsidRPr="00561618">
        <w:rPr>
          <w:rFonts w:ascii="Arial" w:hAnsi="Arial" w:cs="Arial"/>
          <w:sz w:val="17"/>
          <w:szCs w:val="17"/>
        </w:rPr>
        <w:t>502</w:t>
      </w:r>
      <w:r>
        <w:rPr>
          <w:rFonts w:ascii="Arial" w:hAnsi="Arial" w:cs="Arial"/>
          <w:sz w:val="17"/>
          <w:szCs w:val="17"/>
        </w:rPr>
        <w:t>–</w:t>
      </w:r>
      <w:r w:rsidRPr="00561618">
        <w:rPr>
          <w:rFonts w:ascii="Arial" w:hAnsi="Arial" w:cs="Arial"/>
          <w:color w:val="222222"/>
          <w:sz w:val="17"/>
          <w:szCs w:val="17"/>
          <w:shd w:val="clear" w:color="auto" w:fill="FFFFFF"/>
        </w:rPr>
        <w:t>₹</w:t>
      </w:r>
      <w:r w:rsidRPr="00561618">
        <w:rPr>
          <w:rFonts w:ascii="Arial" w:hAnsi="Arial" w:cs="Arial"/>
          <w:sz w:val="17"/>
          <w:szCs w:val="17"/>
        </w:rPr>
        <w:t xml:space="preserve">594 ($11) per annum. </w:t>
      </w:r>
      <w:proofErr w:type="spellStart"/>
      <w:r w:rsidRPr="00E76732">
        <w:rPr>
          <w:rFonts w:ascii="Arial" w:hAnsi="Arial" w:cs="Arial"/>
          <w:sz w:val="17"/>
          <w:szCs w:val="17"/>
        </w:rPr>
        <w:t>Yeshaswini</w:t>
      </w:r>
      <w:proofErr w:type="spellEnd"/>
      <w:r w:rsidRPr="00E76732" w:rsidDel="00E76732">
        <w:rPr>
          <w:rFonts w:ascii="Arial" w:hAnsi="Arial" w:cs="Arial"/>
          <w:sz w:val="17"/>
          <w:szCs w:val="17"/>
        </w:rPr>
        <w:t xml:space="preserve"> </w:t>
      </w:r>
      <w:r w:rsidRPr="00561618">
        <w:rPr>
          <w:rFonts w:ascii="Arial" w:hAnsi="Arial" w:cs="Arial"/>
          <w:sz w:val="17"/>
          <w:szCs w:val="17"/>
        </w:rPr>
        <w:t xml:space="preserve">was a self-funded scheme introduced by the state government for farmers in Karnataka. The concept of a “rural healthcare scheme” was initiated by Dr. Devi Prasad Shetty and was implemented across Karnataka with financial assistance </w:t>
      </w:r>
      <w:r>
        <w:rPr>
          <w:rFonts w:ascii="Arial" w:hAnsi="Arial" w:cs="Arial"/>
          <w:sz w:val="17"/>
          <w:szCs w:val="17"/>
        </w:rPr>
        <w:t>from</w:t>
      </w:r>
      <w:r w:rsidRPr="00561618">
        <w:rPr>
          <w:rFonts w:ascii="Arial" w:hAnsi="Arial" w:cs="Arial"/>
          <w:sz w:val="17"/>
          <w:szCs w:val="17"/>
        </w:rPr>
        <w:t xml:space="preserve"> the state government.</w:t>
      </w:r>
    </w:p>
  </w:endnote>
  <w:endnote w:id="34">
    <w:p w14:paraId="270CD1A5" w14:textId="18520CD4"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Data in this section was obtained from </w:t>
      </w:r>
      <w:r w:rsidRPr="00561618">
        <w:rPr>
          <w:rFonts w:ascii="Arial" w:hAnsi="Arial" w:cs="Arial"/>
          <w:sz w:val="17"/>
          <w:szCs w:val="17"/>
          <w:lang w:val="en-IN"/>
        </w:rPr>
        <w:t>Narayana Health’s red</w:t>
      </w:r>
      <w:r>
        <w:rPr>
          <w:rFonts w:ascii="Arial" w:hAnsi="Arial" w:cs="Arial"/>
          <w:sz w:val="17"/>
          <w:szCs w:val="17"/>
          <w:lang w:val="en-IN"/>
        </w:rPr>
        <w:t>-</w:t>
      </w:r>
      <w:r w:rsidRPr="00561618">
        <w:rPr>
          <w:rFonts w:ascii="Arial" w:hAnsi="Arial" w:cs="Arial"/>
          <w:sz w:val="17"/>
          <w:szCs w:val="17"/>
          <w:lang w:val="en-IN"/>
        </w:rPr>
        <w:t xml:space="preserve">herring prospectus filed with the SEBI, </w:t>
      </w:r>
      <w:proofErr w:type="spellStart"/>
      <w:r w:rsidRPr="00561618">
        <w:rPr>
          <w:rFonts w:ascii="Arial" w:hAnsi="Arial" w:cs="Arial"/>
          <w:sz w:val="17"/>
          <w:szCs w:val="17"/>
          <w:lang w:val="en-IN"/>
        </w:rPr>
        <w:t>Capitaline</w:t>
      </w:r>
      <w:proofErr w:type="spellEnd"/>
      <w:r w:rsidRPr="00561618">
        <w:rPr>
          <w:rFonts w:ascii="Arial" w:hAnsi="Arial" w:cs="Arial"/>
          <w:sz w:val="17"/>
          <w:szCs w:val="17"/>
          <w:lang w:val="en-IN"/>
        </w:rPr>
        <w:t xml:space="preserve"> Databases and Centre for Monitoring Indian Economy (CMIE) database.</w:t>
      </w:r>
    </w:p>
  </w:endnote>
  <w:endnote w:id="35">
    <w:p w14:paraId="31D3680E" w14:textId="1EC2CCDA" w:rsidR="00BF2E9D" w:rsidRPr="00561618" w:rsidRDefault="00BF2E9D" w:rsidP="00725C28">
      <w:pPr>
        <w:pStyle w:val="FootnoteText1"/>
        <w:rPr>
          <w:lang w:val="en-IN"/>
        </w:rPr>
      </w:pPr>
      <w:r w:rsidRPr="00561618">
        <w:rPr>
          <w:rStyle w:val="EndnoteReference"/>
        </w:rPr>
        <w:endnoteRef/>
      </w:r>
      <w:r w:rsidRPr="00561618">
        <w:t xml:space="preserve"> “Indian Private Equity: Driving Growth without Returns,” </w:t>
      </w:r>
      <w:r w:rsidRPr="00561618">
        <w:rPr>
          <w:i/>
        </w:rPr>
        <w:t>Business Standard</w:t>
      </w:r>
      <w:r w:rsidRPr="00561618">
        <w:t>, July 2, 2015, accessed May 29, 2017, www.business-standard.com/article/specials/indian-private-equity-driving-growth-without-returns-115070200024_1.html.</w:t>
      </w:r>
    </w:p>
  </w:endnote>
  <w:endnote w:id="36">
    <w:p w14:paraId="164BB502" w14:textId="77777777" w:rsidR="00BF2E9D" w:rsidRPr="00561618" w:rsidRDefault="00BF2E9D" w:rsidP="00725C28">
      <w:pPr>
        <w:pStyle w:val="FootnoteText1"/>
        <w:rPr>
          <w:lang w:val="en-IN"/>
        </w:rPr>
      </w:pPr>
      <w:r w:rsidRPr="00561618">
        <w:rPr>
          <w:rStyle w:val="EndnoteReference"/>
        </w:rPr>
        <w:endnoteRef/>
      </w:r>
      <w:r w:rsidRPr="00561618">
        <w:t xml:space="preserve"> </w:t>
      </w:r>
      <w:proofErr w:type="spellStart"/>
      <w:r w:rsidRPr="00561618">
        <w:t>Reghu</w:t>
      </w:r>
      <w:proofErr w:type="spellEnd"/>
      <w:r w:rsidRPr="00561618">
        <w:t xml:space="preserve"> </w:t>
      </w:r>
      <w:proofErr w:type="spellStart"/>
      <w:r w:rsidRPr="00561618">
        <w:t>Balakrishnan</w:t>
      </w:r>
      <w:proofErr w:type="spellEnd"/>
      <w:r w:rsidRPr="00561618">
        <w:t xml:space="preserve">, “2015 Sees Highest-Ever Private Equity Investments in India,” </w:t>
      </w:r>
      <w:r w:rsidRPr="0037757F">
        <w:t>Live Mint</w:t>
      </w:r>
      <w:r w:rsidRPr="00E76732">
        <w:t>,</w:t>
      </w:r>
      <w:r w:rsidRPr="00561618">
        <w:t xml:space="preserve"> March 3, 2016, accessed May 29, 2017, www.livemint.com/Industry/DZYKCErQomg1vBKjrCfBDO/Private-equity-investments-in-India-highest-in-2015-report.html.</w:t>
      </w:r>
    </w:p>
  </w:endnote>
  <w:endnote w:id="37">
    <w:p w14:paraId="716BD1FC" w14:textId="77777777" w:rsidR="00BF2E9D" w:rsidRPr="00561618" w:rsidRDefault="00BF2E9D" w:rsidP="00725C28">
      <w:pPr>
        <w:pStyle w:val="FootnoteText1"/>
        <w:rPr>
          <w:lang w:val="en-IN"/>
        </w:rPr>
      </w:pPr>
      <w:r w:rsidRPr="00561618">
        <w:rPr>
          <w:rStyle w:val="EndnoteReference"/>
        </w:rPr>
        <w:endnoteRef/>
      </w:r>
      <w:r w:rsidRPr="00561618">
        <w:t xml:space="preserve"> Seema Singh, “AIG, JPMorgan Buy 25% Stake in Narayana </w:t>
      </w:r>
      <w:proofErr w:type="spellStart"/>
      <w:r w:rsidRPr="00561618">
        <w:t>Hrudayalaya</w:t>
      </w:r>
      <w:proofErr w:type="spellEnd"/>
      <w:r w:rsidRPr="00561618">
        <w:t xml:space="preserve">,” </w:t>
      </w:r>
      <w:r w:rsidRPr="0037757F">
        <w:t>Live Mint</w:t>
      </w:r>
      <w:r w:rsidRPr="00E76732">
        <w:t>,</w:t>
      </w:r>
      <w:r w:rsidRPr="00561618">
        <w:t xml:space="preserve"> February 7, 2008, accessed May 29, 2017, www.livemint.com/Companies/0nKvMHSnyq8sJrs9kcc04I/AIG-JPMorgan-buy-25-stake-in-Narayana-Hrudayalaya.html.</w:t>
      </w:r>
    </w:p>
  </w:endnote>
  <w:endnote w:id="38">
    <w:p w14:paraId="50639C98" w14:textId="616FDD61"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w:t>
      </w:r>
      <w:r w:rsidRPr="00561618">
        <w:rPr>
          <w:rFonts w:ascii="Arial" w:hAnsi="Arial" w:cs="Arial"/>
          <w:sz w:val="17"/>
          <w:szCs w:val="17"/>
          <w:lang w:val="en-IN"/>
        </w:rPr>
        <w:t>A person who start</w:t>
      </w:r>
      <w:r>
        <w:rPr>
          <w:rFonts w:ascii="Arial" w:hAnsi="Arial" w:cs="Arial"/>
          <w:sz w:val="17"/>
          <w:szCs w:val="17"/>
          <w:lang w:val="en-IN"/>
        </w:rPr>
        <w:t>ed</w:t>
      </w:r>
      <w:r w:rsidRPr="00561618">
        <w:rPr>
          <w:rFonts w:ascii="Arial" w:hAnsi="Arial" w:cs="Arial"/>
          <w:sz w:val="17"/>
          <w:szCs w:val="17"/>
          <w:lang w:val="en-IN"/>
        </w:rPr>
        <w:t xml:space="preserve"> a business, provide</w:t>
      </w:r>
      <w:r>
        <w:rPr>
          <w:rFonts w:ascii="Arial" w:hAnsi="Arial" w:cs="Arial"/>
          <w:sz w:val="17"/>
          <w:szCs w:val="17"/>
          <w:lang w:val="en-IN"/>
        </w:rPr>
        <w:t>d</w:t>
      </w:r>
      <w:r w:rsidRPr="00561618">
        <w:rPr>
          <w:rFonts w:ascii="Arial" w:hAnsi="Arial" w:cs="Arial"/>
          <w:sz w:val="17"/>
          <w:szCs w:val="17"/>
          <w:lang w:val="en-IN"/>
        </w:rPr>
        <w:t xml:space="preserve"> the initial capital, and often h</w:t>
      </w:r>
      <w:r>
        <w:rPr>
          <w:rFonts w:ascii="Arial" w:hAnsi="Arial" w:cs="Arial"/>
          <w:sz w:val="17"/>
          <w:szCs w:val="17"/>
          <w:lang w:val="en-IN"/>
        </w:rPr>
        <w:t>e</w:t>
      </w:r>
      <w:r w:rsidRPr="00561618">
        <w:rPr>
          <w:rFonts w:ascii="Arial" w:hAnsi="Arial" w:cs="Arial"/>
          <w:sz w:val="17"/>
          <w:szCs w:val="17"/>
          <w:lang w:val="en-IN"/>
        </w:rPr>
        <w:t>ld a majority stake.</w:t>
      </w:r>
    </w:p>
  </w:endnote>
  <w:endnote w:id="39">
    <w:p w14:paraId="4CE08EC7" w14:textId="1B8CABEE"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Rules and requirements </w:t>
      </w:r>
      <w:r>
        <w:rPr>
          <w:rFonts w:ascii="Arial" w:hAnsi="Arial" w:cs="Arial"/>
          <w:sz w:val="17"/>
          <w:szCs w:val="17"/>
        </w:rPr>
        <w:t>we</w:t>
      </w:r>
      <w:r w:rsidRPr="00561618">
        <w:rPr>
          <w:rFonts w:ascii="Arial" w:hAnsi="Arial" w:cs="Arial"/>
          <w:sz w:val="17"/>
          <w:szCs w:val="17"/>
        </w:rPr>
        <w:t xml:space="preserve">re adopted from the </w:t>
      </w:r>
      <w:r w:rsidRPr="00561618">
        <w:rPr>
          <w:rFonts w:ascii="Arial" w:hAnsi="Arial" w:cs="Arial"/>
          <w:sz w:val="17"/>
          <w:szCs w:val="17"/>
          <w:lang w:val="en-IN"/>
        </w:rPr>
        <w:t>SEBI (</w:t>
      </w:r>
      <w:r w:rsidRPr="00561618">
        <w:rPr>
          <w:rFonts w:ascii="Arial" w:hAnsi="Arial" w:cs="Arial"/>
          <w:sz w:val="17"/>
          <w:szCs w:val="17"/>
        </w:rPr>
        <w:t>www.sebi.gov.in</w:t>
      </w:r>
      <w:r w:rsidRPr="00561618">
        <w:rPr>
          <w:rFonts w:ascii="Arial" w:hAnsi="Arial" w:cs="Arial"/>
          <w:sz w:val="17"/>
          <w:szCs w:val="17"/>
          <w:lang w:val="en-IN"/>
        </w:rPr>
        <w:t>) guidelines.</w:t>
      </w:r>
    </w:p>
  </w:endnote>
  <w:endnote w:id="40">
    <w:p w14:paraId="5DD23C96" w14:textId="77777777" w:rsidR="00BF2E9D" w:rsidRPr="00561618" w:rsidRDefault="00BF2E9D" w:rsidP="00725C28">
      <w:pPr>
        <w:pStyle w:val="EndnoteText"/>
        <w:jc w:val="both"/>
        <w:rPr>
          <w:rFonts w:ascii="Arial" w:hAnsi="Arial" w:cs="Arial"/>
          <w:sz w:val="17"/>
          <w:szCs w:val="17"/>
        </w:rPr>
      </w:pPr>
      <w:r w:rsidRPr="00561618">
        <w:rPr>
          <w:rStyle w:val="EndnoteReference"/>
          <w:rFonts w:ascii="Arial" w:hAnsi="Arial" w:cs="Arial"/>
          <w:sz w:val="17"/>
          <w:szCs w:val="17"/>
        </w:rPr>
        <w:endnoteRef/>
      </w:r>
      <w:r w:rsidRPr="00561618">
        <w:rPr>
          <w:rFonts w:ascii="Arial" w:hAnsi="Arial" w:cs="Arial"/>
          <w:sz w:val="17"/>
          <w:szCs w:val="17"/>
        </w:rPr>
        <w:t xml:space="preserve"> In the case of more than one investment bank, one investment bank took the lead.</w:t>
      </w:r>
    </w:p>
  </w:endnote>
  <w:endnote w:id="41">
    <w:p w14:paraId="656B2D97" w14:textId="7EAC8D31" w:rsidR="00BF2E9D" w:rsidRPr="00561618" w:rsidRDefault="00BF2E9D" w:rsidP="00725C28">
      <w:pPr>
        <w:pStyle w:val="EndnoteText"/>
        <w:jc w:val="both"/>
        <w:rPr>
          <w:rFonts w:ascii="Arial" w:hAnsi="Arial" w:cs="Arial"/>
          <w:sz w:val="17"/>
          <w:szCs w:val="17"/>
        </w:rPr>
      </w:pPr>
      <w:r w:rsidRPr="00561618">
        <w:rPr>
          <w:rStyle w:val="EndnoteReference"/>
          <w:rFonts w:ascii="Arial" w:hAnsi="Arial" w:cs="Arial"/>
          <w:sz w:val="17"/>
          <w:szCs w:val="17"/>
        </w:rPr>
        <w:endnoteRef/>
      </w:r>
      <w:r w:rsidRPr="00561618">
        <w:rPr>
          <w:rFonts w:ascii="Arial" w:hAnsi="Arial" w:cs="Arial"/>
          <w:sz w:val="17"/>
          <w:szCs w:val="17"/>
        </w:rPr>
        <w:t xml:space="preserve"> A public company making a rights issue of more than five million was also required to file an offer document. However, for preferential allotment and qualified institutional placement (QIP), filing an offer document was not required. A </w:t>
      </w:r>
      <w:r w:rsidRPr="00561618">
        <w:rPr>
          <w:rFonts w:ascii="Arial" w:hAnsi="Arial" w:cs="Arial"/>
          <w:sz w:val="17"/>
          <w:szCs w:val="17"/>
          <w:lang w:val="en-IN"/>
        </w:rPr>
        <w:t>red</w:t>
      </w:r>
      <w:r>
        <w:rPr>
          <w:rFonts w:ascii="Arial" w:hAnsi="Arial" w:cs="Arial"/>
          <w:sz w:val="17"/>
          <w:szCs w:val="17"/>
          <w:lang w:val="en-IN"/>
        </w:rPr>
        <w:t>-</w:t>
      </w:r>
      <w:r w:rsidRPr="00561618">
        <w:rPr>
          <w:rFonts w:ascii="Arial" w:hAnsi="Arial" w:cs="Arial"/>
          <w:sz w:val="17"/>
          <w:szCs w:val="17"/>
          <w:lang w:val="en-IN"/>
        </w:rPr>
        <w:t>herring draft prospectus was filed when a company decided to raise money from the public. It contained necessary information about the company’s business operations, risks, and financials, but it did not disclose the offering price and size.</w:t>
      </w:r>
    </w:p>
  </w:endnote>
  <w:endnote w:id="42">
    <w:p w14:paraId="43DB14F1" w14:textId="506DFCD8" w:rsidR="0008572C" w:rsidRDefault="00BF2E9D" w:rsidP="00725C28">
      <w:pPr>
        <w:pStyle w:val="FootnoteText1"/>
      </w:pPr>
      <w:r w:rsidRPr="00561618">
        <w:rPr>
          <w:rStyle w:val="EndnoteReference"/>
        </w:rPr>
        <w:endnoteRef/>
      </w:r>
      <w:r w:rsidRPr="00561618">
        <w:t xml:space="preserve"> KPMG, </w:t>
      </w:r>
      <w:r w:rsidRPr="00561618">
        <w:rPr>
          <w:i/>
        </w:rPr>
        <w:t>A Guide to Going Public</w:t>
      </w:r>
      <w:r w:rsidRPr="00561618">
        <w:t xml:space="preserve"> (2015), accessed May 29, 2017, </w:t>
      </w:r>
      <w:r w:rsidR="0008572C" w:rsidRPr="0008572C">
        <w:t>https://assets.kpmg.com/content/dam/kpmg/pdf/2015/</w:t>
      </w:r>
    </w:p>
    <w:p w14:paraId="5BC0F7A9" w14:textId="46BF3E89" w:rsidR="00BF2E9D" w:rsidRPr="00561618" w:rsidRDefault="00BF2E9D" w:rsidP="00725C28">
      <w:pPr>
        <w:pStyle w:val="FootnoteText1"/>
        <w:rPr>
          <w:lang w:val="en-IN"/>
        </w:rPr>
      </w:pPr>
      <w:proofErr w:type="gramStart"/>
      <w:r w:rsidRPr="00561618">
        <w:t>06/KPMG-A-Guide-to-Going-Public-Interactive.pdf.</w:t>
      </w:r>
      <w:proofErr w:type="gramEnd"/>
    </w:p>
  </w:endnote>
  <w:endnote w:id="43">
    <w:p w14:paraId="14E9E743" w14:textId="569B445D" w:rsidR="00BF2E9D" w:rsidRPr="00561618" w:rsidRDefault="00BF2E9D" w:rsidP="00725C28">
      <w:pPr>
        <w:pStyle w:val="EndnoteText"/>
        <w:jc w:val="both"/>
        <w:rPr>
          <w:rFonts w:ascii="Arial" w:hAnsi="Arial" w:cs="Arial"/>
          <w:sz w:val="17"/>
          <w:szCs w:val="17"/>
        </w:rPr>
      </w:pPr>
      <w:r w:rsidRPr="00561618">
        <w:rPr>
          <w:rStyle w:val="EndnoteReference"/>
          <w:rFonts w:ascii="Arial" w:hAnsi="Arial" w:cs="Arial"/>
          <w:sz w:val="17"/>
          <w:szCs w:val="17"/>
        </w:rPr>
        <w:endnoteRef/>
      </w:r>
      <w:r w:rsidRPr="00561618">
        <w:rPr>
          <w:rFonts w:ascii="Arial" w:hAnsi="Arial" w:cs="Arial"/>
          <w:sz w:val="17"/>
          <w:szCs w:val="17"/>
        </w:rPr>
        <w:t xml:space="preserve"> Rights issue</w:t>
      </w:r>
      <w:r>
        <w:rPr>
          <w:rFonts w:ascii="Arial" w:hAnsi="Arial" w:cs="Arial"/>
          <w:sz w:val="17"/>
          <w:szCs w:val="17"/>
        </w:rPr>
        <w:t>s</w:t>
      </w:r>
      <w:r w:rsidRPr="00561618">
        <w:rPr>
          <w:rFonts w:ascii="Arial" w:hAnsi="Arial" w:cs="Arial"/>
          <w:sz w:val="17"/>
          <w:szCs w:val="17"/>
        </w:rPr>
        <w:t xml:space="preserve"> and private placement</w:t>
      </w:r>
      <w:r>
        <w:rPr>
          <w:rFonts w:ascii="Arial" w:hAnsi="Arial" w:cs="Arial"/>
          <w:sz w:val="17"/>
          <w:szCs w:val="17"/>
        </w:rPr>
        <w:t>s</w:t>
      </w:r>
      <w:r w:rsidRPr="00561618">
        <w:rPr>
          <w:rFonts w:ascii="Arial" w:hAnsi="Arial" w:cs="Arial"/>
          <w:sz w:val="17"/>
          <w:szCs w:val="17"/>
        </w:rPr>
        <w:t xml:space="preserve"> were the other two ways in which corporations could raise capital in India in primary markets.</w:t>
      </w:r>
    </w:p>
  </w:endnote>
  <w:endnote w:id="44">
    <w:p w14:paraId="6C59B926" w14:textId="77777777" w:rsidR="00BF2E9D" w:rsidRPr="00561618" w:rsidRDefault="00BF2E9D" w:rsidP="00725C28">
      <w:pPr>
        <w:pStyle w:val="EndnoteText"/>
        <w:jc w:val="both"/>
        <w:rPr>
          <w:rFonts w:ascii="Arial" w:hAnsi="Arial" w:cs="Arial"/>
          <w:sz w:val="17"/>
          <w:szCs w:val="17"/>
          <w:lang w:val="en-IN"/>
        </w:rPr>
      </w:pPr>
      <w:r w:rsidRPr="00561618">
        <w:rPr>
          <w:rStyle w:val="EndnoteReference"/>
          <w:rFonts w:ascii="Arial" w:hAnsi="Arial" w:cs="Arial"/>
          <w:sz w:val="17"/>
          <w:szCs w:val="17"/>
        </w:rPr>
        <w:endnoteRef/>
      </w:r>
      <w:r w:rsidRPr="00561618">
        <w:rPr>
          <w:rFonts w:ascii="Arial" w:hAnsi="Arial" w:cs="Arial"/>
          <w:sz w:val="17"/>
          <w:szCs w:val="17"/>
        </w:rPr>
        <w:t xml:space="preserve"> </w:t>
      </w:r>
      <w:r w:rsidRPr="00561618">
        <w:rPr>
          <w:rFonts w:ascii="Arial" w:hAnsi="Arial" w:cs="Arial"/>
          <w:sz w:val="17"/>
          <w:szCs w:val="17"/>
          <w:lang w:val="en-IN"/>
        </w:rPr>
        <w:t>This was also known as an offer for sale.</w:t>
      </w:r>
    </w:p>
  </w:endnote>
  <w:endnote w:id="45">
    <w:p w14:paraId="4920CF68" w14:textId="77777777" w:rsidR="00BF2E9D" w:rsidRPr="00561618" w:rsidRDefault="00BF2E9D" w:rsidP="00725C28">
      <w:pPr>
        <w:pStyle w:val="EndnoteText"/>
        <w:jc w:val="both"/>
        <w:rPr>
          <w:rFonts w:ascii="Arial" w:hAnsi="Arial" w:cs="Arial"/>
          <w:sz w:val="17"/>
          <w:szCs w:val="17"/>
        </w:rPr>
      </w:pPr>
      <w:r w:rsidRPr="00561618">
        <w:rPr>
          <w:rStyle w:val="EndnoteReference"/>
          <w:rFonts w:ascii="Arial" w:hAnsi="Arial" w:cs="Arial"/>
          <w:sz w:val="17"/>
          <w:szCs w:val="17"/>
        </w:rPr>
        <w:endnoteRef/>
      </w:r>
      <w:r w:rsidRPr="00561618">
        <w:rPr>
          <w:rFonts w:ascii="Arial" w:hAnsi="Arial" w:cs="Arial"/>
          <w:sz w:val="17"/>
          <w:szCs w:val="17"/>
        </w:rPr>
        <w:t xml:space="preserve"> Richard A </w:t>
      </w:r>
      <w:proofErr w:type="spellStart"/>
      <w:r w:rsidRPr="00561618">
        <w:rPr>
          <w:rFonts w:ascii="Arial" w:hAnsi="Arial" w:cs="Arial"/>
          <w:sz w:val="17"/>
          <w:szCs w:val="17"/>
        </w:rPr>
        <w:t>Brealey</w:t>
      </w:r>
      <w:proofErr w:type="spellEnd"/>
      <w:r w:rsidRPr="00561618">
        <w:rPr>
          <w:rFonts w:ascii="Arial" w:hAnsi="Arial" w:cs="Arial"/>
          <w:sz w:val="17"/>
          <w:szCs w:val="17"/>
        </w:rPr>
        <w:t xml:space="preserve"> et al., </w:t>
      </w:r>
      <w:r w:rsidRPr="00561618">
        <w:rPr>
          <w:rFonts w:ascii="Arial" w:hAnsi="Arial" w:cs="Arial"/>
          <w:i/>
          <w:iCs/>
          <w:sz w:val="17"/>
          <w:szCs w:val="17"/>
        </w:rPr>
        <w:t>Principles of Corporate Finance</w:t>
      </w:r>
      <w:r w:rsidRPr="00561618">
        <w:rPr>
          <w:rFonts w:ascii="Arial" w:hAnsi="Arial" w:cs="Arial"/>
          <w:sz w:val="17"/>
          <w:szCs w:val="17"/>
        </w:rPr>
        <w:t xml:space="preserve"> (New York: McGraw-Hill Inc., US, 2012).</w:t>
      </w:r>
    </w:p>
  </w:endnote>
  <w:endnote w:id="46">
    <w:p w14:paraId="0AC19224" w14:textId="2535D5F4" w:rsidR="00BF2E9D" w:rsidRPr="00561618" w:rsidRDefault="00BF2E9D" w:rsidP="00725C28">
      <w:pPr>
        <w:jc w:val="both"/>
        <w:rPr>
          <w:rFonts w:ascii="Arial" w:hAnsi="Arial" w:cs="Arial"/>
          <w:sz w:val="17"/>
          <w:szCs w:val="17"/>
        </w:rPr>
      </w:pPr>
      <w:r w:rsidRPr="00561618">
        <w:rPr>
          <w:rStyle w:val="EndnoteReference"/>
          <w:rFonts w:ascii="Arial" w:hAnsi="Arial" w:cs="Arial"/>
          <w:sz w:val="17"/>
          <w:szCs w:val="17"/>
        </w:rPr>
        <w:endnoteRef/>
      </w:r>
      <w:r w:rsidRPr="00561618">
        <w:rPr>
          <w:rFonts w:ascii="Arial" w:hAnsi="Arial" w:cs="Arial"/>
          <w:sz w:val="17"/>
          <w:szCs w:val="17"/>
        </w:rPr>
        <w:t xml:space="preserve"> Other benefits of going public</w:t>
      </w:r>
      <w:r>
        <w:rPr>
          <w:rFonts w:ascii="Arial" w:hAnsi="Arial" w:cs="Arial"/>
          <w:sz w:val="17"/>
          <w:szCs w:val="17"/>
        </w:rPr>
        <w:t xml:space="preserve"> included</w:t>
      </w:r>
      <w:r w:rsidRPr="00561618">
        <w:rPr>
          <w:rFonts w:ascii="Arial" w:hAnsi="Arial" w:cs="Arial"/>
          <w:sz w:val="17"/>
          <w:szCs w:val="17"/>
        </w:rPr>
        <w:t xml:space="preserve"> a) the market share price of the company work</w:t>
      </w:r>
      <w:r>
        <w:rPr>
          <w:rFonts w:ascii="Arial" w:hAnsi="Arial" w:cs="Arial"/>
          <w:sz w:val="17"/>
          <w:szCs w:val="17"/>
        </w:rPr>
        <w:t>ed</w:t>
      </w:r>
      <w:r w:rsidRPr="00561618">
        <w:rPr>
          <w:rFonts w:ascii="Arial" w:hAnsi="Arial" w:cs="Arial"/>
          <w:sz w:val="17"/>
          <w:szCs w:val="17"/>
        </w:rPr>
        <w:t xml:space="preserve"> as a performance measure on a daily basis, b) </w:t>
      </w:r>
      <w:r>
        <w:rPr>
          <w:rFonts w:ascii="Arial" w:hAnsi="Arial" w:cs="Arial"/>
          <w:sz w:val="17"/>
          <w:szCs w:val="17"/>
        </w:rPr>
        <w:t xml:space="preserve">it </w:t>
      </w:r>
      <w:r w:rsidRPr="00561618">
        <w:rPr>
          <w:rFonts w:ascii="Arial" w:hAnsi="Arial" w:cs="Arial"/>
          <w:sz w:val="17"/>
          <w:szCs w:val="17"/>
        </w:rPr>
        <w:t>provide</w:t>
      </w:r>
      <w:r>
        <w:rPr>
          <w:rFonts w:ascii="Arial" w:hAnsi="Arial" w:cs="Arial"/>
          <w:sz w:val="17"/>
          <w:szCs w:val="17"/>
        </w:rPr>
        <w:t>d</w:t>
      </w:r>
      <w:r w:rsidRPr="00561618">
        <w:rPr>
          <w:rFonts w:ascii="Arial" w:hAnsi="Arial" w:cs="Arial"/>
          <w:sz w:val="17"/>
          <w:szCs w:val="17"/>
        </w:rPr>
        <w:t xml:space="preserve"> liquidity to the company, c) </w:t>
      </w:r>
      <w:r>
        <w:rPr>
          <w:rFonts w:ascii="Arial" w:hAnsi="Arial" w:cs="Arial"/>
          <w:sz w:val="17"/>
          <w:szCs w:val="17"/>
        </w:rPr>
        <w:t xml:space="preserve">it </w:t>
      </w:r>
      <w:r w:rsidRPr="00561618">
        <w:rPr>
          <w:rFonts w:ascii="Arial" w:hAnsi="Arial" w:cs="Arial"/>
          <w:sz w:val="17"/>
          <w:szCs w:val="17"/>
        </w:rPr>
        <w:t>help</w:t>
      </w:r>
      <w:r>
        <w:rPr>
          <w:rFonts w:ascii="Arial" w:hAnsi="Arial" w:cs="Arial"/>
          <w:sz w:val="17"/>
          <w:szCs w:val="17"/>
        </w:rPr>
        <w:t>ed</w:t>
      </w:r>
      <w:r w:rsidRPr="00561618">
        <w:rPr>
          <w:rFonts w:ascii="Arial" w:hAnsi="Arial" w:cs="Arial"/>
          <w:sz w:val="17"/>
          <w:szCs w:val="17"/>
        </w:rPr>
        <w:t xml:space="preserve"> in gaining the trust of investors, and provide</w:t>
      </w:r>
      <w:r>
        <w:rPr>
          <w:rFonts w:ascii="Arial" w:hAnsi="Arial" w:cs="Arial"/>
          <w:sz w:val="17"/>
          <w:szCs w:val="17"/>
        </w:rPr>
        <w:t>d</w:t>
      </w:r>
      <w:r w:rsidRPr="00561618">
        <w:rPr>
          <w:rFonts w:ascii="Arial" w:hAnsi="Arial" w:cs="Arial"/>
          <w:sz w:val="17"/>
          <w:szCs w:val="17"/>
        </w:rPr>
        <w:t xml:space="preserve"> an alternative source for future capital requirements because public companies </w:t>
      </w:r>
      <w:r>
        <w:rPr>
          <w:rFonts w:ascii="Arial" w:hAnsi="Arial" w:cs="Arial"/>
          <w:sz w:val="17"/>
          <w:szCs w:val="17"/>
        </w:rPr>
        <w:t>we</w:t>
      </w:r>
      <w:r w:rsidRPr="00561618">
        <w:rPr>
          <w:rFonts w:ascii="Arial" w:hAnsi="Arial" w:cs="Arial"/>
          <w:sz w:val="17"/>
          <w:szCs w:val="17"/>
        </w:rPr>
        <w:t>re required to disclose financial statements at regular intervals and need</w:t>
      </w:r>
      <w:r>
        <w:rPr>
          <w:rFonts w:ascii="Arial" w:hAnsi="Arial" w:cs="Arial"/>
          <w:sz w:val="17"/>
          <w:szCs w:val="17"/>
        </w:rPr>
        <w:t>ed</w:t>
      </w:r>
      <w:r w:rsidRPr="00561618">
        <w:rPr>
          <w:rFonts w:ascii="Arial" w:hAnsi="Arial" w:cs="Arial"/>
          <w:sz w:val="17"/>
          <w:szCs w:val="17"/>
        </w:rPr>
        <w:t xml:space="preserve"> to comply with the stringent regulations of the SEBI, d) </w:t>
      </w:r>
      <w:r>
        <w:rPr>
          <w:rFonts w:ascii="Arial" w:hAnsi="Arial" w:cs="Arial"/>
          <w:sz w:val="17"/>
          <w:szCs w:val="17"/>
        </w:rPr>
        <w:t xml:space="preserve">it </w:t>
      </w:r>
      <w:r w:rsidRPr="00561618">
        <w:rPr>
          <w:rFonts w:ascii="Arial" w:hAnsi="Arial" w:cs="Arial"/>
          <w:sz w:val="17"/>
          <w:szCs w:val="17"/>
        </w:rPr>
        <w:t>enhance</w:t>
      </w:r>
      <w:r>
        <w:rPr>
          <w:rFonts w:ascii="Arial" w:hAnsi="Arial" w:cs="Arial"/>
          <w:sz w:val="17"/>
          <w:szCs w:val="17"/>
        </w:rPr>
        <w:t>d</w:t>
      </w:r>
      <w:r w:rsidRPr="00561618">
        <w:rPr>
          <w:rFonts w:ascii="Arial" w:hAnsi="Arial" w:cs="Arial"/>
          <w:sz w:val="17"/>
          <w:szCs w:val="17"/>
        </w:rPr>
        <w:t xml:space="preserve"> the visibility and stature of the company, and e) </w:t>
      </w:r>
      <w:r>
        <w:rPr>
          <w:rFonts w:ascii="Arial" w:hAnsi="Arial" w:cs="Arial"/>
          <w:sz w:val="17"/>
          <w:szCs w:val="17"/>
        </w:rPr>
        <w:t xml:space="preserve">it </w:t>
      </w:r>
      <w:r w:rsidRPr="00561618">
        <w:rPr>
          <w:rFonts w:ascii="Arial" w:hAnsi="Arial" w:cs="Arial"/>
          <w:sz w:val="17"/>
          <w:szCs w:val="17"/>
        </w:rPr>
        <w:t>help</w:t>
      </w:r>
      <w:r>
        <w:rPr>
          <w:rFonts w:ascii="Arial" w:hAnsi="Arial" w:cs="Arial"/>
          <w:sz w:val="17"/>
          <w:szCs w:val="17"/>
        </w:rPr>
        <w:t>ed</w:t>
      </w:r>
      <w:r w:rsidRPr="00561618">
        <w:rPr>
          <w:rFonts w:ascii="Arial" w:hAnsi="Arial" w:cs="Arial"/>
          <w:sz w:val="17"/>
          <w:szCs w:val="17"/>
        </w:rPr>
        <w:t xml:space="preserve"> the company with the merger and acquisition of other firms through publicly traded shares.</w:t>
      </w:r>
    </w:p>
  </w:endnote>
  <w:endnote w:id="47">
    <w:p w14:paraId="3F101BE3" w14:textId="77777777" w:rsidR="00BF2E9D" w:rsidRPr="00E14065" w:rsidRDefault="00BF2E9D" w:rsidP="00725C28">
      <w:pPr>
        <w:pStyle w:val="FootnoteText1"/>
        <w:rPr>
          <w:lang w:val="en-IN"/>
        </w:rPr>
      </w:pPr>
      <w:r w:rsidRPr="00561618">
        <w:rPr>
          <w:rStyle w:val="EndnoteReference"/>
        </w:rPr>
        <w:endnoteRef/>
      </w:r>
      <w:r w:rsidRPr="00561618">
        <w:t xml:space="preserve"> James C. </w:t>
      </w:r>
      <w:proofErr w:type="spellStart"/>
      <w:r w:rsidRPr="00561618">
        <w:t>Brau</w:t>
      </w:r>
      <w:proofErr w:type="spellEnd"/>
      <w:r w:rsidRPr="00561618">
        <w:t xml:space="preserve"> and Stanley E. Fawcett, “Evidence on What CFOs Think </w:t>
      </w:r>
      <w:proofErr w:type="gramStart"/>
      <w:r w:rsidRPr="00561618">
        <w:t>About</w:t>
      </w:r>
      <w:proofErr w:type="gramEnd"/>
      <w:r w:rsidRPr="00561618">
        <w:t xml:space="preserve"> the IPO Process: Practice, Theory, and Managerial Implications,” </w:t>
      </w:r>
      <w:r w:rsidRPr="00561618">
        <w:rPr>
          <w:i/>
        </w:rPr>
        <w:t>Journal of Applied Corporate Finance</w:t>
      </w:r>
      <w:r w:rsidRPr="00561618">
        <w:t xml:space="preserve"> 18, no. 3 (June 1, 2006): 107–117, doi:10.1111/j.1745-6622.2006.00103.x.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64850" w14:textId="77777777" w:rsidR="00BF2E9D" w:rsidRDefault="00BF2E9D" w:rsidP="00D75295">
      <w:r>
        <w:separator/>
      </w:r>
    </w:p>
  </w:footnote>
  <w:footnote w:type="continuationSeparator" w:id="0">
    <w:p w14:paraId="0D8263CE" w14:textId="77777777" w:rsidR="00BF2E9D" w:rsidRDefault="00BF2E9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EE1CF" w14:textId="6BFE77D1" w:rsidR="00BF2E9D" w:rsidRDefault="00BF2E9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84EB3">
      <w:rPr>
        <w:rFonts w:ascii="Arial" w:hAnsi="Arial"/>
        <w:b/>
        <w:noProof/>
      </w:rPr>
      <w:t>5</w:t>
    </w:r>
    <w:r>
      <w:rPr>
        <w:rFonts w:ascii="Arial" w:hAnsi="Arial"/>
        <w:b/>
      </w:rPr>
      <w:fldChar w:fldCharType="end"/>
    </w:r>
    <w:r>
      <w:rPr>
        <w:rFonts w:ascii="Arial" w:hAnsi="Arial"/>
        <w:b/>
      </w:rPr>
      <w:tab/>
      <w:t>9B17N018</w:t>
    </w:r>
  </w:p>
  <w:p w14:paraId="6289A76D" w14:textId="77777777" w:rsidR="00BF2E9D" w:rsidRPr="00C92CC4" w:rsidRDefault="00BF2E9D">
    <w:pPr>
      <w:pStyle w:val="Header"/>
      <w:rPr>
        <w:sz w:val="18"/>
        <w:szCs w:val="18"/>
      </w:rPr>
    </w:pPr>
  </w:p>
  <w:p w14:paraId="55E8E9A5" w14:textId="77777777" w:rsidR="00BF2E9D" w:rsidRPr="00C92CC4" w:rsidRDefault="00BF2E9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B8A9052"/>
    <w:lvl w:ilvl="0">
      <w:start w:val="1"/>
      <w:numFmt w:val="decimal"/>
      <w:lvlText w:val="%1."/>
      <w:lvlJc w:val="left"/>
      <w:pPr>
        <w:tabs>
          <w:tab w:val="num" w:pos="1800"/>
        </w:tabs>
        <w:ind w:left="1800" w:hanging="360"/>
      </w:pPr>
    </w:lvl>
  </w:abstractNum>
  <w:abstractNum w:abstractNumId="1">
    <w:nsid w:val="FFFFFF7D"/>
    <w:multiLevelType w:val="singleLevel"/>
    <w:tmpl w:val="CC9E82DA"/>
    <w:lvl w:ilvl="0">
      <w:start w:val="1"/>
      <w:numFmt w:val="decimal"/>
      <w:lvlText w:val="%1."/>
      <w:lvlJc w:val="left"/>
      <w:pPr>
        <w:tabs>
          <w:tab w:val="num" w:pos="1440"/>
        </w:tabs>
        <w:ind w:left="1440" w:hanging="360"/>
      </w:pPr>
    </w:lvl>
  </w:abstractNum>
  <w:abstractNum w:abstractNumId="2">
    <w:nsid w:val="FFFFFF7E"/>
    <w:multiLevelType w:val="singleLevel"/>
    <w:tmpl w:val="A9EE8226"/>
    <w:lvl w:ilvl="0">
      <w:start w:val="1"/>
      <w:numFmt w:val="decimal"/>
      <w:lvlText w:val="%1."/>
      <w:lvlJc w:val="left"/>
      <w:pPr>
        <w:tabs>
          <w:tab w:val="num" w:pos="1080"/>
        </w:tabs>
        <w:ind w:left="1080" w:hanging="360"/>
      </w:pPr>
    </w:lvl>
  </w:abstractNum>
  <w:abstractNum w:abstractNumId="3">
    <w:nsid w:val="FFFFFF7F"/>
    <w:multiLevelType w:val="singleLevel"/>
    <w:tmpl w:val="A37EAC0A"/>
    <w:lvl w:ilvl="0">
      <w:start w:val="1"/>
      <w:numFmt w:val="decimal"/>
      <w:lvlText w:val="%1."/>
      <w:lvlJc w:val="left"/>
      <w:pPr>
        <w:tabs>
          <w:tab w:val="num" w:pos="720"/>
        </w:tabs>
        <w:ind w:left="720" w:hanging="360"/>
      </w:pPr>
    </w:lvl>
  </w:abstractNum>
  <w:abstractNum w:abstractNumId="4">
    <w:nsid w:val="FFFFFF80"/>
    <w:multiLevelType w:val="singleLevel"/>
    <w:tmpl w:val="53682E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302B72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143F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3DEEA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52578A"/>
    <w:lvl w:ilvl="0">
      <w:start w:val="1"/>
      <w:numFmt w:val="decimal"/>
      <w:lvlText w:val="%1."/>
      <w:lvlJc w:val="left"/>
      <w:pPr>
        <w:tabs>
          <w:tab w:val="num" w:pos="360"/>
        </w:tabs>
        <w:ind w:left="360" w:hanging="360"/>
      </w:pPr>
    </w:lvl>
  </w:abstractNum>
  <w:abstractNum w:abstractNumId="9">
    <w:nsid w:val="FFFFFF89"/>
    <w:multiLevelType w:val="singleLevel"/>
    <w:tmpl w:val="3E501598"/>
    <w:lvl w:ilvl="0">
      <w:start w:val="1"/>
      <w:numFmt w:val="bullet"/>
      <w:lvlText w:val=""/>
      <w:lvlJc w:val="left"/>
      <w:pPr>
        <w:tabs>
          <w:tab w:val="num" w:pos="360"/>
        </w:tabs>
        <w:ind w:left="360" w:hanging="360"/>
      </w:pPr>
      <w:rPr>
        <w:rFonts w:ascii="Symbol" w:hAnsi="Symbol" w:hint="default"/>
      </w:rPr>
    </w:lvl>
  </w:abstractNum>
  <w:abstractNum w:abstractNumId="1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DF4EF4"/>
    <w:multiLevelType w:val="hybridMultilevel"/>
    <w:tmpl w:val="19927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B8B4C18"/>
    <w:multiLevelType w:val="hybridMultilevel"/>
    <w:tmpl w:val="656C7DC8"/>
    <w:lvl w:ilvl="0" w:tplc="BCC8F6B0">
      <w:numFmt w:val="bullet"/>
      <w:lvlText w:val="-"/>
      <w:lvlJc w:val="left"/>
      <w:pPr>
        <w:ind w:left="5400" w:hanging="360"/>
      </w:pPr>
      <w:rPr>
        <w:rFonts w:ascii="Times New Roman" w:eastAsiaTheme="minorHAnsi" w:hAnsi="Times New Roman" w:cs="Times New Roman"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16">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B16385"/>
    <w:multiLevelType w:val="hybridMultilevel"/>
    <w:tmpl w:val="52D0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291FF0"/>
    <w:multiLevelType w:val="hybridMultilevel"/>
    <w:tmpl w:val="19682F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A361A85"/>
    <w:multiLevelType w:val="hybridMultilevel"/>
    <w:tmpl w:val="D4788F76"/>
    <w:lvl w:ilvl="0" w:tplc="9FFE48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040340B"/>
    <w:multiLevelType w:val="hybridMultilevel"/>
    <w:tmpl w:val="933E25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0E75643"/>
    <w:multiLevelType w:val="hybridMultilevel"/>
    <w:tmpl w:val="2D1AA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2F11230"/>
    <w:multiLevelType w:val="hybridMultilevel"/>
    <w:tmpl w:val="F288F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9F23035"/>
    <w:multiLevelType w:val="hybridMultilevel"/>
    <w:tmpl w:val="DD76A5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8">
    <w:nsid w:val="4BD737ED"/>
    <w:multiLevelType w:val="hybridMultilevel"/>
    <w:tmpl w:val="33500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E0314E4"/>
    <w:multiLevelType w:val="hybridMultilevel"/>
    <w:tmpl w:val="6358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nsid w:val="59D75450"/>
    <w:multiLevelType w:val="hybridMultilevel"/>
    <w:tmpl w:val="D4FA19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nsid w:val="617104F2"/>
    <w:multiLevelType w:val="hybridMultilevel"/>
    <w:tmpl w:val="F780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13BBA"/>
    <w:multiLevelType w:val="hybridMultilevel"/>
    <w:tmpl w:val="19682F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5FC4E4C"/>
    <w:multiLevelType w:val="hybridMultilevel"/>
    <w:tmpl w:val="735E5680"/>
    <w:lvl w:ilvl="0" w:tplc="C8342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nsid w:val="7A9E5AE5"/>
    <w:multiLevelType w:val="multilevel"/>
    <w:tmpl w:val="B596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7"/>
  </w:num>
  <w:num w:numId="13">
    <w:abstractNumId w:val="12"/>
  </w:num>
  <w:num w:numId="14">
    <w:abstractNumId w:val="30"/>
  </w:num>
  <w:num w:numId="15">
    <w:abstractNumId w:val="31"/>
  </w:num>
  <w:num w:numId="16">
    <w:abstractNumId w:val="33"/>
  </w:num>
  <w:num w:numId="17">
    <w:abstractNumId w:val="17"/>
  </w:num>
  <w:num w:numId="18">
    <w:abstractNumId w:val="37"/>
  </w:num>
  <w:num w:numId="19">
    <w:abstractNumId w:val="11"/>
  </w:num>
  <w:num w:numId="20">
    <w:abstractNumId w:val="10"/>
  </w:num>
  <w:num w:numId="21">
    <w:abstractNumId w:val="38"/>
  </w:num>
  <w:num w:numId="22">
    <w:abstractNumId w:val="26"/>
  </w:num>
  <w:num w:numId="23">
    <w:abstractNumId w:val="4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5"/>
  </w:num>
  <w:num w:numId="28">
    <w:abstractNumId w:val="34"/>
  </w:num>
  <w:num w:numId="29">
    <w:abstractNumId w:val="29"/>
  </w:num>
  <w:num w:numId="30">
    <w:abstractNumId w:val="18"/>
  </w:num>
  <w:num w:numId="31">
    <w:abstractNumId w:val="36"/>
  </w:num>
  <w:num w:numId="32">
    <w:abstractNumId w:val="19"/>
  </w:num>
  <w:num w:numId="33">
    <w:abstractNumId w:val="39"/>
  </w:num>
  <w:num w:numId="34">
    <w:abstractNumId w:val="14"/>
  </w:num>
  <w:num w:numId="35">
    <w:abstractNumId w:val="35"/>
  </w:num>
  <w:num w:numId="36">
    <w:abstractNumId w:val="23"/>
  </w:num>
  <w:num w:numId="37">
    <w:abstractNumId w:val="15"/>
  </w:num>
  <w:num w:numId="38">
    <w:abstractNumId w:val="24"/>
  </w:num>
  <w:num w:numId="39">
    <w:abstractNumId w:val="22"/>
  </w:num>
  <w:num w:numId="40">
    <w:abstractNumId w:val="28"/>
  </w:num>
  <w:num w:numId="41">
    <w:abstractNumId w:val="20"/>
  </w:num>
  <w:num w:numId="42">
    <w:abstractNumId w:val="32"/>
  </w:num>
  <w:num w:numId="43">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Plain">
    <w15:presenceInfo w15:providerId="None" w15:userId="Wendy Pl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1C28"/>
    <w:rsid w:val="00002D5A"/>
    <w:rsid w:val="00013360"/>
    <w:rsid w:val="000154E8"/>
    <w:rsid w:val="000216CE"/>
    <w:rsid w:val="00023C5C"/>
    <w:rsid w:val="00025D0B"/>
    <w:rsid w:val="00025DC7"/>
    <w:rsid w:val="00026486"/>
    <w:rsid w:val="000363D1"/>
    <w:rsid w:val="00041A34"/>
    <w:rsid w:val="00044ECC"/>
    <w:rsid w:val="00045753"/>
    <w:rsid w:val="000531D3"/>
    <w:rsid w:val="0005646B"/>
    <w:rsid w:val="00062D1C"/>
    <w:rsid w:val="0008102D"/>
    <w:rsid w:val="0008572C"/>
    <w:rsid w:val="00094C0E"/>
    <w:rsid w:val="000D76D2"/>
    <w:rsid w:val="000D7C54"/>
    <w:rsid w:val="000E7BEA"/>
    <w:rsid w:val="000F0C22"/>
    <w:rsid w:val="000F0CE3"/>
    <w:rsid w:val="000F6B09"/>
    <w:rsid w:val="000F6FDC"/>
    <w:rsid w:val="00104567"/>
    <w:rsid w:val="0011069E"/>
    <w:rsid w:val="00122978"/>
    <w:rsid w:val="0012732D"/>
    <w:rsid w:val="00150466"/>
    <w:rsid w:val="00154FC9"/>
    <w:rsid w:val="00161AC1"/>
    <w:rsid w:val="001673DA"/>
    <w:rsid w:val="00176CD1"/>
    <w:rsid w:val="001805C2"/>
    <w:rsid w:val="00185133"/>
    <w:rsid w:val="0019241A"/>
    <w:rsid w:val="001A4673"/>
    <w:rsid w:val="001A5335"/>
    <w:rsid w:val="001A752D"/>
    <w:rsid w:val="001D1219"/>
    <w:rsid w:val="001E3FA1"/>
    <w:rsid w:val="001E6AD6"/>
    <w:rsid w:val="001F17E6"/>
    <w:rsid w:val="001F75EA"/>
    <w:rsid w:val="00203AA1"/>
    <w:rsid w:val="00203BCE"/>
    <w:rsid w:val="00206369"/>
    <w:rsid w:val="0020678B"/>
    <w:rsid w:val="00207F46"/>
    <w:rsid w:val="002108B4"/>
    <w:rsid w:val="00211C23"/>
    <w:rsid w:val="00213E98"/>
    <w:rsid w:val="00217976"/>
    <w:rsid w:val="00231951"/>
    <w:rsid w:val="0023354B"/>
    <w:rsid w:val="00233A55"/>
    <w:rsid w:val="0023737D"/>
    <w:rsid w:val="0024285A"/>
    <w:rsid w:val="00257781"/>
    <w:rsid w:val="0026377A"/>
    <w:rsid w:val="0027599F"/>
    <w:rsid w:val="00284767"/>
    <w:rsid w:val="00295644"/>
    <w:rsid w:val="00295FF3"/>
    <w:rsid w:val="002A549A"/>
    <w:rsid w:val="002A60F8"/>
    <w:rsid w:val="002A68CE"/>
    <w:rsid w:val="002B5206"/>
    <w:rsid w:val="002C3687"/>
    <w:rsid w:val="002D099C"/>
    <w:rsid w:val="002D7D7E"/>
    <w:rsid w:val="002E0C74"/>
    <w:rsid w:val="002E1990"/>
    <w:rsid w:val="002F052A"/>
    <w:rsid w:val="002F0588"/>
    <w:rsid w:val="002F460C"/>
    <w:rsid w:val="002F48D6"/>
    <w:rsid w:val="00343804"/>
    <w:rsid w:val="00354899"/>
    <w:rsid w:val="003548BD"/>
    <w:rsid w:val="00355FD6"/>
    <w:rsid w:val="00360AE5"/>
    <w:rsid w:val="00361C8E"/>
    <w:rsid w:val="00364A5C"/>
    <w:rsid w:val="00371CAF"/>
    <w:rsid w:val="00373FB1"/>
    <w:rsid w:val="00375FE8"/>
    <w:rsid w:val="0037757F"/>
    <w:rsid w:val="00380CC0"/>
    <w:rsid w:val="00381FA6"/>
    <w:rsid w:val="00385F3B"/>
    <w:rsid w:val="00391B0E"/>
    <w:rsid w:val="003964E8"/>
    <w:rsid w:val="00397034"/>
    <w:rsid w:val="003A460D"/>
    <w:rsid w:val="003B30D8"/>
    <w:rsid w:val="003B33FB"/>
    <w:rsid w:val="003B7EF2"/>
    <w:rsid w:val="003C1AF0"/>
    <w:rsid w:val="003C2058"/>
    <w:rsid w:val="003C3FA4"/>
    <w:rsid w:val="003C5937"/>
    <w:rsid w:val="003C6C1E"/>
    <w:rsid w:val="003C7079"/>
    <w:rsid w:val="003D0752"/>
    <w:rsid w:val="003D4300"/>
    <w:rsid w:val="003F2B0C"/>
    <w:rsid w:val="003F4F56"/>
    <w:rsid w:val="00403752"/>
    <w:rsid w:val="0041187E"/>
    <w:rsid w:val="0041242D"/>
    <w:rsid w:val="004154D0"/>
    <w:rsid w:val="004221E4"/>
    <w:rsid w:val="00427B57"/>
    <w:rsid w:val="0044242F"/>
    <w:rsid w:val="00446A37"/>
    <w:rsid w:val="00453FA9"/>
    <w:rsid w:val="0045542B"/>
    <w:rsid w:val="004558BE"/>
    <w:rsid w:val="004647B3"/>
    <w:rsid w:val="0046736F"/>
    <w:rsid w:val="00470BEF"/>
    <w:rsid w:val="00471088"/>
    <w:rsid w:val="004729A1"/>
    <w:rsid w:val="00473211"/>
    <w:rsid w:val="00481FE9"/>
    <w:rsid w:val="00482FCE"/>
    <w:rsid w:val="00483AF9"/>
    <w:rsid w:val="00483DA6"/>
    <w:rsid w:val="00487D01"/>
    <w:rsid w:val="004A0D52"/>
    <w:rsid w:val="004B06A3"/>
    <w:rsid w:val="004B154F"/>
    <w:rsid w:val="004B1CCB"/>
    <w:rsid w:val="004C0763"/>
    <w:rsid w:val="004C4DE4"/>
    <w:rsid w:val="004D0A3B"/>
    <w:rsid w:val="004D551F"/>
    <w:rsid w:val="004D73A5"/>
    <w:rsid w:val="004F32D4"/>
    <w:rsid w:val="00506EC5"/>
    <w:rsid w:val="005101C0"/>
    <w:rsid w:val="00526184"/>
    <w:rsid w:val="00526302"/>
    <w:rsid w:val="00532CF5"/>
    <w:rsid w:val="00533951"/>
    <w:rsid w:val="00533AEA"/>
    <w:rsid w:val="00533BBD"/>
    <w:rsid w:val="005356F2"/>
    <w:rsid w:val="005432DA"/>
    <w:rsid w:val="00545292"/>
    <w:rsid w:val="00551A71"/>
    <w:rsid w:val="005528CB"/>
    <w:rsid w:val="00561618"/>
    <w:rsid w:val="00566771"/>
    <w:rsid w:val="005679F4"/>
    <w:rsid w:val="0057164C"/>
    <w:rsid w:val="00572716"/>
    <w:rsid w:val="00581E2E"/>
    <w:rsid w:val="00584F15"/>
    <w:rsid w:val="00593F59"/>
    <w:rsid w:val="005A46E7"/>
    <w:rsid w:val="005B6CCD"/>
    <w:rsid w:val="005D55F3"/>
    <w:rsid w:val="005D5603"/>
    <w:rsid w:val="005D5DEE"/>
    <w:rsid w:val="005E42DE"/>
    <w:rsid w:val="005E7F9C"/>
    <w:rsid w:val="005F2EB6"/>
    <w:rsid w:val="005F4987"/>
    <w:rsid w:val="00607950"/>
    <w:rsid w:val="00614FAF"/>
    <w:rsid w:val="00615E08"/>
    <w:rsid w:val="006163F7"/>
    <w:rsid w:val="00624F61"/>
    <w:rsid w:val="00631A09"/>
    <w:rsid w:val="006450EE"/>
    <w:rsid w:val="0064637E"/>
    <w:rsid w:val="00647805"/>
    <w:rsid w:val="00652606"/>
    <w:rsid w:val="00654CC9"/>
    <w:rsid w:val="006554AE"/>
    <w:rsid w:val="00657E83"/>
    <w:rsid w:val="00673DC3"/>
    <w:rsid w:val="006753D3"/>
    <w:rsid w:val="00680218"/>
    <w:rsid w:val="00682754"/>
    <w:rsid w:val="00684EB3"/>
    <w:rsid w:val="006850A0"/>
    <w:rsid w:val="00693EB4"/>
    <w:rsid w:val="006A4BE3"/>
    <w:rsid w:val="006A58A9"/>
    <w:rsid w:val="006A5BD8"/>
    <w:rsid w:val="006A606D"/>
    <w:rsid w:val="006A6CB7"/>
    <w:rsid w:val="006C0371"/>
    <w:rsid w:val="006C0685"/>
    <w:rsid w:val="006C08B6"/>
    <w:rsid w:val="006C09D5"/>
    <w:rsid w:val="006C0B1A"/>
    <w:rsid w:val="006C4384"/>
    <w:rsid w:val="006C6065"/>
    <w:rsid w:val="006C7F9F"/>
    <w:rsid w:val="006D1E50"/>
    <w:rsid w:val="006D671E"/>
    <w:rsid w:val="006E2F6D"/>
    <w:rsid w:val="006E58F6"/>
    <w:rsid w:val="006E77E1"/>
    <w:rsid w:val="006F131D"/>
    <w:rsid w:val="006F6706"/>
    <w:rsid w:val="00710585"/>
    <w:rsid w:val="007207B4"/>
    <w:rsid w:val="00725C28"/>
    <w:rsid w:val="00734DEF"/>
    <w:rsid w:val="007352D3"/>
    <w:rsid w:val="00741604"/>
    <w:rsid w:val="00752BCD"/>
    <w:rsid w:val="00757B6F"/>
    <w:rsid w:val="00762DC1"/>
    <w:rsid w:val="00766DA1"/>
    <w:rsid w:val="007866A6"/>
    <w:rsid w:val="00791CF1"/>
    <w:rsid w:val="007A0DE8"/>
    <w:rsid w:val="007A130D"/>
    <w:rsid w:val="007B2BD4"/>
    <w:rsid w:val="007C18EB"/>
    <w:rsid w:val="007C25B8"/>
    <w:rsid w:val="007C632C"/>
    <w:rsid w:val="007D1291"/>
    <w:rsid w:val="007D4102"/>
    <w:rsid w:val="007E288C"/>
    <w:rsid w:val="007E48AA"/>
    <w:rsid w:val="007E51C5"/>
    <w:rsid w:val="007E5921"/>
    <w:rsid w:val="007E66C9"/>
    <w:rsid w:val="00803A05"/>
    <w:rsid w:val="00805F2D"/>
    <w:rsid w:val="00815F6E"/>
    <w:rsid w:val="00821FFC"/>
    <w:rsid w:val="00825BEF"/>
    <w:rsid w:val="0082662C"/>
    <w:rsid w:val="008271CA"/>
    <w:rsid w:val="008467D5"/>
    <w:rsid w:val="00856D9F"/>
    <w:rsid w:val="00866F6D"/>
    <w:rsid w:val="00871506"/>
    <w:rsid w:val="00872519"/>
    <w:rsid w:val="00882AF8"/>
    <w:rsid w:val="008911B4"/>
    <w:rsid w:val="008A4DC4"/>
    <w:rsid w:val="008A6250"/>
    <w:rsid w:val="008E0E4E"/>
    <w:rsid w:val="008E4A10"/>
    <w:rsid w:val="008F1D1E"/>
    <w:rsid w:val="009067A4"/>
    <w:rsid w:val="0090722E"/>
    <w:rsid w:val="00914621"/>
    <w:rsid w:val="009340DB"/>
    <w:rsid w:val="009558E6"/>
    <w:rsid w:val="009675C3"/>
    <w:rsid w:val="00967F39"/>
    <w:rsid w:val="00972498"/>
    <w:rsid w:val="00974CC6"/>
    <w:rsid w:val="00976AD4"/>
    <w:rsid w:val="009A116C"/>
    <w:rsid w:val="009A312F"/>
    <w:rsid w:val="009A5348"/>
    <w:rsid w:val="009A67BB"/>
    <w:rsid w:val="009C0781"/>
    <w:rsid w:val="009C1935"/>
    <w:rsid w:val="009C76D5"/>
    <w:rsid w:val="009D29A9"/>
    <w:rsid w:val="009D5DCB"/>
    <w:rsid w:val="009D69FB"/>
    <w:rsid w:val="009D7B61"/>
    <w:rsid w:val="009E4601"/>
    <w:rsid w:val="009E4A6D"/>
    <w:rsid w:val="009E684E"/>
    <w:rsid w:val="009E6E50"/>
    <w:rsid w:val="009F14C7"/>
    <w:rsid w:val="009F6E64"/>
    <w:rsid w:val="009F7AA4"/>
    <w:rsid w:val="00A00CFD"/>
    <w:rsid w:val="00A02BE0"/>
    <w:rsid w:val="00A11E5C"/>
    <w:rsid w:val="00A13F52"/>
    <w:rsid w:val="00A27C1B"/>
    <w:rsid w:val="00A27EE8"/>
    <w:rsid w:val="00A321F0"/>
    <w:rsid w:val="00A422EE"/>
    <w:rsid w:val="00A43549"/>
    <w:rsid w:val="00A452B0"/>
    <w:rsid w:val="00A52A29"/>
    <w:rsid w:val="00A533EF"/>
    <w:rsid w:val="00A559DB"/>
    <w:rsid w:val="00A60BCE"/>
    <w:rsid w:val="00A63E3B"/>
    <w:rsid w:val="00A7020B"/>
    <w:rsid w:val="00A7108E"/>
    <w:rsid w:val="00AC1558"/>
    <w:rsid w:val="00AC2ED2"/>
    <w:rsid w:val="00AE1C08"/>
    <w:rsid w:val="00AE3668"/>
    <w:rsid w:val="00AE6B63"/>
    <w:rsid w:val="00AF35FC"/>
    <w:rsid w:val="00AF59DA"/>
    <w:rsid w:val="00AF67FE"/>
    <w:rsid w:val="00B03639"/>
    <w:rsid w:val="00B0652A"/>
    <w:rsid w:val="00B159CC"/>
    <w:rsid w:val="00B2116B"/>
    <w:rsid w:val="00B21791"/>
    <w:rsid w:val="00B23780"/>
    <w:rsid w:val="00B23C9F"/>
    <w:rsid w:val="00B3757D"/>
    <w:rsid w:val="00B37CFA"/>
    <w:rsid w:val="00B40937"/>
    <w:rsid w:val="00B423EF"/>
    <w:rsid w:val="00B453DE"/>
    <w:rsid w:val="00B4742F"/>
    <w:rsid w:val="00B5796C"/>
    <w:rsid w:val="00B63A8E"/>
    <w:rsid w:val="00B66CFB"/>
    <w:rsid w:val="00B70110"/>
    <w:rsid w:val="00B901F9"/>
    <w:rsid w:val="00BB1EB1"/>
    <w:rsid w:val="00BB5660"/>
    <w:rsid w:val="00BC6894"/>
    <w:rsid w:val="00BD16D9"/>
    <w:rsid w:val="00BD37BD"/>
    <w:rsid w:val="00BD6160"/>
    <w:rsid w:val="00BD6EFB"/>
    <w:rsid w:val="00BF2E9D"/>
    <w:rsid w:val="00C015BC"/>
    <w:rsid w:val="00C07F3B"/>
    <w:rsid w:val="00C11038"/>
    <w:rsid w:val="00C15BE2"/>
    <w:rsid w:val="00C1695B"/>
    <w:rsid w:val="00C22219"/>
    <w:rsid w:val="00C22CF0"/>
    <w:rsid w:val="00C3447F"/>
    <w:rsid w:val="00C64F7C"/>
    <w:rsid w:val="00C65554"/>
    <w:rsid w:val="00C70F73"/>
    <w:rsid w:val="00C81491"/>
    <w:rsid w:val="00C81676"/>
    <w:rsid w:val="00C92CC4"/>
    <w:rsid w:val="00CA0AFB"/>
    <w:rsid w:val="00CA2025"/>
    <w:rsid w:val="00CA2CE1"/>
    <w:rsid w:val="00CA3976"/>
    <w:rsid w:val="00CA60C9"/>
    <w:rsid w:val="00CA757B"/>
    <w:rsid w:val="00CB23BE"/>
    <w:rsid w:val="00CB4204"/>
    <w:rsid w:val="00CB52FD"/>
    <w:rsid w:val="00CB692B"/>
    <w:rsid w:val="00CC1787"/>
    <w:rsid w:val="00CC182C"/>
    <w:rsid w:val="00CC6F43"/>
    <w:rsid w:val="00CD0824"/>
    <w:rsid w:val="00CD0AE9"/>
    <w:rsid w:val="00CD2908"/>
    <w:rsid w:val="00CD6ADA"/>
    <w:rsid w:val="00CE096D"/>
    <w:rsid w:val="00CE3FAF"/>
    <w:rsid w:val="00CE4BB3"/>
    <w:rsid w:val="00D03A82"/>
    <w:rsid w:val="00D04877"/>
    <w:rsid w:val="00D050B3"/>
    <w:rsid w:val="00D15344"/>
    <w:rsid w:val="00D2422B"/>
    <w:rsid w:val="00D25DF9"/>
    <w:rsid w:val="00D31BEC"/>
    <w:rsid w:val="00D32DC6"/>
    <w:rsid w:val="00D511F4"/>
    <w:rsid w:val="00D63150"/>
    <w:rsid w:val="00D63493"/>
    <w:rsid w:val="00D6492B"/>
    <w:rsid w:val="00D64A32"/>
    <w:rsid w:val="00D64EFC"/>
    <w:rsid w:val="00D75295"/>
    <w:rsid w:val="00D76CE9"/>
    <w:rsid w:val="00D86DA9"/>
    <w:rsid w:val="00D966E4"/>
    <w:rsid w:val="00D97F12"/>
    <w:rsid w:val="00DA2BE3"/>
    <w:rsid w:val="00DA584B"/>
    <w:rsid w:val="00DB42E7"/>
    <w:rsid w:val="00DE1503"/>
    <w:rsid w:val="00DF2B06"/>
    <w:rsid w:val="00DF32C2"/>
    <w:rsid w:val="00E22A65"/>
    <w:rsid w:val="00E24E5C"/>
    <w:rsid w:val="00E45D0A"/>
    <w:rsid w:val="00E471A7"/>
    <w:rsid w:val="00E635CF"/>
    <w:rsid w:val="00E741F9"/>
    <w:rsid w:val="00E76732"/>
    <w:rsid w:val="00E84E72"/>
    <w:rsid w:val="00E92515"/>
    <w:rsid w:val="00E92B89"/>
    <w:rsid w:val="00E943D6"/>
    <w:rsid w:val="00E96D6F"/>
    <w:rsid w:val="00EA18B9"/>
    <w:rsid w:val="00EA56A6"/>
    <w:rsid w:val="00EB4BC7"/>
    <w:rsid w:val="00EB5410"/>
    <w:rsid w:val="00EB75A6"/>
    <w:rsid w:val="00EC1E5A"/>
    <w:rsid w:val="00EC5B01"/>
    <w:rsid w:val="00EC6E0A"/>
    <w:rsid w:val="00ED1178"/>
    <w:rsid w:val="00ED4E18"/>
    <w:rsid w:val="00ED581D"/>
    <w:rsid w:val="00EE18A6"/>
    <w:rsid w:val="00EE1F37"/>
    <w:rsid w:val="00EE42B5"/>
    <w:rsid w:val="00EF3BD2"/>
    <w:rsid w:val="00F0159C"/>
    <w:rsid w:val="00F105B7"/>
    <w:rsid w:val="00F17586"/>
    <w:rsid w:val="00F17A21"/>
    <w:rsid w:val="00F22071"/>
    <w:rsid w:val="00F27A00"/>
    <w:rsid w:val="00F40226"/>
    <w:rsid w:val="00F4176D"/>
    <w:rsid w:val="00F43DB6"/>
    <w:rsid w:val="00F4516C"/>
    <w:rsid w:val="00F47D28"/>
    <w:rsid w:val="00F50E91"/>
    <w:rsid w:val="00F57549"/>
    <w:rsid w:val="00F57D29"/>
    <w:rsid w:val="00F611B5"/>
    <w:rsid w:val="00F651A8"/>
    <w:rsid w:val="00F76CEB"/>
    <w:rsid w:val="00F808EB"/>
    <w:rsid w:val="00F90761"/>
    <w:rsid w:val="00F92A99"/>
    <w:rsid w:val="00F96201"/>
    <w:rsid w:val="00FA247C"/>
    <w:rsid w:val="00FC30E9"/>
    <w:rsid w:val="00FC3293"/>
    <w:rsid w:val="00FD0B18"/>
    <w:rsid w:val="00FD0F82"/>
    <w:rsid w:val="00FE714F"/>
    <w:rsid w:val="00FF2150"/>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BA8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3FA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453FA9"/>
    <w:pPr>
      <w:jc w:val="both"/>
    </w:pPr>
    <w:rPr>
      <w:sz w:val="22"/>
      <w:szCs w:val="22"/>
    </w:rPr>
  </w:style>
  <w:style w:type="character" w:customStyle="1" w:styleId="BodyTextMainChar">
    <w:name w:val="Body Text Main Char"/>
    <w:basedOn w:val="DefaultParagraphFont"/>
    <w:link w:val="BodyTextMain"/>
    <w:rsid w:val="00453FA9"/>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53FA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453FA9"/>
    <w:rPr>
      <w:rFonts w:asciiTheme="majorHAnsi" w:eastAsiaTheme="majorEastAsia" w:hAnsiTheme="majorHAnsi" w:cstheme="majorBidi"/>
      <w:b/>
      <w:bCs/>
      <w:color w:val="365F91" w:themeColor="accent1" w:themeShade="BF"/>
      <w:sz w:val="28"/>
      <w:szCs w:val="28"/>
      <w:lang w:val="en-CA" w:eastAsia="en-CA"/>
    </w:rPr>
  </w:style>
  <w:style w:type="character" w:customStyle="1" w:styleId="A6">
    <w:name w:val="A6"/>
    <w:uiPriority w:val="99"/>
    <w:rsid w:val="00453FA9"/>
    <w:rPr>
      <w:color w:val="000000"/>
    </w:rPr>
  </w:style>
  <w:style w:type="paragraph" w:styleId="NoSpacing">
    <w:name w:val="No Spacing"/>
    <w:link w:val="NoSpacingChar"/>
    <w:uiPriority w:val="1"/>
    <w:qFormat/>
    <w:rsid w:val="00453FA9"/>
    <w:pPr>
      <w:spacing w:after="0" w:line="240" w:lineRule="auto"/>
    </w:pPr>
    <w:rPr>
      <w:rFonts w:eastAsiaTheme="minorEastAsia"/>
      <w:lang w:val="en-CA" w:eastAsia="en-CA"/>
    </w:rPr>
  </w:style>
  <w:style w:type="character" w:customStyle="1" w:styleId="NoSpacingChar">
    <w:name w:val="No Spacing Char"/>
    <w:basedOn w:val="DefaultParagraphFont"/>
    <w:link w:val="NoSpacing"/>
    <w:uiPriority w:val="1"/>
    <w:rsid w:val="00453FA9"/>
    <w:rPr>
      <w:rFonts w:eastAsiaTheme="minorEastAsia"/>
      <w:lang w:val="en-CA" w:eastAsia="en-CA"/>
    </w:rPr>
  </w:style>
  <w:style w:type="character" w:customStyle="1" w:styleId="Hyperlink1">
    <w:name w:val="Hyperlink1"/>
    <w:basedOn w:val="DefaultParagraphFont"/>
    <w:uiPriority w:val="99"/>
    <w:unhideWhenUsed/>
    <w:rsid w:val="00453FA9"/>
    <w:rPr>
      <w:color w:val="0563C1"/>
      <w:u w:val="single"/>
    </w:rPr>
  </w:style>
  <w:style w:type="paragraph" w:styleId="Bibliography">
    <w:name w:val="Bibliography"/>
    <w:basedOn w:val="Normal"/>
    <w:next w:val="Normal"/>
    <w:uiPriority w:val="37"/>
    <w:unhideWhenUsed/>
    <w:rsid w:val="00453FA9"/>
    <w:pPr>
      <w:spacing w:after="200" w:line="276" w:lineRule="auto"/>
      <w:ind w:left="720" w:hanging="720"/>
    </w:pPr>
    <w:rPr>
      <w:rFonts w:asciiTheme="minorHAnsi" w:eastAsiaTheme="minorEastAsia" w:hAnsiTheme="minorHAnsi" w:cstheme="minorBidi"/>
      <w:sz w:val="22"/>
      <w:szCs w:val="22"/>
      <w:lang w:val="en-CA" w:eastAsia="en-CA"/>
    </w:rPr>
  </w:style>
  <w:style w:type="character" w:styleId="FollowedHyperlink">
    <w:name w:val="FollowedHyperlink"/>
    <w:basedOn w:val="DefaultParagraphFont"/>
    <w:uiPriority w:val="99"/>
    <w:semiHidden/>
    <w:unhideWhenUsed/>
    <w:rsid w:val="00453FA9"/>
    <w:rPr>
      <w:color w:val="800080" w:themeColor="followedHyperlink"/>
      <w:u w:val="single"/>
    </w:rPr>
  </w:style>
  <w:style w:type="table" w:customStyle="1" w:styleId="TableGrid1">
    <w:name w:val="Table Grid1"/>
    <w:basedOn w:val="TableNormal"/>
    <w:next w:val="TableGrid"/>
    <w:uiPriority w:val="59"/>
    <w:rsid w:val="000D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3FA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453FA9"/>
    <w:pPr>
      <w:jc w:val="both"/>
    </w:pPr>
    <w:rPr>
      <w:sz w:val="22"/>
      <w:szCs w:val="22"/>
    </w:rPr>
  </w:style>
  <w:style w:type="character" w:customStyle="1" w:styleId="BodyTextMainChar">
    <w:name w:val="Body Text Main Char"/>
    <w:basedOn w:val="DefaultParagraphFont"/>
    <w:link w:val="BodyTextMain"/>
    <w:rsid w:val="00453FA9"/>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53FA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453FA9"/>
    <w:rPr>
      <w:rFonts w:asciiTheme="majorHAnsi" w:eastAsiaTheme="majorEastAsia" w:hAnsiTheme="majorHAnsi" w:cstheme="majorBidi"/>
      <w:b/>
      <w:bCs/>
      <w:color w:val="365F91" w:themeColor="accent1" w:themeShade="BF"/>
      <w:sz w:val="28"/>
      <w:szCs w:val="28"/>
      <w:lang w:val="en-CA" w:eastAsia="en-CA"/>
    </w:rPr>
  </w:style>
  <w:style w:type="character" w:customStyle="1" w:styleId="A6">
    <w:name w:val="A6"/>
    <w:uiPriority w:val="99"/>
    <w:rsid w:val="00453FA9"/>
    <w:rPr>
      <w:color w:val="000000"/>
    </w:rPr>
  </w:style>
  <w:style w:type="paragraph" w:styleId="NoSpacing">
    <w:name w:val="No Spacing"/>
    <w:link w:val="NoSpacingChar"/>
    <w:uiPriority w:val="1"/>
    <w:qFormat/>
    <w:rsid w:val="00453FA9"/>
    <w:pPr>
      <w:spacing w:after="0" w:line="240" w:lineRule="auto"/>
    </w:pPr>
    <w:rPr>
      <w:rFonts w:eastAsiaTheme="minorEastAsia"/>
      <w:lang w:val="en-CA" w:eastAsia="en-CA"/>
    </w:rPr>
  </w:style>
  <w:style w:type="character" w:customStyle="1" w:styleId="NoSpacingChar">
    <w:name w:val="No Spacing Char"/>
    <w:basedOn w:val="DefaultParagraphFont"/>
    <w:link w:val="NoSpacing"/>
    <w:uiPriority w:val="1"/>
    <w:rsid w:val="00453FA9"/>
    <w:rPr>
      <w:rFonts w:eastAsiaTheme="minorEastAsia"/>
      <w:lang w:val="en-CA" w:eastAsia="en-CA"/>
    </w:rPr>
  </w:style>
  <w:style w:type="character" w:customStyle="1" w:styleId="Hyperlink1">
    <w:name w:val="Hyperlink1"/>
    <w:basedOn w:val="DefaultParagraphFont"/>
    <w:uiPriority w:val="99"/>
    <w:unhideWhenUsed/>
    <w:rsid w:val="00453FA9"/>
    <w:rPr>
      <w:color w:val="0563C1"/>
      <w:u w:val="single"/>
    </w:rPr>
  </w:style>
  <w:style w:type="paragraph" w:styleId="Bibliography">
    <w:name w:val="Bibliography"/>
    <w:basedOn w:val="Normal"/>
    <w:next w:val="Normal"/>
    <w:uiPriority w:val="37"/>
    <w:unhideWhenUsed/>
    <w:rsid w:val="00453FA9"/>
    <w:pPr>
      <w:spacing w:after="200" w:line="276" w:lineRule="auto"/>
      <w:ind w:left="720" w:hanging="720"/>
    </w:pPr>
    <w:rPr>
      <w:rFonts w:asciiTheme="minorHAnsi" w:eastAsiaTheme="minorEastAsia" w:hAnsiTheme="minorHAnsi" w:cstheme="minorBidi"/>
      <w:sz w:val="22"/>
      <w:szCs w:val="22"/>
      <w:lang w:val="en-CA" w:eastAsia="en-CA"/>
    </w:rPr>
  </w:style>
  <w:style w:type="character" w:styleId="FollowedHyperlink">
    <w:name w:val="FollowedHyperlink"/>
    <w:basedOn w:val="DefaultParagraphFont"/>
    <w:uiPriority w:val="99"/>
    <w:semiHidden/>
    <w:unhideWhenUsed/>
    <w:rsid w:val="00453FA9"/>
    <w:rPr>
      <w:color w:val="800080" w:themeColor="followedHyperlink"/>
      <w:u w:val="single"/>
    </w:rPr>
  </w:style>
  <w:style w:type="table" w:customStyle="1" w:styleId="TableGrid1">
    <w:name w:val="Table Grid1"/>
    <w:basedOn w:val="TableNormal"/>
    <w:next w:val="TableGrid"/>
    <w:uiPriority w:val="59"/>
    <w:rsid w:val="000D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305D032-98A7-46EC-A401-E87CDBF00E0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3F0A58C-FBE2-43F2-A4D3-D9AD9DA88DCA}">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6CB0F-55A6-4AD1-A786-842F4715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5890</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2011-06-23T13:34:00Z</cp:lastPrinted>
  <dcterms:created xsi:type="dcterms:W3CDTF">2017-08-03T13:36:00Z</dcterms:created>
  <dcterms:modified xsi:type="dcterms:W3CDTF">2017-08-15T12:29:00Z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id="vaC7fltE"/&gt;&lt;style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value="2"/&gt;&lt;/prefs&gt;&lt;/data&gt;</vt:lpwstr>
  </property>
</Properties>
</file>