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gridCol w:w="4599"/>
      </w:tblGrid>
      <w:tr w:rsidR="00947764" w:rsidRPr="004E5FE9" w14:paraId="6BECAA93" w14:textId="77777777" w:rsidTr="008B13D4">
        <w:tc>
          <w:tcPr>
            <w:tcW w:w="4680" w:type="dxa"/>
          </w:tcPr>
          <w:p w14:paraId="1B3B5464" w14:textId="77777777" w:rsidR="00947764" w:rsidRPr="004E5FE9" w:rsidRDefault="00947764" w:rsidP="008B13D4">
            <w:pPr>
              <w:tabs>
                <w:tab w:val="left" w:pos="-1440"/>
                <w:tab w:val="left" w:pos="-720"/>
                <w:tab w:val="left" w:pos="1"/>
              </w:tabs>
              <w:jc w:val="both"/>
              <w:rPr>
                <w:rFonts w:ascii="Arial" w:hAnsi="Arial"/>
                <w:b/>
                <w:sz w:val="24"/>
                <w:lang w:val="en-GB"/>
              </w:rPr>
            </w:pPr>
            <w:r w:rsidRPr="004E5FE9">
              <w:rPr>
                <w:rFonts w:ascii="Arial" w:hAnsi="Arial"/>
                <w:b/>
                <w:noProof/>
                <w:sz w:val="24"/>
              </w:rPr>
              <w:drawing>
                <wp:inline distT="0" distB="0" distL="0" distR="0" wp14:anchorId="7158ACAE" wp14:editId="71E582F9">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4E213B4C" w14:textId="77777777" w:rsidR="00947764" w:rsidRPr="004E5FE9" w:rsidRDefault="00947764" w:rsidP="008B13D4">
            <w:pPr>
              <w:tabs>
                <w:tab w:val="left" w:pos="-1440"/>
                <w:tab w:val="left" w:pos="-720"/>
                <w:tab w:val="left" w:pos="1"/>
              </w:tabs>
              <w:jc w:val="right"/>
              <w:rPr>
                <w:rFonts w:ascii="Arial" w:hAnsi="Arial"/>
                <w:b/>
                <w:sz w:val="24"/>
                <w:lang w:val="en-GB"/>
              </w:rPr>
            </w:pPr>
            <w:r w:rsidRPr="004E5FE9">
              <w:rPr>
                <w:rFonts w:ascii="IveyVHWLogos" w:eastAsia="SimSun" w:hAnsi="IveyVHWLogos"/>
                <w:noProof/>
                <w:sz w:val="44"/>
                <w:szCs w:val="44"/>
              </w:rPr>
              <w:drawing>
                <wp:inline distT="0" distB="0" distL="0" distR="0" wp14:anchorId="0CDE7CBA" wp14:editId="4E639F32">
                  <wp:extent cx="1328580" cy="548640"/>
                  <wp:effectExtent l="0" t="0" r="5080" b="3810"/>
                  <wp:docPr id="4" name="Picture 4" descr="ISB_Logo_B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B_Logo_BW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8580" cy="548640"/>
                          </a:xfrm>
                          <a:prstGeom prst="rect">
                            <a:avLst/>
                          </a:prstGeom>
                          <a:noFill/>
                          <a:ln>
                            <a:noFill/>
                          </a:ln>
                        </pic:spPr>
                      </pic:pic>
                    </a:graphicData>
                  </a:graphic>
                </wp:inline>
              </w:drawing>
            </w:r>
          </w:p>
        </w:tc>
      </w:tr>
    </w:tbl>
    <w:p w14:paraId="699D8772" w14:textId="77777777" w:rsidR="00856D9F" w:rsidRPr="004E5FE9"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5B620185" w14:textId="6447C246" w:rsidR="00D75295" w:rsidRPr="004E5FE9" w:rsidRDefault="002A741E" w:rsidP="00F105B7">
      <w:pPr>
        <w:pStyle w:val="ProductNumber"/>
        <w:rPr>
          <w:lang w:val="en-GB"/>
        </w:rPr>
      </w:pPr>
      <w:r>
        <w:rPr>
          <w:lang w:val="en-GB"/>
        </w:rPr>
        <w:t>9B17N019</w:t>
      </w:r>
    </w:p>
    <w:p w14:paraId="59E134BD" w14:textId="77777777" w:rsidR="00D75295" w:rsidRPr="004E5FE9" w:rsidRDefault="00D75295" w:rsidP="00D75295">
      <w:pPr>
        <w:jc w:val="right"/>
        <w:rPr>
          <w:rFonts w:ascii="Arial" w:hAnsi="Arial"/>
          <w:b/>
          <w:sz w:val="28"/>
          <w:szCs w:val="28"/>
          <w:lang w:val="en-GB"/>
        </w:rPr>
      </w:pPr>
    </w:p>
    <w:p w14:paraId="2FB1264E" w14:textId="77777777" w:rsidR="00866F6D" w:rsidRPr="004E5FE9" w:rsidRDefault="00866F6D" w:rsidP="00D75295">
      <w:pPr>
        <w:jc w:val="right"/>
        <w:rPr>
          <w:rFonts w:ascii="Arial" w:hAnsi="Arial"/>
          <w:b/>
          <w:sz w:val="28"/>
          <w:szCs w:val="28"/>
          <w:lang w:val="en-GB"/>
        </w:rPr>
      </w:pPr>
    </w:p>
    <w:p w14:paraId="3A174A8A" w14:textId="77777777" w:rsidR="00013360" w:rsidRPr="004E5FE9" w:rsidRDefault="00E67B15" w:rsidP="00013360">
      <w:pPr>
        <w:pStyle w:val="CaseTitle"/>
        <w:spacing w:after="0" w:line="240" w:lineRule="auto"/>
        <w:rPr>
          <w:lang w:val="en-GB"/>
        </w:rPr>
      </w:pPr>
      <w:r w:rsidRPr="004E5FE9">
        <w:rPr>
          <w:lang w:val="en-GB"/>
        </w:rPr>
        <w:t>Groupon India: A Management Buyout Decision</w:t>
      </w:r>
    </w:p>
    <w:p w14:paraId="2A935F8F" w14:textId="77777777" w:rsidR="00013360" w:rsidRPr="004E5FE9" w:rsidRDefault="00013360" w:rsidP="00013360">
      <w:pPr>
        <w:pStyle w:val="CaseTitle"/>
        <w:spacing w:after="0" w:line="240" w:lineRule="auto"/>
        <w:rPr>
          <w:sz w:val="20"/>
          <w:szCs w:val="20"/>
          <w:lang w:val="en-GB"/>
        </w:rPr>
      </w:pPr>
    </w:p>
    <w:p w14:paraId="72C5B91A" w14:textId="77777777" w:rsidR="00CA3976" w:rsidRPr="004E5FE9" w:rsidRDefault="00CA3976" w:rsidP="00013360">
      <w:pPr>
        <w:pStyle w:val="CaseTitle"/>
        <w:spacing w:after="0" w:line="240" w:lineRule="auto"/>
        <w:rPr>
          <w:sz w:val="20"/>
          <w:szCs w:val="20"/>
          <w:lang w:val="en-GB"/>
        </w:rPr>
      </w:pPr>
    </w:p>
    <w:p w14:paraId="265B1794" w14:textId="77777777" w:rsidR="00013360" w:rsidRPr="004E5FE9" w:rsidRDefault="00013360" w:rsidP="00013360">
      <w:pPr>
        <w:pStyle w:val="CaseTitle"/>
        <w:spacing w:after="0" w:line="240" w:lineRule="auto"/>
        <w:rPr>
          <w:sz w:val="20"/>
          <w:szCs w:val="20"/>
          <w:lang w:val="en-GB"/>
        </w:rPr>
      </w:pPr>
    </w:p>
    <w:p w14:paraId="0FA4496F" w14:textId="77777777" w:rsidR="00013360" w:rsidRPr="004E5FE9" w:rsidRDefault="00E67B15" w:rsidP="00104567">
      <w:pPr>
        <w:pStyle w:val="StyleCopyrightStatementAfter0ptBottomSinglesolidline1"/>
        <w:rPr>
          <w:lang w:val="en-GB"/>
        </w:rPr>
      </w:pPr>
      <w:r w:rsidRPr="004E5FE9">
        <w:rPr>
          <w:lang w:val="en-GB"/>
        </w:rPr>
        <w:t xml:space="preserve">Rajesh Panda, </w:t>
      </w:r>
      <w:proofErr w:type="spellStart"/>
      <w:r w:rsidRPr="004E5FE9">
        <w:rPr>
          <w:lang w:val="en-GB"/>
        </w:rPr>
        <w:t>Madhvi</w:t>
      </w:r>
      <w:proofErr w:type="spellEnd"/>
      <w:r w:rsidRPr="004E5FE9">
        <w:rPr>
          <w:lang w:val="en-GB"/>
        </w:rPr>
        <w:t xml:space="preserve"> </w:t>
      </w:r>
      <w:proofErr w:type="spellStart"/>
      <w:r w:rsidRPr="004E5FE9">
        <w:rPr>
          <w:lang w:val="en-GB"/>
        </w:rPr>
        <w:t>Sethi</w:t>
      </w:r>
      <w:proofErr w:type="spellEnd"/>
      <w:r w:rsidRPr="004E5FE9">
        <w:rPr>
          <w:lang w:val="en-GB"/>
        </w:rPr>
        <w:t>, and Pooja Gupta</w:t>
      </w:r>
      <w:r w:rsidR="007E5921" w:rsidRPr="004E5FE9">
        <w:rPr>
          <w:lang w:val="en-GB"/>
        </w:rPr>
        <w:t xml:space="preserve"> wrote this case sol</w:t>
      </w:r>
      <w:r w:rsidR="00D75295" w:rsidRPr="004E5FE9">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2CA1D16F" w14:textId="77777777" w:rsidR="00013360" w:rsidRPr="004E5FE9" w:rsidRDefault="00013360" w:rsidP="00104567">
      <w:pPr>
        <w:pStyle w:val="StyleCopyrightStatementAfter0ptBottomSinglesolidline1"/>
        <w:rPr>
          <w:lang w:val="en-GB"/>
        </w:rPr>
      </w:pPr>
    </w:p>
    <w:p w14:paraId="4F5788ED" w14:textId="77777777" w:rsidR="00947764" w:rsidRPr="004E5FE9" w:rsidRDefault="00947764" w:rsidP="00947764">
      <w:pPr>
        <w:jc w:val="both"/>
        <w:rPr>
          <w:rFonts w:ascii="Arial" w:hAnsi="Arial" w:cs="Arial"/>
          <w:i/>
          <w:iCs/>
          <w:sz w:val="16"/>
          <w:szCs w:val="16"/>
          <w:lang w:val="en-GB"/>
        </w:rPr>
      </w:pPr>
      <w:r w:rsidRPr="004E5FE9">
        <w:rPr>
          <w:rFonts w:ascii="Arial" w:hAnsi="Arial" w:cs="Arial"/>
          <w:i/>
          <w:iCs/>
          <w:sz w:val="16"/>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E5FE9">
          <w:rPr>
            <w:rFonts w:ascii="Arial" w:hAnsi="Arial" w:cs="Arial"/>
            <w:i/>
            <w:iCs/>
            <w:sz w:val="16"/>
            <w:szCs w:val="16"/>
            <w:lang w:val="en-GB"/>
          </w:rPr>
          <w:t>cases@ivey.ca</w:t>
        </w:r>
      </w:hyperlink>
      <w:r w:rsidRPr="004E5FE9">
        <w:rPr>
          <w:rFonts w:ascii="Arial" w:hAnsi="Arial" w:cs="Arial"/>
          <w:i/>
          <w:iCs/>
          <w:sz w:val="16"/>
          <w:szCs w:val="16"/>
          <w:lang w:val="en-GB"/>
        </w:rPr>
        <w:t xml:space="preserve">; </w:t>
      </w:r>
      <w:hyperlink r:id="rId11" w:history="1">
        <w:r w:rsidRPr="004E5FE9">
          <w:rPr>
            <w:rFonts w:ascii="Arial" w:hAnsi="Arial" w:cs="Arial"/>
            <w:i/>
            <w:iCs/>
            <w:sz w:val="16"/>
            <w:szCs w:val="16"/>
            <w:lang w:val="en-GB"/>
          </w:rPr>
          <w:t>www.iveycases.com</w:t>
        </w:r>
      </w:hyperlink>
      <w:r w:rsidRPr="004E5FE9">
        <w:rPr>
          <w:rFonts w:ascii="Arial" w:hAnsi="Arial" w:cs="Arial"/>
          <w:i/>
          <w:iCs/>
          <w:sz w:val="16"/>
          <w:szCs w:val="16"/>
          <w:lang w:val="en-GB"/>
        </w:rPr>
        <w:t>.</w:t>
      </w:r>
    </w:p>
    <w:p w14:paraId="6C2CD0B9" w14:textId="77777777" w:rsidR="00947764" w:rsidRPr="004E5FE9" w:rsidRDefault="00947764" w:rsidP="00947764">
      <w:pPr>
        <w:pStyle w:val="StyleCopyrightStatementAfter0ptBottomSinglesolidline1"/>
        <w:pBdr>
          <w:top w:val="none" w:sz="0" w:space="0" w:color="auto"/>
        </w:pBdr>
        <w:rPr>
          <w:lang w:val="en-GB"/>
        </w:rPr>
      </w:pPr>
    </w:p>
    <w:p w14:paraId="78CCE2C5" w14:textId="40791C99" w:rsidR="003B7EF2" w:rsidRPr="004E5FE9" w:rsidRDefault="00947764" w:rsidP="00947764">
      <w:pPr>
        <w:pStyle w:val="StyleStyleCopyrightStatementAfter0ptBottomSinglesolid"/>
        <w:rPr>
          <w:lang w:val="en-GB"/>
        </w:rPr>
      </w:pPr>
      <w:r w:rsidRPr="004E5FE9">
        <w:rPr>
          <w:lang w:val="en-GB"/>
        </w:rPr>
        <w:t>Copyright © 20</w:t>
      </w:r>
      <w:r w:rsidR="007A3CCB">
        <w:rPr>
          <w:lang w:val="en-GB"/>
        </w:rPr>
        <w:t>17</w:t>
      </w:r>
      <w:r w:rsidRPr="004E5FE9">
        <w:rPr>
          <w:lang w:val="en-GB"/>
        </w:rPr>
        <w:t>, Richard Ivey School of Business Foundation</w:t>
      </w:r>
      <w:r w:rsidRPr="004E5FE9">
        <w:rPr>
          <w:lang w:val="en-GB"/>
        </w:rPr>
        <w:tab/>
      </w:r>
      <w:r w:rsidR="003B7EF2" w:rsidRPr="004E5FE9">
        <w:rPr>
          <w:lang w:val="en-GB"/>
        </w:rPr>
        <w:t xml:space="preserve">Version: </w:t>
      </w:r>
      <w:r w:rsidR="00361C8E" w:rsidRPr="004E5FE9">
        <w:rPr>
          <w:lang w:val="en-GB"/>
        </w:rPr>
        <w:t>201</w:t>
      </w:r>
      <w:r w:rsidR="007F51FC" w:rsidRPr="004E5FE9">
        <w:rPr>
          <w:lang w:val="en-GB"/>
        </w:rPr>
        <w:t>7</w:t>
      </w:r>
      <w:r w:rsidR="00361C8E" w:rsidRPr="004E5FE9">
        <w:rPr>
          <w:lang w:val="en-GB"/>
        </w:rPr>
        <w:t>-</w:t>
      </w:r>
      <w:r w:rsidR="004835CE">
        <w:rPr>
          <w:lang w:val="en-GB"/>
        </w:rPr>
        <w:t>09-</w:t>
      </w:r>
      <w:r w:rsidR="007A3CCB">
        <w:rPr>
          <w:lang w:val="en-GB"/>
        </w:rPr>
        <w:t>22</w:t>
      </w:r>
    </w:p>
    <w:p w14:paraId="6724A78F" w14:textId="77777777" w:rsidR="003B7EF2" w:rsidRPr="004E5FE9" w:rsidRDefault="003B7EF2" w:rsidP="00104567">
      <w:pPr>
        <w:pStyle w:val="StyleCopyrightStatementAfter0ptBottomSinglesolidline1"/>
        <w:rPr>
          <w:rFonts w:ascii="Times New Roman" w:hAnsi="Times New Roman"/>
          <w:sz w:val="20"/>
          <w:lang w:val="en-GB"/>
        </w:rPr>
      </w:pPr>
    </w:p>
    <w:p w14:paraId="043D0CDE" w14:textId="77777777" w:rsidR="003B7EF2" w:rsidRPr="004E5FE9" w:rsidRDefault="003B7EF2" w:rsidP="006B7F7A">
      <w:pPr>
        <w:pStyle w:val="BodyTextMain"/>
        <w:rPr>
          <w:lang w:val="en-GB"/>
        </w:rPr>
      </w:pPr>
    </w:p>
    <w:p w14:paraId="3523540D" w14:textId="014AE989" w:rsidR="00E67B15" w:rsidRPr="004E5FE9" w:rsidRDefault="00E67B15" w:rsidP="00880745">
      <w:pPr>
        <w:pStyle w:val="BodyTextMain"/>
        <w:rPr>
          <w:lang w:val="en-GB"/>
        </w:rPr>
      </w:pPr>
      <w:r w:rsidRPr="004E5FE9">
        <w:rPr>
          <w:lang w:val="en-GB"/>
        </w:rPr>
        <w:t xml:space="preserve">On January 23, 2015, </w:t>
      </w:r>
      <w:proofErr w:type="spellStart"/>
      <w:r w:rsidRPr="004E5FE9">
        <w:rPr>
          <w:lang w:val="en-GB"/>
        </w:rPr>
        <w:t>Ankur</w:t>
      </w:r>
      <w:proofErr w:type="spellEnd"/>
      <w:r w:rsidRPr="004E5FE9">
        <w:rPr>
          <w:lang w:val="en-GB"/>
        </w:rPr>
        <w:t xml:space="preserve"> </w:t>
      </w:r>
      <w:proofErr w:type="spellStart"/>
      <w:r w:rsidRPr="004E5FE9">
        <w:rPr>
          <w:lang w:val="en-GB"/>
        </w:rPr>
        <w:t>Warikoo</w:t>
      </w:r>
      <w:proofErr w:type="spellEnd"/>
      <w:r w:rsidRPr="004E5FE9">
        <w:rPr>
          <w:lang w:val="en-GB"/>
        </w:rPr>
        <w:t xml:space="preserve"> and </w:t>
      </w:r>
      <w:proofErr w:type="spellStart"/>
      <w:r w:rsidRPr="004E5FE9">
        <w:rPr>
          <w:lang w:val="en-GB"/>
        </w:rPr>
        <w:t>Sumeet</w:t>
      </w:r>
      <w:proofErr w:type="spellEnd"/>
      <w:r w:rsidRPr="004E5FE9">
        <w:rPr>
          <w:lang w:val="en-GB"/>
        </w:rPr>
        <w:t xml:space="preserve"> </w:t>
      </w:r>
      <w:proofErr w:type="spellStart"/>
      <w:r w:rsidRPr="004E5FE9">
        <w:rPr>
          <w:lang w:val="en-GB"/>
        </w:rPr>
        <w:t>Kapur</w:t>
      </w:r>
      <w:proofErr w:type="spellEnd"/>
      <w:r w:rsidRPr="004E5FE9">
        <w:rPr>
          <w:lang w:val="en-GB"/>
        </w:rPr>
        <w:t xml:space="preserve"> were working late</w:t>
      </w:r>
      <w:r w:rsidR="00C3583A" w:rsidRPr="004E5FE9">
        <w:rPr>
          <w:lang w:val="en-GB"/>
        </w:rPr>
        <w:t>,</w:t>
      </w:r>
      <w:r w:rsidRPr="004E5FE9">
        <w:rPr>
          <w:lang w:val="en-GB"/>
        </w:rPr>
        <w:t xml:space="preserve"> as had become the norm. They were tense </w:t>
      </w:r>
      <w:r w:rsidR="00C3583A" w:rsidRPr="004E5FE9">
        <w:rPr>
          <w:lang w:val="en-GB"/>
        </w:rPr>
        <w:t>because</w:t>
      </w:r>
      <w:r w:rsidRPr="004E5FE9">
        <w:rPr>
          <w:lang w:val="en-GB"/>
        </w:rPr>
        <w:t xml:space="preserve"> they had not yet received a reply from </w:t>
      </w:r>
      <w:r w:rsidR="008B13D4">
        <w:rPr>
          <w:lang w:val="en-GB"/>
        </w:rPr>
        <w:t xml:space="preserve">the </w:t>
      </w:r>
      <w:r w:rsidR="006364C5" w:rsidRPr="004E5FE9">
        <w:rPr>
          <w:lang w:val="en-GB"/>
        </w:rPr>
        <w:t xml:space="preserve">venture capital firm </w:t>
      </w:r>
      <w:r w:rsidRPr="004E5FE9">
        <w:rPr>
          <w:lang w:val="en-GB"/>
        </w:rPr>
        <w:t xml:space="preserve">Sequoia Capital </w:t>
      </w:r>
      <w:r w:rsidR="00231E8E" w:rsidRPr="004E5FE9">
        <w:rPr>
          <w:lang w:val="en-GB"/>
        </w:rPr>
        <w:t xml:space="preserve">(Sequoia) </w:t>
      </w:r>
      <w:r w:rsidRPr="004E5FE9">
        <w:rPr>
          <w:lang w:val="en-GB"/>
        </w:rPr>
        <w:t xml:space="preserve">regarding </w:t>
      </w:r>
      <w:r w:rsidR="00F71366" w:rsidRPr="004E5FE9">
        <w:rPr>
          <w:lang w:val="en-GB"/>
        </w:rPr>
        <w:t>a</w:t>
      </w:r>
      <w:r w:rsidRPr="004E5FE9">
        <w:rPr>
          <w:lang w:val="en-GB"/>
        </w:rPr>
        <w:t xml:space="preserve"> proposal</w:t>
      </w:r>
      <w:r w:rsidR="00F71366" w:rsidRPr="004E5FE9">
        <w:rPr>
          <w:lang w:val="en-GB"/>
        </w:rPr>
        <w:t xml:space="preserve"> they had submitted to the firm</w:t>
      </w:r>
      <w:r w:rsidRPr="004E5FE9">
        <w:rPr>
          <w:lang w:val="en-GB"/>
        </w:rPr>
        <w:t xml:space="preserve">. </w:t>
      </w:r>
      <w:proofErr w:type="spellStart"/>
      <w:r w:rsidRPr="004E5FE9">
        <w:rPr>
          <w:lang w:val="en-GB"/>
        </w:rPr>
        <w:t>Warikoo’s</w:t>
      </w:r>
      <w:proofErr w:type="spellEnd"/>
      <w:r w:rsidRPr="004E5FE9">
        <w:rPr>
          <w:lang w:val="en-GB"/>
        </w:rPr>
        <w:t xml:space="preserve"> phone pinged</w:t>
      </w:r>
      <w:r w:rsidR="00C3583A" w:rsidRPr="004E5FE9">
        <w:rPr>
          <w:lang w:val="en-GB"/>
        </w:rPr>
        <w:t>,</w:t>
      </w:r>
      <w:r w:rsidRPr="004E5FE9">
        <w:rPr>
          <w:lang w:val="en-GB"/>
        </w:rPr>
        <w:t xml:space="preserve"> indicating an incoming email. He quickly scanned the phone and </w:t>
      </w:r>
      <w:r w:rsidR="00C3583A" w:rsidRPr="004E5FE9">
        <w:rPr>
          <w:lang w:val="en-GB"/>
        </w:rPr>
        <w:t xml:space="preserve">looked </w:t>
      </w:r>
      <w:r w:rsidRPr="004E5FE9">
        <w:rPr>
          <w:lang w:val="en-GB"/>
        </w:rPr>
        <w:t xml:space="preserve">triumphantly at </w:t>
      </w:r>
      <w:proofErr w:type="spellStart"/>
      <w:r w:rsidR="00AC6CF8" w:rsidRPr="004E5FE9">
        <w:rPr>
          <w:lang w:val="en-GB"/>
        </w:rPr>
        <w:t>Kapur</w:t>
      </w:r>
      <w:proofErr w:type="spellEnd"/>
      <w:r w:rsidR="008B13D4">
        <w:rPr>
          <w:lang w:val="en-GB"/>
        </w:rPr>
        <w:t>,</w:t>
      </w:r>
      <w:r w:rsidR="00F71366" w:rsidRPr="004E5FE9">
        <w:rPr>
          <w:lang w:val="en-GB"/>
        </w:rPr>
        <w:t xml:space="preserve"> as</w:t>
      </w:r>
      <w:r w:rsidR="00AC6CF8" w:rsidRPr="004E5FE9">
        <w:rPr>
          <w:lang w:val="en-GB"/>
        </w:rPr>
        <w:t xml:space="preserve"> </w:t>
      </w:r>
      <w:r w:rsidR="00F71366" w:rsidRPr="004E5FE9">
        <w:rPr>
          <w:lang w:val="en-GB"/>
        </w:rPr>
        <w:t>he</w:t>
      </w:r>
      <w:r w:rsidRPr="004E5FE9">
        <w:rPr>
          <w:lang w:val="en-GB"/>
        </w:rPr>
        <w:t xml:space="preserve"> said, “Call everyone for a meeting tomorrow at 10:00 </w:t>
      </w:r>
      <w:r w:rsidR="00C3583A" w:rsidRPr="004E5FE9">
        <w:rPr>
          <w:lang w:val="en-GB"/>
        </w:rPr>
        <w:t>a.m.</w:t>
      </w:r>
      <w:r w:rsidRPr="004E5FE9">
        <w:rPr>
          <w:lang w:val="en-GB"/>
        </w:rPr>
        <w:t xml:space="preserve"> Sequoia wants to meet on </w:t>
      </w:r>
      <w:r w:rsidR="00C3583A" w:rsidRPr="004E5FE9">
        <w:rPr>
          <w:lang w:val="en-GB"/>
        </w:rPr>
        <w:t xml:space="preserve">the </w:t>
      </w:r>
      <w:r w:rsidRPr="004E5FE9">
        <w:rPr>
          <w:lang w:val="en-GB"/>
        </w:rPr>
        <w:t xml:space="preserve">27th </w:t>
      </w:r>
      <w:r w:rsidR="00C3583A" w:rsidRPr="004E5FE9">
        <w:rPr>
          <w:lang w:val="en-GB"/>
        </w:rPr>
        <w:t xml:space="preserve">of </w:t>
      </w:r>
      <w:r w:rsidRPr="004E5FE9">
        <w:rPr>
          <w:lang w:val="en-GB"/>
        </w:rPr>
        <w:t>Jan</w:t>
      </w:r>
      <w:r w:rsidR="00C3583A" w:rsidRPr="004E5FE9">
        <w:rPr>
          <w:lang w:val="en-GB"/>
        </w:rPr>
        <w:t>uary</w:t>
      </w:r>
      <w:r w:rsidRPr="004E5FE9">
        <w:rPr>
          <w:lang w:val="en-GB"/>
        </w:rPr>
        <w:t>.”</w:t>
      </w:r>
    </w:p>
    <w:p w14:paraId="275C416E" w14:textId="77777777" w:rsidR="00E67B15" w:rsidRPr="004E5FE9" w:rsidRDefault="00E67B15" w:rsidP="00880745">
      <w:pPr>
        <w:pStyle w:val="BodyTextMain"/>
        <w:rPr>
          <w:lang w:val="en-GB"/>
        </w:rPr>
      </w:pPr>
    </w:p>
    <w:p w14:paraId="1946D01C" w14:textId="697B0D72" w:rsidR="00E67B15" w:rsidRPr="004E5FE9" w:rsidRDefault="00E67B15" w:rsidP="00880745">
      <w:pPr>
        <w:pStyle w:val="BodyTextMain"/>
        <w:rPr>
          <w:lang w:val="en-GB"/>
        </w:rPr>
      </w:pPr>
      <w:proofErr w:type="spellStart"/>
      <w:r w:rsidRPr="004E5FE9">
        <w:rPr>
          <w:lang w:val="en-GB"/>
        </w:rPr>
        <w:t>Warikoo</w:t>
      </w:r>
      <w:proofErr w:type="spellEnd"/>
      <w:r w:rsidRPr="004E5FE9">
        <w:rPr>
          <w:lang w:val="en-GB"/>
        </w:rPr>
        <w:t xml:space="preserve"> was the </w:t>
      </w:r>
      <w:r w:rsidR="00C3583A" w:rsidRPr="004E5FE9">
        <w:rPr>
          <w:lang w:val="en-GB"/>
        </w:rPr>
        <w:t>chief executive officer (</w:t>
      </w:r>
      <w:r w:rsidRPr="004E5FE9">
        <w:rPr>
          <w:lang w:val="en-GB"/>
        </w:rPr>
        <w:t>CEO</w:t>
      </w:r>
      <w:r w:rsidR="00C3583A" w:rsidRPr="004E5FE9">
        <w:rPr>
          <w:lang w:val="en-GB"/>
        </w:rPr>
        <w:t>)</w:t>
      </w:r>
      <w:r w:rsidRPr="004E5FE9">
        <w:rPr>
          <w:lang w:val="en-GB"/>
        </w:rPr>
        <w:t xml:space="preserve"> of Groupon Ind</w:t>
      </w:r>
      <w:r w:rsidR="007A3CCB">
        <w:rPr>
          <w:lang w:val="en-GB"/>
        </w:rPr>
        <w:t>ia, a subsidiary of Groupon Inc</w:t>
      </w:r>
      <w:r w:rsidRPr="004E5FE9">
        <w:rPr>
          <w:lang w:val="en-GB"/>
        </w:rPr>
        <w:t xml:space="preserve">. He had been associated with the company since it was established in India in 2011. Along with </w:t>
      </w:r>
      <w:proofErr w:type="spellStart"/>
      <w:r w:rsidRPr="004E5FE9">
        <w:rPr>
          <w:lang w:val="en-GB"/>
        </w:rPr>
        <w:t>Warikoo</w:t>
      </w:r>
      <w:proofErr w:type="spellEnd"/>
      <w:r w:rsidRPr="004E5FE9">
        <w:rPr>
          <w:lang w:val="en-GB"/>
        </w:rPr>
        <w:t xml:space="preserve">, the core management team of Groupon India consisted of </w:t>
      </w:r>
      <w:proofErr w:type="spellStart"/>
      <w:r w:rsidRPr="004E5FE9">
        <w:rPr>
          <w:lang w:val="en-GB"/>
        </w:rPr>
        <w:t>Kapur</w:t>
      </w:r>
      <w:proofErr w:type="spellEnd"/>
      <w:r w:rsidR="00C3583A" w:rsidRPr="004E5FE9">
        <w:rPr>
          <w:lang w:val="en-GB"/>
        </w:rPr>
        <w:t>,</w:t>
      </w:r>
      <w:r w:rsidRPr="004E5FE9">
        <w:rPr>
          <w:lang w:val="en-GB"/>
        </w:rPr>
        <w:t xml:space="preserve"> </w:t>
      </w:r>
      <w:r w:rsidR="008B13D4">
        <w:rPr>
          <w:lang w:val="en-GB"/>
        </w:rPr>
        <w:t xml:space="preserve">the </w:t>
      </w:r>
      <w:r w:rsidR="00C3583A" w:rsidRPr="004E5FE9">
        <w:rPr>
          <w:lang w:val="en-GB"/>
        </w:rPr>
        <w:t xml:space="preserve">chief financial officer; </w:t>
      </w:r>
      <w:r w:rsidRPr="004E5FE9">
        <w:rPr>
          <w:lang w:val="en-GB"/>
        </w:rPr>
        <w:t xml:space="preserve">Sachin </w:t>
      </w:r>
      <w:proofErr w:type="spellStart"/>
      <w:r w:rsidRPr="004E5FE9">
        <w:rPr>
          <w:lang w:val="en-GB"/>
        </w:rPr>
        <w:t>Kapur</w:t>
      </w:r>
      <w:proofErr w:type="spellEnd"/>
      <w:r w:rsidR="00C3583A" w:rsidRPr="004E5FE9">
        <w:rPr>
          <w:lang w:val="en-GB"/>
        </w:rPr>
        <w:t xml:space="preserve">, </w:t>
      </w:r>
      <w:r w:rsidR="008B13D4">
        <w:rPr>
          <w:lang w:val="en-GB"/>
        </w:rPr>
        <w:t xml:space="preserve">the </w:t>
      </w:r>
      <w:r w:rsidR="00C3583A" w:rsidRPr="004E5FE9">
        <w:rPr>
          <w:lang w:val="en-GB"/>
        </w:rPr>
        <w:t>chief marketing officer;</w:t>
      </w:r>
      <w:r w:rsidRPr="004E5FE9">
        <w:rPr>
          <w:lang w:val="en-GB"/>
        </w:rPr>
        <w:t xml:space="preserve"> </w:t>
      </w:r>
      <w:proofErr w:type="spellStart"/>
      <w:r w:rsidRPr="004E5FE9">
        <w:rPr>
          <w:lang w:val="en-GB"/>
        </w:rPr>
        <w:t>Ankur</w:t>
      </w:r>
      <w:proofErr w:type="spellEnd"/>
      <w:r w:rsidRPr="004E5FE9">
        <w:rPr>
          <w:lang w:val="en-GB"/>
        </w:rPr>
        <w:t xml:space="preserve"> </w:t>
      </w:r>
      <w:proofErr w:type="spellStart"/>
      <w:r w:rsidRPr="004E5FE9">
        <w:rPr>
          <w:lang w:val="en-GB"/>
        </w:rPr>
        <w:t>Sarawagi</w:t>
      </w:r>
      <w:proofErr w:type="spellEnd"/>
      <w:r w:rsidR="00F71366" w:rsidRPr="004E5FE9">
        <w:rPr>
          <w:lang w:val="en-GB"/>
        </w:rPr>
        <w:t xml:space="preserve">, </w:t>
      </w:r>
      <w:r w:rsidR="008B13D4">
        <w:rPr>
          <w:lang w:val="en-GB"/>
        </w:rPr>
        <w:t xml:space="preserve">the </w:t>
      </w:r>
      <w:r w:rsidR="00F71366" w:rsidRPr="004E5FE9">
        <w:rPr>
          <w:lang w:val="en-GB"/>
        </w:rPr>
        <w:t>head of business</w:t>
      </w:r>
      <w:r w:rsidR="00FB4FAA" w:rsidRPr="004E5FE9">
        <w:rPr>
          <w:lang w:val="en-GB"/>
        </w:rPr>
        <w:t xml:space="preserve"> (travel and product)</w:t>
      </w:r>
      <w:r w:rsidR="00F71366" w:rsidRPr="004E5FE9">
        <w:rPr>
          <w:lang w:val="en-GB"/>
        </w:rPr>
        <w:t>;</w:t>
      </w:r>
      <w:r w:rsidRPr="004E5FE9">
        <w:rPr>
          <w:lang w:val="en-GB"/>
        </w:rPr>
        <w:t xml:space="preserve"> and Ravi Shankar</w:t>
      </w:r>
      <w:r w:rsidR="00C3583A" w:rsidRPr="004E5FE9">
        <w:rPr>
          <w:lang w:val="en-GB"/>
        </w:rPr>
        <w:t>,</w:t>
      </w:r>
      <w:r w:rsidRPr="004E5FE9">
        <w:rPr>
          <w:lang w:val="en-GB"/>
        </w:rPr>
        <w:t xml:space="preserve"> </w:t>
      </w:r>
      <w:r w:rsidR="008B13D4">
        <w:rPr>
          <w:lang w:val="en-GB"/>
        </w:rPr>
        <w:t xml:space="preserve">the </w:t>
      </w:r>
      <w:r w:rsidR="00C3583A" w:rsidRPr="004E5FE9">
        <w:rPr>
          <w:lang w:val="en-GB"/>
        </w:rPr>
        <w:t>h</w:t>
      </w:r>
      <w:r w:rsidRPr="004E5FE9">
        <w:rPr>
          <w:lang w:val="en-GB"/>
        </w:rPr>
        <w:t xml:space="preserve">ead of </w:t>
      </w:r>
      <w:r w:rsidR="00C3583A" w:rsidRPr="004E5FE9">
        <w:rPr>
          <w:lang w:val="en-GB"/>
        </w:rPr>
        <w:t>b</w:t>
      </w:r>
      <w:r w:rsidRPr="004E5FE9">
        <w:rPr>
          <w:lang w:val="en-GB"/>
        </w:rPr>
        <w:t>usiness</w:t>
      </w:r>
      <w:r w:rsidR="00FB4FAA" w:rsidRPr="004E5FE9">
        <w:rPr>
          <w:lang w:val="en-GB"/>
        </w:rPr>
        <w:t xml:space="preserve"> (local)</w:t>
      </w:r>
      <w:r w:rsidRPr="004E5FE9">
        <w:rPr>
          <w:lang w:val="en-GB"/>
        </w:rPr>
        <w:t xml:space="preserve"> (</w:t>
      </w:r>
      <w:r w:rsidR="00C3583A" w:rsidRPr="004E5FE9">
        <w:rPr>
          <w:lang w:val="en-GB"/>
        </w:rPr>
        <w:t>s</w:t>
      </w:r>
      <w:r w:rsidRPr="004E5FE9">
        <w:rPr>
          <w:lang w:val="en-GB"/>
        </w:rPr>
        <w:t>ee Exhibit 1).</w:t>
      </w:r>
    </w:p>
    <w:p w14:paraId="4CAA9006" w14:textId="77777777" w:rsidR="00E67B15" w:rsidRPr="004E5FE9" w:rsidRDefault="00E67B15" w:rsidP="00880745">
      <w:pPr>
        <w:pStyle w:val="BodyTextMain"/>
        <w:rPr>
          <w:lang w:val="en-GB"/>
        </w:rPr>
      </w:pPr>
    </w:p>
    <w:p w14:paraId="46640574" w14:textId="30BFAD50" w:rsidR="00E67B15" w:rsidRPr="004E5FE9" w:rsidRDefault="00E67B15" w:rsidP="00880745">
      <w:pPr>
        <w:pStyle w:val="BodyTextMain"/>
        <w:rPr>
          <w:lang w:val="en-GB"/>
        </w:rPr>
      </w:pPr>
      <w:r w:rsidRPr="004E5FE9">
        <w:rPr>
          <w:lang w:val="en-GB"/>
        </w:rPr>
        <w:t>The management team at Groupon India wanted to revamp the company’s business model</w:t>
      </w:r>
      <w:r w:rsidR="00153FB1" w:rsidRPr="004E5FE9">
        <w:rPr>
          <w:lang w:val="en-GB"/>
        </w:rPr>
        <w:t>,</w:t>
      </w:r>
      <w:r w:rsidRPr="004E5FE9">
        <w:rPr>
          <w:lang w:val="en-GB"/>
        </w:rPr>
        <w:t xml:space="preserve"> as they </w:t>
      </w:r>
      <w:r w:rsidR="00F71366" w:rsidRPr="004E5FE9">
        <w:rPr>
          <w:lang w:val="en-GB"/>
        </w:rPr>
        <w:t>recognized</w:t>
      </w:r>
      <w:r w:rsidR="007A3CCB">
        <w:rPr>
          <w:lang w:val="en-GB"/>
        </w:rPr>
        <w:t xml:space="preserve"> a</w:t>
      </w:r>
      <w:r w:rsidRPr="004E5FE9">
        <w:rPr>
          <w:lang w:val="en-GB"/>
        </w:rPr>
        <w:t xml:space="preserve"> huge potential in India </w:t>
      </w:r>
      <w:r w:rsidR="00F71366" w:rsidRPr="004E5FE9">
        <w:rPr>
          <w:lang w:val="en-GB"/>
        </w:rPr>
        <w:t>for</w:t>
      </w:r>
      <w:r w:rsidRPr="004E5FE9">
        <w:rPr>
          <w:lang w:val="en-GB"/>
        </w:rPr>
        <w:t xml:space="preserve"> creating an online marketplace </w:t>
      </w:r>
      <w:r w:rsidR="00F1375E" w:rsidRPr="004E5FE9">
        <w:rPr>
          <w:lang w:val="en-GB"/>
        </w:rPr>
        <w:t>to</w:t>
      </w:r>
      <w:r w:rsidRPr="004E5FE9">
        <w:rPr>
          <w:lang w:val="en-GB"/>
        </w:rPr>
        <w:t xml:space="preserve"> </w:t>
      </w:r>
      <w:r w:rsidR="00F71366" w:rsidRPr="004E5FE9">
        <w:rPr>
          <w:lang w:val="en-GB"/>
        </w:rPr>
        <w:t xml:space="preserve">offer </w:t>
      </w:r>
      <w:r w:rsidRPr="004E5FE9">
        <w:rPr>
          <w:lang w:val="en-GB"/>
        </w:rPr>
        <w:t>offline services through tie-ups with different merchants</w:t>
      </w:r>
      <w:r w:rsidR="00F71366" w:rsidRPr="004E5FE9">
        <w:rPr>
          <w:lang w:val="en-GB"/>
        </w:rPr>
        <w:t>, something</w:t>
      </w:r>
      <w:r w:rsidRPr="004E5FE9">
        <w:rPr>
          <w:lang w:val="en-GB"/>
        </w:rPr>
        <w:t xml:space="preserve"> </w:t>
      </w:r>
      <w:r w:rsidR="00F71366" w:rsidRPr="004E5FE9">
        <w:rPr>
          <w:lang w:val="en-GB"/>
        </w:rPr>
        <w:t>t</w:t>
      </w:r>
      <w:r w:rsidRPr="004E5FE9">
        <w:rPr>
          <w:lang w:val="en-GB"/>
        </w:rPr>
        <w:t xml:space="preserve">hey were not </w:t>
      </w:r>
      <w:r w:rsidR="00F71366" w:rsidRPr="004E5FE9">
        <w:rPr>
          <w:lang w:val="en-GB"/>
        </w:rPr>
        <w:t xml:space="preserve">yet </w:t>
      </w:r>
      <w:r w:rsidRPr="004E5FE9">
        <w:rPr>
          <w:lang w:val="en-GB"/>
        </w:rPr>
        <w:t xml:space="preserve">able to do </w:t>
      </w:r>
      <w:r w:rsidR="00153FB1" w:rsidRPr="004E5FE9">
        <w:rPr>
          <w:lang w:val="en-GB"/>
        </w:rPr>
        <w:t>because</w:t>
      </w:r>
      <w:r w:rsidRPr="004E5FE9">
        <w:rPr>
          <w:lang w:val="en-GB"/>
        </w:rPr>
        <w:t xml:space="preserve"> they were bound by the </w:t>
      </w:r>
      <w:r w:rsidR="00F71366" w:rsidRPr="004E5FE9">
        <w:rPr>
          <w:lang w:val="en-GB"/>
        </w:rPr>
        <w:t xml:space="preserve">parent company’s </w:t>
      </w:r>
      <w:r w:rsidRPr="004E5FE9">
        <w:rPr>
          <w:lang w:val="en-GB"/>
        </w:rPr>
        <w:t>strategies</w:t>
      </w:r>
      <w:r w:rsidR="00F71366" w:rsidRPr="004E5FE9">
        <w:rPr>
          <w:lang w:val="en-GB"/>
        </w:rPr>
        <w:t>,</w:t>
      </w:r>
      <w:r w:rsidRPr="004E5FE9">
        <w:rPr>
          <w:lang w:val="en-GB"/>
        </w:rPr>
        <w:t xml:space="preserve"> which </w:t>
      </w:r>
      <w:r w:rsidR="00F1375E" w:rsidRPr="004E5FE9">
        <w:rPr>
          <w:lang w:val="en-GB"/>
        </w:rPr>
        <w:t xml:space="preserve">mainly </w:t>
      </w:r>
      <w:r w:rsidRPr="004E5FE9">
        <w:rPr>
          <w:lang w:val="en-GB"/>
        </w:rPr>
        <w:t>revolved around selling deals online.</w:t>
      </w:r>
    </w:p>
    <w:p w14:paraId="063213BA" w14:textId="77777777" w:rsidR="00E67B15" w:rsidRPr="004E5FE9" w:rsidRDefault="00E67B15" w:rsidP="00880745">
      <w:pPr>
        <w:pStyle w:val="BodyTextMain"/>
        <w:rPr>
          <w:lang w:val="en-GB"/>
        </w:rPr>
      </w:pPr>
    </w:p>
    <w:p w14:paraId="4A2B7F37" w14:textId="5DE8EC2A" w:rsidR="00E67B15" w:rsidRPr="004E5FE9" w:rsidRDefault="00E67B15" w:rsidP="00880745">
      <w:pPr>
        <w:pStyle w:val="BodyTextMain"/>
        <w:rPr>
          <w:lang w:val="en-GB"/>
        </w:rPr>
      </w:pPr>
      <w:r w:rsidRPr="004E5FE9">
        <w:rPr>
          <w:lang w:val="en-GB"/>
        </w:rPr>
        <w:t xml:space="preserve">The team </w:t>
      </w:r>
      <w:r w:rsidR="00F71366" w:rsidRPr="004E5FE9">
        <w:rPr>
          <w:lang w:val="en-GB"/>
        </w:rPr>
        <w:t xml:space="preserve">had </w:t>
      </w:r>
      <w:r w:rsidRPr="004E5FE9">
        <w:rPr>
          <w:lang w:val="en-GB"/>
        </w:rPr>
        <w:t>proposed a management buyout to Groupon</w:t>
      </w:r>
      <w:r w:rsidR="00F71366" w:rsidRPr="004E5FE9">
        <w:rPr>
          <w:lang w:val="en-GB"/>
        </w:rPr>
        <w:t xml:space="preserve"> Inc. in the United States, which</w:t>
      </w:r>
      <w:r w:rsidRPr="004E5FE9">
        <w:rPr>
          <w:lang w:val="en-GB"/>
        </w:rPr>
        <w:t xml:space="preserve"> </w:t>
      </w:r>
      <w:r w:rsidR="00F71366" w:rsidRPr="004E5FE9">
        <w:rPr>
          <w:lang w:val="en-GB"/>
        </w:rPr>
        <w:t>t</w:t>
      </w:r>
      <w:r w:rsidRPr="004E5FE9">
        <w:rPr>
          <w:lang w:val="en-GB"/>
        </w:rPr>
        <w:t>he parent company had agreed to</w:t>
      </w:r>
      <w:r w:rsidR="008B13D4">
        <w:rPr>
          <w:lang w:val="en-GB"/>
        </w:rPr>
        <w:t>,</w:t>
      </w:r>
      <w:r w:rsidRPr="004E5FE9">
        <w:rPr>
          <w:lang w:val="en-GB"/>
        </w:rPr>
        <w:t xml:space="preserve"> contingent </w:t>
      </w:r>
      <w:r w:rsidR="00F71366" w:rsidRPr="004E5FE9">
        <w:rPr>
          <w:lang w:val="en-GB"/>
        </w:rPr>
        <w:t>on</w:t>
      </w:r>
      <w:r w:rsidRPr="004E5FE9">
        <w:rPr>
          <w:lang w:val="en-GB"/>
        </w:rPr>
        <w:t xml:space="preserve"> the Indian arm finding an investor for the company. The team had </w:t>
      </w:r>
      <w:r w:rsidR="00F71366" w:rsidRPr="004E5FE9">
        <w:rPr>
          <w:lang w:val="en-GB"/>
        </w:rPr>
        <w:t xml:space="preserve">thus </w:t>
      </w:r>
      <w:r w:rsidRPr="004E5FE9">
        <w:rPr>
          <w:lang w:val="en-GB"/>
        </w:rPr>
        <w:t>pitched the proposal to Sequoia.</w:t>
      </w:r>
    </w:p>
    <w:p w14:paraId="01BC471D" w14:textId="77777777" w:rsidR="00E67B15" w:rsidRPr="004E5FE9" w:rsidRDefault="00E67B15" w:rsidP="00880745">
      <w:pPr>
        <w:pStyle w:val="BodyTextMain"/>
        <w:rPr>
          <w:lang w:val="en-GB"/>
        </w:rPr>
      </w:pPr>
    </w:p>
    <w:p w14:paraId="2F00C6C1" w14:textId="77777777" w:rsidR="00E67B15" w:rsidRPr="004E5FE9" w:rsidRDefault="00E67B15" w:rsidP="00880745">
      <w:pPr>
        <w:pStyle w:val="BodyTextMain"/>
        <w:rPr>
          <w:lang w:val="en-GB"/>
        </w:rPr>
      </w:pPr>
    </w:p>
    <w:p w14:paraId="4BD59BD4" w14:textId="77777777" w:rsidR="00E67B15" w:rsidRPr="004E5FE9" w:rsidRDefault="00E67B15" w:rsidP="00880745">
      <w:pPr>
        <w:pStyle w:val="Casehead1"/>
        <w:rPr>
          <w:lang w:val="en-GB"/>
        </w:rPr>
      </w:pPr>
      <w:r w:rsidRPr="004E5FE9">
        <w:rPr>
          <w:lang w:val="en-GB"/>
        </w:rPr>
        <w:t>Groupon Inc.</w:t>
      </w:r>
      <w:r w:rsidR="007D5610" w:rsidRPr="004E5FE9">
        <w:rPr>
          <w:lang w:val="en-GB"/>
        </w:rPr>
        <w:t>’s</w:t>
      </w:r>
      <w:r w:rsidRPr="004E5FE9">
        <w:rPr>
          <w:lang w:val="en-GB"/>
        </w:rPr>
        <w:t xml:space="preserve"> Foray into the Indian Market</w:t>
      </w:r>
    </w:p>
    <w:p w14:paraId="5CC7E9F5" w14:textId="77777777" w:rsidR="00E67B15" w:rsidRPr="004E5FE9" w:rsidRDefault="00E67B15" w:rsidP="00880745">
      <w:pPr>
        <w:pStyle w:val="BodyTextMain"/>
        <w:rPr>
          <w:lang w:val="en-GB"/>
        </w:rPr>
      </w:pPr>
    </w:p>
    <w:p w14:paraId="20807A83" w14:textId="51BCE641" w:rsidR="00E67B15" w:rsidRPr="004C4863" w:rsidRDefault="00E67B15" w:rsidP="004C4863">
      <w:pPr>
        <w:pStyle w:val="BodyTextMain"/>
      </w:pPr>
      <w:r w:rsidRPr="004E5FE9">
        <w:rPr>
          <w:lang w:val="en-GB"/>
        </w:rPr>
        <w:t xml:space="preserve">Groupon Inc. operated online local commerce marketplaces </w:t>
      </w:r>
      <w:r w:rsidR="00153FB1" w:rsidRPr="004E5FE9">
        <w:rPr>
          <w:lang w:val="en-GB"/>
        </w:rPr>
        <w:t xml:space="preserve">worldwide </w:t>
      </w:r>
      <w:r w:rsidRPr="004E5FE9">
        <w:rPr>
          <w:lang w:val="en-GB"/>
        </w:rPr>
        <w:t>that connected merchants to consumers by offering goods and services at a discount</w:t>
      </w:r>
      <w:r w:rsidR="007D5610" w:rsidRPr="004E5FE9">
        <w:rPr>
          <w:lang w:val="en-GB"/>
        </w:rPr>
        <w:t>ed rate</w:t>
      </w:r>
      <w:r w:rsidRPr="004E5FE9">
        <w:rPr>
          <w:lang w:val="en-GB"/>
        </w:rPr>
        <w:t>.</w:t>
      </w:r>
      <w:r w:rsidRPr="008B13D4">
        <w:rPr>
          <w:rStyle w:val="FootnoteReference"/>
          <w:lang w:val="en-GB"/>
        </w:rPr>
        <w:footnoteReference w:id="1"/>
      </w:r>
      <w:r w:rsidR="007D5610" w:rsidRPr="004E5FE9">
        <w:rPr>
          <w:lang w:val="en-GB"/>
        </w:rPr>
        <w:t xml:space="preserve"> </w:t>
      </w:r>
      <w:r w:rsidRPr="004E5FE9">
        <w:rPr>
          <w:lang w:val="en-GB"/>
        </w:rPr>
        <w:t>Groupon entered India in January 2011 by</w:t>
      </w:r>
      <w:r w:rsidRPr="004E5FE9">
        <w:rPr>
          <w:shd w:val="clear" w:color="auto" w:fill="FFFFFF"/>
          <w:lang w:val="en-GB"/>
        </w:rPr>
        <w:t xml:space="preserve"> </w:t>
      </w:r>
      <w:r w:rsidRPr="004C4863">
        <w:lastRenderedPageBreak/>
        <w:t>buying Sosasta.com</w:t>
      </w:r>
      <w:r w:rsidR="007D5610" w:rsidRPr="004C4863">
        <w:t>,</w:t>
      </w:r>
      <w:r w:rsidRPr="004C4863">
        <w:rPr>
          <w:rStyle w:val="FootnoteReference"/>
        </w:rPr>
        <w:footnoteReference w:id="2"/>
      </w:r>
      <w:r w:rsidRPr="004C4863">
        <w:t xml:space="preserve"> which operated as a discount deal start</w:t>
      </w:r>
      <w:r w:rsidR="007D5610" w:rsidRPr="004C4863">
        <w:t>-</w:t>
      </w:r>
      <w:r w:rsidRPr="004C4863">
        <w:t xml:space="preserve">up. It was rebranded as </w:t>
      </w:r>
      <w:proofErr w:type="spellStart"/>
      <w:r w:rsidRPr="004C4863">
        <w:t>Crazeal</w:t>
      </w:r>
      <w:proofErr w:type="spellEnd"/>
      <w:r w:rsidRPr="004C4863">
        <w:t xml:space="preserve"> in August 2011 </w:t>
      </w:r>
      <w:r w:rsidR="007D5610" w:rsidRPr="004C4863">
        <w:t>because</w:t>
      </w:r>
      <w:r w:rsidRPr="004C4863">
        <w:t xml:space="preserve"> it was believed that</w:t>
      </w:r>
      <w:r w:rsidR="006D56AB" w:rsidRPr="004C4863">
        <w:t xml:space="preserve"> </w:t>
      </w:r>
      <w:proofErr w:type="spellStart"/>
      <w:r w:rsidR="006D56AB" w:rsidRPr="004C4863">
        <w:t>Sosasta</w:t>
      </w:r>
      <w:proofErr w:type="spellEnd"/>
      <w:r w:rsidR="006D56AB" w:rsidRPr="004C4863">
        <w:t xml:space="preserve"> was too close to</w:t>
      </w:r>
      <w:r w:rsidRPr="004C4863">
        <w:t xml:space="preserve"> </w:t>
      </w:r>
      <w:proofErr w:type="spellStart"/>
      <w:r w:rsidRPr="004C4863">
        <w:t>sasta</w:t>
      </w:r>
      <w:proofErr w:type="spellEnd"/>
      <w:r w:rsidRPr="004C4863">
        <w:t xml:space="preserve"> </w:t>
      </w:r>
      <w:r w:rsidR="007D5610" w:rsidRPr="004C4863">
        <w:t>(</w:t>
      </w:r>
      <w:r w:rsidRPr="004C4863">
        <w:t xml:space="preserve">meaning </w:t>
      </w:r>
      <w:r w:rsidR="007A3CCB">
        <w:t>‘</w:t>
      </w:r>
      <w:r w:rsidRPr="004C4863">
        <w:t>cheap</w:t>
      </w:r>
      <w:r w:rsidR="007A3CCB">
        <w:t>’</w:t>
      </w:r>
      <w:r w:rsidRPr="004C4863">
        <w:t xml:space="preserve"> in </w:t>
      </w:r>
      <w:r w:rsidR="007D5610" w:rsidRPr="004C4863">
        <w:t xml:space="preserve">the </w:t>
      </w:r>
      <w:r w:rsidRPr="004C4863">
        <w:t>Hindi</w:t>
      </w:r>
      <w:r w:rsidR="007D5610" w:rsidRPr="004C4863">
        <w:t xml:space="preserve"> language</w:t>
      </w:r>
      <w:r w:rsidRPr="004C4863">
        <w:t>)</w:t>
      </w:r>
      <w:r w:rsidR="006D56AB" w:rsidRPr="004C4863">
        <w:t>,</w:t>
      </w:r>
      <w:r w:rsidRPr="004C4863">
        <w:t xml:space="preserve"> </w:t>
      </w:r>
      <w:r w:rsidR="006D56AB" w:rsidRPr="004C4863">
        <w:t xml:space="preserve">and </w:t>
      </w:r>
      <w:r w:rsidRPr="004C4863">
        <w:t xml:space="preserve">may </w:t>
      </w:r>
      <w:r w:rsidR="007D5610" w:rsidRPr="004C4863">
        <w:t xml:space="preserve">have </w:t>
      </w:r>
      <w:r w:rsidRPr="004C4863">
        <w:t>be</w:t>
      </w:r>
      <w:r w:rsidR="007D5610" w:rsidRPr="004C4863">
        <w:t>en</w:t>
      </w:r>
      <w:r w:rsidRPr="004C4863">
        <w:t xml:space="preserve"> giving </w:t>
      </w:r>
      <w:r w:rsidR="007D5610" w:rsidRPr="004C4863">
        <w:t>the</w:t>
      </w:r>
      <w:r w:rsidRPr="004C4863">
        <w:t xml:space="preserve"> wrong impression to prospective customers.</w:t>
      </w:r>
      <w:r w:rsidR="007D5610" w:rsidRPr="004C4863">
        <w:t xml:space="preserve"> </w:t>
      </w:r>
      <w:proofErr w:type="spellStart"/>
      <w:r w:rsidRPr="004C4863">
        <w:t>Warikoo</w:t>
      </w:r>
      <w:proofErr w:type="spellEnd"/>
      <w:r w:rsidRPr="004C4863">
        <w:t xml:space="preserve"> was appointed CEO of </w:t>
      </w:r>
      <w:proofErr w:type="spellStart"/>
      <w:r w:rsidRPr="004C4863">
        <w:t>Crazeal</w:t>
      </w:r>
      <w:proofErr w:type="spellEnd"/>
      <w:r w:rsidRPr="004C4863">
        <w:t xml:space="preserve"> in 2011</w:t>
      </w:r>
      <w:r w:rsidR="007D5610" w:rsidRPr="004C4863">
        <w:t>,</w:t>
      </w:r>
      <w:r w:rsidRPr="004C4863">
        <w:t xml:space="preserve"> </w:t>
      </w:r>
      <w:r w:rsidR="00F1375E" w:rsidRPr="004C4863">
        <w:t>when</w:t>
      </w:r>
      <w:r w:rsidRPr="004C4863">
        <w:t xml:space="preserve"> </w:t>
      </w:r>
      <w:proofErr w:type="spellStart"/>
      <w:r w:rsidR="00F1375E" w:rsidRPr="004C4863">
        <w:t>Crazeal’s</w:t>
      </w:r>
      <w:proofErr w:type="spellEnd"/>
      <w:r w:rsidRPr="004C4863">
        <w:t xml:space="preserve"> management</w:t>
      </w:r>
      <w:r w:rsidR="007D5610" w:rsidRPr="004C4863">
        <w:t xml:space="preserve"> team</w:t>
      </w:r>
      <w:r w:rsidRPr="004C4863">
        <w:t xml:space="preserve"> was </w:t>
      </w:r>
      <w:r w:rsidR="007D5610" w:rsidRPr="004C4863">
        <w:t xml:space="preserve">also </w:t>
      </w:r>
      <w:r w:rsidRPr="004C4863">
        <w:t xml:space="preserve">revamped </w:t>
      </w:r>
      <w:r w:rsidR="007D5610" w:rsidRPr="004C4863">
        <w:t>to reflect</w:t>
      </w:r>
      <w:r w:rsidRPr="004C4863">
        <w:t xml:space="preserve"> the </w:t>
      </w:r>
      <w:r w:rsidR="00153FB1" w:rsidRPr="004C4863">
        <w:t>2015 structure</w:t>
      </w:r>
      <w:r w:rsidR="007D5610" w:rsidRPr="004C4863">
        <w:t xml:space="preserve"> mentioned</w:t>
      </w:r>
      <w:r w:rsidR="00153FB1" w:rsidRPr="004C4863">
        <w:t xml:space="preserve"> above</w:t>
      </w:r>
      <w:r w:rsidRPr="004C4863">
        <w:t>.</w:t>
      </w:r>
    </w:p>
    <w:p w14:paraId="7BE8AE68" w14:textId="77777777" w:rsidR="00E67B15" w:rsidRPr="004C4863" w:rsidRDefault="00E67B15" w:rsidP="004C4863">
      <w:pPr>
        <w:pStyle w:val="BodyTextMain"/>
      </w:pPr>
    </w:p>
    <w:p w14:paraId="2877BC2D" w14:textId="4082910C" w:rsidR="00E67B15" w:rsidRPr="004C4863" w:rsidRDefault="00E67B15" w:rsidP="004C4863">
      <w:pPr>
        <w:pStyle w:val="BodyTextMain"/>
      </w:pPr>
      <w:r w:rsidRPr="004C4863">
        <w:t xml:space="preserve">In November 2012, </w:t>
      </w:r>
      <w:proofErr w:type="spellStart"/>
      <w:r w:rsidRPr="004C4863">
        <w:t>Crazeal</w:t>
      </w:r>
      <w:proofErr w:type="spellEnd"/>
      <w:r w:rsidRPr="004C4863">
        <w:t xml:space="preserve"> was rebranded as Groupon India to take advantage of the Groupon brand name. At th</w:t>
      </w:r>
      <w:r w:rsidR="007D5610" w:rsidRPr="004C4863">
        <w:t>at</w:t>
      </w:r>
      <w:r w:rsidRPr="004C4863">
        <w:t xml:space="preserve"> time, the </w:t>
      </w:r>
      <w:proofErr w:type="spellStart"/>
      <w:r w:rsidRPr="004C4863">
        <w:t>Crazeal</w:t>
      </w:r>
      <w:proofErr w:type="spellEnd"/>
      <w:r w:rsidRPr="004C4863">
        <w:t xml:space="preserve"> website featured deals from 400</w:t>
      </w:r>
      <w:r w:rsidR="007D5610" w:rsidRPr="004C4863">
        <w:t>–</w:t>
      </w:r>
      <w:r w:rsidRPr="004C4863">
        <w:t>500 merchants every month and sold a voucher every 33 seconds</w:t>
      </w:r>
      <w:r w:rsidR="007D5610" w:rsidRPr="004C4863">
        <w:t>.</w:t>
      </w:r>
      <w:r w:rsidRPr="004C4863">
        <w:rPr>
          <w:rStyle w:val="FootnoteReference"/>
        </w:rPr>
        <w:footnoteReference w:id="3"/>
      </w:r>
    </w:p>
    <w:p w14:paraId="147ACF82" w14:textId="77777777" w:rsidR="00E67B15" w:rsidRPr="004C4863" w:rsidRDefault="00E67B15" w:rsidP="004C4863">
      <w:pPr>
        <w:pStyle w:val="BodyTextMain"/>
      </w:pPr>
    </w:p>
    <w:p w14:paraId="46777ACE" w14:textId="13108AC1" w:rsidR="00E67B15" w:rsidRPr="004C4863" w:rsidRDefault="00E67B15" w:rsidP="004C4863">
      <w:pPr>
        <w:pStyle w:val="BodyTextMain"/>
      </w:pPr>
      <w:r w:rsidRPr="004C4863">
        <w:t xml:space="preserve">Groupon India followed the same business model as that of </w:t>
      </w:r>
      <w:r w:rsidR="007D5610" w:rsidRPr="004C4863">
        <w:t>its</w:t>
      </w:r>
      <w:r w:rsidRPr="004C4863">
        <w:t xml:space="preserve"> parent company</w:t>
      </w:r>
      <w:r w:rsidR="007D5610" w:rsidRPr="004C4863">
        <w:t xml:space="preserve"> in the United States</w:t>
      </w:r>
      <w:r w:rsidRPr="004C4863">
        <w:t xml:space="preserve">. The parent company operated </w:t>
      </w:r>
      <w:r w:rsidR="00153FB1" w:rsidRPr="004C4863">
        <w:t xml:space="preserve">in </w:t>
      </w:r>
      <w:r w:rsidRPr="004C4863">
        <w:t>three segments: North America, which represented the United States and Canada; EMEA, which consisted of Europe, the Middle East</w:t>
      </w:r>
      <w:r w:rsidR="00153FB1" w:rsidRPr="004C4863">
        <w:t>,</w:t>
      </w:r>
      <w:r w:rsidRPr="004C4863">
        <w:t xml:space="preserve"> and Africa</w:t>
      </w:r>
      <w:r w:rsidR="00677D99" w:rsidRPr="004C4863">
        <w:t>;</w:t>
      </w:r>
      <w:r w:rsidRPr="004C4863">
        <w:t xml:space="preserve"> and </w:t>
      </w:r>
      <w:r w:rsidR="00153FB1" w:rsidRPr="004C4863">
        <w:t xml:space="preserve">ROW </w:t>
      </w:r>
      <w:r w:rsidR="00FB01B9" w:rsidRPr="004C4863">
        <w:t>(</w:t>
      </w:r>
      <w:r w:rsidRPr="004C4863">
        <w:t>Rest of World)</w:t>
      </w:r>
      <w:r w:rsidR="00FB01B9" w:rsidRPr="004C4863">
        <w:t>, its international operations</w:t>
      </w:r>
      <w:r w:rsidRPr="004C4863">
        <w:t>. Groupon India was part of the R</w:t>
      </w:r>
      <w:r w:rsidR="00FB01B9" w:rsidRPr="004C4863">
        <w:t>OW</w:t>
      </w:r>
      <w:r w:rsidRPr="004C4863">
        <w:t xml:space="preserve"> segment. The </w:t>
      </w:r>
      <w:r w:rsidR="00677D99" w:rsidRPr="004C4863">
        <w:t>c</w:t>
      </w:r>
      <w:r w:rsidRPr="004C4863">
        <w:t xml:space="preserve">ompany offered deals on goods and services in three categories: </w:t>
      </w:r>
      <w:r w:rsidR="00153FB1" w:rsidRPr="004C4863">
        <w:t>l</w:t>
      </w:r>
      <w:r w:rsidRPr="004C4863">
        <w:t xml:space="preserve">ocal </w:t>
      </w:r>
      <w:r w:rsidR="00153FB1" w:rsidRPr="004C4863">
        <w:t>d</w:t>
      </w:r>
      <w:r w:rsidRPr="004C4863">
        <w:t>eals (</w:t>
      </w:r>
      <w:r w:rsidR="00677D99" w:rsidRPr="004C4863">
        <w:t>l</w:t>
      </w:r>
      <w:r w:rsidRPr="004C4863">
        <w:t xml:space="preserve">ocal), Groupon </w:t>
      </w:r>
      <w:r w:rsidR="00153FB1" w:rsidRPr="004C4863">
        <w:t>g</w:t>
      </w:r>
      <w:r w:rsidRPr="004C4863">
        <w:t>oods (</w:t>
      </w:r>
      <w:r w:rsidR="00677D99" w:rsidRPr="004C4863">
        <w:t>g</w:t>
      </w:r>
      <w:r w:rsidRPr="004C4863">
        <w:t>oods)</w:t>
      </w:r>
      <w:r w:rsidR="00FB01B9" w:rsidRPr="004C4863">
        <w:t>,</w:t>
      </w:r>
      <w:r w:rsidRPr="004C4863">
        <w:t xml:space="preserve"> and Groupon </w:t>
      </w:r>
      <w:r w:rsidR="00153FB1" w:rsidRPr="004C4863">
        <w:t>g</w:t>
      </w:r>
      <w:r w:rsidRPr="004C4863">
        <w:t>etaways (</w:t>
      </w:r>
      <w:r w:rsidR="00677D99" w:rsidRPr="004C4863">
        <w:t>t</w:t>
      </w:r>
      <w:r w:rsidRPr="004C4863">
        <w:t xml:space="preserve">ravel). </w:t>
      </w:r>
    </w:p>
    <w:p w14:paraId="70AEFCBC" w14:textId="77777777" w:rsidR="00E67B15" w:rsidRPr="004C4863" w:rsidRDefault="00E67B15" w:rsidP="004C4863">
      <w:pPr>
        <w:pStyle w:val="BodyTextMain"/>
      </w:pPr>
    </w:p>
    <w:p w14:paraId="0422B894" w14:textId="1E3638D0" w:rsidR="00E67B15" w:rsidRPr="004C4863" w:rsidRDefault="00E67B15" w:rsidP="004C4863">
      <w:pPr>
        <w:pStyle w:val="BodyTextMain"/>
      </w:pPr>
      <w:r w:rsidRPr="004C4863">
        <w:t>Under the local category, both local and national merchant deals were available under multiple subcategories. The subcategories were classified as food and drink, events and activities, beauty and spa, health and fitness, home and garden</w:t>
      </w:r>
      <w:r w:rsidR="00677D99" w:rsidRPr="004C4863">
        <w:t>,</w:t>
      </w:r>
      <w:r w:rsidRPr="004C4863">
        <w:t xml:space="preserve"> and automotive. Deals on different merchandise</w:t>
      </w:r>
      <w:r w:rsidR="00677D99" w:rsidRPr="004C4863">
        <w:t>,</w:t>
      </w:r>
      <w:r w:rsidRPr="004C4863">
        <w:t xml:space="preserve"> </w:t>
      </w:r>
      <w:r w:rsidR="00677D99" w:rsidRPr="004C4863">
        <w:t>such as</w:t>
      </w:r>
      <w:r w:rsidRPr="004C4863">
        <w:t xml:space="preserve"> electronic goods</w:t>
      </w:r>
      <w:r w:rsidR="00677D99" w:rsidRPr="004C4863">
        <w:t xml:space="preserve"> and</w:t>
      </w:r>
      <w:r w:rsidRPr="004C4863">
        <w:t xml:space="preserve"> household items</w:t>
      </w:r>
      <w:r w:rsidR="00677D99" w:rsidRPr="004C4863">
        <w:t>,</w:t>
      </w:r>
      <w:r w:rsidRPr="004C4863">
        <w:t xml:space="preserve"> were available under the goods category</w:t>
      </w:r>
      <w:r w:rsidR="00677D99" w:rsidRPr="004C4863">
        <w:t>, while</w:t>
      </w:r>
      <w:r w:rsidRPr="004C4863">
        <w:t xml:space="preserve"> </w:t>
      </w:r>
      <w:r w:rsidR="00677D99" w:rsidRPr="004C4863">
        <w:t>b</w:t>
      </w:r>
      <w:r w:rsidRPr="004C4863">
        <w:t xml:space="preserve">oth international and domestic travel deals were available through </w:t>
      </w:r>
      <w:r w:rsidR="00677D99" w:rsidRPr="004C4863">
        <w:t>the</w:t>
      </w:r>
      <w:r w:rsidRPr="004C4863">
        <w:t xml:space="preserve"> </w:t>
      </w:r>
      <w:r w:rsidR="00677D99" w:rsidRPr="004C4863">
        <w:t>travel</w:t>
      </w:r>
      <w:r w:rsidRPr="004C4863">
        <w:t xml:space="preserve"> category (</w:t>
      </w:r>
      <w:r w:rsidR="00677D99" w:rsidRPr="004C4863">
        <w:t>see</w:t>
      </w:r>
      <w:r w:rsidRPr="004C4863">
        <w:t xml:space="preserve"> Exhibit 2)</w:t>
      </w:r>
      <w:r w:rsidR="00677D99" w:rsidRPr="004C4863">
        <w:t>.</w:t>
      </w:r>
      <w:r w:rsidR="007A3CCB" w:rsidRPr="004C4863">
        <w:rPr>
          <w:rStyle w:val="FootnoteReference"/>
        </w:rPr>
        <w:footnoteReference w:id="4"/>
      </w:r>
    </w:p>
    <w:p w14:paraId="430FB80B" w14:textId="77777777" w:rsidR="00E67B15" w:rsidRPr="004C4863" w:rsidRDefault="00E67B15" w:rsidP="004C4863">
      <w:pPr>
        <w:pStyle w:val="BodyTextMain"/>
      </w:pPr>
    </w:p>
    <w:p w14:paraId="4D145344" w14:textId="2FAA85BC" w:rsidR="00E67B15" w:rsidRPr="004C4863" w:rsidRDefault="00E67B15" w:rsidP="004C4863">
      <w:pPr>
        <w:pStyle w:val="BodyTextMain"/>
      </w:pPr>
      <w:r w:rsidRPr="004C4863">
        <w:t>The majority of the</w:t>
      </w:r>
      <w:r w:rsidR="00677D99" w:rsidRPr="004C4863">
        <w:t xml:space="preserve"> company’s</w:t>
      </w:r>
      <w:r w:rsidRPr="004C4863">
        <w:t xml:space="preserve"> revenue </w:t>
      </w:r>
      <w:r w:rsidR="008B13D4" w:rsidRPr="004C4863">
        <w:t xml:space="preserve">(more than 80 per cent) </w:t>
      </w:r>
      <w:r w:rsidRPr="004C4863">
        <w:t>came from North America</w:t>
      </w:r>
      <w:r w:rsidR="00FB01B9" w:rsidRPr="004C4863">
        <w:t>,</w:t>
      </w:r>
      <w:r w:rsidRPr="004C4863">
        <w:t xml:space="preserve"> with EMEA and ROW contributing the rest. Although Groupon India was one of the fastest</w:t>
      </w:r>
      <w:r w:rsidR="00A26BD1" w:rsidRPr="004C4863">
        <w:t>-</w:t>
      </w:r>
      <w:r w:rsidRPr="004C4863">
        <w:t xml:space="preserve">growing subsidiaries in the parent company’s portfolio, </w:t>
      </w:r>
      <w:r w:rsidR="00FB01B9" w:rsidRPr="004C4863">
        <w:t>its</w:t>
      </w:r>
      <w:r w:rsidRPr="004C4863">
        <w:t xml:space="preserve"> overall contribution was not substantial enough to </w:t>
      </w:r>
      <w:r w:rsidR="00FB01B9" w:rsidRPr="004C4863">
        <w:t>make it the</w:t>
      </w:r>
      <w:r w:rsidRPr="004C4863">
        <w:t xml:space="preserve"> prime focus </w:t>
      </w:r>
      <w:r w:rsidR="00FB01B9" w:rsidRPr="004C4863">
        <w:t>of</w:t>
      </w:r>
      <w:r w:rsidRPr="004C4863">
        <w:t xml:space="preserve"> the parent company. </w:t>
      </w:r>
    </w:p>
    <w:p w14:paraId="1FCB264E" w14:textId="77777777" w:rsidR="00E67B15" w:rsidRPr="007A3CCB" w:rsidRDefault="00E67B15" w:rsidP="007A3CCB">
      <w:pPr>
        <w:pStyle w:val="BodyTextMain"/>
      </w:pPr>
    </w:p>
    <w:p w14:paraId="4F894691" w14:textId="77777777" w:rsidR="00E67B15" w:rsidRPr="007A3CCB" w:rsidRDefault="00E67B15" w:rsidP="007A3CCB">
      <w:pPr>
        <w:pStyle w:val="BodyTextMain"/>
      </w:pPr>
    </w:p>
    <w:p w14:paraId="60650669" w14:textId="77777777" w:rsidR="00E67B15" w:rsidRPr="007A3CCB" w:rsidRDefault="00E67B15" w:rsidP="007A3CCB">
      <w:pPr>
        <w:pStyle w:val="Casehead1"/>
      </w:pPr>
      <w:r w:rsidRPr="007A3CCB">
        <w:t>Challenges faced by Groupon India</w:t>
      </w:r>
    </w:p>
    <w:p w14:paraId="1EB3CCE7" w14:textId="77777777" w:rsidR="00E67B15" w:rsidRPr="007A3CCB" w:rsidRDefault="00E67B15" w:rsidP="007A3CCB">
      <w:pPr>
        <w:pStyle w:val="BodyTextMain"/>
      </w:pPr>
    </w:p>
    <w:p w14:paraId="72C87CD3" w14:textId="4E58D77E" w:rsidR="00E67B15" w:rsidRPr="004C4863" w:rsidRDefault="00E67B15" w:rsidP="004C4863">
      <w:pPr>
        <w:pStyle w:val="BodyTextMain"/>
      </w:pPr>
      <w:r w:rsidRPr="004C4863">
        <w:t xml:space="preserve">Groupon India faced </w:t>
      </w:r>
      <w:r w:rsidR="00FB01B9" w:rsidRPr="004C4863">
        <w:t>many</w:t>
      </w:r>
      <w:r w:rsidRPr="004C4863">
        <w:t xml:space="preserve"> challenges </w:t>
      </w:r>
      <w:r w:rsidR="00DE27DB" w:rsidRPr="004C4863">
        <w:t>related to</w:t>
      </w:r>
      <w:r w:rsidRPr="004C4863">
        <w:t xml:space="preserve"> technology</w:t>
      </w:r>
      <w:r w:rsidR="00DE27DB" w:rsidRPr="004C4863">
        <w:t>,</w:t>
      </w:r>
      <w:r w:rsidRPr="004C4863">
        <w:t xml:space="preserve"> project</w:t>
      </w:r>
      <w:r w:rsidR="002859FE" w:rsidRPr="004C4863">
        <w:t>s</w:t>
      </w:r>
      <w:r w:rsidRPr="004C4863">
        <w:t xml:space="preserve"> being centralized in </w:t>
      </w:r>
      <w:r w:rsidR="00FB01B9" w:rsidRPr="004C4863">
        <w:t>the United States</w:t>
      </w:r>
      <w:r w:rsidR="00DE27DB" w:rsidRPr="004C4863">
        <w:t>,</w:t>
      </w:r>
      <w:r w:rsidRPr="004C4863">
        <w:t xml:space="preserve"> and </w:t>
      </w:r>
      <w:r w:rsidR="00DE27DB" w:rsidRPr="004C4863">
        <w:t xml:space="preserve">meeting local requirements </w:t>
      </w:r>
      <w:r w:rsidR="00214362" w:rsidRPr="004C4863">
        <w:t>when</w:t>
      </w:r>
      <w:r w:rsidR="00DE27DB" w:rsidRPr="004C4863">
        <w:t xml:space="preserve"> </w:t>
      </w:r>
      <w:r w:rsidRPr="004C4863">
        <w:t>customi</w:t>
      </w:r>
      <w:r w:rsidR="00153FB1" w:rsidRPr="004C4863">
        <w:t>z</w:t>
      </w:r>
      <w:r w:rsidRPr="004C4863">
        <w:t xml:space="preserve">ing </w:t>
      </w:r>
      <w:r w:rsidR="00FB01B9" w:rsidRPr="004C4863">
        <w:t>its</w:t>
      </w:r>
      <w:r w:rsidRPr="004C4863">
        <w:t xml:space="preserve"> services. </w:t>
      </w:r>
    </w:p>
    <w:p w14:paraId="1069B2BA" w14:textId="77777777" w:rsidR="00E67B15" w:rsidRPr="004C4863" w:rsidRDefault="00E67B15" w:rsidP="004C4863">
      <w:pPr>
        <w:pStyle w:val="BodyTextMain"/>
      </w:pPr>
    </w:p>
    <w:p w14:paraId="41FA37A7" w14:textId="17F46F6B" w:rsidR="00E67B15" w:rsidRPr="004C4863" w:rsidRDefault="00E67B15" w:rsidP="004C4863">
      <w:pPr>
        <w:pStyle w:val="BodyTextMain"/>
      </w:pPr>
      <w:r w:rsidRPr="004C4863">
        <w:t>The business model</w:t>
      </w:r>
      <w:r w:rsidR="00A26BD1" w:rsidRPr="004C4863">
        <w:t>, which</w:t>
      </w:r>
      <w:r w:rsidRPr="004C4863">
        <w:t xml:space="preserve"> relied </w:t>
      </w:r>
      <w:r w:rsidR="004A74FC" w:rsidRPr="004C4863">
        <w:t>heavily</w:t>
      </w:r>
      <w:r w:rsidRPr="004C4863">
        <w:t xml:space="preserve"> on merchants offering deep discounts and holding flash sales</w:t>
      </w:r>
      <w:r w:rsidR="002859FE" w:rsidRPr="004C4863">
        <w:t>,</w:t>
      </w:r>
      <w:r w:rsidRPr="004C4863">
        <w:t xml:space="preserve"> </w:t>
      </w:r>
      <w:r w:rsidR="00214362" w:rsidRPr="004C4863">
        <w:t xml:space="preserve">was </w:t>
      </w:r>
      <w:r w:rsidRPr="004C4863">
        <w:t>not working for many reput</w:t>
      </w:r>
      <w:r w:rsidR="009642C6" w:rsidRPr="004C4863">
        <w:t>able</w:t>
      </w:r>
      <w:r w:rsidRPr="004C4863">
        <w:t xml:space="preserve"> merchants in India. For example, a flash sale </w:t>
      </w:r>
      <w:r w:rsidR="004A74FC" w:rsidRPr="004C4863">
        <w:t>offering a</w:t>
      </w:r>
      <w:r w:rsidRPr="004C4863">
        <w:t xml:space="preserve"> 65</w:t>
      </w:r>
      <w:r w:rsidR="004A74FC" w:rsidRPr="004C4863">
        <w:t xml:space="preserve"> per cent</w:t>
      </w:r>
      <w:r w:rsidRPr="004C4863">
        <w:t xml:space="preserve"> discount left only 24</w:t>
      </w:r>
      <w:r w:rsidR="004A74FC" w:rsidRPr="004C4863">
        <w:t xml:space="preserve"> per cent</w:t>
      </w:r>
      <w:r w:rsidRPr="004C4863">
        <w:t xml:space="preserve"> of the listed price with the merchant</w:t>
      </w:r>
      <w:r w:rsidR="002859FE" w:rsidRPr="004C4863">
        <w:t xml:space="preserve"> since</w:t>
      </w:r>
      <w:r w:rsidRPr="004C4863">
        <w:t xml:space="preserve"> Groupon</w:t>
      </w:r>
      <w:r w:rsidR="002859FE" w:rsidRPr="004C4863">
        <w:t xml:space="preserve"> Inc.</w:t>
      </w:r>
      <w:r w:rsidRPr="004C4863">
        <w:t xml:space="preserve"> typically charged 32</w:t>
      </w:r>
      <w:r w:rsidR="004A74FC" w:rsidRPr="004C4863">
        <w:t xml:space="preserve"> per cent</w:t>
      </w:r>
      <w:r w:rsidRPr="004C4863">
        <w:t xml:space="preserve"> commission on the discounted selling price </w:t>
      </w:r>
      <w:r w:rsidR="002859FE" w:rsidRPr="004C4863">
        <w:t>(a l</w:t>
      </w:r>
      <w:r w:rsidRPr="004C4863">
        <w:t xml:space="preserve">isted </w:t>
      </w:r>
      <w:r w:rsidR="002859FE" w:rsidRPr="004C4863">
        <w:t>p</w:t>
      </w:r>
      <w:r w:rsidRPr="004C4863">
        <w:t xml:space="preserve">rice </w:t>
      </w:r>
      <w:r w:rsidR="002859FE" w:rsidRPr="004C4863">
        <w:t xml:space="preserve">of </w:t>
      </w:r>
      <w:r w:rsidR="004A74FC" w:rsidRPr="004C4863">
        <w:rPr>
          <w:rFonts w:ascii="Tahoma" w:hAnsi="Tahoma" w:cs="Tahoma"/>
        </w:rPr>
        <w:t>₹</w:t>
      </w:r>
      <w:r w:rsidRPr="004C4863">
        <w:t>100</w:t>
      </w:r>
      <w:r w:rsidR="004A74FC" w:rsidRPr="004C4863">
        <w:rPr>
          <w:rStyle w:val="FootnoteReference"/>
        </w:rPr>
        <w:footnoteReference w:id="5"/>
      </w:r>
      <w:r w:rsidRPr="004C4863">
        <w:t xml:space="preserve"> </w:t>
      </w:r>
      <w:r w:rsidR="00B90CBE" w:rsidRPr="004C4863">
        <w:t xml:space="preserve">with a discount of 65 per cent </w:t>
      </w:r>
      <w:r w:rsidR="00DE27DB" w:rsidRPr="004C4863">
        <w:t>gave</w:t>
      </w:r>
      <w:r w:rsidR="00B90CBE" w:rsidRPr="004C4863">
        <w:t xml:space="preserve"> a </w:t>
      </w:r>
      <w:r w:rsidR="002859FE" w:rsidRPr="004C4863">
        <w:t>d</w:t>
      </w:r>
      <w:r w:rsidRPr="004C4863">
        <w:t xml:space="preserve">iscounted </w:t>
      </w:r>
      <w:r w:rsidR="002859FE" w:rsidRPr="004C4863">
        <w:t>p</w:t>
      </w:r>
      <w:r w:rsidRPr="004C4863">
        <w:t xml:space="preserve">rice to the consumer </w:t>
      </w:r>
      <w:r w:rsidR="00B90CBE" w:rsidRPr="004C4863">
        <w:t xml:space="preserve">of </w:t>
      </w:r>
      <w:r w:rsidR="004A74FC" w:rsidRPr="004C4863">
        <w:rPr>
          <w:rFonts w:ascii="Tahoma" w:hAnsi="Tahoma" w:cs="Tahoma"/>
        </w:rPr>
        <w:t>₹</w:t>
      </w:r>
      <w:r w:rsidRPr="004C4863">
        <w:t>35</w:t>
      </w:r>
      <w:r w:rsidR="00B90CBE" w:rsidRPr="004C4863">
        <w:t>;</w:t>
      </w:r>
      <w:r w:rsidRPr="004C4863">
        <w:t xml:space="preserve"> </w:t>
      </w:r>
      <w:r w:rsidR="002859FE" w:rsidRPr="004C4863">
        <w:t>Groupon Inc.’s c</w:t>
      </w:r>
      <w:r w:rsidRPr="004C4863">
        <w:t xml:space="preserve">ommission </w:t>
      </w:r>
      <w:r w:rsidR="00B90CBE" w:rsidRPr="004C4863">
        <w:t xml:space="preserve">of </w:t>
      </w:r>
      <w:r w:rsidRPr="004C4863">
        <w:t>32</w:t>
      </w:r>
      <w:r w:rsidR="002859FE" w:rsidRPr="004C4863">
        <w:t xml:space="preserve"> per cent</w:t>
      </w:r>
      <w:r w:rsidRPr="004C4863">
        <w:t xml:space="preserve"> </w:t>
      </w:r>
      <w:r w:rsidR="00B90CBE" w:rsidRPr="004C4863">
        <w:t xml:space="preserve">of this </w:t>
      </w:r>
      <w:r w:rsidR="00A26BD1" w:rsidRPr="004C4863">
        <w:t xml:space="preserve">amount </w:t>
      </w:r>
      <w:r w:rsidR="00B90CBE" w:rsidRPr="004C4863">
        <w:t>was</w:t>
      </w:r>
      <w:r w:rsidRPr="004C4863">
        <w:t xml:space="preserve"> </w:t>
      </w:r>
      <w:r w:rsidR="004A74FC" w:rsidRPr="004C4863">
        <w:rPr>
          <w:rFonts w:ascii="Tahoma" w:hAnsi="Tahoma" w:cs="Tahoma"/>
        </w:rPr>
        <w:t>₹</w:t>
      </w:r>
      <w:r w:rsidRPr="004C4863">
        <w:t xml:space="preserve">11, </w:t>
      </w:r>
      <w:r w:rsidR="002859FE" w:rsidRPr="004C4863">
        <w:t>leaving</w:t>
      </w:r>
      <w:r w:rsidRPr="004C4863">
        <w:t xml:space="preserve"> </w:t>
      </w:r>
      <w:r w:rsidR="004A74FC" w:rsidRPr="004C4863">
        <w:rPr>
          <w:rFonts w:ascii="Tahoma" w:hAnsi="Tahoma" w:cs="Tahoma"/>
        </w:rPr>
        <w:t>₹</w:t>
      </w:r>
      <w:r w:rsidRPr="004C4863">
        <w:t xml:space="preserve">24 </w:t>
      </w:r>
      <w:r w:rsidR="002859FE" w:rsidRPr="004C4863">
        <w:t xml:space="preserve">for </w:t>
      </w:r>
      <w:r w:rsidR="00B90CBE" w:rsidRPr="004C4863">
        <w:t>m</w:t>
      </w:r>
      <w:r w:rsidR="002859FE" w:rsidRPr="004C4863">
        <w:t>erchants</w:t>
      </w:r>
      <w:r w:rsidRPr="004C4863">
        <w:t xml:space="preserve">). </w:t>
      </w:r>
      <w:r w:rsidR="008B13D4" w:rsidRPr="004C4863">
        <w:t xml:space="preserve">This business model’s </w:t>
      </w:r>
      <w:r w:rsidR="00B90CBE" w:rsidRPr="004C4863">
        <w:t xml:space="preserve">disadvantage to merchants </w:t>
      </w:r>
      <w:r w:rsidRPr="004C4863">
        <w:t xml:space="preserve">made it difficult </w:t>
      </w:r>
      <w:r w:rsidR="00BD618F" w:rsidRPr="004C4863">
        <w:t xml:space="preserve">for Groupon India to </w:t>
      </w:r>
      <w:r w:rsidR="008B13D4" w:rsidRPr="004C4863">
        <w:t xml:space="preserve">attract new merchants </w:t>
      </w:r>
      <w:r w:rsidRPr="004C4863">
        <w:t xml:space="preserve">to </w:t>
      </w:r>
      <w:r w:rsidR="00BD618F" w:rsidRPr="004C4863">
        <w:t>its</w:t>
      </w:r>
      <w:r w:rsidRPr="004C4863">
        <w:t xml:space="preserve"> platform. For the parent company</w:t>
      </w:r>
      <w:r w:rsidR="00B90CBE" w:rsidRPr="004C4863">
        <w:t>’s</w:t>
      </w:r>
      <w:r w:rsidRPr="004C4863">
        <w:t xml:space="preserve"> model to be successful in India, it was imperative </w:t>
      </w:r>
      <w:r w:rsidR="00B90CBE" w:rsidRPr="004C4863">
        <w:t xml:space="preserve">for Groupon India </w:t>
      </w:r>
      <w:r w:rsidRPr="004C4863">
        <w:t>to continuously discover new merchants who were willing to offer deep discounts</w:t>
      </w:r>
      <w:r w:rsidR="00A26BD1" w:rsidRPr="004C4863">
        <w:t>,</w:t>
      </w:r>
      <w:r w:rsidRPr="004C4863">
        <w:t xml:space="preserve"> </w:t>
      </w:r>
      <w:r w:rsidR="00A26BD1" w:rsidRPr="004C4863">
        <w:t xml:space="preserve">but </w:t>
      </w:r>
      <w:r w:rsidR="005B38B0" w:rsidRPr="004C4863">
        <w:t>t</w:t>
      </w:r>
      <w:r w:rsidRPr="004C4863">
        <w:t xml:space="preserve">his was not happening in the Indian market. </w:t>
      </w:r>
      <w:r w:rsidR="008B13D4" w:rsidRPr="004C4863">
        <w:t>A</w:t>
      </w:r>
      <w:r w:rsidR="007D47F5" w:rsidRPr="004C4863">
        <w:t>lthough t</w:t>
      </w:r>
      <w:r w:rsidRPr="004C4863">
        <w:t>he company put a lot of effort in</w:t>
      </w:r>
      <w:r w:rsidR="00B90CBE" w:rsidRPr="004C4863">
        <w:t>to</w:t>
      </w:r>
      <w:r w:rsidRPr="004C4863">
        <w:t xml:space="preserve"> signing up new merchants</w:t>
      </w:r>
      <w:r w:rsidR="00B90CBE" w:rsidRPr="004C4863">
        <w:t xml:space="preserve">, </w:t>
      </w:r>
      <w:r w:rsidRPr="004C4863">
        <w:t xml:space="preserve">retaining </w:t>
      </w:r>
      <w:r w:rsidR="005B38B0" w:rsidRPr="004C4863">
        <w:t xml:space="preserve">even </w:t>
      </w:r>
      <w:r w:rsidR="008B13D4" w:rsidRPr="004C4863">
        <w:t xml:space="preserve">the </w:t>
      </w:r>
      <w:r w:rsidRPr="004C4863">
        <w:t>existing merchants was becoming a challenge.</w:t>
      </w:r>
    </w:p>
    <w:p w14:paraId="26868F2B" w14:textId="65A9A17E" w:rsidR="00E67B15" w:rsidRPr="004C4863" w:rsidRDefault="00E67B15" w:rsidP="004C4863">
      <w:pPr>
        <w:pStyle w:val="BodyTextMain"/>
      </w:pPr>
      <w:r w:rsidRPr="004C4863">
        <w:lastRenderedPageBreak/>
        <w:t>Groupon</w:t>
      </w:r>
      <w:r w:rsidR="007D47F5" w:rsidRPr="004C4863">
        <w:t xml:space="preserve"> Inc.</w:t>
      </w:r>
      <w:r w:rsidRPr="004C4863">
        <w:t xml:space="preserve"> had based its model on its understanding of consumers in </w:t>
      </w:r>
      <w:r w:rsidR="007D47F5" w:rsidRPr="004C4863">
        <w:t>the United States,</w:t>
      </w:r>
      <w:r w:rsidRPr="004C4863">
        <w:t xml:space="preserve"> but Groupon India reali</w:t>
      </w:r>
      <w:r w:rsidR="007D47F5" w:rsidRPr="004C4863">
        <w:t>z</w:t>
      </w:r>
      <w:r w:rsidRPr="004C4863">
        <w:t>ed that the demographics of c</w:t>
      </w:r>
      <w:r w:rsidR="00BD618F" w:rsidRPr="004C4863">
        <w:t>onsumers</w:t>
      </w:r>
      <w:r w:rsidRPr="004C4863">
        <w:t xml:space="preserve"> in India w</w:t>
      </w:r>
      <w:r w:rsidR="00BD618F" w:rsidRPr="004C4863">
        <w:t>ere</w:t>
      </w:r>
      <w:r w:rsidRPr="004C4863">
        <w:t xml:space="preserve"> different. Groupon India identified that around 60</w:t>
      </w:r>
      <w:r w:rsidR="00BD618F" w:rsidRPr="004C4863">
        <w:t xml:space="preserve"> per cent</w:t>
      </w:r>
      <w:r w:rsidRPr="004C4863">
        <w:t xml:space="preserve"> of purchasers on </w:t>
      </w:r>
      <w:r w:rsidR="00BD618F" w:rsidRPr="004C4863">
        <w:t>its</w:t>
      </w:r>
      <w:r w:rsidRPr="004C4863">
        <w:t xml:space="preserve"> website were male</w:t>
      </w:r>
      <w:r w:rsidR="00BD618F" w:rsidRPr="004C4863">
        <w:t>,</w:t>
      </w:r>
      <w:r w:rsidRPr="004C4863">
        <w:t xml:space="preserve"> unlike in the U</w:t>
      </w:r>
      <w:r w:rsidR="00BD618F" w:rsidRPr="004C4863">
        <w:t>.</w:t>
      </w:r>
      <w:r w:rsidRPr="004C4863">
        <w:t>S</w:t>
      </w:r>
      <w:r w:rsidR="00BD618F" w:rsidRPr="004C4863">
        <w:t>.</w:t>
      </w:r>
      <w:r w:rsidRPr="004C4863">
        <w:t xml:space="preserve"> market</w:t>
      </w:r>
      <w:r w:rsidR="00716AD0" w:rsidRPr="004C4863">
        <w:t xml:space="preserve"> where the majority of purchasers were female</w:t>
      </w:r>
      <w:r w:rsidRPr="004C4863">
        <w:t>. I</w:t>
      </w:r>
      <w:r w:rsidR="00BD618F" w:rsidRPr="004C4863">
        <w:t>t was further identified that, i</w:t>
      </w:r>
      <w:r w:rsidRPr="004C4863">
        <w:t xml:space="preserve">n India, college students were the </w:t>
      </w:r>
      <w:r w:rsidR="005B38B0" w:rsidRPr="004C4863">
        <w:t xml:space="preserve">primary customers </w:t>
      </w:r>
      <w:r w:rsidR="00214362" w:rsidRPr="004C4863">
        <w:t>purchasing</w:t>
      </w:r>
      <w:r w:rsidRPr="004C4863">
        <w:t xml:space="preserve"> deals on Groupon </w:t>
      </w:r>
      <w:r w:rsidR="00BD618F" w:rsidRPr="004C4863">
        <w:t xml:space="preserve">India’s </w:t>
      </w:r>
      <w:r w:rsidRPr="004C4863">
        <w:t>website</w:t>
      </w:r>
      <w:r w:rsidR="00BD618F" w:rsidRPr="004C4863">
        <w:t>;</w:t>
      </w:r>
      <w:r w:rsidRPr="004C4863">
        <w:t xml:space="preserve"> however</w:t>
      </w:r>
      <w:r w:rsidR="00BD618F" w:rsidRPr="004C4863">
        <w:t>,</w:t>
      </w:r>
      <w:r w:rsidRPr="004C4863">
        <w:t xml:space="preserve"> </w:t>
      </w:r>
      <w:r w:rsidR="00BD618F" w:rsidRPr="004C4863">
        <w:t>students</w:t>
      </w:r>
      <w:r w:rsidRPr="004C4863">
        <w:t xml:space="preserve"> were neither loyal nor had much purchasing power. Hence</w:t>
      </w:r>
      <w:r w:rsidR="00BD618F" w:rsidRPr="004C4863">
        <w:t>,</w:t>
      </w:r>
      <w:r w:rsidRPr="004C4863">
        <w:t xml:space="preserve"> customer retention was a major issue. </w:t>
      </w:r>
      <w:r w:rsidR="005B38B0" w:rsidRPr="004C4863">
        <w:t>Groupon India had few</w:t>
      </w:r>
      <w:r w:rsidRPr="004C4863">
        <w:t xml:space="preserve"> active customers </w:t>
      </w:r>
      <w:r w:rsidR="00074CC3" w:rsidRPr="004C4863">
        <w:t xml:space="preserve">because </w:t>
      </w:r>
      <w:r w:rsidR="005B38B0" w:rsidRPr="004C4863">
        <w:t xml:space="preserve">of merchants’ low </w:t>
      </w:r>
      <w:r w:rsidRPr="004C4863">
        <w:t xml:space="preserve">participation in offering deals. </w:t>
      </w:r>
      <w:r w:rsidR="00074CC3" w:rsidRPr="004C4863">
        <w:t>The</w:t>
      </w:r>
      <w:r w:rsidRPr="004C4863">
        <w:t xml:space="preserve"> team</w:t>
      </w:r>
      <w:r w:rsidR="00074CC3" w:rsidRPr="004C4863">
        <w:t xml:space="preserve"> at Groupon India thus concluded that</w:t>
      </w:r>
      <w:r w:rsidRPr="004C4863">
        <w:t xml:space="preserve"> duplicating the parent company’s strategy was </w:t>
      </w:r>
      <w:r w:rsidR="005B38B0" w:rsidRPr="004C4863">
        <w:t>in</w:t>
      </w:r>
      <w:r w:rsidRPr="004C4863">
        <w:t>effective locally.</w:t>
      </w:r>
    </w:p>
    <w:p w14:paraId="132F3E3D" w14:textId="77777777" w:rsidR="00E67B15" w:rsidRPr="004C4863" w:rsidRDefault="00E67B15" w:rsidP="004C4863">
      <w:pPr>
        <w:pStyle w:val="BodyTextMain"/>
      </w:pPr>
    </w:p>
    <w:p w14:paraId="167366EE" w14:textId="5826C857" w:rsidR="00E67B15" w:rsidRPr="004C4863" w:rsidRDefault="00E67B15" w:rsidP="004C4863">
      <w:pPr>
        <w:pStyle w:val="BodyTextMain"/>
      </w:pPr>
      <w:r w:rsidRPr="004C4863">
        <w:t xml:space="preserve">Groupon India had debuted handsomely in the Indian market. It continued its dramatic </w:t>
      </w:r>
      <w:r w:rsidR="00074CC3" w:rsidRPr="004C4863">
        <w:t>progress</w:t>
      </w:r>
      <w:r w:rsidRPr="004C4863">
        <w:t xml:space="preserve"> with a growth rate in </w:t>
      </w:r>
      <w:r w:rsidR="00EE2A4D" w:rsidRPr="004C4863">
        <w:t>net gross billings</w:t>
      </w:r>
      <w:r w:rsidRPr="004C4863">
        <w:t xml:space="preserve"> of 317</w:t>
      </w:r>
      <w:r w:rsidR="00074CC3" w:rsidRPr="004C4863">
        <w:t xml:space="preserve"> per cent</w:t>
      </w:r>
      <w:r w:rsidRPr="004C4863">
        <w:t xml:space="preserve"> in 2012 on a year</w:t>
      </w:r>
      <w:r w:rsidR="00074CC3" w:rsidRPr="004C4863">
        <w:t>-</w:t>
      </w:r>
      <w:r w:rsidRPr="004C4863">
        <w:t>on</w:t>
      </w:r>
      <w:r w:rsidR="00074CC3" w:rsidRPr="004C4863">
        <w:t>-</w:t>
      </w:r>
      <w:r w:rsidRPr="004C4863">
        <w:t>year basis. The growth rate in subsequent years was 146</w:t>
      </w:r>
      <w:r w:rsidR="00074CC3" w:rsidRPr="004C4863">
        <w:t xml:space="preserve"> per cent</w:t>
      </w:r>
      <w:r w:rsidRPr="004C4863">
        <w:t xml:space="preserve"> in 2013 and 89</w:t>
      </w:r>
      <w:r w:rsidR="00074CC3" w:rsidRPr="004C4863">
        <w:t xml:space="preserve"> per cent</w:t>
      </w:r>
      <w:r w:rsidRPr="004C4863">
        <w:t xml:space="preserve"> in 2014</w:t>
      </w:r>
      <w:r w:rsidR="00074CC3" w:rsidRPr="004C4863">
        <w:t xml:space="preserve"> </w:t>
      </w:r>
      <w:r w:rsidRPr="004C4863">
        <w:t>(</w:t>
      </w:r>
      <w:r w:rsidR="00074CC3" w:rsidRPr="004C4863">
        <w:t xml:space="preserve">see </w:t>
      </w:r>
      <w:r w:rsidRPr="004C4863">
        <w:t xml:space="preserve">Exhibit 3). The team felt that the market for deals was saturating very fast and </w:t>
      </w:r>
      <w:r w:rsidR="00074CC3" w:rsidRPr="004C4863">
        <w:t xml:space="preserve">that </w:t>
      </w:r>
      <w:r w:rsidRPr="004C4863">
        <w:t xml:space="preserve">they </w:t>
      </w:r>
      <w:r w:rsidR="00074CC3" w:rsidRPr="004C4863">
        <w:t xml:space="preserve">would </w:t>
      </w:r>
      <w:r w:rsidRPr="004C4863">
        <w:t>need new strategies to maintain their growth.</w:t>
      </w:r>
    </w:p>
    <w:p w14:paraId="644077D9" w14:textId="77777777" w:rsidR="00E67B15" w:rsidRPr="004C4863" w:rsidRDefault="00E67B15" w:rsidP="004C4863">
      <w:pPr>
        <w:pStyle w:val="BodyTextMain"/>
      </w:pPr>
    </w:p>
    <w:p w14:paraId="1842B34D" w14:textId="72D941FD" w:rsidR="00E67B15" w:rsidRPr="004C4863" w:rsidRDefault="00E67B15" w:rsidP="004C4863">
      <w:pPr>
        <w:pStyle w:val="BodyTextMain"/>
      </w:pPr>
      <w:r w:rsidRPr="004C4863">
        <w:t xml:space="preserve">The management team </w:t>
      </w:r>
      <w:r w:rsidR="00074CC3" w:rsidRPr="004C4863">
        <w:t>believed</w:t>
      </w:r>
      <w:r w:rsidRPr="004C4863">
        <w:t xml:space="preserve"> that </w:t>
      </w:r>
      <w:r w:rsidR="00074CC3" w:rsidRPr="004C4863">
        <w:t xml:space="preserve">the focus </w:t>
      </w:r>
      <w:r w:rsidRPr="004C4863">
        <w:t xml:space="preserve">in India, unlike </w:t>
      </w:r>
      <w:r w:rsidR="00074CC3" w:rsidRPr="004C4863">
        <w:t>in the United States</w:t>
      </w:r>
      <w:r w:rsidRPr="004C4863">
        <w:t xml:space="preserve">, should </w:t>
      </w:r>
      <w:r w:rsidR="00B23162">
        <w:t xml:space="preserve">have been </w:t>
      </w:r>
      <w:r w:rsidRPr="004C4863">
        <w:t>more on the offline services categories. They identified five such categories</w:t>
      </w:r>
      <w:r w:rsidR="00074CC3" w:rsidRPr="004C4863">
        <w:t>—f</w:t>
      </w:r>
      <w:r w:rsidRPr="004C4863">
        <w:t xml:space="preserve">ood </w:t>
      </w:r>
      <w:r w:rsidR="00074CC3" w:rsidRPr="004C4863">
        <w:t>and</w:t>
      </w:r>
      <w:r w:rsidRPr="004C4863">
        <w:t xml:space="preserve"> </w:t>
      </w:r>
      <w:r w:rsidR="00074CC3" w:rsidRPr="004C4863">
        <w:t>b</w:t>
      </w:r>
      <w:r w:rsidRPr="004C4863">
        <w:t xml:space="preserve">everages, </w:t>
      </w:r>
      <w:r w:rsidR="00074CC3" w:rsidRPr="004C4863">
        <w:t>w</w:t>
      </w:r>
      <w:r w:rsidRPr="004C4863">
        <w:t xml:space="preserve">ellness, </w:t>
      </w:r>
      <w:r w:rsidR="00074CC3" w:rsidRPr="004C4863">
        <w:t>m</w:t>
      </w:r>
      <w:r w:rsidRPr="004C4863">
        <w:t xml:space="preserve">ovies </w:t>
      </w:r>
      <w:r w:rsidR="00074CC3" w:rsidRPr="004C4863">
        <w:t>and</w:t>
      </w:r>
      <w:r w:rsidRPr="004C4863">
        <w:t xml:space="preserve"> </w:t>
      </w:r>
      <w:r w:rsidR="00074CC3" w:rsidRPr="004C4863">
        <w:t>e</w:t>
      </w:r>
      <w:r w:rsidRPr="004C4863">
        <w:t xml:space="preserve">vents, </w:t>
      </w:r>
      <w:r w:rsidR="00074CC3" w:rsidRPr="004C4863">
        <w:t>e</w:t>
      </w:r>
      <w:r w:rsidRPr="004C4863">
        <w:t xml:space="preserve">ntertainment </w:t>
      </w:r>
      <w:r w:rsidR="00074CC3" w:rsidRPr="004C4863">
        <w:t>and a</w:t>
      </w:r>
      <w:r w:rsidRPr="004C4863">
        <w:t>ctivities</w:t>
      </w:r>
      <w:r w:rsidR="00074CC3" w:rsidRPr="004C4863">
        <w:t>,</w:t>
      </w:r>
      <w:r w:rsidRPr="004C4863">
        <w:t xml:space="preserve"> and </w:t>
      </w:r>
      <w:r w:rsidR="00074CC3" w:rsidRPr="004C4863">
        <w:t>t</w:t>
      </w:r>
      <w:r w:rsidRPr="004C4863">
        <w:t xml:space="preserve">ravel. </w:t>
      </w:r>
      <w:r w:rsidR="00B7545A" w:rsidRPr="004C4863">
        <w:t>While s</w:t>
      </w:r>
      <w:r w:rsidRPr="004C4863">
        <w:t xml:space="preserve">ervices </w:t>
      </w:r>
      <w:r w:rsidR="00074CC3" w:rsidRPr="004C4863">
        <w:t xml:space="preserve">in these categories </w:t>
      </w:r>
      <w:r w:rsidRPr="004C4863">
        <w:t>were provided offline</w:t>
      </w:r>
      <w:r w:rsidR="00B7545A" w:rsidRPr="004C4863">
        <w:t>,</w:t>
      </w:r>
      <w:r w:rsidRPr="004C4863">
        <w:t xml:space="preserve"> there was </w:t>
      </w:r>
      <w:r w:rsidR="00B23162">
        <w:t>tremendous</w:t>
      </w:r>
      <w:r w:rsidRPr="004C4863">
        <w:t xml:space="preserve"> potential </w:t>
      </w:r>
      <w:r w:rsidR="00B7545A" w:rsidRPr="004C4863">
        <w:t>for</w:t>
      </w:r>
      <w:r w:rsidRPr="004C4863">
        <w:t xml:space="preserve"> selling them online. The market size of these services was estimated to be in the range of </w:t>
      </w:r>
      <w:r w:rsidR="00B7545A" w:rsidRPr="004C4863">
        <w:t>US</w:t>
      </w:r>
      <w:r w:rsidRPr="004C4863">
        <w:t>$80</w:t>
      </w:r>
      <w:r w:rsidR="00224C44" w:rsidRPr="004C4863">
        <w:t xml:space="preserve"> billion</w:t>
      </w:r>
      <w:r w:rsidR="00B7545A" w:rsidRPr="004C4863">
        <w:t>–</w:t>
      </w:r>
      <w:r w:rsidRPr="004C4863">
        <w:t>100 billion</w:t>
      </w:r>
      <w:r w:rsidR="00B7545A" w:rsidRPr="004C4863">
        <w:t>,</w:t>
      </w:r>
      <w:r w:rsidRPr="004C4863">
        <w:t xml:space="preserve"> of which a small fraction was being sold online. The potential growth opportunity in selling such services online was expected to be huge</w:t>
      </w:r>
      <w:r w:rsidR="00B7545A" w:rsidRPr="004C4863">
        <w:t>,</w:t>
      </w:r>
      <w:r w:rsidRPr="004C4863">
        <w:t xml:space="preserve"> and </w:t>
      </w:r>
      <w:r w:rsidR="00B7545A" w:rsidRPr="004C4863">
        <w:t xml:space="preserve">to grow </w:t>
      </w:r>
      <w:r w:rsidRPr="004C4863">
        <w:t xml:space="preserve">constantly. </w:t>
      </w:r>
      <w:r w:rsidR="00B7545A" w:rsidRPr="004C4863">
        <w:t>T</w:t>
      </w:r>
      <w:r w:rsidRPr="004C4863">
        <w:t xml:space="preserve">o tap </w:t>
      </w:r>
      <w:r w:rsidR="00B7545A" w:rsidRPr="004C4863">
        <w:t xml:space="preserve">into </w:t>
      </w:r>
      <w:r w:rsidRPr="004C4863">
        <w:t xml:space="preserve">this opportunity in the Indian market, </w:t>
      </w:r>
      <w:r w:rsidR="00B7545A" w:rsidRPr="004C4863">
        <w:t>the Groupon India team believed the company would have</w:t>
      </w:r>
      <w:r w:rsidRPr="004C4863">
        <w:t xml:space="preserve"> to </w:t>
      </w:r>
      <w:r w:rsidR="00B7545A" w:rsidRPr="004C4863">
        <w:t>collaborate</w:t>
      </w:r>
      <w:r w:rsidRPr="004C4863">
        <w:t xml:space="preserve"> with local merchants in the above categories and give them </w:t>
      </w:r>
      <w:r w:rsidR="00B7545A" w:rsidRPr="004C4863">
        <w:t xml:space="preserve">the </w:t>
      </w:r>
      <w:r w:rsidRPr="004C4863">
        <w:t>freedom to decide on the deal parameters</w:t>
      </w:r>
      <w:r w:rsidR="00B7545A" w:rsidRPr="004C4863">
        <w:t>,</w:t>
      </w:r>
      <w:r w:rsidRPr="004C4863">
        <w:t xml:space="preserve"> which </w:t>
      </w:r>
      <w:r w:rsidR="00A1421C" w:rsidRPr="004C4863">
        <w:t xml:space="preserve">differed from the practice that </w:t>
      </w:r>
      <w:r w:rsidRPr="004C4863">
        <w:t>Groupon</w:t>
      </w:r>
      <w:r w:rsidR="00B7545A" w:rsidRPr="004C4863">
        <w:t xml:space="preserve"> Inc.</w:t>
      </w:r>
      <w:r w:rsidRPr="004C4863">
        <w:t xml:space="preserve"> </w:t>
      </w:r>
      <w:r w:rsidR="00A1421C" w:rsidRPr="004C4863">
        <w:t xml:space="preserve">followed </w:t>
      </w:r>
      <w:r w:rsidR="00B7545A" w:rsidRPr="004C4863">
        <w:t>in the United States</w:t>
      </w:r>
      <w:r w:rsidRPr="004C4863">
        <w:t>.</w:t>
      </w:r>
    </w:p>
    <w:p w14:paraId="51E540ED" w14:textId="77777777" w:rsidR="00E67B15" w:rsidRPr="004C4863" w:rsidRDefault="00E67B15" w:rsidP="004C4863">
      <w:pPr>
        <w:pStyle w:val="BodyTextMain"/>
      </w:pPr>
    </w:p>
    <w:p w14:paraId="62F8A787" w14:textId="77777777" w:rsidR="00E67B15" w:rsidRPr="004C4863" w:rsidRDefault="00E67B15" w:rsidP="004C4863">
      <w:pPr>
        <w:pStyle w:val="BodyTextMain"/>
      </w:pPr>
    </w:p>
    <w:p w14:paraId="783FC14D" w14:textId="54D38E4F" w:rsidR="00E67B15" w:rsidRPr="004E5FE9" w:rsidRDefault="00224C44" w:rsidP="00E67B15">
      <w:pPr>
        <w:pStyle w:val="Casehead1"/>
        <w:rPr>
          <w:lang w:val="en-GB"/>
        </w:rPr>
      </w:pPr>
      <w:r>
        <w:rPr>
          <w:lang w:val="en-GB"/>
        </w:rPr>
        <w:t xml:space="preserve">the </w:t>
      </w:r>
      <w:r w:rsidR="00E67B15" w:rsidRPr="004E5FE9">
        <w:rPr>
          <w:lang w:val="en-GB"/>
        </w:rPr>
        <w:t>Groupon APAC Conference in Jakarta</w:t>
      </w:r>
    </w:p>
    <w:p w14:paraId="40E7B051" w14:textId="77777777" w:rsidR="00E67B15" w:rsidRPr="004C4863" w:rsidRDefault="00E67B15" w:rsidP="004C4863">
      <w:pPr>
        <w:pStyle w:val="BodyTextMain"/>
      </w:pPr>
    </w:p>
    <w:p w14:paraId="1363EB52" w14:textId="7FD73EC4" w:rsidR="00E67B15" w:rsidRPr="004C4863" w:rsidRDefault="00E67B15" w:rsidP="004C4863">
      <w:pPr>
        <w:pStyle w:val="BodyTextMain"/>
      </w:pPr>
      <w:r w:rsidRPr="004C4863">
        <w:t xml:space="preserve">The management team from Groupon India attended the Groupon </w:t>
      </w:r>
      <w:r w:rsidR="00AD414C" w:rsidRPr="004C4863">
        <w:t>Asia-Pacific (</w:t>
      </w:r>
      <w:r w:rsidRPr="004C4863">
        <w:t>APAC</w:t>
      </w:r>
      <w:r w:rsidR="00AD414C" w:rsidRPr="004C4863">
        <w:t>)</w:t>
      </w:r>
      <w:r w:rsidRPr="004C4863">
        <w:t xml:space="preserve"> summit in Jakarta</w:t>
      </w:r>
      <w:r w:rsidR="00AD414C" w:rsidRPr="004C4863">
        <w:t>, Indonesia,</w:t>
      </w:r>
      <w:r w:rsidRPr="004C4863">
        <w:t xml:space="preserve"> in March 2014. The summit was a meeting of all top </w:t>
      </w:r>
      <w:r w:rsidR="005E211C" w:rsidRPr="004C4863">
        <w:t xml:space="preserve">Groupon </w:t>
      </w:r>
      <w:r w:rsidRPr="004C4863">
        <w:t xml:space="preserve">management teams </w:t>
      </w:r>
      <w:r w:rsidR="005E211C" w:rsidRPr="004C4863">
        <w:t>in the</w:t>
      </w:r>
      <w:r w:rsidRPr="004C4863">
        <w:t xml:space="preserve"> APAC region to discuss future strategies to grow the business in their respective countries. </w:t>
      </w:r>
      <w:r w:rsidR="00716AD0" w:rsidRPr="004C4863">
        <w:t xml:space="preserve">One of the </w:t>
      </w:r>
      <w:r w:rsidRPr="004C4863">
        <w:t>presentation</w:t>
      </w:r>
      <w:r w:rsidR="00716AD0" w:rsidRPr="004C4863">
        <w:t>s</w:t>
      </w:r>
      <w:r w:rsidRPr="004C4863">
        <w:t xml:space="preserve"> highlighted the fact that</w:t>
      </w:r>
      <w:r w:rsidR="00AD414C" w:rsidRPr="004C4863">
        <w:t>,</w:t>
      </w:r>
      <w:r w:rsidRPr="004C4863">
        <w:t xml:space="preserve"> unlike North America and EMEA, </w:t>
      </w:r>
      <w:r w:rsidR="00AD414C" w:rsidRPr="004C4863">
        <w:t xml:space="preserve">the </w:t>
      </w:r>
      <w:r w:rsidR="00B23162">
        <w:t>ROW</w:t>
      </w:r>
      <w:r w:rsidRPr="004C4863">
        <w:t xml:space="preserve"> region had shown negative growth in the </w:t>
      </w:r>
      <w:r w:rsidR="00224C44" w:rsidRPr="004C4863">
        <w:t>p</w:t>
      </w:r>
      <w:r w:rsidRPr="004C4863">
        <w:t>ast two quarters.</w:t>
      </w:r>
      <w:r w:rsidRPr="004C4863">
        <w:rPr>
          <w:rStyle w:val="FootnoteReference"/>
        </w:rPr>
        <w:footnoteReference w:id="6"/>
      </w:r>
    </w:p>
    <w:p w14:paraId="7B475EBC" w14:textId="77777777" w:rsidR="00E67B15" w:rsidRPr="004C4863" w:rsidRDefault="00E67B15" w:rsidP="004C4863">
      <w:pPr>
        <w:pStyle w:val="BodyTextMain"/>
      </w:pPr>
    </w:p>
    <w:p w14:paraId="7C0A4A1B" w14:textId="199B14C7" w:rsidR="00E67B15" w:rsidRPr="004C4863" w:rsidRDefault="00E67B15" w:rsidP="004C4863">
      <w:pPr>
        <w:pStyle w:val="BodyTextMain"/>
      </w:pPr>
      <w:r w:rsidRPr="004C4863">
        <w:t xml:space="preserve">After the </w:t>
      </w:r>
      <w:r w:rsidR="005E211C" w:rsidRPr="004C4863">
        <w:t xml:space="preserve">day’s </w:t>
      </w:r>
      <w:r w:rsidRPr="004C4863">
        <w:t xml:space="preserve">presentations, </w:t>
      </w:r>
      <w:proofErr w:type="spellStart"/>
      <w:r w:rsidR="00AC6CF8" w:rsidRPr="004C4863">
        <w:t>Warikoo</w:t>
      </w:r>
      <w:proofErr w:type="spellEnd"/>
      <w:r w:rsidRPr="004C4863">
        <w:t xml:space="preserve"> </w:t>
      </w:r>
      <w:r w:rsidR="00360890" w:rsidRPr="004C4863">
        <w:t>met</w:t>
      </w:r>
      <w:r w:rsidRPr="004C4863">
        <w:t xml:space="preserve"> with the head of </w:t>
      </w:r>
      <w:r w:rsidR="005E211C" w:rsidRPr="004C4863">
        <w:t xml:space="preserve">Groupon </w:t>
      </w:r>
      <w:r w:rsidRPr="004C4863">
        <w:t xml:space="preserve">APAC. In the meeting, </w:t>
      </w:r>
      <w:proofErr w:type="spellStart"/>
      <w:r w:rsidR="00AC6CF8" w:rsidRPr="004C4863">
        <w:t>Warikoo</w:t>
      </w:r>
      <w:proofErr w:type="spellEnd"/>
      <w:r w:rsidRPr="004C4863">
        <w:t xml:space="preserve"> highlighted the differences between </w:t>
      </w:r>
      <w:r w:rsidR="005E211C" w:rsidRPr="004C4863">
        <w:t xml:space="preserve">the </w:t>
      </w:r>
      <w:r w:rsidRPr="004C4863">
        <w:t xml:space="preserve">global and </w:t>
      </w:r>
      <w:r w:rsidR="005E211C" w:rsidRPr="004C4863">
        <w:t xml:space="preserve">the </w:t>
      </w:r>
      <w:r w:rsidRPr="004C4863">
        <w:t>Indian market</w:t>
      </w:r>
      <w:r w:rsidR="005E211C" w:rsidRPr="004C4863">
        <w:t>s</w:t>
      </w:r>
      <w:r w:rsidRPr="004C4863">
        <w:t xml:space="preserve"> and </w:t>
      </w:r>
      <w:r w:rsidR="005E211C" w:rsidRPr="004C4863">
        <w:t>the corresponding</w:t>
      </w:r>
      <w:r w:rsidRPr="004C4863">
        <w:t xml:space="preserve"> need for </w:t>
      </w:r>
      <w:r w:rsidR="005E211C" w:rsidRPr="004C4863">
        <w:t xml:space="preserve">a </w:t>
      </w:r>
      <w:r w:rsidRPr="004C4863">
        <w:t>more locali</w:t>
      </w:r>
      <w:r w:rsidR="005E211C" w:rsidRPr="004C4863">
        <w:t>z</w:t>
      </w:r>
      <w:r w:rsidRPr="004C4863">
        <w:t>ed</w:t>
      </w:r>
      <w:r w:rsidR="005E211C" w:rsidRPr="004C4863">
        <w:t>,</w:t>
      </w:r>
      <w:r w:rsidRPr="004C4863">
        <w:t xml:space="preserve"> India</w:t>
      </w:r>
      <w:r w:rsidR="005E211C" w:rsidRPr="004C4863">
        <w:t>-</w:t>
      </w:r>
      <w:r w:rsidRPr="004C4863">
        <w:t>based strategy. He pointed out that Groupon India was one of the fastest</w:t>
      </w:r>
      <w:r w:rsidR="00A26BD1" w:rsidRPr="004C4863">
        <w:t>-</w:t>
      </w:r>
      <w:r w:rsidRPr="004C4863">
        <w:t xml:space="preserve">growing subsidiaries and had nearly doubled its business in the </w:t>
      </w:r>
      <w:r w:rsidR="00A1421C" w:rsidRPr="004C4863">
        <w:t xml:space="preserve">past </w:t>
      </w:r>
      <w:r w:rsidRPr="004C4863">
        <w:t xml:space="preserve">year. He felt </w:t>
      </w:r>
      <w:r w:rsidR="00224C44" w:rsidRPr="004C4863">
        <w:t>that</w:t>
      </w:r>
      <w:r w:rsidRPr="004C4863">
        <w:t xml:space="preserve"> to exploit the full potential of the Indian market</w:t>
      </w:r>
      <w:r w:rsidR="005E211C" w:rsidRPr="004C4863">
        <w:t>,</w:t>
      </w:r>
      <w:r w:rsidRPr="004C4863">
        <w:t xml:space="preserve"> Groupon India needed more agility and more autonomy in decision</w:t>
      </w:r>
      <w:r w:rsidR="00224C44" w:rsidRPr="004C4863">
        <w:t>-</w:t>
      </w:r>
      <w:r w:rsidRPr="004C4863">
        <w:t xml:space="preserve">making. </w:t>
      </w:r>
      <w:r w:rsidR="005E211C" w:rsidRPr="004C4863">
        <w:t xml:space="preserve">Accordingly, </w:t>
      </w:r>
      <w:proofErr w:type="spellStart"/>
      <w:r w:rsidR="00AC6CF8" w:rsidRPr="004C4863">
        <w:t>Warikoo</w:t>
      </w:r>
      <w:proofErr w:type="spellEnd"/>
      <w:r w:rsidRPr="004C4863">
        <w:t xml:space="preserve"> suggested </w:t>
      </w:r>
      <w:r w:rsidR="005E211C" w:rsidRPr="004C4863">
        <w:t>that</w:t>
      </w:r>
      <w:r w:rsidRPr="004C4863">
        <w:t xml:space="preserve"> Groupon </w:t>
      </w:r>
      <w:r w:rsidR="005E211C" w:rsidRPr="004C4863">
        <w:t>Inc.</w:t>
      </w:r>
      <w:r w:rsidRPr="004C4863">
        <w:t xml:space="preserve"> run Groupon India as an independent entity not bound by the global strategy.</w:t>
      </w:r>
    </w:p>
    <w:p w14:paraId="31C9D8BC" w14:textId="77777777" w:rsidR="00E67B15" w:rsidRPr="004C4863" w:rsidRDefault="00E67B15" w:rsidP="004C4863">
      <w:pPr>
        <w:pStyle w:val="BodyTextMain"/>
      </w:pPr>
    </w:p>
    <w:p w14:paraId="278C5F91" w14:textId="34B13381" w:rsidR="00E67B15" w:rsidRPr="004C4863" w:rsidRDefault="00AC6CF8" w:rsidP="004C4863">
      <w:pPr>
        <w:pStyle w:val="BodyTextMain"/>
      </w:pPr>
      <w:proofErr w:type="spellStart"/>
      <w:r w:rsidRPr="004C4863">
        <w:t>Warikoo</w:t>
      </w:r>
      <w:proofErr w:type="spellEnd"/>
      <w:r w:rsidR="00E67B15" w:rsidRPr="004C4863">
        <w:t xml:space="preserve"> </w:t>
      </w:r>
      <w:r w:rsidR="005E211C" w:rsidRPr="004C4863">
        <w:t>later</w:t>
      </w:r>
      <w:r w:rsidR="00E67B15" w:rsidRPr="004C4863">
        <w:t xml:space="preserve"> discussed with his team members the idea of spinoff he had </w:t>
      </w:r>
      <w:r w:rsidR="00EF6665" w:rsidRPr="004C4863">
        <w:t>presented to the</w:t>
      </w:r>
      <w:r w:rsidR="00E67B15" w:rsidRPr="004C4863">
        <w:t xml:space="preserve"> Groupon APAC head. </w:t>
      </w:r>
      <w:r w:rsidR="00EF6665" w:rsidRPr="004C4863">
        <w:t>T</w:t>
      </w:r>
      <w:r w:rsidR="00E67B15" w:rsidRPr="004C4863">
        <w:t xml:space="preserve">he team agreed that to grow </w:t>
      </w:r>
      <w:r w:rsidR="00214362" w:rsidRPr="004C4863">
        <w:t xml:space="preserve">and be </w:t>
      </w:r>
      <w:r w:rsidR="00E67B15" w:rsidRPr="004C4863">
        <w:t>successful in India</w:t>
      </w:r>
      <w:r w:rsidR="00EF6665" w:rsidRPr="004C4863">
        <w:t>,</w:t>
      </w:r>
      <w:r w:rsidR="00E67B15" w:rsidRPr="004C4863">
        <w:t xml:space="preserve"> they had to move toward localized strategies</w:t>
      </w:r>
      <w:r w:rsidR="00360890" w:rsidRPr="004C4863">
        <w:t>,</w:t>
      </w:r>
      <w:r w:rsidR="00EF6665" w:rsidRPr="004C4863">
        <w:t xml:space="preserve"> and so</w:t>
      </w:r>
      <w:r w:rsidR="00E67B15" w:rsidRPr="004C4863">
        <w:t xml:space="preserve"> </w:t>
      </w:r>
      <w:r w:rsidR="00214362" w:rsidRPr="004C4863">
        <w:t xml:space="preserve">they </w:t>
      </w:r>
      <w:r w:rsidR="00EF6665" w:rsidRPr="004C4863">
        <w:t>considered</w:t>
      </w:r>
      <w:r w:rsidR="00E67B15" w:rsidRPr="004C4863">
        <w:t xml:space="preserve"> </w:t>
      </w:r>
      <w:r w:rsidR="00224C44" w:rsidRPr="004C4863">
        <w:t xml:space="preserve">their </w:t>
      </w:r>
      <w:r w:rsidR="00E67B15" w:rsidRPr="004C4863">
        <w:t xml:space="preserve">various </w:t>
      </w:r>
      <w:r w:rsidR="00224C44" w:rsidRPr="004C4863">
        <w:t xml:space="preserve">strategic </w:t>
      </w:r>
      <w:r w:rsidR="00E67B15" w:rsidRPr="004C4863">
        <w:t>options.</w:t>
      </w:r>
    </w:p>
    <w:p w14:paraId="088B0D79" w14:textId="77777777" w:rsidR="00214362" w:rsidRPr="004C4863" w:rsidRDefault="00214362" w:rsidP="004C4863">
      <w:pPr>
        <w:pStyle w:val="BodyTextMain"/>
      </w:pPr>
    </w:p>
    <w:p w14:paraId="2727A9F7" w14:textId="22B1AEC4" w:rsidR="00E67B15" w:rsidRPr="00B23162" w:rsidRDefault="00E67B15" w:rsidP="004C4863">
      <w:pPr>
        <w:pStyle w:val="BodyTextMain"/>
        <w:rPr>
          <w:spacing w:val="-2"/>
          <w:shd w:val="clear" w:color="auto" w:fill="FFFFFF"/>
          <w:lang w:val="en-GB"/>
        </w:rPr>
      </w:pPr>
      <w:r w:rsidRPr="00B23162">
        <w:rPr>
          <w:spacing w:val="-2"/>
        </w:rPr>
        <w:t>One idea discussed was to exit Groupon</w:t>
      </w:r>
      <w:r w:rsidR="00360890" w:rsidRPr="00B23162">
        <w:rPr>
          <w:spacing w:val="-2"/>
        </w:rPr>
        <w:t xml:space="preserve"> Inc.</w:t>
      </w:r>
      <w:r w:rsidRPr="00B23162">
        <w:rPr>
          <w:spacing w:val="-2"/>
        </w:rPr>
        <w:t xml:space="preserve"> and start a new venture with a locali</w:t>
      </w:r>
      <w:r w:rsidR="00360890" w:rsidRPr="00B23162">
        <w:rPr>
          <w:spacing w:val="-2"/>
        </w:rPr>
        <w:t>z</w:t>
      </w:r>
      <w:r w:rsidRPr="00B23162">
        <w:rPr>
          <w:spacing w:val="-2"/>
        </w:rPr>
        <w:t xml:space="preserve">ed business model to exploit the vast potential of increasing </w:t>
      </w:r>
      <w:r w:rsidR="00360890" w:rsidRPr="00B23162">
        <w:rPr>
          <w:spacing w:val="-2"/>
        </w:rPr>
        <w:t xml:space="preserve">service </w:t>
      </w:r>
      <w:r w:rsidRPr="00B23162">
        <w:rPr>
          <w:spacing w:val="-2"/>
        </w:rPr>
        <w:t xml:space="preserve">retailing on an online platform in India. Although the idea was at first </w:t>
      </w:r>
      <w:r w:rsidRPr="00B23162">
        <w:rPr>
          <w:spacing w:val="-2"/>
        </w:rPr>
        <w:lastRenderedPageBreak/>
        <w:t>welcomed by all, doubts and concerns</w:t>
      </w:r>
      <w:r w:rsidR="00360890" w:rsidRPr="00B23162">
        <w:rPr>
          <w:spacing w:val="-2"/>
        </w:rPr>
        <w:t xml:space="preserve"> about it</w:t>
      </w:r>
      <w:r w:rsidRPr="00B23162">
        <w:rPr>
          <w:spacing w:val="-2"/>
        </w:rPr>
        <w:t xml:space="preserve"> slowly crept in. One concern was </w:t>
      </w:r>
      <w:r w:rsidR="00224C44" w:rsidRPr="00B23162">
        <w:rPr>
          <w:spacing w:val="-2"/>
        </w:rPr>
        <w:t>the</w:t>
      </w:r>
      <w:r w:rsidR="00224C44" w:rsidRPr="00B23162">
        <w:rPr>
          <w:spacing w:val="-2"/>
          <w:shd w:val="clear" w:color="auto" w:fill="FFFFFF"/>
          <w:lang w:val="en-GB"/>
        </w:rPr>
        <w:t xml:space="preserve"> </w:t>
      </w:r>
      <w:r w:rsidRPr="00B23162">
        <w:rPr>
          <w:spacing w:val="-2"/>
          <w:shd w:val="clear" w:color="auto" w:fill="FFFFFF"/>
          <w:lang w:val="en-GB"/>
        </w:rPr>
        <w:t xml:space="preserve">funding </w:t>
      </w:r>
      <w:r w:rsidR="00224C44" w:rsidRPr="00B23162">
        <w:rPr>
          <w:spacing w:val="-2"/>
          <w:shd w:val="clear" w:color="auto" w:fill="FFFFFF"/>
          <w:lang w:val="en-GB"/>
        </w:rPr>
        <w:t xml:space="preserve">of </w:t>
      </w:r>
      <w:r w:rsidRPr="00B23162">
        <w:rPr>
          <w:spacing w:val="-2"/>
          <w:shd w:val="clear" w:color="auto" w:fill="FFFFFF"/>
          <w:lang w:val="en-GB"/>
        </w:rPr>
        <w:t xml:space="preserve">the project and </w:t>
      </w:r>
      <w:r w:rsidR="00360890" w:rsidRPr="00B23162">
        <w:rPr>
          <w:spacing w:val="-2"/>
          <w:shd w:val="clear" w:color="auto" w:fill="FFFFFF"/>
          <w:lang w:val="en-GB"/>
        </w:rPr>
        <w:t>an</w:t>
      </w:r>
      <w:r w:rsidRPr="00B23162">
        <w:rPr>
          <w:spacing w:val="-2"/>
          <w:shd w:val="clear" w:color="auto" w:fill="FFFFFF"/>
          <w:lang w:val="en-GB"/>
        </w:rPr>
        <w:t xml:space="preserve">other was the loss of time and effort </w:t>
      </w:r>
      <w:r w:rsidR="00A1421C" w:rsidRPr="00B23162">
        <w:rPr>
          <w:spacing w:val="-2"/>
          <w:shd w:val="clear" w:color="auto" w:fill="FFFFFF"/>
          <w:lang w:val="en-GB"/>
        </w:rPr>
        <w:t xml:space="preserve">invested </w:t>
      </w:r>
      <w:r w:rsidRPr="00B23162">
        <w:rPr>
          <w:spacing w:val="-2"/>
          <w:shd w:val="clear" w:color="auto" w:fill="FFFFFF"/>
          <w:lang w:val="en-GB"/>
        </w:rPr>
        <w:t xml:space="preserve">by the team </w:t>
      </w:r>
      <w:r w:rsidR="00360890" w:rsidRPr="00B23162">
        <w:rPr>
          <w:spacing w:val="-2"/>
          <w:shd w:val="clear" w:color="auto" w:fill="FFFFFF"/>
          <w:lang w:val="en-GB"/>
        </w:rPr>
        <w:t>over</w:t>
      </w:r>
      <w:r w:rsidRPr="00B23162">
        <w:rPr>
          <w:spacing w:val="-2"/>
          <w:shd w:val="clear" w:color="auto" w:fill="FFFFFF"/>
          <w:lang w:val="en-GB"/>
        </w:rPr>
        <w:t xml:space="preserve"> the </w:t>
      </w:r>
      <w:r w:rsidR="00224C44" w:rsidRPr="00B23162">
        <w:rPr>
          <w:spacing w:val="-2"/>
          <w:shd w:val="clear" w:color="auto" w:fill="FFFFFF"/>
          <w:lang w:val="en-GB"/>
        </w:rPr>
        <w:t xml:space="preserve">past </w:t>
      </w:r>
      <w:r w:rsidRPr="00B23162">
        <w:rPr>
          <w:spacing w:val="-2"/>
          <w:shd w:val="clear" w:color="auto" w:fill="FFFFFF"/>
          <w:lang w:val="en-GB"/>
        </w:rPr>
        <w:t xml:space="preserve">four years </w:t>
      </w:r>
      <w:r w:rsidR="00360890" w:rsidRPr="00B23162">
        <w:rPr>
          <w:spacing w:val="-2"/>
          <w:shd w:val="clear" w:color="auto" w:fill="FFFFFF"/>
          <w:lang w:val="en-GB"/>
        </w:rPr>
        <w:t>to</w:t>
      </w:r>
      <w:r w:rsidRPr="00B23162">
        <w:rPr>
          <w:spacing w:val="-2"/>
          <w:shd w:val="clear" w:color="auto" w:fill="FFFFFF"/>
          <w:lang w:val="en-GB"/>
        </w:rPr>
        <w:t xml:space="preserve"> build</w:t>
      </w:r>
      <w:r w:rsidR="00360890" w:rsidRPr="00B23162">
        <w:rPr>
          <w:spacing w:val="-2"/>
          <w:shd w:val="clear" w:color="auto" w:fill="FFFFFF"/>
          <w:lang w:val="en-GB"/>
        </w:rPr>
        <w:t xml:space="preserve"> </w:t>
      </w:r>
      <w:r w:rsidRPr="00B23162">
        <w:rPr>
          <w:spacing w:val="-2"/>
          <w:shd w:val="clear" w:color="auto" w:fill="FFFFFF"/>
          <w:lang w:val="en-GB"/>
        </w:rPr>
        <w:t xml:space="preserve">the current business. </w:t>
      </w:r>
      <w:r w:rsidR="00360890" w:rsidRPr="00B23162">
        <w:rPr>
          <w:spacing w:val="-2"/>
          <w:shd w:val="clear" w:color="auto" w:fill="FFFFFF"/>
          <w:lang w:val="en-GB"/>
        </w:rPr>
        <w:t>The team</w:t>
      </w:r>
      <w:r w:rsidRPr="00B23162">
        <w:rPr>
          <w:spacing w:val="-2"/>
          <w:shd w:val="clear" w:color="auto" w:fill="FFFFFF"/>
          <w:lang w:val="en-GB"/>
        </w:rPr>
        <w:t xml:space="preserve"> also felt that for the </w:t>
      </w:r>
      <w:r w:rsidR="00360890" w:rsidRPr="00B23162">
        <w:rPr>
          <w:spacing w:val="-2"/>
          <w:shd w:val="clear" w:color="auto" w:fill="FFFFFF"/>
          <w:lang w:val="en-GB"/>
        </w:rPr>
        <w:t>new venture</w:t>
      </w:r>
      <w:r w:rsidRPr="00B23162">
        <w:rPr>
          <w:spacing w:val="-2"/>
          <w:shd w:val="clear" w:color="auto" w:fill="FFFFFF"/>
          <w:lang w:val="en-GB"/>
        </w:rPr>
        <w:t xml:space="preserve"> to reach the level of Groupon India, they would require multiple rounds of funding and </w:t>
      </w:r>
      <w:r w:rsidR="00A1421C" w:rsidRPr="00B23162">
        <w:rPr>
          <w:spacing w:val="-2"/>
          <w:shd w:val="clear" w:color="auto" w:fill="FFFFFF"/>
          <w:lang w:val="en-GB"/>
        </w:rPr>
        <w:t xml:space="preserve">a </w:t>
      </w:r>
      <w:r w:rsidRPr="00B23162">
        <w:rPr>
          <w:spacing w:val="-2"/>
          <w:shd w:val="clear" w:color="auto" w:fill="FFFFFF"/>
          <w:lang w:val="en-GB"/>
        </w:rPr>
        <w:t>subsequent dilution of owner’s equity. The</w:t>
      </w:r>
      <w:r w:rsidR="00360890" w:rsidRPr="00B23162">
        <w:rPr>
          <w:spacing w:val="-2"/>
          <w:shd w:val="clear" w:color="auto" w:fill="FFFFFF"/>
          <w:lang w:val="en-GB"/>
        </w:rPr>
        <w:t>y</w:t>
      </w:r>
      <w:r w:rsidRPr="00B23162">
        <w:rPr>
          <w:spacing w:val="-2"/>
          <w:shd w:val="clear" w:color="auto" w:fill="FFFFFF"/>
          <w:lang w:val="en-GB"/>
        </w:rPr>
        <w:t xml:space="preserve"> believed that three to four rounds of funding</w:t>
      </w:r>
      <w:r w:rsidR="00360890" w:rsidRPr="00B23162">
        <w:rPr>
          <w:spacing w:val="-2"/>
          <w:shd w:val="clear" w:color="auto" w:fill="FFFFFF"/>
          <w:lang w:val="en-GB"/>
        </w:rPr>
        <w:t xml:space="preserve"> </w:t>
      </w:r>
      <w:r w:rsidR="00224C44" w:rsidRPr="00B23162">
        <w:rPr>
          <w:spacing w:val="-2"/>
          <w:shd w:val="clear" w:color="auto" w:fill="FFFFFF"/>
          <w:lang w:val="en-GB"/>
        </w:rPr>
        <w:t xml:space="preserve">would be </w:t>
      </w:r>
      <w:r w:rsidR="005F06E7" w:rsidRPr="00B23162">
        <w:rPr>
          <w:spacing w:val="-2"/>
          <w:shd w:val="clear" w:color="auto" w:fill="FFFFFF"/>
          <w:lang w:val="en-GB"/>
        </w:rPr>
        <w:t>typical</w:t>
      </w:r>
      <w:r w:rsidR="00224C44" w:rsidRPr="00B23162">
        <w:rPr>
          <w:spacing w:val="-2"/>
          <w:shd w:val="clear" w:color="auto" w:fill="FFFFFF"/>
          <w:lang w:val="en-GB"/>
        </w:rPr>
        <w:t xml:space="preserve"> </w:t>
      </w:r>
      <w:r w:rsidR="00360890" w:rsidRPr="00B23162">
        <w:rPr>
          <w:spacing w:val="-2"/>
          <w:shd w:val="clear" w:color="auto" w:fill="FFFFFF"/>
          <w:lang w:val="en-GB"/>
        </w:rPr>
        <w:t>in a start-up;</w:t>
      </w:r>
      <w:r w:rsidRPr="00B23162">
        <w:rPr>
          <w:spacing w:val="-2"/>
          <w:shd w:val="clear" w:color="auto" w:fill="FFFFFF"/>
          <w:lang w:val="en-GB"/>
        </w:rPr>
        <w:t xml:space="preserve"> </w:t>
      </w:r>
      <w:r w:rsidR="00360890" w:rsidRPr="00B23162">
        <w:rPr>
          <w:spacing w:val="-2"/>
          <w:shd w:val="clear" w:color="auto" w:fill="FFFFFF"/>
          <w:lang w:val="en-GB"/>
        </w:rPr>
        <w:t>t</w:t>
      </w:r>
      <w:r w:rsidRPr="00B23162">
        <w:rPr>
          <w:spacing w:val="-2"/>
          <w:shd w:val="clear" w:color="auto" w:fill="FFFFFF"/>
          <w:lang w:val="en-GB"/>
        </w:rPr>
        <w:t>he founders would dilute 40</w:t>
      </w:r>
      <w:r w:rsidR="00360890" w:rsidRPr="00B23162">
        <w:rPr>
          <w:spacing w:val="-2"/>
          <w:shd w:val="clear" w:color="auto" w:fill="FFFFFF"/>
          <w:lang w:val="en-GB"/>
        </w:rPr>
        <w:t xml:space="preserve"> per cent</w:t>
      </w:r>
      <w:r w:rsidRPr="00B23162">
        <w:rPr>
          <w:spacing w:val="-2"/>
          <w:shd w:val="clear" w:color="auto" w:fill="FFFFFF"/>
          <w:lang w:val="en-GB"/>
        </w:rPr>
        <w:t xml:space="preserve"> in the first round and 30</w:t>
      </w:r>
      <w:r w:rsidR="00360890" w:rsidRPr="00B23162">
        <w:rPr>
          <w:spacing w:val="-2"/>
          <w:shd w:val="clear" w:color="auto" w:fill="FFFFFF"/>
          <w:lang w:val="en-GB"/>
        </w:rPr>
        <w:t xml:space="preserve"> per cent</w:t>
      </w:r>
      <w:r w:rsidRPr="00B23162">
        <w:rPr>
          <w:spacing w:val="-2"/>
          <w:shd w:val="clear" w:color="auto" w:fill="FFFFFF"/>
          <w:lang w:val="en-GB"/>
        </w:rPr>
        <w:t xml:space="preserve"> each in subsequent rounds.</w:t>
      </w:r>
      <w:r w:rsidR="00360890" w:rsidRPr="00B23162">
        <w:rPr>
          <w:spacing w:val="-2"/>
          <w:shd w:val="clear" w:color="auto" w:fill="FFFFFF"/>
          <w:lang w:val="en-GB"/>
        </w:rPr>
        <w:t xml:space="preserve"> </w:t>
      </w:r>
      <w:r w:rsidRPr="00B23162">
        <w:rPr>
          <w:spacing w:val="-2"/>
          <w:shd w:val="clear" w:color="auto" w:fill="FFFFFF"/>
          <w:lang w:val="en-GB"/>
        </w:rPr>
        <w:t xml:space="preserve">Taking the idea of </w:t>
      </w:r>
      <w:r w:rsidR="00B23162" w:rsidRPr="00B23162">
        <w:rPr>
          <w:spacing w:val="-2"/>
          <w:shd w:val="clear" w:color="auto" w:fill="FFFFFF"/>
          <w:lang w:val="en-GB"/>
        </w:rPr>
        <w:t xml:space="preserve">a </w:t>
      </w:r>
      <w:r w:rsidRPr="00B23162">
        <w:rPr>
          <w:spacing w:val="-2"/>
          <w:shd w:val="clear" w:color="auto" w:fill="FFFFFF"/>
          <w:lang w:val="en-GB"/>
        </w:rPr>
        <w:t>spinoff further, the</w:t>
      </w:r>
      <w:r w:rsidR="00B54CC6" w:rsidRPr="00B23162">
        <w:rPr>
          <w:spacing w:val="-2"/>
          <w:shd w:val="clear" w:color="auto" w:fill="FFFFFF"/>
          <w:lang w:val="en-GB"/>
        </w:rPr>
        <w:t xml:space="preserve"> team</w:t>
      </w:r>
      <w:r w:rsidRPr="00B23162">
        <w:rPr>
          <w:spacing w:val="-2"/>
          <w:shd w:val="clear" w:color="auto" w:fill="FFFFFF"/>
          <w:lang w:val="en-GB"/>
        </w:rPr>
        <w:t xml:space="preserve"> discussed the extent of autonomy </w:t>
      </w:r>
      <w:r w:rsidR="00B23162" w:rsidRPr="00B23162">
        <w:rPr>
          <w:spacing w:val="-2"/>
          <w:shd w:val="clear" w:color="auto" w:fill="FFFFFF"/>
          <w:lang w:val="en-GB"/>
        </w:rPr>
        <w:t xml:space="preserve">that </w:t>
      </w:r>
      <w:r w:rsidRPr="00B23162">
        <w:rPr>
          <w:spacing w:val="-2"/>
          <w:shd w:val="clear" w:color="auto" w:fill="FFFFFF"/>
          <w:lang w:val="en-GB"/>
        </w:rPr>
        <w:t xml:space="preserve">such a move would provide them </w:t>
      </w:r>
      <w:r w:rsidR="00B23162" w:rsidRPr="00B23162">
        <w:rPr>
          <w:spacing w:val="-2"/>
          <w:shd w:val="clear" w:color="auto" w:fill="FFFFFF"/>
          <w:lang w:val="en-GB"/>
        </w:rPr>
        <w:t xml:space="preserve">with </w:t>
      </w:r>
      <w:r w:rsidRPr="00B23162">
        <w:rPr>
          <w:spacing w:val="-2"/>
          <w:shd w:val="clear" w:color="auto" w:fill="FFFFFF"/>
          <w:lang w:val="en-GB"/>
        </w:rPr>
        <w:t xml:space="preserve">in </w:t>
      </w:r>
      <w:r w:rsidR="00224C44" w:rsidRPr="00B23162">
        <w:rPr>
          <w:spacing w:val="-2"/>
          <w:shd w:val="clear" w:color="auto" w:fill="FFFFFF"/>
          <w:lang w:val="en-GB"/>
        </w:rPr>
        <w:t xml:space="preserve">terms of </w:t>
      </w:r>
      <w:r w:rsidRPr="00B23162">
        <w:rPr>
          <w:spacing w:val="-2"/>
          <w:shd w:val="clear" w:color="auto" w:fill="FFFFFF"/>
          <w:lang w:val="en-GB"/>
        </w:rPr>
        <w:t xml:space="preserve">revamping the business model and making it more localized. They were </w:t>
      </w:r>
      <w:proofErr w:type="spellStart"/>
      <w:r w:rsidRPr="00B23162">
        <w:rPr>
          <w:spacing w:val="-2"/>
          <w:shd w:val="clear" w:color="auto" w:fill="FFFFFF"/>
          <w:lang w:val="en-GB"/>
        </w:rPr>
        <w:t>s</w:t>
      </w:r>
      <w:r w:rsidR="00360890" w:rsidRPr="00B23162">
        <w:rPr>
          <w:spacing w:val="-2"/>
          <w:shd w:val="clear" w:color="auto" w:fill="FFFFFF"/>
          <w:lang w:val="en-GB"/>
        </w:rPr>
        <w:t>k</w:t>
      </w:r>
      <w:r w:rsidRPr="00B23162">
        <w:rPr>
          <w:spacing w:val="-2"/>
          <w:shd w:val="clear" w:color="auto" w:fill="FFFFFF"/>
          <w:lang w:val="en-GB"/>
        </w:rPr>
        <w:t>eptical</w:t>
      </w:r>
      <w:proofErr w:type="spellEnd"/>
      <w:r w:rsidRPr="00B23162">
        <w:rPr>
          <w:spacing w:val="-2"/>
          <w:shd w:val="clear" w:color="auto" w:fill="FFFFFF"/>
          <w:lang w:val="en-GB"/>
        </w:rPr>
        <w:t xml:space="preserve"> of the role of the existing team </w:t>
      </w:r>
      <w:r w:rsidR="005F06E7" w:rsidRPr="00B23162">
        <w:rPr>
          <w:spacing w:val="-2"/>
          <w:shd w:val="clear" w:color="auto" w:fill="FFFFFF"/>
          <w:lang w:val="en-GB"/>
        </w:rPr>
        <w:t xml:space="preserve">if </w:t>
      </w:r>
      <w:r w:rsidRPr="00B23162">
        <w:rPr>
          <w:spacing w:val="-2"/>
          <w:shd w:val="clear" w:color="auto" w:fill="FFFFFF"/>
          <w:lang w:val="en-GB"/>
        </w:rPr>
        <w:t>the spinoff</w:t>
      </w:r>
      <w:r w:rsidR="00224C44" w:rsidRPr="00B23162">
        <w:rPr>
          <w:spacing w:val="-2"/>
          <w:shd w:val="clear" w:color="auto" w:fill="FFFFFF"/>
          <w:lang w:val="en-GB"/>
        </w:rPr>
        <w:t xml:space="preserve"> option was pursued</w:t>
      </w:r>
      <w:r w:rsidRPr="00B23162">
        <w:rPr>
          <w:spacing w:val="-2"/>
          <w:shd w:val="clear" w:color="auto" w:fill="FFFFFF"/>
          <w:lang w:val="en-GB"/>
        </w:rPr>
        <w:t xml:space="preserve">. </w:t>
      </w:r>
    </w:p>
    <w:p w14:paraId="37B0378E" w14:textId="77777777" w:rsidR="00E67B15" w:rsidRPr="004E5FE9" w:rsidRDefault="00E67B15" w:rsidP="00E67B15">
      <w:pPr>
        <w:pStyle w:val="BodyTextMain"/>
        <w:rPr>
          <w:color w:val="000000" w:themeColor="text1"/>
          <w:shd w:val="clear" w:color="auto" w:fill="FFFFFF"/>
          <w:lang w:val="en-GB"/>
        </w:rPr>
      </w:pPr>
    </w:p>
    <w:p w14:paraId="7E501FB8" w14:textId="7FE72CC7" w:rsidR="00E67B15" w:rsidRPr="004C4863" w:rsidRDefault="00E67B15" w:rsidP="004C4863">
      <w:pPr>
        <w:pStyle w:val="BodyTextMain"/>
      </w:pPr>
      <w:r w:rsidRPr="004C4863">
        <w:t xml:space="preserve">After </w:t>
      </w:r>
      <w:r w:rsidR="00B54CC6" w:rsidRPr="004C4863">
        <w:t>much</w:t>
      </w:r>
      <w:r w:rsidRPr="004C4863">
        <w:t xml:space="preserve"> deliberation on possible alternatives, the team decided to propose a management buyout</w:t>
      </w:r>
      <w:r w:rsidR="00B23162" w:rsidRPr="00B23162">
        <w:t xml:space="preserve"> </w:t>
      </w:r>
      <w:r w:rsidR="00B23162" w:rsidRPr="004C4863">
        <w:t xml:space="preserve">to Groupon Inc. </w:t>
      </w:r>
      <w:r w:rsidRPr="004C4863">
        <w:t>for the Indian operations. The team finali</w:t>
      </w:r>
      <w:r w:rsidR="00360890" w:rsidRPr="004C4863">
        <w:t>zed</w:t>
      </w:r>
      <w:r w:rsidRPr="004C4863">
        <w:t xml:space="preserve"> the proposal and </w:t>
      </w:r>
      <w:proofErr w:type="spellStart"/>
      <w:r w:rsidR="00AC6CF8" w:rsidRPr="004C4863">
        <w:t>Warikoo</w:t>
      </w:r>
      <w:proofErr w:type="spellEnd"/>
      <w:r w:rsidRPr="004C4863">
        <w:t xml:space="preserve"> pitched </w:t>
      </w:r>
      <w:r w:rsidR="00B54CC6" w:rsidRPr="004C4863">
        <w:t>it</w:t>
      </w:r>
      <w:r w:rsidRPr="004C4863">
        <w:t xml:space="preserve"> to the CEO of Groupon</w:t>
      </w:r>
      <w:r w:rsidR="00911750" w:rsidRPr="004C4863">
        <w:t xml:space="preserve"> Inc</w:t>
      </w:r>
      <w:r w:rsidRPr="004C4863">
        <w:t xml:space="preserve">. The CEO seemed interested in the idea and asked </w:t>
      </w:r>
      <w:proofErr w:type="spellStart"/>
      <w:r w:rsidR="00AC6CF8" w:rsidRPr="004C4863">
        <w:t>Warikoo</w:t>
      </w:r>
      <w:proofErr w:type="spellEnd"/>
      <w:r w:rsidRPr="004C4863">
        <w:t xml:space="preserve"> to look for investors for the buyout. </w:t>
      </w:r>
    </w:p>
    <w:p w14:paraId="62DDCD94" w14:textId="77777777" w:rsidR="00E67B15" w:rsidRPr="004E5FE9" w:rsidRDefault="00E67B15" w:rsidP="00E67B15">
      <w:pPr>
        <w:pStyle w:val="BodyTextMain"/>
        <w:rPr>
          <w:caps/>
          <w:spacing w:val="-2"/>
          <w:lang w:val="en-GB"/>
        </w:rPr>
      </w:pPr>
    </w:p>
    <w:p w14:paraId="72248ACB" w14:textId="77777777" w:rsidR="00E67B15" w:rsidRPr="004E5FE9" w:rsidRDefault="00E67B15" w:rsidP="00E67B15">
      <w:pPr>
        <w:pStyle w:val="BodyTextMain"/>
        <w:rPr>
          <w:caps/>
          <w:lang w:val="en-GB"/>
        </w:rPr>
      </w:pPr>
    </w:p>
    <w:p w14:paraId="7EED7A63" w14:textId="77777777" w:rsidR="00E67B15" w:rsidRPr="004E5FE9" w:rsidRDefault="00E67B15" w:rsidP="00E67B15">
      <w:pPr>
        <w:pStyle w:val="Casehead1"/>
        <w:rPr>
          <w:lang w:val="en-GB"/>
        </w:rPr>
      </w:pPr>
      <w:r w:rsidRPr="004E5FE9">
        <w:rPr>
          <w:lang w:val="en-GB"/>
        </w:rPr>
        <w:t xml:space="preserve">the Management Buyout </w:t>
      </w:r>
    </w:p>
    <w:p w14:paraId="777D36DA" w14:textId="77777777" w:rsidR="00E67B15" w:rsidRPr="004E5FE9" w:rsidRDefault="00E67B15" w:rsidP="00E67B15">
      <w:pPr>
        <w:pStyle w:val="BodyTextMain"/>
        <w:rPr>
          <w:lang w:val="en-GB"/>
        </w:rPr>
      </w:pPr>
    </w:p>
    <w:p w14:paraId="19AE3206" w14:textId="6B2A294D" w:rsidR="00E67B15" w:rsidRPr="004E5FE9" w:rsidRDefault="00E67B15" w:rsidP="00E67B15">
      <w:pPr>
        <w:pStyle w:val="BodyTextMain"/>
        <w:rPr>
          <w:lang w:val="en-GB"/>
        </w:rPr>
      </w:pPr>
      <w:r w:rsidRPr="004E5FE9">
        <w:rPr>
          <w:lang w:val="en-GB"/>
        </w:rPr>
        <w:t>A management buyout typically entail</w:t>
      </w:r>
      <w:r w:rsidR="00911750" w:rsidRPr="004E5FE9">
        <w:rPr>
          <w:lang w:val="en-GB"/>
        </w:rPr>
        <w:t>ed</w:t>
      </w:r>
      <w:r w:rsidRPr="004E5FE9">
        <w:rPr>
          <w:lang w:val="en-GB"/>
        </w:rPr>
        <w:t xml:space="preserve"> </w:t>
      </w:r>
      <w:r w:rsidR="006253D2" w:rsidRPr="004E5FE9">
        <w:rPr>
          <w:lang w:val="en-GB"/>
        </w:rPr>
        <w:t>a company’s</w:t>
      </w:r>
      <w:r w:rsidRPr="004E5FE9">
        <w:rPr>
          <w:lang w:val="en-GB"/>
        </w:rPr>
        <w:t xml:space="preserve"> top management buying the company from the existing shareholders</w:t>
      </w:r>
      <w:r w:rsidR="006253D2" w:rsidRPr="004E5FE9">
        <w:rPr>
          <w:lang w:val="en-GB"/>
        </w:rPr>
        <w:t>,</w:t>
      </w:r>
      <w:r w:rsidRPr="004E5FE9">
        <w:rPr>
          <w:lang w:val="en-GB"/>
        </w:rPr>
        <w:t xml:space="preserve"> usually with the help of outside investors. </w:t>
      </w:r>
      <w:proofErr w:type="spellStart"/>
      <w:r w:rsidR="00AC6CF8" w:rsidRPr="004E5FE9">
        <w:rPr>
          <w:lang w:val="en-GB"/>
        </w:rPr>
        <w:t>Warikoo</w:t>
      </w:r>
      <w:proofErr w:type="spellEnd"/>
      <w:r w:rsidRPr="004E5FE9">
        <w:rPr>
          <w:lang w:val="en-GB"/>
        </w:rPr>
        <w:t xml:space="preserve"> understood that Groupon </w:t>
      </w:r>
      <w:r w:rsidR="006253D2" w:rsidRPr="004E5FE9">
        <w:rPr>
          <w:lang w:val="en-GB"/>
        </w:rPr>
        <w:t>Inc.</w:t>
      </w:r>
      <w:r w:rsidRPr="004E5FE9">
        <w:rPr>
          <w:lang w:val="en-GB"/>
        </w:rPr>
        <w:t xml:space="preserve"> </w:t>
      </w:r>
      <w:r w:rsidR="006253D2" w:rsidRPr="004E5FE9">
        <w:rPr>
          <w:lang w:val="en-GB"/>
        </w:rPr>
        <w:t>w</w:t>
      </w:r>
      <w:r w:rsidR="00911750" w:rsidRPr="004E5FE9">
        <w:rPr>
          <w:lang w:val="en-GB"/>
        </w:rPr>
        <w:t>anted</w:t>
      </w:r>
      <w:r w:rsidRPr="004E5FE9">
        <w:rPr>
          <w:lang w:val="en-GB"/>
        </w:rPr>
        <w:t xml:space="preserve"> to remain a shareholder in the new entity</w:t>
      </w:r>
      <w:r w:rsidR="00911750" w:rsidRPr="004E5FE9">
        <w:rPr>
          <w:lang w:val="en-GB"/>
        </w:rPr>
        <w:t>,</w:t>
      </w:r>
      <w:r w:rsidRPr="004E5FE9">
        <w:rPr>
          <w:lang w:val="en-GB"/>
        </w:rPr>
        <w:t xml:space="preserve"> with the top management </w:t>
      </w:r>
      <w:r w:rsidR="00911750" w:rsidRPr="004E5FE9">
        <w:rPr>
          <w:lang w:val="en-GB"/>
        </w:rPr>
        <w:t xml:space="preserve">team </w:t>
      </w:r>
      <w:r w:rsidRPr="004E5FE9">
        <w:rPr>
          <w:lang w:val="en-GB"/>
        </w:rPr>
        <w:t>at Groupon India being one of the other shareholders. After his meeting with the CEO</w:t>
      </w:r>
      <w:r w:rsidR="00911750" w:rsidRPr="004E5FE9">
        <w:rPr>
          <w:lang w:val="en-GB"/>
        </w:rPr>
        <w:t xml:space="preserve"> of Groupon Inc.</w:t>
      </w:r>
      <w:r w:rsidRPr="004E5FE9">
        <w:rPr>
          <w:lang w:val="en-GB"/>
        </w:rPr>
        <w:t xml:space="preserve">, </w:t>
      </w:r>
      <w:proofErr w:type="spellStart"/>
      <w:r w:rsidR="00AC6CF8" w:rsidRPr="004E5FE9">
        <w:rPr>
          <w:lang w:val="en-GB"/>
        </w:rPr>
        <w:t>Warikoo</w:t>
      </w:r>
      <w:proofErr w:type="spellEnd"/>
      <w:r w:rsidRPr="004E5FE9">
        <w:rPr>
          <w:lang w:val="en-GB"/>
        </w:rPr>
        <w:t xml:space="preserve"> and his team </w:t>
      </w:r>
      <w:r w:rsidR="00911750" w:rsidRPr="004E5FE9">
        <w:rPr>
          <w:lang w:val="en-GB"/>
        </w:rPr>
        <w:t>began</w:t>
      </w:r>
      <w:r w:rsidRPr="004E5FE9">
        <w:rPr>
          <w:lang w:val="en-GB"/>
        </w:rPr>
        <w:t xml:space="preserve"> talking to various </w:t>
      </w:r>
      <w:r w:rsidR="00911750" w:rsidRPr="004E5FE9">
        <w:rPr>
          <w:lang w:val="en-GB"/>
        </w:rPr>
        <w:t>v</w:t>
      </w:r>
      <w:r w:rsidRPr="004E5FE9">
        <w:rPr>
          <w:lang w:val="en-GB"/>
        </w:rPr>
        <w:t xml:space="preserve">enture </w:t>
      </w:r>
      <w:r w:rsidR="00911750" w:rsidRPr="004E5FE9">
        <w:rPr>
          <w:lang w:val="en-GB"/>
        </w:rPr>
        <w:t>c</w:t>
      </w:r>
      <w:r w:rsidRPr="004E5FE9">
        <w:rPr>
          <w:lang w:val="en-GB"/>
        </w:rPr>
        <w:t xml:space="preserve">apitalists and </w:t>
      </w:r>
      <w:r w:rsidR="00911750" w:rsidRPr="004E5FE9">
        <w:rPr>
          <w:lang w:val="en-GB"/>
        </w:rPr>
        <w:t>p</w:t>
      </w:r>
      <w:r w:rsidRPr="004E5FE9">
        <w:rPr>
          <w:lang w:val="en-GB"/>
        </w:rPr>
        <w:t xml:space="preserve">rivate </w:t>
      </w:r>
      <w:r w:rsidR="00911750" w:rsidRPr="004E5FE9">
        <w:rPr>
          <w:lang w:val="en-GB"/>
        </w:rPr>
        <w:t>e</w:t>
      </w:r>
      <w:r w:rsidRPr="004E5FE9">
        <w:rPr>
          <w:lang w:val="en-GB"/>
        </w:rPr>
        <w:t>quity investors</w:t>
      </w:r>
      <w:r w:rsidR="00911750" w:rsidRPr="004E5FE9">
        <w:rPr>
          <w:lang w:val="en-GB"/>
        </w:rPr>
        <w:t>, including Sequoia</w:t>
      </w:r>
      <w:r w:rsidRPr="004E5FE9">
        <w:rPr>
          <w:lang w:val="en-GB"/>
        </w:rPr>
        <w:t>. The</w:t>
      </w:r>
      <w:r w:rsidR="00911750" w:rsidRPr="004E5FE9">
        <w:rPr>
          <w:lang w:val="en-GB"/>
        </w:rPr>
        <w:t xml:space="preserve"> team was</w:t>
      </w:r>
      <w:r w:rsidRPr="004E5FE9">
        <w:rPr>
          <w:lang w:val="en-GB"/>
        </w:rPr>
        <w:t xml:space="preserve"> looking at an investment of </w:t>
      </w:r>
      <w:r w:rsidR="00911750" w:rsidRPr="004E5FE9">
        <w:rPr>
          <w:rFonts w:ascii="Arial" w:hAnsi="Arial" w:cs="Arial"/>
          <w:color w:val="222222"/>
          <w:shd w:val="clear" w:color="auto" w:fill="FFFFFF"/>
          <w:lang w:val="en-GB"/>
        </w:rPr>
        <w:t>₹</w:t>
      </w:r>
      <w:r w:rsidRPr="004E5FE9">
        <w:rPr>
          <w:lang w:val="en-GB"/>
        </w:rPr>
        <w:t>800</w:t>
      </w:r>
      <w:r w:rsidR="00224C44">
        <w:rPr>
          <w:lang w:val="en-GB"/>
        </w:rPr>
        <w:t xml:space="preserve"> million</w:t>
      </w:r>
      <w:r w:rsidR="00911750" w:rsidRPr="004E5FE9">
        <w:rPr>
          <w:lang w:val="en-GB"/>
        </w:rPr>
        <w:t>–</w:t>
      </w:r>
      <w:r w:rsidRPr="004E5FE9">
        <w:rPr>
          <w:lang w:val="en-GB"/>
        </w:rPr>
        <w:t>1</w:t>
      </w:r>
      <w:r w:rsidR="00911750" w:rsidRPr="004E5FE9">
        <w:rPr>
          <w:lang w:val="en-GB"/>
        </w:rPr>
        <w:t>,</w:t>
      </w:r>
      <w:r w:rsidRPr="004E5FE9">
        <w:rPr>
          <w:lang w:val="en-GB"/>
        </w:rPr>
        <w:t>200 million for expansion and localization.</w:t>
      </w:r>
    </w:p>
    <w:p w14:paraId="4AC1C827" w14:textId="77777777" w:rsidR="00E67B15" w:rsidRPr="004E5FE9" w:rsidRDefault="00E67B15" w:rsidP="00E67B15">
      <w:pPr>
        <w:pStyle w:val="BodyTextMain"/>
        <w:rPr>
          <w:lang w:val="en-GB"/>
        </w:rPr>
      </w:pPr>
    </w:p>
    <w:p w14:paraId="162C1A0D" w14:textId="204B5D5A" w:rsidR="00E67B15" w:rsidRPr="004E5FE9" w:rsidRDefault="00E67B15" w:rsidP="00E67B15">
      <w:pPr>
        <w:pStyle w:val="BodyTextMain"/>
        <w:rPr>
          <w:lang w:val="en-GB"/>
        </w:rPr>
      </w:pPr>
      <w:r w:rsidRPr="004E5FE9">
        <w:rPr>
          <w:lang w:val="en-GB"/>
        </w:rPr>
        <w:t xml:space="preserve">On January 24, 2015, the management team at Groupon India met to discuss the points </w:t>
      </w:r>
      <w:r w:rsidR="007D6FD1" w:rsidRPr="004E5FE9">
        <w:rPr>
          <w:lang w:val="en-GB"/>
        </w:rPr>
        <w:t xml:space="preserve">in their term sheet that </w:t>
      </w:r>
      <w:r w:rsidRPr="004E5FE9">
        <w:rPr>
          <w:lang w:val="en-GB"/>
        </w:rPr>
        <w:t xml:space="preserve">they deemed essential and </w:t>
      </w:r>
      <w:r w:rsidR="0037750B" w:rsidRPr="004E5FE9">
        <w:rPr>
          <w:lang w:val="en-GB"/>
        </w:rPr>
        <w:t xml:space="preserve">presumed </w:t>
      </w:r>
      <w:r w:rsidRPr="004E5FE9">
        <w:rPr>
          <w:lang w:val="en-GB"/>
        </w:rPr>
        <w:t xml:space="preserve">would be </w:t>
      </w:r>
      <w:r w:rsidR="00224C44">
        <w:rPr>
          <w:lang w:val="en-GB"/>
        </w:rPr>
        <w:t>raised</w:t>
      </w:r>
      <w:r w:rsidRPr="004E5FE9">
        <w:rPr>
          <w:lang w:val="en-GB"/>
        </w:rPr>
        <w:t xml:space="preserve"> by Sequoia in the negotiations</w:t>
      </w:r>
      <w:r w:rsidR="00B23162">
        <w:rPr>
          <w:lang w:val="en-GB"/>
        </w:rPr>
        <w:t xml:space="preserve"> </w:t>
      </w:r>
      <w:r w:rsidR="00B23162" w:rsidRPr="004E5FE9">
        <w:rPr>
          <w:lang w:val="en-GB"/>
        </w:rPr>
        <w:t>(see Exhibit 4)</w:t>
      </w:r>
      <w:r w:rsidRPr="004E5FE9">
        <w:rPr>
          <w:lang w:val="en-GB"/>
        </w:rPr>
        <w:t>.</w:t>
      </w:r>
      <w:r w:rsidR="007D6FD1" w:rsidRPr="004E5FE9">
        <w:rPr>
          <w:lang w:val="en-GB"/>
        </w:rPr>
        <w:t xml:space="preserve"> They discussed the</w:t>
      </w:r>
      <w:r w:rsidRPr="004E5FE9">
        <w:rPr>
          <w:lang w:val="en-GB"/>
        </w:rPr>
        <w:t xml:space="preserve"> company</w:t>
      </w:r>
      <w:r w:rsidR="007D6FD1" w:rsidRPr="004E5FE9">
        <w:rPr>
          <w:lang w:val="en-GB"/>
        </w:rPr>
        <w:t>’s value:</w:t>
      </w:r>
      <w:r w:rsidRPr="004E5FE9">
        <w:rPr>
          <w:lang w:val="en-GB"/>
        </w:rPr>
        <w:t xml:space="preserve"> If they </w:t>
      </w:r>
      <w:r w:rsidR="007D6FD1" w:rsidRPr="004E5FE9">
        <w:rPr>
          <w:lang w:val="en-GB"/>
        </w:rPr>
        <w:t xml:space="preserve">agreed on </w:t>
      </w:r>
      <w:r w:rsidR="00CD570C">
        <w:rPr>
          <w:lang w:val="en-GB"/>
        </w:rPr>
        <w:t xml:space="preserve">a </w:t>
      </w:r>
      <w:r w:rsidRPr="004E5FE9">
        <w:rPr>
          <w:lang w:val="en-GB"/>
        </w:rPr>
        <w:t>higher valuation, they would have to dilute less and their equity stake would become more valuable</w:t>
      </w:r>
      <w:r w:rsidR="007D6FD1" w:rsidRPr="004E5FE9">
        <w:rPr>
          <w:lang w:val="en-GB"/>
        </w:rPr>
        <w:t>;</w:t>
      </w:r>
      <w:r w:rsidRPr="004E5FE9">
        <w:rPr>
          <w:lang w:val="en-GB"/>
        </w:rPr>
        <w:t xml:space="preserve"> if they went for </w:t>
      </w:r>
      <w:r w:rsidR="00CD570C">
        <w:rPr>
          <w:lang w:val="en-GB"/>
        </w:rPr>
        <w:t xml:space="preserve">a </w:t>
      </w:r>
      <w:r w:rsidRPr="004E5FE9">
        <w:rPr>
          <w:lang w:val="en-GB"/>
        </w:rPr>
        <w:t>lower valuation, they would have to be ready to give up some amount of financial gain for more voting rights. As per the management team’s estimates, the pre</w:t>
      </w:r>
      <w:r w:rsidR="007D6FD1" w:rsidRPr="004E5FE9">
        <w:rPr>
          <w:lang w:val="en-GB"/>
        </w:rPr>
        <w:t>-</w:t>
      </w:r>
      <w:r w:rsidRPr="004E5FE9">
        <w:rPr>
          <w:lang w:val="en-GB"/>
        </w:rPr>
        <w:t xml:space="preserve">money value of the company was approximately </w:t>
      </w:r>
      <w:r w:rsidR="00911750" w:rsidRPr="004E5FE9">
        <w:rPr>
          <w:rFonts w:ascii="Arial" w:hAnsi="Arial" w:cs="Arial"/>
          <w:color w:val="222222"/>
          <w:shd w:val="clear" w:color="auto" w:fill="FFFFFF"/>
          <w:lang w:val="en-GB"/>
        </w:rPr>
        <w:t>₹</w:t>
      </w:r>
      <w:r w:rsidRPr="004E5FE9">
        <w:rPr>
          <w:lang w:val="en-GB"/>
        </w:rPr>
        <w:t>2</w:t>
      </w:r>
      <w:r w:rsidR="00911750" w:rsidRPr="004E5FE9">
        <w:rPr>
          <w:lang w:val="en-GB"/>
        </w:rPr>
        <w:t>.</w:t>
      </w:r>
      <w:r w:rsidRPr="004E5FE9">
        <w:rPr>
          <w:lang w:val="en-GB"/>
        </w:rPr>
        <w:t xml:space="preserve">3 </w:t>
      </w:r>
      <w:r w:rsidR="00911750" w:rsidRPr="004E5FE9">
        <w:rPr>
          <w:lang w:val="en-GB"/>
        </w:rPr>
        <w:t>b</w:t>
      </w:r>
      <w:r w:rsidRPr="004E5FE9">
        <w:rPr>
          <w:lang w:val="en-GB"/>
        </w:rPr>
        <w:t xml:space="preserve">illion. How should the shareholding pattern of the new entity be decided? Should all three shareholders have </w:t>
      </w:r>
      <w:r w:rsidR="0043057A" w:rsidRPr="004E5FE9">
        <w:rPr>
          <w:lang w:val="en-GB"/>
        </w:rPr>
        <w:t xml:space="preserve">an </w:t>
      </w:r>
      <w:r w:rsidRPr="004E5FE9">
        <w:rPr>
          <w:lang w:val="en-GB"/>
        </w:rPr>
        <w:t xml:space="preserve">equal stake in the business? What would the repercussions </w:t>
      </w:r>
      <w:r w:rsidR="0043057A" w:rsidRPr="004E5FE9">
        <w:rPr>
          <w:lang w:val="en-GB"/>
        </w:rPr>
        <w:t xml:space="preserve">be </w:t>
      </w:r>
      <w:r w:rsidRPr="004E5FE9">
        <w:rPr>
          <w:lang w:val="en-GB"/>
        </w:rPr>
        <w:t>if one of the shareholders ha</w:t>
      </w:r>
      <w:r w:rsidR="007D6FD1" w:rsidRPr="004E5FE9">
        <w:rPr>
          <w:lang w:val="en-GB"/>
        </w:rPr>
        <w:t>d</w:t>
      </w:r>
      <w:r w:rsidRPr="004E5FE9">
        <w:rPr>
          <w:lang w:val="en-GB"/>
        </w:rPr>
        <w:t xml:space="preserve"> a majority stake? The</w:t>
      </w:r>
      <w:r w:rsidR="007D6FD1" w:rsidRPr="004E5FE9">
        <w:rPr>
          <w:lang w:val="en-GB"/>
        </w:rPr>
        <w:t xml:space="preserve"> management team</w:t>
      </w:r>
      <w:r w:rsidRPr="004E5FE9">
        <w:rPr>
          <w:lang w:val="en-GB"/>
        </w:rPr>
        <w:t xml:space="preserve"> </w:t>
      </w:r>
      <w:r w:rsidR="007D6FD1" w:rsidRPr="004E5FE9">
        <w:rPr>
          <w:lang w:val="en-GB"/>
        </w:rPr>
        <w:t>discussed</w:t>
      </w:r>
      <w:r w:rsidRPr="004E5FE9">
        <w:rPr>
          <w:lang w:val="en-GB"/>
        </w:rPr>
        <w:t xml:space="preserve"> several shareholding options</w:t>
      </w:r>
      <w:r w:rsidR="007D6FD1" w:rsidRPr="004E5FE9">
        <w:rPr>
          <w:lang w:val="en-GB"/>
        </w:rPr>
        <w:t>, and considered</w:t>
      </w:r>
      <w:r w:rsidRPr="004E5FE9">
        <w:rPr>
          <w:lang w:val="en-GB"/>
        </w:rPr>
        <w:t xml:space="preserve"> </w:t>
      </w:r>
      <w:r w:rsidR="007D6FD1" w:rsidRPr="004E5FE9">
        <w:rPr>
          <w:lang w:val="en-GB"/>
        </w:rPr>
        <w:t>h</w:t>
      </w:r>
      <w:r w:rsidRPr="004E5FE9">
        <w:rPr>
          <w:lang w:val="en-GB"/>
        </w:rPr>
        <w:t>ow many directors should be on the board</w:t>
      </w:r>
      <w:r w:rsidR="007D6FD1" w:rsidRPr="004E5FE9">
        <w:rPr>
          <w:lang w:val="en-GB"/>
        </w:rPr>
        <w:t xml:space="preserve"> and</w:t>
      </w:r>
      <w:r w:rsidRPr="004E5FE9">
        <w:rPr>
          <w:lang w:val="en-GB"/>
        </w:rPr>
        <w:t xml:space="preserve"> </w:t>
      </w:r>
      <w:r w:rsidR="007D6FD1" w:rsidRPr="004E5FE9">
        <w:rPr>
          <w:lang w:val="en-GB"/>
        </w:rPr>
        <w:t>h</w:t>
      </w:r>
      <w:r w:rsidRPr="004E5FE9">
        <w:rPr>
          <w:lang w:val="en-GB"/>
        </w:rPr>
        <w:t>ow the board of directors</w:t>
      </w:r>
      <w:r w:rsidR="007D6FD1" w:rsidRPr="004E5FE9">
        <w:rPr>
          <w:lang w:val="en-GB"/>
        </w:rPr>
        <w:t xml:space="preserve"> would</w:t>
      </w:r>
      <w:r w:rsidRPr="004E5FE9">
        <w:rPr>
          <w:lang w:val="en-GB"/>
        </w:rPr>
        <w:t xml:space="preserve"> be chosen</w:t>
      </w:r>
      <w:r w:rsidR="00B23162">
        <w:rPr>
          <w:lang w:val="en-GB"/>
        </w:rPr>
        <w:t xml:space="preserve"> </w:t>
      </w:r>
      <w:r w:rsidR="00B23162" w:rsidRPr="004E5FE9">
        <w:rPr>
          <w:lang w:val="en-GB"/>
        </w:rPr>
        <w:t>(see Exhibit 5)</w:t>
      </w:r>
      <w:r w:rsidR="007D6FD1" w:rsidRPr="004E5FE9">
        <w:rPr>
          <w:lang w:val="en-GB"/>
        </w:rPr>
        <w:t>.</w:t>
      </w:r>
      <w:r w:rsidRPr="004E5FE9">
        <w:rPr>
          <w:lang w:val="en-GB"/>
        </w:rPr>
        <w:t xml:space="preserve"> The</w:t>
      </w:r>
      <w:r w:rsidR="007D6FD1" w:rsidRPr="004E5FE9">
        <w:rPr>
          <w:lang w:val="en-GB"/>
        </w:rPr>
        <w:t>y</w:t>
      </w:r>
      <w:r w:rsidRPr="004E5FE9">
        <w:rPr>
          <w:lang w:val="en-GB"/>
        </w:rPr>
        <w:t xml:space="preserve"> also deliberated on dividend rights, liquidation preference, anti-dilution protection</w:t>
      </w:r>
      <w:r w:rsidR="007D6FD1" w:rsidRPr="004E5FE9">
        <w:rPr>
          <w:lang w:val="en-GB"/>
        </w:rPr>
        <w:t>,</w:t>
      </w:r>
      <w:r w:rsidRPr="004E5FE9">
        <w:rPr>
          <w:lang w:val="en-GB"/>
        </w:rPr>
        <w:t xml:space="preserve"> and other terms.</w:t>
      </w:r>
    </w:p>
    <w:p w14:paraId="34F01CFF" w14:textId="77777777" w:rsidR="00E67B15" w:rsidRPr="004E5FE9" w:rsidRDefault="00E67B15" w:rsidP="00E67B15">
      <w:pPr>
        <w:pStyle w:val="BodyTextMain"/>
        <w:rPr>
          <w:lang w:val="en-GB"/>
        </w:rPr>
      </w:pPr>
    </w:p>
    <w:p w14:paraId="46DCACEB" w14:textId="0B0E3209" w:rsidR="0012603D" w:rsidRPr="004E5FE9" w:rsidRDefault="00AC6CF8" w:rsidP="00CD570C">
      <w:pPr>
        <w:pStyle w:val="BodyTextMain"/>
        <w:rPr>
          <w:lang w:val="en-GB"/>
        </w:rPr>
      </w:pPr>
      <w:proofErr w:type="spellStart"/>
      <w:r w:rsidRPr="004E5FE9">
        <w:rPr>
          <w:spacing w:val="-2"/>
          <w:lang w:val="en-GB"/>
        </w:rPr>
        <w:t>Warikoo</w:t>
      </w:r>
      <w:proofErr w:type="spellEnd"/>
      <w:r w:rsidR="00E67B15" w:rsidRPr="004E5FE9">
        <w:rPr>
          <w:spacing w:val="-2"/>
          <w:lang w:val="en-GB"/>
        </w:rPr>
        <w:t xml:space="preserve"> was </w:t>
      </w:r>
      <w:r w:rsidR="007D6FD1" w:rsidRPr="004E5FE9">
        <w:rPr>
          <w:spacing w:val="-2"/>
          <w:lang w:val="en-GB"/>
        </w:rPr>
        <w:t>hoping</w:t>
      </w:r>
      <w:r w:rsidR="00E67B15" w:rsidRPr="004E5FE9">
        <w:rPr>
          <w:spacing w:val="-2"/>
          <w:lang w:val="en-GB"/>
        </w:rPr>
        <w:t xml:space="preserve"> for a positive response from Sequoia. He was confident </w:t>
      </w:r>
      <w:r w:rsidR="00231E8E" w:rsidRPr="004E5FE9">
        <w:rPr>
          <w:spacing w:val="-2"/>
          <w:lang w:val="en-GB"/>
        </w:rPr>
        <w:t>in</w:t>
      </w:r>
      <w:r w:rsidR="00E67B15" w:rsidRPr="004E5FE9">
        <w:rPr>
          <w:spacing w:val="-2"/>
          <w:lang w:val="en-GB"/>
        </w:rPr>
        <w:t xml:space="preserve"> the business model </w:t>
      </w:r>
      <w:r w:rsidR="00231E8E" w:rsidRPr="004E5FE9">
        <w:rPr>
          <w:spacing w:val="-2"/>
          <w:lang w:val="en-GB"/>
        </w:rPr>
        <w:t xml:space="preserve">proposed by his team </w:t>
      </w:r>
      <w:r w:rsidR="00E67B15" w:rsidRPr="004E5FE9">
        <w:rPr>
          <w:spacing w:val="-2"/>
          <w:lang w:val="en-GB"/>
        </w:rPr>
        <w:t xml:space="preserve">and was sure that Sequoia would come on board. The </w:t>
      </w:r>
      <w:r w:rsidR="00792263" w:rsidRPr="004E5FE9">
        <w:rPr>
          <w:spacing w:val="-2"/>
          <w:lang w:val="en-GB"/>
        </w:rPr>
        <w:t xml:space="preserve">only </w:t>
      </w:r>
      <w:r w:rsidR="00E67B15" w:rsidRPr="004E5FE9">
        <w:rPr>
          <w:spacing w:val="-2"/>
          <w:lang w:val="en-GB"/>
        </w:rPr>
        <w:t xml:space="preserve">question </w:t>
      </w:r>
      <w:r w:rsidR="00792263" w:rsidRPr="004E5FE9">
        <w:rPr>
          <w:spacing w:val="-2"/>
          <w:lang w:val="en-GB"/>
        </w:rPr>
        <w:t xml:space="preserve">remaining </w:t>
      </w:r>
      <w:r w:rsidR="00E67B15" w:rsidRPr="004E5FE9">
        <w:rPr>
          <w:spacing w:val="-2"/>
          <w:lang w:val="en-GB"/>
        </w:rPr>
        <w:t>was the size of the investment and the shareholding pattern</w:t>
      </w:r>
      <w:r w:rsidR="00792263" w:rsidRPr="004E5FE9">
        <w:rPr>
          <w:spacing w:val="-2"/>
          <w:lang w:val="en-GB"/>
        </w:rPr>
        <w:t xml:space="preserve">. He was rueful </w:t>
      </w:r>
      <w:r w:rsidR="00E67B15" w:rsidRPr="004E5FE9">
        <w:rPr>
          <w:spacing w:val="-2"/>
          <w:lang w:val="en-GB"/>
        </w:rPr>
        <w:t xml:space="preserve">that although it was called </w:t>
      </w:r>
      <w:r w:rsidR="00792263" w:rsidRPr="004E5FE9">
        <w:rPr>
          <w:spacing w:val="-2"/>
          <w:lang w:val="en-GB"/>
        </w:rPr>
        <w:t xml:space="preserve">a </w:t>
      </w:r>
      <w:r w:rsidR="00E67B15" w:rsidRPr="004E5FE9">
        <w:rPr>
          <w:spacing w:val="-2"/>
          <w:lang w:val="en-GB"/>
        </w:rPr>
        <w:t>management buyout</w:t>
      </w:r>
      <w:r w:rsidR="00792263" w:rsidRPr="004E5FE9">
        <w:rPr>
          <w:spacing w:val="-2"/>
          <w:lang w:val="en-GB"/>
        </w:rPr>
        <w:t>,</w:t>
      </w:r>
      <w:r w:rsidR="00E67B15" w:rsidRPr="004E5FE9">
        <w:rPr>
          <w:spacing w:val="-2"/>
          <w:lang w:val="en-GB"/>
        </w:rPr>
        <w:t xml:space="preserve"> management would never have majority control of the company. He wondered whether starting a new company in the same sector with 100</w:t>
      </w:r>
      <w:r w:rsidR="00836141" w:rsidRPr="004E5FE9">
        <w:rPr>
          <w:spacing w:val="-2"/>
          <w:lang w:val="en-GB"/>
        </w:rPr>
        <w:t xml:space="preserve"> per cent</w:t>
      </w:r>
      <w:r w:rsidR="00E67B15" w:rsidRPr="004E5FE9">
        <w:rPr>
          <w:spacing w:val="-2"/>
          <w:lang w:val="en-GB"/>
        </w:rPr>
        <w:t xml:space="preserve"> management control </w:t>
      </w:r>
      <w:r w:rsidR="00CD570C" w:rsidRPr="004E5FE9">
        <w:rPr>
          <w:spacing w:val="-2"/>
          <w:lang w:val="en-GB"/>
        </w:rPr>
        <w:t>w</w:t>
      </w:r>
      <w:r w:rsidR="00CD570C">
        <w:rPr>
          <w:spacing w:val="-2"/>
          <w:lang w:val="en-GB"/>
        </w:rPr>
        <w:t>ould be</w:t>
      </w:r>
      <w:r w:rsidR="00CD570C" w:rsidRPr="004E5FE9">
        <w:rPr>
          <w:spacing w:val="-2"/>
          <w:lang w:val="en-GB"/>
        </w:rPr>
        <w:t xml:space="preserve"> </w:t>
      </w:r>
      <w:r w:rsidR="00E67B15" w:rsidRPr="004E5FE9">
        <w:rPr>
          <w:spacing w:val="-2"/>
          <w:lang w:val="en-GB"/>
        </w:rPr>
        <w:t>a better option.</w:t>
      </w:r>
    </w:p>
    <w:p w14:paraId="1AE299A7" w14:textId="77777777" w:rsidR="004F068D" w:rsidRPr="004E5FE9" w:rsidRDefault="004F068D">
      <w:pPr>
        <w:spacing w:after="200" w:line="276" w:lineRule="auto"/>
        <w:rPr>
          <w:rFonts w:ascii="Arial" w:hAnsi="Arial" w:cs="Arial"/>
          <w:b/>
          <w:caps/>
          <w:lang w:val="en-GB"/>
        </w:rPr>
      </w:pPr>
      <w:r w:rsidRPr="004E5FE9">
        <w:rPr>
          <w:lang w:val="en-GB"/>
        </w:rPr>
        <w:br w:type="page"/>
      </w:r>
    </w:p>
    <w:p w14:paraId="022D4CD3" w14:textId="2AE058BB" w:rsidR="00E67B15" w:rsidRPr="004E5FE9" w:rsidRDefault="004F068D" w:rsidP="004F068D">
      <w:pPr>
        <w:pStyle w:val="ExhibitHeading"/>
        <w:keepNext/>
        <w:rPr>
          <w:lang w:val="en-GB"/>
        </w:rPr>
      </w:pPr>
      <w:r w:rsidRPr="004E5FE9">
        <w:rPr>
          <w:lang w:val="en-GB"/>
        </w:rPr>
        <w:lastRenderedPageBreak/>
        <w:t xml:space="preserve">Exhibit </w:t>
      </w:r>
      <w:r w:rsidR="00AC6CF8" w:rsidRPr="004E5FE9">
        <w:rPr>
          <w:lang w:val="en-GB"/>
        </w:rPr>
        <w:t xml:space="preserve">1: Biographies of </w:t>
      </w:r>
      <w:r w:rsidR="00CD570C">
        <w:rPr>
          <w:lang w:val="en-GB"/>
        </w:rPr>
        <w:t xml:space="preserve">groupon india’s </w:t>
      </w:r>
      <w:r w:rsidR="00AC6CF8" w:rsidRPr="004E5FE9">
        <w:rPr>
          <w:lang w:val="en-GB"/>
        </w:rPr>
        <w:t>Top Management Team</w:t>
      </w:r>
    </w:p>
    <w:p w14:paraId="1EE8F420" w14:textId="77777777" w:rsidR="00AC6CF8" w:rsidRPr="004E5FE9" w:rsidRDefault="00AC6CF8" w:rsidP="004F068D">
      <w:pPr>
        <w:pStyle w:val="ExhibitHeading"/>
        <w:keepNext/>
        <w:rPr>
          <w:sz w:val="18"/>
          <w:szCs w:val="18"/>
          <w:lang w:val="en-GB"/>
        </w:rPr>
      </w:pPr>
    </w:p>
    <w:p w14:paraId="69EA2F50" w14:textId="47B6573A" w:rsidR="00AC6CF8" w:rsidRPr="004E5FE9" w:rsidRDefault="00AC6CF8" w:rsidP="00716AD0">
      <w:pPr>
        <w:pStyle w:val="Casehead2"/>
        <w:rPr>
          <w:sz w:val="18"/>
          <w:lang w:val="en-GB"/>
        </w:rPr>
      </w:pPr>
      <w:proofErr w:type="spellStart"/>
      <w:r w:rsidRPr="004E5FE9">
        <w:rPr>
          <w:sz w:val="18"/>
          <w:lang w:val="en-GB"/>
        </w:rPr>
        <w:t>Ankur</w:t>
      </w:r>
      <w:proofErr w:type="spellEnd"/>
      <w:r w:rsidRPr="004E5FE9">
        <w:rPr>
          <w:sz w:val="18"/>
          <w:lang w:val="en-GB"/>
        </w:rPr>
        <w:t xml:space="preserve"> </w:t>
      </w:r>
      <w:proofErr w:type="spellStart"/>
      <w:r w:rsidRPr="004E5FE9">
        <w:rPr>
          <w:sz w:val="18"/>
          <w:lang w:val="en-GB"/>
        </w:rPr>
        <w:t>Warikoo</w:t>
      </w:r>
      <w:proofErr w:type="spellEnd"/>
      <w:r w:rsidRPr="004E5FE9">
        <w:rPr>
          <w:sz w:val="18"/>
          <w:lang w:val="en-GB"/>
        </w:rPr>
        <w:t xml:space="preserve">, </w:t>
      </w:r>
      <w:r w:rsidR="00FB4FAA" w:rsidRPr="004E5FE9">
        <w:rPr>
          <w:sz w:val="18"/>
          <w:lang w:val="en-GB"/>
        </w:rPr>
        <w:t>chief executive officer (</w:t>
      </w:r>
      <w:r w:rsidRPr="004E5FE9">
        <w:rPr>
          <w:sz w:val="18"/>
          <w:lang w:val="en-GB"/>
        </w:rPr>
        <w:t>CEO</w:t>
      </w:r>
      <w:r w:rsidR="00FB4FAA" w:rsidRPr="004E5FE9">
        <w:rPr>
          <w:sz w:val="18"/>
          <w:lang w:val="en-GB"/>
        </w:rPr>
        <w:t>)</w:t>
      </w:r>
      <w:r w:rsidRPr="004E5FE9">
        <w:rPr>
          <w:sz w:val="18"/>
          <w:lang w:val="en-GB"/>
        </w:rPr>
        <w:t>, Groupon India</w:t>
      </w:r>
    </w:p>
    <w:p w14:paraId="5826100A" w14:textId="77777777" w:rsidR="00AC6CF8" w:rsidRPr="004E5FE9" w:rsidRDefault="00AC6CF8" w:rsidP="00AC6CF8">
      <w:pPr>
        <w:jc w:val="both"/>
        <w:rPr>
          <w:rStyle w:val="apple-converted-space"/>
          <w:rFonts w:ascii="Arial" w:hAnsi="Arial" w:cs="Arial"/>
          <w:sz w:val="18"/>
          <w:szCs w:val="18"/>
          <w:shd w:val="clear" w:color="auto" w:fill="FFFFFF"/>
          <w:lang w:val="en-GB"/>
        </w:rPr>
      </w:pPr>
    </w:p>
    <w:p w14:paraId="16B45A13" w14:textId="77777777" w:rsidR="001879C6" w:rsidRPr="004C4863" w:rsidRDefault="001879C6" w:rsidP="004C4863">
      <w:pPr>
        <w:pStyle w:val="ExhibitText"/>
        <w:rPr>
          <w:sz w:val="18"/>
          <w:szCs w:val="18"/>
        </w:rPr>
      </w:pPr>
      <w:proofErr w:type="spellStart"/>
      <w:r w:rsidRPr="004C4863">
        <w:rPr>
          <w:rStyle w:val="apple-converted-space"/>
          <w:sz w:val="18"/>
          <w:szCs w:val="18"/>
          <w:shd w:val="clear" w:color="auto" w:fill="FFFFFF"/>
        </w:rPr>
        <w:t>Warikoo</w:t>
      </w:r>
      <w:proofErr w:type="spellEnd"/>
      <w:r w:rsidRPr="004C4863">
        <w:rPr>
          <w:rStyle w:val="apple-converted-space"/>
          <w:sz w:val="18"/>
          <w:szCs w:val="18"/>
          <w:shd w:val="clear" w:color="auto" w:fill="FFFFFF"/>
        </w:rPr>
        <w:t xml:space="preserve"> was made CEO of Groupon India in 2011 when Groupon Inc. entered the country. From June 2013 to December 2014, </w:t>
      </w:r>
      <w:r w:rsidRPr="004C4863">
        <w:rPr>
          <w:sz w:val="18"/>
          <w:szCs w:val="18"/>
        </w:rPr>
        <w:t>he had an additional charge as head, Groupon APAC Emerging Markets, comprising India, Indonesia, Thailand, and the Philippines</w:t>
      </w:r>
      <w:r w:rsidRPr="004C4863">
        <w:rPr>
          <w:rStyle w:val="apple-converted-space"/>
          <w:sz w:val="18"/>
          <w:szCs w:val="18"/>
          <w:shd w:val="clear" w:color="auto" w:fill="FFFFFF"/>
        </w:rPr>
        <w:t xml:space="preserve">. Before joining Groupon India, </w:t>
      </w:r>
      <w:proofErr w:type="spellStart"/>
      <w:r w:rsidRPr="004C4863">
        <w:rPr>
          <w:rStyle w:val="apple-converted-space"/>
          <w:sz w:val="18"/>
          <w:szCs w:val="18"/>
          <w:shd w:val="clear" w:color="auto" w:fill="FFFFFF"/>
        </w:rPr>
        <w:t>Warikoo</w:t>
      </w:r>
      <w:proofErr w:type="spellEnd"/>
      <w:r w:rsidRPr="004C4863">
        <w:rPr>
          <w:rStyle w:val="apple-converted-space"/>
          <w:sz w:val="18"/>
          <w:szCs w:val="18"/>
          <w:shd w:val="clear" w:color="auto" w:fill="FFFFFF"/>
        </w:rPr>
        <w:t xml:space="preserve"> was</w:t>
      </w:r>
      <w:r w:rsidRPr="004C4863">
        <w:rPr>
          <w:sz w:val="18"/>
          <w:szCs w:val="18"/>
          <w:shd w:val="clear" w:color="auto" w:fill="FFFFFF"/>
        </w:rPr>
        <w:t xml:space="preserve"> a venture partner for Rocket Internet SE, working with two other venture partners to set up the company’s India office. He was then part of the pre-launch team for Jabong.com before moving to Groupon India (which, at that time, was also a Rocket Internet SE investment).</w:t>
      </w:r>
      <w:r w:rsidRPr="004C4863">
        <w:rPr>
          <w:sz w:val="18"/>
          <w:szCs w:val="18"/>
        </w:rPr>
        <w:t xml:space="preserve"> </w:t>
      </w:r>
      <w:proofErr w:type="spellStart"/>
      <w:r w:rsidRPr="004C4863">
        <w:rPr>
          <w:sz w:val="18"/>
          <w:szCs w:val="18"/>
        </w:rPr>
        <w:t>Warikoo</w:t>
      </w:r>
      <w:proofErr w:type="spellEnd"/>
      <w:r w:rsidRPr="004C4863">
        <w:rPr>
          <w:sz w:val="18"/>
          <w:szCs w:val="18"/>
        </w:rPr>
        <w:t xml:space="preserve"> was also </w:t>
      </w:r>
      <w:r w:rsidRPr="004C4863">
        <w:rPr>
          <w:sz w:val="18"/>
          <w:szCs w:val="18"/>
          <w:shd w:val="clear" w:color="auto" w:fill="FFFFFF"/>
        </w:rPr>
        <w:t xml:space="preserve">co-founder of </w:t>
      </w:r>
      <w:proofErr w:type="spellStart"/>
      <w:r w:rsidRPr="004C4863">
        <w:rPr>
          <w:sz w:val="18"/>
          <w:szCs w:val="18"/>
          <w:shd w:val="clear" w:color="auto" w:fill="FFFFFF"/>
        </w:rPr>
        <w:t>Accentium</w:t>
      </w:r>
      <w:proofErr w:type="spellEnd"/>
      <w:r w:rsidRPr="004C4863">
        <w:rPr>
          <w:sz w:val="18"/>
          <w:szCs w:val="18"/>
          <w:shd w:val="clear" w:color="auto" w:fill="FFFFFF"/>
        </w:rPr>
        <w:t xml:space="preserve"> Web Pvt. Ltd. (</w:t>
      </w:r>
      <w:proofErr w:type="spellStart"/>
      <w:r w:rsidRPr="004C4863">
        <w:rPr>
          <w:sz w:val="18"/>
          <w:szCs w:val="18"/>
          <w:shd w:val="clear" w:color="auto" w:fill="FFFFFF"/>
        </w:rPr>
        <w:t>Accentium</w:t>
      </w:r>
      <w:proofErr w:type="spellEnd"/>
      <w:r w:rsidRPr="004C4863">
        <w:rPr>
          <w:sz w:val="18"/>
          <w:szCs w:val="18"/>
          <w:shd w:val="clear" w:color="auto" w:fill="FFFFFF"/>
        </w:rPr>
        <w:t xml:space="preserve">), where he worked part-time, until September 2010, while also maintaining a full-time commitment at A.T. Kearney (2007 to 2009). In 2009, he jumped full-time into his role at </w:t>
      </w:r>
      <w:proofErr w:type="spellStart"/>
      <w:r w:rsidRPr="004C4863">
        <w:rPr>
          <w:sz w:val="18"/>
          <w:szCs w:val="18"/>
          <w:shd w:val="clear" w:color="auto" w:fill="FFFFFF"/>
        </w:rPr>
        <w:t>Accentium</w:t>
      </w:r>
      <w:proofErr w:type="spellEnd"/>
      <w:r w:rsidRPr="004C4863">
        <w:rPr>
          <w:sz w:val="18"/>
          <w:szCs w:val="18"/>
          <w:shd w:val="clear" w:color="auto" w:fill="FFFFFF"/>
        </w:rPr>
        <w:t xml:space="preserve">, eventually exiting the venture in September 2010. </w:t>
      </w:r>
      <w:proofErr w:type="spellStart"/>
      <w:r w:rsidRPr="004C4863">
        <w:rPr>
          <w:sz w:val="18"/>
          <w:szCs w:val="18"/>
          <w:shd w:val="clear" w:color="auto" w:fill="FFFFFF"/>
        </w:rPr>
        <w:t>Accentium</w:t>
      </w:r>
      <w:proofErr w:type="spellEnd"/>
      <w:r w:rsidRPr="004C4863">
        <w:rPr>
          <w:sz w:val="18"/>
          <w:szCs w:val="18"/>
          <w:shd w:val="clear" w:color="auto" w:fill="FFFFFF"/>
        </w:rPr>
        <w:t xml:space="preserve">, at that time, operated a portfolio of six websites, spanning products and services comprising Gaadi.com (India's number two auto portal site), SecondShaadi.com (India's number one site for people looking for a second marriage and the country’s fourth-largest matrimonial site), StudyNation.com (India's largest education website), Taaza.com (a horizontal-content platform with content across multiple domains), SitaGita.com (one of the leading online brands catering to a female audience), and </w:t>
      </w:r>
      <w:proofErr w:type="spellStart"/>
      <w:r w:rsidRPr="004C4863">
        <w:rPr>
          <w:sz w:val="18"/>
          <w:szCs w:val="18"/>
          <w:shd w:val="clear" w:color="auto" w:fill="FFFFFF"/>
        </w:rPr>
        <w:t>AdLift</w:t>
      </w:r>
      <w:proofErr w:type="spellEnd"/>
      <w:r w:rsidRPr="004C4863">
        <w:rPr>
          <w:sz w:val="18"/>
          <w:szCs w:val="18"/>
          <w:shd w:val="clear" w:color="auto" w:fill="FFFFFF"/>
        </w:rPr>
        <w:t xml:space="preserve">, considered one of the best known search engine optimization firms in India. </w:t>
      </w:r>
      <w:proofErr w:type="spellStart"/>
      <w:r w:rsidRPr="004C4863">
        <w:rPr>
          <w:sz w:val="18"/>
          <w:szCs w:val="18"/>
          <w:shd w:val="clear" w:color="auto" w:fill="FFFFFF"/>
        </w:rPr>
        <w:t>Warikoo</w:t>
      </w:r>
      <w:proofErr w:type="spellEnd"/>
      <w:r w:rsidRPr="004C4863">
        <w:rPr>
          <w:sz w:val="18"/>
          <w:szCs w:val="18"/>
          <w:shd w:val="clear" w:color="auto" w:fill="FFFFFF"/>
        </w:rPr>
        <w:t xml:space="preserve"> was l</w:t>
      </w:r>
      <w:r w:rsidRPr="004C4863">
        <w:rPr>
          <w:sz w:val="18"/>
          <w:szCs w:val="18"/>
        </w:rPr>
        <w:t xml:space="preserve">isted on Fortune India's “40 </w:t>
      </w:r>
      <w:proofErr w:type="gramStart"/>
      <w:r w:rsidRPr="004C4863">
        <w:rPr>
          <w:sz w:val="18"/>
          <w:szCs w:val="18"/>
        </w:rPr>
        <w:t>Under</w:t>
      </w:r>
      <w:proofErr w:type="gramEnd"/>
      <w:r w:rsidRPr="004C4863">
        <w:rPr>
          <w:sz w:val="18"/>
          <w:szCs w:val="18"/>
        </w:rPr>
        <w:t xml:space="preserve"> 40” list in 2013 and 2014. He was awarded India's Most Promising Entrepreneur for 2013 by Enterprise Asia, and in 2014 he was recognized as one of India's top 25 executives under the age of 40 by </w:t>
      </w:r>
      <w:r w:rsidRPr="004C4863">
        <w:rPr>
          <w:i/>
          <w:sz w:val="18"/>
          <w:szCs w:val="18"/>
        </w:rPr>
        <w:t>Business Today</w:t>
      </w:r>
      <w:r w:rsidRPr="004C4863">
        <w:rPr>
          <w:sz w:val="18"/>
          <w:szCs w:val="18"/>
        </w:rPr>
        <w:t xml:space="preserve">. Also an angel investor for Internet and technology start-ups, </w:t>
      </w:r>
      <w:proofErr w:type="spellStart"/>
      <w:r w:rsidRPr="004C4863">
        <w:rPr>
          <w:sz w:val="18"/>
          <w:szCs w:val="18"/>
        </w:rPr>
        <w:t>Warikoo</w:t>
      </w:r>
      <w:proofErr w:type="spellEnd"/>
      <w:r w:rsidRPr="004C4863">
        <w:rPr>
          <w:sz w:val="18"/>
          <w:szCs w:val="18"/>
        </w:rPr>
        <w:t xml:space="preserve"> was passionate about ideas that bet on tomorrow, and was backed by a fearless team for whom risk was just a state of mind.</w:t>
      </w:r>
    </w:p>
    <w:p w14:paraId="474232C3" w14:textId="493FFBD5" w:rsidR="00AC6CF8" w:rsidRPr="004E5FE9" w:rsidRDefault="00AC6CF8" w:rsidP="00AC6CF8">
      <w:pPr>
        <w:jc w:val="both"/>
        <w:rPr>
          <w:rFonts w:ascii="Arial" w:hAnsi="Arial" w:cs="Arial"/>
          <w:sz w:val="16"/>
          <w:szCs w:val="18"/>
          <w:lang w:val="en-GB"/>
        </w:rPr>
      </w:pPr>
    </w:p>
    <w:p w14:paraId="2219916D" w14:textId="77777777" w:rsidR="00716AD0" w:rsidRPr="004E5FE9" w:rsidRDefault="00716AD0" w:rsidP="00AC6CF8">
      <w:pPr>
        <w:jc w:val="both"/>
        <w:rPr>
          <w:rFonts w:ascii="Arial" w:hAnsi="Arial" w:cs="Arial"/>
          <w:sz w:val="16"/>
          <w:szCs w:val="18"/>
          <w:lang w:val="en-GB"/>
        </w:rPr>
      </w:pPr>
    </w:p>
    <w:p w14:paraId="5E906C1B" w14:textId="6D50A337" w:rsidR="00AC6CF8" w:rsidRPr="004E5FE9" w:rsidRDefault="00AC6CF8" w:rsidP="00716AD0">
      <w:pPr>
        <w:pStyle w:val="Casehead2"/>
        <w:rPr>
          <w:sz w:val="18"/>
          <w:lang w:val="en-GB"/>
        </w:rPr>
      </w:pPr>
      <w:proofErr w:type="spellStart"/>
      <w:r w:rsidRPr="004E5FE9">
        <w:rPr>
          <w:sz w:val="18"/>
          <w:lang w:val="en-GB"/>
        </w:rPr>
        <w:t>Sumeet</w:t>
      </w:r>
      <w:proofErr w:type="spellEnd"/>
      <w:r w:rsidR="004D42AC" w:rsidRPr="004E5FE9">
        <w:rPr>
          <w:sz w:val="18"/>
          <w:lang w:val="en-GB"/>
        </w:rPr>
        <w:t xml:space="preserve"> </w:t>
      </w:r>
      <w:proofErr w:type="spellStart"/>
      <w:r w:rsidRPr="004E5FE9">
        <w:rPr>
          <w:sz w:val="18"/>
          <w:lang w:val="en-GB"/>
        </w:rPr>
        <w:t>Kapur</w:t>
      </w:r>
      <w:proofErr w:type="spellEnd"/>
      <w:r w:rsidRPr="004E5FE9">
        <w:rPr>
          <w:sz w:val="18"/>
          <w:lang w:val="en-GB"/>
        </w:rPr>
        <w:t xml:space="preserve">, </w:t>
      </w:r>
      <w:r w:rsidR="00FB4FAA" w:rsidRPr="004E5FE9">
        <w:rPr>
          <w:sz w:val="18"/>
          <w:lang w:val="en-GB"/>
        </w:rPr>
        <w:t>chief financial officer (</w:t>
      </w:r>
      <w:r w:rsidRPr="004E5FE9">
        <w:rPr>
          <w:sz w:val="18"/>
          <w:lang w:val="en-GB"/>
        </w:rPr>
        <w:t>CFO</w:t>
      </w:r>
      <w:r w:rsidR="00FB4FAA" w:rsidRPr="004E5FE9">
        <w:rPr>
          <w:sz w:val="18"/>
          <w:lang w:val="en-GB"/>
        </w:rPr>
        <w:t>)</w:t>
      </w:r>
      <w:r w:rsidRPr="004E5FE9">
        <w:rPr>
          <w:sz w:val="18"/>
          <w:lang w:val="en-GB"/>
        </w:rPr>
        <w:t>, Groupon India</w:t>
      </w:r>
    </w:p>
    <w:p w14:paraId="65902B3D" w14:textId="77777777" w:rsidR="00AC6CF8" w:rsidRPr="004E5FE9" w:rsidRDefault="00AC6CF8" w:rsidP="00AC6CF8">
      <w:pPr>
        <w:jc w:val="both"/>
        <w:rPr>
          <w:rFonts w:ascii="Arial" w:hAnsi="Arial" w:cs="Arial"/>
          <w:sz w:val="18"/>
          <w:szCs w:val="18"/>
          <w:lang w:val="en-GB"/>
        </w:rPr>
      </w:pPr>
    </w:p>
    <w:p w14:paraId="1CF16C23" w14:textId="77777777" w:rsidR="001879C6" w:rsidRPr="004F068D" w:rsidRDefault="001879C6" w:rsidP="001879C6">
      <w:pPr>
        <w:jc w:val="both"/>
        <w:rPr>
          <w:rFonts w:ascii="Arial" w:hAnsi="Arial" w:cs="Arial"/>
          <w:sz w:val="18"/>
          <w:szCs w:val="18"/>
        </w:rPr>
      </w:pPr>
      <w:proofErr w:type="spellStart"/>
      <w:r>
        <w:rPr>
          <w:rFonts w:ascii="Arial" w:hAnsi="Arial" w:cs="Arial"/>
          <w:sz w:val="18"/>
          <w:szCs w:val="18"/>
        </w:rPr>
        <w:t>Sumeet</w:t>
      </w:r>
      <w:proofErr w:type="spellEnd"/>
      <w:r w:rsidRPr="004F068D">
        <w:rPr>
          <w:rFonts w:ascii="Arial" w:hAnsi="Arial" w:cs="Arial"/>
          <w:sz w:val="18"/>
          <w:szCs w:val="18"/>
        </w:rPr>
        <w:t xml:space="preserve"> was </w:t>
      </w:r>
      <w:r>
        <w:rPr>
          <w:rFonts w:ascii="Arial" w:hAnsi="Arial" w:cs="Arial"/>
          <w:sz w:val="18"/>
          <w:szCs w:val="18"/>
        </w:rPr>
        <w:t>r</w:t>
      </w:r>
      <w:r w:rsidRPr="004F068D">
        <w:rPr>
          <w:rFonts w:ascii="Arial" w:hAnsi="Arial" w:cs="Arial"/>
          <w:sz w:val="18"/>
          <w:szCs w:val="18"/>
        </w:rPr>
        <w:t xml:space="preserve">egional </w:t>
      </w:r>
      <w:r>
        <w:rPr>
          <w:rFonts w:ascii="Arial" w:hAnsi="Arial" w:cs="Arial"/>
          <w:sz w:val="18"/>
          <w:szCs w:val="18"/>
        </w:rPr>
        <w:t>f</w:t>
      </w:r>
      <w:r w:rsidRPr="004F068D">
        <w:rPr>
          <w:rFonts w:ascii="Arial" w:hAnsi="Arial" w:cs="Arial"/>
          <w:sz w:val="18"/>
          <w:szCs w:val="18"/>
        </w:rPr>
        <w:t xml:space="preserve">inance </w:t>
      </w:r>
      <w:r>
        <w:rPr>
          <w:rFonts w:ascii="Arial" w:hAnsi="Arial" w:cs="Arial"/>
          <w:sz w:val="18"/>
          <w:szCs w:val="18"/>
        </w:rPr>
        <w:t>d</w:t>
      </w:r>
      <w:r w:rsidRPr="004F068D">
        <w:rPr>
          <w:rFonts w:ascii="Arial" w:hAnsi="Arial" w:cs="Arial"/>
          <w:sz w:val="18"/>
          <w:szCs w:val="18"/>
        </w:rPr>
        <w:t>irector</w:t>
      </w:r>
      <w:r>
        <w:rPr>
          <w:rFonts w:ascii="Arial" w:hAnsi="Arial" w:cs="Arial"/>
          <w:sz w:val="18"/>
          <w:szCs w:val="18"/>
        </w:rPr>
        <w:t xml:space="preserve"> of</w:t>
      </w:r>
      <w:r w:rsidRPr="004F068D">
        <w:rPr>
          <w:rFonts w:ascii="Arial" w:hAnsi="Arial" w:cs="Arial"/>
          <w:sz w:val="18"/>
          <w:szCs w:val="18"/>
        </w:rPr>
        <w:t xml:space="preserve"> </w:t>
      </w:r>
      <w:r>
        <w:rPr>
          <w:rFonts w:ascii="Arial" w:hAnsi="Arial" w:cs="Arial"/>
          <w:sz w:val="18"/>
          <w:szCs w:val="18"/>
        </w:rPr>
        <w:t xml:space="preserve">Groupon </w:t>
      </w:r>
      <w:r w:rsidRPr="004F068D">
        <w:rPr>
          <w:rFonts w:ascii="Arial" w:hAnsi="Arial" w:cs="Arial"/>
          <w:sz w:val="18"/>
          <w:szCs w:val="18"/>
        </w:rPr>
        <w:t>APAC Emerging Markets from June 2013. Before joining Groupon</w:t>
      </w:r>
      <w:r>
        <w:rPr>
          <w:rFonts w:ascii="Arial" w:hAnsi="Arial" w:cs="Arial"/>
          <w:sz w:val="18"/>
          <w:szCs w:val="18"/>
        </w:rPr>
        <w:t xml:space="preserve"> India</w:t>
      </w:r>
      <w:r w:rsidRPr="004F068D">
        <w:rPr>
          <w:rFonts w:ascii="Arial" w:hAnsi="Arial" w:cs="Arial"/>
          <w:sz w:val="18"/>
          <w:szCs w:val="18"/>
        </w:rPr>
        <w:t xml:space="preserve">, </w:t>
      </w:r>
      <w:proofErr w:type="spellStart"/>
      <w:r w:rsidRPr="004F068D">
        <w:rPr>
          <w:rFonts w:ascii="Arial" w:hAnsi="Arial" w:cs="Arial"/>
          <w:sz w:val="18"/>
          <w:szCs w:val="18"/>
        </w:rPr>
        <w:t>Sumeet</w:t>
      </w:r>
      <w:proofErr w:type="spellEnd"/>
      <w:r w:rsidRPr="004F068D">
        <w:rPr>
          <w:rFonts w:ascii="Arial" w:hAnsi="Arial" w:cs="Arial"/>
          <w:sz w:val="18"/>
          <w:szCs w:val="18"/>
        </w:rPr>
        <w:t xml:space="preserve"> was </w:t>
      </w:r>
      <w:r>
        <w:rPr>
          <w:rFonts w:ascii="Arial" w:hAnsi="Arial" w:cs="Arial"/>
          <w:sz w:val="18"/>
          <w:szCs w:val="18"/>
        </w:rPr>
        <w:t>c</w:t>
      </w:r>
      <w:r w:rsidRPr="004F068D">
        <w:rPr>
          <w:rFonts w:ascii="Arial" w:hAnsi="Arial" w:cs="Arial"/>
          <w:sz w:val="18"/>
          <w:szCs w:val="18"/>
        </w:rPr>
        <w:t xml:space="preserve">o-founder </w:t>
      </w:r>
      <w:r>
        <w:rPr>
          <w:rFonts w:ascii="Arial" w:hAnsi="Arial" w:cs="Arial"/>
          <w:sz w:val="18"/>
          <w:szCs w:val="18"/>
        </w:rPr>
        <w:t>and</w:t>
      </w:r>
      <w:r w:rsidRPr="004F068D">
        <w:rPr>
          <w:rFonts w:ascii="Arial" w:hAnsi="Arial" w:cs="Arial"/>
          <w:sz w:val="18"/>
          <w:szCs w:val="18"/>
        </w:rPr>
        <w:t xml:space="preserve"> </w:t>
      </w:r>
      <w:r>
        <w:rPr>
          <w:rFonts w:ascii="Arial" w:hAnsi="Arial" w:cs="Arial"/>
          <w:sz w:val="18"/>
          <w:szCs w:val="18"/>
        </w:rPr>
        <w:t>d</w:t>
      </w:r>
      <w:r w:rsidRPr="004F068D">
        <w:rPr>
          <w:rFonts w:ascii="Arial" w:hAnsi="Arial" w:cs="Arial"/>
          <w:sz w:val="18"/>
          <w:szCs w:val="18"/>
        </w:rPr>
        <w:t>irector</w:t>
      </w:r>
      <w:r>
        <w:rPr>
          <w:rFonts w:ascii="Arial" w:hAnsi="Arial" w:cs="Arial"/>
          <w:sz w:val="18"/>
          <w:szCs w:val="18"/>
        </w:rPr>
        <w:t>,</w:t>
      </w:r>
      <w:r w:rsidRPr="004F068D">
        <w:rPr>
          <w:rFonts w:ascii="Arial" w:hAnsi="Arial" w:cs="Arial"/>
          <w:sz w:val="18"/>
          <w:szCs w:val="18"/>
        </w:rPr>
        <w:t xml:space="preserve"> </w:t>
      </w:r>
      <w:r>
        <w:rPr>
          <w:rFonts w:ascii="Arial" w:hAnsi="Arial" w:cs="Arial"/>
          <w:sz w:val="18"/>
          <w:szCs w:val="18"/>
        </w:rPr>
        <w:t>f</w:t>
      </w:r>
      <w:r w:rsidRPr="004F068D">
        <w:rPr>
          <w:rFonts w:ascii="Arial" w:hAnsi="Arial" w:cs="Arial"/>
          <w:sz w:val="18"/>
          <w:szCs w:val="18"/>
        </w:rPr>
        <w:t>inance</w:t>
      </w:r>
      <w:r>
        <w:rPr>
          <w:rFonts w:ascii="Arial" w:hAnsi="Arial" w:cs="Arial"/>
          <w:sz w:val="18"/>
          <w:szCs w:val="18"/>
        </w:rPr>
        <w:t>,</w:t>
      </w:r>
      <w:r w:rsidRPr="004F068D">
        <w:rPr>
          <w:rFonts w:ascii="Arial" w:hAnsi="Arial" w:cs="Arial"/>
          <w:sz w:val="18"/>
          <w:szCs w:val="18"/>
        </w:rPr>
        <w:t xml:space="preserve"> at Edutopper</w:t>
      </w:r>
      <w:r>
        <w:rPr>
          <w:rFonts w:ascii="Arial" w:hAnsi="Arial" w:cs="Arial"/>
          <w:sz w:val="18"/>
          <w:szCs w:val="18"/>
        </w:rPr>
        <w:t>.com</w:t>
      </w:r>
      <w:r w:rsidRPr="004F068D">
        <w:rPr>
          <w:rFonts w:ascii="Arial" w:hAnsi="Arial" w:cs="Arial"/>
          <w:sz w:val="18"/>
          <w:szCs w:val="18"/>
        </w:rPr>
        <w:t xml:space="preserve">, an </w:t>
      </w:r>
      <w:r>
        <w:rPr>
          <w:rFonts w:ascii="Arial" w:hAnsi="Arial" w:cs="Arial"/>
          <w:sz w:val="18"/>
          <w:szCs w:val="18"/>
        </w:rPr>
        <w:t>e</w:t>
      </w:r>
      <w:r w:rsidRPr="004F068D">
        <w:rPr>
          <w:rFonts w:ascii="Arial" w:hAnsi="Arial" w:cs="Arial"/>
          <w:sz w:val="18"/>
          <w:szCs w:val="18"/>
        </w:rPr>
        <w:t xml:space="preserve">-learning company </w:t>
      </w:r>
      <w:r>
        <w:rPr>
          <w:rFonts w:ascii="Arial" w:hAnsi="Arial" w:cs="Arial"/>
          <w:sz w:val="18"/>
          <w:szCs w:val="18"/>
        </w:rPr>
        <w:t>that had</w:t>
      </w:r>
      <w:r w:rsidRPr="004F068D">
        <w:rPr>
          <w:rFonts w:ascii="Arial" w:hAnsi="Arial" w:cs="Arial"/>
          <w:sz w:val="18"/>
          <w:szCs w:val="18"/>
        </w:rPr>
        <w:t xml:space="preserve"> developed a strong line of e-learning products called </w:t>
      </w:r>
      <w:proofErr w:type="spellStart"/>
      <w:r w:rsidRPr="004F068D">
        <w:rPr>
          <w:rFonts w:ascii="Arial" w:hAnsi="Arial" w:cs="Arial"/>
          <w:sz w:val="18"/>
          <w:szCs w:val="18"/>
        </w:rPr>
        <w:t>Mathtopper</w:t>
      </w:r>
      <w:proofErr w:type="spellEnd"/>
      <w:r w:rsidRPr="004F068D">
        <w:rPr>
          <w:rFonts w:ascii="Arial" w:hAnsi="Arial" w:cs="Arial"/>
          <w:sz w:val="18"/>
          <w:szCs w:val="18"/>
        </w:rPr>
        <w:t xml:space="preserve"> and </w:t>
      </w:r>
      <w:proofErr w:type="spellStart"/>
      <w:r w:rsidRPr="004F068D">
        <w:rPr>
          <w:rFonts w:ascii="Arial" w:hAnsi="Arial" w:cs="Arial"/>
          <w:sz w:val="18"/>
          <w:szCs w:val="18"/>
        </w:rPr>
        <w:t>Sciencetopper</w:t>
      </w:r>
      <w:proofErr w:type="spellEnd"/>
      <w:r w:rsidRPr="004F068D">
        <w:rPr>
          <w:rFonts w:ascii="Arial" w:hAnsi="Arial" w:cs="Arial"/>
          <w:sz w:val="18"/>
          <w:szCs w:val="18"/>
        </w:rPr>
        <w:t xml:space="preserve"> for the </w:t>
      </w:r>
      <w:r>
        <w:rPr>
          <w:rFonts w:ascii="Arial" w:hAnsi="Arial" w:cs="Arial"/>
          <w:sz w:val="18"/>
          <w:szCs w:val="18"/>
        </w:rPr>
        <w:t>kindergarten-to-grade-12</w:t>
      </w:r>
      <w:r w:rsidRPr="004F068D">
        <w:rPr>
          <w:rFonts w:ascii="Arial" w:hAnsi="Arial" w:cs="Arial"/>
          <w:sz w:val="18"/>
          <w:szCs w:val="18"/>
        </w:rPr>
        <w:t xml:space="preserve"> market in India. From May 2010 to August 2011, </w:t>
      </w:r>
      <w:proofErr w:type="spellStart"/>
      <w:r w:rsidRPr="004F068D">
        <w:rPr>
          <w:rFonts w:ascii="Arial" w:hAnsi="Arial" w:cs="Arial"/>
          <w:sz w:val="18"/>
          <w:szCs w:val="18"/>
        </w:rPr>
        <w:t>Sumeet</w:t>
      </w:r>
      <w:proofErr w:type="spellEnd"/>
      <w:r w:rsidRPr="004F068D">
        <w:rPr>
          <w:rFonts w:ascii="Arial" w:hAnsi="Arial" w:cs="Arial"/>
          <w:sz w:val="18"/>
          <w:szCs w:val="18"/>
        </w:rPr>
        <w:t xml:space="preserve"> was a </w:t>
      </w:r>
      <w:r>
        <w:rPr>
          <w:rFonts w:ascii="Arial" w:hAnsi="Arial" w:cs="Arial"/>
          <w:sz w:val="18"/>
          <w:szCs w:val="18"/>
        </w:rPr>
        <w:t>s</w:t>
      </w:r>
      <w:r w:rsidRPr="004F068D">
        <w:rPr>
          <w:rFonts w:ascii="Arial" w:hAnsi="Arial" w:cs="Arial"/>
          <w:sz w:val="18"/>
          <w:szCs w:val="18"/>
        </w:rPr>
        <w:t xml:space="preserve">enior </w:t>
      </w:r>
      <w:r>
        <w:rPr>
          <w:rFonts w:ascii="Arial" w:hAnsi="Arial" w:cs="Arial"/>
          <w:sz w:val="18"/>
          <w:szCs w:val="18"/>
        </w:rPr>
        <w:t>c</w:t>
      </w:r>
      <w:r w:rsidRPr="004F068D">
        <w:rPr>
          <w:rFonts w:ascii="Arial" w:hAnsi="Arial" w:cs="Arial"/>
          <w:sz w:val="18"/>
          <w:szCs w:val="18"/>
        </w:rPr>
        <w:t xml:space="preserve">onsultant in </w:t>
      </w:r>
      <w:r>
        <w:rPr>
          <w:rFonts w:ascii="Arial" w:hAnsi="Arial" w:cs="Arial"/>
          <w:sz w:val="18"/>
          <w:szCs w:val="18"/>
        </w:rPr>
        <w:t>merger and acquisition t</w:t>
      </w:r>
      <w:r w:rsidRPr="004F068D">
        <w:rPr>
          <w:rFonts w:ascii="Arial" w:hAnsi="Arial" w:cs="Arial"/>
          <w:sz w:val="18"/>
          <w:szCs w:val="18"/>
        </w:rPr>
        <w:t xml:space="preserve">ransaction </w:t>
      </w:r>
      <w:r>
        <w:rPr>
          <w:rFonts w:ascii="Arial" w:hAnsi="Arial" w:cs="Arial"/>
          <w:sz w:val="18"/>
          <w:szCs w:val="18"/>
        </w:rPr>
        <w:t>s</w:t>
      </w:r>
      <w:r w:rsidRPr="004F068D">
        <w:rPr>
          <w:rFonts w:ascii="Arial" w:hAnsi="Arial" w:cs="Arial"/>
          <w:sz w:val="18"/>
          <w:szCs w:val="18"/>
        </w:rPr>
        <w:t>ervices at KPMG India</w:t>
      </w:r>
      <w:r>
        <w:rPr>
          <w:rFonts w:ascii="Arial" w:hAnsi="Arial" w:cs="Arial"/>
          <w:sz w:val="18"/>
          <w:szCs w:val="18"/>
        </w:rPr>
        <w:t>,</w:t>
      </w:r>
      <w:r w:rsidRPr="004F068D">
        <w:rPr>
          <w:rFonts w:ascii="Arial" w:hAnsi="Arial" w:cs="Arial"/>
          <w:sz w:val="18"/>
          <w:szCs w:val="18"/>
        </w:rPr>
        <w:t xml:space="preserve"> after </w:t>
      </w:r>
      <w:r>
        <w:rPr>
          <w:rFonts w:ascii="Arial" w:hAnsi="Arial" w:cs="Arial"/>
          <w:sz w:val="18"/>
          <w:szCs w:val="18"/>
        </w:rPr>
        <w:t>having worked there</w:t>
      </w:r>
      <w:r w:rsidRPr="004F068D">
        <w:rPr>
          <w:rFonts w:ascii="Arial" w:hAnsi="Arial" w:cs="Arial"/>
          <w:sz w:val="18"/>
          <w:szCs w:val="18"/>
        </w:rPr>
        <w:t xml:space="preserve"> as </w:t>
      </w:r>
      <w:r>
        <w:rPr>
          <w:rFonts w:ascii="Arial" w:hAnsi="Arial" w:cs="Arial"/>
          <w:sz w:val="18"/>
          <w:szCs w:val="18"/>
        </w:rPr>
        <w:t>a</w:t>
      </w:r>
      <w:r w:rsidRPr="004F068D">
        <w:rPr>
          <w:rFonts w:ascii="Arial" w:hAnsi="Arial" w:cs="Arial"/>
          <w:sz w:val="18"/>
          <w:szCs w:val="18"/>
        </w:rPr>
        <w:t xml:space="preserve">ssistant </w:t>
      </w:r>
      <w:r>
        <w:rPr>
          <w:rFonts w:ascii="Arial" w:hAnsi="Arial" w:cs="Arial"/>
          <w:sz w:val="18"/>
          <w:szCs w:val="18"/>
        </w:rPr>
        <w:t>m</w:t>
      </w:r>
      <w:r w:rsidRPr="004F068D">
        <w:rPr>
          <w:rFonts w:ascii="Arial" w:hAnsi="Arial" w:cs="Arial"/>
          <w:sz w:val="18"/>
          <w:szCs w:val="18"/>
        </w:rPr>
        <w:t xml:space="preserve">anager, </w:t>
      </w:r>
      <w:r>
        <w:rPr>
          <w:rFonts w:ascii="Arial" w:hAnsi="Arial" w:cs="Arial"/>
          <w:sz w:val="18"/>
          <w:szCs w:val="18"/>
        </w:rPr>
        <w:t>a</w:t>
      </w:r>
      <w:r w:rsidRPr="004F068D">
        <w:rPr>
          <w:rFonts w:ascii="Arial" w:hAnsi="Arial" w:cs="Arial"/>
          <w:sz w:val="18"/>
          <w:szCs w:val="18"/>
        </w:rPr>
        <w:t>udit.</w:t>
      </w:r>
    </w:p>
    <w:p w14:paraId="74CE4065" w14:textId="77777777" w:rsidR="001879C6" w:rsidRPr="004F068D" w:rsidRDefault="001879C6" w:rsidP="001879C6">
      <w:pPr>
        <w:rPr>
          <w:rFonts w:ascii="Arial" w:hAnsi="Arial" w:cs="Arial"/>
          <w:sz w:val="16"/>
          <w:szCs w:val="18"/>
        </w:rPr>
      </w:pPr>
    </w:p>
    <w:p w14:paraId="1641ADCD" w14:textId="77777777" w:rsidR="00AC6CF8" w:rsidRPr="004E5FE9" w:rsidRDefault="00AC6CF8" w:rsidP="00AC6CF8">
      <w:pPr>
        <w:rPr>
          <w:rFonts w:ascii="Arial" w:hAnsi="Arial" w:cs="Arial"/>
          <w:sz w:val="14"/>
          <w:szCs w:val="18"/>
          <w:lang w:val="en-GB"/>
        </w:rPr>
      </w:pPr>
    </w:p>
    <w:p w14:paraId="70B54073" w14:textId="57A8344C" w:rsidR="00AC6CF8" w:rsidRPr="004E5FE9" w:rsidRDefault="00AC6CF8" w:rsidP="00716AD0">
      <w:pPr>
        <w:pStyle w:val="Casehead2"/>
        <w:rPr>
          <w:sz w:val="18"/>
          <w:lang w:val="en-GB"/>
        </w:rPr>
      </w:pPr>
      <w:proofErr w:type="spellStart"/>
      <w:r w:rsidRPr="004E5FE9">
        <w:rPr>
          <w:sz w:val="18"/>
          <w:lang w:val="en-GB"/>
        </w:rPr>
        <w:t>Ankur</w:t>
      </w:r>
      <w:proofErr w:type="spellEnd"/>
      <w:r w:rsidRPr="004E5FE9">
        <w:rPr>
          <w:sz w:val="18"/>
          <w:lang w:val="en-GB"/>
        </w:rPr>
        <w:t xml:space="preserve"> </w:t>
      </w:r>
      <w:proofErr w:type="spellStart"/>
      <w:r w:rsidRPr="004E5FE9">
        <w:rPr>
          <w:sz w:val="18"/>
          <w:lang w:val="en-GB"/>
        </w:rPr>
        <w:t>Sarawagi</w:t>
      </w:r>
      <w:proofErr w:type="spellEnd"/>
      <w:r w:rsidRPr="004E5FE9">
        <w:rPr>
          <w:sz w:val="18"/>
          <w:lang w:val="en-GB"/>
        </w:rPr>
        <w:t xml:space="preserve">, </w:t>
      </w:r>
      <w:r w:rsidR="00FB4FAA" w:rsidRPr="004E5FE9">
        <w:rPr>
          <w:sz w:val="18"/>
          <w:lang w:val="en-GB"/>
        </w:rPr>
        <w:t>h</w:t>
      </w:r>
      <w:r w:rsidRPr="004E5FE9">
        <w:rPr>
          <w:sz w:val="18"/>
          <w:lang w:val="en-GB"/>
        </w:rPr>
        <w:t xml:space="preserve">ead of </w:t>
      </w:r>
      <w:r w:rsidR="00FB4FAA" w:rsidRPr="004E5FE9">
        <w:rPr>
          <w:sz w:val="18"/>
          <w:lang w:val="en-GB"/>
        </w:rPr>
        <w:t>b</w:t>
      </w:r>
      <w:r w:rsidRPr="004E5FE9">
        <w:rPr>
          <w:sz w:val="18"/>
          <w:lang w:val="en-GB"/>
        </w:rPr>
        <w:t>usiness (</w:t>
      </w:r>
      <w:r w:rsidR="00FB4FAA" w:rsidRPr="004E5FE9">
        <w:rPr>
          <w:sz w:val="18"/>
          <w:lang w:val="en-GB"/>
        </w:rPr>
        <w:t>t</w:t>
      </w:r>
      <w:r w:rsidRPr="004E5FE9">
        <w:rPr>
          <w:sz w:val="18"/>
          <w:lang w:val="en-GB"/>
        </w:rPr>
        <w:t xml:space="preserve">ravel and </w:t>
      </w:r>
      <w:r w:rsidR="00FB4FAA" w:rsidRPr="004E5FE9">
        <w:rPr>
          <w:sz w:val="18"/>
          <w:lang w:val="en-GB"/>
        </w:rPr>
        <w:t>p</w:t>
      </w:r>
      <w:r w:rsidRPr="004E5FE9">
        <w:rPr>
          <w:sz w:val="18"/>
          <w:lang w:val="en-GB"/>
        </w:rPr>
        <w:t xml:space="preserve">roduct), Groupon India </w:t>
      </w:r>
    </w:p>
    <w:p w14:paraId="747677B5" w14:textId="77777777" w:rsidR="00AC6CF8" w:rsidRPr="004E5FE9" w:rsidRDefault="00AC6CF8" w:rsidP="00AC6CF8">
      <w:pPr>
        <w:jc w:val="both"/>
        <w:rPr>
          <w:rFonts w:ascii="Arial" w:hAnsi="Arial" w:cs="Arial"/>
          <w:sz w:val="18"/>
          <w:szCs w:val="18"/>
          <w:lang w:val="en-GB"/>
        </w:rPr>
      </w:pPr>
    </w:p>
    <w:p w14:paraId="5C3681DA" w14:textId="77777777" w:rsidR="001879C6" w:rsidRPr="004F068D" w:rsidRDefault="001879C6" w:rsidP="001879C6">
      <w:pPr>
        <w:jc w:val="both"/>
        <w:rPr>
          <w:rFonts w:ascii="Arial" w:hAnsi="Arial" w:cs="Arial"/>
          <w:sz w:val="18"/>
          <w:szCs w:val="18"/>
        </w:rPr>
      </w:pPr>
      <w:proofErr w:type="spellStart"/>
      <w:r>
        <w:rPr>
          <w:rFonts w:ascii="Arial" w:hAnsi="Arial" w:cs="Arial"/>
          <w:sz w:val="18"/>
          <w:szCs w:val="18"/>
        </w:rPr>
        <w:t>Sarawagi</w:t>
      </w:r>
      <w:proofErr w:type="spellEnd"/>
      <w:r w:rsidRPr="004F068D">
        <w:rPr>
          <w:rFonts w:ascii="Arial" w:hAnsi="Arial" w:cs="Arial"/>
          <w:sz w:val="18"/>
          <w:szCs w:val="18"/>
        </w:rPr>
        <w:t xml:space="preserve"> joined Groupon</w:t>
      </w:r>
      <w:r>
        <w:rPr>
          <w:rFonts w:ascii="Arial" w:hAnsi="Arial" w:cs="Arial"/>
          <w:sz w:val="18"/>
          <w:szCs w:val="18"/>
        </w:rPr>
        <w:t xml:space="preserve"> India</w:t>
      </w:r>
      <w:r w:rsidRPr="004F068D">
        <w:rPr>
          <w:rFonts w:ascii="Arial" w:hAnsi="Arial" w:cs="Arial"/>
          <w:sz w:val="18"/>
          <w:szCs w:val="18"/>
        </w:rPr>
        <w:t xml:space="preserve"> in March 2011 to set</w:t>
      </w:r>
      <w:r>
        <w:rPr>
          <w:rFonts w:ascii="Arial" w:hAnsi="Arial" w:cs="Arial"/>
          <w:sz w:val="18"/>
          <w:szCs w:val="18"/>
        </w:rPr>
        <w:t xml:space="preserve"> </w:t>
      </w:r>
      <w:r w:rsidRPr="004F068D">
        <w:rPr>
          <w:rFonts w:ascii="Arial" w:hAnsi="Arial" w:cs="Arial"/>
          <w:sz w:val="18"/>
          <w:szCs w:val="18"/>
        </w:rPr>
        <w:t>up Groupon India's National Business</w:t>
      </w:r>
      <w:r>
        <w:rPr>
          <w:rFonts w:ascii="Arial" w:hAnsi="Arial" w:cs="Arial"/>
          <w:sz w:val="18"/>
          <w:szCs w:val="18"/>
        </w:rPr>
        <w:t>,</w:t>
      </w:r>
      <w:r w:rsidRPr="004F068D">
        <w:rPr>
          <w:rFonts w:ascii="Arial" w:hAnsi="Arial" w:cs="Arial"/>
          <w:sz w:val="18"/>
          <w:szCs w:val="18"/>
        </w:rPr>
        <w:t xml:space="preserve"> Travel and Product</w:t>
      </w:r>
      <w:r>
        <w:rPr>
          <w:rFonts w:ascii="Arial" w:hAnsi="Arial" w:cs="Arial"/>
          <w:sz w:val="18"/>
          <w:szCs w:val="18"/>
        </w:rPr>
        <w:t xml:space="preserve"> division</w:t>
      </w:r>
      <w:r w:rsidRPr="004F068D">
        <w:rPr>
          <w:rFonts w:ascii="Arial" w:hAnsi="Arial" w:cs="Arial"/>
          <w:sz w:val="18"/>
          <w:szCs w:val="18"/>
        </w:rPr>
        <w:t>.</w:t>
      </w:r>
      <w:r>
        <w:rPr>
          <w:rFonts w:ascii="Arial" w:hAnsi="Arial" w:cs="Arial"/>
          <w:sz w:val="18"/>
          <w:szCs w:val="18"/>
        </w:rPr>
        <w:t xml:space="preserve"> Prior to this</w:t>
      </w:r>
      <w:r w:rsidRPr="004F068D">
        <w:rPr>
          <w:rFonts w:ascii="Arial" w:hAnsi="Arial" w:cs="Arial"/>
          <w:sz w:val="18"/>
          <w:szCs w:val="18"/>
        </w:rPr>
        <w:t xml:space="preserve">, </w:t>
      </w:r>
      <w:proofErr w:type="spellStart"/>
      <w:r>
        <w:rPr>
          <w:rFonts w:ascii="Arial" w:hAnsi="Arial" w:cs="Arial"/>
          <w:sz w:val="18"/>
          <w:szCs w:val="18"/>
        </w:rPr>
        <w:t>Sarawagi</w:t>
      </w:r>
      <w:proofErr w:type="spellEnd"/>
      <w:r w:rsidRPr="004F068D">
        <w:rPr>
          <w:rFonts w:ascii="Arial" w:hAnsi="Arial" w:cs="Arial"/>
          <w:sz w:val="18"/>
          <w:szCs w:val="18"/>
        </w:rPr>
        <w:t xml:space="preserve"> </w:t>
      </w:r>
      <w:r>
        <w:rPr>
          <w:rFonts w:ascii="Arial" w:hAnsi="Arial" w:cs="Arial"/>
          <w:sz w:val="18"/>
          <w:szCs w:val="18"/>
        </w:rPr>
        <w:t>had served as</w:t>
      </w:r>
      <w:r w:rsidRPr="004F068D">
        <w:rPr>
          <w:rFonts w:ascii="Arial" w:hAnsi="Arial" w:cs="Arial"/>
          <w:sz w:val="18"/>
          <w:szCs w:val="18"/>
        </w:rPr>
        <w:t xml:space="preserve"> </w:t>
      </w:r>
      <w:r>
        <w:rPr>
          <w:rFonts w:ascii="Arial" w:hAnsi="Arial" w:cs="Arial"/>
          <w:sz w:val="18"/>
          <w:szCs w:val="18"/>
        </w:rPr>
        <w:t>a</w:t>
      </w:r>
      <w:r w:rsidRPr="004F068D">
        <w:rPr>
          <w:rFonts w:ascii="Arial" w:hAnsi="Arial" w:cs="Arial"/>
          <w:sz w:val="18"/>
          <w:szCs w:val="18"/>
        </w:rPr>
        <w:t xml:space="preserve">ssociate </w:t>
      </w:r>
      <w:r>
        <w:rPr>
          <w:rFonts w:ascii="Arial" w:hAnsi="Arial" w:cs="Arial"/>
          <w:sz w:val="18"/>
          <w:szCs w:val="18"/>
        </w:rPr>
        <w:t>c</w:t>
      </w:r>
      <w:r w:rsidRPr="004F068D">
        <w:rPr>
          <w:rFonts w:ascii="Arial" w:hAnsi="Arial" w:cs="Arial"/>
          <w:sz w:val="18"/>
          <w:szCs w:val="18"/>
        </w:rPr>
        <w:t>onsultant at Bain Consulting India Pvt.</w:t>
      </w:r>
      <w:r>
        <w:rPr>
          <w:rFonts w:ascii="Arial" w:hAnsi="Arial" w:cs="Arial"/>
          <w:sz w:val="18"/>
          <w:szCs w:val="18"/>
        </w:rPr>
        <w:t xml:space="preserve"> </w:t>
      </w:r>
      <w:r w:rsidRPr="004F068D">
        <w:rPr>
          <w:rFonts w:ascii="Arial" w:hAnsi="Arial" w:cs="Arial"/>
          <w:sz w:val="18"/>
          <w:szCs w:val="18"/>
        </w:rPr>
        <w:t xml:space="preserve">Ltd. </w:t>
      </w:r>
      <w:r>
        <w:rPr>
          <w:rFonts w:ascii="Arial" w:hAnsi="Arial" w:cs="Arial"/>
          <w:sz w:val="18"/>
          <w:szCs w:val="18"/>
        </w:rPr>
        <w:t>since</w:t>
      </w:r>
      <w:r w:rsidRPr="004F068D">
        <w:rPr>
          <w:rFonts w:ascii="Arial" w:hAnsi="Arial" w:cs="Arial"/>
          <w:sz w:val="18"/>
          <w:szCs w:val="18"/>
        </w:rPr>
        <w:t xml:space="preserve"> April 2007. </w:t>
      </w:r>
    </w:p>
    <w:p w14:paraId="1A016000" w14:textId="77777777" w:rsidR="00AC6CF8" w:rsidRPr="004E5FE9" w:rsidRDefault="00AC6CF8" w:rsidP="00AC6CF8">
      <w:pPr>
        <w:rPr>
          <w:rFonts w:ascii="Arial" w:hAnsi="Arial" w:cs="Arial"/>
          <w:sz w:val="16"/>
          <w:szCs w:val="18"/>
          <w:lang w:val="en-GB"/>
        </w:rPr>
      </w:pPr>
    </w:p>
    <w:p w14:paraId="41CC97AC" w14:textId="77777777" w:rsidR="00AC6CF8" w:rsidRPr="004E5FE9" w:rsidRDefault="00AC6CF8" w:rsidP="00AC6CF8">
      <w:pPr>
        <w:rPr>
          <w:rFonts w:ascii="Arial" w:hAnsi="Arial" w:cs="Arial"/>
          <w:sz w:val="16"/>
          <w:szCs w:val="18"/>
          <w:lang w:val="en-GB"/>
        </w:rPr>
      </w:pPr>
    </w:p>
    <w:p w14:paraId="60E379C0" w14:textId="6C8C254C" w:rsidR="00AC6CF8" w:rsidRPr="004E5FE9" w:rsidRDefault="00AC6CF8" w:rsidP="00716AD0">
      <w:pPr>
        <w:pStyle w:val="Casehead2"/>
        <w:rPr>
          <w:sz w:val="18"/>
          <w:lang w:val="en-GB"/>
        </w:rPr>
      </w:pPr>
      <w:r w:rsidRPr="004E5FE9">
        <w:rPr>
          <w:sz w:val="18"/>
          <w:lang w:val="en-GB"/>
        </w:rPr>
        <w:t xml:space="preserve">Ravi Shankar, </w:t>
      </w:r>
      <w:r w:rsidR="00FB4FAA" w:rsidRPr="004E5FE9">
        <w:rPr>
          <w:sz w:val="18"/>
          <w:lang w:val="en-GB"/>
        </w:rPr>
        <w:t>h</w:t>
      </w:r>
      <w:r w:rsidRPr="004E5FE9">
        <w:rPr>
          <w:sz w:val="18"/>
          <w:lang w:val="en-GB"/>
        </w:rPr>
        <w:t xml:space="preserve">ead of </w:t>
      </w:r>
      <w:r w:rsidR="00FB4FAA" w:rsidRPr="004E5FE9">
        <w:rPr>
          <w:sz w:val="18"/>
          <w:lang w:val="en-GB"/>
        </w:rPr>
        <w:t>b</w:t>
      </w:r>
      <w:r w:rsidRPr="004E5FE9">
        <w:rPr>
          <w:sz w:val="18"/>
          <w:lang w:val="en-GB"/>
        </w:rPr>
        <w:t>usiness (</w:t>
      </w:r>
      <w:r w:rsidR="00FB4FAA" w:rsidRPr="004E5FE9">
        <w:rPr>
          <w:sz w:val="18"/>
          <w:lang w:val="en-GB"/>
        </w:rPr>
        <w:t>l</w:t>
      </w:r>
      <w:r w:rsidRPr="004E5FE9">
        <w:rPr>
          <w:sz w:val="18"/>
          <w:lang w:val="en-GB"/>
        </w:rPr>
        <w:t>ocal), Groupon India</w:t>
      </w:r>
    </w:p>
    <w:p w14:paraId="11C2938B" w14:textId="77777777" w:rsidR="00AC6CF8" w:rsidRPr="004E5FE9" w:rsidRDefault="00AC6CF8" w:rsidP="00AC6CF8">
      <w:pPr>
        <w:jc w:val="both"/>
        <w:rPr>
          <w:rFonts w:ascii="Arial" w:hAnsi="Arial" w:cs="Arial"/>
          <w:sz w:val="18"/>
          <w:szCs w:val="18"/>
          <w:lang w:val="en-GB"/>
        </w:rPr>
      </w:pPr>
    </w:p>
    <w:p w14:paraId="20D09443" w14:textId="77777777" w:rsidR="001879C6" w:rsidRPr="004835CE" w:rsidRDefault="001879C6" w:rsidP="004835CE">
      <w:pPr>
        <w:pStyle w:val="ExhibitText"/>
        <w:rPr>
          <w:sz w:val="18"/>
          <w:szCs w:val="18"/>
        </w:rPr>
      </w:pPr>
      <w:r w:rsidRPr="004835CE">
        <w:rPr>
          <w:sz w:val="18"/>
          <w:szCs w:val="18"/>
        </w:rPr>
        <w:t xml:space="preserve">Shankar joined Groupon India in September 2011 to develop the company’s business in South India. Before joining Groupon India, Shankar was a national sales manager at Wipro Ltd., India, from 2008 to 2011, where he was responsible for India geography sales for their new proposition. He started the business from scratch and grew it to a more than </w:t>
      </w:r>
      <w:r w:rsidRPr="004835CE">
        <w:rPr>
          <w:sz w:val="18"/>
          <w:szCs w:val="18"/>
          <w:shd w:val="clear" w:color="auto" w:fill="FFFFFF"/>
        </w:rPr>
        <w:t>₹</w:t>
      </w:r>
      <w:r w:rsidRPr="004835CE">
        <w:rPr>
          <w:sz w:val="18"/>
          <w:szCs w:val="18"/>
        </w:rPr>
        <w:t xml:space="preserve">1,000-a-month total contract value in three years’ time and earned customers from across banking, financial services, education, and other sectors. He had been with Wipro Ltd. from 2003 until 2008, first as a pre-sales consultant and then as regional practice manager. </w:t>
      </w:r>
    </w:p>
    <w:p w14:paraId="371DE7F7" w14:textId="77777777" w:rsidR="00AC6CF8" w:rsidRPr="004E5FE9" w:rsidRDefault="00AC6CF8" w:rsidP="00AC6CF8">
      <w:pPr>
        <w:rPr>
          <w:rFonts w:ascii="Arial" w:hAnsi="Arial" w:cs="Arial"/>
          <w:sz w:val="16"/>
          <w:szCs w:val="18"/>
          <w:lang w:val="en-GB"/>
        </w:rPr>
      </w:pPr>
    </w:p>
    <w:p w14:paraId="1158B7CA" w14:textId="77777777" w:rsidR="00AC6CF8" w:rsidRPr="004E5FE9" w:rsidRDefault="00AC6CF8" w:rsidP="00AC6CF8">
      <w:pPr>
        <w:jc w:val="both"/>
        <w:rPr>
          <w:rFonts w:ascii="Arial" w:hAnsi="Arial" w:cs="Arial"/>
          <w:sz w:val="16"/>
          <w:szCs w:val="18"/>
          <w:lang w:val="en-GB"/>
        </w:rPr>
      </w:pPr>
    </w:p>
    <w:p w14:paraId="138F77AF" w14:textId="62FC20E9" w:rsidR="00AC6CF8" w:rsidRPr="004E5FE9" w:rsidRDefault="00AC6CF8" w:rsidP="003C2321">
      <w:pPr>
        <w:pStyle w:val="Casehead2"/>
        <w:rPr>
          <w:sz w:val="18"/>
          <w:lang w:val="en-GB"/>
        </w:rPr>
      </w:pPr>
      <w:r w:rsidRPr="004E5FE9">
        <w:rPr>
          <w:sz w:val="18"/>
          <w:lang w:val="en-GB"/>
        </w:rPr>
        <w:t xml:space="preserve">Sachin </w:t>
      </w:r>
      <w:proofErr w:type="spellStart"/>
      <w:r w:rsidRPr="004E5FE9">
        <w:rPr>
          <w:sz w:val="18"/>
          <w:lang w:val="en-GB"/>
        </w:rPr>
        <w:t>Kapur</w:t>
      </w:r>
      <w:proofErr w:type="spellEnd"/>
      <w:r w:rsidRPr="004E5FE9">
        <w:rPr>
          <w:sz w:val="18"/>
          <w:lang w:val="en-GB"/>
        </w:rPr>
        <w:t xml:space="preserve">, </w:t>
      </w:r>
      <w:r w:rsidR="00FB4FAA" w:rsidRPr="004E5FE9">
        <w:rPr>
          <w:sz w:val="18"/>
          <w:lang w:val="en-GB"/>
        </w:rPr>
        <w:t>chief marketing officer (</w:t>
      </w:r>
      <w:r w:rsidRPr="004E5FE9">
        <w:rPr>
          <w:sz w:val="18"/>
          <w:lang w:val="en-GB"/>
        </w:rPr>
        <w:t>CMO</w:t>
      </w:r>
      <w:r w:rsidR="00FB4FAA" w:rsidRPr="004E5FE9">
        <w:rPr>
          <w:sz w:val="18"/>
          <w:lang w:val="en-GB"/>
        </w:rPr>
        <w:t>)</w:t>
      </w:r>
      <w:r w:rsidRPr="004E5FE9">
        <w:rPr>
          <w:sz w:val="18"/>
          <w:lang w:val="en-GB"/>
        </w:rPr>
        <w:t>, Groupon India</w:t>
      </w:r>
    </w:p>
    <w:p w14:paraId="01EF2A01" w14:textId="77777777" w:rsidR="00AC6CF8" w:rsidRPr="004E5FE9" w:rsidRDefault="00AC6CF8" w:rsidP="00AC6CF8">
      <w:pPr>
        <w:jc w:val="both"/>
        <w:rPr>
          <w:rFonts w:ascii="Arial" w:hAnsi="Arial" w:cs="Arial"/>
          <w:sz w:val="18"/>
          <w:szCs w:val="18"/>
          <w:lang w:val="en-GB"/>
        </w:rPr>
      </w:pPr>
    </w:p>
    <w:p w14:paraId="7F7EB868" w14:textId="7C9BC1A2" w:rsidR="004835CE" w:rsidRPr="004F068D" w:rsidRDefault="004835CE" w:rsidP="004835CE">
      <w:pPr>
        <w:jc w:val="both"/>
        <w:rPr>
          <w:rFonts w:ascii="Arial" w:hAnsi="Arial" w:cs="Arial"/>
          <w:sz w:val="18"/>
          <w:szCs w:val="18"/>
        </w:rPr>
      </w:pPr>
      <w:proofErr w:type="spellStart"/>
      <w:r>
        <w:rPr>
          <w:rFonts w:ascii="Arial" w:hAnsi="Arial" w:cs="Arial"/>
          <w:sz w:val="18"/>
          <w:szCs w:val="18"/>
        </w:rPr>
        <w:t>Kapur</w:t>
      </w:r>
      <w:proofErr w:type="spellEnd"/>
      <w:r w:rsidRPr="004F068D">
        <w:rPr>
          <w:rFonts w:ascii="Arial" w:hAnsi="Arial" w:cs="Arial"/>
          <w:sz w:val="18"/>
          <w:szCs w:val="18"/>
        </w:rPr>
        <w:t xml:space="preserve"> was </w:t>
      </w:r>
      <w:r>
        <w:rPr>
          <w:rFonts w:ascii="Arial" w:hAnsi="Arial" w:cs="Arial"/>
          <w:sz w:val="18"/>
          <w:szCs w:val="18"/>
        </w:rPr>
        <w:t>h</w:t>
      </w:r>
      <w:r w:rsidRPr="004F068D">
        <w:rPr>
          <w:rFonts w:ascii="Arial" w:hAnsi="Arial" w:cs="Arial"/>
          <w:sz w:val="18"/>
          <w:szCs w:val="18"/>
        </w:rPr>
        <w:t>ead</w:t>
      </w:r>
      <w:r>
        <w:rPr>
          <w:rFonts w:ascii="Arial" w:hAnsi="Arial" w:cs="Arial"/>
          <w:sz w:val="18"/>
          <w:szCs w:val="18"/>
        </w:rPr>
        <w:t xml:space="preserve"> of</w:t>
      </w:r>
      <w:r w:rsidRPr="004F068D">
        <w:rPr>
          <w:rFonts w:ascii="Arial" w:hAnsi="Arial" w:cs="Arial"/>
          <w:sz w:val="18"/>
          <w:szCs w:val="18"/>
        </w:rPr>
        <w:t xml:space="preserve"> </w:t>
      </w:r>
      <w:r>
        <w:rPr>
          <w:rFonts w:ascii="Arial" w:hAnsi="Arial" w:cs="Arial"/>
          <w:sz w:val="18"/>
          <w:szCs w:val="18"/>
        </w:rPr>
        <w:t>m</w:t>
      </w:r>
      <w:r w:rsidRPr="004F068D">
        <w:rPr>
          <w:rFonts w:ascii="Arial" w:hAnsi="Arial" w:cs="Arial"/>
          <w:sz w:val="18"/>
          <w:szCs w:val="18"/>
        </w:rPr>
        <w:t xml:space="preserve">arketing </w:t>
      </w:r>
      <w:r>
        <w:rPr>
          <w:rFonts w:ascii="Arial" w:hAnsi="Arial" w:cs="Arial"/>
          <w:sz w:val="18"/>
          <w:szCs w:val="18"/>
        </w:rPr>
        <w:t xml:space="preserve">for Groupon </w:t>
      </w:r>
      <w:r w:rsidRPr="004F068D">
        <w:rPr>
          <w:rFonts w:ascii="Arial" w:hAnsi="Arial" w:cs="Arial"/>
          <w:sz w:val="18"/>
          <w:szCs w:val="18"/>
        </w:rPr>
        <w:t xml:space="preserve">APAC Emerging Markets from February 2014. He </w:t>
      </w:r>
      <w:r>
        <w:rPr>
          <w:rFonts w:ascii="Arial" w:hAnsi="Arial" w:cs="Arial"/>
          <w:sz w:val="18"/>
          <w:szCs w:val="18"/>
        </w:rPr>
        <w:t>had been</w:t>
      </w:r>
      <w:r w:rsidRPr="004F068D">
        <w:rPr>
          <w:rFonts w:ascii="Arial" w:hAnsi="Arial" w:cs="Arial"/>
          <w:sz w:val="18"/>
          <w:szCs w:val="18"/>
        </w:rPr>
        <w:t xml:space="preserve"> </w:t>
      </w:r>
      <w:r>
        <w:rPr>
          <w:rFonts w:ascii="Arial" w:hAnsi="Arial" w:cs="Arial"/>
          <w:sz w:val="18"/>
          <w:szCs w:val="18"/>
        </w:rPr>
        <w:t>s</w:t>
      </w:r>
      <w:r w:rsidRPr="004F068D">
        <w:rPr>
          <w:rFonts w:ascii="Arial" w:hAnsi="Arial" w:cs="Arial"/>
          <w:sz w:val="18"/>
          <w:szCs w:val="18"/>
        </w:rPr>
        <w:t xml:space="preserve">enior </w:t>
      </w:r>
      <w:r>
        <w:rPr>
          <w:rFonts w:ascii="Arial" w:hAnsi="Arial" w:cs="Arial"/>
          <w:sz w:val="18"/>
          <w:szCs w:val="18"/>
        </w:rPr>
        <w:t>m</w:t>
      </w:r>
      <w:r w:rsidRPr="004F068D">
        <w:rPr>
          <w:rFonts w:ascii="Arial" w:hAnsi="Arial" w:cs="Arial"/>
          <w:sz w:val="18"/>
          <w:szCs w:val="18"/>
        </w:rPr>
        <w:t xml:space="preserve">anager, </w:t>
      </w:r>
      <w:r>
        <w:rPr>
          <w:rFonts w:ascii="Arial" w:hAnsi="Arial" w:cs="Arial"/>
          <w:sz w:val="18"/>
          <w:szCs w:val="18"/>
        </w:rPr>
        <w:t>m</w:t>
      </w:r>
      <w:r w:rsidRPr="004F068D">
        <w:rPr>
          <w:rFonts w:ascii="Arial" w:hAnsi="Arial" w:cs="Arial"/>
          <w:sz w:val="18"/>
          <w:szCs w:val="18"/>
        </w:rPr>
        <w:t xml:space="preserve">arketing </w:t>
      </w:r>
      <w:r>
        <w:rPr>
          <w:rFonts w:ascii="Arial" w:hAnsi="Arial" w:cs="Arial"/>
          <w:sz w:val="18"/>
          <w:szCs w:val="18"/>
        </w:rPr>
        <w:t>and</w:t>
      </w:r>
      <w:r w:rsidRPr="004F068D">
        <w:rPr>
          <w:rFonts w:ascii="Arial" w:hAnsi="Arial" w:cs="Arial"/>
          <w:sz w:val="18"/>
          <w:szCs w:val="18"/>
        </w:rPr>
        <w:t xml:space="preserve"> </w:t>
      </w:r>
      <w:r>
        <w:rPr>
          <w:rFonts w:ascii="Arial" w:hAnsi="Arial" w:cs="Arial"/>
          <w:sz w:val="18"/>
          <w:szCs w:val="18"/>
        </w:rPr>
        <w:t>s</w:t>
      </w:r>
      <w:r w:rsidRPr="004F068D">
        <w:rPr>
          <w:rFonts w:ascii="Arial" w:hAnsi="Arial" w:cs="Arial"/>
          <w:sz w:val="18"/>
          <w:szCs w:val="18"/>
        </w:rPr>
        <w:t xml:space="preserve">trategy, at </w:t>
      </w:r>
      <w:proofErr w:type="spellStart"/>
      <w:r w:rsidRPr="004F068D">
        <w:rPr>
          <w:rFonts w:ascii="Arial" w:hAnsi="Arial" w:cs="Arial"/>
          <w:sz w:val="18"/>
          <w:szCs w:val="18"/>
        </w:rPr>
        <w:t>BigRock</w:t>
      </w:r>
      <w:proofErr w:type="spellEnd"/>
      <w:r>
        <w:rPr>
          <w:rFonts w:ascii="Arial" w:hAnsi="Arial" w:cs="Arial"/>
          <w:sz w:val="18"/>
          <w:szCs w:val="18"/>
        </w:rPr>
        <w:t xml:space="preserve"> (a</w:t>
      </w:r>
      <w:r w:rsidRPr="004F068D">
        <w:rPr>
          <w:rFonts w:ascii="Arial" w:hAnsi="Arial" w:cs="Arial"/>
          <w:sz w:val="18"/>
          <w:szCs w:val="18"/>
        </w:rPr>
        <w:t xml:space="preserve"> division of </w:t>
      </w:r>
      <w:r>
        <w:rPr>
          <w:rFonts w:ascii="Arial" w:hAnsi="Arial" w:cs="Arial"/>
          <w:sz w:val="18"/>
          <w:szCs w:val="18"/>
        </w:rPr>
        <w:t xml:space="preserve">the </w:t>
      </w:r>
      <w:proofErr w:type="spellStart"/>
      <w:r w:rsidRPr="004F068D">
        <w:rPr>
          <w:rFonts w:ascii="Arial" w:hAnsi="Arial" w:cs="Arial"/>
          <w:sz w:val="18"/>
          <w:szCs w:val="18"/>
        </w:rPr>
        <w:t>Directi</w:t>
      </w:r>
      <w:proofErr w:type="spellEnd"/>
      <w:r w:rsidRPr="004F068D">
        <w:rPr>
          <w:rFonts w:ascii="Arial" w:hAnsi="Arial" w:cs="Arial"/>
          <w:sz w:val="18"/>
          <w:szCs w:val="18"/>
        </w:rPr>
        <w:t xml:space="preserve"> Group</w:t>
      </w:r>
      <w:r>
        <w:rPr>
          <w:rFonts w:ascii="Arial" w:hAnsi="Arial" w:cs="Arial"/>
          <w:sz w:val="18"/>
          <w:szCs w:val="18"/>
        </w:rPr>
        <w:t>)</w:t>
      </w:r>
      <w:r w:rsidRPr="004F068D">
        <w:rPr>
          <w:rFonts w:ascii="Arial" w:hAnsi="Arial" w:cs="Arial"/>
          <w:sz w:val="18"/>
          <w:szCs w:val="18"/>
        </w:rPr>
        <w:t xml:space="preserve"> before joining Groupon India as CMO in September 2011. He was </w:t>
      </w:r>
      <w:r>
        <w:rPr>
          <w:rFonts w:ascii="Arial" w:hAnsi="Arial" w:cs="Arial"/>
          <w:sz w:val="18"/>
          <w:szCs w:val="18"/>
        </w:rPr>
        <w:t>g</w:t>
      </w:r>
      <w:r w:rsidRPr="004F068D">
        <w:rPr>
          <w:rFonts w:ascii="Arial" w:hAnsi="Arial" w:cs="Arial"/>
          <w:sz w:val="18"/>
          <w:szCs w:val="18"/>
        </w:rPr>
        <w:t xml:space="preserve">roup </w:t>
      </w:r>
      <w:r>
        <w:rPr>
          <w:rFonts w:ascii="Arial" w:hAnsi="Arial" w:cs="Arial"/>
          <w:sz w:val="18"/>
          <w:szCs w:val="18"/>
        </w:rPr>
        <w:t>h</w:t>
      </w:r>
      <w:r w:rsidRPr="004F068D">
        <w:rPr>
          <w:rFonts w:ascii="Arial" w:hAnsi="Arial" w:cs="Arial"/>
          <w:sz w:val="18"/>
          <w:szCs w:val="18"/>
        </w:rPr>
        <w:t xml:space="preserve">ead for Fever 104 FM (HT Media Ltd.) </w:t>
      </w:r>
      <w:r>
        <w:rPr>
          <w:rFonts w:ascii="Arial" w:hAnsi="Arial" w:cs="Arial"/>
          <w:sz w:val="18"/>
          <w:szCs w:val="18"/>
        </w:rPr>
        <w:t>between</w:t>
      </w:r>
      <w:r w:rsidRPr="004F068D">
        <w:rPr>
          <w:rFonts w:ascii="Arial" w:hAnsi="Arial" w:cs="Arial"/>
          <w:sz w:val="18"/>
          <w:szCs w:val="18"/>
        </w:rPr>
        <w:t xml:space="preserve"> 2009</w:t>
      </w:r>
      <w:r w:rsidRPr="004F068D">
        <w:rPr>
          <w:rStyle w:val="apple-converted-space"/>
          <w:rFonts w:ascii="Arial" w:hAnsi="Arial" w:cs="Arial"/>
          <w:color w:val="66696A"/>
          <w:sz w:val="18"/>
          <w:szCs w:val="18"/>
          <w:shd w:val="clear" w:color="auto" w:fill="FFFFFF"/>
        </w:rPr>
        <w:t> </w:t>
      </w:r>
      <w:r w:rsidRPr="00E15D53">
        <w:rPr>
          <w:rStyle w:val="apple-converted-space"/>
          <w:rFonts w:ascii="Arial" w:hAnsi="Arial" w:cs="Arial"/>
          <w:sz w:val="18"/>
          <w:szCs w:val="18"/>
          <w:shd w:val="clear" w:color="auto" w:fill="FFFFFF"/>
        </w:rPr>
        <w:t>and</w:t>
      </w:r>
      <w:r>
        <w:rPr>
          <w:rStyle w:val="apple-converted-space"/>
          <w:rFonts w:ascii="Arial" w:hAnsi="Arial" w:cs="Arial"/>
          <w:color w:val="66696A"/>
          <w:sz w:val="18"/>
          <w:szCs w:val="18"/>
          <w:shd w:val="clear" w:color="auto" w:fill="FFFFFF"/>
        </w:rPr>
        <w:t xml:space="preserve"> </w:t>
      </w:r>
      <w:r w:rsidRPr="004F068D">
        <w:rPr>
          <w:rFonts w:ascii="Arial" w:hAnsi="Arial" w:cs="Arial"/>
          <w:sz w:val="18"/>
          <w:szCs w:val="18"/>
        </w:rPr>
        <w:t xml:space="preserve">2010. Prior to 2009, </w:t>
      </w:r>
      <w:proofErr w:type="spellStart"/>
      <w:r>
        <w:rPr>
          <w:rFonts w:ascii="Arial" w:hAnsi="Arial" w:cs="Arial"/>
          <w:sz w:val="18"/>
          <w:szCs w:val="18"/>
        </w:rPr>
        <w:t>Kapur</w:t>
      </w:r>
      <w:proofErr w:type="spellEnd"/>
      <w:r w:rsidRPr="004F068D">
        <w:rPr>
          <w:rFonts w:ascii="Arial" w:hAnsi="Arial" w:cs="Arial"/>
          <w:sz w:val="18"/>
          <w:szCs w:val="18"/>
        </w:rPr>
        <w:t xml:space="preserve"> </w:t>
      </w:r>
      <w:r>
        <w:rPr>
          <w:rFonts w:ascii="Arial" w:hAnsi="Arial" w:cs="Arial"/>
          <w:sz w:val="18"/>
          <w:szCs w:val="18"/>
        </w:rPr>
        <w:t>had worked in a variety of roles at</w:t>
      </w:r>
      <w:r w:rsidRPr="004F068D">
        <w:rPr>
          <w:rFonts w:ascii="Arial" w:hAnsi="Arial" w:cs="Arial"/>
          <w:sz w:val="18"/>
          <w:szCs w:val="18"/>
        </w:rPr>
        <w:t xml:space="preserve"> Info Edge (India) Ltd., India’s premier online classifieds company </w:t>
      </w:r>
      <w:r>
        <w:rPr>
          <w:rFonts w:ascii="Arial" w:hAnsi="Arial" w:cs="Arial"/>
          <w:sz w:val="18"/>
          <w:szCs w:val="18"/>
        </w:rPr>
        <w:t>for</w:t>
      </w:r>
      <w:r w:rsidRPr="004F068D">
        <w:rPr>
          <w:rFonts w:ascii="Arial" w:hAnsi="Arial" w:cs="Arial"/>
          <w:sz w:val="18"/>
          <w:szCs w:val="18"/>
        </w:rPr>
        <w:t xml:space="preserve"> recruitment, matrimony, real estate, education</w:t>
      </w:r>
      <w:r>
        <w:rPr>
          <w:rFonts w:ascii="Arial" w:hAnsi="Arial" w:cs="Arial"/>
          <w:sz w:val="18"/>
          <w:szCs w:val="18"/>
        </w:rPr>
        <w:t>,</w:t>
      </w:r>
      <w:r w:rsidRPr="004F068D">
        <w:rPr>
          <w:rFonts w:ascii="Arial" w:hAnsi="Arial" w:cs="Arial"/>
          <w:sz w:val="18"/>
          <w:szCs w:val="18"/>
        </w:rPr>
        <w:t xml:space="preserve"> and related services, </w:t>
      </w:r>
      <w:r>
        <w:rPr>
          <w:rFonts w:ascii="Arial" w:hAnsi="Arial" w:cs="Arial"/>
          <w:sz w:val="18"/>
          <w:szCs w:val="18"/>
        </w:rPr>
        <w:t>including</w:t>
      </w:r>
      <w:r w:rsidRPr="004F068D">
        <w:rPr>
          <w:rFonts w:ascii="Arial" w:hAnsi="Arial" w:cs="Arial"/>
          <w:sz w:val="18"/>
          <w:szCs w:val="18"/>
        </w:rPr>
        <w:t xml:space="preserve"> </w:t>
      </w:r>
      <w:r>
        <w:rPr>
          <w:rFonts w:ascii="Arial" w:hAnsi="Arial" w:cs="Arial"/>
          <w:sz w:val="18"/>
          <w:szCs w:val="18"/>
        </w:rPr>
        <w:t>m</w:t>
      </w:r>
      <w:r w:rsidRPr="004F068D">
        <w:rPr>
          <w:rFonts w:ascii="Arial" w:hAnsi="Arial" w:cs="Arial"/>
          <w:sz w:val="18"/>
          <w:szCs w:val="18"/>
        </w:rPr>
        <w:t>anager</w:t>
      </w:r>
      <w:r>
        <w:rPr>
          <w:rFonts w:ascii="Arial" w:hAnsi="Arial" w:cs="Arial"/>
          <w:sz w:val="18"/>
          <w:szCs w:val="18"/>
        </w:rPr>
        <w:t>,</w:t>
      </w:r>
      <w:r w:rsidRPr="004F068D">
        <w:rPr>
          <w:rFonts w:ascii="Arial" w:hAnsi="Arial" w:cs="Arial"/>
          <w:sz w:val="18"/>
          <w:szCs w:val="18"/>
        </w:rPr>
        <w:t xml:space="preserve"> </w:t>
      </w:r>
      <w:r>
        <w:rPr>
          <w:rFonts w:ascii="Arial" w:hAnsi="Arial" w:cs="Arial"/>
          <w:sz w:val="18"/>
          <w:szCs w:val="18"/>
        </w:rPr>
        <w:t>m</w:t>
      </w:r>
      <w:r w:rsidRPr="004F068D">
        <w:rPr>
          <w:rFonts w:ascii="Arial" w:hAnsi="Arial" w:cs="Arial"/>
          <w:sz w:val="18"/>
          <w:szCs w:val="18"/>
        </w:rPr>
        <w:t>arketing</w:t>
      </w:r>
      <w:r>
        <w:rPr>
          <w:rFonts w:ascii="Arial" w:hAnsi="Arial" w:cs="Arial"/>
          <w:sz w:val="18"/>
          <w:szCs w:val="18"/>
        </w:rPr>
        <w:t>;</w:t>
      </w:r>
      <w:r w:rsidRPr="004F068D">
        <w:rPr>
          <w:rFonts w:ascii="Arial" w:hAnsi="Arial" w:cs="Arial"/>
          <w:sz w:val="18"/>
          <w:szCs w:val="18"/>
        </w:rPr>
        <w:t xml:space="preserve"> </w:t>
      </w:r>
      <w:r>
        <w:rPr>
          <w:rFonts w:ascii="Arial" w:hAnsi="Arial" w:cs="Arial"/>
          <w:sz w:val="18"/>
          <w:szCs w:val="18"/>
        </w:rPr>
        <w:t>b</w:t>
      </w:r>
      <w:r w:rsidRPr="004F068D">
        <w:rPr>
          <w:rFonts w:ascii="Arial" w:hAnsi="Arial" w:cs="Arial"/>
          <w:sz w:val="18"/>
          <w:szCs w:val="18"/>
        </w:rPr>
        <w:t xml:space="preserve">rand </w:t>
      </w:r>
      <w:r>
        <w:rPr>
          <w:rFonts w:ascii="Arial" w:hAnsi="Arial" w:cs="Arial"/>
          <w:sz w:val="18"/>
          <w:szCs w:val="18"/>
        </w:rPr>
        <w:t>m</w:t>
      </w:r>
      <w:r w:rsidRPr="004F068D">
        <w:rPr>
          <w:rFonts w:ascii="Arial" w:hAnsi="Arial" w:cs="Arial"/>
          <w:sz w:val="18"/>
          <w:szCs w:val="18"/>
        </w:rPr>
        <w:t>anager</w:t>
      </w:r>
      <w:r>
        <w:rPr>
          <w:rFonts w:ascii="Arial" w:hAnsi="Arial" w:cs="Arial"/>
          <w:sz w:val="18"/>
          <w:szCs w:val="18"/>
        </w:rPr>
        <w:t>,</w:t>
      </w:r>
      <w:r w:rsidRPr="004F068D">
        <w:rPr>
          <w:rFonts w:ascii="Arial" w:hAnsi="Arial" w:cs="Arial"/>
          <w:sz w:val="18"/>
          <w:szCs w:val="18"/>
        </w:rPr>
        <w:t xml:space="preserve"> NaukriGulf.com</w:t>
      </w:r>
      <w:r>
        <w:rPr>
          <w:rFonts w:ascii="Arial" w:hAnsi="Arial" w:cs="Arial"/>
          <w:sz w:val="18"/>
          <w:szCs w:val="18"/>
        </w:rPr>
        <w:t>;</w:t>
      </w:r>
      <w:r w:rsidRPr="004F068D">
        <w:rPr>
          <w:rFonts w:ascii="Arial" w:hAnsi="Arial" w:cs="Arial"/>
          <w:sz w:val="18"/>
          <w:szCs w:val="18"/>
        </w:rPr>
        <w:t xml:space="preserve"> </w:t>
      </w:r>
      <w:r>
        <w:rPr>
          <w:rFonts w:ascii="Arial" w:hAnsi="Arial" w:cs="Arial"/>
          <w:sz w:val="18"/>
          <w:szCs w:val="18"/>
        </w:rPr>
        <w:t>m</w:t>
      </w:r>
      <w:r w:rsidRPr="004F068D">
        <w:rPr>
          <w:rFonts w:ascii="Arial" w:hAnsi="Arial" w:cs="Arial"/>
          <w:sz w:val="18"/>
          <w:szCs w:val="18"/>
        </w:rPr>
        <w:t>anager</w:t>
      </w:r>
      <w:r>
        <w:rPr>
          <w:rFonts w:ascii="Arial" w:hAnsi="Arial" w:cs="Arial"/>
          <w:sz w:val="18"/>
          <w:szCs w:val="18"/>
        </w:rPr>
        <w:t>,</w:t>
      </w:r>
      <w:r w:rsidRPr="004F068D">
        <w:rPr>
          <w:rFonts w:ascii="Arial" w:hAnsi="Arial" w:cs="Arial"/>
          <w:sz w:val="18"/>
          <w:szCs w:val="18"/>
        </w:rPr>
        <w:t xml:space="preserve"> </w:t>
      </w:r>
      <w:r>
        <w:rPr>
          <w:rFonts w:ascii="Arial" w:hAnsi="Arial" w:cs="Arial"/>
          <w:sz w:val="18"/>
          <w:szCs w:val="18"/>
        </w:rPr>
        <w:t>c</w:t>
      </w:r>
      <w:r w:rsidRPr="004F068D">
        <w:rPr>
          <w:rFonts w:ascii="Arial" w:hAnsi="Arial" w:cs="Arial"/>
          <w:sz w:val="18"/>
          <w:szCs w:val="18"/>
        </w:rPr>
        <w:t xml:space="preserve">orporate </w:t>
      </w:r>
      <w:r>
        <w:rPr>
          <w:rFonts w:ascii="Arial" w:hAnsi="Arial" w:cs="Arial"/>
          <w:sz w:val="18"/>
          <w:szCs w:val="18"/>
        </w:rPr>
        <w:t>s</w:t>
      </w:r>
      <w:r w:rsidRPr="004F068D">
        <w:rPr>
          <w:rFonts w:ascii="Arial" w:hAnsi="Arial" w:cs="Arial"/>
          <w:sz w:val="18"/>
          <w:szCs w:val="18"/>
        </w:rPr>
        <w:t>ales</w:t>
      </w:r>
      <w:r>
        <w:rPr>
          <w:rFonts w:ascii="Arial" w:hAnsi="Arial" w:cs="Arial"/>
          <w:sz w:val="18"/>
          <w:szCs w:val="18"/>
        </w:rPr>
        <w:t>;</w:t>
      </w:r>
      <w:r w:rsidRPr="004F068D">
        <w:rPr>
          <w:rFonts w:ascii="Arial" w:hAnsi="Arial" w:cs="Arial"/>
          <w:sz w:val="18"/>
          <w:szCs w:val="18"/>
        </w:rPr>
        <w:t xml:space="preserve"> </w:t>
      </w:r>
      <w:r>
        <w:rPr>
          <w:rFonts w:ascii="Arial" w:hAnsi="Arial" w:cs="Arial"/>
          <w:sz w:val="18"/>
          <w:szCs w:val="18"/>
        </w:rPr>
        <w:t>assistant</w:t>
      </w:r>
      <w:r w:rsidRPr="004F068D">
        <w:rPr>
          <w:rFonts w:ascii="Arial" w:hAnsi="Arial" w:cs="Arial"/>
          <w:sz w:val="18"/>
          <w:szCs w:val="18"/>
        </w:rPr>
        <w:t xml:space="preserve"> </w:t>
      </w:r>
      <w:r>
        <w:rPr>
          <w:rFonts w:ascii="Arial" w:hAnsi="Arial" w:cs="Arial"/>
          <w:sz w:val="18"/>
          <w:szCs w:val="18"/>
        </w:rPr>
        <w:t>m</w:t>
      </w:r>
      <w:r w:rsidRPr="004F068D">
        <w:rPr>
          <w:rFonts w:ascii="Arial" w:hAnsi="Arial" w:cs="Arial"/>
          <w:sz w:val="18"/>
          <w:szCs w:val="18"/>
        </w:rPr>
        <w:t>anager</w:t>
      </w:r>
      <w:r>
        <w:rPr>
          <w:rFonts w:ascii="Arial" w:hAnsi="Arial" w:cs="Arial"/>
          <w:sz w:val="18"/>
          <w:szCs w:val="18"/>
        </w:rPr>
        <w:t>,</w:t>
      </w:r>
      <w:r w:rsidRPr="004F068D">
        <w:rPr>
          <w:rFonts w:ascii="Arial" w:hAnsi="Arial" w:cs="Arial"/>
          <w:sz w:val="18"/>
          <w:szCs w:val="18"/>
        </w:rPr>
        <w:t xml:space="preserve"> </w:t>
      </w:r>
      <w:r>
        <w:rPr>
          <w:rFonts w:ascii="Arial" w:hAnsi="Arial" w:cs="Arial"/>
          <w:sz w:val="18"/>
          <w:szCs w:val="18"/>
        </w:rPr>
        <w:t>c</w:t>
      </w:r>
      <w:r w:rsidRPr="004F068D">
        <w:rPr>
          <w:rFonts w:ascii="Arial" w:hAnsi="Arial" w:cs="Arial"/>
          <w:sz w:val="18"/>
          <w:szCs w:val="18"/>
        </w:rPr>
        <w:t xml:space="preserve">orporate </w:t>
      </w:r>
      <w:r>
        <w:rPr>
          <w:rFonts w:ascii="Arial" w:hAnsi="Arial" w:cs="Arial"/>
          <w:sz w:val="18"/>
          <w:szCs w:val="18"/>
        </w:rPr>
        <w:t>s</w:t>
      </w:r>
      <w:r w:rsidRPr="004F068D">
        <w:rPr>
          <w:rFonts w:ascii="Arial" w:hAnsi="Arial" w:cs="Arial"/>
          <w:sz w:val="18"/>
          <w:szCs w:val="18"/>
        </w:rPr>
        <w:t>ales</w:t>
      </w:r>
      <w:r>
        <w:rPr>
          <w:rFonts w:ascii="Arial" w:hAnsi="Arial" w:cs="Arial"/>
          <w:sz w:val="18"/>
          <w:szCs w:val="18"/>
        </w:rPr>
        <w:t>;</w:t>
      </w:r>
      <w:r w:rsidRPr="004F068D">
        <w:rPr>
          <w:rFonts w:ascii="Arial" w:hAnsi="Arial" w:cs="Arial"/>
          <w:sz w:val="18"/>
          <w:szCs w:val="18"/>
        </w:rPr>
        <w:t xml:space="preserve"> and </w:t>
      </w:r>
      <w:r>
        <w:rPr>
          <w:rFonts w:ascii="Arial" w:hAnsi="Arial" w:cs="Arial"/>
          <w:sz w:val="18"/>
          <w:szCs w:val="18"/>
        </w:rPr>
        <w:t>s</w:t>
      </w:r>
      <w:r w:rsidRPr="004F068D">
        <w:rPr>
          <w:rFonts w:ascii="Arial" w:hAnsi="Arial" w:cs="Arial"/>
          <w:sz w:val="18"/>
          <w:szCs w:val="18"/>
        </w:rPr>
        <w:t xml:space="preserve">enior </w:t>
      </w:r>
      <w:r>
        <w:rPr>
          <w:rFonts w:ascii="Arial" w:hAnsi="Arial" w:cs="Arial"/>
          <w:sz w:val="18"/>
          <w:szCs w:val="18"/>
        </w:rPr>
        <w:t>e</w:t>
      </w:r>
      <w:r w:rsidRPr="004F068D">
        <w:rPr>
          <w:rFonts w:ascii="Arial" w:hAnsi="Arial" w:cs="Arial"/>
          <w:sz w:val="18"/>
          <w:szCs w:val="18"/>
        </w:rPr>
        <w:t>xecutive</w:t>
      </w:r>
      <w:r>
        <w:rPr>
          <w:rFonts w:ascii="Arial" w:hAnsi="Arial" w:cs="Arial"/>
          <w:sz w:val="18"/>
          <w:szCs w:val="18"/>
        </w:rPr>
        <w:t>,</w:t>
      </w:r>
      <w:r w:rsidRPr="004F068D">
        <w:rPr>
          <w:rFonts w:ascii="Arial" w:hAnsi="Arial" w:cs="Arial"/>
          <w:sz w:val="18"/>
          <w:szCs w:val="18"/>
        </w:rPr>
        <w:t xml:space="preserve"> </w:t>
      </w:r>
      <w:r>
        <w:rPr>
          <w:rFonts w:ascii="Arial" w:hAnsi="Arial" w:cs="Arial"/>
          <w:sz w:val="18"/>
          <w:szCs w:val="18"/>
        </w:rPr>
        <w:t>c</w:t>
      </w:r>
      <w:r w:rsidRPr="004F068D">
        <w:rPr>
          <w:rFonts w:ascii="Arial" w:hAnsi="Arial" w:cs="Arial"/>
          <w:sz w:val="18"/>
          <w:szCs w:val="18"/>
        </w:rPr>
        <w:t xml:space="preserve">orporate </w:t>
      </w:r>
      <w:r>
        <w:rPr>
          <w:rFonts w:ascii="Arial" w:hAnsi="Arial" w:cs="Arial"/>
          <w:sz w:val="18"/>
          <w:szCs w:val="18"/>
        </w:rPr>
        <w:t>s</w:t>
      </w:r>
      <w:r w:rsidRPr="004F068D">
        <w:rPr>
          <w:rFonts w:ascii="Arial" w:hAnsi="Arial" w:cs="Arial"/>
          <w:sz w:val="18"/>
          <w:szCs w:val="18"/>
        </w:rPr>
        <w:t xml:space="preserve">ales. </w:t>
      </w:r>
      <w:proofErr w:type="spellStart"/>
      <w:r>
        <w:rPr>
          <w:rFonts w:ascii="Arial" w:hAnsi="Arial" w:cs="Arial"/>
          <w:sz w:val="18"/>
          <w:szCs w:val="18"/>
        </w:rPr>
        <w:t>Kapur</w:t>
      </w:r>
      <w:r w:rsidRPr="004F068D">
        <w:rPr>
          <w:rFonts w:ascii="Arial" w:hAnsi="Arial" w:cs="Arial"/>
          <w:sz w:val="18"/>
          <w:szCs w:val="18"/>
        </w:rPr>
        <w:t>was</w:t>
      </w:r>
      <w:proofErr w:type="spellEnd"/>
      <w:r w:rsidRPr="004F068D">
        <w:rPr>
          <w:rFonts w:ascii="Arial" w:hAnsi="Arial" w:cs="Arial"/>
          <w:sz w:val="18"/>
          <w:szCs w:val="18"/>
        </w:rPr>
        <w:t xml:space="preserve"> recogni</w:t>
      </w:r>
      <w:r>
        <w:rPr>
          <w:rFonts w:ascii="Arial" w:hAnsi="Arial" w:cs="Arial"/>
          <w:sz w:val="18"/>
          <w:szCs w:val="18"/>
        </w:rPr>
        <w:t>z</w:t>
      </w:r>
      <w:r w:rsidRPr="004F068D">
        <w:rPr>
          <w:rFonts w:ascii="Arial" w:hAnsi="Arial" w:cs="Arial"/>
          <w:sz w:val="18"/>
          <w:szCs w:val="18"/>
        </w:rPr>
        <w:t xml:space="preserve">ed </w:t>
      </w:r>
      <w:r>
        <w:rPr>
          <w:rFonts w:ascii="Arial" w:hAnsi="Arial" w:cs="Arial"/>
          <w:sz w:val="18"/>
          <w:szCs w:val="18"/>
        </w:rPr>
        <w:t>as one of</w:t>
      </w:r>
      <w:r w:rsidRPr="004F068D">
        <w:rPr>
          <w:rFonts w:ascii="Arial" w:hAnsi="Arial" w:cs="Arial"/>
          <w:sz w:val="18"/>
          <w:szCs w:val="18"/>
        </w:rPr>
        <w:t xml:space="preserve"> the </w:t>
      </w:r>
      <w:r>
        <w:rPr>
          <w:rFonts w:ascii="Arial" w:hAnsi="Arial" w:cs="Arial"/>
          <w:sz w:val="18"/>
          <w:szCs w:val="18"/>
        </w:rPr>
        <w:t>“</w:t>
      </w:r>
      <w:r w:rsidRPr="004F068D">
        <w:rPr>
          <w:rFonts w:ascii="Arial" w:hAnsi="Arial" w:cs="Arial"/>
          <w:sz w:val="18"/>
          <w:szCs w:val="18"/>
        </w:rPr>
        <w:t>50 Most Talented CMOs of India</w:t>
      </w:r>
      <w:r>
        <w:rPr>
          <w:rFonts w:ascii="Arial" w:hAnsi="Arial" w:cs="Arial"/>
          <w:sz w:val="18"/>
          <w:szCs w:val="18"/>
        </w:rPr>
        <w:t>”</w:t>
      </w:r>
      <w:r w:rsidRPr="004F068D">
        <w:rPr>
          <w:rFonts w:ascii="Arial" w:hAnsi="Arial" w:cs="Arial"/>
          <w:sz w:val="18"/>
          <w:szCs w:val="18"/>
        </w:rPr>
        <w:t xml:space="preserve"> (World Brand Congress </w:t>
      </w:r>
      <w:r>
        <w:rPr>
          <w:rFonts w:ascii="Arial" w:hAnsi="Arial" w:cs="Arial"/>
          <w:sz w:val="18"/>
          <w:szCs w:val="18"/>
        </w:rPr>
        <w:t>and</w:t>
      </w:r>
      <w:r w:rsidRPr="004F068D">
        <w:rPr>
          <w:rFonts w:ascii="Arial" w:hAnsi="Arial" w:cs="Arial"/>
          <w:sz w:val="18"/>
          <w:szCs w:val="18"/>
        </w:rPr>
        <w:t xml:space="preserve"> CMO Council) in 2013 and was awarded Digital Marketer of the Year </w:t>
      </w:r>
      <w:r>
        <w:rPr>
          <w:rFonts w:ascii="Arial" w:hAnsi="Arial" w:cs="Arial"/>
          <w:sz w:val="18"/>
          <w:szCs w:val="18"/>
        </w:rPr>
        <w:t xml:space="preserve">at the </w:t>
      </w:r>
      <w:r w:rsidRPr="004F068D">
        <w:rPr>
          <w:rFonts w:ascii="Arial" w:hAnsi="Arial" w:cs="Arial"/>
          <w:sz w:val="18"/>
          <w:szCs w:val="18"/>
        </w:rPr>
        <w:t>World Brand Congress</w:t>
      </w:r>
      <w:r>
        <w:rPr>
          <w:rFonts w:ascii="Arial" w:hAnsi="Arial" w:cs="Arial"/>
          <w:sz w:val="18"/>
          <w:szCs w:val="18"/>
        </w:rPr>
        <w:t>’</w:t>
      </w:r>
      <w:r w:rsidRPr="004F068D">
        <w:rPr>
          <w:rFonts w:ascii="Arial" w:hAnsi="Arial" w:cs="Arial"/>
          <w:sz w:val="18"/>
          <w:szCs w:val="18"/>
        </w:rPr>
        <w:t xml:space="preserve"> Global Brand Excellence Awards.</w:t>
      </w:r>
    </w:p>
    <w:p w14:paraId="2B792B74" w14:textId="77777777" w:rsidR="004835CE" w:rsidRDefault="004835CE" w:rsidP="00AC6CF8">
      <w:pPr>
        <w:pStyle w:val="Footnote"/>
        <w:rPr>
          <w:lang w:val="en-GB"/>
        </w:rPr>
      </w:pPr>
    </w:p>
    <w:p w14:paraId="7C5709E8" w14:textId="129ACE52" w:rsidR="00C36649" w:rsidRPr="004E5FE9" w:rsidRDefault="00C36649" w:rsidP="00AC6CF8">
      <w:pPr>
        <w:pStyle w:val="Footnote"/>
        <w:rPr>
          <w:lang w:val="en-GB"/>
        </w:rPr>
      </w:pPr>
      <w:r w:rsidRPr="004E5FE9">
        <w:rPr>
          <w:lang w:val="en-GB"/>
        </w:rPr>
        <w:t>Note:</w:t>
      </w:r>
      <w:r w:rsidRPr="004E5FE9">
        <w:rPr>
          <w:shd w:val="clear" w:color="auto" w:fill="FFFFFF"/>
          <w:lang w:val="en-GB"/>
        </w:rPr>
        <w:t xml:space="preserve"> APAC = Asia-Pacific;</w:t>
      </w:r>
      <w:r w:rsidR="00B23162">
        <w:rPr>
          <w:shd w:val="clear" w:color="auto" w:fill="FFFFFF"/>
          <w:lang w:val="en-GB"/>
        </w:rPr>
        <w:t xml:space="preserve"> </w:t>
      </w:r>
      <w:r w:rsidR="00A1421C" w:rsidRPr="00B23162">
        <w:rPr>
          <w:shd w:val="clear" w:color="auto" w:fill="FFFFFF"/>
        </w:rPr>
        <w:t>₹</w:t>
      </w:r>
      <w:r w:rsidR="00B23162" w:rsidRPr="00B23162">
        <w:rPr>
          <w:shd w:val="clear" w:color="auto" w:fill="FFFFFF"/>
        </w:rPr>
        <w:t>1 = US$0.016</w:t>
      </w:r>
      <w:r w:rsidR="00A1421C" w:rsidRPr="00B23162">
        <w:rPr>
          <w:shd w:val="clear" w:color="auto" w:fill="FFFFFF"/>
        </w:rPr>
        <w:t xml:space="preserve"> on January 31, </w:t>
      </w:r>
      <w:proofErr w:type="gramStart"/>
      <w:r w:rsidR="00A1421C" w:rsidRPr="00B23162">
        <w:rPr>
          <w:shd w:val="clear" w:color="auto" w:fill="FFFFFF"/>
        </w:rPr>
        <w:t>2015.</w:t>
      </w:r>
      <w:r w:rsidR="00CD570C">
        <w:rPr>
          <w:shd w:val="clear" w:color="auto" w:fill="FFFFFF"/>
          <w:lang w:val="en-GB"/>
        </w:rPr>
        <w:t>;</w:t>
      </w:r>
      <w:proofErr w:type="gramEnd"/>
      <w:r w:rsidR="00CD570C">
        <w:rPr>
          <w:shd w:val="clear" w:color="auto" w:fill="FFFFFF"/>
          <w:lang w:val="en-GB"/>
        </w:rPr>
        <w:t xml:space="preserve"> SEO = search engine optimization</w:t>
      </w:r>
    </w:p>
    <w:p w14:paraId="2B9A6821" w14:textId="38F77836" w:rsidR="00CD570C" w:rsidRDefault="00AC6CF8" w:rsidP="00AC6CF8">
      <w:pPr>
        <w:pStyle w:val="Footnote"/>
        <w:rPr>
          <w:lang w:val="en-GB"/>
        </w:rPr>
      </w:pPr>
      <w:r w:rsidRPr="004E5FE9">
        <w:rPr>
          <w:lang w:val="en-GB"/>
        </w:rPr>
        <w:t>Source: Company files.</w:t>
      </w:r>
    </w:p>
    <w:p w14:paraId="08CB70F5" w14:textId="77777777" w:rsidR="00CD570C" w:rsidRDefault="00CD570C">
      <w:pPr>
        <w:spacing w:after="200" w:line="276" w:lineRule="auto"/>
        <w:rPr>
          <w:rFonts w:ascii="Arial" w:hAnsi="Arial" w:cs="Arial"/>
          <w:sz w:val="17"/>
          <w:szCs w:val="17"/>
          <w:lang w:val="en-GB"/>
        </w:rPr>
      </w:pPr>
      <w:r>
        <w:rPr>
          <w:lang w:val="en-GB"/>
        </w:rPr>
        <w:br w:type="page"/>
      </w:r>
    </w:p>
    <w:p w14:paraId="5D999433" w14:textId="77777777" w:rsidR="00AC6CF8" w:rsidRPr="004E5FE9" w:rsidRDefault="00AC6CF8" w:rsidP="00AC6CF8">
      <w:pPr>
        <w:pStyle w:val="ExhibitHeading"/>
        <w:rPr>
          <w:lang w:val="en-GB"/>
        </w:rPr>
      </w:pPr>
      <w:r w:rsidRPr="004E5FE9">
        <w:rPr>
          <w:lang w:val="en-GB"/>
        </w:rPr>
        <w:lastRenderedPageBreak/>
        <w:t>Exhibit 2: Sample Deals from Groupon India</w:t>
      </w:r>
    </w:p>
    <w:p w14:paraId="67D75D0A" w14:textId="77777777" w:rsidR="00AC6CF8" w:rsidRPr="004E5FE9" w:rsidRDefault="00AC6CF8" w:rsidP="00AC6CF8">
      <w:pPr>
        <w:pStyle w:val="BodyTextMain"/>
        <w:rPr>
          <w:lang w:val="en-GB"/>
        </w:rPr>
      </w:pPr>
    </w:p>
    <w:p w14:paraId="4C1933C8" w14:textId="77777777" w:rsidR="00AC6CF8" w:rsidRPr="004E5FE9" w:rsidRDefault="00AC6CF8" w:rsidP="00AC6CF8">
      <w:pPr>
        <w:pStyle w:val="BodyTextMain"/>
        <w:jc w:val="center"/>
        <w:rPr>
          <w:lang w:val="en-GB"/>
        </w:rPr>
      </w:pPr>
      <w:r w:rsidRPr="004E5FE9">
        <w:rPr>
          <w:rFonts w:ascii="Arial" w:hAnsi="Arial" w:cs="Arial"/>
          <w:noProof/>
          <w:sz w:val="20"/>
          <w:szCs w:val="20"/>
        </w:rPr>
        <w:drawing>
          <wp:inline distT="0" distB="0" distL="0" distR="0" wp14:anchorId="699ABAC8" wp14:editId="4075702A">
            <wp:extent cx="4050610" cy="2078966"/>
            <wp:effectExtent l="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grayscl/>
                    </a:blip>
                    <a:stretch>
                      <a:fillRect/>
                    </a:stretch>
                  </pic:blipFill>
                  <pic:spPr>
                    <a:xfrm>
                      <a:off x="0" y="0"/>
                      <a:ext cx="4071610" cy="2089744"/>
                    </a:xfrm>
                    <a:prstGeom prst="rect">
                      <a:avLst/>
                    </a:prstGeom>
                  </pic:spPr>
                </pic:pic>
              </a:graphicData>
            </a:graphic>
          </wp:inline>
        </w:drawing>
      </w:r>
    </w:p>
    <w:p w14:paraId="7DE44FC0" w14:textId="77777777" w:rsidR="00AC6CF8" w:rsidRPr="004E5FE9" w:rsidRDefault="00AC6CF8" w:rsidP="00AC6CF8">
      <w:pPr>
        <w:pStyle w:val="BodyTextMain"/>
        <w:rPr>
          <w:lang w:val="en-GB"/>
        </w:rPr>
      </w:pPr>
    </w:p>
    <w:p w14:paraId="3AD47F9F" w14:textId="77777777" w:rsidR="00AC6CF8" w:rsidRPr="004E5FE9" w:rsidRDefault="00AC6CF8" w:rsidP="00AC6CF8">
      <w:pPr>
        <w:pStyle w:val="BodyTextMain"/>
        <w:jc w:val="center"/>
        <w:rPr>
          <w:lang w:val="en-GB"/>
        </w:rPr>
      </w:pPr>
      <w:r w:rsidRPr="004E5FE9">
        <w:rPr>
          <w:rFonts w:ascii="Arial" w:hAnsi="Arial" w:cs="Arial"/>
          <w:noProof/>
          <w:sz w:val="20"/>
          <w:szCs w:val="20"/>
        </w:rPr>
        <w:drawing>
          <wp:inline distT="0" distB="0" distL="0" distR="0" wp14:anchorId="42B91603" wp14:editId="378A8546">
            <wp:extent cx="3570135" cy="2346726"/>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grayscl/>
                    </a:blip>
                    <a:srcRect t="10601" r="-1945"/>
                    <a:stretch/>
                  </pic:blipFill>
                  <pic:spPr bwMode="auto">
                    <a:xfrm>
                      <a:off x="0" y="0"/>
                      <a:ext cx="3608185" cy="2371737"/>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0530CECE" w14:textId="77777777" w:rsidR="00AC6CF8" w:rsidRPr="004E5FE9" w:rsidRDefault="00AC6CF8" w:rsidP="00AC6CF8">
      <w:pPr>
        <w:pStyle w:val="BodyTextMain"/>
        <w:rPr>
          <w:lang w:val="en-GB"/>
        </w:rPr>
      </w:pPr>
    </w:p>
    <w:p w14:paraId="6AE019BD" w14:textId="77777777" w:rsidR="00643A79" w:rsidRPr="004E5FE9" w:rsidRDefault="00643A79" w:rsidP="00643A79">
      <w:pPr>
        <w:pStyle w:val="Footnote"/>
        <w:rPr>
          <w:lang w:val="en-GB"/>
        </w:rPr>
      </w:pPr>
      <w:r w:rsidRPr="004E5FE9">
        <w:rPr>
          <w:lang w:val="en-GB"/>
        </w:rPr>
        <w:t>Source: Company files.</w:t>
      </w:r>
    </w:p>
    <w:p w14:paraId="32486192" w14:textId="77777777" w:rsidR="00643A79" w:rsidRPr="004E5FE9" w:rsidRDefault="00643A79" w:rsidP="00643A79">
      <w:pPr>
        <w:pStyle w:val="Footnote"/>
        <w:rPr>
          <w:lang w:val="en-GB"/>
        </w:rPr>
      </w:pPr>
    </w:p>
    <w:p w14:paraId="1DF60825" w14:textId="77777777" w:rsidR="00150736" w:rsidRPr="004E5FE9" w:rsidRDefault="00150736" w:rsidP="00643A79">
      <w:pPr>
        <w:pStyle w:val="Footnote"/>
        <w:rPr>
          <w:lang w:val="en-GB"/>
        </w:rPr>
      </w:pPr>
    </w:p>
    <w:p w14:paraId="1DD3E5E6" w14:textId="7C5A6318" w:rsidR="00643A79" w:rsidRPr="004E5FE9" w:rsidRDefault="00643A79" w:rsidP="00643A79">
      <w:pPr>
        <w:pStyle w:val="ExhibitHeading"/>
        <w:rPr>
          <w:shd w:val="clear" w:color="auto" w:fill="FFFFFF"/>
          <w:lang w:val="en-GB"/>
        </w:rPr>
      </w:pPr>
      <w:r w:rsidRPr="004E5FE9">
        <w:rPr>
          <w:shd w:val="clear" w:color="auto" w:fill="FFFFFF"/>
          <w:lang w:val="en-GB"/>
        </w:rPr>
        <w:t>Exhibit 3: Financial Highlights of Groupon India</w:t>
      </w:r>
      <w:r w:rsidR="007D235F">
        <w:rPr>
          <w:shd w:val="clear" w:color="auto" w:fill="FFFFFF"/>
          <w:lang w:val="en-GB"/>
        </w:rPr>
        <w:t>, 2011–2014</w:t>
      </w:r>
      <w:r w:rsidRPr="004E5FE9">
        <w:rPr>
          <w:shd w:val="clear" w:color="auto" w:fill="FFFFFF"/>
          <w:lang w:val="en-GB"/>
        </w:rPr>
        <w:t xml:space="preserve"> (in INR MILLION)</w:t>
      </w:r>
    </w:p>
    <w:p w14:paraId="65276372" w14:textId="77777777" w:rsidR="00643A79" w:rsidRPr="004E5FE9" w:rsidRDefault="00643A79" w:rsidP="00643A79">
      <w:pPr>
        <w:pStyle w:val="ExhibitHeading"/>
        <w:rPr>
          <w:shd w:val="clear" w:color="auto" w:fill="FFFFFF"/>
          <w:lang w:val="en-GB"/>
        </w:rPr>
      </w:pPr>
    </w:p>
    <w:tbl>
      <w:tblPr>
        <w:tblStyle w:val="TableGrid"/>
        <w:tblW w:w="9502" w:type="dxa"/>
        <w:jc w:val="center"/>
        <w:tblLayout w:type="fixed"/>
        <w:tblLook w:val="04A0" w:firstRow="1" w:lastRow="0" w:firstColumn="1" w:lastColumn="0" w:noHBand="0" w:noVBand="1"/>
      </w:tblPr>
      <w:tblGrid>
        <w:gridCol w:w="5850"/>
        <w:gridCol w:w="913"/>
        <w:gridCol w:w="913"/>
        <w:gridCol w:w="913"/>
        <w:gridCol w:w="913"/>
      </w:tblGrid>
      <w:tr w:rsidR="00643A79" w:rsidRPr="004E5FE9" w14:paraId="509FD451" w14:textId="77777777" w:rsidTr="009642C6">
        <w:trPr>
          <w:trHeight w:val="225"/>
          <w:jc w:val="center"/>
        </w:trPr>
        <w:tc>
          <w:tcPr>
            <w:tcW w:w="5850" w:type="dxa"/>
            <w:noWrap/>
            <w:hideMark/>
          </w:tcPr>
          <w:p w14:paraId="331F03C7" w14:textId="77777777" w:rsidR="00643A79" w:rsidRPr="004E5FE9" w:rsidRDefault="00643A79" w:rsidP="00B90CBE">
            <w:pPr>
              <w:rPr>
                <w:rFonts w:ascii="Arial" w:hAnsi="Arial" w:cs="Arial"/>
                <w:b/>
                <w:sz w:val="18"/>
                <w:szCs w:val="18"/>
                <w:lang w:val="en-GB"/>
              </w:rPr>
            </w:pPr>
            <w:r w:rsidRPr="004E5FE9">
              <w:rPr>
                <w:rFonts w:ascii="Arial" w:hAnsi="Arial" w:cs="Arial"/>
                <w:b/>
                <w:bCs/>
                <w:sz w:val="18"/>
                <w:szCs w:val="18"/>
                <w:lang w:val="en-GB"/>
              </w:rPr>
              <w:t>Particulars</w:t>
            </w:r>
          </w:p>
        </w:tc>
        <w:tc>
          <w:tcPr>
            <w:tcW w:w="913" w:type="dxa"/>
            <w:noWrap/>
            <w:hideMark/>
          </w:tcPr>
          <w:p w14:paraId="47E0AA55" w14:textId="77777777" w:rsidR="00643A79" w:rsidRPr="004E5FE9" w:rsidRDefault="00643A79" w:rsidP="00B90CBE">
            <w:pPr>
              <w:jc w:val="center"/>
              <w:rPr>
                <w:rFonts w:ascii="Arial" w:hAnsi="Arial" w:cs="Arial"/>
                <w:b/>
                <w:sz w:val="18"/>
                <w:szCs w:val="18"/>
                <w:lang w:val="en-GB"/>
              </w:rPr>
            </w:pPr>
            <w:r w:rsidRPr="004E5FE9">
              <w:rPr>
                <w:rFonts w:ascii="Arial" w:hAnsi="Arial" w:cs="Arial"/>
                <w:b/>
                <w:bCs/>
                <w:sz w:val="18"/>
                <w:szCs w:val="18"/>
                <w:lang w:val="en-GB"/>
              </w:rPr>
              <w:t>2011</w:t>
            </w:r>
          </w:p>
        </w:tc>
        <w:tc>
          <w:tcPr>
            <w:tcW w:w="913" w:type="dxa"/>
            <w:noWrap/>
            <w:hideMark/>
          </w:tcPr>
          <w:p w14:paraId="10F34BD5" w14:textId="77777777" w:rsidR="00643A79" w:rsidRPr="004E5FE9" w:rsidRDefault="00643A79" w:rsidP="009642C6">
            <w:pPr>
              <w:tabs>
                <w:tab w:val="decimal" w:pos="493"/>
              </w:tabs>
              <w:jc w:val="center"/>
              <w:rPr>
                <w:rFonts w:ascii="Arial" w:hAnsi="Arial" w:cs="Arial"/>
                <w:b/>
                <w:sz w:val="18"/>
                <w:szCs w:val="18"/>
                <w:lang w:val="en-GB"/>
              </w:rPr>
            </w:pPr>
            <w:r w:rsidRPr="004E5FE9">
              <w:rPr>
                <w:rFonts w:ascii="Arial" w:hAnsi="Arial" w:cs="Arial"/>
                <w:b/>
                <w:bCs/>
                <w:sz w:val="18"/>
                <w:szCs w:val="18"/>
                <w:lang w:val="en-GB"/>
              </w:rPr>
              <w:t>2012</w:t>
            </w:r>
          </w:p>
        </w:tc>
        <w:tc>
          <w:tcPr>
            <w:tcW w:w="913" w:type="dxa"/>
            <w:noWrap/>
            <w:hideMark/>
          </w:tcPr>
          <w:p w14:paraId="60B0F2C2" w14:textId="77777777" w:rsidR="00643A79" w:rsidRPr="004E5FE9" w:rsidRDefault="00643A79" w:rsidP="00B90CBE">
            <w:pPr>
              <w:jc w:val="center"/>
              <w:rPr>
                <w:rFonts w:ascii="Arial" w:hAnsi="Arial" w:cs="Arial"/>
                <w:b/>
                <w:sz w:val="18"/>
                <w:szCs w:val="18"/>
                <w:lang w:val="en-GB"/>
              </w:rPr>
            </w:pPr>
            <w:r w:rsidRPr="004E5FE9">
              <w:rPr>
                <w:rFonts w:ascii="Arial" w:hAnsi="Arial" w:cs="Arial"/>
                <w:b/>
                <w:bCs/>
                <w:sz w:val="18"/>
                <w:szCs w:val="18"/>
                <w:lang w:val="en-GB"/>
              </w:rPr>
              <w:t>2013</w:t>
            </w:r>
          </w:p>
        </w:tc>
        <w:tc>
          <w:tcPr>
            <w:tcW w:w="913" w:type="dxa"/>
            <w:noWrap/>
            <w:hideMark/>
          </w:tcPr>
          <w:p w14:paraId="7F5DE825" w14:textId="77777777" w:rsidR="00643A79" w:rsidRPr="004E5FE9" w:rsidRDefault="00643A79" w:rsidP="00B90CBE">
            <w:pPr>
              <w:jc w:val="center"/>
              <w:rPr>
                <w:rFonts w:ascii="Arial" w:hAnsi="Arial" w:cs="Arial"/>
                <w:b/>
                <w:sz w:val="18"/>
                <w:szCs w:val="18"/>
                <w:lang w:val="en-GB"/>
              </w:rPr>
            </w:pPr>
            <w:r w:rsidRPr="004E5FE9">
              <w:rPr>
                <w:rFonts w:ascii="Arial" w:hAnsi="Arial" w:cs="Arial"/>
                <w:b/>
                <w:bCs/>
                <w:sz w:val="18"/>
                <w:szCs w:val="18"/>
                <w:lang w:val="en-GB"/>
              </w:rPr>
              <w:t>2014</w:t>
            </w:r>
          </w:p>
        </w:tc>
      </w:tr>
      <w:tr w:rsidR="00643A79" w:rsidRPr="004E5FE9" w14:paraId="2BD884C0" w14:textId="77777777" w:rsidTr="009642C6">
        <w:trPr>
          <w:trHeight w:val="225"/>
          <w:jc w:val="center"/>
        </w:trPr>
        <w:tc>
          <w:tcPr>
            <w:tcW w:w="5850" w:type="dxa"/>
            <w:noWrap/>
            <w:hideMark/>
          </w:tcPr>
          <w:p w14:paraId="1EA11174" w14:textId="77777777" w:rsidR="00643A79" w:rsidRPr="004E5FE9" w:rsidRDefault="00643A79" w:rsidP="00B90CBE">
            <w:pPr>
              <w:rPr>
                <w:rFonts w:ascii="Arial" w:hAnsi="Arial" w:cs="Arial"/>
                <w:sz w:val="18"/>
                <w:szCs w:val="18"/>
                <w:lang w:val="en-GB"/>
              </w:rPr>
            </w:pPr>
            <w:r w:rsidRPr="004E5FE9">
              <w:rPr>
                <w:rFonts w:ascii="Arial" w:hAnsi="Arial" w:cs="Arial"/>
                <w:bCs/>
                <w:sz w:val="18"/>
                <w:szCs w:val="18"/>
                <w:lang w:val="en-GB"/>
              </w:rPr>
              <w:t>Gross Merchandise Value</w:t>
            </w:r>
          </w:p>
        </w:tc>
        <w:tc>
          <w:tcPr>
            <w:tcW w:w="913" w:type="dxa"/>
            <w:noWrap/>
            <w:hideMark/>
          </w:tcPr>
          <w:p w14:paraId="24274371" w14:textId="77777777" w:rsidR="00643A79" w:rsidRPr="004E5FE9" w:rsidRDefault="00643A79" w:rsidP="009642C6">
            <w:pPr>
              <w:tabs>
                <w:tab w:val="decimal" w:pos="461"/>
              </w:tabs>
              <w:rPr>
                <w:rFonts w:ascii="Arial" w:hAnsi="Arial" w:cs="Arial"/>
                <w:sz w:val="18"/>
                <w:szCs w:val="18"/>
                <w:lang w:val="en-GB"/>
              </w:rPr>
            </w:pPr>
            <w:r w:rsidRPr="004E5FE9">
              <w:rPr>
                <w:rFonts w:ascii="Arial" w:hAnsi="Arial" w:cs="Arial"/>
                <w:sz w:val="18"/>
                <w:szCs w:val="18"/>
                <w:lang w:val="en-GB"/>
              </w:rPr>
              <w:t>69.6</w:t>
            </w:r>
          </w:p>
        </w:tc>
        <w:tc>
          <w:tcPr>
            <w:tcW w:w="913" w:type="dxa"/>
            <w:noWrap/>
            <w:hideMark/>
          </w:tcPr>
          <w:p w14:paraId="115317A7" w14:textId="77777777" w:rsidR="00643A79" w:rsidRPr="004E5FE9" w:rsidRDefault="00643A79" w:rsidP="009642C6">
            <w:pPr>
              <w:tabs>
                <w:tab w:val="decimal" w:pos="322"/>
                <w:tab w:val="decimal" w:pos="355"/>
              </w:tabs>
              <w:jc w:val="center"/>
              <w:rPr>
                <w:rFonts w:ascii="Arial" w:hAnsi="Arial" w:cs="Arial"/>
                <w:sz w:val="18"/>
                <w:szCs w:val="18"/>
                <w:lang w:val="en-GB"/>
              </w:rPr>
            </w:pPr>
            <w:r w:rsidRPr="004E5FE9">
              <w:rPr>
                <w:rFonts w:ascii="Arial" w:hAnsi="Arial" w:cs="Arial"/>
                <w:sz w:val="18"/>
                <w:szCs w:val="18"/>
                <w:lang w:val="en-GB"/>
              </w:rPr>
              <w:t>294.0</w:t>
            </w:r>
          </w:p>
        </w:tc>
        <w:tc>
          <w:tcPr>
            <w:tcW w:w="913" w:type="dxa"/>
            <w:noWrap/>
            <w:hideMark/>
          </w:tcPr>
          <w:p w14:paraId="3BBF0DBA" w14:textId="77777777" w:rsidR="00643A79" w:rsidRPr="004E5FE9" w:rsidRDefault="00643A79" w:rsidP="009642C6">
            <w:pPr>
              <w:tabs>
                <w:tab w:val="decimal" w:pos="485"/>
              </w:tabs>
              <w:rPr>
                <w:rFonts w:ascii="Arial" w:hAnsi="Arial" w:cs="Arial"/>
                <w:sz w:val="18"/>
                <w:szCs w:val="18"/>
                <w:lang w:val="en-GB"/>
              </w:rPr>
            </w:pPr>
            <w:r w:rsidRPr="004E5FE9">
              <w:rPr>
                <w:rFonts w:ascii="Arial" w:hAnsi="Arial" w:cs="Arial"/>
                <w:sz w:val="18"/>
                <w:szCs w:val="18"/>
                <w:lang w:val="en-GB"/>
              </w:rPr>
              <w:t>724.9</w:t>
            </w:r>
          </w:p>
        </w:tc>
        <w:tc>
          <w:tcPr>
            <w:tcW w:w="913" w:type="dxa"/>
            <w:noWrap/>
            <w:hideMark/>
          </w:tcPr>
          <w:p w14:paraId="2B7E6AEB" w14:textId="416CE28F" w:rsidR="00643A79" w:rsidRPr="004E5FE9" w:rsidRDefault="00643A79" w:rsidP="009642C6">
            <w:pPr>
              <w:tabs>
                <w:tab w:val="decimal" w:pos="433"/>
              </w:tabs>
              <w:rPr>
                <w:rFonts w:ascii="Arial" w:hAnsi="Arial" w:cs="Arial"/>
                <w:sz w:val="18"/>
                <w:szCs w:val="18"/>
                <w:lang w:val="en-GB"/>
              </w:rPr>
            </w:pPr>
            <w:r w:rsidRPr="004E5FE9">
              <w:rPr>
                <w:rFonts w:ascii="Arial" w:hAnsi="Arial" w:cs="Arial"/>
                <w:sz w:val="18"/>
                <w:szCs w:val="18"/>
                <w:lang w:val="en-GB"/>
              </w:rPr>
              <w:t>1</w:t>
            </w:r>
            <w:r w:rsidR="00F76DCC">
              <w:rPr>
                <w:rFonts w:ascii="Arial" w:hAnsi="Arial" w:cs="Arial"/>
                <w:sz w:val="18"/>
                <w:szCs w:val="18"/>
                <w:lang w:val="en-GB"/>
              </w:rPr>
              <w:t>,</w:t>
            </w:r>
            <w:r w:rsidRPr="004E5FE9">
              <w:rPr>
                <w:rFonts w:ascii="Arial" w:hAnsi="Arial" w:cs="Arial"/>
                <w:sz w:val="18"/>
                <w:szCs w:val="18"/>
                <w:lang w:val="en-GB"/>
              </w:rPr>
              <w:t>384.9</w:t>
            </w:r>
          </w:p>
        </w:tc>
      </w:tr>
      <w:tr w:rsidR="00643A79" w:rsidRPr="004E5FE9" w14:paraId="23FE6AB6" w14:textId="77777777" w:rsidTr="009642C6">
        <w:trPr>
          <w:trHeight w:val="60"/>
          <w:jc w:val="center"/>
        </w:trPr>
        <w:tc>
          <w:tcPr>
            <w:tcW w:w="5850" w:type="dxa"/>
            <w:hideMark/>
          </w:tcPr>
          <w:p w14:paraId="2C698940" w14:textId="7F302711" w:rsidR="00643A79" w:rsidRPr="004E5FE9" w:rsidRDefault="00643A79" w:rsidP="00924742">
            <w:pPr>
              <w:rPr>
                <w:rFonts w:ascii="Arial" w:hAnsi="Arial" w:cs="Arial"/>
                <w:sz w:val="18"/>
                <w:szCs w:val="18"/>
                <w:lang w:val="en-GB"/>
              </w:rPr>
            </w:pPr>
            <w:r w:rsidRPr="004E5FE9">
              <w:rPr>
                <w:rFonts w:ascii="Arial" w:hAnsi="Arial" w:cs="Arial"/>
                <w:bCs/>
                <w:sz w:val="18"/>
                <w:szCs w:val="18"/>
                <w:lang w:val="en-GB"/>
              </w:rPr>
              <w:t xml:space="preserve">Gross Billings (net of order discount </w:t>
            </w:r>
            <w:r w:rsidR="00150736" w:rsidRPr="004E5FE9">
              <w:rPr>
                <w:rFonts w:ascii="Arial" w:hAnsi="Arial" w:cs="Arial"/>
                <w:bCs/>
                <w:sz w:val="18"/>
                <w:szCs w:val="18"/>
                <w:lang w:val="en-GB"/>
              </w:rPr>
              <w:t>and</w:t>
            </w:r>
            <w:r w:rsidRPr="004E5FE9">
              <w:rPr>
                <w:rFonts w:ascii="Arial" w:hAnsi="Arial" w:cs="Arial"/>
                <w:bCs/>
                <w:sz w:val="18"/>
                <w:szCs w:val="18"/>
                <w:lang w:val="en-GB"/>
              </w:rPr>
              <w:t xml:space="preserve"> </w:t>
            </w:r>
            <w:r w:rsidR="00150736" w:rsidRPr="004E5FE9">
              <w:rPr>
                <w:rFonts w:ascii="Arial" w:hAnsi="Arial" w:cs="Arial"/>
                <w:bCs/>
                <w:sz w:val="18"/>
                <w:szCs w:val="18"/>
                <w:lang w:val="en-GB"/>
              </w:rPr>
              <w:t>g</w:t>
            </w:r>
            <w:r w:rsidRPr="004E5FE9">
              <w:rPr>
                <w:rFonts w:ascii="Arial" w:hAnsi="Arial" w:cs="Arial"/>
                <w:bCs/>
                <w:sz w:val="18"/>
                <w:szCs w:val="18"/>
                <w:lang w:val="en-GB"/>
              </w:rPr>
              <w:t xml:space="preserve">oods and </w:t>
            </w:r>
            <w:r w:rsidR="00150736" w:rsidRPr="004E5FE9">
              <w:rPr>
                <w:rFonts w:ascii="Arial" w:hAnsi="Arial" w:cs="Arial"/>
                <w:bCs/>
                <w:sz w:val="18"/>
                <w:szCs w:val="18"/>
                <w:lang w:val="en-GB"/>
              </w:rPr>
              <w:t>s</w:t>
            </w:r>
            <w:r w:rsidRPr="004E5FE9">
              <w:rPr>
                <w:rFonts w:ascii="Arial" w:hAnsi="Arial" w:cs="Arial"/>
                <w:bCs/>
                <w:sz w:val="18"/>
                <w:szCs w:val="18"/>
                <w:lang w:val="en-GB"/>
              </w:rPr>
              <w:t xml:space="preserve">ervice </w:t>
            </w:r>
            <w:r w:rsidR="00150736" w:rsidRPr="004E5FE9">
              <w:rPr>
                <w:rFonts w:ascii="Arial" w:hAnsi="Arial" w:cs="Arial"/>
                <w:bCs/>
                <w:sz w:val="18"/>
                <w:szCs w:val="18"/>
                <w:lang w:val="en-GB"/>
              </w:rPr>
              <w:t>t</w:t>
            </w:r>
            <w:r w:rsidRPr="004E5FE9">
              <w:rPr>
                <w:rFonts w:ascii="Arial" w:hAnsi="Arial" w:cs="Arial"/>
                <w:bCs/>
                <w:sz w:val="18"/>
                <w:szCs w:val="18"/>
                <w:lang w:val="en-GB"/>
              </w:rPr>
              <w:t>ax)</w:t>
            </w:r>
          </w:p>
        </w:tc>
        <w:tc>
          <w:tcPr>
            <w:tcW w:w="913" w:type="dxa"/>
            <w:noWrap/>
            <w:hideMark/>
          </w:tcPr>
          <w:p w14:paraId="67C32B5F" w14:textId="77777777" w:rsidR="00643A79" w:rsidRPr="004E5FE9" w:rsidRDefault="00643A79" w:rsidP="009642C6">
            <w:pPr>
              <w:tabs>
                <w:tab w:val="decimal" w:pos="461"/>
              </w:tabs>
              <w:rPr>
                <w:rFonts w:ascii="Arial" w:hAnsi="Arial" w:cs="Arial"/>
                <w:sz w:val="18"/>
                <w:szCs w:val="18"/>
                <w:lang w:val="en-GB"/>
              </w:rPr>
            </w:pPr>
            <w:r w:rsidRPr="004E5FE9">
              <w:rPr>
                <w:rFonts w:ascii="Arial" w:hAnsi="Arial" w:cs="Arial"/>
                <w:sz w:val="18"/>
                <w:szCs w:val="18"/>
                <w:lang w:val="en-GB"/>
              </w:rPr>
              <w:t>68.0</w:t>
            </w:r>
          </w:p>
        </w:tc>
        <w:tc>
          <w:tcPr>
            <w:tcW w:w="913" w:type="dxa"/>
            <w:noWrap/>
            <w:hideMark/>
          </w:tcPr>
          <w:p w14:paraId="4563D485" w14:textId="77777777" w:rsidR="00643A79" w:rsidRPr="004E5FE9" w:rsidRDefault="00643A79" w:rsidP="009642C6">
            <w:pPr>
              <w:tabs>
                <w:tab w:val="decimal" w:pos="322"/>
                <w:tab w:val="decimal" w:pos="355"/>
              </w:tabs>
              <w:jc w:val="center"/>
              <w:rPr>
                <w:rFonts w:ascii="Arial" w:hAnsi="Arial" w:cs="Arial"/>
                <w:sz w:val="18"/>
                <w:szCs w:val="18"/>
                <w:lang w:val="en-GB"/>
              </w:rPr>
            </w:pPr>
            <w:r w:rsidRPr="004E5FE9">
              <w:rPr>
                <w:rFonts w:ascii="Arial" w:hAnsi="Arial" w:cs="Arial"/>
                <w:sz w:val="18"/>
                <w:szCs w:val="18"/>
                <w:lang w:val="en-GB"/>
              </w:rPr>
              <w:t>283.7</w:t>
            </w:r>
          </w:p>
        </w:tc>
        <w:tc>
          <w:tcPr>
            <w:tcW w:w="913" w:type="dxa"/>
            <w:noWrap/>
            <w:hideMark/>
          </w:tcPr>
          <w:p w14:paraId="21DCD992" w14:textId="77777777" w:rsidR="00643A79" w:rsidRPr="004E5FE9" w:rsidRDefault="00643A79" w:rsidP="009642C6">
            <w:pPr>
              <w:tabs>
                <w:tab w:val="decimal" w:pos="485"/>
              </w:tabs>
              <w:rPr>
                <w:rFonts w:ascii="Arial" w:hAnsi="Arial" w:cs="Arial"/>
                <w:sz w:val="18"/>
                <w:szCs w:val="18"/>
                <w:lang w:val="en-GB"/>
              </w:rPr>
            </w:pPr>
            <w:r w:rsidRPr="004E5FE9">
              <w:rPr>
                <w:rFonts w:ascii="Arial" w:hAnsi="Arial" w:cs="Arial"/>
                <w:sz w:val="18"/>
                <w:szCs w:val="18"/>
                <w:lang w:val="en-GB"/>
              </w:rPr>
              <w:t>707.5</w:t>
            </w:r>
          </w:p>
        </w:tc>
        <w:tc>
          <w:tcPr>
            <w:tcW w:w="913" w:type="dxa"/>
            <w:noWrap/>
            <w:hideMark/>
          </w:tcPr>
          <w:p w14:paraId="3093750E" w14:textId="093C60D1" w:rsidR="00643A79" w:rsidRPr="004E5FE9" w:rsidRDefault="00643A79" w:rsidP="009642C6">
            <w:pPr>
              <w:tabs>
                <w:tab w:val="decimal" w:pos="433"/>
              </w:tabs>
              <w:rPr>
                <w:rFonts w:ascii="Arial" w:hAnsi="Arial" w:cs="Arial"/>
                <w:sz w:val="18"/>
                <w:szCs w:val="18"/>
                <w:lang w:val="en-GB"/>
              </w:rPr>
            </w:pPr>
            <w:r w:rsidRPr="004E5FE9">
              <w:rPr>
                <w:rFonts w:ascii="Arial" w:hAnsi="Arial" w:cs="Arial"/>
                <w:sz w:val="18"/>
                <w:szCs w:val="18"/>
                <w:lang w:val="en-GB"/>
              </w:rPr>
              <w:t>1</w:t>
            </w:r>
            <w:r w:rsidR="00F76DCC">
              <w:rPr>
                <w:rFonts w:ascii="Arial" w:hAnsi="Arial" w:cs="Arial"/>
                <w:sz w:val="18"/>
                <w:szCs w:val="18"/>
                <w:lang w:val="en-GB"/>
              </w:rPr>
              <w:t>,</w:t>
            </w:r>
            <w:r w:rsidRPr="004E5FE9">
              <w:rPr>
                <w:rFonts w:ascii="Arial" w:hAnsi="Arial" w:cs="Arial"/>
                <w:sz w:val="18"/>
                <w:szCs w:val="18"/>
                <w:lang w:val="en-GB"/>
              </w:rPr>
              <w:t>348.2</w:t>
            </w:r>
          </w:p>
        </w:tc>
      </w:tr>
      <w:tr w:rsidR="00643A79" w:rsidRPr="004E5FE9" w14:paraId="679E37CC" w14:textId="77777777" w:rsidTr="009642C6">
        <w:trPr>
          <w:trHeight w:val="60"/>
          <w:jc w:val="center"/>
        </w:trPr>
        <w:tc>
          <w:tcPr>
            <w:tcW w:w="5850" w:type="dxa"/>
            <w:noWrap/>
            <w:hideMark/>
          </w:tcPr>
          <w:p w14:paraId="72508CAD" w14:textId="77777777" w:rsidR="00643A79" w:rsidRPr="004E5FE9" w:rsidRDefault="00643A79" w:rsidP="00B90CBE">
            <w:pPr>
              <w:rPr>
                <w:rFonts w:ascii="Arial" w:hAnsi="Arial" w:cs="Arial"/>
                <w:sz w:val="18"/>
                <w:szCs w:val="18"/>
                <w:lang w:val="en-GB"/>
              </w:rPr>
            </w:pPr>
            <w:r w:rsidRPr="004E5FE9">
              <w:rPr>
                <w:rFonts w:ascii="Arial" w:hAnsi="Arial" w:cs="Arial"/>
                <w:bCs/>
                <w:sz w:val="18"/>
                <w:szCs w:val="18"/>
                <w:lang w:val="en-GB"/>
              </w:rPr>
              <w:t>Net Gross Billings (net of refunds)</w:t>
            </w:r>
          </w:p>
        </w:tc>
        <w:tc>
          <w:tcPr>
            <w:tcW w:w="913" w:type="dxa"/>
            <w:noWrap/>
            <w:hideMark/>
          </w:tcPr>
          <w:p w14:paraId="1731AA68" w14:textId="77777777" w:rsidR="00643A79" w:rsidRPr="004E5FE9" w:rsidRDefault="00643A79" w:rsidP="009642C6">
            <w:pPr>
              <w:tabs>
                <w:tab w:val="decimal" w:pos="461"/>
              </w:tabs>
              <w:rPr>
                <w:rFonts w:ascii="Arial" w:hAnsi="Arial" w:cs="Arial"/>
                <w:sz w:val="18"/>
                <w:szCs w:val="18"/>
                <w:lang w:val="en-GB"/>
              </w:rPr>
            </w:pPr>
            <w:r w:rsidRPr="004E5FE9">
              <w:rPr>
                <w:rFonts w:ascii="Arial" w:hAnsi="Arial" w:cs="Arial"/>
                <w:bCs/>
                <w:sz w:val="18"/>
                <w:szCs w:val="18"/>
                <w:lang w:val="en-GB"/>
              </w:rPr>
              <w:t>63.9</w:t>
            </w:r>
          </w:p>
        </w:tc>
        <w:tc>
          <w:tcPr>
            <w:tcW w:w="913" w:type="dxa"/>
            <w:noWrap/>
            <w:hideMark/>
          </w:tcPr>
          <w:p w14:paraId="67631E70" w14:textId="77777777" w:rsidR="00643A79" w:rsidRPr="004E5FE9" w:rsidRDefault="00643A79" w:rsidP="009642C6">
            <w:pPr>
              <w:tabs>
                <w:tab w:val="decimal" w:pos="322"/>
                <w:tab w:val="decimal" w:pos="355"/>
              </w:tabs>
              <w:jc w:val="center"/>
              <w:rPr>
                <w:rFonts w:ascii="Arial" w:hAnsi="Arial" w:cs="Arial"/>
                <w:sz w:val="18"/>
                <w:szCs w:val="18"/>
                <w:lang w:val="en-GB"/>
              </w:rPr>
            </w:pPr>
            <w:r w:rsidRPr="004E5FE9">
              <w:rPr>
                <w:rFonts w:ascii="Arial" w:hAnsi="Arial" w:cs="Arial"/>
                <w:bCs/>
                <w:sz w:val="18"/>
                <w:szCs w:val="18"/>
                <w:lang w:val="en-GB"/>
              </w:rPr>
              <w:t>266.3</w:t>
            </w:r>
          </w:p>
        </w:tc>
        <w:tc>
          <w:tcPr>
            <w:tcW w:w="913" w:type="dxa"/>
            <w:noWrap/>
            <w:hideMark/>
          </w:tcPr>
          <w:p w14:paraId="6093938A" w14:textId="77777777" w:rsidR="00643A79" w:rsidRPr="004E5FE9" w:rsidRDefault="00643A79" w:rsidP="009642C6">
            <w:pPr>
              <w:tabs>
                <w:tab w:val="decimal" w:pos="485"/>
              </w:tabs>
              <w:rPr>
                <w:rFonts w:ascii="Arial" w:hAnsi="Arial" w:cs="Arial"/>
                <w:sz w:val="18"/>
                <w:szCs w:val="18"/>
                <w:lang w:val="en-GB"/>
              </w:rPr>
            </w:pPr>
            <w:r w:rsidRPr="004E5FE9">
              <w:rPr>
                <w:rFonts w:ascii="Arial" w:hAnsi="Arial" w:cs="Arial"/>
                <w:bCs/>
                <w:sz w:val="18"/>
                <w:szCs w:val="18"/>
                <w:lang w:val="en-GB"/>
              </w:rPr>
              <w:t>654.2</w:t>
            </w:r>
          </w:p>
        </w:tc>
        <w:tc>
          <w:tcPr>
            <w:tcW w:w="913" w:type="dxa"/>
            <w:noWrap/>
            <w:hideMark/>
          </w:tcPr>
          <w:p w14:paraId="189001B5" w14:textId="6C5AF5BC" w:rsidR="00643A79" w:rsidRPr="004E5FE9" w:rsidRDefault="00643A79" w:rsidP="009642C6">
            <w:pPr>
              <w:tabs>
                <w:tab w:val="decimal" w:pos="433"/>
              </w:tabs>
              <w:rPr>
                <w:rFonts w:ascii="Arial" w:hAnsi="Arial" w:cs="Arial"/>
                <w:sz w:val="18"/>
                <w:szCs w:val="18"/>
                <w:lang w:val="en-GB"/>
              </w:rPr>
            </w:pPr>
            <w:r w:rsidRPr="004E5FE9">
              <w:rPr>
                <w:rFonts w:ascii="Arial" w:hAnsi="Arial" w:cs="Arial"/>
                <w:bCs/>
                <w:sz w:val="18"/>
                <w:szCs w:val="18"/>
                <w:lang w:val="en-GB"/>
              </w:rPr>
              <w:t>1</w:t>
            </w:r>
            <w:r w:rsidR="00F76DCC">
              <w:rPr>
                <w:rFonts w:ascii="Arial" w:hAnsi="Arial" w:cs="Arial"/>
                <w:bCs/>
                <w:sz w:val="18"/>
                <w:szCs w:val="18"/>
                <w:lang w:val="en-GB"/>
              </w:rPr>
              <w:t>,</w:t>
            </w:r>
            <w:r w:rsidRPr="004E5FE9">
              <w:rPr>
                <w:rFonts w:ascii="Arial" w:hAnsi="Arial" w:cs="Arial"/>
                <w:bCs/>
                <w:sz w:val="18"/>
                <w:szCs w:val="18"/>
                <w:lang w:val="en-GB"/>
              </w:rPr>
              <w:t>234.1</w:t>
            </w:r>
          </w:p>
        </w:tc>
      </w:tr>
      <w:tr w:rsidR="00643A79" w:rsidRPr="004E5FE9" w14:paraId="734C7D9B" w14:textId="77777777" w:rsidTr="009642C6">
        <w:trPr>
          <w:trHeight w:val="225"/>
          <w:jc w:val="center"/>
        </w:trPr>
        <w:tc>
          <w:tcPr>
            <w:tcW w:w="5850" w:type="dxa"/>
            <w:noWrap/>
            <w:hideMark/>
          </w:tcPr>
          <w:p w14:paraId="3BCF6C0B" w14:textId="7557AED5" w:rsidR="00643A79" w:rsidRPr="004E5FE9" w:rsidRDefault="00643A79" w:rsidP="00B90CBE">
            <w:pPr>
              <w:rPr>
                <w:rFonts w:ascii="Arial" w:hAnsi="Arial" w:cs="Arial"/>
                <w:sz w:val="18"/>
                <w:szCs w:val="18"/>
                <w:lang w:val="en-GB"/>
              </w:rPr>
            </w:pPr>
            <w:r w:rsidRPr="004E5FE9">
              <w:rPr>
                <w:rFonts w:ascii="Arial" w:hAnsi="Arial" w:cs="Arial"/>
                <w:bCs/>
                <w:sz w:val="18"/>
                <w:szCs w:val="18"/>
                <w:lang w:val="en-GB"/>
              </w:rPr>
              <w:t>Earnings Before Interest</w:t>
            </w:r>
            <w:r w:rsidR="00150736" w:rsidRPr="004E5FE9">
              <w:rPr>
                <w:rFonts w:ascii="Arial" w:hAnsi="Arial" w:cs="Arial"/>
                <w:bCs/>
                <w:sz w:val="18"/>
                <w:szCs w:val="18"/>
                <w:lang w:val="en-GB"/>
              </w:rPr>
              <w:t>,</w:t>
            </w:r>
            <w:r w:rsidRPr="004E5FE9">
              <w:rPr>
                <w:rFonts w:ascii="Arial" w:hAnsi="Arial" w:cs="Arial"/>
                <w:bCs/>
                <w:sz w:val="18"/>
                <w:szCs w:val="18"/>
                <w:lang w:val="en-GB"/>
              </w:rPr>
              <w:t xml:space="preserve"> Tax</w:t>
            </w:r>
            <w:r w:rsidR="00150736" w:rsidRPr="004E5FE9">
              <w:rPr>
                <w:rFonts w:ascii="Arial" w:hAnsi="Arial" w:cs="Arial"/>
                <w:bCs/>
                <w:sz w:val="18"/>
                <w:szCs w:val="18"/>
                <w:lang w:val="en-GB"/>
              </w:rPr>
              <w:t>es,</w:t>
            </w:r>
            <w:r w:rsidRPr="004E5FE9">
              <w:rPr>
                <w:rFonts w:ascii="Arial" w:hAnsi="Arial" w:cs="Arial"/>
                <w:bCs/>
                <w:sz w:val="18"/>
                <w:szCs w:val="18"/>
                <w:lang w:val="en-GB"/>
              </w:rPr>
              <w:t xml:space="preserve"> Depreciation</w:t>
            </w:r>
            <w:r w:rsidR="00150736" w:rsidRPr="004E5FE9">
              <w:rPr>
                <w:rFonts w:ascii="Arial" w:hAnsi="Arial" w:cs="Arial"/>
                <w:bCs/>
                <w:sz w:val="18"/>
                <w:szCs w:val="18"/>
                <w:lang w:val="en-GB"/>
              </w:rPr>
              <w:t>,</w:t>
            </w:r>
            <w:r w:rsidRPr="004E5FE9">
              <w:rPr>
                <w:rFonts w:ascii="Arial" w:hAnsi="Arial" w:cs="Arial"/>
                <w:bCs/>
                <w:sz w:val="18"/>
                <w:szCs w:val="18"/>
                <w:lang w:val="en-GB"/>
              </w:rPr>
              <w:t xml:space="preserve"> and Amorti</w:t>
            </w:r>
            <w:r w:rsidR="00150736" w:rsidRPr="004E5FE9">
              <w:rPr>
                <w:rFonts w:ascii="Arial" w:hAnsi="Arial" w:cs="Arial"/>
                <w:bCs/>
                <w:sz w:val="18"/>
                <w:szCs w:val="18"/>
                <w:lang w:val="en-GB"/>
              </w:rPr>
              <w:t>z</w:t>
            </w:r>
            <w:r w:rsidRPr="004E5FE9">
              <w:rPr>
                <w:rFonts w:ascii="Arial" w:hAnsi="Arial" w:cs="Arial"/>
                <w:bCs/>
                <w:sz w:val="18"/>
                <w:szCs w:val="18"/>
                <w:lang w:val="en-GB"/>
              </w:rPr>
              <w:t>ation</w:t>
            </w:r>
          </w:p>
        </w:tc>
        <w:tc>
          <w:tcPr>
            <w:tcW w:w="913" w:type="dxa"/>
            <w:noWrap/>
            <w:hideMark/>
          </w:tcPr>
          <w:p w14:paraId="1F70C128" w14:textId="77777777" w:rsidR="00643A79" w:rsidRPr="004E5FE9" w:rsidRDefault="00643A79" w:rsidP="009642C6">
            <w:pPr>
              <w:tabs>
                <w:tab w:val="decimal" w:pos="461"/>
              </w:tabs>
              <w:jc w:val="center"/>
              <w:rPr>
                <w:rFonts w:ascii="Arial" w:hAnsi="Arial" w:cs="Arial"/>
                <w:sz w:val="18"/>
                <w:szCs w:val="18"/>
                <w:lang w:val="en-GB"/>
              </w:rPr>
            </w:pPr>
            <w:r w:rsidRPr="004E5FE9">
              <w:rPr>
                <w:rFonts w:ascii="Arial" w:hAnsi="Arial" w:cs="Arial"/>
                <w:bCs/>
                <w:sz w:val="18"/>
                <w:szCs w:val="18"/>
                <w:lang w:val="en-GB"/>
              </w:rPr>
              <w:t>(149.3)</w:t>
            </w:r>
          </w:p>
        </w:tc>
        <w:tc>
          <w:tcPr>
            <w:tcW w:w="913" w:type="dxa"/>
            <w:noWrap/>
            <w:hideMark/>
          </w:tcPr>
          <w:p w14:paraId="43AEE93B" w14:textId="77777777" w:rsidR="00643A79" w:rsidRPr="004E5FE9" w:rsidRDefault="00643A79" w:rsidP="009642C6">
            <w:pPr>
              <w:tabs>
                <w:tab w:val="decimal" w:pos="322"/>
                <w:tab w:val="decimal" w:pos="355"/>
              </w:tabs>
              <w:jc w:val="center"/>
              <w:rPr>
                <w:rFonts w:ascii="Arial" w:hAnsi="Arial" w:cs="Arial"/>
                <w:sz w:val="18"/>
                <w:szCs w:val="18"/>
                <w:lang w:val="en-GB"/>
              </w:rPr>
            </w:pPr>
            <w:r w:rsidRPr="004E5FE9">
              <w:rPr>
                <w:rFonts w:ascii="Arial" w:hAnsi="Arial" w:cs="Arial"/>
                <w:bCs/>
                <w:sz w:val="18"/>
                <w:szCs w:val="18"/>
                <w:lang w:val="en-GB"/>
              </w:rPr>
              <w:t>(330.8)</w:t>
            </w:r>
          </w:p>
        </w:tc>
        <w:tc>
          <w:tcPr>
            <w:tcW w:w="913" w:type="dxa"/>
            <w:noWrap/>
            <w:hideMark/>
          </w:tcPr>
          <w:p w14:paraId="28366423" w14:textId="77777777" w:rsidR="00643A79" w:rsidRPr="004E5FE9" w:rsidRDefault="00643A79" w:rsidP="009642C6">
            <w:pPr>
              <w:tabs>
                <w:tab w:val="decimal" w:pos="485"/>
              </w:tabs>
              <w:jc w:val="center"/>
              <w:rPr>
                <w:rFonts w:ascii="Arial" w:hAnsi="Arial" w:cs="Arial"/>
                <w:sz w:val="18"/>
                <w:szCs w:val="18"/>
                <w:lang w:val="en-GB"/>
              </w:rPr>
            </w:pPr>
            <w:r w:rsidRPr="004E5FE9">
              <w:rPr>
                <w:rFonts w:ascii="Arial" w:hAnsi="Arial" w:cs="Arial"/>
                <w:bCs/>
                <w:sz w:val="18"/>
                <w:szCs w:val="18"/>
                <w:lang w:val="en-GB"/>
              </w:rPr>
              <w:t>(283.9)</w:t>
            </w:r>
          </w:p>
        </w:tc>
        <w:tc>
          <w:tcPr>
            <w:tcW w:w="913" w:type="dxa"/>
            <w:noWrap/>
            <w:hideMark/>
          </w:tcPr>
          <w:p w14:paraId="49AC552D" w14:textId="77777777" w:rsidR="00643A79" w:rsidRPr="004E5FE9" w:rsidRDefault="00643A79" w:rsidP="009642C6">
            <w:pPr>
              <w:tabs>
                <w:tab w:val="decimal" w:pos="433"/>
              </w:tabs>
              <w:jc w:val="center"/>
              <w:rPr>
                <w:rFonts w:ascii="Arial" w:hAnsi="Arial" w:cs="Arial"/>
                <w:sz w:val="18"/>
                <w:szCs w:val="18"/>
                <w:lang w:val="en-GB"/>
              </w:rPr>
            </w:pPr>
            <w:r w:rsidRPr="004E5FE9">
              <w:rPr>
                <w:rFonts w:ascii="Arial" w:hAnsi="Arial" w:cs="Arial"/>
                <w:bCs/>
                <w:sz w:val="18"/>
                <w:szCs w:val="18"/>
                <w:lang w:val="en-GB"/>
              </w:rPr>
              <w:t>(147.4)</w:t>
            </w:r>
          </w:p>
        </w:tc>
      </w:tr>
    </w:tbl>
    <w:p w14:paraId="587B907A" w14:textId="77777777" w:rsidR="00643A79" w:rsidRPr="004E5FE9" w:rsidRDefault="00643A79" w:rsidP="00643A79">
      <w:pPr>
        <w:pStyle w:val="BodyTextMain"/>
        <w:rPr>
          <w:lang w:val="en-GB"/>
        </w:rPr>
      </w:pPr>
    </w:p>
    <w:p w14:paraId="38DFE570" w14:textId="275FCFA7" w:rsidR="00F76DCC" w:rsidRDefault="00F76DCC" w:rsidP="00643A79">
      <w:pPr>
        <w:pStyle w:val="Footnote"/>
        <w:rPr>
          <w:lang w:val="en-GB"/>
        </w:rPr>
      </w:pPr>
      <w:r>
        <w:rPr>
          <w:lang w:val="en-GB"/>
        </w:rPr>
        <w:t xml:space="preserve">Note: </w:t>
      </w:r>
      <w:r w:rsidRPr="004E5FE9">
        <w:rPr>
          <w:shd w:val="clear" w:color="auto" w:fill="FFFFFF"/>
          <w:lang w:val="en-GB"/>
        </w:rPr>
        <w:t>₹ = INR = Indian rupee; $US1 = ₹62.167 on January 31, 2015</w:t>
      </w:r>
    </w:p>
    <w:p w14:paraId="17628B30" w14:textId="77777777" w:rsidR="00643A79" w:rsidRPr="004E5FE9" w:rsidRDefault="00643A79" w:rsidP="00643A79">
      <w:pPr>
        <w:pStyle w:val="Footnote"/>
        <w:rPr>
          <w:lang w:val="en-GB"/>
        </w:rPr>
      </w:pPr>
      <w:r w:rsidRPr="004E5FE9">
        <w:rPr>
          <w:lang w:val="en-GB"/>
        </w:rPr>
        <w:t>Source: Company files.</w:t>
      </w:r>
    </w:p>
    <w:p w14:paraId="3A82755F" w14:textId="77777777" w:rsidR="00643A79" w:rsidRPr="004E5FE9" w:rsidRDefault="00643A79" w:rsidP="00643A79">
      <w:pPr>
        <w:pStyle w:val="BodyTextMain"/>
        <w:rPr>
          <w:lang w:val="en-GB"/>
        </w:rPr>
      </w:pPr>
    </w:p>
    <w:p w14:paraId="39DD9B8C" w14:textId="77777777" w:rsidR="00643A79" w:rsidRPr="004E5FE9" w:rsidRDefault="00643A79" w:rsidP="00643A79">
      <w:pPr>
        <w:pStyle w:val="BodyTextMain"/>
        <w:rPr>
          <w:lang w:val="en-GB"/>
        </w:rPr>
      </w:pPr>
    </w:p>
    <w:p w14:paraId="05A52221" w14:textId="77777777" w:rsidR="004F068D" w:rsidRPr="004E5FE9" w:rsidRDefault="004F068D">
      <w:pPr>
        <w:spacing w:after="200" w:line="276" w:lineRule="auto"/>
        <w:rPr>
          <w:rFonts w:ascii="Arial" w:hAnsi="Arial" w:cs="Arial"/>
          <w:b/>
          <w:caps/>
          <w:shd w:val="clear" w:color="auto" w:fill="FFFFFF"/>
          <w:lang w:val="en-GB"/>
        </w:rPr>
      </w:pPr>
      <w:r w:rsidRPr="004E5FE9">
        <w:rPr>
          <w:shd w:val="clear" w:color="auto" w:fill="FFFFFF"/>
          <w:lang w:val="en-GB"/>
        </w:rPr>
        <w:br w:type="page"/>
      </w:r>
    </w:p>
    <w:p w14:paraId="2B1AFE6B" w14:textId="77777777" w:rsidR="00643A79" w:rsidRPr="004E5FE9" w:rsidRDefault="00643A79" w:rsidP="00643A79">
      <w:pPr>
        <w:pStyle w:val="ExhibitHeading"/>
        <w:rPr>
          <w:shd w:val="clear" w:color="auto" w:fill="FFFFFF"/>
          <w:lang w:val="en-GB"/>
        </w:rPr>
      </w:pPr>
      <w:r w:rsidRPr="004E5FE9">
        <w:rPr>
          <w:shd w:val="clear" w:color="auto" w:fill="FFFFFF"/>
          <w:lang w:val="en-GB"/>
        </w:rPr>
        <w:lastRenderedPageBreak/>
        <w:t>Exhibit 4: sample term sheet</w:t>
      </w:r>
    </w:p>
    <w:p w14:paraId="459F0BB6" w14:textId="77777777" w:rsidR="00643A79" w:rsidRPr="004E5FE9" w:rsidRDefault="00643A79" w:rsidP="00643A79">
      <w:pPr>
        <w:pStyle w:val="ExhibitHeading"/>
        <w:rPr>
          <w:sz w:val="16"/>
          <w:shd w:val="clear" w:color="auto" w:fill="FFFFFF"/>
          <w:lang w:val="en-GB"/>
        </w:rPr>
      </w:pPr>
    </w:p>
    <w:p w14:paraId="019131D8" w14:textId="77777777" w:rsidR="00643A79" w:rsidRPr="004E5FE9" w:rsidRDefault="00643A79" w:rsidP="00643A79">
      <w:pPr>
        <w:pStyle w:val="Casehead2"/>
        <w:jc w:val="center"/>
        <w:rPr>
          <w:lang w:val="en-GB"/>
        </w:rPr>
      </w:pPr>
      <w:r w:rsidRPr="004E5FE9">
        <w:rPr>
          <w:lang w:val="en-GB"/>
        </w:rPr>
        <w:t>Term Sheet for Potential Equity Investment</w:t>
      </w:r>
      <w:r w:rsidR="007137C0" w:rsidRPr="004E5FE9">
        <w:rPr>
          <w:lang w:val="en-GB"/>
        </w:rPr>
        <w:t xml:space="preserve"> </w:t>
      </w:r>
      <w:r w:rsidRPr="004E5FE9">
        <w:rPr>
          <w:lang w:val="en-GB"/>
        </w:rPr>
        <w:t>in _________________</w:t>
      </w:r>
    </w:p>
    <w:p w14:paraId="3A31CE16" w14:textId="77777777" w:rsidR="00643A79" w:rsidRPr="004E5FE9" w:rsidRDefault="00643A79" w:rsidP="007137C0">
      <w:pPr>
        <w:pStyle w:val="Casehead4"/>
        <w:ind w:left="3600" w:firstLine="720"/>
        <w:jc w:val="center"/>
        <w:rPr>
          <w:lang w:val="en-GB"/>
        </w:rPr>
      </w:pPr>
      <w:r w:rsidRPr="004E5FE9">
        <w:rPr>
          <w:lang w:val="en-GB"/>
        </w:rPr>
        <w:t>Month, Year</w:t>
      </w:r>
    </w:p>
    <w:p w14:paraId="23BBF8B0" w14:textId="77777777" w:rsidR="00643A79" w:rsidRPr="004E5FE9" w:rsidRDefault="00643A79" w:rsidP="00643A79">
      <w:pPr>
        <w:pStyle w:val="BodyTextMain"/>
        <w:rPr>
          <w:sz w:val="18"/>
          <w:lang w:val="en-GB"/>
        </w:rPr>
      </w:pPr>
    </w:p>
    <w:p w14:paraId="7D403CF1" w14:textId="77777777" w:rsidR="00643A79" w:rsidRPr="004E5FE9" w:rsidRDefault="00643A79" w:rsidP="00643A79">
      <w:pPr>
        <w:pStyle w:val="Casehead3"/>
        <w:rPr>
          <w:rFonts w:ascii="Arial" w:hAnsi="Arial" w:cs="Arial"/>
          <w:sz w:val="20"/>
          <w:szCs w:val="20"/>
          <w:lang w:val="en-GB"/>
        </w:rPr>
      </w:pPr>
      <w:r w:rsidRPr="004E5FE9">
        <w:rPr>
          <w:rFonts w:ascii="Arial" w:hAnsi="Arial" w:cs="Arial"/>
          <w:sz w:val="20"/>
          <w:szCs w:val="20"/>
          <w:lang w:val="en-GB"/>
        </w:rPr>
        <w:t>Scope:</w:t>
      </w:r>
    </w:p>
    <w:p w14:paraId="246EF4EB" w14:textId="77777777" w:rsidR="00643A79" w:rsidRPr="004E5FE9" w:rsidRDefault="00643A79" w:rsidP="00643A79">
      <w:pPr>
        <w:jc w:val="both"/>
        <w:rPr>
          <w:rFonts w:ascii="Arial" w:hAnsi="Arial" w:cs="Arial"/>
          <w:sz w:val="16"/>
          <w:lang w:val="en-GB"/>
        </w:rPr>
      </w:pPr>
    </w:p>
    <w:p w14:paraId="4FB6AF84" w14:textId="77777777" w:rsidR="00643A79" w:rsidRPr="004E5FE9" w:rsidRDefault="00643A79" w:rsidP="007137C0">
      <w:pPr>
        <w:pStyle w:val="BodyText"/>
        <w:spacing w:after="0"/>
        <w:rPr>
          <w:rFonts w:ascii="Arial" w:hAnsi="Arial" w:cs="Arial"/>
          <w:sz w:val="18"/>
          <w:szCs w:val="18"/>
          <w:lang w:val="en-GB"/>
        </w:rPr>
      </w:pPr>
      <w:r w:rsidRPr="004E5FE9">
        <w:rPr>
          <w:rFonts w:ascii="Arial" w:hAnsi="Arial" w:cs="Arial"/>
          <w:sz w:val="18"/>
          <w:szCs w:val="18"/>
          <w:lang w:val="en-GB"/>
        </w:rPr>
        <w:t xml:space="preserve">This term sheet summarizes the principal terms with respect to a potential sale of equity securities of </w:t>
      </w:r>
    </w:p>
    <w:p w14:paraId="2E78341F" w14:textId="77777777" w:rsidR="00643A79" w:rsidRPr="004E5FE9" w:rsidRDefault="00643A79" w:rsidP="007137C0">
      <w:pPr>
        <w:pStyle w:val="BodyText"/>
        <w:spacing w:after="0"/>
        <w:rPr>
          <w:rFonts w:ascii="Arial" w:hAnsi="Arial" w:cs="Arial"/>
          <w:sz w:val="18"/>
          <w:szCs w:val="18"/>
          <w:lang w:val="en-GB"/>
        </w:rPr>
      </w:pPr>
      <w:r w:rsidRPr="004E5FE9">
        <w:rPr>
          <w:rFonts w:ascii="Arial" w:hAnsi="Arial" w:cs="Arial"/>
          <w:sz w:val="18"/>
          <w:szCs w:val="18"/>
          <w:lang w:val="en-GB"/>
        </w:rPr>
        <w:t>_________________________________________________________________________________</w:t>
      </w:r>
    </w:p>
    <w:p w14:paraId="54744295" w14:textId="77777777" w:rsidR="00643A79" w:rsidRPr="004E5FE9" w:rsidRDefault="00643A79" w:rsidP="007137C0">
      <w:pPr>
        <w:pStyle w:val="BodyText"/>
        <w:spacing w:after="0"/>
        <w:rPr>
          <w:rFonts w:ascii="Arial" w:hAnsi="Arial" w:cs="Arial"/>
          <w:sz w:val="18"/>
          <w:szCs w:val="18"/>
          <w:lang w:val="en-GB"/>
        </w:rPr>
      </w:pPr>
      <w:r w:rsidRPr="004E5FE9">
        <w:rPr>
          <w:rFonts w:ascii="Arial" w:hAnsi="Arial" w:cs="Arial"/>
          <w:sz w:val="18"/>
          <w:szCs w:val="18"/>
          <w:lang w:val="en-GB"/>
        </w:rPr>
        <w:t xml:space="preserve">This term sheet is intended solely as a basis for further discussion and is not intended to be and does not constitute a legally binding obligation. </w:t>
      </w:r>
    </w:p>
    <w:p w14:paraId="0B2B2640" w14:textId="77777777" w:rsidR="007137C0" w:rsidRPr="004E5FE9" w:rsidRDefault="007137C0" w:rsidP="007137C0">
      <w:pPr>
        <w:jc w:val="both"/>
        <w:rPr>
          <w:rFonts w:ascii="Arial" w:hAnsi="Arial" w:cs="Arial"/>
          <w:sz w:val="18"/>
          <w:szCs w:val="18"/>
          <w:lang w:val="en-GB"/>
        </w:rPr>
      </w:pPr>
    </w:p>
    <w:p w14:paraId="116709BE" w14:textId="77777777" w:rsidR="00643A79" w:rsidRPr="004E5FE9" w:rsidRDefault="00643A79" w:rsidP="007137C0">
      <w:pPr>
        <w:jc w:val="both"/>
        <w:rPr>
          <w:rFonts w:ascii="Arial" w:hAnsi="Arial" w:cs="Arial"/>
          <w:sz w:val="18"/>
          <w:szCs w:val="18"/>
          <w:lang w:val="en-GB"/>
        </w:rPr>
      </w:pPr>
      <w:r w:rsidRPr="004E5FE9">
        <w:rPr>
          <w:rFonts w:ascii="Arial" w:hAnsi="Arial" w:cs="Arial"/>
          <w:sz w:val="18"/>
          <w:szCs w:val="18"/>
          <w:lang w:val="en-GB"/>
        </w:rPr>
        <w:t>The Company and the Investor are discussing a private placement of shares on the following terms:</w:t>
      </w:r>
    </w:p>
    <w:p w14:paraId="38ED831C" w14:textId="77777777" w:rsidR="00643A79" w:rsidRPr="004E5FE9" w:rsidRDefault="00643A79" w:rsidP="00643A79">
      <w:pPr>
        <w:ind w:left="2880" w:hanging="2880"/>
        <w:jc w:val="both"/>
        <w:rPr>
          <w:rFonts w:ascii="Arial" w:hAnsi="Arial" w:cs="Arial"/>
          <w:sz w:val="18"/>
          <w:szCs w:val="18"/>
          <w:lang w:val="en-GB"/>
        </w:rPr>
      </w:pPr>
    </w:p>
    <w:p w14:paraId="0ACB8EC9" w14:textId="77777777" w:rsidR="00643A79" w:rsidRPr="004E5FE9" w:rsidRDefault="00643A79" w:rsidP="00643A79">
      <w:pPr>
        <w:ind w:left="2880" w:hanging="2880"/>
        <w:jc w:val="both"/>
        <w:rPr>
          <w:rFonts w:ascii="Arial" w:hAnsi="Arial" w:cs="Arial"/>
          <w:sz w:val="18"/>
          <w:szCs w:val="18"/>
          <w:lang w:val="en-GB"/>
        </w:rPr>
      </w:pPr>
      <w:r w:rsidRPr="004E5FE9">
        <w:rPr>
          <w:rFonts w:ascii="Arial" w:hAnsi="Arial" w:cs="Arial"/>
          <w:sz w:val="18"/>
          <w:szCs w:val="18"/>
          <w:lang w:val="en-GB"/>
        </w:rPr>
        <w:t>Amount of Investment:</w:t>
      </w:r>
      <w:r w:rsidRPr="004E5FE9">
        <w:rPr>
          <w:rFonts w:ascii="Arial" w:hAnsi="Arial" w:cs="Arial"/>
          <w:sz w:val="18"/>
          <w:szCs w:val="18"/>
          <w:lang w:val="en-GB"/>
        </w:rPr>
        <w:tab/>
        <w:t>___________</w:t>
      </w:r>
    </w:p>
    <w:p w14:paraId="3E315EAE" w14:textId="3FDB24BB" w:rsidR="00643A79" w:rsidRPr="004E5FE9" w:rsidRDefault="00643A79" w:rsidP="00643A79">
      <w:pPr>
        <w:ind w:left="2880" w:hanging="2880"/>
        <w:jc w:val="both"/>
        <w:rPr>
          <w:rFonts w:ascii="Arial" w:hAnsi="Arial" w:cs="Arial"/>
          <w:sz w:val="18"/>
          <w:szCs w:val="18"/>
          <w:lang w:val="en-GB"/>
        </w:rPr>
      </w:pPr>
      <w:r w:rsidRPr="004E5FE9">
        <w:rPr>
          <w:rFonts w:ascii="Arial" w:hAnsi="Arial" w:cs="Arial"/>
          <w:sz w:val="18"/>
          <w:szCs w:val="18"/>
          <w:lang w:val="en-GB"/>
        </w:rPr>
        <w:t xml:space="preserve">Founder’s </w:t>
      </w:r>
      <w:r w:rsidR="00150736" w:rsidRPr="004E5FE9">
        <w:rPr>
          <w:rFonts w:ascii="Arial" w:hAnsi="Arial" w:cs="Arial"/>
          <w:sz w:val="18"/>
          <w:szCs w:val="18"/>
          <w:lang w:val="en-GB"/>
        </w:rPr>
        <w:t>P</w:t>
      </w:r>
      <w:r w:rsidRPr="004E5FE9">
        <w:rPr>
          <w:rFonts w:ascii="Arial" w:hAnsi="Arial" w:cs="Arial"/>
          <w:sz w:val="18"/>
          <w:szCs w:val="18"/>
          <w:lang w:val="en-GB"/>
        </w:rPr>
        <w:t>ledge:</w:t>
      </w:r>
      <w:r w:rsidRPr="004E5FE9">
        <w:rPr>
          <w:rFonts w:ascii="Arial" w:hAnsi="Arial" w:cs="Arial"/>
          <w:sz w:val="18"/>
          <w:szCs w:val="18"/>
          <w:lang w:val="en-GB"/>
        </w:rPr>
        <w:tab/>
        <w:t>___________</w:t>
      </w:r>
    </w:p>
    <w:p w14:paraId="070A12C1" w14:textId="77777777" w:rsidR="00643A79" w:rsidRPr="004E5FE9" w:rsidRDefault="00643A79" w:rsidP="00643A79">
      <w:pPr>
        <w:ind w:left="2880" w:hanging="2880"/>
        <w:jc w:val="both"/>
        <w:rPr>
          <w:rFonts w:ascii="Arial" w:hAnsi="Arial" w:cs="Arial"/>
          <w:sz w:val="18"/>
          <w:szCs w:val="18"/>
          <w:lang w:val="en-GB"/>
        </w:rPr>
      </w:pPr>
      <w:r w:rsidRPr="004E5FE9">
        <w:rPr>
          <w:rFonts w:ascii="Arial" w:hAnsi="Arial" w:cs="Arial"/>
          <w:sz w:val="18"/>
          <w:szCs w:val="18"/>
          <w:lang w:val="en-GB"/>
        </w:rPr>
        <w:t>Investors:</w:t>
      </w:r>
      <w:r w:rsidRPr="004E5FE9">
        <w:rPr>
          <w:rFonts w:ascii="Arial" w:hAnsi="Arial" w:cs="Arial"/>
          <w:sz w:val="18"/>
          <w:szCs w:val="18"/>
          <w:lang w:val="en-GB"/>
        </w:rPr>
        <w:tab/>
        <w:t>___________</w:t>
      </w:r>
    </w:p>
    <w:p w14:paraId="287E2BEA" w14:textId="77777777" w:rsidR="00643A79" w:rsidRPr="004E5FE9" w:rsidRDefault="00643A79" w:rsidP="00643A79">
      <w:pPr>
        <w:ind w:left="2880" w:hanging="2880"/>
        <w:jc w:val="both"/>
        <w:rPr>
          <w:rFonts w:ascii="Arial" w:hAnsi="Arial" w:cs="Arial"/>
          <w:sz w:val="18"/>
          <w:szCs w:val="18"/>
          <w:lang w:val="en-GB"/>
        </w:rPr>
      </w:pPr>
      <w:r w:rsidRPr="004E5FE9">
        <w:rPr>
          <w:rFonts w:ascii="Arial" w:hAnsi="Arial" w:cs="Arial"/>
          <w:sz w:val="18"/>
          <w:szCs w:val="18"/>
          <w:lang w:val="en-GB"/>
        </w:rPr>
        <w:t>Type of Security:</w:t>
      </w:r>
      <w:r w:rsidRPr="004E5FE9">
        <w:rPr>
          <w:rFonts w:ascii="Arial" w:hAnsi="Arial" w:cs="Arial"/>
          <w:sz w:val="18"/>
          <w:szCs w:val="18"/>
          <w:lang w:val="en-GB"/>
        </w:rPr>
        <w:tab/>
        <w:t>___________</w:t>
      </w:r>
    </w:p>
    <w:p w14:paraId="0B677386" w14:textId="77777777" w:rsidR="00643A79" w:rsidRPr="004E5FE9" w:rsidRDefault="00643A79" w:rsidP="00643A79">
      <w:pPr>
        <w:ind w:left="2880" w:hanging="2880"/>
        <w:jc w:val="both"/>
        <w:rPr>
          <w:rFonts w:ascii="Arial" w:hAnsi="Arial" w:cs="Arial"/>
          <w:sz w:val="18"/>
          <w:szCs w:val="18"/>
          <w:lang w:val="en-GB"/>
        </w:rPr>
      </w:pPr>
      <w:r w:rsidRPr="004E5FE9">
        <w:rPr>
          <w:rFonts w:ascii="Arial" w:hAnsi="Arial" w:cs="Arial"/>
          <w:sz w:val="18"/>
          <w:szCs w:val="18"/>
          <w:lang w:val="en-GB"/>
        </w:rPr>
        <w:t>Valuation of the Company:</w:t>
      </w:r>
      <w:r w:rsidRPr="004E5FE9">
        <w:rPr>
          <w:rFonts w:ascii="Arial" w:hAnsi="Arial" w:cs="Arial"/>
          <w:sz w:val="18"/>
          <w:szCs w:val="18"/>
          <w:lang w:val="en-GB"/>
        </w:rPr>
        <w:tab/>
        <w:t>Pre-money Valuation: _________</w:t>
      </w:r>
    </w:p>
    <w:p w14:paraId="1AC7820C" w14:textId="77777777" w:rsidR="00643A79" w:rsidRPr="004E5FE9" w:rsidRDefault="00643A79" w:rsidP="00643A79">
      <w:pPr>
        <w:ind w:left="2880" w:hanging="2880"/>
        <w:jc w:val="both"/>
        <w:rPr>
          <w:rFonts w:ascii="Arial" w:hAnsi="Arial" w:cs="Arial"/>
          <w:sz w:val="18"/>
          <w:szCs w:val="18"/>
          <w:lang w:val="en-GB"/>
        </w:rPr>
      </w:pPr>
      <w:r w:rsidRPr="004E5FE9">
        <w:rPr>
          <w:rFonts w:ascii="Arial" w:hAnsi="Arial" w:cs="Arial"/>
          <w:sz w:val="18"/>
          <w:szCs w:val="18"/>
          <w:lang w:val="en-GB"/>
        </w:rPr>
        <w:t>Type of Security:</w:t>
      </w:r>
      <w:r w:rsidRPr="004E5FE9">
        <w:rPr>
          <w:rFonts w:ascii="Arial" w:hAnsi="Arial" w:cs="Arial"/>
          <w:sz w:val="18"/>
          <w:szCs w:val="18"/>
          <w:lang w:val="en-GB"/>
        </w:rPr>
        <w:tab/>
        <w:t>___________</w:t>
      </w:r>
    </w:p>
    <w:p w14:paraId="72D4B9D5" w14:textId="551CDD71" w:rsidR="00643A79" w:rsidRPr="004E5FE9" w:rsidRDefault="00643A79" w:rsidP="00643A79">
      <w:pPr>
        <w:ind w:left="2880" w:hanging="2880"/>
        <w:jc w:val="both"/>
        <w:rPr>
          <w:rFonts w:ascii="Arial" w:hAnsi="Arial" w:cs="Arial"/>
          <w:sz w:val="18"/>
          <w:szCs w:val="18"/>
          <w:lang w:val="en-GB"/>
        </w:rPr>
      </w:pPr>
      <w:r w:rsidRPr="004E5FE9">
        <w:rPr>
          <w:rFonts w:ascii="Arial" w:hAnsi="Arial" w:cs="Arial"/>
          <w:sz w:val="18"/>
          <w:szCs w:val="18"/>
          <w:lang w:val="en-GB"/>
        </w:rPr>
        <w:t xml:space="preserve">Price </w:t>
      </w:r>
      <w:r w:rsidR="00150736" w:rsidRPr="004E5FE9">
        <w:rPr>
          <w:rFonts w:ascii="Arial" w:hAnsi="Arial" w:cs="Arial"/>
          <w:sz w:val="18"/>
          <w:szCs w:val="18"/>
          <w:lang w:val="en-GB"/>
        </w:rPr>
        <w:t>p</w:t>
      </w:r>
      <w:r w:rsidRPr="004E5FE9">
        <w:rPr>
          <w:rFonts w:ascii="Arial" w:hAnsi="Arial" w:cs="Arial"/>
          <w:sz w:val="18"/>
          <w:szCs w:val="18"/>
          <w:lang w:val="en-GB"/>
        </w:rPr>
        <w:t>er Share:</w:t>
      </w:r>
      <w:r w:rsidRPr="004E5FE9">
        <w:rPr>
          <w:rFonts w:ascii="Arial" w:hAnsi="Arial" w:cs="Arial"/>
          <w:sz w:val="18"/>
          <w:szCs w:val="18"/>
          <w:lang w:val="en-GB"/>
        </w:rPr>
        <w:tab/>
        <w:t>___________</w:t>
      </w:r>
    </w:p>
    <w:p w14:paraId="65EA1869" w14:textId="77777777" w:rsidR="00643A79" w:rsidRPr="004E5FE9" w:rsidRDefault="00643A79" w:rsidP="00643A79">
      <w:pPr>
        <w:ind w:left="2880" w:hanging="2880"/>
        <w:rPr>
          <w:rFonts w:ascii="Arial" w:hAnsi="Arial" w:cs="Arial"/>
          <w:sz w:val="18"/>
          <w:szCs w:val="18"/>
          <w:lang w:val="en-GB"/>
        </w:rPr>
      </w:pPr>
      <w:r w:rsidRPr="004E5FE9">
        <w:rPr>
          <w:rFonts w:ascii="Arial" w:hAnsi="Arial" w:cs="Arial"/>
          <w:sz w:val="18"/>
          <w:szCs w:val="18"/>
          <w:lang w:val="en-GB"/>
        </w:rPr>
        <w:t>Use of Proceeds:</w:t>
      </w:r>
      <w:r w:rsidR="007137C0" w:rsidRPr="004E5FE9">
        <w:rPr>
          <w:rFonts w:ascii="Arial" w:hAnsi="Arial" w:cs="Arial"/>
          <w:sz w:val="18"/>
          <w:szCs w:val="18"/>
          <w:lang w:val="en-GB"/>
        </w:rPr>
        <w:tab/>
      </w:r>
      <w:r w:rsidRPr="004E5FE9">
        <w:rPr>
          <w:rFonts w:ascii="Arial" w:hAnsi="Arial" w:cs="Arial"/>
          <w:sz w:val="18"/>
          <w:szCs w:val="18"/>
          <w:lang w:val="en-GB"/>
        </w:rPr>
        <w:t>___________</w:t>
      </w:r>
    </w:p>
    <w:p w14:paraId="60B7740C" w14:textId="77777777" w:rsidR="00643A79" w:rsidRPr="004E5FE9" w:rsidRDefault="00643A79" w:rsidP="00643A79">
      <w:pPr>
        <w:tabs>
          <w:tab w:val="left" w:pos="0"/>
          <w:tab w:val="left" w:pos="2880"/>
          <w:tab w:val="left" w:pos="4320"/>
          <w:tab w:val="left" w:pos="5040"/>
          <w:tab w:val="left" w:pos="5760"/>
          <w:tab w:val="left" w:pos="6480"/>
          <w:tab w:val="left" w:pos="7200"/>
          <w:tab w:val="left" w:pos="7920"/>
          <w:tab w:val="left" w:pos="8640"/>
          <w:tab w:val="left" w:pos="9360"/>
        </w:tabs>
        <w:ind w:left="2880" w:hanging="2880"/>
        <w:jc w:val="both"/>
        <w:rPr>
          <w:rFonts w:ascii="Arial" w:hAnsi="Arial" w:cs="Arial"/>
          <w:sz w:val="18"/>
          <w:szCs w:val="18"/>
          <w:lang w:val="en-GB"/>
        </w:rPr>
      </w:pPr>
      <w:r w:rsidRPr="004E5FE9">
        <w:rPr>
          <w:rFonts w:ascii="Arial" w:hAnsi="Arial" w:cs="Arial"/>
          <w:sz w:val="18"/>
          <w:szCs w:val="18"/>
          <w:lang w:val="en-GB"/>
        </w:rPr>
        <w:t>Return/Dividends:</w:t>
      </w:r>
      <w:r w:rsidRPr="004E5FE9">
        <w:rPr>
          <w:rFonts w:ascii="Arial" w:hAnsi="Arial" w:cs="Arial"/>
          <w:color w:val="FF0000"/>
          <w:sz w:val="18"/>
          <w:szCs w:val="18"/>
          <w:lang w:val="en-GB"/>
        </w:rPr>
        <w:tab/>
      </w:r>
      <w:r w:rsidRPr="004E5FE9">
        <w:rPr>
          <w:rFonts w:ascii="Arial" w:hAnsi="Arial" w:cs="Arial"/>
          <w:sz w:val="18"/>
          <w:szCs w:val="18"/>
          <w:lang w:val="en-GB"/>
        </w:rPr>
        <w:t>___________</w:t>
      </w:r>
    </w:p>
    <w:p w14:paraId="78EBCC85" w14:textId="77777777" w:rsidR="00643A79" w:rsidRPr="004E5FE9" w:rsidRDefault="00643A79" w:rsidP="00643A79">
      <w:pPr>
        <w:ind w:left="2880" w:hanging="2880"/>
        <w:jc w:val="both"/>
        <w:rPr>
          <w:rFonts w:ascii="Arial" w:hAnsi="Arial" w:cs="Arial"/>
          <w:sz w:val="18"/>
          <w:szCs w:val="18"/>
          <w:lang w:val="en-GB"/>
        </w:rPr>
      </w:pPr>
      <w:r w:rsidRPr="004E5FE9">
        <w:rPr>
          <w:rFonts w:ascii="Arial" w:hAnsi="Arial" w:cs="Arial"/>
          <w:sz w:val="18"/>
          <w:szCs w:val="18"/>
          <w:lang w:val="en-GB"/>
        </w:rPr>
        <w:t>Conversion:</w:t>
      </w:r>
      <w:r w:rsidRPr="004E5FE9">
        <w:rPr>
          <w:rFonts w:ascii="Arial" w:hAnsi="Arial" w:cs="Arial"/>
          <w:sz w:val="18"/>
          <w:szCs w:val="18"/>
          <w:lang w:val="en-GB"/>
        </w:rPr>
        <w:tab/>
        <w:t>___________</w:t>
      </w:r>
    </w:p>
    <w:p w14:paraId="0911F432" w14:textId="77777777" w:rsidR="00643A79" w:rsidRPr="004E5FE9" w:rsidRDefault="00643A79" w:rsidP="00643A79">
      <w:pPr>
        <w:ind w:left="2880" w:hanging="2880"/>
        <w:jc w:val="both"/>
        <w:rPr>
          <w:rFonts w:ascii="Arial" w:hAnsi="Arial" w:cs="Arial"/>
          <w:sz w:val="18"/>
          <w:szCs w:val="18"/>
          <w:lang w:val="en-GB"/>
        </w:rPr>
      </w:pPr>
      <w:r w:rsidRPr="004E5FE9">
        <w:rPr>
          <w:rFonts w:ascii="Arial" w:hAnsi="Arial" w:cs="Arial"/>
          <w:sz w:val="18"/>
          <w:szCs w:val="18"/>
          <w:lang w:val="en-GB"/>
        </w:rPr>
        <w:t>Voting Rights:</w:t>
      </w:r>
      <w:r w:rsidRPr="004E5FE9">
        <w:rPr>
          <w:rFonts w:ascii="Arial" w:hAnsi="Arial" w:cs="Arial"/>
          <w:sz w:val="18"/>
          <w:szCs w:val="18"/>
          <w:lang w:val="en-GB"/>
        </w:rPr>
        <w:tab/>
        <w:t>___________</w:t>
      </w:r>
    </w:p>
    <w:p w14:paraId="10D1C89B" w14:textId="0D282858" w:rsidR="00643A79" w:rsidRPr="004E5FE9" w:rsidRDefault="00643A79" w:rsidP="00643A79">
      <w:pPr>
        <w:ind w:left="2880" w:hanging="2880"/>
        <w:jc w:val="both"/>
        <w:rPr>
          <w:rFonts w:ascii="Arial" w:hAnsi="Arial" w:cs="Arial"/>
          <w:sz w:val="18"/>
          <w:szCs w:val="18"/>
          <w:lang w:val="en-GB"/>
        </w:rPr>
      </w:pPr>
      <w:r w:rsidRPr="004E5FE9">
        <w:rPr>
          <w:rFonts w:ascii="Arial" w:hAnsi="Arial" w:cs="Arial"/>
          <w:sz w:val="18"/>
          <w:szCs w:val="18"/>
          <w:lang w:val="en-GB"/>
        </w:rPr>
        <w:t>Liquidation</w:t>
      </w:r>
      <w:r w:rsidR="00150736" w:rsidRPr="004E5FE9">
        <w:rPr>
          <w:rFonts w:ascii="Arial" w:hAnsi="Arial" w:cs="Arial"/>
          <w:sz w:val="18"/>
          <w:szCs w:val="18"/>
          <w:lang w:val="en-GB"/>
        </w:rPr>
        <w:t xml:space="preserve"> </w:t>
      </w:r>
      <w:r w:rsidRPr="004E5FE9">
        <w:rPr>
          <w:rFonts w:ascii="Arial" w:hAnsi="Arial" w:cs="Arial"/>
          <w:sz w:val="18"/>
          <w:szCs w:val="18"/>
          <w:lang w:val="en-GB"/>
        </w:rPr>
        <w:t>Preference:</w:t>
      </w:r>
      <w:r w:rsidRPr="004E5FE9">
        <w:rPr>
          <w:rFonts w:ascii="Arial" w:hAnsi="Arial" w:cs="Arial"/>
          <w:sz w:val="18"/>
          <w:szCs w:val="18"/>
          <w:lang w:val="en-GB"/>
        </w:rPr>
        <w:tab/>
        <w:t>___________</w:t>
      </w:r>
    </w:p>
    <w:p w14:paraId="5B099CC0" w14:textId="77777777" w:rsidR="00643A79" w:rsidRPr="004E5FE9" w:rsidRDefault="00643A79" w:rsidP="00643A79">
      <w:pPr>
        <w:ind w:left="2880" w:hanging="2880"/>
        <w:jc w:val="both"/>
        <w:rPr>
          <w:rFonts w:ascii="Arial" w:hAnsi="Arial" w:cs="Arial"/>
          <w:sz w:val="18"/>
          <w:szCs w:val="18"/>
          <w:lang w:val="en-GB"/>
        </w:rPr>
      </w:pPr>
      <w:r w:rsidRPr="004E5FE9">
        <w:rPr>
          <w:rFonts w:ascii="Arial" w:hAnsi="Arial" w:cs="Arial"/>
          <w:sz w:val="18"/>
          <w:szCs w:val="18"/>
          <w:lang w:val="en-GB"/>
        </w:rPr>
        <w:t>Board of Directors:</w:t>
      </w:r>
      <w:r w:rsidRPr="004E5FE9">
        <w:rPr>
          <w:rFonts w:ascii="Arial" w:hAnsi="Arial" w:cs="Arial"/>
          <w:sz w:val="18"/>
          <w:szCs w:val="18"/>
          <w:lang w:val="en-GB"/>
        </w:rPr>
        <w:tab/>
        <w:t>___________</w:t>
      </w:r>
    </w:p>
    <w:p w14:paraId="1ACF65AB" w14:textId="77777777" w:rsidR="00643A79" w:rsidRPr="004E5FE9" w:rsidRDefault="00643A79" w:rsidP="007137C0">
      <w:pPr>
        <w:pStyle w:val="BodyTextIndent"/>
        <w:spacing w:after="0"/>
        <w:ind w:left="0"/>
        <w:jc w:val="both"/>
        <w:rPr>
          <w:rFonts w:ascii="Arial" w:hAnsi="Arial" w:cs="Arial"/>
          <w:sz w:val="18"/>
          <w:szCs w:val="18"/>
          <w:lang w:val="en-GB"/>
        </w:rPr>
      </w:pPr>
      <w:r w:rsidRPr="004E5FE9">
        <w:rPr>
          <w:rFonts w:ascii="Arial" w:hAnsi="Arial" w:cs="Arial"/>
          <w:sz w:val="18"/>
          <w:szCs w:val="18"/>
          <w:lang w:val="en-GB"/>
        </w:rPr>
        <w:t>Options and Vesting:</w:t>
      </w:r>
      <w:r w:rsidRPr="004E5FE9">
        <w:rPr>
          <w:rFonts w:ascii="Arial" w:hAnsi="Arial" w:cs="Arial"/>
          <w:sz w:val="18"/>
          <w:szCs w:val="18"/>
          <w:lang w:val="en-GB"/>
        </w:rPr>
        <w:tab/>
      </w:r>
      <w:r w:rsidRPr="004E5FE9">
        <w:rPr>
          <w:rFonts w:ascii="Arial" w:hAnsi="Arial" w:cs="Arial"/>
          <w:sz w:val="18"/>
          <w:szCs w:val="18"/>
          <w:lang w:val="en-GB"/>
        </w:rPr>
        <w:tab/>
        <w:t>___________</w:t>
      </w:r>
    </w:p>
    <w:p w14:paraId="217C0486" w14:textId="77777777" w:rsidR="00643A79" w:rsidRPr="004E5FE9" w:rsidRDefault="00643A79" w:rsidP="00643A79">
      <w:pPr>
        <w:ind w:left="2880" w:hanging="2880"/>
        <w:jc w:val="both"/>
        <w:rPr>
          <w:rFonts w:ascii="Arial" w:hAnsi="Arial" w:cs="Arial"/>
          <w:sz w:val="18"/>
          <w:szCs w:val="18"/>
          <w:lang w:val="en-GB"/>
        </w:rPr>
      </w:pPr>
    </w:p>
    <w:p w14:paraId="2DC65362" w14:textId="77777777" w:rsidR="00643A79" w:rsidRPr="004E5FE9" w:rsidRDefault="00643A79" w:rsidP="00643A79">
      <w:pPr>
        <w:ind w:left="2880" w:hanging="2880"/>
        <w:jc w:val="both"/>
        <w:rPr>
          <w:rFonts w:ascii="Arial" w:hAnsi="Arial" w:cs="Arial"/>
          <w:sz w:val="18"/>
          <w:szCs w:val="18"/>
          <w:lang w:val="en-GB"/>
        </w:rPr>
      </w:pPr>
      <w:r w:rsidRPr="004E5FE9">
        <w:rPr>
          <w:rFonts w:ascii="Arial" w:hAnsi="Arial" w:cs="Arial"/>
          <w:sz w:val="18"/>
          <w:szCs w:val="18"/>
          <w:lang w:val="en-GB"/>
        </w:rPr>
        <w:t xml:space="preserve">Financial </w:t>
      </w:r>
    </w:p>
    <w:p w14:paraId="2C79B41D" w14:textId="77777777" w:rsidR="00643A79" w:rsidRPr="004E5FE9" w:rsidRDefault="00643A79" w:rsidP="00643A79">
      <w:pPr>
        <w:ind w:left="2880" w:hanging="2880"/>
        <w:jc w:val="both"/>
        <w:rPr>
          <w:rFonts w:ascii="Arial" w:hAnsi="Arial" w:cs="Arial"/>
          <w:sz w:val="18"/>
          <w:szCs w:val="18"/>
          <w:lang w:val="en-GB"/>
        </w:rPr>
      </w:pPr>
    </w:p>
    <w:p w14:paraId="53FF8A62" w14:textId="77777777" w:rsidR="00643A79" w:rsidRPr="004E5FE9" w:rsidRDefault="00643A79" w:rsidP="00643A79">
      <w:pPr>
        <w:ind w:left="2880" w:hanging="2880"/>
        <w:jc w:val="both"/>
        <w:rPr>
          <w:rFonts w:ascii="Arial" w:hAnsi="Arial" w:cs="Arial"/>
          <w:sz w:val="18"/>
          <w:szCs w:val="18"/>
          <w:lang w:val="en-GB"/>
        </w:rPr>
      </w:pPr>
      <w:r w:rsidRPr="004E5FE9">
        <w:rPr>
          <w:rFonts w:ascii="Arial" w:hAnsi="Arial" w:cs="Arial"/>
          <w:sz w:val="18"/>
          <w:szCs w:val="18"/>
          <w:lang w:val="en-GB"/>
        </w:rPr>
        <w:t>Statements and Reporting:</w:t>
      </w:r>
      <w:r w:rsidRPr="004E5FE9">
        <w:rPr>
          <w:rFonts w:ascii="Arial" w:hAnsi="Arial" w:cs="Arial"/>
          <w:sz w:val="18"/>
          <w:szCs w:val="18"/>
          <w:lang w:val="en-GB"/>
        </w:rPr>
        <w:tab/>
        <w:t>___________</w:t>
      </w:r>
    </w:p>
    <w:p w14:paraId="0D6CC73E" w14:textId="77777777" w:rsidR="00643A79" w:rsidRPr="004E5FE9" w:rsidRDefault="00643A79" w:rsidP="00643A79">
      <w:pPr>
        <w:ind w:left="2880" w:hanging="2880"/>
        <w:jc w:val="both"/>
        <w:rPr>
          <w:rFonts w:ascii="Arial" w:hAnsi="Arial" w:cs="Arial"/>
          <w:sz w:val="18"/>
          <w:szCs w:val="18"/>
          <w:lang w:val="en-GB"/>
        </w:rPr>
      </w:pPr>
      <w:r w:rsidRPr="004E5FE9">
        <w:rPr>
          <w:rFonts w:ascii="Arial" w:hAnsi="Arial" w:cs="Arial"/>
          <w:sz w:val="18"/>
          <w:szCs w:val="18"/>
          <w:lang w:val="en-GB"/>
        </w:rPr>
        <w:t>Redemption:</w:t>
      </w:r>
      <w:r w:rsidRPr="004E5FE9">
        <w:rPr>
          <w:rFonts w:ascii="Arial" w:hAnsi="Arial" w:cs="Arial"/>
          <w:sz w:val="18"/>
          <w:szCs w:val="18"/>
          <w:lang w:val="en-GB"/>
        </w:rPr>
        <w:tab/>
        <w:t>___________</w:t>
      </w:r>
    </w:p>
    <w:p w14:paraId="21244FBF" w14:textId="77777777" w:rsidR="00643A79" w:rsidRPr="004E5FE9" w:rsidRDefault="00643A79" w:rsidP="007137C0">
      <w:pPr>
        <w:pStyle w:val="BodyTextIndent2"/>
        <w:spacing w:line="240" w:lineRule="auto"/>
        <w:ind w:left="2880" w:hanging="2880"/>
        <w:contextualSpacing/>
        <w:rPr>
          <w:rFonts w:ascii="Arial" w:hAnsi="Arial" w:cs="Arial"/>
          <w:sz w:val="18"/>
          <w:szCs w:val="18"/>
          <w:lang w:val="en-GB"/>
        </w:rPr>
      </w:pPr>
      <w:r w:rsidRPr="004E5FE9">
        <w:rPr>
          <w:rFonts w:ascii="Arial" w:hAnsi="Arial" w:cs="Arial"/>
          <w:sz w:val="18"/>
          <w:szCs w:val="18"/>
          <w:lang w:val="en-GB"/>
        </w:rPr>
        <w:t>Right of First Refusal:</w:t>
      </w:r>
      <w:r w:rsidRPr="004E5FE9">
        <w:rPr>
          <w:rFonts w:ascii="Arial" w:hAnsi="Arial" w:cs="Arial"/>
          <w:sz w:val="18"/>
          <w:szCs w:val="18"/>
          <w:lang w:val="en-GB"/>
        </w:rPr>
        <w:tab/>
        <w:t>___________</w:t>
      </w:r>
    </w:p>
    <w:p w14:paraId="09140B09" w14:textId="77777777" w:rsidR="00643A79" w:rsidRPr="004E5FE9" w:rsidRDefault="00643A79" w:rsidP="007137C0">
      <w:pPr>
        <w:pStyle w:val="BodyTextIndent2"/>
        <w:spacing w:line="240" w:lineRule="auto"/>
        <w:ind w:left="2880" w:hanging="2880"/>
        <w:rPr>
          <w:rFonts w:ascii="Arial" w:hAnsi="Arial" w:cs="Arial"/>
          <w:sz w:val="18"/>
          <w:szCs w:val="18"/>
          <w:lang w:val="en-GB"/>
        </w:rPr>
      </w:pPr>
    </w:p>
    <w:p w14:paraId="60F81808" w14:textId="77777777" w:rsidR="00643A79" w:rsidRPr="004E5FE9" w:rsidRDefault="00643A79" w:rsidP="007137C0">
      <w:pPr>
        <w:pStyle w:val="BodyTextIndent2"/>
        <w:spacing w:line="240" w:lineRule="auto"/>
        <w:ind w:left="2880" w:hanging="2880"/>
        <w:contextualSpacing/>
        <w:rPr>
          <w:rFonts w:ascii="Arial" w:hAnsi="Arial" w:cs="Arial"/>
          <w:sz w:val="18"/>
          <w:szCs w:val="18"/>
          <w:lang w:val="en-GB"/>
        </w:rPr>
      </w:pPr>
      <w:r w:rsidRPr="004E5FE9">
        <w:rPr>
          <w:rFonts w:ascii="Arial" w:hAnsi="Arial" w:cs="Arial"/>
          <w:sz w:val="18"/>
          <w:szCs w:val="18"/>
          <w:lang w:val="en-GB"/>
        </w:rPr>
        <w:t xml:space="preserve">Right of First Refusal and </w:t>
      </w:r>
    </w:p>
    <w:p w14:paraId="28BEDADA" w14:textId="58A0605B" w:rsidR="00643A79" w:rsidRPr="004E5FE9" w:rsidRDefault="00643A79" w:rsidP="007137C0">
      <w:pPr>
        <w:pStyle w:val="BodyTextIndent2"/>
        <w:spacing w:after="0" w:line="240" w:lineRule="auto"/>
        <w:ind w:left="2880" w:hanging="2880"/>
        <w:contextualSpacing/>
        <w:rPr>
          <w:rFonts w:ascii="Arial" w:hAnsi="Arial" w:cs="Arial"/>
          <w:sz w:val="18"/>
          <w:szCs w:val="18"/>
          <w:lang w:val="en-GB"/>
        </w:rPr>
      </w:pPr>
      <w:r w:rsidRPr="004E5FE9">
        <w:rPr>
          <w:rFonts w:ascii="Arial" w:hAnsi="Arial" w:cs="Arial"/>
          <w:sz w:val="18"/>
          <w:szCs w:val="18"/>
          <w:lang w:val="en-GB"/>
        </w:rPr>
        <w:t>Co</w:t>
      </w:r>
      <w:r w:rsidR="00150736" w:rsidRPr="004E5FE9">
        <w:rPr>
          <w:rFonts w:ascii="Arial" w:hAnsi="Arial" w:cs="Arial"/>
          <w:sz w:val="18"/>
          <w:szCs w:val="18"/>
          <w:lang w:val="en-GB"/>
        </w:rPr>
        <w:t>-</w:t>
      </w:r>
      <w:r w:rsidRPr="004E5FE9">
        <w:rPr>
          <w:rFonts w:ascii="Arial" w:hAnsi="Arial" w:cs="Arial"/>
          <w:sz w:val="18"/>
          <w:szCs w:val="18"/>
          <w:lang w:val="en-GB"/>
        </w:rPr>
        <w:t>sale:</w:t>
      </w:r>
      <w:r w:rsidRPr="004E5FE9">
        <w:rPr>
          <w:rFonts w:ascii="Arial" w:hAnsi="Arial" w:cs="Arial"/>
          <w:sz w:val="18"/>
          <w:szCs w:val="18"/>
          <w:lang w:val="en-GB"/>
        </w:rPr>
        <w:tab/>
        <w:t>___________</w:t>
      </w:r>
    </w:p>
    <w:p w14:paraId="3CDE9EE8" w14:textId="77777777" w:rsidR="00643A79" w:rsidRPr="004E5FE9" w:rsidRDefault="00643A79" w:rsidP="00643A79">
      <w:pPr>
        <w:ind w:left="2880" w:hanging="2880"/>
        <w:jc w:val="both"/>
        <w:rPr>
          <w:rFonts w:ascii="Arial" w:hAnsi="Arial" w:cs="Arial"/>
          <w:sz w:val="18"/>
          <w:szCs w:val="18"/>
          <w:lang w:val="en-GB"/>
        </w:rPr>
      </w:pPr>
      <w:r w:rsidRPr="004E5FE9">
        <w:rPr>
          <w:rFonts w:ascii="Arial" w:hAnsi="Arial" w:cs="Arial"/>
          <w:sz w:val="18"/>
          <w:szCs w:val="18"/>
          <w:lang w:val="en-GB"/>
        </w:rPr>
        <w:t>Other Provisions:</w:t>
      </w:r>
      <w:r w:rsidRPr="004E5FE9">
        <w:rPr>
          <w:rFonts w:ascii="Arial" w:hAnsi="Arial" w:cs="Arial"/>
          <w:sz w:val="18"/>
          <w:szCs w:val="18"/>
          <w:lang w:val="en-GB"/>
        </w:rPr>
        <w:tab/>
        <w:t>___________</w:t>
      </w:r>
    </w:p>
    <w:p w14:paraId="43830F96" w14:textId="77777777" w:rsidR="00643A79" w:rsidRPr="004E5FE9" w:rsidRDefault="00643A79" w:rsidP="007137C0">
      <w:pPr>
        <w:pStyle w:val="BodyTextIndent"/>
        <w:spacing w:after="0"/>
        <w:ind w:left="0"/>
        <w:jc w:val="both"/>
        <w:rPr>
          <w:rFonts w:ascii="Arial" w:hAnsi="Arial" w:cs="Arial"/>
          <w:sz w:val="18"/>
          <w:szCs w:val="18"/>
          <w:lang w:val="en-GB"/>
        </w:rPr>
      </w:pPr>
      <w:r w:rsidRPr="004E5FE9">
        <w:rPr>
          <w:rFonts w:ascii="Arial" w:hAnsi="Arial" w:cs="Arial"/>
          <w:sz w:val="18"/>
          <w:szCs w:val="18"/>
          <w:lang w:val="en-GB"/>
        </w:rPr>
        <w:t>Conditions to Closing:</w:t>
      </w:r>
      <w:r w:rsidRPr="004E5FE9">
        <w:rPr>
          <w:rFonts w:ascii="Arial" w:hAnsi="Arial" w:cs="Arial"/>
          <w:sz w:val="18"/>
          <w:szCs w:val="18"/>
          <w:lang w:val="en-GB"/>
        </w:rPr>
        <w:tab/>
      </w:r>
      <w:r w:rsidR="007137C0" w:rsidRPr="004E5FE9">
        <w:rPr>
          <w:rFonts w:ascii="Arial" w:hAnsi="Arial" w:cs="Arial"/>
          <w:sz w:val="18"/>
          <w:szCs w:val="18"/>
          <w:lang w:val="en-GB"/>
        </w:rPr>
        <w:tab/>
      </w:r>
      <w:r w:rsidRPr="004E5FE9">
        <w:rPr>
          <w:rFonts w:ascii="Arial" w:hAnsi="Arial" w:cs="Arial"/>
          <w:sz w:val="18"/>
          <w:szCs w:val="18"/>
          <w:lang w:val="en-GB"/>
        </w:rPr>
        <w:t>___________</w:t>
      </w:r>
    </w:p>
    <w:p w14:paraId="15F9B726" w14:textId="77777777" w:rsidR="00643A79" w:rsidRPr="004E5FE9" w:rsidRDefault="00643A79" w:rsidP="007137C0">
      <w:pPr>
        <w:pStyle w:val="BodyTextMain"/>
        <w:rPr>
          <w:lang w:val="en-GB"/>
        </w:rPr>
      </w:pPr>
    </w:p>
    <w:p w14:paraId="27F3F57D" w14:textId="0849E59D" w:rsidR="00643A79" w:rsidRPr="004E5FE9" w:rsidRDefault="00643A79" w:rsidP="00643A79">
      <w:pPr>
        <w:rPr>
          <w:rFonts w:ascii="Arial" w:hAnsi="Arial" w:cs="Arial"/>
          <w:sz w:val="18"/>
          <w:szCs w:val="18"/>
          <w:lang w:val="en-GB"/>
        </w:rPr>
      </w:pPr>
      <w:r w:rsidRPr="004E5FE9">
        <w:rPr>
          <w:rFonts w:ascii="Arial" w:hAnsi="Arial" w:cs="Arial"/>
          <w:sz w:val="18"/>
          <w:szCs w:val="18"/>
          <w:lang w:val="en-GB"/>
        </w:rPr>
        <w:t>This offer expires in its entirety unless signed and accepted by ______________ (</w:t>
      </w:r>
      <w:r w:rsidR="004835CE">
        <w:rPr>
          <w:rFonts w:ascii="Arial" w:hAnsi="Arial" w:cs="Arial"/>
          <w:sz w:val="18"/>
          <w:szCs w:val="18"/>
          <w:lang w:val="en-GB"/>
        </w:rPr>
        <w:t>T</w:t>
      </w:r>
      <w:r w:rsidRPr="004E5FE9">
        <w:rPr>
          <w:rFonts w:ascii="Arial" w:hAnsi="Arial" w:cs="Arial"/>
          <w:sz w:val="18"/>
          <w:szCs w:val="18"/>
          <w:lang w:val="en-GB"/>
        </w:rPr>
        <w:t>ime and Date).</w:t>
      </w:r>
      <w:r w:rsidR="004E5FE9" w:rsidRPr="004E5FE9">
        <w:rPr>
          <w:rFonts w:ascii="Arial" w:hAnsi="Arial" w:cs="Arial"/>
          <w:sz w:val="18"/>
          <w:szCs w:val="18"/>
          <w:lang w:val="en-GB"/>
        </w:rPr>
        <w:t xml:space="preserve"> </w:t>
      </w:r>
    </w:p>
    <w:p w14:paraId="551D773A" w14:textId="77777777" w:rsidR="00643A79" w:rsidRPr="004E5FE9" w:rsidRDefault="00643A79" w:rsidP="007137C0">
      <w:pPr>
        <w:pStyle w:val="BodyText"/>
        <w:spacing w:after="0"/>
        <w:rPr>
          <w:rFonts w:ascii="Arial" w:hAnsi="Arial" w:cs="Arial"/>
          <w:sz w:val="18"/>
          <w:szCs w:val="18"/>
          <w:lang w:val="en-GB"/>
        </w:rPr>
      </w:pPr>
    </w:p>
    <w:p w14:paraId="6673DC76" w14:textId="77777777" w:rsidR="00643A79" w:rsidRPr="004E5FE9" w:rsidRDefault="00643A79" w:rsidP="00643A79">
      <w:pPr>
        <w:pStyle w:val="BodyText"/>
        <w:rPr>
          <w:rFonts w:ascii="Arial" w:hAnsi="Arial" w:cs="Arial"/>
          <w:sz w:val="18"/>
          <w:szCs w:val="18"/>
          <w:lang w:val="en-GB"/>
        </w:rPr>
      </w:pPr>
      <w:r w:rsidRPr="004E5FE9">
        <w:rPr>
          <w:rFonts w:ascii="Arial" w:hAnsi="Arial" w:cs="Arial"/>
          <w:sz w:val="18"/>
          <w:szCs w:val="18"/>
          <w:lang w:val="en-GB"/>
        </w:rPr>
        <w:t>Agreed and Accepted:</w:t>
      </w:r>
    </w:p>
    <w:p w14:paraId="05DD8665" w14:textId="77777777" w:rsidR="00643A79" w:rsidRPr="004E5FE9" w:rsidRDefault="00643A79" w:rsidP="00643A79">
      <w:pPr>
        <w:pStyle w:val="BodyText"/>
        <w:rPr>
          <w:rFonts w:ascii="Arial" w:hAnsi="Arial" w:cs="Arial"/>
          <w:sz w:val="18"/>
          <w:szCs w:val="18"/>
          <w:u w:val="single"/>
          <w:lang w:val="en-GB"/>
        </w:rPr>
      </w:pPr>
      <w:r w:rsidRPr="004E5FE9">
        <w:rPr>
          <w:rFonts w:ascii="Arial" w:hAnsi="Arial" w:cs="Arial"/>
          <w:sz w:val="18"/>
          <w:szCs w:val="18"/>
          <w:lang w:val="en-GB"/>
        </w:rPr>
        <w:t>By:</w:t>
      </w:r>
      <w:r w:rsidRPr="004E5FE9">
        <w:rPr>
          <w:rFonts w:ascii="Arial" w:hAnsi="Arial" w:cs="Arial"/>
          <w:sz w:val="18"/>
          <w:szCs w:val="18"/>
          <w:u w:val="single"/>
          <w:lang w:val="en-GB"/>
        </w:rPr>
        <w:tab/>
        <w:t>Company Name</w:t>
      </w:r>
      <w:r w:rsidRPr="004E5FE9">
        <w:rPr>
          <w:rFonts w:ascii="Arial" w:hAnsi="Arial" w:cs="Arial"/>
          <w:sz w:val="18"/>
          <w:szCs w:val="18"/>
          <w:u w:val="single"/>
          <w:lang w:val="en-GB"/>
        </w:rPr>
        <w:tab/>
      </w:r>
      <w:r w:rsidRPr="004E5FE9">
        <w:rPr>
          <w:rFonts w:ascii="Arial" w:hAnsi="Arial" w:cs="Arial"/>
          <w:sz w:val="18"/>
          <w:szCs w:val="18"/>
          <w:lang w:val="en-GB"/>
        </w:rPr>
        <w:tab/>
      </w:r>
      <w:r w:rsidRPr="004E5FE9">
        <w:rPr>
          <w:rFonts w:ascii="Arial" w:hAnsi="Arial" w:cs="Arial"/>
          <w:sz w:val="18"/>
          <w:szCs w:val="18"/>
          <w:lang w:val="en-GB"/>
        </w:rPr>
        <w:tab/>
        <w:t>By:</w:t>
      </w:r>
      <w:r w:rsidRPr="004E5FE9">
        <w:rPr>
          <w:rFonts w:ascii="Arial" w:hAnsi="Arial" w:cs="Arial"/>
          <w:sz w:val="18"/>
          <w:szCs w:val="18"/>
          <w:u w:val="single"/>
          <w:lang w:val="en-GB"/>
        </w:rPr>
        <w:tab/>
        <w:t>Investor</w:t>
      </w:r>
      <w:r w:rsidRPr="004E5FE9">
        <w:rPr>
          <w:rFonts w:ascii="Arial" w:hAnsi="Arial" w:cs="Arial"/>
          <w:sz w:val="18"/>
          <w:szCs w:val="18"/>
          <w:u w:val="single"/>
          <w:lang w:val="en-GB"/>
        </w:rPr>
        <w:tab/>
      </w:r>
      <w:r w:rsidRPr="004E5FE9">
        <w:rPr>
          <w:rFonts w:ascii="Arial" w:hAnsi="Arial" w:cs="Arial"/>
          <w:sz w:val="18"/>
          <w:szCs w:val="18"/>
          <w:u w:val="single"/>
          <w:lang w:val="en-GB"/>
        </w:rPr>
        <w:tab/>
      </w:r>
    </w:p>
    <w:p w14:paraId="1E7976E8" w14:textId="77777777" w:rsidR="00643A79" w:rsidRPr="004E5FE9" w:rsidRDefault="00643A79" w:rsidP="00643A79">
      <w:pPr>
        <w:pStyle w:val="BodyTextMain"/>
        <w:rPr>
          <w:sz w:val="18"/>
          <w:szCs w:val="18"/>
          <w:lang w:val="en-GB"/>
        </w:rPr>
      </w:pPr>
    </w:p>
    <w:p w14:paraId="34D36E2F" w14:textId="77777777" w:rsidR="007137C0" w:rsidRPr="004E5FE9" w:rsidRDefault="007137C0" w:rsidP="007137C0">
      <w:pPr>
        <w:pStyle w:val="Footnote"/>
        <w:rPr>
          <w:lang w:val="en-GB"/>
        </w:rPr>
      </w:pPr>
      <w:r w:rsidRPr="004E5FE9">
        <w:rPr>
          <w:lang w:val="en-GB"/>
        </w:rPr>
        <w:t>Source: Company files.</w:t>
      </w:r>
    </w:p>
    <w:p w14:paraId="2E36DAFD" w14:textId="77777777" w:rsidR="004F068D" w:rsidRPr="004E5FE9" w:rsidRDefault="004F068D" w:rsidP="00636B3A">
      <w:pPr>
        <w:pStyle w:val="Footnote"/>
        <w:rPr>
          <w:lang w:val="en-GB"/>
        </w:rPr>
      </w:pPr>
    </w:p>
    <w:p w14:paraId="097BF48E" w14:textId="77777777" w:rsidR="004F068D" w:rsidRPr="004E5FE9" w:rsidRDefault="004F068D" w:rsidP="00636B3A">
      <w:pPr>
        <w:pStyle w:val="Footnote"/>
        <w:rPr>
          <w:lang w:val="en-GB"/>
        </w:rPr>
      </w:pPr>
    </w:p>
    <w:p w14:paraId="73619A7D" w14:textId="7BB8BD65" w:rsidR="0012603D" w:rsidRPr="004E5FE9" w:rsidRDefault="0012603D" w:rsidP="0012603D">
      <w:pPr>
        <w:pStyle w:val="ExhibitHeading"/>
        <w:rPr>
          <w:lang w:val="en-GB"/>
        </w:rPr>
      </w:pPr>
      <w:r w:rsidRPr="004E5FE9">
        <w:rPr>
          <w:lang w:val="en-GB"/>
        </w:rPr>
        <w:t xml:space="preserve">Exhibit 5: </w:t>
      </w:r>
      <w:r w:rsidR="00CD570C">
        <w:rPr>
          <w:lang w:val="en-GB"/>
        </w:rPr>
        <w:t>groupon india’s options</w:t>
      </w:r>
      <w:r w:rsidR="00CD570C" w:rsidRPr="004E5FE9">
        <w:rPr>
          <w:lang w:val="en-GB"/>
        </w:rPr>
        <w:t xml:space="preserve"> </w:t>
      </w:r>
      <w:r w:rsidRPr="004E5FE9">
        <w:rPr>
          <w:lang w:val="en-GB"/>
        </w:rPr>
        <w:t xml:space="preserve">for </w:t>
      </w:r>
      <w:r w:rsidR="00CD570C">
        <w:rPr>
          <w:lang w:val="en-GB"/>
        </w:rPr>
        <w:t xml:space="preserve">the </w:t>
      </w:r>
      <w:r w:rsidRPr="004E5FE9">
        <w:rPr>
          <w:lang w:val="en-GB"/>
        </w:rPr>
        <w:t>distribution of Equity ownership (%)</w:t>
      </w:r>
    </w:p>
    <w:p w14:paraId="0270A261" w14:textId="77777777" w:rsidR="0012603D" w:rsidRPr="004E5FE9" w:rsidRDefault="0012603D" w:rsidP="0012603D">
      <w:pPr>
        <w:rPr>
          <w:lang w:val="en-GB"/>
        </w:rPr>
      </w:pPr>
    </w:p>
    <w:tbl>
      <w:tblPr>
        <w:tblStyle w:val="TableGrid"/>
        <w:tblW w:w="6570" w:type="dxa"/>
        <w:jc w:val="center"/>
        <w:tblLayout w:type="fixed"/>
        <w:tblLook w:val="04A0" w:firstRow="1" w:lastRow="0" w:firstColumn="1" w:lastColumn="0" w:noHBand="0" w:noVBand="1"/>
      </w:tblPr>
      <w:tblGrid>
        <w:gridCol w:w="1075"/>
        <w:gridCol w:w="1715"/>
        <w:gridCol w:w="2070"/>
        <w:gridCol w:w="1710"/>
      </w:tblGrid>
      <w:tr w:rsidR="0012603D" w:rsidRPr="004E5FE9" w14:paraId="160E5AEF" w14:textId="77777777" w:rsidTr="00636B3A">
        <w:trPr>
          <w:jc w:val="center"/>
        </w:trPr>
        <w:tc>
          <w:tcPr>
            <w:tcW w:w="1075" w:type="dxa"/>
            <w:vAlign w:val="center"/>
          </w:tcPr>
          <w:p w14:paraId="3612052F" w14:textId="77777777" w:rsidR="0012603D" w:rsidRPr="004E5FE9" w:rsidRDefault="0012603D" w:rsidP="00636B3A">
            <w:pPr>
              <w:pStyle w:val="ExhibitText"/>
              <w:jc w:val="center"/>
              <w:rPr>
                <w:sz w:val="18"/>
                <w:szCs w:val="18"/>
                <w:lang w:val="en-GB"/>
              </w:rPr>
            </w:pPr>
          </w:p>
        </w:tc>
        <w:tc>
          <w:tcPr>
            <w:tcW w:w="1715" w:type="dxa"/>
            <w:vAlign w:val="center"/>
          </w:tcPr>
          <w:p w14:paraId="6C5D9A6A" w14:textId="6A4BDDEA" w:rsidR="0012603D" w:rsidRPr="004E5FE9" w:rsidRDefault="0012603D" w:rsidP="00636B3A">
            <w:pPr>
              <w:pStyle w:val="ExhibitText"/>
              <w:jc w:val="center"/>
              <w:rPr>
                <w:b/>
                <w:sz w:val="18"/>
                <w:szCs w:val="18"/>
                <w:lang w:val="en-GB"/>
              </w:rPr>
            </w:pPr>
            <w:r w:rsidRPr="004E5FE9">
              <w:rPr>
                <w:b/>
                <w:sz w:val="18"/>
                <w:szCs w:val="18"/>
                <w:lang w:val="en-GB"/>
              </w:rPr>
              <w:t xml:space="preserve">Groupon </w:t>
            </w:r>
            <w:r w:rsidR="00150736" w:rsidRPr="004E5FE9">
              <w:rPr>
                <w:b/>
                <w:sz w:val="18"/>
                <w:szCs w:val="18"/>
                <w:lang w:val="en-GB"/>
              </w:rPr>
              <w:t>Inc. (</w:t>
            </w:r>
            <w:r w:rsidRPr="004E5FE9">
              <w:rPr>
                <w:b/>
                <w:sz w:val="18"/>
                <w:szCs w:val="18"/>
                <w:lang w:val="en-GB"/>
              </w:rPr>
              <w:t>U</w:t>
            </w:r>
            <w:r w:rsidR="00150736" w:rsidRPr="004E5FE9">
              <w:rPr>
                <w:b/>
                <w:sz w:val="18"/>
                <w:szCs w:val="18"/>
                <w:lang w:val="en-GB"/>
              </w:rPr>
              <w:t>nited States)</w:t>
            </w:r>
          </w:p>
        </w:tc>
        <w:tc>
          <w:tcPr>
            <w:tcW w:w="2070" w:type="dxa"/>
            <w:vAlign w:val="center"/>
          </w:tcPr>
          <w:p w14:paraId="5DF9CA25" w14:textId="77777777" w:rsidR="0012603D" w:rsidRPr="004E5FE9" w:rsidRDefault="0012603D" w:rsidP="00636B3A">
            <w:pPr>
              <w:pStyle w:val="ExhibitText"/>
              <w:jc w:val="center"/>
              <w:rPr>
                <w:b/>
                <w:sz w:val="18"/>
                <w:szCs w:val="18"/>
                <w:lang w:val="en-GB"/>
              </w:rPr>
            </w:pPr>
            <w:r w:rsidRPr="004E5FE9">
              <w:rPr>
                <w:b/>
                <w:sz w:val="18"/>
                <w:szCs w:val="18"/>
                <w:lang w:val="en-GB"/>
              </w:rPr>
              <w:t>Management Team</w:t>
            </w:r>
          </w:p>
        </w:tc>
        <w:tc>
          <w:tcPr>
            <w:tcW w:w="1710" w:type="dxa"/>
            <w:vAlign w:val="center"/>
          </w:tcPr>
          <w:p w14:paraId="52CCCE2C" w14:textId="77777777" w:rsidR="0012603D" w:rsidRPr="004E5FE9" w:rsidRDefault="0012603D" w:rsidP="00636B3A">
            <w:pPr>
              <w:pStyle w:val="ExhibitText"/>
              <w:jc w:val="center"/>
              <w:rPr>
                <w:b/>
                <w:sz w:val="18"/>
                <w:szCs w:val="18"/>
                <w:lang w:val="en-GB"/>
              </w:rPr>
            </w:pPr>
            <w:r w:rsidRPr="004E5FE9">
              <w:rPr>
                <w:b/>
                <w:sz w:val="18"/>
                <w:szCs w:val="18"/>
                <w:lang w:val="en-GB"/>
              </w:rPr>
              <w:t>Sequoia Capital</w:t>
            </w:r>
          </w:p>
        </w:tc>
      </w:tr>
      <w:tr w:rsidR="0012603D" w:rsidRPr="004E5FE9" w14:paraId="479A0C7D" w14:textId="77777777" w:rsidTr="00636B3A">
        <w:trPr>
          <w:jc w:val="center"/>
        </w:trPr>
        <w:tc>
          <w:tcPr>
            <w:tcW w:w="1075" w:type="dxa"/>
          </w:tcPr>
          <w:p w14:paraId="3FC33A59" w14:textId="3267AC65" w:rsidR="0012603D" w:rsidRPr="004E5FE9" w:rsidRDefault="0012603D" w:rsidP="0012603D">
            <w:pPr>
              <w:pStyle w:val="ExhibitText"/>
              <w:rPr>
                <w:sz w:val="18"/>
                <w:szCs w:val="18"/>
                <w:lang w:val="en-GB"/>
              </w:rPr>
            </w:pPr>
            <w:r w:rsidRPr="004E5FE9">
              <w:rPr>
                <w:sz w:val="18"/>
                <w:szCs w:val="18"/>
                <w:lang w:val="en-GB"/>
              </w:rPr>
              <w:t>Option 1</w:t>
            </w:r>
          </w:p>
        </w:tc>
        <w:tc>
          <w:tcPr>
            <w:tcW w:w="1715" w:type="dxa"/>
          </w:tcPr>
          <w:p w14:paraId="3FA232A9" w14:textId="4E4D7B4D" w:rsidR="0012603D" w:rsidRPr="004E5FE9" w:rsidRDefault="00026E9E" w:rsidP="009642C6">
            <w:pPr>
              <w:pStyle w:val="ExhibitText"/>
              <w:jc w:val="center"/>
              <w:rPr>
                <w:sz w:val="18"/>
                <w:szCs w:val="18"/>
                <w:lang w:val="en-GB"/>
              </w:rPr>
            </w:pPr>
            <w:r>
              <w:rPr>
                <w:sz w:val="18"/>
                <w:szCs w:val="18"/>
                <w:lang w:val="en-GB"/>
              </w:rPr>
              <w:t>50</w:t>
            </w:r>
          </w:p>
        </w:tc>
        <w:tc>
          <w:tcPr>
            <w:tcW w:w="2070" w:type="dxa"/>
          </w:tcPr>
          <w:p w14:paraId="4C7E5E6D" w14:textId="0D80264C" w:rsidR="0012603D" w:rsidRPr="004E5FE9" w:rsidRDefault="0012603D" w:rsidP="009642C6">
            <w:pPr>
              <w:pStyle w:val="ExhibitText"/>
              <w:jc w:val="center"/>
              <w:rPr>
                <w:sz w:val="18"/>
                <w:szCs w:val="18"/>
                <w:lang w:val="en-GB"/>
              </w:rPr>
            </w:pPr>
            <w:r w:rsidRPr="004E5FE9">
              <w:rPr>
                <w:sz w:val="18"/>
                <w:szCs w:val="18"/>
                <w:lang w:val="en-GB"/>
              </w:rPr>
              <w:t>2</w:t>
            </w:r>
            <w:r w:rsidR="00026E9E">
              <w:rPr>
                <w:sz w:val="18"/>
                <w:szCs w:val="18"/>
                <w:lang w:val="en-GB"/>
              </w:rPr>
              <w:t>4</w:t>
            </w:r>
          </w:p>
        </w:tc>
        <w:tc>
          <w:tcPr>
            <w:tcW w:w="1710" w:type="dxa"/>
          </w:tcPr>
          <w:p w14:paraId="26F95E0E" w14:textId="77777777" w:rsidR="0012603D" w:rsidRPr="004E5FE9" w:rsidRDefault="0012603D" w:rsidP="009642C6">
            <w:pPr>
              <w:pStyle w:val="ExhibitText"/>
              <w:jc w:val="center"/>
              <w:rPr>
                <w:sz w:val="18"/>
                <w:szCs w:val="18"/>
                <w:lang w:val="en-GB"/>
              </w:rPr>
            </w:pPr>
            <w:r w:rsidRPr="004E5FE9">
              <w:rPr>
                <w:sz w:val="18"/>
                <w:szCs w:val="18"/>
                <w:lang w:val="en-GB"/>
              </w:rPr>
              <w:t>26</w:t>
            </w:r>
          </w:p>
        </w:tc>
      </w:tr>
      <w:tr w:rsidR="0012603D" w:rsidRPr="004E5FE9" w14:paraId="6B601BD5" w14:textId="77777777" w:rsidTr="00636B3A">
        <w:trPr>
          <w:jc w:val="center"/>
        </w:trPr>
        <w:tc>
          <w:tcPr>
            <w:tcW w:w="1075" w:type="dxa"/>
          </w:tcPr>
          <w:p w14:paraId="7BDDE33C" w14:textId="77777777" w:rsidR="0012603D" w:rsidRPr="004E5FE9" w:rsidRDefault="0012603D" w:rsidP="0012603D">
            <w:pPr>
              <w:pStyle w:val="ExhibitText"/>
              <w:rPr>
                <w:sz w:val="18"/>
                <w:szCs w:val="18"/>
                <w:lang w:val="en-GB"/>
              </w:rPr>
            </w:pPr>
            <w:r w:rsidRPr="004E5FE9">
              <w:rPr>
                <w:sz w:val="18"/>
                <w:szCs w:val="18"/>
                <w:lang w:val="en-GB"/>
              </w:rPr>
              <w:t>Option 2</w:t>
            </w:r>
          </w:p>
        </w:tc>
        <w:tc>
          <w:tcPr>
            <w:tcW w:w="1715" w:type="dxa"/>
          </w:tcPr>
          <w:p w14:paraId="0A636E1C" w14:textId="77777777" w:rsidR="0012603D" w:rsidRPr="004E5FE9" w:rsidRDefault="0012603D" w:rsidP="009642C6">
            <w:pPr>
              <w:pStyle w:val="ExhibitText"/>
              <w:jc w:val="center"/>
              <w:rPr>
                <w:sz w:val="18"/>
                <w:szCs w:val="18"/>
                <w:lang w:val="en-GB"/>
              </w:rPr>
            </w:pPr>
            <w:r w:rsidRPr="004E5FE9">
              <w:rPr>
                <w:sz w:val="18"/>
                <w:szCs w:val="18"/>
                <w:lang w:val="en-GB"/>
              </w:rPr>
              <w:t>24</w:t>
            </w:r>
          </w:p>
        </w:tc>
        <w:tc>
          <w:tcPr>
            <w:tcW w:w="2070" w:type="dxa"/>
          </w:tcPr>
          <w:p w14:paraId="2383DEA6" w14:textId="77777777" w:rsidR="0012603D" w:rsidRPr="004E5FE9" w:rsidRDefault="0012603D" w:rsidP="009642C6">
            <w:pPr>
              <w:pStyle w:val="ExhibitText"/>
              <w:jc w:val="center"/>
              <w:rPr>
                <w:sz w:val="18"/>
                <w:szCs w:val="18"/>
                <w:lang w:val="en-GB"/>
              </w:rPr>
            </w:pPr>
            <w:r w:rsidRPr="004E5FE9">
              <w:rPr>
                <w:sz w:val="18"/>
                <w:szCs w:val="18"/>
                <w:lang w:val="en-GB"/>
              </w:rPr>
              <w:t>26</w:t>
            </w:r>
          </w:p>
        </w:tc>
        <w:tc>
          <w:tcPr>
            <w:tcW w:w="1710" w:type="dxa"/>
          </w:tcPr>
          <w:p w14:paraId="15013BCE" w14:textId="77777777" w:rsidR="0012603D" w:rsidRPr="004E5FE9" w:rsidRDefault="0012603D" w:rsidP="009642C6">
            <w:pPr>
              <w:pStyle w:val="ExhibitText"/>
              <w:jc w:val="center"/>
              <w:rPr>
                <w:sz w:val="18"/>
                <w:szCs w:val="18"/>
                <w:lang w:val="en-GB"/>
              </w:rPr>
            </w:pPr>
            <w:r w:rsidRPr="004E5FE9">
              <w:rPr>
                <w:sz w:val="18"/>
                <w:szCs w:val="18"/>
                <w:lang w:val="en-GB"/>
              </w:rPr>
              <w:t>50</w:t>
            </w:r>
          </w:p>
        </w:tc>
      </w:tr>
      <w:tr w:rsidR="0012603D" w:rsidRPr="004E5FE9" w14:paraId="17FC70F3" w14:textId="77777777" w:rsidTr="00636B3A">
        <w:trPr>
          <w:jc w:val="center"/>
        </w:trPr>
        <w:tc>
          <w:tcPr>
            <w:tcW w:w="1075" w:type="dxa"/>
          </w:tcPr>
          <w:p w14:paraId="6118BDF4" w14:textId="77777777" w:rsidR="0012603D" w:rsidRPr="004E5FE9" w:rsidRDefault="0012603D" w:rsidP="0012603D">
            <w:pPr>
              <w:pStyle w:val="ExhibitText"/>
              <w:rPr>
                <w:sz w:val="18"/>
                <w:szCs w:val="18"/>
                <w:lang w:val="en-GB"/>
              </w:rPr>
            </w:pPr>
            <w:r w:rsidRPr="004E5FE9">
              <w:rPr>
                <w:sz w:val="18"/>
                <w:szCs w:val="18"/>
                <w:lang w:val="en-GB"/>
              </w:rPr>
              <w:t>Option 3</w:t>
            </w:r>
          </w:p>
        </w:tc>
        <w:tc>
          <w:tcPr>
            <w:tcW w:w="1715" w:type="dxa"/>
          </w:tcPr>
          <w:p w14:paraId="0D3C11FC" w14:textId="77777777" w:rsidR="0012603D" w:rsidRPr="004E5FE9" w:rsidRDefault="0012603D" w:rsidP="009642C6">
            <w:pPr>
              <w:pStyle w:val="ExhibitText"/>
              <w:jc w:val="center"/>
              <w:rPr>
                <w:sz w:val="18"/>
                <w:szCs w:val="18"/>
                <w:lang w:val="en-GB"/>
              </w:rPr>
            </w:pPr>
            <w:r w:rsidRPr="004E5FE9">
              <w:rPr>
                <w:sz w:val="18"/>
                <w:szCs w:val="18"/>
                <w:lang w:val="en-GB"/>
              </w:rPr>
              <w:t>40</w:t>
            </w:r>
          </w:p>
        </w:tc>
        <w:tc>
          <w:tcPr>
            <w:tcW w:w="2070" w:type="dxa"/>
          </w:tcPr>
          <w:p w14:paraId="548AA9F1" w14:textId="77777777" w:rsidR="0012603D" w:rsidRPr="004E5FE9" w:rsidRDefault="0012603D" w:rsidP="009642C6">
            <w:pPr>
              <w:pStyle w:val="ExhibitText"/>
              <w:jc w:val="center"/>
              <w:rPr>
                <w:sz w:val="18"/>
                <w:szCs w:val="18"/>
                <w:lang w:val="en-GB"/>
              </w:rPr>
            </w:pPr>
            <w:r w:rsidRPr="004E5FE9">
              <w:rPr>
                <w:sz w:val="18"/>
                <w:szCs w:val="18"/>
                <w:lang w:val="en-GB"/>
              </w:rPr>
              <w:t>30</w:t>
            </w:r>
          </w:p>
        </w:tc>
        <w:tc>
          <w:tcPr>
            <w:tcW w:w="1710" w:type="dxa"/>
          </w:tcPr>
          <w:p w14:paraId="66A661A2" w14:textId="77777777" w:rsidR="0012603D" w:rsidRPr="004E5FE9" w:rsidRDefault="0012603D" w:rsidP="009642C6">
            <w:pPr>
              <w:pStyle w:val="ExhibitText"/>
              <w:jc w:val="center"/>
              <w:rPr>
                <w:sz w:val="18"/>
                <w:szCs w:val="18"/>
                <w:lang w:val="en-GB"/>
              </w:rPr>
            </w:pPr>
            <w:r w:rsidRPr="004E5FE9">
              <w:rPr>
                <w:sz w:val="18"/>
                <w:szCs w:val="18"/>
                <w:lang w:val="en-GB"/>
              </w:rPr>
              <w:t>30</w:t>
            </w:r>
          </w:p>
        </w:tc>
      </w:tr>
      <w:tr w:rsidR="0012603D" w:rsidRPr="004E5FE9" w14:paraId="34C3D8D3" w14:textId="77777777" w:rsidTr="00636B3A">
        <w:trPr>
          <w:jc w:val="center"/>
        </w:trPr>
        <w:tc>
          <w:tcPr>
            <w:tcW w:w="1075" w:type="dxa"/>
          </w:tcPr>
          <w:p w14:paraId="4A85DFBC" w14:textId="77777777" w:rsidR="0012603D" w:rsidRPr="004E5FE9" w:rsidRDefault="0012603D" w:rsidP="0012603D">
            <w:pPr>
              <w:pStyle w:val="ExhibitText"/>
              <w:rPr>
                <w:sz w:val="18"/>
                <w:szCs w:val="18"/>
                <w:lang w:val="en-GB"/>
              </w:rPr>
            </w:pPr>
            <w:r w:rsidRPr="004E5FE9">
              <w:rPr>
                <w:sz w:val="18"/>
                <w:szCs w:val="18"/>
                <w:lang w:val="en-GB"/>
              </w:rPr>
              <w:t>Option 4</w:t>
            </w:r>
          </w:p>
        </w:tc>
        <w:tc>
          <w:tcPr>
            <w:tcW w:w="1715" w:type="dxa"/>
          </w:tcPr>
          <w:p w14:paraId="0CE517C0" w14:textId="77777777" w:rsidR="0012603D" w:rsidRPr="004E5FE9" w:rsidRDefault="0012603D" w:rsidP="009642C6">
            <w:pPr>
              <w:pStyle w:val="ExhibitText"/>
              <w:jc w:val="center"/>
              <w:rPr>
                <w:sz w:val="18"/>
                <w:szCs w:val="18"/>
                <w:lang w:val="en-GB"/>
              </w:rPr>
            </w:pPr>
            <w:r w:rsidRPr="004E5FE9">
              <w:rPr>
                <w:sz w:val="18"/>
                <w:szCs w:val="18"/>
                <w:lang w:val="en-GB"/>
              </w:rPr>
              <w:t>26</w:t>
            </w:r>
          </w:p>
        </w:tc>
        <w:tc>
          <w:tcPr>
            <w:tcW w:w="2070" w:type="dxa"/>
          </w:tcPr>
          <w:p w14:paraId="4BCCDC2B" w14:textId="77777777" w:rsidR="0012603D" w:rsidRPr="004E5FE9" w:rsidRDefault="0012603D" w:rsidP="009642C6">
            <w:pPr>
              <w:pStyle w:val="ExhibitText"/>
              <w:jc w:val="center"/>
              <w:rPr>
                <w:sz w:val="18"/>
                <w:szCs w:val="18"/>
                <w:lang w:val="en-GB"/>
              </w:rPr>
            </w:pPr>
            <w:r w:rsidRPr="004E5FE9">
              <w:rPr>
                <w:sz w:val="18"/>
                <w:szCs w:val="18"/>
                <w:lang w:val="en-GB"/>
              </w:rPr>
              <w:t>50</w:t>
            </w:r>
          </w:p>
        </w:tc>
        <w:tc>
          <w:tcPr>
            <w:tcW w:w="1710" w:type="dxa"/>
          </w:tcPr>
          <w:p w14:paraId="0D273909" w14:textId="77777777" w:rsidR="0012603D" w:rsidRPr="004E5FE9" w:rsidRDefault="0012603D" w:rsidP="009642C6">
            <w:pPr>
              <w:pStyle w:val="ExhibitText"/>
              <w:jc w:val="center"/>
              <w:rPr>
                <w:sz w:val="18"/>
                <w:szCs w:val="18"/>
                <w:lang w:val="en-GB"/>
              </w:rPr>
            </w:pPr>
            <w:r w:rsidRPr="004E5FE9">
              <w:rPr>
                <w:sz w:val="18"/>
                <w:szCs w:val="18"/>
                <w:lang w:val="en-GB"/>
              </w:rPr>
              <w:t>24</w:t>
            </w:r>
          </w:p>
        </w:tc>
      </w:tr>
    </w:tbl>
    <w:p w14:paraId="5861E63A" w14:textId="77777777" w:rsidR="0012603D" w:rsidRPr="004E5FE9" w:rsidRDefault="0012603D" w:rsidP="0012603D">
      <w:pPr>
        <w:rPr>
          <w:lang w:val="en-GB"/>
        </w:rPr>
      </w:pPr>
    </w:p>
    <w:p w14:paraId="3ECA152A" w14:textId="34327FA0" w:rsidR="007137C0" w:rsidRPr="004E5FE9" w:rsidRDefault="0012603D" w:rsidP="0012603D">
      <w:pPr>
        <w:pStyle w:val="Footnote"/>
        <w:rPr>
          <w:lang w:val="en-GB"/>
        </w:rPr>
      </w:pPr>
      <w:r w:rsidRPr="004E5FE9">
        <w:rPr>
          <w:lang w:val="en-GB"/>
        </w:rPr>
        <w:t xml:space="preserve">Source: </w:t>
      </w:r>
      <w:r w:rsidR="00716AD0" w:rsidRPr="004E5FE9">
        <w:rPr>
          <w:lang w:val="en-GB"/>
        </w:rPr>
        <w:t>Company files.</w:t>
      </w:r>
    </w:p>
    <w:sectPr w:rsidR="007137C0" w:rsidRPr="004E5FE9" w:rsidSect="00EB5410">
      <w:headerReference w:type="default" r:id="rId14"/>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AFA139" w14:textId="77777777" w:rsidR="003607E6" w:rsidRDefault="003607E6" w:rsidP="00D75295">
      <w:r>
        <w:separator/>
      </w:r>
    </w:p>
  </w:endnote>
  <w:endnote w:type="continuationSeparator" w:id="0">
    <w:p w14:paraId="1BD7C5A7" w14:textId="77777777" w:rsidR="003607E6" w:rsidRDefault="003607E6"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IveyVHWLogos">
    <w:altName w:val="Courier New"/>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16163E" w14:textId="77777777" w:rsidR="003607E6" w:rsidRDefault="003607E6" w:rsidP="00D75295">
      <w:r>
        <w:separator/>
      </w:r>
    </w:p>
  </w:footnote>
  <w:footnote w:type="continuationSeparator" w:id="0">
    <w:p w14:paraId="2249E483" w14:textId="77777777" w:rsidR="003607E6" w:rsidRDefault="003607E6" w:rsidP="00D75295">
      <w:r>
        <w:continuationSeparator/>
      </w:r>
    </w:p>
  </w:footnote>
  <w:footnote w:id="1">
    <w:p w14:paraId="29DDF800" w14:textId="69A19DE0" w:rsidR="00A1421C" w:rsidRPr="0053710E" w:rsidRDefault="00A1421C" w:rsidP="009642C6">
      <w:pPr>
        <w:pStyle w:val="FootnoteText"/>
        <w:jc w:val="both"/>
        <w:rPr>
          <w:rFonts w:ascii="Arial" w:hAnsi="Arial" w:cs="Arial"/>
          <w:sz w:val="17"/>
          <w:szCs w:val="17"/>
        </w:rPr>
      </w:pPr>
      <w:r w:rsidRPr="009642C6">
        <w:rPr>
          <w:rFonts w:ascii="Arial" w:hAnsi="Arial" w:cs="Arial"/>
          <w:sz w:val="17"/>
          <w:szCs w:val="17"/>
          <w:vertAlign w:val="superscript"/>
        </w:rPr>
        <w:footnoteRef/>
      </w:r>
      <w:r>
        <w:rPr>
          <w:rFonts w:ascii="Arial" w:hAnsi="Arial" w:cs="Arial"/>
          <w:sz w:val="17"/>
          <w:szCs w:val="17"/>
        </w:rPr>
        <w:t xml:space="preserve"> “Profile: Groupon </w:t>
      </w:r>
      <w:proofErr w:type="spellStart"/>
      <w:r>
        <w:rPr>
          <w:rFonts w:ascii="Arial" w:hAnsi="Arial" w:cs="Arial"/>
          <w:sz w:val="17"/>
          <w:szCs w:val="17"/>
        </w:rPr>
        <w:t>Inc</w:t>
      </w:r>
      <w:proofErr w:type="spellEnd"/>
      <w:r>
        <w:rPr>
          <w:rFonts w:ascii="Arial" w:hAnsi="Arial" w:cs="Arial"/>
          <w:sz w:val="17"/>
          <w:szCs w:val="17"/>
        </w:rPr>
        <w:t xml:space="preserve"> (GRPN.O),” Reuters, </w:t>
      </w:r>
      <w:r w:rsidRPr="0053710E">
        <w:rPr>
          <w:rFonts w:ascii="Arial" w:hAnsi="Arial" w:cs="Arial"/>
          <w:sz w:val="17"/>
          <w:szCs w:val="17"/>
        </w:rPr>
        <w:t xml:space="preserve">accessed </w:t>
      </w:r>
      <w:r>
        <w:rPr>
          <w:rFonts w:ascii="Arial" w:hAnsi="Arial" w:cs="Arial"/>
          <w:sz w:val="17"/>
          <w:szCs w:val="17"/>
        </w:rPr>
        <w:t xml:space="preserve">April 26, </w:t>
      </w:r>
      <w:r w:rsidRPr="0053710E">
        <w:rPr>
          <w:rFonts w:ascii="Arial" w:hAnsi="Arial" w:cs="Arial"/>
          <w:sz w:val="17"/>
          <w:szCs w:val="17"/>
        </w:rPr>
        <w:t>2016</w:t>
      </w:r>
      <w:r>
        <w:rPr>
          <w:rFonts w:ascii="Arial" w:hAnsi="Arial" w:cs="Arial"/>
          <w:sz w:val="17"/>
          <w:szCs w:val="17"/>
        </w:rPr>
        <w:t xml:space="preserve">, </w:t>
      </w:r>
      <w:r w:rsidRPr="006D56AB">
        <w:rPr>
          <w:rFonts w:ascii="Arial" w:hAnsi="Arial" w:cs="Arial"/>
          <w:sz w:val="17"/>
          <w:szCs w:val="17"/>
        </w:rPr>
        <w:t>www.reuters.com/finance/stocks/companyProfile</w:t>
      </w:r>
      <w:r w:rsidRPr="00153FB1">
        <w:rPr>
          <w:rFonts w:ascii="Arial" w:hAnsi="Arial" w:cs="Arial"/>
          <w:sz w:val="17"/>
          <w:szCs w:val="17"/>
        </w:rPr>
        <w:t>?</w:t>
      </w:r>
      <w:r>
        <w:rPr>
          <w:rFonts w:ascii="Arial" w:hAnsi="Arial" w:cs="Arial"/>
          <w:sz w:val="17"/>
          <w:szCs w:val="17"/>
        </w:rPr>
        <w:t xml:space="preserve"> </w:t>
      </w:r>
      <w:proofErr w:type="gramStart"/>
      <w:r w:rsidRPr="00153FB1">
        <w:rPr>
          <w:rFonts w:ascii="Arial" w:hAnsi="Arial" w:cs="Arial"/>
          <w:sz w:val="17"/>
          <w:szCs w:val="17"/>
        </w:rPr>
        <w:t>symbol=</w:t>
      </w:r>
      <w:proofErr w:type="gramEnd"/>
      <w:r w:rsidRPr="00153FB1">
        <w:rPr>
          <w:rFonts w:ascii="Arial" w:hAnsi="Arial" w:cs="Arial"/>
          <w:sz w:val="17"/>
          <w:szCs w:val="17"/>
        </w:rPr>
        <w:t>GRPN.O</w:t>
      </w:r>
      <w:r>
        <w:rPr>
          <w:rFonts w:ascii="Arial" w:hAnsi="Arial" w:cs="Arial"/>
          <w:sz w:val="17"/>
          <w:szCs w:val="17"/>
        </w:rPr>
        <w:t>.</w:t>
      </w:r>
    </w:p>
  </w:footnote>
  <w:footnote w:id="2">
    <w:p w14:paraId="437FED45" w14:textId="5E230AF7" w:rsidR="00A1421C" w:rsidRPr="0053710E" w:rsidRDefault="00A1421C" w:rsidP="009642C6">
      <w:pPr>
        <w:pStyle w:val="FootnoteText"/>
        <w:jc w:val="both"/>
        <w:rPr>
          <w:rFonts w:ascii="Arial" w:hAnsi="Arial" w:cs="Arial"/>
          <w:sz w:val="17"/>
          <w:szCs w:val="17"/>
        </w:rPr>
      </w:pPr>
      <w:r w:rsidRPr="0053710E">
        <w:rPr>
          <w:rStyle w:val="FootnoteReference"/>
          <w:rFonts w:ascii="Arial" w:hAnsi="Arial" w:cs="Arial"/>
          <w:sz w:val="17"/>
          <w:szCs w:val="17"/>
        </w:rPr>
        <w:footnoteRef/>
      </w:r>
      <w:r>
        <w:rPr>
          <w:rFonts w:ascii="Arial" w:hAnsi="Arial" w:cs="Arial"/>
          <w:sz w:val="17"/>
          <w:szCs w:val="17"/>
        </w:rPr>
        <w:t xml:space="preserve"> Press Trust of India, “Groupon Acquires India’s e-Commerce Portal SoSasta.com,” </w:t>
      </w:r>
      <w:r w:rsidRPr="00396409">
        <w:rPr>
          <w:rFonts w:ascii="Arial" w:hAnsi="Arial" w:cs="Arial"/>
          <w:i/>
          <w:sz w:val="17"/>
          <w:szCs w:val="17"/>
        </w:rPr>
        <w:t>The Economic Times</w:t>
      </w:r>
      <w:r>
        <w:rPr>
          <w:rFonts w:ascii="Arial" w:hAnsi="Arial" w:cs="Arial"/>
          <w:sz w:val="17"/>
          <w:szCs w:val="17"/>
        </w:rPr>
        <w:t xml:space="preserve">, January 17, 2011, accessed April 26, 2016, </w:t>
      </w:r>
      <w:r w:rsidRPr="0053710E">
        <w:rPr>
          <w:rFonts w:ascii="Arial" w:hAnsi="Arial" w:cs="Arial"/>
          <w:sz w:val="17"/>
          <w:szCs w:val="17"/>
        </w:rPr>
        <w:t>http://articles.economictimes.indiatimes.com/2011-01-17/news/28427352_1_portal-groupon-india-undisclosed-amount</w:t>
      </w:r>
      <w:r>
        <w:rPr>
          <w:rFonts w:ascii="Arial" w:hAnsi="Arial" w:cs="Arial"/>
          <w:sz w:val="17"/>
          <w:szCs w:val="17"/>
        </w:rPr>
        <w:t>.</w:t>
      </w:r>
    </w:p>
  </w:footnote>
  <w:footnote w:id="3">
    <w:p w14:paraId="1DBE3EAB" w14:textId="602DE16B" w:rsidR="00A1421C" w:rsidRPr="0053710E" w:rsidRDefault="00A1421C" w:rsidP="00E67B15">
      <w:pPr>
        <w:pStyle w:val="Footnote"/>
      </w:pPr>
      <w:r w:rsidRPr="0053710E">
        <w:rPr>
          <w:rStyle w:val="FootnoteReference"/>
        </w:rPr>
        <w:footnoteRef/>
      </w:r>
      <w:r>
        <w:t xml:space="preserve"> Press Trust of India, “Crazeal.com Rebranded as Groupon India,” Business Standard, November 20, 2012, accessed April 26, 2016, </w:t>
      </w:r>
      <w:r w:rsidRPr="0053710E">
        <w:t>www.business-standard.com/article/companies/crazeal-com-rebranded-as-groupon-india-112112000164_1.html</w:t>
      </w:r>
      <w:r>
        <w:t>.</w:t>
      </w:r>
    </w:p>
  </w:footnote>
  <w:footnote w:id="4">
    <w:p w14:paraId="3A99D5A8" w14:textId="77777777" w:rsidR="007A3CCB" w:rsidRPr="00A51923" w:rsidRDefault="007A3CCB" w:rsidP="007A3CCB">
      <w:pPr>
        <w:pStyle w:val="Footnote"/>
      </w:pPr>
      <w:r>
        <w:rPr>
          <w:rStyle w:val="FootnoteReference"/>
        </w:rPr>
        <w:footnoteRef/>
      </w:r>
      <w:r>
        <w:t xml:space="preserve"> “Profile: Groupon </w:t>
      </w:r>
      <w:proofErr w:type="spellStart"/>
      <w:r>
        <w:t>Inc</w:t>
      </w:r>
      <w:proofErr w:type="spellEnd"/>
      <w:r>
        <w:t xml:space="preserve"> (GRPN.O),” op. cit.</w:t>
      </w:r>
    </w:p>
  </w:footnote>
  <w:footnote w:id="5">
    <w:p w14:paraId="267B5A6E" w14:textId="646BF881" w:rsidR="00A1421C" w:rsidRPr="007A3CCB" w:rsidRDefault="00A1421C" w:rsidP="007A3CCB">
      <w:pPr>
        <w:pStyle w:val="Footnote"/>
      </w:pPr>
      <w:r w:rsidRPr="007A3CCB">
        <w:rPr>
          <w:rStyle w:val="FootnoteReference"/>
        </w:rPr>
        <w:footnoteRef/>
      </w:r>
      <w:r w:rsidRPr="007A3CCB">
        <w:rPr>
          <w:vertAlign w:val="superscript"/>
        </w:rPr>
        <w:t xml:space="preserve"> </w:t>
      </w:r>
      <w:r w:rsidR="007A3CCB" w:rsidRPr="007A3CCB">
        <w:rPr>
          <w:rFonts w:eastAsiaTheme="minorEastAsia"/>
        </w:rPr>
        <w:t>₹ = INR = Indian rupee; all currency amounts are in ₹ unless otherwise specified</w:t>
      </w:r>
      <w:r w:rsidRPr="007A3CCB">
        <w:t>; ₹</w:t>
      </w:r>
      <w:r w:rsidR="007A3CCB">
        <w:t>1 = US$0.016</w:t>
      </w:r>
      <w:r w:rsidRPr="007A3CCB">
        <w:t xml:space="preserve"> on January 31, 2015.</w:t>
      </w:r>
    </w:p>
  </w:footnote>
  <w:footnote w:id="6">
    <w:p w14:paraId="7022EEB7" w14:textId="50B95D6C" w:rsidR="00A1421C" w:rsidRPr="006739E6" w:rsidRDefault="00A1421C" w:rsidP="00E67B15">
      <w:pPr>
        <w:pStyle w:val="Footnote"/>
      </w:pPr>
      <w:r>
        <w:rPr>
          <w:rStyle w:val="FootnoteReference"/>
        </w:rPr>
        <w:footnoteRef/>
      </w:r>
      <w:r>
        <w:t xml:space="preserve"> “First Quarter 2014,” Groupon</w:t>
      </w:r>
      <w:r w:rsidR="00B23162">
        <w:t xml:space="preserve"> Inc.</w:t>
      </w:r>
      <w:r>
        <w:t xml:space="preserve">, accessed May 4, 2016, </w:t>
      </w:r>
      <w:r w:rsidRPr="00E67B15">
        <w:t>http://investor.groupon.com/results.cfm</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93DF8" w14:textId="386602FD" w:rsidR="00A1421C" w:rsidRDefault="00A1421C"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23162">
      <w:rPr>
        <w:rFonts w:ascii="Arial" w:hAnsi="Arial"/>
        <w:b/>
        <w:noProof/>
      </w:rPr>
      <w:t>2</w:t>
    </w:r>
    <w:r>
      <w:rPr>
        <w:rFonts w:ascii="Arial" w:hAnsi="Arial"/>
        <w:b/>
      </w:rPr>
      <w:fldChar w:fldCharType="end"/>
    </w:r>
    <w:r>
      <w:rPr>
        <w:rFonts w:ascii="Arial" w:hAnsi="Arial"/>
        <w:b/>
      </w:rPr>
      <w:tab/>
    </w:r>
    <w:r w:rsidR="002A741E">
      <w:rPr>
        <w:rFonts w:ascii="Arial" w:hAnsi="Arial"/>
        <w:b/>
      </w:rPr>
      <w:t>9B17N019</w:t>
    </w:r>
  </w:p>
  <w:p w14:paraId="0A5B5699" w14:textId="77777777" w:rsidR="00A1421C" w:rsidRPr="00C92CC4" w:rsidRDefault="00A1421C">
    <w:pPr>
      <w:pStyle w:val="Header"/>
      <w:rPr>
        <w:sz w:val="18"/>
        <w:szCs w:val="18"/>
      </w:rPr>
    </w:pPr>
  </w:p>
  <w:p w14:paraId="6D15D6AA" w14:textId="77777777" w:rsidR="00A1421C" w:rsidRPr="00C92CC4" w:rsidRDefault="00A1421C">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8E2E05"/>
    <w:multiLevelType w:val="hybridMultilevel"/>
    <w:tmpl w:val="C826D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9"/>
  </w:num>
  <w:num w:numId="13">
    <w:abstractNumId w:val="12"/>
  </w:num>
  <w:num w:numId="14">
    <w:abstractNumId w:val="20"/>
  </w:num>
  <w:num w:numId="15">
    <w:abstractNumId w:val="21"/>
  </w:num>
  <w:num w:numId="16">
    <w:abstractNumId w:val="22"/>
  </w:num>
  <w:num w:numId="17">
    <w:abstractNumId w:val="15"/>
  </w:num>
  <w:num w:numId="18">
    <w:abstractNumId w:val="23"/>
  </w:num>
  <w:num w:numId="19">
    <w:abstractNumId w:val="11"/>
  </w:num>
  <w:num w:numId="20">
    <w:abstractNumId w:val="10"/>
  </w:num>
  <w:num w:numId="21">
    <w:abstractNumId w:val="24"/>
  </w:num>
  <w:num w:numId="22">
    <w:abstractNumId w:val="18"/>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7"/>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4A79"/>
    <w:rsid w:val="00025DC7"/>
    <w:rsid w:val="00026486"/>
    <w:rsid w:val="00026E9E"/>
    <w:rsid w:val="00030DC5"/>
    <w:rsid w:val="00031870"/>
    <w:rsid w:val="00044ECC"/>
    <w:rsid w:val="000531D3"/>
    <w:rsid w:val="0005646B"/>
    <w:rsid w:val="00074CC3"/>
    <w:rsid w:val="0008102D"/>
    <w:rsid w:val="00094C0E"/>
    <w:rsid w:val="000F0C22"/>
    <w:rsid w:val="000F6B09"/>
    <w:rsid w:val="000F6FDC"/>
    <w:rsid w:val="00104567"/>
    <w:rsid w:val="001135BC"/>
    <w:rsid w:val="0012603D"/>
    <w:rsid w:val="0012732D"/>
    <w:rsid w:val="00150736"/>
    <w:rsid w:val="00153FB1"/>
    <w:rsid w:val="00154FC9"/>
    <w:rsid w:val="001879C6"/>
    <w:rsid w:val="0019241A"/>
    <w:rsid w:val="001A5335"/>
    <w:rsid w:val="001A752D"/>
    <w:rsid w:val="00203AA1"/>
    <w:rsid w:val="00213E98"/>
    <w:rsid w:val="00214362"/>
    <w:rsid w:val="00224C44"/>
    <w:rsid w:val="00231E8E"/>
    <w:rsid w:val="002859FE"/>
    <w:rsid w:val="002A741E"/>
    <w:rsid w:val="002E32F0"/>
    <w:rsid w:val="002F460C"/>
    <w:rsid w:val="002F48D6"/>
    <w:rsid w:val="00343565"/>
    <w:rsid w:val="00354899"/>
    <w:rsid w:val="00355FD6"/>
    <w:rsid w:val="003607E6"/>
    <w:rsid w:val="00360890"/>
    <w:rsid w:val="00361C8E"/>
    <w:rsid w:val="00364A5C"/>
    <w:rsid w:val="00373FB1"/>
    <w:rsid w:val="0037750B"/>
    <w:rsid w:val="00396409"/>
    <w:rsid w:val="003B30D8"/>
    <w:rsid w:val="003B6C2B"/>
    <w:rsid w:val="003B7EF2"/>
    <w:rsid w:val="003C2321"/>
    <w:rsid w:val="003C3FA4"/>
    <w:rsid w:val="003E53A8"/>
    <w:rsid w:val="003F2B0C"/>
    <w:rsid w:val="004221E4"/>
    <w:rsid w:val="0043057A"/>
    <w:rsid w:val="00471088"/>
    <w:rsid w:val="004835CE"/>
    <w:rsid w:val="00483AF9"/>
    <w:rsid w:val="004A74FC"/>
    <w:rsid w:val="004B1CCB"/>
    <w:rsid w:val="004C4863"/>
    <w:rsid w:val="004D42AC"/>
    <w:rsid w:val="004D73A5"/>
    <w:rsid w:val="004E5FE9"/>
    <w:rsid w:val="004F068D"/>
    <w:rsid w:val="00502DEB"/>
    <w:rsid w:val="00532CF5"/>
    <w:rsid w:val="005528CB"/>
    <w:rsid w:val="00560F30"/>
    <w:rsid w:val="00566771"/>
    <w:rsid w:val="005705A0"/>
    <w:rsid w:val="00581E2E"/>
    <w:rsid w:val="00584F15"/>
    <w:rsid w:val="005B38B0"/>
    <w:rsid w:val="005E211C"/>
    <w:rsid w:val="005F06E7"/>
    <w:rsid w:val="006163F7"/>
    <w:rsid w:val="006253D2"/>
    <w:rsid w:val="006364C5"/>
    <w:rsid w:val="00636B3A"/>
    <w:rsid w:val="00643A79"/>
    <w:rsid w:val="00644074"/>
    <w:rsid w:val="00652606"/>
    <w:rsid w:val="00657949"/>
    <w:rsid w:val="00677D99"/>
    <w:rsid w:val="00682754"/>
    <w:rsid w:val="00697BA2"/>
    <w:rsid w:val="006A58A9"/>
    <w:rsid w:val="006A606D"/>
    <w:rsid w:val="006B7F7A"/>
    <w:rsid w:val="006C0371"/>
    <w:rsid w:val="006C08B6"/>
    <w:rsid w:val="006C0B1A"/>
    <w:rsid w:val="006C4384"/>
    <w:rsid w:val="006C6065"/>
    <w:rsid w:val="006C7F9F"/>
    <w:rsid w:val="006D56AB"/>
    <w:rsid w:val="006E2F6D"/>
    <w:rsid w:val="006E58F6"/>
    <w:rsid w:val="006E77E1"/>
    <w:rsid w:val="006F131D"/>
    <w:rsid w:val="007137C0"/>
    <w:rsid w:val="00716AD0"/>
    <w:rsid w:val="0074709E"/>
    <w:rsid w:val="00752BCD"/>
    <w:rsid w:val="00766DA1"/>
    <w:rsid w:val="007866A6"/>
    <w:rsid w:val="00792263"/>
    <w:rsid w:val="007A130D"/>
    <w:rsid w:val="007A3CCB"/>
    <w:rsid w:val="007D235F"/>
    <w:rsid w:val="007D4102"/>
    <w:rsid w:val="007D47F5"/>
    <w:rsid w:val="007D5610"/>
    <w:rsid w:val="007D6FD1"/>
    <w:rsid w:val="007E5921"/>
    <w:rsid w:val="007F51FC"/>
    <w:rsid w:val="0082014A"/>
    <w:rsid w:val="00821FFC"/>
    <w:rsid w:val="008271CA"/>
    <w:rsid w:val="008316F6"/>
    <w:rsid w:val="00836141"/>
    <w:rsid w:val="008467D5"/>
    <w:rsid w:val="00856191"/>
    <w:rsid w:val="00856D9F"/>
    <w:rsid w:val="008575B3"/>
    <w:rsid w:val="00866F6D"/>
    <w:rsid w:val="00880745"/>
    <w:rsid w:val="008A4DC4"/>
    <w:rsid w:val="008B13D4"/>
    <w:rsid w:val="009067A4"/>
    <w:rsid w:val="0090722E"/>
    <w:rsid w:val="00911750"/>
    <w:rsid w:val="00924742"/>
    <w:rsid w:val="009340DB"/>
    <w:rsid w:val="00947764"/>
    <w:rsid w:val="009642C6"/>
    <w:rsid w:val="00972498"/>
    <w:rsid w:val="00974CC6"/>
    <w:rsid w:val="00976AD4"/>
    <w:rsid w:val="009A1299"/>
    <w:rsid w:val="009A312F"/>
    <w:rsid w:val="009A5348"/>
    <w:rsid w:val="009A67BB"/>
    <w:rsid w:val="009C76D5"/>
    <w:rsid w:val="009F7AA4"/>
    <w:rsid w:val="00A04308"/>
    <w:rsid w:val="00A1421C"/>
    <w:rsid w:val="00A26BD1"/>
    <w:rsid w:val="00A46588"/>
    <w:rsid w:val="00A559DB"/>
    <w:rsid w:val="00A84ACA"/>
    <w:rsid w:val="00AC6CF8"/>
    <w:rsid w:val="00AD414C"/>
    <w:rsid w:val="00AF35FC"/>
    <w:rsid w:val="00B03639"/>
    <w:rsid w:val="00B0652A"/>
    <w:rsid w:val="00B23162"/>
    <w:rsid w:val="00B3757D"/>
    <w:rsid w:val="00B40937"/>
    <w:rsid w:val="00B423EF"/>
    <w:rsid w:val="00B453DE"/>
    <w:rsid w:val="00B4742F"/>
    <w:rsid w:val="00B54CC6"/>
    <w:rsid w:val="00B6110F"/>
    <w:rsid w:val="00B7545A"/>
    <w:rsid w:val="00B901F9"/>
    <w:rsid w:val="00B90CBE"/>
    <w:rsid w:val="00BD618F"/>
    <w:rsid w:val="00BD6EFB"/>
    <w:rsid w:val="00C023FB"/>
    <w:rsid w:val="00C15BE2"/>
    <w:rsid w:val="00C22219"/>
    <w:rsid w:val="00C3447F"/>
    <w:rsid w:val="00C3583A"/>
    <w:rsid w:val="00C36649"/>
    <w:rsid w:val="00C81491"/>
    <w:rsid w:val="00C81676"/>
    <w:rsid w:val="00C92CC4"/>
    <w:rsid w:val="00CA0AFB"/>
    <w:rsid w:val="00CA2CE1"/>
    <w:rsid w:val="00CA3976"/>
    <w:rsid w:val="00CA757B"/>
    <w:rsid w:val="00CC1787"/>
    <w:rsid w:val="00CC182C"/>
    <w:rsid w:val="00CD0824"/>
    <w:rsid w:val="00CD2908"/>
    <w:rsid w:val="00CD570C"/>
    <w:rsid w:val="00CF2B9B"/>
    <w:rsid w:val="00D03A82"/>
    <w:rsid w:val="00D15344"/>
    <w:rsid w:val="00D31BEC"/>
    <w:rsid w:val="00D63150"/>
    <w:rsid w:val="00D64A32"/>
    <w:rsid w:val="00D64EFC"/>
    <w:rsid w:val="00D75295"/>
    <w:rsid w:val="00D76CE9"/>
    <w:rsid w:val="00D97F12"/>
    <w:rsid w:val="00DB2CE1"/>
    <w:rsid w:val="00DB42E7"/>
    <w:rsid w:val="00DE27DB"/>
    <w:rsid w:val="00DF32C2"/>
    <w:rsid w:val="00E04845"/>
    <w:rsid w:val="00E471A7"/>
    <w:rsid w:val="00E635CF"/>
    <w:rsid w:val="00E67B15"/>
    <w:rsid w:val="00E75B6E"/>
    <w:rsid w:val="00EB5410"/>
    <w:rsid w:val="00EC6E0A"/>
    <w:rsid w:val="00ED4E18"/>
    <w:rsid w:val="00EE1F37"/>
    <w:rsid w:val="00EE2A4D"/>
    <w:rsid w:val="00EF6665"/>
    <w:rsid w:val="00F0159C"/>
    <w:rsid w:val="00F01B86"/>
    <w:rsid w:val="00F07D4B"/>
    <w:rsid w:val="00F105B7"/>
    <w:rsid w:val="00F1375E"/>
    <w:rsid w:val="00F17A21"/>
    <w:rsid w:val="00F50E91"/>
    <w:rsid w:val="00F57D29"/>
    <w:rsid w:val="00F71366"/>
    <w:rsid w:val="00F76DCC"/>
    <w:rsid w:val="00F8584D"/>
    <w:rsid w:val="00F92A99"/>
    <w:rsid w:val="00F96201"/>
    <w:rsid w:val="00FB01B9"/>
    <w:rsid w:val="00FB4FAA"/>
    <w:rsid w:val="00FC30E9"/>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767BEAD"/>
  <w15:docId w15:val="{2F8A1BF8-C44B-4ABE-AFCD-742BAFD26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643A79"/>
    <w:pPr>
      <w:keepNext/>
      <w:jc w:val="center"/>
      <w:outlineLvl w:val="0"/>
    </w:pPr>
    <w:rPr>
      <w:rFonts w:ascii="Arial Narrow" w:hAnsi="Arial Narrow"/>
      <w:b/>
      <w:sz w:val="22"/>
    </w:rPr>
  </w:style>
  <w:style w:type="paragraph" w:styleId="Heading2">
    <w:name w:val="heading 2"/>
    <w:basedOn w:val="Normal"/>
    <w:next w:val="Normal"/>
    <w:link w:val="Heading2Char"/>
    <w:qFormat/>
    <w:rsid w:val="00643A79"/>
    <w:pPr>
      <w:keepNext/>
      <w:jc w:val="center"/>
      <w:outlineLvl w:val="1"/>
    </w:pPr>
    <w:rPr>
      <w:rFonts w:ascii="Arial Narrow" w:hAnsi="Arial Narrow"/>
      <w:b/>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styleId="BodyTextIndent2">
    <w:name w:val="Body Text Indent 2"/>
    <w:basedOn w:val="Normal"/>
    <w:link w:val="BodyTextIndent2Char"/>
    <w:uiPriority w:val="99"/>
    <w:semiHidden/>
    <w:unhideWhenUsed/>
    <w:rsid w:val="00643A79"/>
    <w:pPr>
      <w:spacing w:after="120" w:line="480" w:lineRule="auto"/>
      <w:ind w:left="360"/>
    </w:pPr>
  </w:style>
  <w:style w:type="character" w:customStyle="1" w:styleId="BodyTextIndent2Char">
    <w:name w:val="Body Text Indent 2 Char"/>
    <w:basedOn w:val="DefaultParagraphFont"/>
    <w:link w:val="BodyTextIndent2"/>
    <w:uiPriority w:val="99"/>
    <w:semiHidden/>
    <w:rsid w:val="00643A79"/>
    <w:rPr>
      <w:rFonts w:ascii="Times New Roman" w:eastAsia="Times New Roman" w:hAnsi="Times New Roman" w:cs="Times New Roman"/>
      <w:sz w:val="20"/>
      <w:szCs w:val="20"/>
    </w:rPr>
  </w:style>
  <w:style w:type="paragraph" w:styleId="BodyTextIndent">
    <w:name w:val="Body Text Indent"/>
    <w:basedOn w:val="Normal"/>
    <w:link w:val="BodyTextIndentChar"/>
    <w:uiPriority w:val="99"/>
    <w:semiHidden/>
    <w:unhideWhenUsed/>
    <w:rsid w:val="00643A79"/>
    <w:pPr>
      <w:spacing w:after="120"/>
      <w:ind w:left="360"/>
    </w:pPr>
  </w:style>
  <w:style w:type="character" w:customStyle="1" w:styleId="BodyTextIndentChar">
    <w:name w:val="Body Text Indent Char"/>
    <w:basedOn w:val="DefaultParagraphFont"/>
    <w:link w:val="BodyTextIndent"/>
    <w:uiPriority w:val="99"/>
    <w:semiHidden/>
    <w:rsid w:val="00643A79"/>
    <w:rPr>
      <w:rFonts w:ascii="Times New Roman" w:eastAsia="Times New Roman" w:hAnsi="Times New Roman" w:cs="Times New Roman"/>
      <w:sz w:val="20"/>
      <w:szCs w:val="20"/>
    </w:rPr>
  </w:style>
  <w:style w:type="character" w:customStyle="1" w:styleId="Heading1Char">
    <w:name w:val="Heading 1 Char"/>
    <w:basedOn w:val="DefaultParagraphFont"/>
    <w:link w:val="Heading1"/>
    <w:rsid w:val="00643A79"/>
    <w:rPr>
      <w:rFonts w:ascii="Arial Narrow" w:eastAsia="Times New Roman" w:hAnsi="Arial Narrow" w:cs="Times New Roman"/>
      <w:b/>
      <w:szCs w:val="20"/>
    </w:rPr>
  </w:style>
  <w:style w:type="character" w:customStyle="1" w:styleId="Heading2Char">
    <w:name w:val="Heading 2 Char"/>
    <w:basedOn w:val="DefaultParagraphFont"/>
    <w:link w:val="Heading2"/>
    <w:rsid w:val="00643A79"/>
    <w:rPr>
      <w:rFonts w:ascii="Arial Narrow" w:eastAsia="Times New Roman" w:hAnsi="Arial Narrow" w:cs="Times New Roman"/>
      <w:b/>
      <w:sz w:val="36"/>
      <w:szCs w:val="20"/>
    </w:rPr>
  </w:style>
  <w:style w:type="table" w:customStyle="1" w:styleId="TableGrid1">
    <w:name w:val="Table Grid1"/>
    <w:basedOn w:val="TableNormal"/>
    <w:next w:val="TableGrid"/>
    <w:uiPriority w:val="59"/>
    <w:rsid w:val="00947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64699-6F67-497F-AEB5-1D19D586D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3010</Words>
  <Characters>17158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20128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4</cp:revision>
  <cp:lastPrinted>2017-09-14T18:42:00Z</cp:lastPrinted>
  <dcterms:created xsi:type="dcterms:W3CDTF">2017-09-14T18:42:00Z</dcterms:created>
  <dcterms:modified xsi:type="dcterms:W3CDTF">2017-09-22T16:18:00Z</dcterms:modified>
</cp:coreProperties>
</file>