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91C47" w14:textId="5B218DBA" w:rsidR="000E4C3B" w:rsidRPr="00216DF1" w:rsidRDefault="000D5774" w:rsidP="000E4C3B">
      <w:pPr>
        <w:tabs>
          <w:tab w:val="left" w:pos="-1440"/>
          <w:tab w:val="left" w:pos="-720"/>
          <w:tab w:val="left" w:pos="1"/>
          <w:tab w:val="right" w:pos="9360"/>
        </w:tabs>
        <w:jc w:val="both"/>
        <w:rPr>
          <w:rFonts w:ascii="Arial" w:hAnsi="Arial"/>
          <w:b/>
        </w:rPr>
      </w:pPr>
      <w:r w:rsidRPr="000D5774">
        <w:rPr>
          <w:rFonts w:ascii="Arial" w:hAnsi="Arial"/>
          <w:b/>
          <w:noProof/>
          <w:sz w:val="24"/>
          <w:lang w:val="en-US"/>
        </w:rPr>
        <w:drawing>
          <wp:inline distT="0" distB="0" distL="0" distR="0" wp14:anchorId="3146F7E1" wp14:editId="0AA04E6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ADEAAFB" w14:textId="77777777" w:rsidR="000E4C3B" w:rsidRPr="00216DF1" w:rsidRDefault="000E4C3B" w:rsidP="000E4C3B">
      <w:pPr>
        <w:pBdr>
          <w:bottom w:val="single" w:sz="18" w:space="1" w:color="auto"/>
        </w:pBdr>
        <w:tabs>
          <w:tab w:val="left" w:pos="-1440"/>
          <w:tab w:val="left" w:pos="-720"/>
          <w:tab w:val="left" w:pos="1"/>
        </w:tabs>
        <w:jc w:val="both"/>
        <w:rPr>
          <w:rFonts w:ascii="Arial" w:hAnsi="Arial"/>
          <w:b/>
        </w:rPr>
      </w:pPr>
    </w:p>
    <w:p w14:paraId="5B523B32" w14:textId="01C265FB" w:rsidR="000E4C3B" w:rsidRPr="00517CBD" w:rsidRDefault="00890DFA" w:rsidP="000E4C3B">
      <w:pPr>
        <w:pStyle w:val="ProductNumber"/>
        <w:outlineLvl w:val="0"/>
        <w:rPr>
          <w:szCs w:val="24"/>
        </w:rPr>
      </w:pPr>
      <w:r w:rsidRPr="00517CBD">
        <w:rPr>
          <w:szCs w:val="24"/>
        </w:rPr>
        <w:t>9B17N021</w:t>
      </w:r>
    </w:p>
    <w:p w14:paraId="580D1084" w14:textId="77777777" w:rsidR="009B3846" w:rsidRPr="00216DF1" w:rsidRDefault="009B3846" w:rsidP="000E4C3B">
      <w:pPr>
        <w:jc w:val="right"/>
        <w:rPr>
          <w:rFonts w:ascii="Arial" w:hAnsi="Arial"/>
          <w:b/>
          <w:sz w:val="28"/>
          <w:szCs w:val="28"/>
        </w:rPr>
      </w:pPr>
    </w:p>
    <w:p w14:paraId="4720E788" w14:textId="77777777" w:rsidR="003754B7" w:rsidRPr="00216DF1" w:rsidRDefault="003754B7" w:rsidP="000E4C3B">
      <w:pPr>
        <w:jc w:val="right"/>
        <w:rPr>
          <w:rFonts w:ascii="Arial" w:hAnsi="Arial"/>
          <w:b/>
          <w:sz w:val="28"/>
          <w:szCs w:val="28"/>
        </w:rPr>
      </w:pPr>
    </w:p>
    <w:p w14:paraId="02EC1EC0" w14:textId="64B540A6" w:rsidR="000E4C3B" w:rsidRPr="00216DF1" w:rsidRDefault="005424B9" w:rsidP="000E4C3B">
      <w:pPr>
        <w:pStyle w:val="CaseTitle"/>
        <w:spacing w:after="0" w:line="240" w:lineRule="auto"/>
        <w:outlineLvl w:val="0"/>
      </w:pPr>
      <w:r w:rsidRPr="00216DF1">
        <w:t>Square, inc</w:t>
      </w:r>
      <w:r w:rsidR="00EA070D" w:rsidRPr="00216DF1">
        <w:t>.</w:t>
      </w:r>
      <w:r w:rsidR="00BE0F19" w:rsidRPr="00216DF1">
        <w:t>: Financing a unicorn</w:t>
      </w:r>
      <w:r w:rsidR="000E4C3B" w:rsidRPr="00216DF1">
        <w:rPr>
          <w:rStyle w:val="EndnoteReference"/>
        </w:rPr>
        <w:endnoteReference w:id="1"/>
      </w:r>
    </w:p>
    <w:p w14:paraId="37646C0A" w14:textId="77777777" w:rsidR="000E4C3B" w:rsidRPr="00216DF1" w:rsidRDefault="000E4C3B" w:rsidP="003754B7">
      <w:pPr>
        <w:pStyle w:val="BodyTextMain"/>
      </w:pPr>
    </w:p>
    <w:p w14:paraId="48E36E58" w14:textId="77777777" w:rsidR="009B3846" w:rsidRPr="00216DF1" w:rsidRDefault="009B3846" w:rsidP="003754B7">
      <w:pPr>
        <w:pStyle w:val="BodyTextMain"/>
        <w:rPr>
          <w:sz w:val="16"/>
          <w:szCs w:val="16"/>
        </w:rPr>
      </w:pPr>
    </w:p>
    <w:p w14:paraId="545F202D" w14:textId="77777777" w:rsidR="003754B7" w:rsidRPr="00216DF1" w:rsidRDefault="003754B7" w:rsidP="003754B7">
      <w:pPr>
        <w:pStyle w:val="BodyTextMain"/>
        <w:rPr>
          <w:sz w:val="16"/>
          <w:szCs w:val="16"/>
        </w:rPr>
      </w:pPr>
    </w:p>
    <w:p w14:paraId="41C272B4" w14:textId="77777777" w:rsidR="000E4C3B" w:rsidRPr="00216DF1" w:rsidRDefault="000E4C3B" w:rsidP="000E4C3B">
      <w:pPr>
        <w:pStyle w:val="StyleCopyrightStatementAfter0ptBottomSinglesolidline1"/>
      </w:pPr>
      <w:r w:rsidRPr="00216DF1">
        <w:t>Mark Simonson 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5BB73B94" w14:textId="77777777" w:rsidR="000E4C3B" w:rsidRPr="00216DF1" w:rsidRDefault="000E4C3B" w:rsidP="000D5774">
      <w:pPr>
        <w:pStyle w:val="Footnote"/>
      </w:pPr>
    </w:p>
    <w:p w14:paraId="2A052BDC" w14:textId="77777777" w:rsidR="000D5774" w:rsidRDefault="000D5774" w:rsidP="0047457D">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370557D" w14:textId="77777777" w:rsidR="000D5774" w:rsidRPr="00FF031E" w:rsidRDefault="000D5774" w:rsidP="0047457D">
      <w:pPr>
        <w:pStyle w:val="StyleCopyrightStatementAfter0ptBottomSinglesolidline1"/>
        <w:pBdr>
          <w:top w:val="none" w:sz="0" w:space="0" w:color="auto"/>
        </w:pBdr>
      </w:pPr>
    </w:p>
    <w:p w14:paraId="3BA9A14B" w14:textId="3E9AA640" w:rsidR="000E4C3B" w:rsidRPr="00FF031E" w:rsidRDefault="000D5774" w:rsidP="000D5774">
      <w:pPr>
        <w:pStyle w:val="Footnote"/>
        <w:rPr>
          <w:i/>
        </w:rPr>
      </w:pPr>
      <w:r w:rsidRPr="00FF031E">
        <w:rPr>
          <w:i/>
        </w:rPr>
        <w:t>Copyright © 2017, Richard Ivey School of Business Foundation</w:t>
      </w:r>
      <w:r w:rsidRPr="00FF031E">
        <w:rPr>
          <w:i/>
        </w:rPr>
        <w:tab/>
      </w:r>
      <w:r w:rsidRPr="00FF031E">
        <w:rPr>
          <w:i/>
        </w:rPr>
        <w:tab/>
      </w:r>
      <w:r w:rsidRPr="00FF031E">
        <w:rPr>
          <w:i/>
        </w:rPr>
        <w:tab/>
        <w:t xml:space="preserve">                           </w:t>
      </w:r>
      <w:r w:rsidR="000E4C3B" w:rsidRPr="00FF031E">
        <w:rPr>
          <w:i/>
        </w:rPr>
        <w:t xml:space="preserve">Version: </w:t>
      </w:r>
      <w:r w:rsidR="00CB27AF">
        <w:rPr>
          <w:i/>
        </w:rPr>
        <w:t>2017-10-05</w:t>
      </w:r>
      <w:bookmarkStart w:id="0" w:name="_GoBack"/>
      <w:bookmarkEnd w:id="0"/>
    </w:p>
    <w:p w14:paraId="759D86E5" w14:textId="77777777" w:rsidR="000E4C3B" w:rsidRPr="00CC23F2" w:rsidRDefault="000E4C3B" w:rsidP="000E4C3B">
      <w:pPr>
        <w:pStyle w:val="StyleCopyrightStatementAfter0ptBottomSinglesolidline1"/>
        <w:rPr>
          <w:rFonts w:ascii="Times New Roman" w:hAnsi="Times New Roman"/>
          <w:sz w:val="22"/>
          <w:szCs w:val="22"/>
        </w:rPr>
      </w:pPr>
    </w:p>
    <w:p w14:paraId="0B647B4B" w14:textId="77777777" w:rsidR="000D5774" w:rsidRPr="00CC23F2" w:rsidRDefault="000D5774" w:rsidP="000E4C3B">
      <w:pPr>
        <w:pStyle w:val="StyleCopyrightStatementAfter0ptBottomSinglesolidline1"/>
        <w:rPr>
          <w:rFonts w:ascii="Times New Roman" w:hAnsi="Times New Roman"/>
          <w:sz w:val="22"/>
          <w:szCs w:val="22"/>
        </w:rPr>
      </w:pPr>
    </w:p>
    <w:p w14:paraId="370BDA06" w14:textId="2085DF4B" w:rsidR="000E4C3B" w:rsidRPr="00216DF1" w:rsidRDefault="00C4693F" w:rsidP="003754B7">
      <w:pPr>
        <w:pStyle w:val="BodyTextMain"/>
      </w:pPr>
      <w:r w:rsidRPr="00216DF1">
        <w:t xml:space="preserve">By </w:t>
      </w:r>
      <w:r w:rsidR="00F44025" w:rsidRPr="00216DF1">
        <w:t>September</w:t>
      </w:r>
      <w:r w:rsidR="0014532C" w:rsidRPr="00216DF1">
        <w:t xml:space="preserve"> </w:t>
      </w:r>
      <w:r w:rsidRPr="00216DF1">
        <w:t>2014</w:t>
      </w:r>
      <w:r w:rsidR="00846643" w:rsidRPr="00216DF1">
        <w:t>, Square</w:t>
      </w:r>
      <w:r w:rsidR="00BC5A7C" w:rsidRPr="00216DF1">
        <w:t>,</w:t>
      </w:r>
      <w:r w:rsidR="00846643" w:rsidRPr="00216DF1">
        <w:t xml:space="preserve"> Inc.</w:t>
      </w:r>
      <w:r w:rsidR="00BC5045" w:rsidRPr="00216DF1">
        <w:t xml:space="preserve"> (Square)</w:t>
      </w:r>
      <w:r w:rsidR="00846643" w:rsidRPr="00216DF1">
        <w:t>,</w:t>
      </w:r>
      <w:r w:rsidR="00326B8A" w:rsidRPr="00216DF1">
        <w:t xml:space="preserve"> the </w:t>
      </w:r>
      <w:r w:rsidR="0005373B" w:rsidRPr="00216DF1">
        <w:t>mobile payment</w:t>
      </w:r>
      <w:r w:rsidR="00CD2E4C" w:rsidRPr="00216DF1">
        <w:t xml:space="preserve"> </w:t>
      </w:r>
      <w:r w:rsidR="00326B8A" w:rsidRPr="00216DF1">
        <w:t xml:space="preserve">company </w:t>
      </w:r>
      <w:r w:rsidR="00DD24F9" w:rsidRPr="00216DF1">
        <w:t>co-</w:t>
      </w:r>
      <w:r w:rsidR="00E92875" w:rsidRPr="00216DF1">
        <w:t xml:space="preserve">founded by </w:t>
      </w:r>
      <w:r w:rsidR="00846643" w:rsidRPr="00216DF1">
        <w:t>Twitter</w:t>
      </w:r>
      <w:r w:rsidR="00517CBD">
        <w:t xml:space="preserve"> Inc. (Twitter)</w:t>
      </w:r>
      <w:r w:rsidR="00846643" w:rsidRPr="00216DF1">
        <w:t xml:space="preserve"> co-founder </w:t>
      </w:r>
      <w:r w:rsidR="00D66813" w:rsidRPr="00216DF1">
        <w:t xml:space="preserve">Jack Dorsey </w:t>
      </w:r>
      <w:r w:rsidR="00C42949" w:rsidRPr="00216DF1">
        <w:t>in 2009</w:t>
      </w:r>
      <w:r w:rsidR="00846643" w:rsidRPr="00216DF1">
        <w:t>,</w:t>
      </w:r>
      <w:r w:rsidR="000F0A56" w:rsidRPr="00216DF1">
        <w:t xml:space="preserve"> had raised </w:t>
      </w:r>
      <w:r w:rsidR="00CC23F2">
        <w:t>US</w:t>
      </w:r>
      <w:r w:rsidR="00846643" w:rsidRPr="00216DF1">
        <w:t>$371 million</w:t>
      </w:r>
      <w:r w:rsidR="007D57CB" w:rsidRPr="00216DF1">
        <w:rPr>
          <w:rStyle w:val="EndnoteReference"/>
        </w:rPr>
        <w:endnoteReference w:id="2"/>
      </w:r>
      <w:r w:rsidR="00846643" w:rsidRPr="00216DF1">
        <w:t xml:space="preserve"> over five rounds of venture </w:t>
      </w:r>
      <w:r w:rsidR="00BC5045" w:rsidRPr="00216DF1">
        <w:t xml:space="preserve">capital </w:t>
      </w:r>
      <w:r w:rsidR="004A1E3E" w:rsidRPr="00216DF1">
        <w:t xml:space="preserve">financing </w:t>
      </w:r>
      <w:r w:rsidR="00846643" w:rsidRPr="00216DF1">
        <w:t>(see Exhibit 1)</w:t>
      </w:r>
      <w:r w:rsidR="00415E14" w:rsidRPr="00216DF1">
        <w:t xml:space="preserve">. </w:t>
      </w:r>
      <w:r w:rsidR="00B16980" w:rsidRPr="00216DF1">
        <w:t>It had been nearly five years since the first</w:t>
      </w:r>
      <w:r w:rsidR="00B472CF">
        <w:t>,</w:t>
      </w:r>
      <w:r w:rsidR="00B16980" w:rsidRPr="00216DF1">
        <w:t xml:space="preserve"> </w:t>
      </w:r>
      <w:r w:rsidR="00517CBD">
        <w:t>S</w:t>
      </w:r>
      <w:r w:rsidR="009056D5" w:rsidRPr="00216DF1">
        <w:t xml:space="preserve">eries </w:t>
      </w:r>
      <w:r w:rsidR="00B16980" w:rsidRPr="00216DF1">
        <w:t xml:space="preserve">A round </w:t>
      </w:r>
      <w:r w:rsidR="00FA40F0" w:rsidRPr="00216DF1">
        <w:t>on November 1, 2009</w:t>
      </w:r>
      <w:r w:rsidR="00415E14" w:rsidRPr="00216DF1">
        <w:t xml:space="preserve">. </w:t>
      </w:r>
      <w:r w:rsidR="00FA40F0" w:rsidRPr="00216DF1">
        <w:t xml:space="preserve">Some </w:t>
      </w:r>
      <w:r w:rsidR="005D60A3">
        <w:t xml:space="preserve">individual </w:t>
      </w:r>
      <w:r w:rsidR="00B16980" w:rsidRPr="00216DF1">
        <w:t>investors in that round</w:t>
      </w:r>
      <w:r w:rsidR="009056D5" w:rsidRPr="00216DF1">
        <w:t>—</w:t>
      </w:r>
      <w:r w:rsidR="00FA40F0" w:rsidRPr="00216DF1">
        <w:t xml:space="preserve">including Google </w:t>
      </w:r>
      <w:r w:rsidR="00517CBD">
        <w:t xml:space="preserve">Inc. (Google) </w:t>
      </w:r>
      <w:r w:rsidR="00FA40F0" w:rsidRPr="00216DF1">
        <w:t>executive Marissa Mayer and Twitter co-founder Biz Stone</w:t>
      </w:r>
      <w:r w:rsidR="009056D5" w:rsidRPr="00216DF1">
        <w:t>—</w:t>
      </w:r>
      <w:r w:rsidR="00B16980" w:rsidRPr="00216DF1">
        <w:t>may have be</w:t>
      </w:r>
      <w:r w:rsidR="00FA40F0" w:rsidRPr="00216DF1">
        <w:t>e</w:t>
      </w:r>
      <w:r w:rsidR="00CC6690" w:rsidRPr="00216DF1">
        <w:t>n patient</w:t>
      </w:r>
      <w:r w:rsidR="009056D5" w:rsidRPr="00216DF1">
        <w:t>ly</w:t>
      </w:r>
      <w:r w:rsidR="00CC6690" w:rsidRPr="00216DF1">
        <w:t xml:space="preserve"> waiting for an exit</w:t>
      </w:r>
      <w:r w:rsidR="009056D5" w:rsidRPr="00216DF1">
        <w:t>;</w:t>
      </w:r>
      <w:r w:rsidR="00CC6690" w:rsidRPr="00216DF1">
        <w:t xml:space="preserve"> h</w:t>
      </w:r>
      <w:r w:rsidR="00FA40F0" w:rsidRPr="00216DF1">
        <w:t>owever</w:t>
      </w:r>
      <w:r w:rsidR="009056D5" w:rsidRPr="00216DF1">
        <w:t xml:space="preserve">, </w:t>
      </w:r>
      <w:r w:rsidR="0061605A" w:rsidRPr="00216DF1">
        <w:t>private equity</w:t>
      </w:r>
      <w:r w:rsidR="006F6159" w:rsidRPr="00216DF1">
        <w:t xml:space="preserve"> investors</w:t>
      </w:r>
      <w:r w:rsidR="009056D5" w:rsidRPr="00216DF1">
        <w:t>—</w:t>
      </w:r>
      <w:r w:rsidR="006F6159" w:rsidRPr="00216DF1">
        <w:t xml:space="preserve">like the </w:t>
      </w:r>
      <w:r w:rsidR="002A0189" w:rsidRPr="00216DF1">
        <w:t xml:space="preserve">Khosla Ventures </w:t>
      </w:r>
      <w:r w:rsidR="00541F90" w:rsidRPr="00216DF1">
        <w:t>fund that served as the lead investor in the</w:t>
      </w:r>
      <w:r w:rsidR="00CF1C23" w:rsidRPr="00216DF1">
        <w:t xml:space="preserve"> </w:t>
      </w:r>
      <w:r w:rsidR="00CC23F2">
        <w:t>S</w:t>
      </w:r>
      <w:r w:rsidR="00AB554D" w:rsidRPr="00216DF1">
        <w:t>eries A round</w:t>
      </w:r>
      <w:r w:rsidR="009056D5" w:rsidRPr="00216DF1">
        <w:t>—</w:t>
      </w:r>
      <w:r w:rsidR="008864CC" w:rsidRPr="00216DF1">
        <w:t>could</w:t>
      </w:r>
      <w:r w:rsidR="00F501B2">
        <w:t>n’t always</w:t>
      </w:r>
      <w:r w:rsidR="008864CC" w:rsidRPr="00216DF1">
        <w:t xml:space="preserve"> </w:t>
      </w:r>
      <w:r w:rsidR="00D63C5D" w:rsidRPr="00216DF1">
        <w:t xml:space="preserve">be </w:t>
      </w:r>
      <w:r w:rsidR="00E54E6C">
        <w:t>so</w:t>
      </w:r>
      <w:r w:rsidR="00D63C5D" w:rsidRPr="00216DF1">
        <w:t xml:space="preserve"> patient.</w:t>
      </w:r>
      <w:r w:rsidR="00EE2DCC" w:rsidRPr="00216DF1">
        <w:rPr>
          <w:rStyle w:val="EndnoteReference"/>
        </w:rPr>
        <w:endnoteReference w:id="3"/>
      </w:r>
      <w:r w:rsidR="00D63C5D" w:rsidRPr="00216DF1">
        <w:t xml:space="preserve"> </w:t>
      </w:r>
      <w:r w:rsidR="008E6855">
        <w:t>The second half of a venture fund’s 10-year lifespan typically involved a process of exiting a company investment to provide a return for the fund’s partners.</w:t>
      </w:r>
      <w:r w:rsidR="00651A8B" w:rsidRPr="00216DF1">
        <w:rPr>
          <w:rStyle w:val="EndnoteReference"/>
        </w:rPr>
        <w:endnoteReference w:id="4"/>
      </w:r>
      <w:r w:rsidR="00A856C0">
        <w:t xml:space="preserve"> </w:t>
      </w:r>
    </w:p>
    <w:p w14:paraId="2FFB35A1" w14:textId="77777777" w:rsidR="006211F3" w:rsidRPr="00216DF1" w:rsidRDefault="006211F3" w:rsidP="003754B7">
      <w:pPr>
        <w:pStyle w:val="BodyTextMain"/>
      </w:pPr>
    </w:p>
    <w:p w14:paraId="736A446F" w14:textId="5CECE987" w:rsidR="005A4FF7" w:rsidRPr="00216DF1" w:rsidRDefault="00BF01BF" w:rsidP="003754B7">
      <w:pPr>
        <w:pStyle w:val="BodyTextMain"/>
      </w:pPr>
      <w:r w:rsidRPr="00216DF1">
        <w:t>On September 12, 2014</w:t>
      </w:r>
      <w:r w:rsidR="00AD6EB9" w:rsidRPr="00216DF1">
        <w:t xml:space="preserve">, </w:t>
      </w:r>
      <w:r w:rsidR="00D54756" w:rsidRPr="00216DF1">
        <w:t>the online technology publication TechCrunch</w:t>
      </w:r>
      <w:r w:rsidR="00AD6EB9" w:rsidRPr="00216DF1">
        <w:t xml:space="preserve"> reported that</w:t>
      </w:r>
      <w:r w:rsidR="008F6F6A" w:rsidRPr="00216DF1">
        <w:t xml:space="preserve"> Square </w:t>
      </w:r>
      <w:r w:rsidR="00D54756" w:rsidRPr="00216DF1">
        <w:t xml:space="preserve">had </w:t>
      </w:r>
      <w:r w:rsidR="008F6F6A" w:rsidRPr="00216DF1">
        <w:t xml:space="preserve">turned down an offer </w:t>
      </w:r>
      <w:r w:rsidR="008E6855">
        <w:t xml:space="preserve">to purchase the company for </w:t>
      </w:r>
      <w:r w:rsidR="000A3D4F" w:rsidRPr="00216DF1">
        <w:t>“around $3 billion” from Apple</w:t>
      </w:r>
      <w:r w:rsidR="00663CFA" w:rsidRPr="00216DF1">
        <w:t xml:space="preserve"> Inc. (Apple)</w:t>
      </w:r>
      <w:r w:rsidR="00BB2BE8" w:rsidRPr="00216DF1">
        <w:t xml:space="preserve">, </w:t>
      </w:r>
      <w:r w:rsidR="00246D72" w:rsidRPr="00216DF1">
        <w:t xml:space="preserve">significantly </w:t>
      </w:r>
      <w:r w:rsidR="00FA40F0" w:rsidRPr="00216DF1">
        <w:t xml:space="preserve">below the </w:t>
      </w:r>
      <w:r w:rsidR="00246D72" w:rsidRPr="00216DF1">
        <w:t xml:space="preserve">$6 billion </w:t>
      </w:r>
      <w:r w:rsidR="00D54756" w:rsidRPr="00216DF1">
        <w:t xml:space="preserve">it </w:t>
      </w:r>
      <w:r w:rsidR="00FA40F0" w:rsidRPr="00216DF1">
        <w:t xml:space="preserve">had </w:t>
      </w:r>
      <w:r w:rsidR="00246D72" w:rsidRPr="00216DF1">
        <w:t xml:space="preserve">reportedly </w:t>
      </w:r>
      <w:r w:rsidR="00FA40F0" w:rsidRPr="00216DF1">
        <w:t>been seeking.</w:t>
      </w:r>
      <w:r w:rsidR="008F6F6A" w:rsidRPr="00216DF1">
        <w:rPr>
          <w:rStyle w:val="EndnoteReference"/>
        </w:rPr>
        <w:endnoteReference w:id="5"/>
      </w:r>
      <w:r w:rsidR="0034558F" w:rsidRPr="00216DF1">
        <w:t xml:space="preserve"> </w:t>
      </w:r>
      <w:r w:rsidR="00FA40F0" w:rsidRPr="00216DF1">
        <w:t>A</w:t>
      </w:r>
      <w:r w:rsidR="00805293" w:rsidRPr="00216DF1">
        <w:t>nother publication</w:t>
      </w:r>
      <w:r w:rsidR="005A4FF7" w:rsidRPr="00216DF1">
        <w:t>, citing a confidential source, reported that</w:t>
      </w:r>
      <w:r w:rsidR="00805293" w:rsidRPr="00216DF1">
        <w:t xml:space="preserve"> </w:t>
      </w:r>
      <w:r w:rsidR="0034558F" w:rsidRPr="00216DF1">
        <w:t>“</w:t>
      </w:r>
      <w:r w:rsidR="005A4FF7" w:rsidRPr="00216DF1">
        <w:t xml:space="preserve">Jack [Dorsey] does not want to sell to Google” </w:t>
      </w:r>
      <w:r w:rsidR="00D54756" w:rsidRPr="00216DF1">
        <w:t xml:space="preserve">and noted </w:t>
      </w:r>
      <w:r w:rsidR="00FA40F0" w:rsidRPr="00216DF1">
        <w:t xml:space="preserve">that “Square’s design aesthetic and values match up much more closely with Apple than Google” and that Square’s </w:t>
      </w:r>
      <w:r w:rsidR="0027729F" w:rsidRPr="00216DF1">
        <w:t xml:space="preserve">chief hardware designer, </w:t>
      </w:r>
      <w:r w:rsidR="00D92C12" w:rsidRPr="00216DF1">
        <w:t>Jesse Dorogusker</w:t>
      </w:r>
      <w:r w:rsidR="0027729F" w:rsidRPr="00216DF1">
        <w:t>,</w:t>
      </w:r>
      <w:r w:rsidR="00D248E4" w:rsidRPr="00216DF1">
        <w:t xml:space="preserve"> </w:t>
      </w:r>
      <w:r w:rsidR="00D54756" w:rsidRPr="00216DF1">
        <w:t xml:space="preserve">had </w:t>
      </w:r>
      <w:r w:rsidR="00FA40F0" w:rsidRPr="00216DF1">
        <w:t xml:space="preserve">worked at Apple </w:t>
      </w:r>
      <w:r w:rsidR="00D92C12" w:rsidRPr="00216DF1">
        <w:t>on</w:t>
      </w:r>
      <w:r w:rsidR="00D248E4" w:rsidRPr="00216DF1">
        <w:t xml:space="preserve"> the iPod, iPhone, and iPad</w:t>
      </w:r>
      <w:r w:rsidR="00246D72" w:rsidRPr="00216DF1">
        <w:t>.</w:t>
      </w:r>
      <w:r w:rsidR="005A4FF7" w:rsidRPr="00216DF1">
        <w:rPr>
          <w:rStyle w:val="EndnoteReference"/>
        </w:rPr>
        <w:endnoteReference w:id="6"/>
      </w:r>
    </w:p>
    <w:p w14:paraId="1D41EDE5" w14:textId="7889AF16" w:rsidR="006211F3" w:rsidRPr="00216DF1" w:rsidRDefault="006211F3" w:rsidP="003754B7">
      <w:pPr>
        <w:pStyle w:val="BodyTextMain"/>
      </w:pPr>
    </w:p>
    <w:p w14:paraId="3DCB249D" w14:textId="07C7B790" w:rsidR="004D36A6" w:rsidRPr="00216DF1" w:rsidRDefault="00246D72" w:rsidP="003754B7">
      <w:pPr>
        <w:pStyle w:val="BodyTextMain"/>
      </w:pPr>
      <w:r w:rsidRPr="00216DF1">
        <w:t xml:space="preserve">With no apparent suitable acquirers willing to pay </w:t>
      </w:r>
      <w:r w:rsidR="00D248E4" w:rsidRPr="00216DF1">
        <w:t xml:space="preserve">a high enough price, Square </w:t>
      </w:r>
      <w:r w:rsidR="00A01D3A" w:rsidRPr="00216DF1">
        <w:t xml:space="preserve">also considered </w:t>
      </w:r>
      <w:r w:rsidR="00197233" w:rsidRPr="00216DF1">
        <w:t xml:space="preserve">an </w:t>
      </w:r>
      <w:r w:rsidR="001B0761" w:rsidRPr="00216DF1">
        <w:t>initial public offering (</w:t>
      </w:r>
      <w:r w:rsidR="00197233" w:rsidRPr="00216DF1">
        <w:t>IPO</w:t>
      </w:r>
      <w:r w:rsidR="001B0761" w:rsidRPr="00216DF1">
        <w:t>)</w:t>
      </w:r>
      <w:r w:rsidR="00415E14" w:rsidRPr="00216DF1">
        <w:t xml:space="preserve">. </w:t>
      </w:r>
      <w:r w:rsidR="00197233" w:rsidRPr="00216DF1">
        <w:t xml:space="preserve">However, </w:t>
      </w:r>
      <w:r w:rsidR="00A01D3A" w:rsidRPr="00216DF1">
        <w:t xml:space="preserve">although Square had </w:t>
      </w:r>
      <w:r w:rsidR="00D54756" w:rsidRPr="00216DF1">
        <w:t xml:space="preserve">reportedly been discussing </w:t>
      </w:r>
      <w:r w:rsidR="00A01D3A" w:rsidRPr="00216DF1">
        <w:t xml:space="preserve">an IPO with investment bankers since late 2013, </w:t>
      </w:r>
      <w:r w:rsidR="00883E06" w:rsidRPr="00216DF1">
        <w:t xml:space="preserve">analysts noted </w:t>
      </w:r>
      <w:r w:rsidR="00A01D3A" w:rsidRPr="00216DF1">
        <w:t xml:space="preserve">that the firm’s current level of revenue and lack of profitability would not allow </w:t>
      </w:r>
      <w:r w:rsidR="00D54756" w:rsidRPr="00216DF1">
        <w:t xml:space="preserve">it </w:t>
      </w:r>
      <w:r w:rsidR="00A01D3A" w:rsidRPr="00216DF1">
        <w:t xml:space="preserve">to achieve </w:t>
      </w:r>
      <w:r w:rsidR="00D54756" w:rsidRPr="00216DF1">
        <w:t xml:space="preserve">its </w:t>
      </w:r>
      <w:r w:rsidR="00A01D3A" w:rsidRPr="00216DF1">
        <w:t>desired $6 billion valuation</w:t>
      </w:r>
      <w:r w:rsidR="00F27AE0" w:rsidRPr="00216DF1">
        <w:t xml:space="preserve"> </w:t>
      </w:r>
      <w:r w:rsidR="00CA7589">
        <w:t>because</w:t>
      </w:r>
      <w:r w:rsidR="00CA7589" w:rsidRPr="00216DF1">
        <w:t xml:space="preserve"> </w:t>
      </w:r>
      <w:r w:rsidR="00F27AE0" w:rsidRPr="00216DF1">
        <w:t>its</w:t>
      </w:r>
      <w:r w:rsidR="00A01D3A" w:rsidRPr="00216DF1">
        <w:t xml:space="preserve"> “other revenue-generating products have either not yet launched or not yet taken off.”</w:t>
      </w:r>
      <w:r w:rsidR="00A01D3A" w:rsidRPr="00216DF1">
        <w:rPr>
          <w:rStyle w:val="EndnoteReference"/>
        </w:rPr>
        <w:endnoteReference w:id="7"/>
      </w:r>
      <w:r w:rsidR="004D36A6" w:rsidRPr="00216DF1">
        <w:t xml:space="preserve"> </w:t>
      </w:r>
    </w:p>
    <w:p w14:paraId="35B03E75" w14:textId="77777777" w:rsidR="004D36A6" w:rsidRPr="00216DF1" w:rsidRDefault="004D36A6" w:rsidP="003754B7">
      <w:pPr>
        <w:pStyle w:val="BodyTextMain"/>
      </w:pPr>
    </w:p>
    <w:p w14:paraId="1A26D6D6" w14:textId="67B844D7" w:rsidR="0093004B" w:rsidRPr="00216DF1" w:rsidRDefault="0038452A" w:rsidP="003754B7">
      <w:pPr>
        <w:pStyle w:val="BodyTextMain"/>
      </w:pPr>
      <w:r w:rsidRPr="00216DF1">
        <w:t>In need of cash to finance its unprofitable operations</w:t>
      </w:r>
      <w:r w:rsidR="009F0F34" w:rsidRPr="00216DF1">
        <w:t xml:space="preserve"> and fund its aggressive growth plans</w:t>
      </w:r>
      <w:r w:rsidR="005D39B6" w:rsidRPr="00216DF1">
        <w:t xml:space="preserve">, </w:t>
      </w:r>
      <w:r w:rsidR="00733DEB" w:rsidRPr="00216DF1">
        <w:t xml:space="preserve">Square </w:t>
      </w:r>
      <w:r w:rsidR="00EE6889" w:rsidRPr="00216DF1">
        <w:t>began pursuing</w:t>
      </w:r>
      <w:r w:rsidR="00733DEB" w:rsidRPr="00216DF1">
        <w:t xml:space="preserve"> a sixth, </w:t>
      </w:r>
      <w:r w:rsidR="00CC23F2">
        <w:t>S</w:t>
      </w:r>
      <w:r w:rsidR="0023118F" w:rsidRPr="00216DF1">
        <w:t xml:space="preserve">eries </w:t>
      </w:r>
      <w:r w:rsidR="00407D57" w:rsidRPr="00216DF1">
        <w:t xml:space="preserve">E round of </w:t>
      </w:r>
      <w:r w:rsidR="009609EF" w:rsidRPr="00216DF1">
        <w:t xml:space="preserve">venture capital </w:t>
      </w:r>
      <w:r w:rsidR="00407D57" w:rsidRPr="00216DF1">
        <w:t>financing</w:t>
      </w:r>
      <w:r w:rsidR="00733DEB" w:rsidRPr="00216DF1">
        <w:t>.</w:t>
      </w:r>
      <w:r w:rsidR="0093004B" w:rsidRPr="00216DF1">
        <w:t xml:space="preserve"> </w:t>
      </w:r>
      <w:r w:rsidR="00632A19" w:rsidRPr="00216DF1">
        <w:t>The firm</w:t>
      </w:r>
      <w:r w:rsidR="0093004B" w:rsidRPr="00216DF1">
        <w:t xml:space="preserve"> approached investors</w:t>
      </w:r>
      <w:r w:rsidR="0054019E" w:rsidRPr="00216DF1">
        <w:t xml:space="preserve"> with </w:t>
      </w:r>
      <w:r w:rsidR="00084B76" w:rsidRPr="00216DF1">
        <w:t xml:space="preserve">private equity </w:t>
      </w:r>
      <w:r w:rsidR="0054019E" w:rsidRPr="00216DF1">
        <w:t>funds focused on late-stage investments</w:t>
      </w:r>
      <w:r w:rsidR="0093004B" w:rsidRPr="00216DF1">
        <w:t xml:space="preserve">, including </w:t>
      </w:r>
      <w:r w:rsidR="0023118F" w:rsidRPr="00216DF1">
        <w:t>Goldman Sachs Group, Inc. (</w:t>
      </w:r>
      <w:r w:rsidR="009078E4" w:rsidRPr="00216DF1">
        <w:t>Goldman Sachs</w:t>
      </w:r>
      <w:r w:rsidR="0023118F" w:rsidRPr="00216DF1">
        <w:t>)</w:t>
      </w:r>
      <w:r w:rsidR="009078E4" w:rsidRPr="00216DF1">
        <w:t xml:space="preserve"> and </w:t>
      </w:r>
      <w:r w:rsidR="00451B12" w:rsidRPr="00216DF1">
        <w:t>Sap</w:t>
      </w:r>
      <w:r w:rsidR="00027810" w:rsidRPr="00216DF1">
        <w:t>p</w:t>
      </w:r>
      <w:r w:rsidR="00451B12" w:rsidRPr="00216DF1">
        <w:t xml:space="preserve">hire </w:t>
      </w:r>
      <w:r w:rsidR="0023118F" w:rsidRPr="00216DF1">
        <w:t>Ventures LLC</w:t>
      </w:r>
      <w:r w:rsidR="00451B12" w:rsidRPr="00216DF1">
        <w:t>.</w:t>
      </w:r>
      <w:r w:rsidR="00451B12" w:rsidRPr="00216DF1">
        <w:rPr>
          <w:rStyle w:val="EndnoteReference"/>
        </w:rPr>
        <w:endnoteReference w:id="8"/>
      </w:r>
      <w:r w:rsidR="00451B12" w:rsidRPr="00216DF1">
        <w:t xml:space="preserve"> </w:t>
      </w:r>
      <w:r w:rsidR="00EB294A" w:rsidRPr="00216DF1">
        <w:t xml:space="preserve">It was now up to the investors to determine </w:t>
      </w:r>
      <w:r w:rsidR="0023118F" w:rsidRPr="00216DF1">
        <w:t xml:space="preserve">whether </w:t>
      </w:r>
      <w:r w:rsidR="00EB294A" w:rsidRPr="00216DF1">
        <w:t xml:space="preserve">they could </w:t>
      </w:r>
      <w:r w:rsidR="00273E1E" w:rsidRPr="00216DF1">
        <w:t>agree to</w:t>
      </w:r>
      <w:r w:rsidR="00EB294A" w:rsidRPr="00216DF1">
        <w:t xml:space="preserve"> term</w:t>
      </w:r>
      <w:r w:rsidR="0023118F" w:rsidRPr="00216DF1">
        <w:t>s</w:t>
      </w:r>
      <w:r w:rsidR="00EB294A" w:rsidRPr="00216DF1">
        <w:t xml:space="preserve"> that </w:t>
      </w:r>
      <w:r w:rsidR="0023118F" w:rsidRPr="00216DF1">
        <w:t xml:space="preserve">were </w:t>
      </w:r>
      <w:r w:rsidR="00EB294A" w:rsidRPr="00216DF1">
        <w:t>a</w:t>
      </w:r>
      <w:r w:rsidR="005D39B6" w:rsidRPr="00216DF1">
        <w:t xml:space="preserve">cceptable </w:t>
      </w:r>
      <w:r w:rsidR="0023118F" w:rsidRPr="00216DF1">
        <w:t xml:space="preserve">to Square </w:t>
      </w:r>
      <w:r w:rsidR="005D39B6" w:rsidRPr="00216DF1">
        <w:t xml:space="preserve">and </w:t>
      </w:r>
      <w:r w:rsidR="00CA7589">
        <w:t xml:space="preserve">would </w:t>
      </w:r>
      <w:r w:rsidR="005D39B6" w:rsidRPr="00216DF1">
        <w:t xml:space="preserve">allow </w:t>
      </w:r>
      <w:r w:rsidR="0023118F" w:rsidRPr="00216DF1">
        <w:t xml:space="preserve">the company </w:t>
      </w:r>
      <w:r w:rsidR="005D39B6" w:rsidRPr="00216DF1">
        <w:t>to</w:t>
      </w:r>
      <w:r w:rsidR="00EB294A" w:rsidRPr="00216DF1">
        <w:t xml:space="preserve"> achieve its desired $6 billion valuation.</w:t>
      </w:r>
    </w:p>
    <w:p w14:paraId="4D590AFB" w14:textId="77777777" w:rsidR="009B3846" w:rsidRPr="00216DF1" w:rsidRDefault="009B3846" w:rsidP="003754B7">
      <w:pPr>
        <w:pStyle w:val="BodyTextMain"/>
      </w:pPr>
    </w:p>
    <w:p w14:paraId="06AC7706" w14:textId="77777777" w:rsidR="009B3846" w:rsidRPr="00216DF1" w:rsidRDefault="009B3846" w:rsidP="003754B7">
      <w:pPr>
        <w:pStyle w:val="BodyTextMain"/>
      </w:pPr>
    </w:p>
    <w:p w14:paraId="73851317" w14:textId="2A85E90A" w:rsidR="00B50454" w:rsidRPr="00216DF1" w:rsidRDefault="00B50454" w:rsidP="00B50454">
      <w:pPr>
        <w:pStyle w:val="Casehead1"/>
        <w:keepNext/>
        <w:outlineLvl w:val="0"/>
      </w:pPr>
      <w:r w:rsidRPr="00216DF1">
        <w:lastRenderedPageBreak/>
        <w:t>Unicorns</w:t>
      </w:r>
    </w:p>
    <w:p w14:paraId="249ADD53" w14:textId="77777777" w:rsidR="00B50454" w:rsidRPr="00216DF1" w:rsidRDefault="00B50454" w:rsidP="00B50454">
      <w:pPr>
        <w:pStyle w:val="Casehead1"/>
        <w:keepNext/>
        <w:outlineLvl w:val="0"/>
      </w:pPr>
    </w:p>
    <w:p w14:paraId="15B7C97D" w14:textId="558604F5" w:rsidR="001D0CA0" w:rsidRPr="00216DF1" w:rsidRDefault="0019046E" w:rsidP="00E06166">
      <w:pPr>
        <w:pStyle w:val="BodyTextMain"/>
      </w:pPr>
      <w:r w:rsidRPr="00216DF1">
        <w:t xml:space="preserve">Square was one </w:t>
      </w:r>
      <w:r w:rsidR="002157E4" w:rsidRPr="00216DF1">
        <w:t xml:space="preserve">of </w:t>
      </w:r>
      <w:r w:rsidRPr="00216DF1">
        <w:t>an increasing number of venture capital</w:t>
      </w:r>
      <w:r w:rsidR="00CA7589">
        <w:t xml:space="preserve"> </w:t>
      </w:r>
      <w:r w:rsidRPr="00216DF1">
        <w:t xml:space="preserve">financed </w:t>
      </w:r>
      <w:r w:rsidR="000F24C3" w:rsidRPr="00216DF1">
        <w:t xml:space="preserve">firms </w:t>
      </w:r>
      <w:r w:rsidR="0023118F" w:rsidRPr="00216DF1">
        <w:t xml:space="preserve">that </w:t>
      </w:r>
      <w:r w:rsidR="008E6855">
        <w:t xml:space="preserve">was valued after investment (post-money valuation) </w:t>
      </w:r>
      <w:r w:rsidR="00AC29DB" w:rsidRPr="00216DF1">
        <w:t>above $1 billion</w:t>
      </w:r>
      <w:r w:rsidR="0023118F" w:rsidRPr="00216DF1">
        <w:t>.</w:t>
      </w:r>
      <w:r w:rsidR="00AC29DB" w:rsidRPr="00216DF1">
        <w:t xml:space="preserve"> </w:t>
      </w:r>
      <w:r w:rsidR="0023118F" w:rsidRPr="00216DF1">
        <w:t>These firms had</w:t>
      </w:r>
      <w:r w:rsidR="00AC29DB" w:rsidRPr="00216DF1">
        <w:t xml:space="preserve"> bec</w:t>
      </w:r>
      <w:r w:rsidR="0023118F" w:rsidRPr="00216DF1">
        <w:t>o</w:t>
      </w:r>
      <w:r w:rsidR="00AC29DB" w:rsidRPr="00216DF1">
        <w:t>me</w:t>
      </w:r>
      <w:r w:rsidR="00C57125" w:rsidRPr="00216DF1">
        <w:t xml:space="preserve"> known as </w:t>
      </w:r>
      <w:r w:rsidR="00C57125" w:rsidRPr="00216DF1">
        <w:rPr>
          <w:i/>
        </w:rPr>
        <w:t>unicorns</w:t>
      </w:r>
      <w:r w:rsidR="00EA7A72" w:rsidRPr="00216DF1">
        <w:t>, a term</w:t>
      </w:r>
      <w:r w:rsidR="00A16387" w:rsidRPr="00216DF1">
        <w:t xml:space="preserve"> </w:t>
      </w:r>
      <w:r w:rsidR="000F24C3" w:rsidRPr="00216DF1">
        <w:t xml:space="preserve">coined by venture capital </w:t>
      </w:r>
      <w:r w:rsidR="003E23C2" w:rsidRPr="00216DF1">
        <w:t>investor</w:t>
      </w:r>
      <w:r w:rsidR="000F24C3" w:rsidRPr="00216DF1">
        <w:t xml:space="preserve"> Aileen Lee in an </w:t>
      </w:r>
      <w:r w:rsidR="003E23C2" w:rsidRPr="00216DF1">
        <w:t xml:space="preserve">article </w:t>
      </w:r>
      <w:r w:rsidR="00A16387" w:rsidRPr="00216DF1">
        <w:t xml:space="preserve">written </w:t>
      </w:r>
      <w:r w:rsidR="003E23C2" w:rsidRPr="00216DF1">
        <w:t xml:space="preserve">for </w:t>
      </w:r>
      <w:r w:rsidR="0023118F" w:rsidRPr="00216DF1">
        <w:t>T</w:t>
      </w:r>
      <w:r w:rsidR="009D6D83" w:rsidRPr="00216DF1">
        <w:t>ech</w:t>
      </w:r>
      <w:r w:rsidR="0023118F" w:rsidRPr="00216DF1">
        <w:t>C</w:t>
      </w:r>
      <w:r w:rsidR="009D6D83" w:rsidRPr="00216DF1">
        <w:t xml:space="preserve">runch in November </w:t>
      </w:r>
      <w:r w:rsidR="000F24C3" w:rsidRPr="00216DF1">
        <w:t>2013</w:t>
      </w:r>
      <w:r w:rsidR="008A3129" w:rsidRPr="00216DF1">
        <w:t>.</w:t>
      </w:r>
      <w:r w:rsidR="008A3129" w:rsidRPr="00E06166">
        <w:rPr>
          <w:rStyle w:val="EndnoteReference"/>
          <w:caps/>
        </w:rPr>
        <w:endnoteReference w:id="9"/>
      </w:r>
      <w:r w:rsidR="00EA7A72" w:rsidRPr="00216DF1">
        <w:t xml:space="preserve"> </w:t>
      </w:r>
      <w:r w:rsidR="001D0CA0" w:rsidRPr="00216DF1">
        <w:t>Post-money valuations were calculated by multipl</w:t>
      </w:r>
      <w:r w:rsidR="00CE7552" w:rsidRPr="00216DF1">
        <w:t>ying the total number of shares of common stock</w:t>
      </w:r>
      <w:r w:rsidR="001D0CA0" w:rsidRPr="00216DF1">
        <w:t xml:space="preserve">, assuming that all convertible shares and stock options were converted into common stock, </w:t>
      </w:r>
      <w:r w:rsidR="001351E2" w:rsidRPr="00216DF1">
        <w:t xml:space="preserve">by </w:t>
      </w:r>
      <w:r w:rsidR="001D0CA0" w:rsidRPr="00216DF1">
        <w:t>the price paid for shares in the most recent round of financing</w:t>
      </w:r>
      <w:r w:rsidR="00415E14" w:rsidRPr="00216DF1">
        <w:t xml:space="preserve">. </w:t>
      </w:r>
      <w:r w:rsidR="001D0CA0" w:rsidRPr="00216DF1">
        <w:t xml:space="preserve">Square’s post-money valuation had grown from </w:t>
      </w:r>
      <w:r w:rsidR="00426B00" w:rsidRPr="00216DF1">
        <w:t>around $50</w:t>
      </w:r>
      <w:r w:rsidR="001D0CA0" w:rsidRPr="00216DF1">
        <w:t xml:space="preserve"> million</w:t>
      </w:r>
      <w:r w:rsidR="00F40593" w:rsidRPr="00216DF1">
        <w:t xml:space="preserve"> in its November 2009 </w:t>
      </w:r>
      <w:r w:rsidR="00CC23F2">
        <w:t>S</w:t>
      </w:r>
      <w:r w:rsidR="001351E2" w:rsidRPr="00216DF1">
        <w:t xml:space="preserve">eries </w:t>
      </w:r>
      <w:r w:rsidR="00F40593" w:rsidRPr="00216DF1">
        <w:t>A round to $3</w:t>
      </w:r>
      <w:r w:rsidR="00426B00" w:rsidRPr="00216DF1">
        <w:t>.27</w:t>
      </w:r>
      <w:r w:rsidR="00EA7A72" w:rsidRPr="00216DF1">
        <w:t xml:space="preserve"> billion in its most recent </w:t>
      </w:r>
      <w:r w:rsidR="00CC23F2">
        <w:t>S</w:t>
      </w:r>
      <w:r w:rsidR="001351E2" w:rsidRPr="00216DF1">
        <w:t xml:space="preserve">eries </w:t>
      </w:r>
      <w:r w:rsidR="00F40593" w:rsidRPr="00216DF1">
        <w:t>D round in 2012</w:t>
      </w:r>
      <w:r w:rsidR="001351E2" w:rsidRPr="00216DF1">
        <w:t xml:space="preserve"> (</w:t>
      </w:r>
      <w:r w:rsidR="00FF6C83">
        <w:t>s</w:t>
      </w:r>
      <w:r w:rsidR="001351E2" w:rsidRPr="00216DF1">
        <w:t>ee Exhibit 1)</w:t>
      </w:r>
      <w:r w:rsidR="00F40593" w:rsidRPr="00216DF1">
        <w:t>.</w:t>
      </w:r>
    </w:p>
    <w:p w14:paraId="572354A8" w14:textId="77777777" w:rsidR="001D0CA0" w:rsidRPr="00216DF1" w:rsidRDefault="001D0CA0" w:rsidP="00E06166">
      <w:pPr>
        <w:pStyle w:val="BodyTextMain"/>
      </w:pPr>
    </w:p>
    <w:p w14:paraId="1EE804C0" w14:textId="6391792A" w:rsidR="00F92A2F" w:rsidRPr="00216DF1" w:rsidRDefault="000777F5" w:rsidP="00E06166">
      <w:pPr>
        <w:pStyle w:val="BodyTextMain"/>
      </w:pPr>
      <w:r w:rsidRPr="00216DF1">
        <w:t>Prior to 2014</w:t>
      </w:r>
      <w:r w:rsidR="00F92A2F" w:rsidRPr="00216DF1">
        <w:t>, unicorn-level valuations were rare</w:t>
      </w:r>
      <w:r w:rsidR="002154E9" w:rsidRPr="00216DF1">
        <w:t xml:space="preserve">; </w:t>
      </w:r>
      <w:r w:rsidR="006A4DBF" w:rsidRPr="00216DF1">
        <w:t xml:space="preserve">only two companies reached this level </w:t>
      </w:r>
      <w:r w:rsidR="001351E2" w:rsidRPr="00216DF1">
        <w:t xml:space="preserve">between </w:t>
      </w:r>
      <w:r w:rsidR="006A4DBF" w:rsidRPr="00216DF1">
        <w:t>2009</w:t>
      </w:r>
      <w:r w:rsidR="001351E2" w:rsidRPr="00216DF1">
        <w:t xml:space="preserve"> and </w:t>
      </w:r>
      <w:r w:rsidR="006A4DBF" w:rsidRPr="00216DF1">
        <w:t>2013</w:t>
      </w:r>
      <w:r w:rsidR="00E6611D" w:rsidRPr="00216DF1">
        <w:t>.</w:t>
      </w:r>
      <w:r w:rsidR="00A41E82" w:rsidRPr="00E06166">
        <w:rPr>
          <w:rStyle w:val="EndnoteReference"/>
          <w:caps/>
        </w:rPr>
        <w:endnoteReference w:id="10"/>
      </w:r>
      <w:r w:rsidR="006A4DBF" w:rsidRPr="00216DF1">
        <w:t xml:space="preserve"> However, by </w:t>
      </w:r>
      <w:r w:rsidR="00235118" w:rsidRPr="00216DF1">
        <w:t>July 2014</w:t>
      </w:r>
      <w:r w:rsidR="001351E2" w:rsidRPr="00216DF1">
        <w:t>,</w:t>
      </w:r>
      <w:r w:rsidR="00235118" w:rsidRPr="00216DF1">
        <w:t xml:space="preserve"> there were 62</w:t>
      </w:r>
      <w:r w:rsidR="00B54A57" w:rsidRPr="00216DF1">
        <w:t xml:space="preserve"> unicorns</w:t>
      </w:r>
      <w:r w:rsidR="00D021AE" w:rsidRPr="00216DF1">
        <w:t xml:space="preserve"> around the world</w:t>
      </w:r>
      <w:r w:rsidR="001351E2" w:rsidRPr="00216DF1">
        <w:t xml:space="preserve">; </w:t>
      </w:r>
      <w:r w:rsidR="00BF7B99" w:rsidRPr="00216DF1">
        <w:t>46</w:t>
      </w:r>
      <w:r w:rsidR="00993F6A" w:rsidRPr="00216DF1">
        <w:t xml:space="preserve"> </w:t>
      </w:r>
      <w:r w:rsidR="001351E2" w:rsidRPr="00216DF1">
        <w:t xml:space="preserve">of these </w:t>
      </w:r>
      <w:r w:rsidR="00FA32F9" w:rsidRPr="00216DF1">
        <w:t xml:space="preserve">firms </w:t>
      </w:r>
      <w:r w:rsidR="001351E2" w:rsidRPr="00216DF1">
        <w:t xml:space="preserve">were </w:t>
      </w:r>
      <w:r w:rsidR="00FA32F9" w:rsidRPr="00216DF1">
        <w:t xml:space="preserve">based </w:t>
      </w:r>
      <w:r w:rsidR="00993F6A" w:rsidRPr="00216DF1">
        <w:t>in the United States</w:t>
      </w:r>
      <w:r w:rsidR="006703F8" w:rsidRPr="00216DF1">
        <w:t xml:space="preserve">, </w:t>
      </w:r>
      <w:r w:rsidR="001351E2" w:rsidRPr="00216DF1">
        <w:t xml:space="preserve">eight were </w:t>
      </w:r>
      <w:r w:rsidR="00F20FD0" w:rsidRPr="00216DF1">
        <w:t xml:space="preserve">in China, and others </w:t>
      </w:r>
      <w:r w:rsidR="001351E2" w:rsidRPr="00216DF1">
        <w:t xml:space="preserve">were </w:t>
      </w:r>
      <w:r w:rsidR="00F20FD0" w:rsidRPr="00216DF1">
        <w:t xml:space="preserve">in Germany, India, Sweden, Israel, Canada, South Korea, and </w:t>
      </w:r>
      <w:r w:rsidR="00E26A88" w:rsidRPr="00216DF1">
        <w:t xml:space="preserve">the </w:t>
      </w:r>
      <w:r w:rsidR="00F20FD0" w:rsidRPr="00216DF1">
        <w:t>Czech Republic</w:t>
      </w:r>
      <w:r w:rsidR="00F02AB3" w:rsidRPr="00216DF1">
        <w:t xml:space="preserve"> (see Exhibit 2)</w:t>
      </w:r>
      <w:r w:rsidR="00B54A57" w:rsidRPr="00216DF1">
        <w:t>.</w:t>
      </w:r>
      <w:r w:rsidR="00F02AB3" w:rsidRPr="00E06166">
        <w:rPr>
          <w:rStyle w:val="EndnoteReference"/>
          <w:caps/>
        </w:rPr>
        <w:endnoteReference w:id="11"/>
      </w:r>
      <w:r w:rsidR="00A856C0">
        <w:t xml:space="preserve"> </w:t>
      </w:r>
    </w:p>
    <w:p w14:paraId="2F1B7AA3" w14:textId="77777777" w:rsidR="00F92A2F" w:rsidRPr="00216DF1" w:rsidRDefault="00F92A2F" w:rsidP="00E06166">
      <w:pPr>
        <w:pStyle w:val="BodyTextMain"/>
      </w:pPr>
    </w:p>
    <w:p w14:paraId="33B81913" w14:textId="62D8C78C" w:rsidR="00947824" w:rsidRPr="00216DF1" w:rsidRDefault="00702ECC" w:rsidP="00E06166">
      <w:pPr>
        <w:pStyle w:val="BodyTextMain"/>
      </w:pPr>
      <w:r w:rsidRPr="00216DF1">
        <w:t xml:space="preserve">Countering </w:t>
      </w:r>
      <w:r w:rsidR="00080E71" w:rsidRPr="00216DF1">
        <w:t xml:space="preserve">some investors’ </w:t>
      </w:r>
      <w:r w:rsidRPr="00216DF1">
        <w:t>growing concern</w:t>
      </w:r>
      <w:r w:rsidR="004237BE" w:rsidRPr="00216DF1">
        <w:t>s</w:t>
      </w:r>
      <w:r w:rsidRPr="00216DF1">
        <w:t xml:space="preserve"> that these high valuations represented a repeat of the “dot-com bubble” </w:t>
      </w:r>
      <w:r w:rsidR="00080E71" w:rsidRPr="00216DF1">
        <w:t xml:space="preserve">of </w:t>
      </w:r>
      <w:r w:rsidRPr="00216DF1">
        <w:t>2000</w:t>
      </w:r>
      <w:r w:rsidR="00080E71" w:rsidRPr="00216DF1">
        <w:t>–</w:t>
      </w:r>
      <w:r w:rsidRPr="00216DF1">
        <w:t>2002</w:t>
      </w:r>
      <w:r w:rsidR="00F57CE1" w:rsidRPr="00216DF1">
        <w:t xml:space="preserve">, </w:t>
      </w:r>
      <w:r w:rsidR="00114627" w:rsidRPr="00216DF1">
        <w:t xml:space="preserve">Marc Andreesen, </w:t>
      </w:r>
      <w:r w:rsidR="00F57CE1" w:rsidRPr="00216DF1">
        <w:t xml:space="preserve">Internet pioneer and co-founder of </w:t>
      </w:r>
      <w:r w:rsidR="00080E71" w:rsidRPr="00216DF1">
        <w:t xml:space="preserve">the </w:t>
      </w:r>
      <w:r w:rsidR="00F57CE1" w:rsidRPr="00216DF1">
        <w:t>venture capital firm</w:t>
      </w:r>
      <w:r w:rsidRPr="00216DF1">
        <w:t xml:space="preserve"> </w:t>
      </w:r>
      <w:r w:rsidR="00F57CE1" w:rsidRPr="00216DF1">
        <w:t xml:space="preserve">Andreesen-Horowitz, claimed that </w:t>
      </w:r>
      <w:r w:rsidR="005638D6" w:rsidRPr="00216DF1">
        <w:t>it was d</w:t>
      </w:r>
      <w:r w:rsidR="00317285" w:rsidRPr="00216DF1">
        <w:t>ifferent this time</w:t>
      </w:r>
      <w:r w:rsidR="00080E71" w:rsidRPr="00216DF1">
        <w:t xml:space="preserve">. He said </w:t>
      </w:r>
      <w:r w:rsidR="008E125A" w:rsidRPr="00216DF1">
        <w:t>those making such comparisons “don’t know what they’re talking about.”</w:t>
      </w:r>
      <w:r w:rsidR="008E125A" w:rsidRPr="00E06166">
        <w:rPr>
          <w:rStyle w:val="EndnoteReference"/>
          <w:caps/>
        </w:rPr>
        <w:endnoteReference w:id="12"/>
      </w:r>
      <w:r w:rsidR="008E125A" w:rsidRPr="00216DF1">
        <w:t xml:space="preserve"> </w:t>
      </w:r>
      <w:r w:rsidR="00080E71" w:rsidRPr="00216DF1">
        <w:t>Th</w:t>
      </w:r>
      <w:r w:rsidR="008E125A" w:rsidRPr="00216DF1">
        <w:t>is</w:t>
      </w:r>
      <w:r w:rsidR="00317285" w:rsidRPr="00216DF1">
        <w:t xml:space="preserve"> </w:t>
      </w:r>
      <w:r w:rsidR="00080E71" w:rsidRPr="00216DF1">
        <w:t xml:space="preserve">comment </w:t>
      </w:r>
      <w:r w:rsidR="00317285" w:rsidRPr="00216DF1">
        <w:t>echoed his widely-cited</w:t>
      </w:r>
      <w:r w:rsidR="00A0477E" w:rsidRPr="00216DF1">
        <w:t xml:space="preserve"> 2011 </w:t>
      </w:r>
      <w:r w:rsidR="00A0477E" w:rsidRPr="00E06166">
        <w:rPr>
          <w:i/>
        </w:rPr>
        <w:t>Wall Street Journal</w:t>
      </w:r>
      <w:r w:rsidR="00A0477E" w:rsidRPr="00216DF1">
        <w:t xml:space="preserve"> article</w:t>
      </w:r>
      <w:r w:rsidR="00080E71" w:rsidRPr="00216DF1">
        <w:t>,</w:t>
      </w:r>
      <w:r w:rsidR="00A0477E" w:rsidRPr="00216DF1">
        <w:t xml:space="preserve"> “</w:t>
      </w:r>
      <w:r w:rsidR="000433B7" w:rsidRPr="00216DF1">
        <w:t xml:space="preserve">Why </w:t>
      </w:r>
      <w:r w:rsidR="00A0477E" w:rsidRPr="00216DF1">
        <w:t xml:space="preserve">Software is Eating the World,” in which he </w:t>
      </w:r>
      <w:r w:rsidR="00080E71" w:rsidRPr="00216DF1">
        <w:t xml:space="preserve">stated </w:t>
      </w:r>
      <w:r w:rsidR="00A0477E" w:rsidRPr="00216DF1">
        <w:t>that “all of the technology required to transform industries through software finally works and can be widely delivered at global scale.”</w:t>
      </w:r>
      <w:r w:rsidR="00317285" w:rsidRPr="00E06166">
        <w:rPr>
          <w:rStyle w:val="EndnoteReference"/>
          <w:caps/>
        </w:rPr>
        <w:endnoteReference w:id="13"/>
      </w:r>
      <w:r w:rsidR="00F45BD0" w:rsidRPr="00216DF1">
        <w:t xml:space="preserve"> </w:t>
      </w:r>
      <w:r w:rsidR="00F42C9F" w:rsidRPr="00216DF1">
        <w:t>Citing</w:t>
      </w:r>
      <w:r w:rsidR="00084E4A" w:rsidRPr="00216DF1">
        <w:t xml:space="preserve"> </w:t>
      </w:r>
      <w:r w:rsidR="00080E71" w:rsidRPr="00216DF1">
        <w:t xml:space="preserve">the </w:t>
      </w:r>
      <w:r w:rsidR="00F42C9F" w:rsidRPr="00216DF1">
        <w:t xml:space="preserve">larger addressable markets </w:t>
      </w:r>
      <w:r w:rsidR="00080E71" w:rsidRPr="00216DF1">
        <w:t xml:space="preserve">that had been </w:t>
      </w:r>
      <w:r w:rsidR="00F42C9F" w:rsidRPr="00216DF1">
        <w:t xml:space="preserve">made possible by increased worldwide Internet availability, </w:t>
      </w:r>
      <w:r w:rsidR="00D7556E" w:rsidRPr="00216DF1">
        <w:t>Andreesen reiterated his thoughts in 2014</w:t>
      </w:r>
      <w:r w:rsidR="00080E71" w:rsidRPr="00216DF1">
        <w:t>,</w:t>
      </w:r>
      <w:r w:rsidR="004C4A92" w:rsidRPr="00216DF1">
        <w:t xml:space="preserve"> </w:t>
      </w:r>
      <w:r w:rsidR="00D7556E" w:rsidRPr="00216DF1">
        <w:t xml:space="preserve">stating </w:t>
      </w:r>
      <w:r w:rsidR="00F42C9F" w:rsidRPr="00216DF1">
        <w:t>that “</w:t>
      </w:r>
      <w:r w:rsidR="00A56DB0" w:rsidRPr="00216DF1">
        <w:t xml:space="preserve">all the ideas of the </w:t>
      </w:r>
      <w:r w:rsidR="000A510B">
        <w:t>’</w:t>
      </w:r>
      <w:r w:rsidR="00F42C9F" w:rsidRPr="00216DF1">
        <w:t>90s that everybody had about how this stuff was going to work, I think they were all right, they were all correct. I think they were just early.”</w:t>
      </w:r>
      <w:r w:rsidR="00F42C9F" w:rsidRPr="00E06166">
        <w:rPr>
          <w:rStyle w:val="EndnoteReference"/>
          <w:caps/>
        </w:rPr>
        <w:endnoteReference w:id="14"/>
      </w:r>
    </w:p>
    <w:p w14:paraId="710778AB" w14:textId="77777777" w:rsidR="00947824" w:rsidRPr="00216DF1" w:rsidRDefault="00947824" w:rsidP="00E06166">
      <w:pPr>
        <w:pStyle w:val="BodyTextMain"/>
      </w:pPr>
    </w:p>
    <w:p w14:paraId="4F9A0876" w14:textId="316C379A" w:rsidR="00947824" w:rsidRPr="00216DF1" w:rsidRDefault="004C1349" w:rsidP="00E06166">
      <w:pPr>
        <w:pStyle w:val="BodyTextMain"/>
      </w:pPr>
      <w:r w:rsidRPr="00216DF1">
        <w:t>S</w:t>
      </w:r>
      <w:r w:rsidR="003F13B1" w:rsidRPr="00216DF1">
        <w:t xml:space="preserve">ome observers declared that </w:t>
      </w:r>
      <w:r w:rsidR="00102900" w:rsidRPr="00216DF1">
        <w:t>the growing number of unicorns was</w:t>
      </w:r>
      <w:r w:rsidR="003F13B1" w:rsidRPr="00216DF1">
        <w:t xml:space="preserve"> evidence that “Mr. Andreesen’s prophecy </w:t>
      </w:r>
      <w:r w:rsidRPr="00216DF1">
        <w:t>is unfolding ahead of schedule.</w:t>
      </w:r>
      <w:r w:rsidR="003F13B1" w:rsidRPr="00216DF1">
        <w:t>”</w:t>
      </w:r>
      <w:r w:rsidR="009D6D83" w:rsidRPr="00E06166">
        <w:rPr>
          <w:rStyle w:val="EndnoteReference"/>
          <w:caps/>
        </w:rPr>
        <w:endnoteReference w:id="15"/>
      </w:r>
      <w:r w:rsidR="003F13B1" w:rsidRPr="00216DF1">
        <w:t xml:space="preserve"> </w:t>
      </w:r>
      <w:r w:rsidR="006C4F1F" w:rsidRPr="00216DF1">
        <w:t>Others, however,</w:t>
      </w:r>
      <w:r w:rsidR="00144485" w:rsidRPr="00216DF1">
        <w:t xml:space="preserve"> noted </w:t>
      </w:r>
      <w:r w:rsidR="00EA7A72" w:rsidRPr="00216DF1">
        <w:t xml:space="preserve">that </w:t>
      </w:r>
      <w:r w:rsidR="00A41E82" w:rsidRPr="00216DF1">
        <w:t>venture-backed firms were becoming overly</w:t>
      </w:r>
      <w:r w:rsidR="00080E71" w:rsidRPr="00216DF1">
        <w:t xml:space="preserve"> </w:t>
      </w:r>
      <w:r w:rsidR="00A41E82" w:rsidRPr="00216DF1">
        <w:t xml:space="preserve">concerned with </w:t>
      </w:r>
      <w:r w:rsidRPr="00216DF1">
        <w:t>maintaining increasing valuations</w:t>
      </w:r>
      <w:r w:rsidR="00456784" w:rsidRPr="00216DF1">
        <w:t xml:space="preserve">, even if that meant providing advantageous terms to later investors such that </w:t>
      </w:r>
      <w:r w:rsidR="000A0A61">
        <w:t>the firms</w:t>
      </w:r>
      <w:r w:rsidR="000A0A61" w:rsidRPr="00216DF1">
        <w:t xml:space="preserve"> </w:t>
      </w:r>
      <w:r w:rsidR="00080E71" w:rsidRPr="00216DF1">
        <w:t>were</w:t>
      </w:r>
      <w:r w:rsidR="00456784" w:rsidRPr="00216DF1">
        <w:t xml:space="preserve"> “potentially taking money out of their employees’ pockets for the sake of appearances.</w:t>
      </w:r>
      <w:r w:rsidR="00080E71" w:rsidRPr="00216DF1">
        <w:t>”</w:t>
      </w:r>
      <w:r w:rsidR="00FF4D29" w:rsidRPr="00E06166">
        <w:rPr>
          <w:rStyle w:val="EndnoteReference"/>
          <w:caps/>
        </w:rPr>
        <w:endnoteReference w:id="16"/>
      </w:r>
      <w:r w:rsidR="00456784" w:rsidRPr="00216DF1">
        <w:t xml:space="preserve"> One </w:t>
      </w:r>
      <w:r w:rsidR="00DC3AE8" w:rsidRPr="00216DF1">
        <w:t>reporte</w:t>
      </w:r>
      <w:r w:rsidR="009E71D2" w:rsidRPr="00216DF1">
        <w:t xml:space="preserve">r summed </w:t>
      </w:r>
      <w:r w:rsidR="00D22DF5" w:rsidRPr="00216DF1">
        <w:t xml:space="preserve">up this </w:t>
      </w:r>
      <w:r w:rsidR="00F45BD0" w:rsidRPr="00216DF1">
        <w:t>concern</w:t>
      </w:r>
      <w:r w:rsidR="009E71D2" w:rsidRPr="00216DF1">
        <w:t>:</w:t>
      </w:r>
    </w:p>
    <w:p w14:paraId="2C984951" w14:textId="77777777" w:rsidR="00947824" w:rsidRPr="00216DF1" w:rsidRDefault="00947824" w:rsidP="00E06166">
      <w:pPr>
        <w:pStyle w:val="BodyTextMain"/>
        <w:ind w:left="720"/>
      </w:pPr>
    </w:p>
    <w:p w14:paraId="64298534" w14:textId="6AA3CCE0" w:rsidR="00B50454" w:rsidRPr="00216DF1" w:rsidRDefault="00947824" w:rsidP="00721D91">
      <w:pPr>
        <w:pStyle w:val="BodyTextMain"/>
        <w:ind w:left="720"/>
      </w:pPr>
      <w:r w:rsidRPr="00216DF1">
        <w:t>Start-up-land is all about momentum. With so many fast-growing Internet companies dotting downtown San Francisco and Palo Alto</w:t>
      </w:r>
      <w:r w:rsidR="00D42950" w:rsidRPr="00216DF1">
        <w:t>, California, why does a highly</w:t>
      </w:r>
      <w:r w:rsidR="00080E71" w:rsidRPr="00216DF1">
        <w:t xml:space="preserve"> </w:t>
      </w:r>
      <w:r w:rsidRPr="00216DF1">
        <w:t>coveted developer want to ride a sinking ship? A sideways or down financing round is seen as a sign of distress. Employees who thought an IPO was going to make them millionaires, or at least provide enough for a down payment on a home, start to see more promising opportunities elsewhere.</w:t>
      </w:r>
      <w:r w:rsidR="00FF6CD0" w:rsidRPr="00216DF1">
        <w:rPr>
          <w:rStyle w:val="EndnoteReference"/>
        </w:rPr>
        <w:endnoteReference w:id="17"/>
      </w:r>
    </w:p>
    <w:p w14:paraId="6FA82B47" w14:textId="77777777" w:rsidR="00947824" w:rsidRPr="00216DF1" w:rsidRDefault="00947824" w:rsidP="00E06166">
      <w:pPr>
        <w:pStyle w:val="BodyTextMain"/>
        <w:ind w:left="720"/>
      </w:pPr>
    </w:p>
    <w:p w14:paraId="7C5444B7" w14:textId="77777777" w:rsidR="0019046E" w:rsidRPr="00216DF1" w:rsidRDefault="0019046E" w:rsidP="00E06166">
      <w:pPr>
        <w:pStyle w:val="BodyTextMain"/>
        <w:ind w:left="720"/>
      </w:pPr>
    </w:p>
    <w:p w14:paraId="117CBD6F" w14:textId="2646F6B3" w:rsidR="0019046E" w:rsidRPr="00216DF1" w:rsidRDefault="0019046E" w:rsidP="00AC4702">
      <w:pPr>
        <w:pStyle w:val="Casehead1"/>
        <w:widowControl w:val="0"/>
        <w:outlineLvl w:val="0"/>
      </w:pPr>
      <w:r w:rsidRPr="00216DF1">
        <w:t>Square</w:t>
      </w:r>
    </w:p>
    <w:p w14:paraId="797BF9B4" w14:textId="77777777" w:rsidR="0019046E" w:rsidRPr="00216DF1" w:rsidRDefault="0019046E" w:rsidP="00AC4702">
      <w:pPr>
        <w:pStyle w:val="Casehead1"/>
        <w:widowControl w:val="0"/>
        <w:outlineLvl w:val="0"/>
      </w:pPr>
    </w:p>
    <w:p w14:paraId="27235D04" w14:textId="0D544ED2" w:rsidR="004619CB" w:rsidRPr="00216DF1" w:rsidRDefault="0019046E" w:rsidP="003754B7">
      <w:pPr>
        <w:pStyle w:val="BodyTextMain"/>
        <w:rPr>
          <w:b/>
          <w:caps/>
        </w:rPr>
      </w:pPr>
      <w:r w:rsidRPr="00216DF1">
        <w:t xml:space="preserve">Square </w:t>
      </w:r>
      <w:r w:rsidR="00E36105" w:rsidRPr="00216DF1">
        <w:t>was founded in F</w:t>
      </w:r>
      <w:r w:rsidR="00234D0D" w:rsidRPr="00216DF1">
        <w:t xml:space="preserve">ebruary of 2009 </w:t>
      </w:r>
      <w:r w:rsidR="004E5504" w:rsidRPr="00216DF1">
        <w:t>in San Francisco, California</w:t>
      </w:r>
      <w:r w:rsidR="00721D91" w:rsidRPr="00216DF1">
        <w:t>. It aimed</w:t>
      </w:r>
      <w:r w:rsidR="004E5504" w:rsidRPr="00216DF1">
        <w:t xml:space="preserve"> </w:t>
      </w:r>
      <w:r w:rsidR="00234D0D" w:rsidRPr="00216DF1">
        <w:t xml:space="preserve">to take advantage of the burgeoning </w:t>
      </w:r>
      <w:r w:rsidR="00923B7F" w:rsidRPr="00216DF1">
        <w:t>smart</w:t>
      </w:r>
      <w:r w:rsidR="00234D0D" w:rsidRPr="00216DF1">
        <w:t xml:space="preserve">phone market by providing a </w:t>
      </w:r>
      <w:r w:rsidR="009D3FBB" w:rsidRPr="00216DF1">
        <w:t>product</w:t>
      </w:r>
      <w:r w:rsidR="00234D0D" w:rsidRPr="00216DF1">
        <w:t xml:space="preserve"> that would allow anyone to accept credit card payments on </w:t>
      </w:r>
      <w:r w:rsidR="00721D91" w:rsidRPr="00216DF1">
        <w:t xml:space="preserve">a </w:t>
      </w:r>
      <w:r w:rsidR="00234D0D" w:rsidRPr="00216DF1">
        <w:t>mobile device.</w:t>
      </w:r>
      <w:r w:rsidR="009F115A" w:rsidRPr="00216DF1">
        <w:rPr>
          <w:rStyle w:val="EndnoteReference"/>
        </w:rPr>
        <w:endnoteReference w:id="18"/>
      </w:r>
      <w:r w:rsidR="00234D0D" w:rsidRPr="00216DF1">
        <w:t xml:space="preserve"> </w:t>
      </w:r>
      <w:r w:rsidR="005E7F3A" w:rsidRPr="00216DF1">
        <w:t>The company</w:t>
      </w:r>
      <w:r w:rsidR="00056BE8" w:rsidRPr="00216DF1">
        <w:t xml:space="preserve"> developed a</w:t>
      </w:r>
      <w:r w:rsidR="004C739E" w:rsidRPr="00216DF1">
        <w:t xml:space="preserve"> free software application</w:t>
      </w:r>
      <w:r w:rsidR="001006E5" w:rsidRPr="00216DF1">
        <w:t>, Square Register,</w:t>
      </w:r>
      <w:r w:rsidR="00027810" w:rsidRPr="00216DF1">
        <w:t xml:space="preserve"> </w:t>
      </w:r>
      <w:r w:rsidR="00721D91" w:rsidRPr="00216DF1">
        <w:t>and also provided</w:t>
      </w:r>
      <w:r w:rsidR="001006E5" w:rsidRPr="00216DF1">
        <w:t xml:space="preserve"> a</w:t>
      </w:r>
      <w:r w:rsidR="00056BE8" w:rsidRPr="00216DF1">
        <w:t xml:space="preserve"> </w:t>
      </w:r>
      <w:r w:rsidR="004C739E" w:rsidRPr="00216DF1">
        <w:t>hardware</w:t>
      </w:r>
      <w:r w:rsidR="00056BE8" w:rsidRPr="00216DF1">
        <w:t xml:space="preserve"> device</w:t>
      </w:r>
      <w:r w:rsidR="004E4C4E" w:rsidRPr="00216DF1">
        <w:t>, Square Reader,</w:t>
      </w:r>
      <w:r w:rsidR="00056BE8" w:rsidRPr="00216DF1">
        <w:t xml:space="preserve"> </w:t>
      </w:r>
      <w:r w:rsidR="004C739E" w:rsidRPr="00216DF1">
        <w:t>for free</w:t>
      </w:r>
      <w:r w:rsidR="00721D91" w:rsidRPr="00216DF1">
        <w:t>, which</w:t>
      </w:r>
      <w:r w:rsidR="004C739E" w:rsidRPr="00216DF1">
        <w:t xml:space="preserve"> </w:t>
      </w:r>
      <w:r w:rsidR="00721D91" w:rsidRPr="00216DF1">
        <w:t xml:space="preserve">gave it </w:t>
      </w:r>
      <w:r w:rsidR="001006E5" w:rsidRPr="00216DF1">
        <w:t xml:space="preserve">a competitive advantage over </w:t>
      </w:r>
      <w:r w:rsidR="005E7F3A" w:rsidRPr="00216DF1">
        <w:t xml:space="preserve">rivals offering </w:t>
      </w:r>
      <w:r w:rsidR="001006E5" w:rsidRPr="00216DF1">
        <w:t>costly</w:t>
      </w:r>
      <w:r w:rsidR="004C739E" w:rsidRPr="00216DF1">
        <w:t xml:space="preserve"> traditional </w:t>
      </w:r>
      <w:r w:rsidR="00056BE8" w:rsidRPr="00216DF1">
        <w:t>point-of-sale systems.</w:t>
      </w:r>
      <w:r w:rsidR="00961DF8" w:rsidRPr="00216DF1">
        <w:rPr>
          <w:rStyle w:val="EndnoteReference"/>
        </w:rPr>
        <w:endnoteReference w:id="19"/>
      </w:r>
      <w:r w:rsidR="00056BE8" w:rsidRPr="00216DF1">
        <w:t xml:space="preserve"> Based on a business model in which </w:t>
      </w:r>
      <w:r w:rsidR="00721D91" w:rsidRPr="00216DF1">
        <w:t xml:space="preserve">it </w:t>
      </w:r>
      <w:r w:rsidR="00056BE8" w:rsidRPr="00216DF1">
        <w:t>charged a fixed fee on credit card payments</w:t>
      </w:r>
      <w:r w:rsidR="00474C1A" w:rsidRPr="00216DF1">
        <w:t xml:space="preserve"> </w:t>
      </w:r>
      <w:r w:rsidR="00721D91" w:rsidRPr="00216DF1">
        <w:t xml:space="preserve">it </w:t>
      </w:r>
      <w:r w:rsidR="00474C1A" w:rsidRPr="00216DF1">
        <w:t>process</w:t>
      </w:r>
      <w:r w:rsidR="004E5504" w:rsidRPr="00216DF1">
        <w:t>ed</w:t>
      </w:r>
      <w:r w:rsidR="00056BE8" w:rsidRPr="00216DF1">
        <w:t xml:space="preserve">, </w:t>
      </w:r>
      <w:r w:rsidR="00721D91" w:rsidRPr="00216DF1">
        <w:t xml:space="preserve">Square </w:t>
      </w:r>
      <w:r w:rsidR="00B862F1" w:rsidRPr="00216DF1">
        <w:t xml:space="preserve">achieved rapid growth in </w:t>
      </w:r>
      <w:r w:rsidR="00B862F1" w:rsidRPr="00E06166">
        <w:t>gross payment volume</w:t>
      </w:r>
      <w:r w:rsidR="00721D91" w:rsidRPr="00216DF1">
        <w:t xml:space="preserve"> (</w:t>
      </w:r>
      <w:r w:rsidR="00474C1A" w:rsidRPr="00216DF1">
        <w:t>the value of payments processed</w:t>
      </w:r>
      <w:r w:rsidR="00721D91" w:rsidRPr="00216DF1">
        <w:t>)</w:t>
      </w:r>
      <w:r w:rsidR="005371BF" w:rsidRPr="00216DF1">
        <w:t xml:space="preserve">, but </w:t>
      </w:r>
      <w:r w:rsidR="00721D91" w:rsidRPr="00216DF1">
        <w:t xml:space="preserve">it </w:t>
      </w:r>
      <w:r w:rsidR="005371BF" w:rsidRPr="00216DF1">
        <w:t>had</w:t>
      </w:r>
      <w:r w:rsidR="00B862F1" w:rsidRPr="00216DF1">
        <w:t xml:space="preserve"> yet to beco</w:t>
      </w:r>
      <w:r w:rsidR="00AC4702" w:rsidRPr="00216DF1">
        <w:t>me profitable (see Exhibit 3).</w:t>
      </w:r>
      <w:r w:rsidR="00D75D35" w:rsidRPr="00216DF1">
        <w:rPr>
          <w:rStyle w:val="EndnoteReference"/>
        </w:rPr>
        <w:endnoteReference w:id="20"/>
      </w:r>
      <w:r w:rsidR="00AC4702" w:rsidRPr="00216DF1">
        <w:t xml:space="preserve"> </w:t>
      </w:r>
      <w:r w:rsidR="00B862F1" w:rsidRPr="00216DF1">
        <w:t xml:space="preserve">Gross payment volume </w:t>
      </w:r>
      <w:r w:rsidR="004619CB" w:rsidRPr="00216DF1">
        <w:t xml:space="preserve">grew by </w:t>
      </w:r>
      <w:r w:rsidR="00DE1183" w:rsidRPr="00216DF1">
        <w:t>over 125</w:t>
      </w:r>
      <w:r w:rsidR="00924DE6" w:rsidRPr="00216DF1">
        <w:t xml:space="preserve"> per cent</w:t>
      </w:r>
      <w:r w:rsidR="00DE1183" w:rsidRPr="00216DF1">
        <w:t xml:space="preserve"> in 2013 to nearly $15 billion and was on </w:t>
      </w:r>
      <w:r w:rsidR="00721D91" w:rsidRPr="00216DF1">
        <w:t xml:space="preserve">track </w:t>
      </w:r>
      <w:r w:rsidR="00DE1183" w:rsidRPr="00216DF1">
        <w:t>to grow to over $20 billion in 2014.</w:t>
      </w:r>
      <w:r w:rsidR="00D75D35" w:rsidRPr="00216DF1">
        <w:rPr>
          <w:rStyle w:val="EndnoteReference"/>
        </w:rPr>
        <w:endnoteReference w:id="21"/>
      </w:r>
    </w:p>
    <w:p w14:paraId="6CCA41B0" w14:textId="77777777" w:rsidR="006529D0" w:rsidRPr="00216DF1" w:rsidRDefault="006529D0" w:rsidP="008E6855">
      <w:pPr>
        <w:pStyle w:val="BodyTextMain"/>
      </w:pPr>
    </w:p>
    <w:p w14:paraId="586745AB" w14:textId="7510633E" w:rsidR="00760C92" w:rsidRPr="00216DF1" w:rsidRDefault="00B176B3" w:rsidP="003754B7">
      <w:pPr>
        <w:pStyle w:val="BodyTextMain"/>
        <w:rPr>
          <w:b/>
          <w:caps/>
        </w:rPr>
      </w:pPr>
      <w:r w:rsidRPr="00216DF1">
        <w:t>The</w:t>
      </w:r>
      <w:r w:rsidR="00B862F1" w:rsidRPr="00216DF1">
        <w:t xml:space="preserve"> total available market </w:t>
      </w:r>
      <w:r w:rsidRPr="00216DF1">
        <w:t>for U.S. payments</w:t>
      </w:r>
      <w:r w:rsidR="00721D91" w:rsidRPr="00216DF1">
        <w:t>,</w:t>
      </w:r>
      <w:r w:rsidRPr="00216DF1">
        <w:t xml:space="preserve"> $8.9 trillion </w:t>
      </w:r>
      <w:r w:rsidR="00760C92" w:rsidRPr="00216DF1">
        <w:t>i</w:t>
      </w:r>
      <w:r w:rsidRPr="00216DF1">
        <w:t>n 2013</w:t>
      </w:r>
      <w:r w:rsidR="00760C92" w:rsidRPr="00216DF1">
        <w:t xml:space="preserve">, </w:t>
      </w:r>
      <w:r w:rsidR="00721D91" w:rsidRPr="00216DF1">
        <w:t xml:space="preserve">included </w:t>
      </w:r>
      <w:r w:rsidR="00760C92" w:rsidRPr="00216DF1">
        <w:t xml:space="preserve">$4.9 </w:t>
      </w:r>
      <w:r w:rsidR="00DE1183" w:rsidRPr="00216DF1">
        <w:t xml:space="preserve">trillion </w:t>
      </w:r>
      <w:r w:rsidR="00760C92" w:rsidRPr="00216DF1">
        <w:t>from credit cards, $1.6 trillion from cash, and $1.0 trillio</w:t>
      </w:r>
      <w:r w:rsidR="00DE1183" w:rsidRPr="00216DF1">
        <w:t xml:space="preserve">n from </w:t>
      </w:r>
      <w:r w:rsidR="00721D91" w:rsidRPr="00216DF1">
        <w:t>cheques</w:t>
      </w:r>
      <w:r w:rsidR="00DE1183" w:rsidRPr="00216DF1">
        <w:t>, and the market was</w:t>
      </w:r>
      <w:r w:rsidR="00760C92" w:rsidRPr="00216DF1">
        <w:t xml:space="preserve"> forecast to reach $11.4 trillion by 2018.</w:t>
      </w:r>
      <w:r w:rsidR="00760C92" w:rsidRPr="00216DF1">
        <w:rPr>
          <w:rStyle w:val="EndnoteReference"/>
        </w:rPr>
        <w:endnoteReference w:id="22"/>
      </w:r>
      <w:r w:rsidR="00AC4702" w:rsidRPr="00216DF1">
        <w:t xml:space="preserve"> </w:t>
      </w:r>
      <w:r w:rsidR="000C7BE4" w:rsidRPr="00216DF1">
        <w:t xml:space="preserve">Square’s addressable </w:t>
      </w:r>
      <w:r w:rsidR="00DE1183" w:rsidRPr="00216DF1">
        <w:t>market, credit card payments, was</w:t>
      </w:r>
      <w:r w:rsidR="000C7BE4" w:rsidRPr="00216DF1">
        <w:t xml:space="preserve"> projected to grow by 66</w:t>
      </w:r>
      <w:r w:rsidR="00924DE6" w:rsidRPr="00216DF1">
        <w:t xml:space="preserve"> per cent</w:t>
      </w:r>
      <w:r w:rsidR="000C7BE4" w:rsidRPr="00216DF1">
        <w:t xml:space="preserve"> </w:t>
      </w:r>
      <w:r w:rsidR="00AD4F36" w:rsidRPr="00216DF1">
        <w:t xml:space="preserve">by </w:t>
      </w:r>
      <w:r w:rsidR="00AD4F36" w:rsidRPr="00216DF1">
        <w:lastRenderedPageBreak/>
        <w:t xml:space="preserve">2018, </w:t>
      </w:r>
      <w:r w:rsidR="000C7BE4" w:rsidRPr="00216DF1">
        <w:t>to $7.6 trillion.</w:t>
      </w:r>
      <w:r w:rsidR="000C7BE4" w:rsidRPr="00216DF1">
        <w:rPr>
          <w:rStyle w:val="EndnoteReference"/>
        </w:rPr>
        <w:endnoteReference w:id="23"/>
      </w:r>
      <w:r w:rsidR="000C7BE4" w:rsidRPr="00216DF1">
        <w:t xml:space="preserve"> To achieve market share within this addressable m</w:t>
      </w:r>
      <w:r w:rsidR="00DE1183" w:rsidRPr="00216DF1">
        <w:t>arket, Square</w:t>
      </w:r>
      <w:r w:rsidR="000C7BE4" w:rsidRPr="00216DF1">
        <w:t xml:space="preserve"> targeted small businesses</w:t>
      </w:r>
      <w:r w:rsidR="00415E14" w:rsidRPr="00216DF1">
        <w:t xml:space="preserve">. </w:t>
      </w:r>
      <w:r w:rsidR="002474FF" w:rsidRPr="00216DF1">
        <w:t>A</w:t>
      </w:r>
      <w:r w:rsidR="000C7BE4" w:rsidRPr="00216DF1">
        <w:t xml:space="preserve"> U.S.</w:t>
      </w:r>
      <w:r w:rsidR="00DE1183" w:rsidRPr="00216DF1">
        <w:t xml:space="preserve"> Small Business Administration</w:t>
      </w:r>
      <w:r w:rsidR="000C7BE4" w:rsidRPr="00216DF1">
        <w:t xml:space="preserve"> </w:t>
      </w:r>
      <w:r w:rsidR="00AD4F36" w:rsidRPr="00216DF1">
        <w:t xml:space="preserve">report estimated in </w:t>
      </w:r>
      <w:r w:rsidR="000C7BE4" w:rsidRPr="00216DF1">
        <w:t xml:space="preserve">March 2014 that </w:t>
      </w:r>
      <w:r w:rsidR="002474FF" w:rsidRPr="00216DF1">
        <w:t>around</w:t>
      </w:r>
      <w:r w:rsidR="000C7BE4" w:rsidRPr="00216DF1">
        <w:t xml:space="preserve"> 30 million small businesses generated 46</w:t>
      </w:r>
      <w:r w:rsidR="00924DE6" w:rsidRPr="00216DF1">
        <w:t xml:space="preserve"> per cent</w:t>
      </w:r>
      <w:r w:rsidR="000C7BE4" w:rsidRPr="00216DF1">
        <w:t xml:space="preserve"> of the </w:t>
      </w:r>
      <w:r w:rsidR="00B77AB7">
        <w:t>U</w:t>
      </w:r>
      <w:r w:rsidR="00CC23F2">
        <w:t>nited States’</w:t>
      </w:r>
      <w:r w:rsidR="000C7BE4" w:rsidRPr="00216DF1">
        <w:t xml:space="preserve"> private sector o</w:t>
      </w:r>
      <w:r w:rsidR="002474FF" w:rsidRPr="00216DF1">
        <w:t>utput.</w:t>
      </w:r>
      <w:r w:rsidR="002474FF" w:rsidRPr="00216DF1">
        <w:rPr>
          <w:rStyle w:val="EndnoteReference"/>
        </w:rPr>
        <w:endnoteReference w:id="24"/>
      </w:r>
      <w:r w:rsidR="00DC69C3" w:rsidRPr="00216DF1">
        <w:t xml:space="preserve"> </w:t>
      </w:r>
      <w:r w:rsidR="004E4C4E" w:rsidRPr="00216DF1">
        <w:t>A product such as Square Re</w:t>
      </w:r>
      <w:r w:rsidR="00DE1183" w:rsidRPr="00216DF1">
        <w:t>ader</w:t>
      </w:r>
      <w:r w:rsidR="004E4C4E" w:rsidRPr="00216DF1">
        <w:t xml:space="preserve"> was </w:t>
      </w:r>
      <w:r w:rsidR="00DC69C3" w:rsidRPr="00216DF1">
        <w:t>uniquely able to target sellers not included in these statistics</w:t>
      </w:r>
      <w:r w:rsidR="00AD4F36" w:rsidRPr="00216DF1">
        <w:t xml:space="preserve">—such as </w:t>
      </w:r>
      <w:r w:rsidR="00DC69C3" w:rsidRPr="00216DF1">
        <w:t xml:space="preserve">artists, </w:t>
      </w:r>
      <w:r w:rsidR="00EE3B0A" w:rsidRPr="00216DF1">
        <w:t>farmers</w:t>
      </w:r>
      <w:r w:rsidR="000A510B">
        <w:t>’</w:t>
      </w:r>
      <w:r w:rsidR="00EE3B0A" w:rsidRPr="00216DF1">
        <w:t xml:space="preserve"> market </w:t>
      </w:r>
      <w:r w:rsidR="00FE36A9" w:rsidRPr="00216DF1">
        <w:t>vendors</w:t>
      </w:r>
      <w:r w:rsidR="00EE3B0A" w:rsidRPr="00216DF1">
        <w:t xml:space="preserve">, </w:t>
      </w:r>
      <w:r w:rsidR="00FE36A9" w:rsidRPr="00216DF1">
        <w:t xml:space="preserve">and </w:t>
      </w:r>
      <w:r w:rsidR="00DC69C3" w:rsidRPr="00216DF1">
        <w:t>fre</w:t>
      </w:r>
      <w:r w:rsidR="00FE36A9" w:rsidRPr="00216DF1">
        <w:t>elancers</w:t>
      </w:r>
      <w:r w:rsidR="00AD4F36" w:rsidRPr="00216DF1">
        <w:t>—</w:t>
      </w:r>
      <w:r w:rsidR="00DE1183" w:rsidRPr="00216DF1">
        <w:t>who could</w:t>
      </w:r>
      <w:r w:rsidR="00DC69C3" w:rsidRPr="00216DF1">
        <w:t xml:space="preserve"> use Square’s software and hardware to begin accepting credit card payments</w:t>
      </w:r>
      <w:r w:rsidR="00A57971" w:rsidRPr="00216DF1">
        <w:t xml:space="preserve"> with </w:t>
      </w:r>
      <w:r w:rsidR="00AD4F36" w:rsidRPr="00216DF1">
        <w:t xml:space="preserve">minimal upfront costs </w:t>
      </w:r>
      <w:r w:rsidR="00A57971" w:rsidRPr="00216DF1">
        <w:t xml:space="preserve">or </w:t>
      </w:r>
      <w:r w:rsidR="00AD4F36" w:rsidRPr="00216DF1">
        <w:t>none at all</w:t>
      </w:r>
      <w:r w:rsidR="00DC69C3" w:rsidRPr="00216DF1">
        <w:t>.</w:t>
      </w:r>
    </w:p>
    <w:p w14:paraId="10612B9A" w14:textId="77777777" w:rsidR="00CB28C4" w:rsidRPr="00216DF1" w:rsidRDefault="00CB28C4" w:rsidP="003754B7">
      <w:pPr>
        <w:pStyle w:val="BodyTextMain"/>
        <w:rPr>
          <w:b/>
          <w:caps/>
        </w:rPr>
      </w:pPr>
    </w:p>
    <w:p w14:paraId="43A036C5" w14:textId="4AD416B7" w:rsidR="00CB28C4" w:rsidRPr="00216DF1" w:rsidRDefault="00CB28C4" w:rsidP="003754B7">
      <w:pPr>
        <w:pStyle w:val="BodyTextMain"/>
        <w:rPr>
          <w:b/>
          <w:caps/>
        </w:rPr>
      </w:pPr>
      <w:r w:rsidRPr="00216DF1">
        <w:t xml:space="preserve">In 2012, Starbucks </w:t>
      </w:r>
      <w:r w:rsidR="00517CBD">
        <w:t xml:space="preserve">Corporation (Starbucks) </w:t>
      </w:r>
      <w:r w:rsidRPr="00216DF1">
        <w:t xml:space="preserve">invested $25 million in </w:t>
      </w:r>
      <w:r w:rsidR="00283701">
        <w:t>Square’s</w:t>
      </w:r>
      <w:r w:rsidR="00283701" w:rsidRPr="00216DF1">
        <w:t xml:space="preserve"> </w:t>
      </w:r>
      <w:r w:rsidR="00CC23F2">
        <w:t>S</w:t>
      </w:r>
      <w:r w:rsidRPr="00216DF1">
        <w:t xml:space="preserve">eries D </w:t>
      </w:r>
      <w:r w:rsidR="00405872" w:rsidRPr="00216DF1">
        <w:t xml:space="preserve">round of </w:t>
      </w:r>
      <w:r w:rsidR="00284A32" w:rsidRPr="00216DF1">
        <w:t>financing</w:t>
      </w:r>
      <w:r w:rsidR="00405872" w:rsidRPr="00216DF1">
        <w:t xml:space="preserve"> and</w:t>
      </w:r>
      <w:r w:rsidRPr="00216DF1">
        <w:t xml:space="preserve"> </w:t>
      </w:r>
      <w:r w:rsidR="00AD4F36" w:rsidRPr="00216DF1">
        <w:t xml:space="preserve">chose </w:t>
      </w:r>
      <w:r w:rsidRPr="00216DF1">
        <w:t>Square to p</w:t>
      </w:r>
      <w:r w:rsidR="00DE1183" w:rsidRPr="00216DF1">
        <w:t>rocess all credit card transactions</w:t>
      </w:r>
      <w:r w:rsidRPr="00216DF1">
        <w:t xml:space="preserve"> at </w:t>
      </w:r>
      <w:r w:rsidR="00AD4F36" w:rsidRPr="00216DF1">
        <w:t xml:space="preserve">its </w:t>
      </w:r>
      <w:r w:rsidRPr="00216DF1">
        <w:t xml:space="preserve">7,000 U.S. </w:t>
      </w:r>
      <w:r w:rsidR="00284A32" w:rsidRPr="00216DF1">
        <w:t>locations</w:t>
      </w:r>
      <w:r w:rsidRPr="00216DF1">
        <w:t xml:space="preserve">. Starbucks </w:t>
      </w:r>
      <w:r w:rsidR="00AD4F36" w:rsidRPr="00216DF1">
        <w:t xml:space="preserve">chief executive officer, </w:t>
      </w:r>
      <w:r w:rsidRPr="00216DF1">
        <w:t>Howard Schultz</w:t>
      </w:r>
      <w:r w:rsidR="00AD4F36" w:rsidRPr="00216DF1">
        <w:t>,</w:t>
      </w:r>
      <w:r w:rsidRPr="00216DF1">
        <w:t xml:space="preserve"> </w:t>
      </w:r>
      <w:r w:rsidR="00284A32" w:rsidRPr="00216DF1">
        <w:t>stated that</w:t>
      </w:r>
      <w:r w:rsidRPr="00216DF1">
        <w:t xml:space="preserve"> Square was “the fastest-growing opportunity we’ve ever seen in terms of customer acceptance.”</w:t>
      </w:r>
      <w:r w:rsidR="00284A32" w:rsidRPr="00216DF1">
        <w:rPr>
          <w:rStyle w:val="EndnoteReference"/>
        </w:rPr>
        <w:endnoteReference w:id="25"/>
      </w:r>
      <w:r w:rsidR="007C4846" w:rsidRPr="00216DF1">
        <w:t xml:space="preserve"> However, in 2013</w:t>
      </w:r>
      <w:r w:rsidR="00AD4F36" w:rsidRPr="00216DF1">
        <w:t>,</w:t>
      </w:r>
      <w:r w:rsidR="007C4846" w:rsidRPr="00216DF1">
        <w:t xml:space="preserve"> Square reportedly lost $25 million from the Starbucks </w:t>
      </w:r>
      <w:r w:rsidR="009A4E6A" w:rsidRPr="00216DF1">
        <w:t xml:space="preserve">agreement, which </w:t>
      </w:r>
      <w:r w:rsidR="001006E5" w:rsidRPr="00216DF1">
        <w:t>ultimately provide</w:t>
      </w:r>
      <w:r w:rsidR="00AD4F36" w:rsidRPr="00216DF1">
        <w:t>d</w:t>
      </w:r>
      <w:r w:rsidR="001006E5" w:rsidRPr="00216DF1">
        <w:t xml:space="preserve"> disadvantageous terms for S</w:t>
      </w:r>
      <w:r w:rsidR="009A4E6A" w:rsidRPr="00216DF1">
        <w:t>quare,</w:t>
      </w:r>
      <w:r w:rsidR="007C4846" w:rsidRPr="00216DF1">
        <w:t xml:space="preserve"> </w:t>
      </w:r>
      <w:r w:rsidR="009A4E6A" w:rsidRPr="00216DF1">
        <w:t xml:space="preserve">and </w:t>
      </w:r>
      <w:r w:rsidR="00AD4F36" w:rsidRPr="00216DF1">
        <w:t>it was</w:t>
      </w:r>
      <w:r w:rsidR="009A4E6A" w:rsidRPr="00216DF1">
        <w:t xml:space="preserve"> expected to </w:t>
      </w:r>
      <w:r w:rsidR="00AD4F36" w:rsidRPr="00216DF1">
        <w:t xml:space="preserve">lose </w:t>
      </w:r>
      <w:r w:rsidR="009A4E6A" w:rsidRPr="00216DF1">
        <w:t xml:space="preserve">similar </w:t>
      </w:r>
      <w:r w:rsidR="00AD4F36" w:rsidRPr="00216DF1">
        <w:t xml:space="preserve">amounts </w:t>
      </w:r>
      <w:r w:rsidR="007C4846" w:rsidRPr="00216DF1">
        <w:t xml:space="preserve">until the contract </w:t>
      </w:r>
      <w:r w:rsidR="009A4E6A" w:rsidRPr="00216DF1">
        <w:t>expired in 2015.</w:t>
      </w:r>
      <w:r w:rsidR="009A4E6A" w:rsidRPr="00216DF1">
        <w:rPr>
          <w:rStyle w:val="EndnoteReference"/>
        </w:rPr>
        <w:endnoteReference w:id="26"/>
      </w:r>
    </w:p>
    <w:p w14:paraId="10434A18" w14:textId="77777777" w:rsidR="00DC69C3" w:rsidRPr="00216DF1" w:rsidRDefault="00DC69C3" w:rsidP="003754B7">
      <w:pPr>
        <w:pStyle w:val="BodyTextMain"/>
        <w:rPr>
          <w:b/>
          <w:caps/>
        </w:rPr>
      </w:pPr>
    </w:p>
    <w:p w14:paraId="4D24A2F9" w14:textId="2FA8A912" w:rsidR="00E60120" w:rsidRPr="00517CBD" w:rsidRDefault="00C3660C" w:rsidP="003754B7">
      <w:pPr>
        <w:pStyle w:val="BodyTextMain"/>
        <w:rPr>
          <w:b/>
          <w:caps/>
          <w:spacing w:val="-4"/>
          <w:kern w:val="22"/>
        </w:rPr>
      </w:pPr>
      <w:r w:rsidRPr="00517CBD">
        <w:rPr>
          <w:spacing w:val="-4"/>
          <w:kern w:val="22"/>
        </w:rPr>
        <w:t>By September of 2014, Square’s primary business model</w:t>
      </w:r>
      <w:r w:rsidR="00AD4F36" w:rsidRPr="00517CBD">
        <w:rPr>
          <w:spacing w:val="-4"/>
          <w:kern w:val="22"/>
        </w:rPr>
        <w:t>—</w:t>
      </w:r>
      <w:r w:rsidRPr="00517CBD">
        <w:rPr>
          <w:spacing w:val="-4"/>
          <w:kern w:val="22"/>
        </w:rPr>
        <w:t>charging a 2.75</w:t>
      </w:r>
      <w:r w:rsidR="00924DE6" w:rsidRPr="00517CBD">
        <w:rPr>
          <w:spacing w:val="-4"/>
          <w:kern w:val="22"/>
        </w:rPr>
        <w:t xml:space="preserve"> per cent</w:t>
      </w:r>
      <w:r w:rsidRPr="00517CBD">
        <w:rPr>
          <w:spacing w:val="-4"/>
          <w:kern w:val="22"/>
        </w:rPr>
        <w:t xml:space="preserve"> fee for all </w:t>
      </w:r>
      <w:r w:rsidR="000763BF" w:rsidRPr="00517CBD">
        <w:rPr>
          <w:spacing w:val="-4"/>
          <w:kern w:val="22"/>
        </w:rPr>
        <w:t>payments processed using its credit card reader</w:t>
      </w:r>
      <w:r w:rsidR="00AD4F36" w:rsidRPr="00517CBD">
        <w:rPr>
          <w:spacing w:val="-4"/>
          <w:kern w:val="22"/>
        </w:rPr>
        <w:t>,</w:t>
      </w:r>
      <w:r w:rsidR="000763BF" w:rsidRPr="00517CBD">
        <w:rPr>
          <w:spacing w:val="-4"/>
          <w:kern w:val="22"/>
        </w:rPr>
        <w:t xml:space="preserve"> which plug</w:t>
      </w:r>
      <w:r w:rsidR="00AD4F36" w:rsidRPr="00517CBD">
        <w:rPr>
          <w:spacing w:val="-4"/>
          <w:kern w:val="22"/>
        </w:rPr>
        <w:t xml:space="preserve">ged </w:t>
      </w:r>
      <w:r w:rsidR="000763BF" w:rsidRPr="00517CBD">
        <w:rPr>
          <w:spacing w:val="-4"/>
          <w:kern w:val="22"/>
        </w:rPr>
        <w:t xml:space="preserve">into the headphone jack of </w:t>
      </w:r>
      <w:r w:rsidR="00AD4F36" w:rsidRPr="00517CBD">
        <w:rPr>
          <w:spacing w:val="-4"/>
          <w:kern w:val="22"/>
        </w:rPr>
        <w:t>smart</w:t>
      </w:r>
      <w:r w:rsidR="000763BF" w:rsidRPr="00517CBD">
        <w:rPr>
          <w:spacing w:val="-4"/>
          <w:kern w:val="22"/>
        </w:rPr>
        <w:t>phones and tablets</w:t>
      </w:r>
      <w:r w:rsidR="00AD4F36" w:rsidRPr="00517CBD">
        <w:rPr>
          <w:spacing w:val="-4"/>
          <w:kern w:val="22"/>
        </w:rPr>
        <w:t>—</w:t>
      </w:r>
      <w:r w:rsidR="000763BF" w:rsidRPr="00517CBD">
        <w:rPr>
          <w:spacing w:val="-4"/>
          <w:kern w:val="22"/>
        </w:rPr>
        <w:t>was under attack</w:t>
      </w:r>
      <w:r w:rsidR="00415E14" w:rsidRPr="00517CBD">
        <w:rPr>
          <w:spacing w:val="-4"/>
          <w:kern w:val="22"/>
        </w:rPr>
        <w:t xml:space="preserve">. </w:t>
      </w:r>
      <w:r w:rsidR="000763BF" w:rsidRPr="00517CBD">
        <w:rPr>
          <w:spacing w:val="-4"/>
          <w:kern w:val="22"/>
        </w:rPr>
        <w:t xml:space="preserve">PayPal </w:t>
      </w:r>
      <w:r w:rsidR="00517CBD" w:rsidRPr="00517CBD">
        <w:rPr>
          <w:spacing w:val="-4"/>
          <w:kern w:val="22"/>
        </w:rPr>
        <w:t xml:space="preserve">Holdings Inc. </w:t>
      </w:r>
      <w:r w:rsidR="000763BF" w:rsidRPr="00517CBD">
        <w:rPr>
          <w:spacing w:val="-4"/>
          <w:kern w:val="22"/>
        </w:rPr>
        <w:t xml:space="preserve">introduced a similar device </w:t>
      </w:r>
      <w:r w:rsidR="00E934CE" w:rsidRPr="00517CBD">
        <w:rPr>
          <w:spacing w:val="-4"/>
          <w:kern w:val="22"/>
        </w:rPr>
        <w:t>with a 2.5</w:t>
      </w:r>
      <w:r w:rsidR="00924DE6" w:rsidRPr="00517CBD">
        <w:rPr>
          <w:spacing w:val="-4"/>
          <w:kern w:val="22"/>
        </w:rPr>
        <w:t xml:space="preserve"> per cent</w:t>
      </w:r>
      <w:r w:rsidR="00E934CE" w:rsidRPr="00517CBD">
        <w:rPr>
          <w:spacing w:val="-4"/>
          <w:kern w:val="22"/>
        </w:rPr>
        <w:t xml:space="preserve"> fee in March of 2012, and i</w:t>
      </w:r>
      <w:r w:rsidR="000763BF" w:rsidRPr="00517CBD">
        <w:rPr>
          <w:spacing w:val="-4"/>
          <w:kern w:val="22"/>
        </w:rPr>
        <w:t>n August 2014, Amazon</w:t>
      </w:r>
      <w:r w:rsidR="00517CBD" w:rsidRPr="00517CBD">
        <w:rPr>
          <w:spacing w:val="-4"/>
          <w:kern w:val="22"/>
        </w:rPr>
        <w:t>.com</w:t>
      </w:r>
      <w:r w:rsidR="000763BF" w:rsidRPr="00517CBD">
        <w:rPr>
          <w:spacing w:val="-4"/>
          <w:kern w:val="22"/>
        </w:rPr>
        <w:t xml:space="preserve"> launched a competing device with a temporary introductory fee of 1.75</w:t>
      </w:r>
      <w:r w:rsidR="00924DE6" w:rsidRPr="00517CBD">
        <w:rPr>
          <w:spacing w:val="-4"/>
          <w:kern w:val="22"/>
        </w:rPr>
        <w:t xml:space="preserve"> per cent</w:t>
      </w:r>
      <w:r w:rsidR="00A57971" w:rsidRPr="00517CBD">
        <w:rPr>
          <w:spacing w:val="-4"/>
          <w:kern w:val="22"/>
        </w:rPr>
        <w:t>.</w:t>
      </w:r>
      <w:r w:rsidR="00A57971" w:rsidRPr="00517CBD">
        <w:rPr>
          <w:rStyle w:val="EndnoteReference"/>
          <w:spacing w:val="-4"/>
          <w:kern w:val="22"/>
        </w:rPr>
        <w:endnoteReference w:id="27"/>
      </w:r>
      <w:r w:rsidR="00572F75" w:rsidRPr="00517CBD">
        <w:rPr>
          <w:spacing w:val="-4"/>
          <w:kern w:val="22"/>
        </w:rPr>
        <w:t xml:space="preserve"> One analyst</w:t>
      </w:r>
      <w:r w:rsidR="004C1B4D" w:rsidRPr="00517CBD">
        <w:rPr>
          <w:spacing w:val="-4"/>
          <w:kern w:val="22"/>
        </w:rPr>
        <w:t xml:space="preserve"> estimate</w:t>
      </w:r>
      <w:r w:rsidR="00572F75" w:rsidRPr="00517CBD">
        <w:rPr>
          <w:spacing w:val="-4"/>
          <w:kern w:val="22"/>
        </w:rPr>
        <w:t>d</w:t>
      </w:r>
      <w:r w:rsidR="007451B4" w:rsidRPr="00517CBD">
        <w:rPr>
          <w:spacing w:val="-4"/>
          <w:kern w:val="22"/>
        </w:rPr>
        <w:t xml:space="preserve"> that</w:t>
      </w:r>
      <w:r w:rsidR="00E43BD8" w:rsidRPr="00517CBD">
        <w:rPr>
          <w:spacing w:val="-4"/>
          <w:kern w:val="22"/>
        </w:rPr>
        <w:t xml:space="preserve"> </w:t>
      </w:r>
      <w:r w:rsidR="007451B4" w:rsidRPr="00517CBD">
        <w:rPr>
          <w:spacing w:val="-4"/>
          <w:kern w:val="22"/>
        </w:rPr>
        <w:t>Square payed</w:t>
      </w:r>
      <w:r w:rsidR="004C1B4D" w:rsidRPr="00517CBD">
        <w:rPr>
          <w:spacing w:val="-4"/>
          <w:kern w:val="22"/>
        </w:rPr>
        <w:t xml:space="preserve"> about </w:t>
      </w:r>
      <w:r w:rsidR="00F82280" w:rsidRPr="00517CBD">
        <w:rPr>
          <w:spacing w:val="-4"/>
          <w:kern w:val="22"/>
        </w:rPr>
        <w:t>$1.82</w:t>
      </w:r>
      <w:r w:rsidR="00284A32" w:rsidRPr="00517CBD">
        <w:rPr>
          <w:spacing w:val="-4"/>
          <w:kern w:val="22"/>
        </w:rPr>
        <w:t xml:space="preserve"> of its</w:t>
      </w:r>
      <w:r w:rsidR="004C1B4D" w:rsidRPr="00517CBD">
        <w:rPr>
          <w:spacing w:val="-4"/>
          <w:kern w:val="22"/>
        </w:rPr>
        <w:t xml:space="preserve"> </w:t>
      </w:r>
      <w:r w:rsidR="00F82280" w:rsidRPr="00517CBD">
        <w:rPr>
          <w:spacing w:val="-4"/>
          <w:kern w:val="22"/>
        </w:rPr>
        <w:t xml:space="preserve">$2.75 </w:t>
      </w:r>
      <w:r w:rsidR="00284A32" w:rsidRPr="00517CBD">
        <w:rPr>
          <w:spacing w:val="-4"/>
          <w:kern w:val="22"/>
        </w:rPr>
        <w:t>fee</w:t>
      </w:r>
      <w:r w:rsidR="004C1B4D" w:rsidRPr="00517CBD">
        <w:rPr>
          <w:spacing w:val="-4"/>
          <w:kern w:val="22"/>
        </w:rPr>
        <w:t xml:space="preserve"> </w:t>
      </w:r>
      <w:r w:rsidR="00923B7F" w:rsidRPr="00517CBD">
        <w:rPr>
          <w:spacing w:val="-4"/>
          <w:kern w:val="22"/>
        </w:rPr>
        <w:t xml:space="preserve">on </w:t>
      </w:r>
      <w:r w:rsidR="000A510B" w:rsidRPr="00517CBD">
        <w:rPr>
          <w:spacing w:val="-4"/>
          <w:kern w:val="22"/>
        </w:rPr>
        <w:t>each</w:t>
      </w:r>
      <w:r w:rsidR="00923B7F" w:rsidRPr="00517CBD">
        <w:rPr>
          <w:spacing w:val="-4"/>
          <w:kern w:val="22"/>
        </w:rPr>
        <w:t xml:space="preserve"> $100 transaction </w:t>
      </w:r>
      <w:r w:rsidR="004C1B4D" w:rsidRPr="00517CBD">
        <w:rPr>
          <w:spacing w:val="-4"/>
          <w:kern w:val="22"/>
        </w:rPr>
        <w:t xml:space="preserve">to process </w:t>
      </w:r>
      <w:r w:rsidR="000A510B" w:rsidRPr="00517CBD">
        <w:rPr>
          <w:spacing w:val="-4"/>
          <w:kern w:val="22"/>
        </w:rPr>
        <w:t xml:space="preserve">the </w:t>
      </w:r>
      <w:r w:rsidR="004C1B4D" w:rsidRPr="00517CBD">
        <w:rPr>
          <w:spacing w:val="-4"/>
          <w:kern w:val="22"/>
        </w:rPr>
        <w:t>transaction</w:t>
      </w:r>
      <w:r w:rsidR="00923B7F" w:rsidRPr="00517CBD">
        <w:rPr>
          <w:spacing w:val="-4"/>
          <w:kern w:val="22"/>
        </w:rPr>
        <w:t xml:space="preserve"> and</w:t>
      </w:r>
      <w:r w:rsidR="004C1B4D" w:rsidRPr="00517CBD">
        <w:rPr>
          <w:spacing w:val="-4"/>
          <w:kern w:val="22"/>
        </w:rPr>
        <w:t xml:space="preserve"> </w:t>
      </w:r>
      <w:r w:rsidR="00923B7F" w:rsidRPr="00517CBD">
        <w:rPr>
          <w:spacing w:val="-4"/>
          <w:kern w:val="22"/>
        </w:rPr>
        <w:t xml:space="preserve">kept </w:t>
      </w:r>
      <w:r w:rsidR="00F82280" w:rsidRPr="00517CBD">
        <w:rPr>
          <w:spacing w:val="-4"/>
          <w:kern w:val="22"/>
        </w:rPr>
        <w:t>about $0.93</w:t>
      </w:r>
      <w:r w:rsidR="00572F75" w:rsidRPr="00517CBD">
        <w:rPr>
          <w:spacing w:val="-4"/>
          <w:kern w:val="22"/>
        </w:rPr>
        <w:t>, so price competition could erode the already small profit margin.</w:t>
      </w:r>
      <w:r w:rsidR="00572F75" w:rsidRPr="00517CBD">
        <w:rPr>
          <w:rStyle w:val="EndnoteReference"/>
          <w:spacing w:val="-4"/>
          <w:kern w:val="22"/>
        </w:rPr>
        <w:endnoteReference w:id="28"/>
      </w:r>
    </w:p>
    <w:p w14:paraId="3193091D" w14:textId="77777777" w:rsidR="00A57971" w:rsidRPr="00216DF1" w:rsidRDefault="00A57971" w:rsidP="003754B7">
      <w:pPr>
        <w:pStyle w:val="BodyTextMain"/>
        <w:rPr>
          <w:b/>
          <w:caps/>
        </w:rPr>
      </w:pPr>
    </w:p>
    <w:p w14:paraId="6FD001F2" w14:textId="3BD420E0" w:rsidR="00DC69C3" w:rsidRPr="00216DF1" w:rsidRDefault="001006E5" w:rsidP="003754B7">
      <w:pPr>
        <w:pStyle w:val="BodyTextMain"/>
        <w:rPr>
          <w:b/>
          <w:caps/>
        </w:rPr>
      </w:pPr>
      <w:r w:rsidRPr="00216DF1">
        <w:t>In</w:t>
      </w:r>
      <w:r w:rsidR="00A57971" w:rsidRPr="00216DF1">
        <w:t xml:space="preserve"> </w:t>
      </w:r>
      <w:r w:rsidRPr="00216DF1">
        <w:t>search of</w:t>
      </w:r>
      <w:r w:rsidR="009C5033" w:rsidRPr="00216DF1">
        <w:t xml:space="preserve"> more profitable lines of business, </w:t>
      </w:r>
      <w:r w:rsidR="00A57971" w:rsidRPr="00216DF1">
        <w:t>Square was in the early stages of testing complementary product offerings</w:t>
      </w:r>
      <w:r w:rsidR="00415E14" w:rsidRPr="00216DF1">
        <w:t xml:space="preserve">. </w:t>
      </w:r>
      <w:r w:rsidR="00A57971" w:rsidRPr="00216DF1">
        <w:t xml:space="preserve">In November 2013, </w:t>
      </w:r>
      <w:r w:rsidR="00923B7F" w:rsidRPr="00216DF1">
        <w:t xml:space="preserve">it </w:t>
      </w:r>
      <w:r w:rsidR="006020E1" w:rsidRPr="00216DF1">
        <w:t>launched a new service called Square Cash, which allow</w:t>
      </w:r>
      <w:r w:rsidR="00D00A63" w:rsidRPr="00216DF1">
        <w:t>ed</w:t>
      </w:r>
      <w:r w:rsidR="006020E1" w:rsidRPr="00216DF1">
        <w:t xml:space="preserve"> anyone to send and receive money over </w:t>
      </w:r>
      <w:r w:rsidR="00A57971" w:rsidRPr="00216DF1">
        <w:t xml:space="preserve">email or </w:t>
      </w:r>
      <w:r w:rsidR="000A510B">
        <w:t xml:space="preserve">via </w:t>
      </w:r>
      <w:r w:rsidR="00A57971" w:rsidRPr="00216DF1">
        <w:t>a mobile application.</w:t>
      </w:r>
      <w:r w:rsidR="00A57971" w:rsidRPr="00216DF1">
        <w:rPr>
          <w:rStyle w:val="EndnoteReference"/>
        </w:rPr>
        <w:endnoteReference w:id="29"/>
      </w:r>
      <w:r w:rsidR="00CF2C8F" w:rsidRPr="00216DF1">
        <w:t xml:space="preserve"> However, one analyst estimated that </w:t>
      </w:r>
      <w:r w:rsidR="00923B7F" w:rsidRPr="00216DF1">
        <w:t xml:space="preserve">Square </w:t>
      </w:r>
      <w:r w:rsidRPr="00216DF1">
        <w:t>lost $0.25 on each Square C</w:t>
      </w:r>
      <w:r w:rsidR="00CF2C8F" w:rsidRPr="00216DF1">
        <w:t>ash transaction.</w:t>
      </w:r>
      <w:r w:rsidR="00CF2C8F" w:rsidRPr="00216DF1">
        <w:rPr>
          <w:rStyle w:val="EndnoteReference"/>
        </w:rPr>
        <w:endnoteReference w:id="30"/>
      </w:r>
      <w:r w:rsidR="00A856C0">
        <w:t xml:space="preserve"> </w:t>
      </w:r>
    </w:p>
    <w:p w14:paraId="56B26155" w14:textId="77777777" w:rsidR="00CF2C8F" w:rsidRPr="00216DF1" w:rsidRDefault="00CF2C8F" w:rsidP="003754B7">
      <w:pPr>
        <w:pStyle w:val="BodyTextMain"/>
        <w:rPr>
          <w:b/>
          <w:caps/>
        </w:rPr>
      </w:pPr>
    </w:p>
    <w:p w14:paraId="144CD7B1" w14:textId="529F7E8F" w:rsidR="00CF2C8F" w:rsidRPr="00DC149A" w:rsidRDefault="00056BE8" w:rsidP="003754B7">
      <w:pPr>
        <w:pStyle w:val="BodyTextMain"/>
        <w:rPr>
          <w:b/>
          <w:caps/>
          <w:spacing w:val="-2"/>
          <w:kern w:val="22"/>
        </w:rPr>
      </w:pPr>
      <w:r w:rsidRPr="00DC149A">
        <w:rPr>
          <w:spacing w:val="-2"/>
          <w:kern w:val="22"/>
        </w:rPr>
        <w:t>Along with</w:t>
      </w:r>
      <w:r w:rsidR="00CF2C8F" w:rsidRPr="00DC149A">
        <w:rPr>
          <w:spacing w:val="-2"/>
          <w:kern w:val="22"/>
        </w:rPr>
        <w:t xml:space="preserve"> Square Cash, the company </w:t>
      </w:r>
      <w:r w:rsidR="001006E5" w:rsidRPr="00DC149A">
        <w:rPr>
          <w:spacing w:val="-2"/>
          <w:kern w:val="22"/>
        </w:rPr>
        <w:t xml:space="preserve">had </w:t>
      </w:r>
      <w:r w:rsidR="00CF2C8F" w:rsidRPr="00DC149A">
        <w:rPr>
          <w:spacing w:val="-2"/>
          <w:kern w:val="22"/>
        </w:rPr>
        <w:t>started several more products</w:t>
      </w:r>
      <w:r w:rsidR="00674FCC" w:rsidRPr="00DC149A">
        <w:rPr>
          <w:spacing w:val="-2"/>
          <w:kern w:val="22"/>
        </w:rPr>
        <w:t xml:space="preserve"> by </w:t>
      </w:r>
      <w:r w:rsidR="007D200D" w:rsidRPr="00DC149A">
        <w:rPr>
          <w:spacing w:val="-2"/>
          <w:kern w:val="22"/>
        </w:rPr>
        <w:t xml:space="preserve">September </w:t>
      </w:r>
      <w:r w:rsidR="00674FCC" w:rsidRPr="00DC149A">
        <w:rPr>
          <w:spacing w:val="-2"/>
          <w:kern w:val="22"/>
        </w:rPr>
        <w:t>2014</w:t>
      </w:r>
      <w:r w:rsidR="00CF2C8F" w:rsidRPr="00DC149A">
        <w:rPr>
          <w:spacing w:val="-2"/>
          <w:kern w:val="22"/>
        </w:rPr>
        <w:t xml:space="preserve">, including </w:t>
      </w:r>
      <w:r w:rsidR="00B117AF" w:rsidRPr="00DC149A">
        <w:rPr>
          <w:spacing w:val="-2"/>
          <w:kern w:val="22"/>
        </w:rPr>
        <w:t>Square Capital</w:t>
      </w:r>
      <w:r w:rsidR="00D510E8" w:rsidRPr="00DC149A">
        <w:rPr>
          <w:spacing w:val="-2"/>
          <w:kern w:val="22"/>
        </w:rPr>
        <w:t>, which provided</w:t>
      </w:r>
      <w:r w:rsidR="00B117AF" w:rsidRPr="00DC149A">
        <w:rPr>
          <w:spacing w:val="-2"/>
          <w:kern w:val="22"/>
        </w:rPr>
        <w:t xml:space="preserve"> cash advances to merchants in exchange for a percentage</w:t>
      </w:r>
      <w:r w:rsidR="00674FCC" w:rsidRPr="00DC149A">
        <w:rPr>
          <w:spacing w:val="-2"/>
          <w:kern w:val="22"/>
        </w:rPr>
        <w:t xml:space="preserve"> of future sales; </w:t>
      </w:r>
      <w:r w:rsidR="00CE0B84" w:rsidRPr="00DC149A">
        <w:rPr>
          <w:spacing w:val="-2"/>
          <w:kern w:val="22"/>
        </w:rPr>
        <w:t xml:space="preserve">Square </w:t>
      </w:r>
      <w:r w:rsidR="00CF2C8F" w:rsidRPr="00DC149A">
        <w:rPr>
          <w:spacing w:val="-2"/>
          <w:kern w:val="22"/>
        </w:rPr>
        <w:t xml:space="preserve">Order, an application that </w:t>
      </w:r>
      <w:r w:rsidR="00D510E8" w:rsidRPr="00DC149A">
        <w:rPr>
          <w:spacing w:val="-2"/>
          <w:kern w:val="22"/>
        </w:rPr>
        <w:t>allowed</w:t>
      </w:r>
      <w:r w:rsidR="007D200D" w:rsidRPr="00DC149A">
        <w:rPr>
          <w:spacing w:val="-2"/>
          <w:kern w:val="22"/>
        </w:rPr>
        <w:t xml:space="preserve"> customers to</w:t>
      </w:r>
      <w:r w:rsidR="00CF2C8F" w:rsidRPr="00DC149A">
        <w:rPr>
          <w:spacing w:val="-2"/>
          <w:kern w:val="22"/>
        </w:rPr>
        <w:t xml:space="preserve"> </w:t>
      </w:r>
      <w:r w:rsidR="00DF2241" w:rsidRPr="00DC149A">
        <w:rPr>
          <w:spacing w:val="-2"/>
          <w:kern w:val="22"/>
        </w:rPr>
        <w:t xml:space="preserve">pre-order at restaurants; </w:t>
      </w:r>
      <w:r w:rsidR="00AC6841" w:rsidRPr="00DC149A">
        <w:rPr>
          <w:spacing w:val="-2"/>
          <w:kern w:val="22"/>
        </w:rPr>
        <w:t xml:space="preserve">Square Market, a tool </w:t>
      </w:r>
      <w:r w:rsidR="00923B7F" w:rsidRPr="00DC149A">
        <w:rPr>
          <w:spacing w:val="-2"/>
          <w:kern w:val="22"/>
        </w:rPr>
        <w:t xml:space="preserve">that </w:t>
      </w:r>
      <w:r w:rsidR="00D510E8" w:rsidRPr="00DC149A">
        <w:rPr>
          <w:spacing w:val="-2"/>
          <w:kern w:val="22"/>
        </w:rPr>
        <w:t>helped</w:t>
      </w:r>
      <w:r w:rsidR="00AC6841" w:rsidRPr="00DC149A">
        <w:rPr>
          <w:spacing w:val="-2"/>
          <w:kern w:val="22"/>
        </w:rPr>
        <w:t xml:space="preserve"> merchan</w:t>
      </w:r>
      <w:r w:rsidR="00674FCC" w:rsidRPr="00DC149A">
        <w:rPr>
          <w:spacing w:val="-2"/>
          <w:kern w:val="22"/>
        </w:rPr>
        <w:t>ts deve</w:t>
      </w:r>
      <w:r w:rsidR="001A1F86" w:rsidRPr="00DC149A">
        <w:rPr>
          <w:spacing w:val="-2"/>
          <w:kern w:val="22"/>
        </w:rPr>
        <w:t>lop online store</w:t>
      </w:r>
      <w:r w:rsidR="00923B7F" w:rsidRPr="00DC149A">
        <w:rPr>
          <w:spacing w:val="-2"/>
          <w:kern w:val="22"/>
        </w:rPr>
        <w:t>s</w:t>
      </w:r>
      <w:r w:rsidR="001A1F86" w:rsidRPr="00DC149A">
        <w:rPr>
          <w:spacing w:val="-2"/>
          <w:kern w:val="22"/>
        </w:rPr>
        <w:t>;</w:t>
      </w:r>
      <w:r w:rsidR="00674FCC" w:rsidRPr="00DC149A">
        <w:rPr>
          <w:spacing w:val="-2"/>
          <w:kern w:val="22"/>
        </w:rPr>
        <w:t xml:space="preserve"> Appointments, an online scheduling tool</w:t>
      </w:r>
      <w:r w:rsidR="004E1392" w:rsidRPr="00DC149A">
        <w:rPr>
          <w:spacing w:val="-2"/>
          <w:kern w:val="22"/>
        </w:rPr>
        <w:t xml:space="preserve">; </w:t>
      </w:r>
      <w:r w:rsidR="000C5A20" w:rsidRPr="00DC149A">
        <w:rPr>
          <w:spacing w:val="-2"/>
          <w:kern w:val="22"/>
        </w:rPr>
        <w:t>Feedback</w:t>
      </w:r>
      <w:r w:rsidR="00D510E8" w:rsidRPr="00DC149A">
        <w:rPr>
          <w:spacing w:val="-2"/>
          <w:kern w:val="22"/>
        </w:rPr>
        <w:t>, which allowed</w:t>
      </w:r>
      <w:r w:rsidR="000C5A20" w:rsidRPr="00DC149A">
        <w:rPr>
          <w:spacing w:val="-2"/>
          <w:kern w:val="22"/>
        </w:rPr>
        <w:t xml:space="preserve"> customers to privately message a business with feedback about their experience; </w:t>
      </w:r>
      <w:r w:rsidR="000D5B38" w:rsidRPr="00DC149A">
        <w:rPr>
          <w:spacing w:val="-2"/>
          <w:kern w:val="22"/>
        </w:rPr>
        <w:t xml:space="preserve">Dashboard, </w:t>
      </w:r>
      <w:r w:rsidR="00923B7F" w:rsidRPr="00DC149A">
        <w:rPr>
          <w:spacing w:val="-2"/>
          <w:kern w:val="22"/>
        </w:rPr>
        <w:t>which</w:t>
      </w:r>
      <w:r w:rsidR="000D5B38" w:rsidRPr="00DC149A">
        <w:rPr>
          <w:spacing w:val="-2"/>
          <w:kern w:val="22"/>
        </w:rPr>
        <w:t xml:space="preserve"> </w:t>
      </w:r>
      <w:r w:rsidR="00923B7F" w:rsidRPr="00DC149A">
        <w:rPr>
          <w:spacing w:val="-2"/>
          <w:kern w:val="22"/>
        </w:rPr>
        <w:t xml:space="preserve">provided </w:t>
      </w:r>
      <w:r w:rsidR="000D5B38" w:rsidRPr="00DC149A">
        <w:rPr>
          <w:spacing w:val="-2"/>
          <w:kern w:val="22"/>
        </w:rPr>
        <w:t>snapshot</w:t>
      </w:r>
      <w:r w:rsidR="00923B7F" w:rsidRPr="00DC149A">
        <w:rPr>
          <w:spacing w:val="-2"/>
          <w:kern w:val="22"/>
        </w:rPr>
        <w:t>s</w:t>
      </w:r>
      <w:r w:rsidR="000D5B38" w:rsidRPr="00DC149A">
        <w:rPr>
          <w:spacing w:val="-2"/>
          <w:kern w:val="22"/>
        </w:rPr>
        <w:t xml:space="preserve"> of a </w:t>
      </w:r>
      <w:r w:rsidR="00CF1A37" w:rsidRPr="00DC149A">
        <w:rPr>
          <w:spacing w:val="-2"/>
          <w:kern w:val="22"/>
        </w:rPr>
        <w:t>company’s</w:t>
      </w:r>
      <w:r w:rsidR="000D5B38" w:rsidRPr="00DC149A">
        <w:rPr>
          <w:spacing w:val="-2"/>
          <w:kern w:val="22"/>
        </w:rPr>
        <w:t xml:space="preserve"> activities</w:t>
      </w:r>
      <w:r w:rsidR="007D200D" w:rsidRPr="00DC149A">
        <w:rPr>
          <w:spacing w:val="-2"/>
          <w:kern w:val="22"/>
        </w:rPr>
        <w:t>;</w:t>
      </w:r>
      <w:r w:rsidR="000D5B38" w:rsidRPr="00DC149A">
        <w:rPr>
          <w:spacing w:val="-2"/>
          <w:kern w:val="22"/>
        </w:rPr>
        <w:t xml:space="preserve"> </w:t>
      </w:r>
      <w:r w:rsidR="00674FCC" w:rsidRPr="00DC149A">
        <w:rPr>
          <w:spacing w:val="-2"/>
          <w:kern w:val="22"/>
        </w:rPr>
        <w:t>and Open Tickets, an online tool for restaurants to manage reservations.</w:t>
      </w:r>
      <w:r w:rsidR="000D5B38" w:rsidRPr="00DC149A">
        <w:rPr>
          <w:rStyle w:val="EndnoteReference"/>
          <w:spacing w:val="-2"/>
          <w:kern w:val="22"/>
        </w:rPr>
        <w:endnoteReference w:id="31"/>
      </w:r>
    </w:p>
    <w:p w14:paraId="7F319903" w14:textId="77777777" w:rsidR="00674FCC" w:rsidRPr="00216DF1" w:rsidRDefault="00674FCC" w:rsidP="003754B7">
      <w:pPr>
        <w:pStyle w:val="BodyTextMain"/>
        <w:rPr>
          <w:b/>
          <w:caps/>
        </w:rPr>
      </w:pPr>
    </w:p>
    <w:p w14:paraId="2CC7FD81" w14:textId="4BC71581" w:rsidR="00674FCC" w:rsidRPr="00DC149A" w:rsidRDefault="00674FCC" w:rsidP="003754B7">
      <w:pPr>
        <w:pStyle w:val="BodyTextMain"/>
        <w:rPr>
          <w:b/>
          <w:caps/>
          <w:spacing w:val="-6"/>
          <w:kern w:val="22"/>
        </w:rPr>
      </w:pPr>
      <w:r w:rsidRPr="00DC149A">
        <w:rPr>
          <w:spacing w:val="-6"/>
          <w:kern w:val="22"/>
        </w:rPr>
        <w:t xml:space="preserve">By September 2014, </w:t>
      </w:r>
      <w:r w:rsidR="007C26CA" w:rsidRPr="00DC149A">
        <w:rPr>
          <w:spacing w:val="-6"/>
          <w:kern w:val="22"/>
        </w:rPr>
        <w:t>one observer</w:t>
      </w:r>
      <w:r w:rsidR="004E1392" w:rsidRPr="00DC149A">
        <w:rPr>
          <w:spacing w:val="-6"/>
          <w:kern w:val="22"/>
        </w:rPr>
        <w:t xml:space="preserve"> noted that </w:t>
      </w:r>
      <w:r w:rsidR="00590E13" w:rsidRPr="00DC149A">
        <w:rPr>
          <w:spacing w:val="-6"/>
          <w:kern w:val="22"/>
        </w:rPr>
        <w:t xml:space="preserve">the rapid creation of new businesses in the face of cutthroat competition in the payment-processing market </w:t>
      </w:r>
      <w:r w:rsidR="004E1392" w:rsidRPr="00DC149A">
        <w:rPr>
          <w:spacing w:val="-6"/>
          <w:kern w:val="22"/>
        </w:rPr>
        <w:t>“makes it easy to wonder whether the company is in panic mode</w:t>
      </w:r>
      <w:r w:rsidR="00590E13" w:rsidRPr="00DC149A">
        <w:rPr>
          <w:spacing w:val="-6"/>
          <w:kern w:val="22"/>
        </w:rPr>
        <w:t>.”</w:t>
      </w:r>
      <w:r w:rsidR="003105A9" w:rsidRPr="00DC149A">
        <w:rPr>
          <w:rStyle w:val="EndnoteReference"/>
          <w:spacing w:val="-6"/>
          <w:kern w:val="22"/>
        </w:rPr>
        <w:endnoteReference w:id="32"/>
      </w:r>
      <w:r w:rsidR="00A856C0" w:rsidRPr="00DC149A">
        <w:rPr>
          <w:spacing w:val="-6"/>
          <w:kern w:val="22"/>
        </w:rPr>
        <w:t xml:space="preserve"> </w:t>
      </w:r>
    </w:p>
    <w:p w14:paraId="1B9F984B" w14:textId="77777777" w:rsidR="00606402" w:rsidRPr="00216DF1" w:rsidRDefault="00606402" w:rsidP="003754B7">
      <w:pPr>
        <w:pStyle w:val="BodyTextMain"/>
        <w:rPr>
          <w:b/>
          <w:caps/>
        </w:rPr>
      </w:pPr>
    </w:p>
    <w:p w14:paraId="3049FBC9" w14:textId="77777777" w:rsidR="000E4C3B" w:rsidRPr="00216DF1" w:rsidRDefault="000E4C3B" w:rsidP="008E6855">
      <w:pPr>
        <w:pStyle w:val="BodyTextMain"/>
      </w:pPr>
    </w:p>
    <w:p w14:paraId="37E7E0A1" w14:textId="01C2890D" w:rsidR="00FE1978" w:rsidRPr="00216DF1" w:rsidRDefault="00FE1978" w:rsidP="00FE1978">
      <w:pPr>
        <w:pStyle w:val="Casehead1"/>
        <w:keepNext/>
        <w:widowControl w:val="0"/>
        <w:outlineLvl w:val="0"/>
      </w:pPr>
      <w:r w:rsidRPr="00216DF1">
        <w:t>burn</w:t>
      </w:r>
      <w:r w:rsidR="00A7045E" w:rsidRPr="00216DF1">
        <w:t xml:space="preserve"> Rate</w:t>
      </w:r>
    </w:p>
    <w:p w14:paraId="55A157B4" w14:textId="77777777" w:rsidR="00FE1978" w:rsidRPr="00216DF1" w:rsidRDefault="00FE1978" w:rsidP="00FE1978">
      <w:pPr>
        <w:pStyle w:val="Casehead1"/>
        <w:keepNext/>
        <w:widowControl w:val="0"/>
        <w:outlineLvl w:val="0"/>
      </w:pPr>
    </w:p>
    <w:p w14:paraId="4D568EEA" w14:textId="2F90E2BC" w:rsidR="00925A61" w:rsidRPr="00216DF1" w:rsidRDefault="00925A61" w:rsidP="003754B7">
      <w:pPr>
        <w:pStyle w:val="BodyTextMain"/>
      </w:pPr>
      <w:r w:rsidRPr="00216DF1">
        <w:t>In May 2014, well-known venture capital investor Fred Wilson</w:t>
      </w:r>
      <w:r w:rsidR="00CE0B84" w:rsidRPr="00216DF1">
        <w:t>,</w:t>
      </w:r>
      <w:r w:rsidRPr="00216DF1">
        <w:t xml:space="preserve"> of Union Square Ventures</w:t>
      </w:r>
      <w:r w:rsidR="00CE0B84" w:rsidRPr="00216DF1">
        <w:t>,</w:t>
      </w:r>
      <w:r w:rsidRPr="00216DF1">
        <w:t xml:space="preserve"> voiced concerns </w:t>
      </w:r>
      <w:r w:rsidR="00687452" w:rsidRPr="00216DF1">
        <w:t>in a</w:t>
      </w:r>
      <w:r w:rsidR="005F61D9" w:rsidRPr="00216DF1">
        <w:t xml:space="preserve"> </w:t>
      </w:r>
      <w:r w:rsidR="00CE0B84" w:rsidRPr="00216DF1">
        <w:t xml:space="preserve">blog </w:t>
      </w:r>
      <w:r w:rsidR="00D00A63" w:rsidRPr="00216DF1">
        <w:t xml:space="preserve">post </w:t>
      </w:r>
      <w:r w:rsidR="00687452" w:rsidRPr="00216DF1">
        <w:t>commenting on</w:t>
      </w:r>
      <w:r w:rsidRPr="00216DF1">
        <w:t xml:space="preserve"> Square’s </w:t>
      </w:r>
      <w:r w:rsidR="00A7045E" w:rsidRPr="00216DF1">
        <w:t>“burn rate”</w:t>
      </w:r>
      <w:r w:rsidR="00CE0B84" w:rsidRPr="00216DF1">
        <w:t>—</w:t>
      </w:r>
      <w:r w:rsidRPr="00216DF1">
        <w:t>the rate it used cash to finance its unprofitable operations.</w:t>
      </w:r>
      <w:r w:rsidRPr="00216DF1">
        <w:rPr>
          <w:rStyle w:val="EndnoteReference"/>
        </w:rPr>
        <w:endnoteReference w:id="33"/>
      </w:r>
      <w:r w:rsidRPr="00216DF1">
        <w:t xml:space="preserve"> He </w:t>
      </w:r>
      <w:r w:rsidR="00CE0B84" w:rsidRPr="00216DF1">
        <w:t>suggested that the</w:t>
      </w:r>
      <w:r w:rsidRPr="00216DF1">
        <w:t xml:space="preserve"> </w:t>
      </w:r>
      <w:r w:rsidR="00CE0B84" w:rsidRPr="00216DF1">
        <w:t>“</w:t>
      </w:r>
      <w:r w:rsidRPr="00216DF1">
        <w:t xml:space="preserve">combination of sky high valuations, equally high burn rates, and a disappearing IPO market” </w:t>
      </w:r>
      <w:r w:rsidR="00CE0B84" w:rsidRPr="00216DF1">
        <w:t xml:space="preserve">was </w:t>
      </w:r>
      <w:r w:rsidRPr="00216DF1">
        <w:t>a “valuation trap</w:t>
      </w:r>
      <w:r w:rsidR="00CE0B84" w:rsidRPr="00216DF1">
        <w:t>,</w:t>
      </w:r>
      <w:r w:rsidRPr="00216DF1">
        <w:t>”</w:t>
      </w:r>
      <w:r w:rsidRPr="00216DF1">
        <w:rPr>
          <w:rStyle w:val="EndnoteReference"/>
        </w:rPr>
        <w:endnoteReference w:id="34"/>
      </w:r>
      <w:r w:rsidRPr="00216DF1">
        <w:t xml:space="preserve"> </w:t>
      </w:r>
      <w:r w:rsidR="00CE0B84" w:rsidRPr="00216DF1">
        <w:t>and</w:t>
      </w:r>
      <w:r w:rsidRPr="00216DF1">
        <w:t xml:space="preserve"> argued that, given Square’s multi</w:t>
      </w:r>
      <w:r w:rsidR="00CE0B84" w:rsidRPr="00216DF1">
        <w:t>-</w:t>
      </w:r>
      <w:r w:rsidRPr="00216DF1">
        <w:t>billion dollar valuation in its last financing round</w:t>
      </w:r>
      <w:r w:rsidR="007D200D" w:rsidRPr="00216DF1">
        <w:t xml:space="preserve"> nearly two years </w:t>
      </w:r>
      <w:r w:rsidR="003449E6">
        <w:t>before</w:t>
      </w:r>
      <w:r w:rsidRPr="00216DF1">
        <w:t xml:space="preserve">, </w:t>
      </w:r>
      <w:r w:rsidR="00CE0B84" w:rsidRPr="00216DF1">
        <w:t xml:space="preserve">the company might face challenges in </w:t>
      </w:r>
      <w:r w:rsidRPr="00216DF1">
        <w:t>finding investors to provide additional capital at a higher valuation to sustain the business.</w:t>
      </w:r>
    </w:p>
    <w:p w14:paraId="0CB57F80" w14:textId="77777777" w:rsidR="00925A61" w:rsidRPr="00216DF1" w:rsidRDefault="00925A61" w:rsidP="003754B7">
      <w:pPr>
        <w:pStyle w:val="BodyTextMain"/>
      </w:pPr>
    </w:p>
    <w:p w14:paraId="29AE7EB7" w14:textId="7D34FC86" w:rsidR="00FE1978" w:rsidRPr="00216DF1" w:rsidRDefault="00BA4F42" w:rsidP="003754B7">
      <w:pPr>
        <w:pStyle w:val="BodyTextMain"/>
      </w:pPr>
      <w:r w:rsidRPr="00216DF1">
        <w:t>Square</w:t>
      </w:r>
      <w:r w:rsidR="00737834" w:rsidRPr="00216DF1">
        <w:t xml:space="preserve"> </w:t>
      </w:r>
      <w:r w:rsidR="002E144B" w:rsidRPr="00216DF1">
        <w:t xml:space="preserve">ended the June quarter of 2014 with $139 million </w:t>
      </w:r>
      <w:r w:rsidR="00CE0B84" w:rsidRPr="00216DF1">
        <w:t xml:space="preserve">in </w:t>
      </w:r>
      <w:r w:rsidR="002E144B" w:rsidRPr="00216DF1">
        <w:t>cash</w:t>
      </w:r>
      <w:r w:rsidR="00CE0B84" w:rsidRPr="00216DF1">
        <w:t xml:space="preserve"> (see </w:t>
      </w:r>
      <w:r w:rsidR="004B5176" w:rsidRPr="00216DF1">
        <w:t>Exhibit 4</w:t>
      </w:r>
      <w:r w:rsidR="00CE0B84" w:rsidRPr="00216DF1">
        <w:t>)</w:t>
      </w:r>
      <w:r w:rsidR="00415E14" w:rsidRPr="00216DF1">
        <w:t xml:space="preserve">. </w:t>
      </w:r>
      <w:r w:rsidRPr="00216DF1">
        <w:t xml:space="preserve">After </w:t>
      </w:r>
      <w:r w:rsidR="00CC418B" w:rsidRPr="00216DF1">
        <w:t xml:space="preserve">burning </w:t>
      </w:r>
      <w:r w:rsidR="007D2F08" w:rsidRPr="00216DF1">
        <w:t>through $91 million</w:t>
      </w:r>
      <w:r w:rsidR="00CE0B84" w:rsidRPr="00216DF1">
        <w:t>,</w:t>
      </w:r>
      <w:r w:rsidR="00EA6ADC" w:rsidRPr="00216DF1">
        <w:t xml:space="preserve"> before financing activi</w:t>
      </w:r>
      <w:r w:rsidR="003E20D8" w:rsidRPr="00216DF1">
        <w:t>ties</w:t>
      </w:r>
      <w:r w:rsidR="00CE0B84" w:rsidRPr="00216DF1">
        <w:t>,</w:t>
      </w:r>
      <w:r w:rsidR="00EA6ADC" w:rsidRPr="00216DF1">
        <w:t xml:space="preserve"> in 2012</w:t>
      </w:r>
      <w:r w:rsidR="00F45A17" w:rsidRPr="00216DF1">
        <w:t xml:space="preserve"> and $71 million in 2013,</w:t>
      </w:r>
      <w:r w:rsidR="008C3DE1" w:rsidRPr="00216DF1">
        <w:t xml:space="preserve"> </w:t>
      </w:r>
      <w:r w:rsidR="00CE0B84" w:rsidRPr="00216DF1">
        <w:t>the company was on track</w:t>
      </w:r>
      <w:r w:rsidR="00694BCD" w:rsidRPr="00216DF1">
        <w:t xml:space="preserve"> to</w:t>
      </w:r>
      <w:r w:rsidR="00F45A17" w:rsidRPr="00216DF1">
        <w:t xml:space="preserve"> use $138 million in cash in 2014 as </w:t>
      </w:r>
      <w:r w:rsidR="00CE0B84" w:rsidRPr="00216DF1">
        <w:t xml:space="preserve">it </w:t>
      </w:r>
      <w:r w:rsidR="00F45A17" w:rsidRPr="00216DF1">
        <w:t>continued to push for aggressive growth and invest in new projects</w:t>
      </w:r>
      <w:r w:rsidR="00415E14" w:rsidRPr="00216DF1">
        <w:t xml:space="preserve">. </w:t>
      </w:r>
      <w:r w:rsidRPr="00216DF1">
        <w:t xml:space="preserve">By the summer of 2014, Square had 900 employees, 300 of </w:t>
      </w:r>
      <w:r w:rsidR="00D25C95" w:rsidRPr="00216DF1">
        <w:t xml:space="preserve">whom had been </w:t>
      </w:r>
      <w:r w:rsidRPr="00216DF1">
        <w:t xml:space="preserve">hired in the </w:t>
      </w:r>
      <w:r w:rsidR="00010F8E">
        <w:t>previous</w:t>
      </w:r>
      <w:r w:rsidR="00010F8E" w:rsidRPr="00216DF1">
        <w:t xml:space="preserve"> </w:t>
      </w:r>
      <w:r w:rsidRPr="00216DF1">
        <w:t>year.</w:t>
      </w:r>
      <w:r w:rsidRPr="00216DF1">
        <w:rPr>
          <w:rStyle w:val="EndnoteReference"/>
        </w:rPr>
        <w:endnoteReference w:id="35"/>
      </w:r>
      <w:r w:rsidR="00A856C0">
        <w:t xml:space="preserve"> </w:t>
      </w:r>
    </w:p>
    <w:p w14:paraId="200BC14B" w14:textId="77777777" w:rsidR="00925A61" w:rsidRPr="00216DF1" w:rsidRDefault="00925A61" w:rsidP="003754B7">
      <w:pPr>
        <w:pStyle w:val="BodyTextMain"/>
      </w:pPr>
    </w:p>
    <w:p w14:paraId="4A91860B" w14:textId="746AD4E7" w:rsidR="000E13D0" w:rsidRPr="00517CBD" w:rsidRDefault="000E13D0" w:rsidP="003754B7">
      <w:pPr>
        <w:pStyle w:val="BodyTextMain"/>
        <w:rPr>
          <w:spacing w:val="-2"/>
          <w:kern w:val="22"/>
        </w:rPr>
      </w:pPr>
      <w:r w:rsidRPr="00517CBD">
        <w:rPr>
          <w:spacing w:val="-2"/>
          <w:kern w:val="22"/>
        </w:rPr>
        <w:lastRenderedPageBreak/>
        <w:t xml:space="preserve">Roelof Botha, a partner at </w:t>
      </w:r>
      <w:r w:rsidR="00CC23F2" w:rsidRPr="00517CBD">
        <w:rPr>
          <w:spacing w:val="-2"/>
          <w:kern w:val="22"/>
        </w:rPr>
        <w:t>S</w:t>
      </w:r>
      <w:r w:rsidR="00D25C95" w:rsidRPr="00517CBD">
        <w:rPr>
          <w:spacing w:val="-2"/>
          <w:kern w:val="22"/>
        </w:rPr>
        <w:t xml:space="preserve">eries </w:t>
      </w:r>
      <w:r w:rsidRPr="00517CBD">
        <w:rPr>
          <w:spacing w:val="-2"/>
          <w:kern w:val="22"/>
        </w:rPr>
        <w:t>B-1 lead investor Sequoia Capit</w:t>
      </w:r>
      <w:r w:rsidR="00316751" w:rsidRPr="00517CBD">
        <w:rPr>
          <w:spacing w:val="-2"/>
          <w:kern w:val="22"/>
        </w:rPr>
        <w:t xml:space="preserve">al </w:t>
      </w:r>
      <w:r w:rsidR="00517CBD" w:rsidRPr="00517CBD">
        <w:rPr>
          <w:spacing w:val="-2"/>
          <w:kern w:val="22"/>
        </w:rPr>
        <w:t xml:space="preserve">Operating LLC </w:t>
      </w:r>
      <w:r w:rsidR="00316751" w:rsidRPr="00517CBD">
        <w:rPr>
          <w:spacing w:val="-2"/>
          <w:kern w:val="22"/>
        </w:rPr>
        <w:t xml:space="preserve">and a </w:t>
      </w:r>
      <w:r w:rsidRPr="00517CBD">
        <w:rPr>
          <w:spacing w:val="-2"/>
          <w:kern w:val="22"/>
        </w:rPr>
        <w:t>member of Square</w:t>
      </w:r>
      <w:r w:rsidR="00316751" w:rsidRPr="00517CBD">
        <w:rPr>
          <w:spacing w:val="-2"/>
          <w:kern w:val="22"/>
        </w:rPr>
        <w:t>’s board of directors</w:t>
      </w:r>
      <w:r w:rsidRPr="00517CBD">
        <w:rPr>
          <w:spacing w:val="-2"/>
          <w:kern w:val="22"/>
        </w:rPr>
        <w:t>, stated in May 2014 that “We could be profitable tomorrow morning if we said, ‘</w:t>
      </w:r>
      <w:r w:rsidR="00A16387" w:rsidRPr="00517CBD">
        <w:rPr>
          <w:spacing w:val="-2"/>
          <w:kern w:val="22"/>
        </w:rPr>
        <w:t>Let’s</w:t>
      </w:r>
      <w:r w:rsidRPr="00517CBD">
        <w:rPr>
          <w:spacing w:val="-2"/>
          <w:kern w:val="22"/>
        </w:rPr>
        <w:t xml:space="preserve"> not spend money to keep growing.’”</w:t>
      </w:r>
      <w:r w:rsidRPr="00517CBD">
        <w:rPr>
          <w:rStyle w:val="EndnoteReference"/>
          <w:spacing w:val="-2"/>
          <w:kern w:val="22"/>
        </w:rPr>
        <w:endnoteReference w:id="36"/>
      </w:r>
      <w:r w:rsidRPr="00517CBD">
        <w:rPr>
          <w:spacing w:val="-2"/>
          <w:kern w:val="22"/>
        </w:rPr>
        <w:t xml:space="preserve"> Addressing concerns that Square’s high valuation </w:t>
      </w:r>
      <w:r w:rsidR="00D25C95" w:rsidRPr="00517CBD">
        <w:rPr>
          <w:spacing w:val="-2"/>
          <w:kern w:val="22"/>
        </w:rPr>
        <w:t xml:space="preserve">might </w:t>
      </w:r>
      <w:r w:rsidRPr="00517CBD">
        <w:rPr>
          <w:spacing w:val="-2"/>
          <w:kern w:val="22"/>
        </w:rPr>
        <w:t>force it to seek financing rounds at lower valuations, Botha commented</w:t>
      </w:r>
      <w:r w:rsidR="00D25C95" w:rsidRPr="00517CBD">
        <w:rPr>
          <w:spacing w:val="-2"/>
          <w:kern w:val="22"/>
        </w:rPr>
        <w:t xml:space="preserve">, </w:t>
      </w:r>
      <w:r w:rsidRPr="00517CBD">
        <w:rPr>
          <w:spacing w:val="-2"/>
          <w:kern w:val="22"/>
        </w:rPr>
        <w:t>“Do I worry with regards to Square? No.”</w:t>
      </w:r>
      <w:r w:rsidRPr="00517CBD">
        <w:rPr>
          <w:rStyle w:val="EndnoteReference"/>
          <w:spacing w:val="-2"/>
          <w:kern w:val="22"/>
        </w:rPr>
        <w:endnoteReference w:id="37"/>
      </w:r>
    </w:p>
    <w:p w14:paraId="56DBDC3F" w14:textId="77777777" w:rsidR="00925A61" w:rsidRPr="00216DF1" w:rsidRDefault="00925A61" w:rsidP="008E6855">
      <w:pPr>
        <w:pStyle w:val="BodyTextMain"/>
      </w:pPr>
    </w:p>
    <w:p w14:paraId="1835F56C" w14:textId="77777777" w:rsidR="00FE1978" w:rsidRPr="00216DF1" w:rsidRDefault="00FE1978" w:rsidP="008E6855">
      <w:pPr>
        <w:pStyle w:val="BodyTextMain"/>
      </w:pPr>
    </w:p>
    <w:p w14:paraId="6281C09B" w14:textId="3AEEDAB2" w:rsidR="00FE1978" w:rsidRPr="00216DF1" w:rsidRDefault="00FE1978" w:rsidP="00FE1978">
      <w:pPr>
        <w:pStyle w:val="Casehead1"/>
        <w:keepNext/>
        <w:widowControl w:val="0"/>
        <w:outlineLvl w:val="0"/>
      </w:pPr>
      <w:r w:rsidRPr="00216DF1">
        <w:t xml:space="preserve">Series e </w:t>
      </w:r>
    </w:p>
    <w:p w14:paraId="26C6DA5E" w14:textId="77777777" w:rsidR="00FE1978" w:rsidRPr="00216DF1" w:rsidRDefault="00FE1978" w:rsidP="003754B7">
      <w:pPr>
        <w:pStyle w:val="BodyTextMain"/>
      </w:pPr>
    </w:p>
    <w:p w14:paraId="35B41CBE" w14:textId="2B5CC3D4" w:rsidR="00FE1978" w:rsidRPr="00DC149A" w:rsidRDefault="00632A19" w:rsidP="003754B7">
      <w:pPr>
        <w:pStyle w:val="BodyTextMain"/>
        <w:rPr>
          <w:spacing w:val="-2"/>
          <w:kern w:val="22"/>
        </w:rPr>
      </w:pPr>
      <w:r w:rsidRPr="00DC149A">
        <w:rPr>
          <w:spacing w:val="-2"/>
          <w:kern w:val="22"/>
        </w:rPr>
        <w:t xml:space="preserve">Square </w:t>
      </w:r>
      <w:r w:rsidR="00EC0FF7" w:rsidRPr="00DC149A">
        <w:rPr>
          <w:spacing w:val="-2"/>
          <w:kern w:val="22"/>
        </w:rPr>
        <w:t xml:space="preserve">ultimately </w:t>
      </w:r>
      <w:r w:rsidRPr="00DC149A">
        <w:rPr>
          <w:spacing w:val="-2"/>
          <w:kern w:val="22"/>
        </w:rPr>
        <w:t xml:space="preserve">decided to </w:t>
      </w:r>
      <w:r w:rsidR="00EC0FF7" w:rsidRPr="00DC149A">
        <w:rPr>
          <w:spacing w:val="-2"/>
          <w:kern w:val="22"/>
        </w:rPr>
        <w:t xml:space="preserve">address its need for capital by </w:t>
      </w:r>
      <w:r w:rsidRPr="00DC149A">
        <w:rPr>
          <w:spacing w:val="-2"/>
          <w:kern w:val="22"/>
        </w:rPr>
        <w:t>seek</w:t>
      </w:r>
      <w:r w:rsidR="00EC0FF7" w:rsidRPr="00DC149A">
        <w:rPr>
          <w:spacing w:val="-2"/>
          <w:kern w:val="22"/>
        </w:rPr>
        <w:t>ing</w:t>
      </w:r>
      <w:r w:rsidRPr="00DC149A">
        <w:rPr>
          <w:spacing w:val="-2"/>
          <w:kern w:val="22"/>
        </w:rPr>
        <w:t xml:space="preserve"> $15</w:t>
      </w:r>
      <w:r w:rsidR="00D75518" w:rsidRPr="00DC149A">
        <w:rPr>
          <w:spacing w:val="-2"/>
          <w:kern w:val="22"/>
        </w:rPr>
        <w:t xml:space="preserve">0 million in new financing </w:t>
      </w:r>
      <w:r w:rsidR="00EC0FF7" w:rsidRPr="00DC149A">
        <w:rPr>
          <w:spacing w:val="-2"/>
          <w:kern w:val="22"/>
        </w:rPr>
        <w:t>from the venture capital market</w:t>
      </w:r>
      <w:r w:rsidR="00872024" w:rsidRPr="00DC149A">
        <w:rPr>
          <w:spacing w:val="-2"/>
          <w:kern w:val="22"/>
        </w:rPr>
        <w:t>.</w:t>
      </w:r>
      <w:r w:rsidR="00EE1584" w:rsidRPr="00DC149A">
        <w:rPr>
          <w:rStyle w:val="EndnoteReference"/>
          <w:spacing w:val="-2"/>
          <w:kern w:val="22"/>
        </w:rPr>
        <w:endnoteReference w:id="38"/>
      </w:r>
      <w:r w:rsidR="00872024" w:rsidRPr="00DC149A">
        <w:rPr>
          <w:spacing w:val="-2"/>
          <w:kern w:val="22"/>
        </w:rPr>
        <w:t xml:space="preserve"> </w:t>
      </w:r>
      <w:r w:rsidR="00D25C95" w:rsidRPr="00DC149A">
        <w:rPr>
          <w:spacing w:val="-2"/>
          <w:kern w:val="22"/>
        </w:rPr>
        <w:t>It offered investors the following terms:</w:t>
      </w:r>
      <w:r w:rsidR="00BB4345" w:rsidRPr="00DC149A">
        <w:rPr>
          <w:spacing w:val="-2"/>
          <w:kern w:val="22"/>
        </w:rPr>
        <w:t xml:space="preserve"> 9,700,289 shares </w:t>
      </w:r>
      <w:r w:rsidR="00E2479D" w:rsidRPr="00DC149A">
        <w:rPr>
          <w:spacing w:val="-2"/>
          <w:kern w:val="22"/>
        </w:rPr>
        <w:t xml:space="preserve">of </w:t>
      </w:r>
      <w:r w:rsidR="00CC23F2" w:rsidRPr="00DC149A">
        <w:rPr>
          <w:spacing w:val="-2"/>
          <w:kern w:val="22"/>
        </w:rPr>
        <w:t>S</w:t>
      </w:r>
      <w:r w:rsidR="00E2479D" w:rsidRPr="00DC149A">
        <w:rPr>
          <w:spacing w:val="-2"/>
          <w:kern w:val="22"/>
        </w:rPr>
        <w:t>eries E p</w:t>
      </w:r>
      <w:r w:rsidR="00EC0FF7" w:rsidRPr="00DC149A">
        <w:rPr>
          <w:spacing w:val="-2"/>
          <w:kern w:val="22"/>
        </w:rPr>
        <w:t xml:space="preserve">referred stock </w:t>
      </w:r>
      <w:r w:rsidR="00BB4345" w:rsidRPr="00DC149A">
        <w:rPr>
          <w:spacing w:val="-2"/>
          <w:kern w:val="22"/>
        </w:rPr>
        <w:t>at a price of $15.46345</w:t>
      </w:r>
      <w:r w:rsidR="00AB080A" w:rsidRPr="00DC149A">
        <w:rPr>
          <w:spacing w:val="-2"/>
          <w:kern w:val="22"/>
        </w:rPr>
        <w:t>—</w:t>
      </w:r>
      <w:r w:rsidR="00BB4345" w:rsidRPr="00DC149A">
        <w:rPr>
          <w:spacing w:val="-2"/>
          <w:kern w:val="22"/>
        </w:rPr>
        <w:t>a 40</w:t>
      </w:r>
      <w:r w:rsidR="00924DE6" w:rsidRPr="00DC149A">
        <w:rPr>
          <w:spacing w:val="-2"/>
          <w:kern w:val="22"/>
        </w:rPr>
        <w:t xml:space="preserve"> per cent</w:t>
      </w:r>
      <w:r w:rsidR="00BB4345" w:rsidRPr="00DC149A">
        <w:rPr>
          <w:spacing w:val="-2"/>
          <w:kern w:val="22"/>
        </w:rPr>
        <w:t xml:space="preserve"> increase over the $11.01402 price of the </w:t>
      </w:r>
      <w:r w:rsidR="00D25C95" w:rsidRPr="00DC149A">
        <w:rPr>
          <w:spacing w:val="-2"/>
          <w:kern w:val="22"/>
        </w:rPr>
        <w:t xml:space="preserve">preferred </w:t>
      </w:r>
      <w:r w:rsidR="00BB4345" w:rsidRPr="00DC149A">
        <w:rPr>
          <w:spacing w:val="-2"/>
          <w:kern w:val="22"/>
        </w:rPr>
        <w:t xml:space="preserve">D </w:t>
      </w:r>
      <w:r w:rsidR="00CC23F2" w:rsidRPr="00DC149A">
        <w:rPr>
          <w:spacing w:val="-2"/>
          <w:kern w:val="22"/>
        </w:rPr>
        <w:t>S</w:t>
      </w:r>
      <w:r w:rsidR="00BB4345" w:rsidRPr="00DC149A">
        <w:rPr>
          <w:spacing w:val="-2"/>
          <w:kern w:val="22"/>
        </w:rPr>
        <w:t xml:space="preserve">eries </w:t>
      </w:r>
      <w:r w:rsidR="00555DE0" w:rsidRPr="00DC149A">
        <w:rPr>
          <w:spacing w:val="-2"/>
          <w:kern w:val="22"/>
        </w:rPr>
        <w:t>issued in 2012 and a 7,05</w:t>
      </w:r>
      <w:r w:rsidR="00BB4345" w:rsidRPr="00DC149A">
        <w:rPr>
          <w:spacing w:val="-2"/>
          <w:kern w:val="22"/>
        </w:rPr>
        <w:t>0</w:t>
      </w:r>
      <w:r w:rsidR="00924DE6" w:rsidRPr="00DC149A">
        <w:rPr>
          <w:spacing w:val="-2"/>
          <w:kern w:val="22"/>
        </w:rPr>
        <w:t xml:space="preserve"> per cent</w:t>
      </w:r>
      <w:r w:rsidR="00BB4345" w:rsidRPr="00DC149A">
        <w:rPr>
          <w:spacing w:val="-2"/>
          <w:kern w:val="22"/>
        </w:rPr>
        <w:t xml:space="preserve"> increase over the $0.21627 price in the 2009 A </w:t>
      </w:r>
      <w:r w:rsidR="00CC23F2" w:rsidRPr="00DC149A">
        <w:rPr>
          <w:spacing w:val="-2"/>
          <w:kern w:val="22"/>
        </w:rPr>
        <w:t>S</w:t>
      </w:r>
      <w:r w:rsidR="00AB080A" w:rsidRPr="00DC149A">
        <w:rPr>
          <w:spacing w:val="-2"/>
          <w:kern w:val="22"/>
        </w:rPr>
        <w:t xml:space="preserve">eries </w:t>
      </w:r>
      <w:r w:rsidR="00BB4345" w:rsidRPr="00DC149A">
        <w:rPr>
          <w:spacing w:val="-2"/>
          <w:kern w:val="22"/>
        </w:rPr>
        <w:t>offering</w:t>
      </w:r>
      <w:r w:rsidR="003A32DC" w:rsidRPr="00DC149A">
        <w:rPr>
          <w:spacing w:val="-2"/>
          <w:kern w:val="22"/>
        </w:rPr>
        <w:t xml:space="preserve"> (see Exhibit 5)</w:t>
      </w:r>
      <w:r w:rsidR="00BB4345" w:rsidRPr="00DC149A">
        <w:rPr>
          <w:spacing w:val="-2"/>
          <w:kern w:val="22"/>
        </w:rPr>
        <w:t xml:space="preserve">. </w:t>
      </w:r>
      <w:r w:rsidR="00872024" w:rsidRPr="00DC149A">
        <w:rPr>
          <w:spacing w:val="-2"/>
          <w:kern w:val="22"/>
        </w:rPr>
        <w:t xml:space="preserve">While many of the terms were similar </w:t>
      </w:r>
      <w:r w:rsidR="00BB4345" w:rsidRPr="00DC149A">
        <w:rPr>
          <w:spacing w:val="-2"/>
          <w:kern w:val="22"/>
        </w:rPr>
        <w:t xml:space="preserve">to </w:t>
      </w:r>
      <w:r w:rsidR="00872024" w:rsidRPr="00DC149A">
        <w:rPr>
          <w:spacing w:val="-2"/>
          <w:kern w:val="22"/>
        </w:rPr>
        <w:t>those offered in its previous roun</w:t>
      </w:r>
      <w:r w:rsidR="00BB4345" w:rsidRPr="00DC149A">
        <w:rPr>
          <w:spacing w:val="-2"/>
          <w:kern w:val="22"/>
        </w:rPr>
        <w:t>ds, there were some differences.</w:t>
      </w:r>
    </w:p>
    <w:p w14:paraId="72C2BF2F" w14:textId="77777777" w:rsidR="00872024" w:rsidRPr="00216DF1" w:rsidRDefault="00872024" w:rsidP="003754B7">
      <w:pPr>
        <w:pStyle w:val="BodyTextMain"/>
      </w:pPr>
    </w:p>
    <w:p w14:paraId="7B5668E4" w14:textId="1DC3C531" w:rsidR="00BB4345" w:rsidRPr="00DC149A" w:rsidRDefault="00AB080A" w:rsidP="003754B7">
      <w:pPr>
        <w:pStyle w:val="BodyTextMain"/>
        <w:rPr>
          <w:spacing w:val="-2"/>
          <w:kern w:val="22"/>
        </w:rPr>
      </w:pPr>
      <w:r w:rsidRPr="00DC149A">
        <w:rPr>
          <w:spacing w:val="-2"/>
          <w:kern w:val="22"/>
        </w:rPr>
        <w:t xml:space="preserve">Like those in </w:t>
      </w:r>
      <w:r w:rsidR="00872024" w:rsidRPr="00DC149A">
        <w:rPr>
          <w:spacing w:val="-2"/>
          <w:kern w:val="22"/>
        </w:rPr>
        <w:t xml:space="preserve">the previous A, B-1, B-2, C, and D rounds, </w:t>
      </w:r>
      <w:r w:rsidR="0044586F" w:rsidRPr="00DC149A">
        <w:rPr>
          <w:spacing w:val="-2"/>
          <w:kern w:val="22"/>
        </w:rPr>
        <w:t xml:space="preserve">the </w:t>
      </w:r>
      <w:r w:rsidR="00CC23F2" w:rsidRPr="00DC149A">
        <w:rPr>
          <w:spacing w:val="-2"/>
          <w:kern w:val="22"/>
        </w:rPr>
        <w:t>S</w:t>
      </w:r>
      <w:r w:rsidRPr="00DC149A">
        <w:rPr>
          <w:spacing w:val="-2"/>
          <w:kern w:val="22"/>
        </w:rPr>
        <w:t xml:space="preserve">eries </w:t>
      </w:r>
      <w:r w:rsidR="0044586F" w:rsidRPr="00DC149A">
        <w:rPr>
          <w:spacing w:val="-2"/>
          <w:kern w:val="22"/>
        </w:rPr>
        <w:t xml:space="preserve">E shares were convertible into common stock at the option of the holder on a one-for-one basis, and </w:t>
      </w:r>
      <w:r w:rsidR="00191CD1" w:rsidRPr="00DC149A">
        <w:rPr>
          <w:spacing w:val="-2"/>
          <w:kern w:val="22"/>
        </w:rPr>
        <w:t xml:space="preserve">they </w:t>
      </w:r>
      <w:r w:rsidR="005B486D" w:rsidRPr="00DC149A">
        <w:rPr>
          <w:spacing w:val="-2"/>
          <w:kern w:val="22"/>
        </w:rPr>
        <w:t>had</w:t>
      </w:r>
      <w:r w:rsidR="00872024" w:rsidRPr="00DC149A">
        <w:rPr>
          <w:spacing w:val="-2"/>
          <w:kern w:val="22"/>
        </w:rPr>
        <w:t xml:space="preserve"> a </w:t>
      </w:r>
      <w:r w:rsidRPr="00DC149A">
        <w:rPr>
          <w:spacing w:val="-2"/>
          <w:kern w:val="22"/>
        </w:rPr>
        <w:t>“</w:t>
      </w:r>
      <w:r w:rsidR="00872024" w:rsidRPr="00DC149A">
        <w:rPr>
          <w:spacing w:val="-2"/>
          <w:kern w:val="22"/>
        </w:rPr>
        <w:t>1</w:t>
      </w:r>
      <w:r w:rsidRPr="00DC149A">
        <w:rPr>
          <w:spacing w:val="-2"/>
          <w:kern w:val="22"/>
        </w:rPr>
        <w:t>×</w:t>
      </w:r>
      <w:r w:rsidR="00872024" w:rsidRPr="00DC149A">
        <w:rPr>
          <w:spacing w:val="-2"/>
          <w:kern w:val="22"/>
        </w:rPr>
        <w:t xml:space="preserve"> liquidation preference,</w:t>
      </w:r>
      <w:r w:rsidRPr="00DC149A">
        <w:rPr>
          <w:spacing w:val="-2"/>
          <w:kern w:val="22"/>
        </w:rPr>
        <w:t>”</w:t>
      </w:r>
      <w:r w:rsidR="00872024" w:rsidRPr="00DC149A">
        <w:rPr>
          <w:spacing w:val="-2"/>
          <w:kern w:val="22"/>
        </w:rPr>
        <w:t xml:space="preserve"> such that</w:t>
      </w:r>
      <w:r w:rsidRPr="00DC149A">
        <w:rPr>
          <w:spacing w:val="-2"/>
          <w:kern w:val="22"/>
        </w:rPr>
        <w:t xml:space="preserve"> investors could receive their initial investment before any payment was made to common stockholders</w:t>
      </w:r>
      <w:r w:rsidR="00BB4345" w:rsidRPr="00DC149A">
        <w:rPr>
          <w:spacing w:val="-2"/>
          <w:kern w:val="22"/>
        </w:rPr>
        <w:t xml:space="preserve"> i</w:t>
      </w:r>
      <w:r w:rsidR="00872024" w:rsidRPr="00DC149A">
        <w:rPr>
          <w:spacing w:val="-2"/>
          <w:kern w:val="22"/>
        </w:rPr>
        <w:t xml:space="preserve">n the event of any </w:t>
      </w:r>
      <w:r w:rsidR="00352512" w:rsidRPr="00DC149A">
        <w:rPr>
          <w:spacing w:val="-2"/>
          <w:kern w:val="22"/>
        </w:rPr>
        <w:t>“liquidation or winding up”</w:t>
      </w:r>
      <w:r w:rsidR="00EC0FF7" w:rsidRPr="00DC149A">
        <w:rPr>
          <w:rStyle w:val="EndnoteReference"/>
          <w:spacing w:val="-2"/>
          <w:kern w:val="22"/>
        </w:rPr>
        <w:endnoteReference w:id="39"/>
      </w:r>
      <w:r w:rsidR="00A46903" w:rsidRPr="00DC149A">
        <w:rPr>
          <w:spacing w:val="-2"/>
          <w:kern w:val="22"/>
        </w:rPr>
        <w:t xml:space="preserve"> </w:t>
      </w:r>
      <w:r w:rsidR="00352512" w:rsidRPr="00DC149A">
        <w:rPr>
          <w:spacing w:val="-2"/>
          <w:kern w:val="22"/>
        </w:rPr>
        <w:t>of the company</w:t>
      </w:r>
      <w:r w:rsidR="00840B65" w:rsidRPr="00DC149A">
        <w:rPr>
          <w:spacing w:val="-2"/>
          <w:kern w:val="22"/>
        </w:rPr>
        <w:t>,</w:t>
      </w:r>
      <w:r w:rsidR="00BB4345" w:rsidRPr="00DC149A">
        <w:rPr>
          <w:spacing w:val="-2"/>
          <w:kern w:val="22"/>
        </w:rPr>
        <w:t xml:space="preserve"> if the</w:t>
      </w:r>
      <w:r w:rsidR="004E4223" w:rsidRPr="00DC149A">
        <w:rPr>
          <w:spacing w:val="-2"/>
          <w:kern w:val="22"/>
        </w:rPr>
        <w:t xml:space="preserve"> investors</w:t>
      </w:r>
      <w:r w:rsidR="00BB4345" w:rsidRPr="00DC149A">
        <w:rPr>
          <w:spacing w:val="-2"/>
          <w:kern w:val="22"/>
        </w:rPr>
        <w:t xml:space="preserve"> chose not to convert their shares into common stock.</w:t>
      </w:r>
      <w:r w:rsidR="00D317E1" w:rsidRPr="00DC149A">
        <w:rPr>
          <w:rStyle w:val="EndnoteReference"/>
          <w:spacing w:val="-2"/>
          <w:kern w:val="22"/>
        </w:rPr>
        <w:endnoteReference w:id="40"/>
      </w:r>
      <w:r w:rsidR="007D1290" w:rsidRPr="00DC149A">
        <w:rPr>
          <w:spacing w:val="-2"/>
          <w:kern w:val="22"/>
        </w:rPr>
        <w:t xml:space="preserve"> </w:t>
      </w:r>
      <w:r w:rsidR="00F76356" w:rsidRPr="00DC149A">
        <w:rPr>
          <w:spacing w:val="-2"/>
          <w:kern w:val="22"/>
        </w:rPr>
        <w:t>All</w:t>
      </w:r>
      <w:r w:rsidR="004B4B1F" w:rsidRPr="00DC149A">
        <w:rPr>
          <w:spacing w:val="-2"/>
          <w:kern w:val="22"/>
        </w:rPr>
        <w:t xml:space="preserve"> of the classes were </w:t>
      </w:r>
      <w:r w:rsidR="00F76356" w:rsidRPr="00DC149A">
        <w:rPr>
          <w:spacing w:val="-2"/>
          <w:kern w:val="22"/>
        </w:rPr>
        <w:t>non-</w:t>
      </w:r>
      <w:r w:rsidR="004B4B1F" w:rsidRPr="00DC149A">
        <w:rPr>
          <w:spacing w:val="-2"/>
          <w:kern w:val="22"/>
        </w:rPr>
        <w:t>partic</w:t>
      </w:r>
      <w:r w:rsidR="00F76356" w:rsidRPr="00DC149A">
        <w:rPr>
          <w:spacing w:val="-2"/>
          <w:kern w:val="22"/>
        </w:rPr>
        <w:t>i</w:t>
      </w:r>
      <w:r w:rsidR="004B4B1F" w:rsidRPr="00DC149A">
        <w:rPr>
          <w:spacing w:val="-2"/>
          <w:kern w:val="22"/>
        </w:rPr>
        <w:t>pating</w:t>
      </w:r>
      <w:r w:rsidR="00F76356" w:rsidRPr="00DC149A">
        <w:rPr>
          <w:spacing w:val="-2"/>
          <w:kern w:val="22"/>
        </w:rPr>
        <w:t xml:space="preserve">, so they could choose to receive their liquidation preference or convert their shares into equity, but </w:t>
      </w:r>
      <w:r w:rsidRPr="00DC149A">
        <w:rPr>
          <w:spacing w:val="-2"/>
          <w:kern w:val="22"/>
        </w:rPr>
        <w:t xml:space="preserve">they could </w:t>
      </w:r>
      <w:r w:rsidR="00F76356" w:rsidRPr="00DC149A">
        <w:rPr>
          <w:spacing w:val="-2"/>
          <w:kern w:val="22"/>
        </w:rPr>
        <w:t xml:space="preserve">not </w:t>
      </w:r>
      <w:r w:rsidR="008C7F2D" w:rsidRPr="00DC149A">
        <w:rPr>
          <w:spacing w:val="-2"/>
          <w:kern w:val="22"/>
        </w:rPr>
        <w:t>do</w:t>
      </w:r>
      <w:r w:rsidR="00F76356" w:rsidRPr="00DC149A">
        <w:rPr>
          <w:spacing w:val="-2"/>
          <w:kern w:val="22"/>
        </w:rPr>
        <w:t xml:space="preserve"> both.</w:t>
      </w:r>
      <w:r w:rsidR="00D317E1" w:rsidRPr="00DC149A">
        <w:rPr>
          <w:rStyle w:val="EndnoteReference"/>
          <w:spacing w:val="-2"/>
          <w:kern w:val="22"/>
        </w:rPr>
        <w:endnoteReference w:id="41"/>
      </w:r>
      <w:r w:rsidR="00F76356" w:rsidRPr="00DC149A">
        <w:rPr>
          <w:spacing w:val="-2"/>
          <w:kern w:val="22"/>
        </w:rPr>
        <w:t xml:space="preserve"> </w:t>
      </w:r>
      <w:r w:rsidR="00BB4345" w:rsidRPr="00DC149A">
        <w:rPr>
          <w:spacing w:val="-2"/>
          <w:kern w:val="22"/>
        </w:rPr>
        <w:t>While</w:t>
      </w:r>
      <w:r w:rsidR="00F76356" w:rsidRPr="00DC149A">
        <w:rPr>
          <w:spacing w:val="-2"/>
          <w:kern w:val="22"/>
        </w:rPr>
        <w:t xml:space="preserve"> the </w:t>
      </w:r>
      <w:r w:rsidR="00CC23F2" w:rsidRPr="00DC149A">
        <w:rPr>
          <w:spacing w:val="-2"/>
          <w:kern w:val="22"/>
        </w:rPr>
        <w:t>S</w:t>
      </w:r>
      <w:r w:rsidR="00F76356" w:rsidRPr="00DC149A">
        <w:rPr>
          <w:spacing w:val="-2"/>
          <w:kern w:val="22"/>
        </w:rPr>
        <w:t>eries E</w:t>
      </w:r>
      <w:r w:rsidR="00BB4345" w:rsidRPr="00DC149A">
        <w:rPr>
          <w:spacing w:val="-2"/>
          <w:kern w:val="22"/>
        </w:rPr>
        <w:t xml:space="preserve"> </w:t>
      </w:r>
      <w:r w:rsidR="00A46903" w:rsidRPr="00DC149A">
        <w:rPr>
          <w:spacing w:val="-2"/>
          <w:kern w:val="22"/>
        </w:rPr>
        <w:t xml:space="preserve">shareholders </w:t>
      </w:r>
      <w:r w:rsidR="00BB4345" w:rsidRPr="00DC149A">
        <w:rPr>
          <w:spacing w:val="-2"/>
          <w:kern w:val="22"/>
        </w:rPr>
        <w:t xml:space="preserve">would be entitled to </w:t>
      </w:r>
      <w:r w:rsidRPr="00DC149A">
        <w:rPr>
          <w:spacing w:val="-2"/>
          <w:kern w:val="22"/>
        </w:rPr>
        <w:t xml:space="preserve">a </w:t>
      </w:r>
      <w:r w:rsidR="00BB4345" w:rsidRPr="00DC149A">
        <w:rPr>
          <w:spacing w:val="-2"/>
          <w:kern w:val="22"/>
        </w:rPr>
        <w:t>number of votes equal to the number of shares of common stock i</w:t>
      </w:r>
      <w:r w:rsidR="007E4D4D" w:rsidRPr="00DC149A">
        <w:rPr>
          <w:spacing w:val="-2"/>
          <w:kern w:val="22"/>
        </w:rPr>
        <w:t>nto which the preferred stock was</w:t>
      </w:r>
      <w:r w:rsidR="00BB4345" w:rsidRPr="00DC149A">
        <w:rPr>
          <w:spacing w:val="-2"/>
          <w:kern w:val="22"/>
        </w:rPr>
        <w:t xml:space="preserve"> convertible</w:t>
      </w:r>
      <w:r w:rsidR="00712A90" w:rsidRPr="00DC149A">
        <w:rPr>
          <w:spacing w:val="-2"/>
          <w:kern w:val="22"/>
        </w:rPr>
        <w:t xml:space="preserve"> on general voting issues, </w:t>
      </w:r>
      <w:r w:rsidR="004E4223" w:rsidRPr="00DC149A">
        <w:rPr>
          <w:spacing w:val="-2"/>
          <w:kern w:val="22"/>
        </w:rPr>
        <w:t xml:space="preserve">the shareholders </w:t>
      </w:r>
      <w:r w:rsidR="00712A90" w:rsidRPr="00DC149A">
        <w:rPr>
          <w:spacing w:val="-2"/>
          <w:kern w:val="22"/>
        </w:rPr>
        <w:t xml:space="preserve">would not </w:t>
      </w:r>
      <w:r w:rsidRPr="00DC149A">
        <w:rPr>
          <w:spacing w:val="-2"/>
          <w:kern w:val="22"/>
        </w:rPr>
        <w:t>be able</w:t>
      </w:r>
      <w:r w:rsidR="00712A90" w:rsidRPr="00DC149A">
        <w:rPr>
          <w:spacing w:val="-2"/>
          <w:kern w:val="22"/>
        </w:rPr>
        <w:t xml:space="preserve"> to elect </w:t>
      </w:r>
      <w:r w:rsidRPr="00DC149A">
        <w:rPr>
          <w:spacing w:val="-2"/>
          <w:kern w:val="22"/>
        </w:rPr>
        <w:t xml:space="preserve">an </w:t>
      </w:r>
      <w:r w:rsidR="00712A90" w:rsidRPr="00DC149A">
        <w:rPr>
          <w:spacing w:val="-2"/>
          <w:kern w:val="22"/>
        </w:rPr>
        <w:t>exclusive member of the board of directors</w:t>
      </w:r>
      <w:r w:rsidRPr="00DC149A">
        <w:rPr>
          <w:spacing w:val="-2"/>
          <w:kern w:val="22"/>
        </w:rPr>
        <w:t xml:space="preserve">—something </w:t>
      </w:r>
      <w:r w:rsidR="00712A90" w:rsidRPr="00DC149A">
        <w:rPr>
          <w:spacing w:val="-2"/>
          <w:kern w:val="22"/>
        </w:rPr>
        <w:t xml:space="preserve">the </w:t>
      </w:r>
      <w:r w:rsidR="00CC23F2" w:rsidRPr="00DC149A">
        <w:rPr>
          <w:spacing w:val="-2"/>
          <w:kern w:val="22"/>
        </w:rPr>
        <w:t>S</w:t>
      </w:r>
      <w:r w:rsidR="00712A90" w:rsidRPr="00DC149A">
        <w:rPr>
          <w:spacing w:val="-2"/>
          <w:kern w:val="22"/>
        </w:rPr>
        <w:t>eries B and C shareholders</w:t>
      </w:r>
      <w:r w:rsidR="00F94C02" w:rsidRPr="00DC149A">
        <w:rPr>
          <w:spacing w:val="-2"/>
          <w:kern w:val="22"/>
        </w:rPr>
        <w:t xml:space="preserve"> were able to do</w:t>
      </w:r>
      <w:r w:rsidR="00712A90" w:rsidRPr="00DC149A">
        <w:rPr>
          <w:spacing w:val="-2"/>
          <w:kern w:val="22"/>
        </w:rPr>
        <w:t>.</w:t>
      </w:r>
      <w:r w:rsidR="00D317E1" w:rsidRPr="00DC149A">
        <w:rPr>
          <w:rStyle w:val="EndnoteReference"/>
          <w:spacing w:val="-2"/>
          <w:kern w:val="22"/>
        </w:rPr>
        <w:endnoteReference w:id="42"/>
      </w:r>
    </w:p>
    <w:p w14:paraId="5384B11A" w14:textId="77777777" w:rsidR="008912E7" w:rsidRPr="00216DF1" w:rsidRDefault="008912E7" w:rsidP="003754B7">
      <w:pPr>
        <w:pStyle w:val="BodyTextMain"/>
      </w:pPr>
    </w:p>
    <w:p w14:paraId="52FD2F2E" w14:textId="2A343A26" w:rsidR="00F94C02" w:rsidRPr="00216DF1" w:rsidRDefault="008912E7" w:rsidP="003754B7">
      <w:pPr>
        <w:pStyle w:val="BodyTextMain"/>
      </w:pPr>
      <w:r w:rsidRPr="00216DF1">
        <w:t>The most st</w:t>
      </w:r>
      <w:r w:rsidR="00352512" w:rsidRPr="00216DF1">
        <w:t>riking terms related to</w:t>
      </w:r>
      <w:r w:rsidRPr="00216DF1">
        <w:t xml:space="preserve"> anti-dilution provisions commonly referred to as </w:t>
      </w:r>
      <w:r w:rsidRPr="00E06166">
        <w:rPr>
          <w:i/>
        </w:rPr>
        <w:t>ratchets</w:t>
      </w:r>
      <w:r w:rsidR="00415E14" w:rsidRPr="00216DF1">
        <w:t xml:space="preserve">. </w:t>
      </w:r>
      <w:r w:rsidR="00AB080A" w:rsidRPr="00216DF1">
        <w:t>T</w:t>
      </w:r>
      <w:r w:rsidR="00FA3ADF" w:rsidRPr="00216DF1">
        <w:t>wo types of ratchets</w:t>
      </w:r>
      <w:r w:rsidR="00352512" w:rsidRPr="00216DF1">
        <w:t xml:space="preserve"> </w:t>
      </w:r>
      <w:r w:rsidR="00AB080A" w:rsidRPr="00216DF1">
        <w:t xml:space="preserve">were </w:t>
      </w:r>
      <w:r w:rsidR="00352512" w:rsidRPr="00216DF1">
        <w:t>included</w:t>
      </w:r>
      <w:r w:rsidR="00AB080A" w:rsidRPr="00216DF1">
        <w:t>.</w:t>
      </w:r>
      <w:r w:rsidR="00415E14" w:rsidRPr="00216DF1">
        <w:t xml:space="preserve"> </w:t>
      </w:r>
      <w:r w:rsidR="00AB080A" w:rsidRPr="00216DF1">
        <w:t>One</w:t>
      </w:r>
      <w:r w:rsidR="00FA3ADF" w:rsidRPr="00216DF1">
        <w:t xml:space="preserve">, known as a </w:t>
      </w:r>
      <w:r w:rsidR="00FA3ADF" w:rsidRPr="00E06166">
        <w:t>weighted-average ratchet</w:t>
      </w:r>
      <w:r w:rsidR="00352512" w:rsidRPr="00216DF1">
        <w:rPr>
          <w:i/>
        </w:rPr>
        <w:t>,</w:t>
      </w:r>
      <w:r w:rsidR="00FA3ADF" w:rsidRPr="00216DF1">
        <w:t xml:space="preserve"> was common; a survey </w:t>
      </w:r>
      <w:r w:rsidR="00F94C02" w:rsidRPr="00216DF1">
        <w:t xml:space="preserve">in the first quarter of 2014 </w:t>
      </w:r>
      <w:r w:rsidR="007D1290" w:rsidRPr="00216DF1">
        <w:t xml:space="preserve">by venture capital law firm </w:t>
      </w:r>
      <w:r w:rsidR="00F94C02" w:rsidRPr="00216DF1">
        <w:t xml:space="preserve">Fenwick and West LLP </w:t>
      </w:r>
      <w:r w:rsidR="007D1290" w:rsidRPr="00216DF1">
        <w:t>found that 95</w:t>
      </w:r>
      <w:r w:rsidR="00924DE6" w:rsidRPr="00216DF1">
        <w:t xml:space="preserve"> per cent</w:t>
      </w:r>
      <w:r w:rsidR="007D1290" w:rsidRPr="00216DF1">
        <w:t xml:space="preserve"> of all offerings had similar provisions.</w:t>
      </w:r>
      <w:r w:rsidR="007D1290" w:rsidRPr="00216DF1">
        <w:rPr>
          <w:rStyle w:val="EndnoteReference"/>
        </w:rPr>
        <w:endnoteReference w:id="43"/>
      </w:r>
      <w:r w:rsidR="007D1290" w:rsidRPr="00216DF1">
        <w:t xml:space="preserve"> This provision stipulated that if </w:t>
      </w:r>
      <w:r w:rsidR="00352512" w:rsidRPr="00216DF1">
        <w:t>the c</w:t>
      </w:r>
      <w:r w:rsidR="007D1290" w:rsidRPr="00216DF1">
        <w:t xml:space="preserve">ompany issued shares in a non-public offering at a price </w:t>
      </w:r>
      <w:r w:rsidR="00F94C02" w:rsidRPr="00216DF1">
        <w:t xml:space="preserve">lower </w:t>
      </w:r>
      <w:r w:rsidR="007D1290" w:rsidRPr="00216DF1">
        <w:t xml:space="preserve">than $15.46345, the conversion price </w:t>
      </w:r>
      <w:r w:rsidR="00D35A8B" w:rsidRPr="00216DF1">
        <w:t xml:space="preserve">would be lowered </w:t>
      </w:r>
      <w:r w:rsidR="00B216D9" w:rsidRPr="00216DF1">
        <w:t xml:space="preserve">to the </w:t>
      </w:r>
      <w:r w:rsidR="00F94C02" w:rsidRPr="00216DF1">
        <w:t xml:space="preserve">ratio of the </w:t>
      </w:r>
      <w:r w:rsidR="00B216D9" w:rsidRPr="00216DF1">
        <w:t xml:space="preserve">total value of issue proceeds </w:t>
      </w:r>
      <w:r w:rsidR="00F94C02" w:rsidRPr="00216DF1">
        <w:t xml:space="preserve">measured </w:t>
      </w:r>
      <w:r w:rsidR="00B216D9" w:rsidRPr="00216DF1">
        <w:t xml:space="preserve">prior to this offering divided by the total number of shares </w:t>
      </w:r>
      <w:r w:rsidR="00F94C02" w:rsidRPr="00216DF1">
        <w:t>outstanding measured</w:t>
      </w:r>
      <w:r w:rsidR="00B216D9" w:rsidRPr="00216DF1">
        <w:t xml:space="preserve"> after this offering</w:t>
      </w:r>
      <w:r w:rsidR="00415E14" w:rsidRPr="00216DF1">
        <w:t xml:space="preserve">. </w:t>
      </w:r>
    </w:p>
    <w:p w14:paraId="06C50B77" w14:textId="77777777" w:rsidR="00F94C02" w:rsidRPr="00216DF1" w:rsidRDefault="00F94C02" w:rsidP="003754B7">
      <w:pPr>
        <w:pStyle w:val="BodyTextMain"/>
      </w:pPr>
    </w:p>
    <w:p w14:paraId="72D9D830" w14:textId="0151C14C" w:rsidR="00B216D9" w:rsidRPr="00216DF1" w:rsidRDefault="00B216D9" w:rsidP="003754B7">
      <w:pPr>
        <w:pStyle w:val="BodyTextMain"/>
      </w:pPr>
      <w:r w:rsidRPr="00216DF1">
        <w:t>The other</w:t>
      </w:r>
      <w:r w:rsidR="002C4B8A" w:rsidRPr="00216DF1">
        <w:t xml:space="preserve"> ratchet was an</w:t>
      </w:r>
      <w:r w:rsidRPr="00216DF1">
        <w:t xml:space="preserve"> </w:t>
      </w:r>
      <w:r w:rsidR="00E728FA" w:rsidRPr="00E06166">
        <w:t>IPO</w:t>
      </w:r>
      <w:r w:rsidR="00834F4A" w:rsidRPr="00E06166">
        <w:t xml:space="preserve"> </w:t>
      </w:r>
      <w:r w:rsidRPr="00E06166">
        <w:t>ratchet</w:t>
      </w:r>
      <w:r w:rsidR="00AB080A" w:rsidRPr="00216DF1">
        <w:t>,</w:t>
      </w:r>
      <w:r w:rsidR="002C4B8A" w:rsidRPr="00216DF1">
        <w:t xml:space="preserve"> which specified</w:t>
      </w:r>
      <w:r w:rsidRPr="00216DF1">
        <w:t xml:space="preserve"> that in the event of a public offering for less than $18.55614, </w:t>
      </w:r>
      <w:r w:rsidR="008D65D5" w:rsidRPr="008D65D5">
        <w:t xml:space="preserve">the conversion price </w:t>
      </w:r>
      <w:r w:rsidR="00625EBD">
        <w:t>would</w:t>
      </w:r>
      <w:r w:rsidR="00625EBD" w:rsidRPr="008D65D5">
        <w:t xml:space="preserve"> </w:t>
      </w:r>
      <w:r w:rsidR="008D65D5" w:rsidRPr="008D65D5">
        <w:t xml:space="preserve">be adjusted such that the Series E preferred shares </w:t>
      </w:r>
      <w:r w:rsidR="00625EBD">
        <w:t>were</w:t>
      </w:r>
      <w:r w:rsidR="00625EBD" w:rsidRPr="008D65D5">
        <w:t xml:space="preserve"> </w:t>
      </w:r>
      <w:r w:rsidR="008D65D5" w:rsidRPr="008D65D5">
        <w:t>convertible into</w:t>
      </w:r>
      <w:r w:rsidRPr="00216DF1">
        <w:t xml:space="preserve"> </w:t>
      </w:r>
      <w:r w:rsidR="00F94C02" w:rsidRPr="00216DF1">
        <w:t>“</w:t>
      </w:r>
      <w:r w:rsidR="00CC23F2">
        <w:t xml:space="preserve">(A) </w:t>
      </w:r>
      <w:r w:rsidRPr="00216DF1">
        <w:t>the number of shares of common stock issuable on con</w:t>
      </w:r>
      <w:r w:rsidR="00CC23F2">
        <w:t xml:space="preserve">version of such share of Series E preferred stock; and (B) </w:t>
      </w:r>
      <w:r w:rsidRPr="00216DF1">
        <w:t>an additional number of sha</w:t>
      </w:r>
      <w:r w:rsidR="00562EEC" w:rsidRPr="00216DF1">
        <w:t>res of common stock equal to</w:t>
      </w:r>
      <w:r w:rsidR="00FD773E" w:rsidRPr="00216DF1">
        <w:t xml:space="preserve"> (x) </w:t>
      </w:r>
      <w:r w:rsidRPr="00216DF1">
        <w:t>the difference between $18.55614 an</w:t>
      </w:r>
      <w:r w:rsidR="00562EEC" w:rsidRPr="00216DF1">
        <w:t>d the public offering price</w:t>
      </w:r>
      <w:r w:rsidR="00FD773E" w:rsidRPr="00216DF1">
        <w:t xml:space="preserve"> (y) </w:t>
      </w:r>
      <w:r w:rsidRPr="00216DF1">
        <w:t>divided by the public offering share price.</w:t>
      </w:r>
      <w:r w:rsidR="00F94C02" w:rsidRPr="00216DF1">
        <w:t>”</w:t>
      </w:r>
      <w:r w:rsidR="006C4F1F" w:rsidRPr="00216DF1">
        <w:rPr>
          <w:rStyle w:val="EndnoteReference"/>
        </w:rPr>
        <w:endnoteReference w:id="44"/>
      </w:r>
    </w:p>
    <w:p w14:paraId="2AABDC02" w14:textId="77777777" w:rsidR="00B216D9" w:rsidRPr="00216DF1" w:rsidRDefault="00B216D9" w:rsidP="003754B7">
      <w:pPr>
        <w:pStyle w:val="BodyTextMain"/>
      </w:pPr>
    </w:p>
    <w:p w14:paraId="2F3EBAEF" w14:textId="5EFDF26D" w:rsidR="008C7F2D" w:rsidRPr="00216DF1" w:rsidRDefault="00B216D9" w:rsidP="003754B7">
      <w:pPr>
        <w:pStyle w:val="BodyTextMain"/>
      </w:pPr>
      <w:r w:rsidRPr="00216DF1">
        <w:t>Goldman Sachs and Sap</w:t>
      </w:r>
      <w:r w:rsidR="00E2479D" w:rsidRPr="00216DF1">
        <w:t>p</w:t>
      </w:r>
      <w:r w:rsidRPr="00216DF1">
        <w:t xml:space="preserve">hire </w:t>
      </w:r>
      <w:r w:rsidR="00FD773E" w:rsidRPr="00216DF1">
        <w:t>Ventures</w:t>
      </w:r>
      <w:r w:rsidR="00BC5CEF" w:rsidRPr="00216DF1">
        <w:t xml:space="preserve">, as well as </w:t>
      </w:r>
      <w:r w:rsidR="00EE1584" w:rsidRPr="00216DF1">
        <w:t xml:space="preserve">any </w:t>
      </w:r>
      <w:r w:rsidR="00BC5CEF" w:rsidRPr="00216DF1">
        <w:t>other investors offered these terms</w:t>
      </w:r>
      <w:r w:rsidR="00E2479D" w:rsidRPr="00216DF1">
        <w:t>,</w:t>
      </w:r>
      <w:r w:rsidR="00BC5CEF" w:rsidRPr="00216DF1">
        <w:t xml:space="preserve"> had </w:t>
      </w:r>
      <w:r w:rsidR="00EE1584" w:rsidRPr="00216DF1">
        <w:t xml:space="preserve">only a </w:t>
      </w:r>
      <w:r w:rsidR="00B1154F" w:rsidRPr="00216DF1">
        <w:t xml:space="preserve">limited </w:t>
      </w:r>
      <w:r w:rsidR="00EE1584" w:rsidRPr="00216DF1">
        <w:t xml:space="preserve">amount of </w:t>
      </w:r>
      <w:r w:rsidR="00B1154F" w:rsidRPr="00216DF1">
        <w:t>time</w:t>
      </w:r>
      <w:r w:rsidR="00BC5CEF" w:rsidRPr="00216DF1">
        <w:t xml:space="preserve"> to consider the terms.</w:t>
      </w:r>
      <w:r w:rsidR="00D61DB6" w:rsidRPr="00216DF1">
        <w:rPr>
          <w:rStyle w:val="EndnoteReference"/>
        </w:rPr>
        <w:endnoteReference w:id="45"/>
      </w:r>
      <w:r w:rsidR="00BC5CEF" w:rsidRPr="00216DF1">
        <w:t xml:space="preserve"> </w:t>
      </w:r>
      <w:r w:rsidR="00FE297F" w:rsidRPr="00216DF1">
        <w:t>T</w:t>
      </w:r>
      <w:r w:rsidR="00906605" w:rsidRPr="00216DF1">
        <w:t>he</w:t>
      </w:r>
      <w:r w:rsidR="00B1154F" w:rsidRPr="00216DF1">
        <w:t xml:space="preserve"> offer price </w:t>
      </w:r>
      <w:r w:rsidR="00B22E56" w:rsidRPr="00216DF1">
        <w:t xml:space="preserve">of </w:t>
      </w:r>
      <w:r w:rsidR="00834F4A" w:rsidRPr="00216DF1">
        <w:t xml:space="preserve">$15.46345 </w:t>
      </w:r>
      <w:r w:rsidR="00B1154F" w:rsidRPr="00216DF1">
        <w:t>was apparently designed to reach a $6 billion valuatio</w:t>
      </w:r>
      <w:r w:rsidR="0073764E" w:rsidRPr="00216DF1">
        <w:t>n,</w:t>
      </w:r>
      <w:r w:rsidR="00FE297F" w:rsidRPr="00216DF1">
        <w:rPr>
          <w:rStyle w:val="EndnoteReference"/>
        </w:rPr>
        <w:endnoteReference w:id="46"/>
      </w:r>
      <w:r w:rsidR="00FE297F" w:rsidRPr="00216DF1">
        <w:t xml:space="preserve"> </w:t>
      </w:r>
      <w:r w:rsidR="0073764E" w:rsidRPr="00216DF1">
        <w:t xml:space="preserve">but what </w:t>
      </w:r>
      <w:r w:rsidR="00834F4A" w:rsidRPr="00216DF1">
        <w:t xml:space="preserve">if the company wasn’t able to exit at this value? </w:t>
      </w:r>
      <w:r w:rsidR="00964DED" w:rsidRPr="00216DF1">
        <w:t xml:space="preserve">What if the firm ended up being sold or taken public at a valuation closer to the $3 billion </w:t>
      </w:r>
      <w:r w:rsidR="00E2479D" w:rsidRPr="00216DF1">
        <w:t xml:space="preserve">range </w:t>
      </w:r>
      <w:r w:rsidR="00964DED" w:rsidRPr="00216DF1">
        <w:t xml:space="preserve">that </w:t>
      </w:r>
      <w:r w:rsidR="00FD773E" w:rsidRPr="00216DF1">
        <w:t xml:space="preserve">had </w:t>
      </w:r>
      <w:r w:rsidR="00964DED" w:rsidRPr="00216DF1">
        <w:t xml:space="preserve">reportedly </w:t>
      </w:r>
      <w:r w:rsidR="00FD773E" w:rsidRPr="00216DF1">
        <w:t xml:space="preserve">been </w:t>
      </w:r>
      <w:r w:rsidR="00964DED" w:rsidRPr="00216DF1">
        <w:t>offered</w:t>
      </w:r>
      <w:r w:rsidR="00E42FD9" w:rsidRPr="00216DF1">
        <w:t xml:space="preserve"> by Apple</w:t>
      </w:r>
      <w:r w:rsidR="00964DED" w:rsidRPr="00216DF1">
        <w:t xml:space="preserve">? </w:t>
      </w:r>
      <w:r w:rsidR="000777F5" w:rsidRPr="00216DF1">
        <w:t>Investors in previous</w:t>
      </w:r>
      <w:r w:rsidR="00906605" w:rsidRPr="00216DF1">
        <w:t xml:space="preserve"> ro</w:t>
      </w:r>
      <w:r w:rsidR="00781FFC" w:rsidRPr="00216DF1">
        <w:t xml:space="preserve">unds </w:t>
      </w:r>
      <w:r w:rsidR="000777F5" w:rsidRPr="00216DF1">
        <w:t>also had reason to be</w:t>
      </w:r>
      <w:r w:rsidR="00781FFC" w:rsidRPr="00216DF1">
        <w:t xml:space="preserve"> concerned about</w:t>
      </w:r>
      <w:r w:rsidR="00906605" w:rsidRPr="00216DF1">
        <w:t xml:space="preserve"> the effect of the </w:t>
      </w:r>
      <w:r w:rsidR="00E728FA" w:rsidRPr="00216DF1">
        <w:t xml:space="preserve">ratchets and liquidation preferences </w:t>
      </w:r>
      <w:r w:rsidR="00906605" w:rsidRPr="00216DF1">
        <w:t xml:space="preserve">on their returns in </w:t>
      </w:r>
      <w:r w:rsidR="00B22E56" w:rsidRPr="00216DF1">
        <w:t xml:space="preserve">the event of </w:t>
      </w:r>
      <w:r w:rsidR="00906605" w:rsidRPr="00216DF1">
        <w:t>an eventual IPO</w:t>
      </w:r>
      <w:r w:rsidR="00A07ADB" w:rsidRPr="00216DF1">
        <w:t xml:space="preserve"> or sale</w:t>
      </w:r>
      <w:r w:rsidR="00906605" w:rsidRPr="00216DF1">
        <w:t>.</w:t>
      </w:r>
    </w:p>
    <w:p w14:paraId="6067BEBB" w14:textId="25D293F4" w:rsidR="003754B7" w:rsidRPr="00216DF1" w:rsidRDefault="003754B7">
      <w:pPr>
        <w:rPr>
          <w:sz w:val="22"/>
          <w:szCs w:val="22"/>
        </w:rPr>
      </w:pPr>
      <w:r w:rsidRPr="00216DF1">
        <w:br w:type="page"/>
      </w:r>
    </w:p>
    <w:p w14:paraId="3926C197" w14:textId="204F0C31" w:rsidR="00A6076B" w:rsidRPr="00216DF1" w:rsidRDefault="00347632" w:rsidP="00E06166">
      <w:pPr>
        <w:pStyle w:val="ExhibitHeading"/>
      </w:pPr>
      <w:r w:rsidRPr="00216DF1">
        <w:lastRenderedPageBreak/>
        <w:t>Exhibit 1</w:t>
      </w:r>
      <w:r w:rsidR="00A6076B" w:rsidRPr="00216DF1">
        <w:t xml:space="preserve">: Square, Inc. </w:t>
      </w:r>
      <w:r w:rsidR="0072073F" w:rsidRPr="00216DF1">
        <w:t xml:space="preserve">series d </w:t>
      </w:r>
      <w:r w:rsidR="00A6076B" w:rsidRPr="00216DF1">
        <w:t>Capitalization Table</w:t>
      </w:r>
      <w:r w:rsidR="00481BD5" w:rsidRPr="00216DF1">
        <w:t xml:space="preserve"> </w:t>
      </w:r>
      <w:r w:rsidR="001953B1" w:rsidRPr="00216DF1">
        <w:t>(in US$)</w:t>
      </w:r>
    </w:p>
    <w:p w14:paraId="0F313587" w14:textId="77777777" w:rsidR="00A6076B" w:rsidRPr="00216DF1" w:rsidRDefault="00A6076B" w:rsidP="00A6076B">
      <w:pPr>
        <w:pStyle w:val="BodyText"/>
        <w:tabs>
          <w:tab w:val="left" w:pos="3690"/>
        </w:tabs>
        <w:spacing w:after="0"/>
        <w:ind w:left="3690" w:hanging="3690"/>
        <w:jc w:val="center"/>
        <w:rPr>
          <w:rFonts w:ascii="Arial" w:hAnsi="Arial" w:cs="Arial"/>
          <w:b/>
          <w:caps/>
          <w:sz w:val="18"/>
          <w:szCs w:val="18"/>
        </w:rPr>
      </w:pPr>
    </w:p>
    <w:tbl>
      <w:tblPr>
        <w:tblStyle w:val="TableGrid"/>
        <w:tblW w:w="9219" w:type="dxa"/>
        <w:tblInd w:w="175" w:type="dxa"/>
        <w:tblLayout w:type="fixed"/>
        <w:tblCellMar>
          <w:left w:w="28" w:type="dxa"/>
          <w:right w:w="28" w:type="dxa"/>
        </w:tblCellMar>
        <w:tblLook w:val="04A0" w:firstRow="1" w:lastRow="0" w:firstColumn="1" w:lastColumn="0" w:noHBand="0" w:noVBand="1"/>
      </w:tblPr>
      <w:tblGrid>
        <w:gridCol w:w="1535"/>
        <w:gridCol w:w="1440"/>
        <w:gridCol w:w="990"/>
        <w:gridCol w:w="1002"/>
        <w:gridCol w:w="850"/>
        <w:gridCol w:w="1276"/>
        <w:gridCol w:w="1134"/>
        <w:gridCol w:w="992"/>
      </w:tblGrid>
      <w:tr w:rsidR="00E45217" w:rsidRPr="00216DF1" w14:paraId="386C02E7" w14:textId="77777777" w:rsidTr="00DC149A">
        <w:trPr>
          <w:trHeight w:val="746"/>
        </w:trPr>
        <w:tc>
          <w:tcPr>
            <w:tcW w:w="1535" w:type="dxa"/>
            <w:vAlign w:val="center"/>
          </w:tcPr>
          <w:p w14:paraId="0194C7FD" w14:textId="3B121C63" w:rsidR="00A6076B" w:rsidRPr="00216DF1" w:rsidRDefault="00A6076B" w:rsidP="00A6076B">
            <w:pPr>
              <w:pStyle w:val="BodyText"/>
              <w:tabs>
                <w:tab w:val="left" w:pos="3690"/>
              </w:tabs>
              <w:spacing w:after="0"/>
              <w:rPr>
                <w:rFonts w:ascii="Arial" w:hAnsi="Arial" w:cs="Arial"/>
                <w:b/>
                <w:caps/>
                <w:sz w:val="16"/>
                <w:szCs w:val="16"/>
              </w:rPr>
            </w:pPr>
            <w:r w:rsidRPr="00216DF1">
              <w:rPr>
                <w:rFonts w:ascii="Arial" w:hAnsi="Arial" w:cs="Arial"/>
                <w:b/>
                <w:bCs/>
                <w:color w:val="000000"/>
                <w:sz w:val="16"/>
                <w:szCs w:val="16"/>
              </w:rPr>
              <w:t>Security</w:t>
            </w:r>
          </w:p>
        </w:tc>
        <w:tc>
          <w:tcPr>
            <w:tcW w:w="1440" w:type="dxa"/>
            <w:vAlign w:val="center"/>
          </w:tcPr>
          <w:p w14:paraId="43C8E1DE" w14:textId="40D7D2F6" w:rsidR="00A6076B" w:rsidRPr="00216DF1" w:rsidRDefault="00A6076B"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Lead Investor</w:t>
            </w:r>
          </w:p>
        </w:tc>
        <w:tc>
          <w:tcPr>
            <w:tcW w:w="990" w:type="dxa"/>
            <w:vAlign w:val="center"/>
          </w:tcPr>
          <w:p w14:paraId="0C8DDAE5" w14:textId="32C50EC5" w:rsidR="00A6076B" w:rsidRPr="00216DF1" w:rsidRDefault="00A6076B"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Issue Date</w:t>
            </w:r>
          </w:p>
        </w:tc>
        <w:tc>
          <w:tcPr>
            <w:tcW w:w="1002" w:type="dxa"/>
            <w:vAlign w:val="center"/>
          </w:tcPr>
          <w:p w14:paraId="38C2636D" w14:textId="77777777" w:rsidR="001953B1" w:rsidRPr="00216DF1" w:rsidRDefault="001953B1" w:rsidP="00A6076B">
            <w:pPr>
              <w:pStyle w:val="BodyText"/>
              <w:tabs>
                <w:tab w:val="left" w:pos="3690"/>
              </w:tabs>
              <w:spacing w:after="0"/>
              <w:jc w:val="center"/>
              <w:rPr>
                <w:rFonts w:ascii="Arial" w:hAnsi="Arial" w:cs="Arial"/>
                <w:b/>
                <w:bCs/>
                <w:color w:val="000000"/>
                <w:sz w:val="16"/>
                <w:szCs w:val="16"/>
              </w:rPr>
            </w:pPr>
            <w:r w:rsidRPr="00216DF1">
              <w:rPr>
                <w:rFonts w:ascii="Arial" w:hAnsi="Arial" w:cs="Arial"/>
                <w:b/>
                <w:bCs/>
                <w:color w:val="000000"/>
                <w:sz w:val="16"/>
                <w:szCs w:val="16"/>
              </w:rPr>
              <w:t>Shares</w:t>
            </w:r>
          </w:p>
          <w:p w14:paraId="39132895" w14:textId="4D7C6884" w:rsidR="00A6076B" w:rsidRPr="00216DF1" w:rsidRDefault="00A6076B"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Issued</w:t>
            </w:r>
          </w:p>
        </w:tc>
        <w:tc>
          <w:tcPr>
            <w:tcW w:w="850" w:type="dxa"/>
            <w:vAlign w:val="center"/>
          </w:tcPr>
          <w:p w14:paraId="2F08A81C" w14:textId="0BBA7EB3" w:rsidR="00A6076B" w:rsidRPr="00216DF1" w:rsidRDefault="00A6076B"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Price</w:t>
            </w:r>
          </w:p>
        </w:tc>
        <w:tc>
          <w:tcPr>
            <w:tcW w:w="1276" w:type="dxa"/>
            <w:vAlign w:val="center"/>
          </w:tcPr>
          <w:p w14:paraId="7A25F4B0" w14:textId="0C9B5E57" w:rsidR="00A6076B" w:rsidRPr="00216DF1" w:rsidRDefault="00A6076B" w:rsidP="00F214D7">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Issue Value</w:t>
            </w:r>
          </w:p>
        </w:tc>
        <w:tc>
          <w:tcPr>
            <w:tcW w:w="1134" w:type="dxa"/>
            <w:vAlign w:val="center"/>
          </w:tcPr>
          <w:p w14:paraId="1D28FED3" w14:textId="3F7EE3C2" w:rsidR="00A6076B" w:rsidRPr="00216DF1" w:rsidRDefault="00A6076B"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Common Shares After Conversion</w:t>
            </w:r>
          </w:p>
        </w:tc>
        <w:tc>
          <w:tcPr>
            <w:tcW w:w="992" w:type="dxa"/>
            <w:vAlign w:val="center"/>
          </w:tcPr>
          <w:p w14:paraId="48C493EF" w14:textId="17EBE37D" w:rsidR="00A6076B" w:rsidRPr="00216DF1" w:rsidRDefault="003C6570" w:rsidP="00A6076B">
            <w:pPr>
              <w:pStyle w:val="BodyText"/>
              <w:tabs>
                <w:tab w:val="left" w:pos="3690"/>
              </w:tabs>
              <w:spacing w:after="0"/>
              <w:jc w:val="center"/>
              <w:rPr>
                <w:rFonts w:ascii="Arial" w:hAnsi="Arial" w:cs="Arial"/>
                <w:b/>
                <w:caps/>
                <w:sz w:val="16"/>
                <w:szCs w:val="16"/>
              </w:rPr>
            </w:pPr>
            <w:r w:rsidRPr="00216DF1">
              <w:rPr>
                <w:rFonts w:ascii="Arial" w:hAnsi="Arial" w:cs="Arial"/>
                <w:b/>
                <w:bCs/>
                <w:color w:val="000000"/>
                <w:sz w:val="16"/>
                <w:szCs w:val="16"/>
              </w:rPr>
              <w:t>Percent of Common Stock</w:t>
            </w:r>
          </w:p>
        </w:tc>
      </w:tr>
      <w:tr w:rsidR="00E45217" w:rsidRPr="00216DF1" w14:paraId="290C6AE6" w14:textId="77777777" w:rsidTr="00DC149A">
        <w:trPr>
          <w:trHeight w:val="259"/>
        </w:trPr>
        <w:tc>
          <w:tcPr>
            <w:tcW w:w="1535" w:type="dxa"/>
            <w:vAlign w:val="center"/>
          </w:tcPr>
          <w:p w14:paraId="22B831E9" w14:textId="146D0D6A" w:rsidR="00A6076B" w:rsidRPr="00216DF1" w:rsidRDefault="001953B1"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Series A Preferred</w:t>
            </w:r>
          </w:p>
        </w:tc>
        <w:tc>
          <w:tcPr>
            <w:tcW w:w="1440" w:type="dxa"/>
            <w:vAlign w:val="center"/>
          </w:tcPr>
          <w:p w14:paraId="0F5F70E5" w14:textId="790DE4D6" w:rsidR="00A6076B" w:rsidRPr="00216DF1" w:rsidRDefault="00A6076B" w:rsidP="00513472">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Khosla Ventures</w:t>
            </w:r>
          </w:p>
        </w:tc>
        <w:tc>
          <w:tcPr>
            <w:tcW w:w="990" w:type="dxa"/>
            <w:vAlign w:val="center"/>
          </w:tcPr>
          <w:p w14:paraId="5B7AABF9" w14:textId="4F4A3862" w:rsidR="00A6076B" w:rsidRPr="00216DF1" w:rsidRDefault="00A6076B" w:rsidP="00E06166">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2009</w:t>
            </w:r>
            <w:r w:rsidR="00FF3B89">
              <w:rPr>
                <w:rFonts w:ascii="Arial" w:hAnsi="Arial" w:cs="Arial"/>
                <w:color w:val="000000"/>
                <w:sz w:val="16"/>
                <w:szCs w:val="16"/>
              </w:rPr>
              <w:t>-11-1</w:t>
            </w:r>
          </w:p>
        </w:tc>
        <w:tc>
          <w:tcPr>
            <w:tcW w:w="1002" w:type="dxa"/>
            <w:vAlign w:val="center"/>
          </w:tcPr>
          <w:p w14:paraId="0C2464CC" w14:textId="10E86DFB"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46,700,710</w:t>
            </w:r>
          </w:p>
        </w:tc>
        <w:tc>
          <w:tcPr>
            <w:tcW w:w="850" w:type="dxa"/>
            <w:vAlign w:val="center"/>
          </w:tcPr>
          <w:p w14:paraId="6B3BAAD1" w14:textId="1F5454DC" w:rsidR="00A6076B" w:rsidRPr="00216DF1" w:rsidRDefault="001953B1" w:rsidP="00D7674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r w:rsidR="00A6076B" w:rsidRPr="00216DF1">
              <w:rPr>
                <w:rFonts w:ascii="Arial" w:hAnsi="Arial" w:cs="Arial"/>
                <w:color w:val="000000"/>
                <w:sz w:val="16"/>
                <w:szCs w:val="16"/>
              </w:rPr>
              <w:t>0.21627</w:t>
            </w:r>
          </w:p>
        </w:tc>
        <w:tc>
          <w:tcPr>
            <w:tcW w:w="1276" w:type="dxa"/>
            <w:vAlign w:val="center"/>
          </w:tcPr>
          <w:p w14:paraId="6B15036B" w14:textId="11FCAD3A" w:rsidR="00A6076B" w:rsidRPr="00216DF1" w:rsidRDefault="00A6076B" w:rsidP="0082735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$10,100</w:t>
            </w:r>
            <w:r w:rsidR="00C1402D" w:rsidRPr="00216DF1">
              <w:rPr>
                <w:rFonts w:ascii="Arial" w:hAnsi="Arial" w:cs="Arial"/>
                <w:color w:val="000000"/>
                <w:sz w:val="16"/>
                <w:szCs w:val="16"/>
              </w:rPr>
              <w:t>,000</w:t>
            </w:r>
          </w:p>
        </w:tc>
        <w:tc>
          <w:tcPr>
            <w:tcW w:w="1134" w:type="dxa"/>
            <w:vAlign w:val="center"/>
          </w:tcPr>
          <w:p w14:paraId="20310481" w14:textId="3B30F74C"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46,700,710</w:t>
            </w:r>
          </w:p>
        </w:tc>
        <w:tc>
          <w:tcPr>
            <w:tcW w:w="992" w:type="dxa"/>
            <w:vAlign w:val="center"/>
          </w:tcPr>
          <w:p w14:paraId="13867A3E" w14:textId="41E656AD"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16</w:t>
            </w:r>
          </w:p>
        </w:tc>
      </w:tr>
      <w:tr w:rsidR="00E45217" w:rsidRPr="00216DF1" w14:paraId="0A436642" w14:textId="77777777" w:rsidTr="00DC149A">
        <w:trPr>
          <w:trHeight w:val="259"/>
        </w:trPr>
        <w:tc>
          <w:tcPr>
            <w:tcW w:w="1535" w:type="dxa"/>
            <w:vAlign w:val="center"/>
          </w:tcPr>
          <w:p w14:paraId="5C6DD33E" w14:textId="1CF0A3F2" w:rsidR="00A6076B" w:rsidRPr="00216DF1" w:rsidRDefault="00A6076B"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Series B-1 Preferred</w:t>
            </w:r>
          </w:p>
        </w:tc>
        <w:tc>
          <w:tcPr>
            <w:tcW w:w="1440" w:type="dxa"/>
            <w:vAlign w:val="center"/>
          </w:tcPr>
          <w:p w14:paraId="7C4DDB9E" w14:textId="2EC01FCA" w:rsidR="00A6076B" w:rsidRPr="00216DF1" w:rsidRDefault="00A6076B" w:rsidP="00513472">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Sequoia Capital</w:t>
            </w:r>
          </w:p>
        </w:tc>
        <w:tc>
          <w:tcPr>
            <w:tcW w:w="990" w:type="dxa"/>
            <w:vAlign w:val="center"/>
          </w:tcPr>
          <w:p w14:paraId="51EF4464" w14:textId="5DF30AA7" w:rsidR="00A6076B" w:rsidRPr="00216DF1" w:rsidRDefault="00A6076B" w:rsidP="00FF3B89">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2011</w:t>
            </w:r>
            <w:r w:rsidR="00FF3B89">
              <w:rPr>
                <w:rFonts w:ascii="Arial" w:hAnsi="Arial" w:cs="Arial"/>
                <w:color w:val="000000"/>
                <w:sz w:val="16"/>
                <w:szCs w:val="16"/>
              </w:rPr>
              <w:t>-1-10</w:t>
            </w:r>
          </w:p>
        </w:tc>
        <w:tc>
          <w:tcPr>
            <w:tcW w:w="1002" w:type="dxa"/>
            <w:vAlign w:val="center"/>
          </w:tcPr>
          <w:p w14:paraId="631FA43E" w14:textId="0C2940FD"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13,893,330</w:t>
            </w:r>
          </w:p>
        </w:tc>
        <w:tc>
          <w:tcPr>
            <w:tcW w:w="850" w:type="dxa"/>
            <w:vAlign w:val="center"/>
          </w:tcPr>
          <w:p w14:paraId="4FECB849" w14:textId="01484AFA" w:rsidR="00A6076B" w:rsidRPr="00216DF1" w:rsidRDefault="001953B1" w:rsidP="00D7674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r w:rsidR="00A6076B" w:rsidRPr="00216DF1">
              <w:rPr>
                <w:rFonts w:ascii="Arial" w:hAnsi="Arial" w:cs="Arial"/>
                <w:color w:val="000000"/>
                <w:sz w:val="16"/>
                <w:szCs w:val="16"/>
              </w:rPr>
              <w:t>0.71977</w:t>
            </w:r>
          </w:p>
        </w:tc>
        <w:tc>
          <w:tcPr>
            <w:tcW w:w="1276" w:type="dxa"/>
            <w:vAlign w:val="center"/>
          </w:tcPr>
          <w:p w14:paraId="4766B996" w14:textId="258E3D79" w:rsidR="00A6076B" w:rsidRPr="00216DF1" w:rsidRDefault="00A6076B" w:rsidP="0082735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$10,000</w:t>
            </w:r>
            <w:r w:rsidR="00C1402D" w:rsidRPr="00216DF1">
              <w:rPr>
                <w:rFonts w:ascii="Arial" w:hAnsi="Arial" w:cs="Arial"/>
                <w:color w:val="000000"/>
                <w:sz w:val="16"/>
                <w:szCs w:val="16"/>
              </w:rPr>
              <w:t>,000</w:t>
            </w:r>
          </w:p>
        </w:tc>
        <w:tc>
          <w:tcPr>
            <w:tcW w:w="1134" w:type="dxa"/>
            <w:vAlign w:val="center"/>
          </w:tcPr>
          <w:p w14:paraId="4AEA8D01" w14:textId="54D471F9"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13,893,330</w:t>
            </w:r>
          </w:p>
        </w:tc>
        <w:tc>
          <w:tcPr>
            <w:tcW w:w="992" w:type="dxa"/>
            <w:vAlign w:val="center"/>
          </w:tcPr>
          <w:p w14:paraId="23302D37" w14:textId="3C97FFF7"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5</w:t>
            </w:r>
          </w:p>
        </w:tc>
      </w:tr>
      <w:tr w:rsidR="00E45217" w:rsidRPr="00216DF1" w14:paraId="347F7C2F" w14:textId="77777777" w:rsidTr="00DC149A">
        <w:trPr>
          <w:trHeight w:val="259"/>
        </w:trPr>
        <w:tc>
          <w:tcPr>
            <w:tcW w:w="1535" w:type="dxa"/>
            <w:vAlign w:val="center"/>
          </w:tcPr>
          <w:p w14:paraId="56B6AC32" w14:textId="18BD61E3" w:rsidR="00A6076B" w:rsidRPr="00216DF1" w:rsidRDefault="001953B1"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Series B-2 Preferred</w:t>
            </w:r>
          </w:p>
        </w:tc>
        <w:tc>
          <w:tcPr>
            <w:tcW w:w="1440" w:type="dxa"/>
            <w:vAlign w:val="center"/>
          </w:tcPr>
          <w:p w14:paraId="38F8D92D" w14:textId="5D926F76" w:rsidR="00A6076B" w:rsidRPr="00216DF1" w:rsidRDefault="00A6076B" w:rsidP="00513472">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Kleiner Perkins</w:t>
            </w:r>
          </w:p>
        </w:tc>
        <w:tc>
          <w:tcPr>
            <w:tcW w:w="990" w:type="dxa"/>
            <w:vAlign w:val="center"/>
          </w:tcPr>
          <w:p w14:paraId="3DB0531D" w14:textId="43905646" w:rsidR="00A6076B" w:rsidRPr="00216DF1" w:rsidRDefault="00A6076B" w:rsidP="00E06166">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2011</w:t>
            </w:r>
            <w:r w:rsidR="00FF3B89">
              <w:rPr>
                <w:rFonts w:ascii="Arial" w:hAnsi="Arial" w:cs="Arial"/>
                <w:color w:val="000000"/>
                <w:sz w:val="16"/>
                <w:szCs w:val="16"/>
              </w:rPr>
              <w:t>-6-28</w:t>
            </w:r>
          </w:p>
        </w:tc>
        <w:tc>
          <w:tcPr>
            <w:tcW w:w="1002" w:type="dxa"/>
            <w:vAlign w:val="center"/>
          </w:tcPr>
          <w:p w14:paraId="3071491E" w14:textId="64020D6A"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27,030,040</w:t>
            </w:r>
          </w:p>
        </w:tc>
        <w:tc>
          <w:tcPr>
            <w:tcW w:w="850" w:type="dxa"/>
            <w:vAlign w:val="center"/>
          </w:tcPr>
          <w:p w14:paraId="050EC59D" w14:textId="06958CB5" w:rsidR="00A6076B" w:rsidRPr="00216DF1" w:rsidRDefault="00E45217" w:rsidP="00D7674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r w:rsidR="00A6076B" w:rsidRPr="00216DF1">
              <w:rPr>
                <w:rFonts w:ascii="Arial" w:hAnsi="Arial" w:cs="Arial"/>
                <w:color w:val="000000"/>
                <w:sz w:val="16"/>
                <w:szCs w:val="16"/>
              </w:rPr>
              <w:t>0.95368</w:t>
            </w:r>
          </w:p>
        </w:tc>
        <w:tc>
          <w:tcPr>
            <w:tcW w:w="1276" w:type="dxa"/>
            <w:vAlign w:val="center"/>
          </w:tcPr>
          <w:p w14:paraId="22BFD6FA" w14:textId="5CD915A9" w:rsidR="00A6076B" w:rsidRPr="00216DF1" w:rsidRDefault="00A6076B" w:rsidP="0082735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$25,778</w:t>
            </w:r>
            <w:r w:rsidR="00C1402D" w:rsidRPr="00216DF1">
              <w:rPr>
                <w:rFonts w:ascii="Arial" w:hAnsi="Arial" w:cs="Arial"/>
                <w:color w:val="000000"/>
                <w:sz w:val="16"/>
                <w:szCs w:val="16"/>
              </w:rPr>
              <w:t>,000</w:t>
            </w:r>
          </w:p>
        </w:tc>
        <w:tc>
          <w:tcPr>
            <w:tcW w:w="1134" w:type="dxa"/>
            <w:vAlign w:val="center"/>
          </w:tcPr>
          <w:p w14:paraId="34A6FE7A" w14:textId="60D32BB5"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27,030,040</w:t>
            </w:r>
          </w:p>
        </w:tc>
        <w:tc>
          <w:tcPr>
            <w:tcW w:w="992" w:type="dxa"/>
            <w:vAlign w:val="center"/>
          </w:tcPr>
          <w:p w14:paraId="057D5701" w14:textId="2E438DC2"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9</w:t>
            </w:r>
          </w:p>
        </w:tc>
      </w:tr>
      <w:tr w:rsidR="00E45217" w:rsidRPr="00216DF1" w14:paraId="3D5B5BC0" w14:textId="77777777" w:rsidTr="00DC149A">
        <w:trPr>
          <w:trHeight w:val="259"/>
        </w:trPr>
        <w:tc>
          <w:tcPr>
            <w:tcW w:w="1535" w:type="dxa"/>
            <w:vAlign w:val="center"/>
          </w:tcPr>
          <w:p w14:paraId="19CBE11B" w14:textId="3BD5A10C" w:rsidR="00A6076B" w:rsidRPr="00216DF1" w:rsidRDefault="001953B1"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Series C Preferred</w:t>
            </w:r>
          </w:p>
        </w:tc>
        <w:tc>
          <w:tcPr>
            <w:tcW w:w="1440" w:type="dxa"/>
            <w:vAlign w:val="center"/>
          </w:tcPr>
          <w:p w14:paraId="3D878DF8" w14:textId="4B6E2DBB" w:rsidR="00A6076B" w:rsidRPr="00216DF1" w:rsidRDefault="00A6076B" w:rsidP="00513472">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Richard Branson</w:t>
            </w:r>
          </w:p>
        </w:tc>
        <w:tc>
          <w:tcPr>
            <w:tcW w:w="990" w:type="dxa"/>
            <w:vAlign w:val="center"/>
          </w:tcPr>
          <w:p w14:paraId="145E2FAC" w14:textId="134A85D6" w:rsidR="00A6076B" w:rsidRPr="00216DF1" w:rsidRDefault="00A6076B" w:rsidP="00E06166">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2011</w:t>
            </w:r>
            <w:r w:rsidR="00FF3B89">
              <w:rPr>
                <w:rFonts w:ascii="Arial" w:hAnsi="Arial" w:cs="Arial"/>
                <w:color w:val="000000"/>
                <w:sz w:val="16"/>
                <w:szCs w:val="16"/>
              </w:rPr>
              <w:t>-12-9</w:t>
            </w:r>
          </w:p>
        </w:tc>
        <w:tc>
          <w:tcPr>
            <w:tcW w:w="1002" w:type="dxa"/>
            <w:vAlign w:val="center"/>
          </w:tcPr>
          <w:p w14:paraId="7C57A562" w14:textId="2EA10C8D"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17,764,230</w:t>
            </w:r>
          </w:p>
        </w:tc>
        <w:tc>
          <w:tcPr>
            <w:tcW w:w="850" w:type="dxa"/>
            <w:vAlign w:val="center"/>
          </w:tcPr>
          <w:p w14:paraId="4970A0E1" w14:textId="3243A1AB" w:rsidR="00A6076B" w:rsidRPr="00216DF1" w:rsidRDefault="00E45217" w:rsidP="00D7674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r w:rsidR="00A6076B" w:rsidRPr="00216DF1">
              <w:rPr>
                <w:rFonts w:ascii="Arial" w:hAnsi="Arial" w:cs="Arial"/>
                <w:color w:val="000000"/>
                <w:sz w:val="16"/>
                <w:szCs w:val="16"/>
              </w:rPr>
              <w:t>5.79817</w:t>
            </w:r>
          </w:p>
        </w:tc>
        <w:tc>
          <w:tcPr>
            <w:tcW w:w="1276" w:type="dxa"/>
            <w:vAlign w:val="center"/>
          </w:tcPr>
          <w:p w14:paraId="00D8B062" w14:textId="0F20D1E9" w:rsidR="00A6076B" w:rsidRPr="00216DF1" w:rsidRDefault="00A6076B" w:rsidP="0082735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$103,000</w:t>
            </w:r>
            <w:r w:rsidR="00C1402D" w:rsidRPr="00216DF1">
              <w:rPr>
                <w:rFonts w:ascii="Arial" w:hAnsi="Arial" w:cs="Arial"/>
                <w:color w:val="000000"/>
                <w:sz w:val="16"/>
                <w:szCs w:val="16"/>
              </w:rPr>
              <w:t>,000</w:t>
            </w:r>
          </w:p>
        </w:tc>
        <w:tc>
          <w:tcPr>
            <w:tcW w:w="1134" w:type="dxa"/>
            <w:vAlign w:val="center"/>
          </w:tcPr>
          <w:p w14:paraId="13F34E82" w14:textId="4E823653"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17,764,230</w:t>
            </w:r>
          </w:p>
        </w:tc>
        <w:tc>
          <w:tcPr>
            <w:tcW w:w="992" w:type="dxa"/>
            <w:vAlign w:val="center"/>
          </w:tcPr>
          <w:p w14:paraId="78179FD3" w14:textId="70A21BF2"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6</w:t>
            </w:r>
          </w:p>
        </w:tc>
      </w:tr>
      <w:tr w:rsidR="00E45217" w:rsidRPr="00216DF1" w14:paraId="195E7F13" w14:textId="77777777" w:rsidTr="00DC149A">
        <w:trPr>
          <w:trHeight w:val="259"/>
        </w:trPr>
        <w:tc>
          <w:tcPr>
            <w:tcW w:w="1535" w:type="dxa"/>
            <w:vAlign w:val="center"/>
          </w:tcPr>
          <w:p w14:paraId="74DB9ACE" w14:textId="0E8A1238" w:rsidR="00A6076B" w:rsidRPr="00216DF1" w:rsidRDefault="001953B1"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Series D Preferred</w:t>
            </w:r>
          </w:p>
        </w:tc>
        <w:tc>
          <w:tcPr>
            <w:tcW w:w="1440" w:type="dxa"/>
            <w:vAlign w:val="center"/>
          </w:tcPr>
          <w:p w14:paraId="27CECAAC" w14:textId="50C342B6" w:rsidR="00A6076B" w:rsidRPr="00216DF1" w:rsidRDefault="00A6076B" w:rsidP="00566139">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w:t>
            </w:r>
          </w:p>
        </w:tc>
        <w:tc>
          <w:tcPr>
            <w:tcW w:w="990" w:type="dxa"/>
            <w:vAlign w:val="center"/>
          </w:tcPr>
          <w:p w14:paraId="4341E973" w14:textId="2CFD2462" w:rsidR="00A6076B" w:rsidRPr="00216DF1" w:rsidRDefault="00A6076B" w:rsidP="00E06166">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2012</w:t>
            </w:r>
            <w:r w:rsidR="00FF3B89">
              <w:rPr>
                <w:rFonts w:ascii="Arial" w:hAnsi="Arial" w:cs="Arial"/>
                <w:color w:val="000000"/>
                <w:sz w:val="16"/>
                <w:szCs w:val="16"/>
              </w:rPr>
              <w:t>-9-17</w:t>
            </w:r>
          </w:p>
        </w:tc>
        <w:tc>
          <w:tcPr>
            <w:tcW w:w="1002" w:type="dxa"/>
            <w:vAlign w:val="center"/>
          </w:tcPr>
          <w:p w14:paraId="52A5A6C2" w14:textId="3CEEB799"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20,164,210</w:t>
            </w:r>
          </w:p>
        </w:tc>
        <w:tc>
          <w:tcPr>
            <w:tcW w:w="850" w:type="dxa"/>
            <w:vAlign w:val="center"/>
          </w:tcPr>
          <w:p w14:paraId="37FB5358" w14:textId="679DF383" w:rsidR="00A6076B" w:rsidRPr="00216DF1" w:rsidRDefault="00E45217" w:rsidP="00D7674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r w:rsidR="00A6076B" w:rsidRPr="00216DF1">
              <w:rPr>
                <w:rFonts w:ascii="Arial" w:hAnsi="Arial" w:cs="Arial"/>
                <w:color w:val="000000"/>
                <w:sz w:val="16"/>
                <w:szCs w:val="16"/>
              </w:rPr>
              <w:t>11.01402</w:t>
            </w:r>
          </w:p>
        </w:tc>
        <w:tc>
          <w:tcPr>
            <w:tcW w:w="1276" w:type="dxa"/>
            <w:vAlign w:val="center"/>
          </w:tcPr>
          <w:p w14:paraId="3FB91BE7" w14:textId="79217F21" w:rsidR="00A6076B" w:rsidRPr="00216DF1" w:rsidRDefault="00A6076B" w:rsidP="00827354">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$222,089</w:t>
            </w:r>
            <w:r w:rsidR="00C1402D" w:rsidRPr="00216DF1">
              <w:rPr>
                <w:rFonts w:ascii="Arial" w:hAnsi="Arial" w:cs="Arial"/>
                <w:color w:val="000000"/>
                <w:sz w:val="16"/>
                <w:szCs w:val="16"/>
              </w:rPr>
              <w:t>,000</w:t>
            </w:r>
          </w:p>
        </w:tc>
        <w:tc>
          <w:tcPr>
            <w:tcW w:w="1134" w:type="dxa"/>
            <w:vAlign w:val="center"/>
          </w:tcPr>
          <w:p w14:paraId="3B704AF4" w14:textId="0D1C06F4"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20,164,210</w:t>
            </w:r>
          </w:p>
        </w:tc>
        <w:tc>
          <w:tcPr>
            <w:tcW w:w="992" w:type="dxa"/>
            <w:vAlign w:val="center"/>
          </w:tcPr>
          <w:p w14:paraId="5DF84AE8" w14:textId="16171644"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7</w:t>
            </w:r>
          </w:p>
        </w:tc>
      </w:tr>
      <w:tr w:rsidR="00E45217" w:rsidRPr="00216DF1" w14:paraId="36EADCE6" w14:textId="77777777" w:rsidTr="00DC149A">
        <w:trPr>
          <w:trHeight w:val="259"/>
        </w:trPr>
        <w:tc>
          <w:tcPr>
            <w:tcW w:w="1535" w:type="dxa"/>
            <w:vAlign w:val="center"/>
          </w:tcPr>
          <w:p w14:paraId="593DB8BE" w14:textId="5BEA7AF8" w:rsidR="00A6076B" w:rsidRPr="00216DF1" w:rsidRDefault="001953B1" w:rsidP="00A6076B">
            <w:pPr>
              <w:pStyle w:val="BodyText"/>
              <w:tabs>
                <w:tab w:val="left" w:pos="3690"/>
              </w:tabs>
              <w:spacing w:after="0"/>
              <w:rPr>
                <w:rFonts w:ascii="Arial" w:hAnsi="Arial" w:cs="Arial"/>
                <w:b/>
                <w:caps/>
                <w:sz w:val="16"/>
                <w:szCs w:val="16"/>
              </w:rPr>
            </w:pPr>
            <w:r w:rsidRPr="00216DF1">
              <w:rPr>
                <w:rFonts w:ascii="Arial" w:hAnsi="Arial" w:cs="Arial"/>
                <w:color w:val="000000"/>
                <w:sz w:val="16"/>
                <w:szCs w:val="16"/>
              </w:rPr>
              <w:t>Common Stock</w:t>
            </w:r>
          </w:p>
        </w:tc>
        <w:tc>
          <w:tcPr>
            <w:tcW w:w="1440" w:type="dxa"/>
            <w:vAlign w:val="center"/>
          </w:tcPr>
          <w:p w14:paraId="2FE53DBF" w14:textId="3A5AEBCC" w:rsidR="00A6076B" w:rsidRPr="00216DF1" w:rsidRDefault="00A6076B" w:rsidP="00BC49BD">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w:t>
            </w:r>
          </w:p>
        </w:tc>
        <w:tc>
          <w:tcPr>
            <w:tcW w:w="990" w:type="dxa"/>
            <w:vAlign w:val="center"/>
          </w:tcPr>
          <w:p w14:paraId="087E915F" w14:textId="45F04798" w:rsidR="00A6076B" w:rsidRPr="00216DF1" w:rsidRDefault="00654E88" w:rsidP="00BC49BD">
            <w:pPr>
              <w:pStyle w:val="BodyText"/>
              <w:tabs>
                <w:tab w:val="left" w:pos="3690"/>
              </w:tabs>
              <w:spacing w:after="0"/>
              <w:jc w:val="center"/>
              <w:rPr>
                <w:rFonts w:ascii="Arial" w:hAnsi="Arial" w:cs="Arial"/>
                <w:b/>
                <w:caps/>
                <w:sz w:val="16"/>
                <w:szCs w:val="16"/>
              </w:rPr>
            </w:pPr>
            <w:r w:rsidRPr="00216DF1">
              <w:rPr>
                <w:rFonts w:ascii="Arial" w:hAnsi="Arial" w:cs="Arial"/>
                <w:color w:val="000000"/>
                <w:sz w:val="16"/>
                <w:szCs w:val="16"/>
              </w:rPr>
              <w:t>--</w:t>
            </w:r>
          </w:p>
        </w:tc>
        <w:tc>
          <w:tcPr>
            <w:tcW w:w="1002" w:type="dxa"/>
            <w:vAlign w:val="center"/>
          </w:tcPr>
          <w:p w14:paraId="7A9B99D6" w14:textId="4D14C029" w:rsidR="00A6076B" w:rsidRPr="00216DF1" w:rsidRDefault="00A6076B" w:rsidP="00566139">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171,341,818</w:t>
            </w:r>
          </w:p>
        </w:tc>
        <w:tc>
          <w:tcPr>
            <w:tcW w:w="850" w:type="dxa"/>
            <w:vAlign w:val="center"/>
          </w:tcPr>
          <w:p w14:paraId="3E69AD04" w14:textId="2DF75C53" w:rsidR="00A6076B" w:rsidRPr="00216DF1" w:rsidRDefault="00654E88"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p>
        </w:tc>
        <w:tc>
          <w:tcPr>
            <w:tcW w:w="1276" w:type="dxa"/>
            <w:vAlign w:val="center"/>
          </w:tcPr>
          <w:p w14:paraId="771F391C" w14:textId="059DA849" w:rsidR="00A6076B" w:rsidRPr="00216DF1" w:rsidRDefault="00654E88"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w:t>
            </w:r>
          </w:p>
        </w:tc>
        <w:tc>
          <w:tcPr>
            <w:tcW w:w="1134" w:type="dxa"/>
            <w:vAlign w:val="center"/>
          </w:tcPr>
          <w:p w14:paraId="03DECC08" w14:textId="57AEBC69"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171,341,818</w:t>
            </w:r>
          </w:p>
        </w:tc>
        <w:tc>
          <w:tcPr>
            <w:tcW w:w="992" w:type="dxa"/>
            <w:vAlign w:val="center"/>
          </w:tcPr>
          <w:p w14:paraId="1545EEE7" w14:textId="0EBDF238"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color w:val="000000"/>
                <w:sz w:val="16"/>
                <w:szCs w:val="16"/>
              </w:rPr>
              <w:t>58</w:t>
            </w:r>
          </w:p>
        </w:tc>
      </w:tr>
      <w:tr w:rsidR="00E45217" w:rsidRPr="00216DF1" w14:paraId="24399F88" w14:textId="77777777" w:rsidTr="00DC149A">
        <w:trPr>
          <w:trHeight w:val="259"/>
        </w:trPr>
        <w:tc>
          <w:tcPr>
            <w:tcW w:w="1535" w:type="dxa"/>
            <w:vAlign w:val="center"/>
          </w:tcPr>
          <w:p w14:paraId="6B293A3F" w14:textId="515C9EF3" w:rsidR="00A6076B" w:rsidRPr="00216DF1" w:rsidRDefault="00A6076B" w:rsidP="00A6076B">
            <w:pPr>
              <w:pStyle w:val="BodyText"/>
              <w:tabs>
                <w:tab w:val="left" w:pos="3690"/>
              </w:tabs>
              <w:spacing w:after="0"/>
              <w:rPr>
                <w:rFonts w:ascii="Arial" w:hAnsi="Arial" w:cs="Arial"/>
                <w:b/>
                <w:caps/>
                <w:sz w:val="16"/>
                <w:szCs w:val="16"/>
              </w:rPr>
            </w:pPr>
            <w:r w:rsidRPr="00216DF1">
              <w:rPr>
                <w:rFonts w:ascii="Arial" w:hAnsi="Arial" w:cs="Arial"/>
                <w:b/>
                <w:bCs/>
                <w:color w:val="000000"/>
                <w:sz w:val="16"/>
                <w:szCs w:val="16"/>
              </w:rPr>
              <w:t>Total</w:t>
            </w:r>
          </w:p>
        </w:tc>
        <w:tc>
          <w:tcPr>
            <w:tcW w:w="1440" w:type="dxa"/>
            <w:vAlign w:val="center"/>
          </w:tcPr>
          <w:p w14:paraId="27AC62CC" w14:textId="77777777" w:rsidR="00A6076B" w:rsidRPr="00216DF1" w:rsidRDefault="00A6076B" w:rsidP="00BC49BD">
            <w:pPr>
              <w:pStyle w:val="BodyText"/>
              <w:tabs>
                <w:tab w:val="left" w:pos="3690"/>
              </w:tabs>
              <w:spacing w:after="0"/>
              <w:jc w:val="center"/>
              <w:rPr>
                <w:rFonts w:ascii="Arial" w:hAnsi="Arial" w:cs="Arial"/>
                <w:b/>
                <w:caps/>
                <w:sz w:val="16"/>
                <w:szCs w:val="16"/>
              </w:rPr>
            </w:pPr>
          </w:p>
        </w:tc>
        <w:tc>
          <w:tcPr>
            <w:tcW w:w="990" w:type="dxa"/>
            <w:vAlign w:val="center"/>
          </w:tcPr>
          <w:p w14:paraId="1B56F2C5" w14:textId="77777777" w:rsidR="00A6076B" w:rsidRPr="00216DF1" w:rsidRDefault="00A6076B" w:rsidP="00BC49BD">
            <w:pPr>
              <w:pStyle w:val="BodyText"/>
              <w:tabs>
                <w:tab w:val="left" w:pos="3690"/>
              </w:tabs>
              <w:spacing w:after="0"/>
              <w:jc w:val="center"/>
              <w:rPr>
                <w:rFonts w:ascii="Arial" w:hAnsi="Arial" w:cs="Arial"/>
                <w:b/>
                <w:caps/>
                <w:sz w:val="16"/>
                <w:szCs w:val="16"/>
              </w:rPr>
            </w:pPr>
          </w:p>
        </w:tc>
        <w:tc>
          <w:tcPr>
            <w:tcW w:w="1002" w:type="dxa"/>
            <w:vAlign w:val="center"/>
          </w:tcPr>
          <w:p w14:paraId="71AC2E0E" w14:textId="77777777" w:rsidR="00A6076B" w:rsidRPr="00216DF1" w:rsidRDefault="00A6076B" w:rsidP="00E06166">
            <w:pPr>
              <w:pStyle w:val="BodyText"/>
              <w:tabs>
                <w:tab w:val="left" w:pos="3690"/>
              </w:tabs>
              <w:spacing w:after="0"/>
              <w:jc w:val="right"/>
              <w:rPr>
                <w:rFonts w:ascii="Arial" w:hAnsi="Arial" w:cs="Arial"/>
                <w:b/>
                <w:caps/>
                <w:sz w:val="16"/>
                <w:szCs w:val="16"/>
              </w:rPr>
            </w:pPr>
          </w:p>
        </w:tc>
        <w:tc>
          <w:tcPr>
            <w:tcW w:w="850" w:type="dxa"/>
            <w:vAlign w:val="center"/>
          </w:tcPr>
          <w:p w14:paraId="756FBBA7" w14:textId="77777777" w:rsidR="00A6076B" w:rsidRPr="00216DF1" w:rsidRDefault="00A6076B" w:rsidP="00E06166">
            <w:pPr>
              <w:pStyle w:val="BodyText"/>
              <w:tabs>
                <w:tab w:val="left" w:pos="3690"/>
              </w:tabs>
              <w:spacing w:after="0"/>
              <w:jc w:val="right"/>
              <w:rPr>
                <w:rFonts w:ascii="Arial" w:hAnsi="Arial" w:cs="Arial"/>
                <w:b/>
                <w:caps/>
                <w:sz w:val="16"/>
                <w:szCs w:val="16"/>
              </w:rPr>
            </w:pPr>
          </w:p>
        </w:tc>
        <w:tc>
          <w:tcPr>
            <w:tcW w:w="1276" w:type="dxa"/>
            <w:vAlign w:val="center"/>
          </w:tcPr>
          <w:p w14:paraId="5A7EFD83" w14:textId="33CEE005" w:rsidR="00C1402D" w:rsidRPr="00216DF1" w:rsidRDefault="00A6076B" w:rsidP="00E06166">
            <w:pPr>
              <w:pStyle w:val="BodyText"/>
              <w:tabs>
                <w:tab w:val="left" w:pos="3690"/>
              </w:tabs>
              <w:spacing w:after="0"/>
              <w:jc w:val="right"/>
              <w:rPr>
                <w:rFonts w:ascii="Arial" w:hAnsi="Arial" w:cs="Arial"/>
                <w:b/>
                <w:bCs/>
                <w:color w:val="000000"/>
                <w:sz w:val="16"/>
                <w:szCs w:val="16"/>
              </w:rPr>
            </w:pPr>
            <w:r w:rsidRPr="00216DF1">
              <w:rPr>
                <w:rFonts w:ascii="Arial" w:hAnsi="Arial" w:cs="Arial"/>
                <w:b/>
                <w:bCs/>
                <w:color w:val="000000"/>
                <w:sz w:val="16"/>
                <w:szCs w:val="16"/>
              </w:rPr>
              <w:t>$370,967</w:t>
            </w:r>
            <w:r w:rsidR="00A42BEB" w:rsidRPr="00216DF1">
              <w:rPr>
                <w:rFonts w:ascii="Arial" w:hAnsi="Arial" w:cs="Arial"/>
                <w:b/>
                <w:bCs/>
                <w:color w:val="000000"/>
                <w:sz w:val="16"/>
                <w:szCs w:val="16"/>
              </w:rPr>
              <w:t>,</w:t>
            </w:r>
            <w:r w:rsidR="00C1402D" w:rsidRPr="00216DF1">
              <w:rPr>
                <w:rFonts w:ascii="Arial" w:hAnsi="Arial" w:cs="Arial"/>
                <w:b/>
                <w:bCs/>
                <w:color w:val="000000"/>
                <w:sz w:val="16"/>
                <w:szCs w:val="16"/>
              </w:rPr>
              <w:t>000</w:t>
            </w:r>
          </w:p>
        </w:tc>
        <w:tc>
          <w:tcPr>
            <w:tcW w:w="1134" w:type="dxa"/>
            <w:vAlign w:val="center"/>
          </w:tcPr>
          <w:p w14:paraId="54D07091" w14:textId="705333BB"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b/>
                <w:bCs/>
                <w:color w:val="000000"/>
                <w:sz w:val="16"/>
                <w:szCs w:val="16"/>
              </w:rPr>
              <w:t>296,894,338</w:t>
            </w:r>
          </w:p>
        </w:tc>
        <w:tc>
          <w:tcPr>
            <w:tcW w:w="992" w:type="dxa"/>
            <w:vAlign w:val="center"/>
          </w:tcPr>
          <w:p w14:paraId="5B7B4CAE" w14:textId="2801F4B5" w:rsidR="00A6076B" w:rsidRPr="00216DF1" w:rsidRDefault="00A6076B" w:rsidP="00E06166">
            <w:pPr>
              <w:pStyle w:val="BodyText"/>
              <w:tabs>
                <w:tab w:val="left" w:pos="3690"/>
              </w:tabs>
              <w:spacing w:after="0"/>
              <w:jc w:val="right"/>
              <w:rPr>
                <w:rFonts w:ascii="Arial" w:hAnsi="Arial" w:cs="Arial"/>
                <w:b/>
                <w:caps/>
                <w:sz w:val="16"/>
                <w:szCs w:val="16"/>
              </w:rPr>
            </w:pPr>
            <w:r w:rsidRPr="00216DF1">
              <w:rPr>
                <w:rFonts w:ascii="Arial" w:hAnsi="Arial" w:cs="Arial"/>
                <w:b/>
                <w:bCs/>
                <w:color w:val="000000"/>
                <w:sz w:val="16"/>
                <w:szCs w:val="16"/>
              </w:rPr>
              <w:t>100</w:t>
            </w:r>
          </w:p>
        </w:tc>
      </w:tr>
    </w:tbl>
    <w:p w14:paraId="6DDF3BF4" w14:textId="2FFF7CDC" w:rsidR="00A6076B" w:rsidRPr="00216DF1" w:rsidRDefault="00A6076B" w:rsidP="008E6855">
      <w:pPr>
        <w:pStyle w:val="ExhibitText"/>
      </w:pPr>
    </w:p>
    <w:p w14:paraId="6CB0F7E2" w14:textId="6D22412A" w:rsidR="00AB3E3A" w:rsidRPr="00216DF1" w:rsidRDefault="001953B1" w:rsidP="00E06166">
      <w:pPr>
        <w:pStyle w:val="Footnote"/>
        <w:rPr>
          <w:sz w:val="16"/>
          <w:szCs w:val="16"/>
        </w:rPr>
      </w:pPr>
      <w:r w:rsidRPr="00216DF1">
        <w:rPr>
          <w:sz w:val="16"/>
          <w:szCs w:val="16"/>
        </w:rPr>
        <w:t xml:space="preserve">Sources: </w:t>
      </w:r>
      <w:r w:rsidR="00135AD1" w:rsidRPr="00216DF1">
        <w:rPr>
          <w:sz w:val="16"/>
          <w:szCs w:val="16"/>
        </w:rPr>
        <w:t>Calculated by the author based on</w:t>
      </w:r>
      <w:r w:rsidR="00415E14" w:rsidRPr="00216DF1">
        <w:rPr>
          <w:sz w:val="16"/>
          <w:szCs w:val="16"/>
        </w:rPr>
        <w:t xml:space="preserve"> </w:t>
      </w:r>
      <w:r w:rsidR="0075273F" w:rsidRPr="00216DF1">
        <w:rPr>
          <w:sz w:val="16"/>
          <w:szCs w:val="16"/>
        </w:rPr>
        <w:t>United States</w:t>
      </w:r>
      <w:r w:rsidR="00415E14" w:rsidRPr="00216DF1">
        <w:rPr>
          <w:sz w:val="16"/>
          <w:szCs w:val="16"/>
        </w:rPr>
        <w:t xml:space="preserve"> Securities and Exchange Commission, </w:t>
      </w:r>
      <w:r w:rsidR="00513472" w:rsidRPr="00216DF1">
        <w:rPr>
          <w:sz w:val="16"/>
          <w:szCs w:val="16"/>
        </w:rPr>
        <w:t>“</w:t>
      </w:r>
      <w:r w:rsidRPr="00216DF1">
        <w:rPr>
          <w:sz w:val="16"/>
          <w:szCs w:val="16"/>
        </w:rPr>
        <w:t>Square, Inc. Restated Certificate of Incorporation,</w:t>
      </w:r>
      <w:r w:rsidR="00513472" w:rsidRPr="00216DF1">
        <w:rPr>
          <w:sz w:val="16"/>
          <w:szCs w:val="16"/>
        </w:rPr>
        <w:t>”</w:t>
      </w:r>
      <w:r w:rsidRPr="00216DF1">
        <w:rPr>
          <w:sz w:val="16"/>
          <w:szCs w:val="16"/>
        </w:rPr>
        <w:t xml:space="preserve"> accessed May 22, 2017</w:t>
      </w:r>
      <w:r w:rsidR="00347632" w:rsidRPr="00216DF1">
        <w:rPr>
          <w:sz w:val="16"/>
          <w:szCs w:val="16"/>
        </w:rPr>
        <w:t>,</w:t>
      </w:r>
      <w:r w:rsidRPr="00216DF1">
        <w:rPr>
          <w:sz w:val="16"/>
          <w:szCs w:val="16"/>
        </w:rPr>
        <w:t xml:space="preserve"> www.sec.gov/Archives/edgar/data/1512673/000119312515343733/d937622dex31.htm</w:t>
      </w:r>
      <w:r w:rsidR="00135AD1" w:rsidRPr="00216DF1">
        <w:rPr>
          <w:sz w:val="16"/>
          <w:szCs w:val="16"/>
        </w:rPr>
        <w:t>;</w:t>
      </w:r>
      <w:r w:rsidR="00347632" w:rsidRPr="00216DF1">
        <w:rPr>
          <w:sz w:val="16"/>
          <w:szCs w:val="16"/>
        </w:rPr>
        <w:t xml:space="preserve"> </w:t>
      </w:r>
      <w:r w:rsidR="0075273F" w:rsidRPr="00216DF1">
        <w:rPr>
          <w:sz w:val="16"/>
          <w:szCs w:val="16"/>
        </w:rPr>
        <w:t>United States</w:t>
      </w:r>
      <w:r w:rsidR="00513472" w:rsidRPr="00216DF1">
        <w:rPr>
          <w:sz w:val="16"/>
          <w:szCs w:val="16"/>
        </w:rPr>
        <w:t xml:space="preserve"> Securities and Exchange Commission, “</w:t>
      </w:r>
      <w:r w:rsidRPr="00216DF1">
        <w:rPr>
          <w:sz w:val="16"/>
          <w:szCs w:val="16"/>
        </w:rPr>
        <w:t>Square, Inc. Form S-1,</w:t>
      </w:r>
      <w:r w:rsidR="00513472" w:rsidRPr="00216DF1">
        <w:rPr>
          <w:sz w:val="16"/>
          <w:szCs w:val="16"/>
        </w:rPr>
        <w:t>”</w:t>
      </w:r>
      <w:r w:rsidRPr="00216DF1">
        <w:rPr>
          <w:sz w:val="16"/>
          <w:szCs w:val="16"/>
        </w:rPr>
        <w:t xml:space="preserve"> accessed May 22, 2017</w:t>
      </w:r>
      <w:r w:rsidRPr="00216DF1">
        <w:rPr>
          <w:color w:val="000000" w:themeColor="text1"/>
          <w:sz w:val="16"/>
          <w:szCs w:val="16"/>
        </w:rPr>
        <w:t xml:space="preserve">, </w:t>
      </w:r>
      <w:r w:rsidR="00347632" w:rsidRPr="00216DF1">
        <w:rPr>
          <w:color w:val="000000" w:themeColor="text1"/>
          <w:sz w:val="16"/>
          <w:szCs w:val="16"/>
        </w:rPr>
        <w:t>www.sec.gov/Archives/edgar/data/1512673/000119312515343733/d937622ds1.htm</w:t>
      </w:r>
      <w:r w:rsidR="00135AD1" w:rsidRPr="00216DF1">
        <w:rPr>
          <w:sz w:val="16"/>
          <w:szCs w:val="16"/>
        </w:rPr>
        <w:t>;</w:t>
      </w:r>
      <w:r w:rsidR="002939FC" w:rsidRPr="00216DF1">
        <w:rPr>
          <w:sz w:val="16"/>
          <w:szCs w:val="16"/>
        </w:rPr>
        <w:t xml:space="preserve"> “</w:t>
      </w:r>
      <w:r w:rsidRPr="00216DF1">
        <w:rPr>
          <w:sz w:val="16"/>
          <w:szCs w:val="16"/>
        </w:rPr>
        <w:t xml:space="preserve">Square </w:t>
      </w:r>
      <w:r w:rsidR="00347632" w:rsidRPr="00216DF1">
        <w:rPr>
          <w:sz w:val="16"/>
          <w:szCs w:val="16"/>
        </w:rPr>
        <w:t>Overview,</w:t>
      </w:r>
      <w:r w:rsidR="002939FC" w:rsidRPr="00216DF1">
        <w:rPr>
          <w:sz w:val="16"/>
          <w:szCs w:val="16"/>
        </w:rPr>
        <w:t>”</w:t>
      </w:r>
      <w:r w:rsidR="00347632" w:rsidRPr="00216DF1">
        <w:rPr>
          <w:sz w:val="16"/>
          <w:szCs w:val="16"/>
        </w:rPr>
        <w:t xml:space="preserve"> </w:t>
      </w:r>
      <w:r w:rsidR="002939FC" w:rsidRPr="00216DF1">
        <w:rPr>
          <w:sz w:val="16"/>
          <w:szCs w:val="16"/>
        </w:rPr>
        <w:t xml:space="preserve">Crunchbase, </w:t>
      </w:r>
      <w:r w:rsidR="00347632" w:rsidRPr="00216DF1">
        <w:rPr>
          <w:sz w:val="16"/>
          <w:szCs w:val="16"/>
        </w:rPr>
        <w:t>accessed May 22, 2017</w:t>
      </w:r>
      <w:r w:rsidR="00347632" w:rsidRPr="00216DF1">
        <w:rPr>
          <w:color w:val="000000" w:themeColor="text1"/>
          <w:sz w:val="16"/>
          <w:szCs w:val="16"/>
        </w:rPr>
        <w:t xml:space="preserve">, </w:t>
      </w:r>
      <w:r w:rsidR="00AB3E3A" w:rsidRPr="00216DF1">
        <w:rPr>
          <w:sz w:val="16"/>
          <w:szCs w:val="16"/>
        </w:rPr>
        <w:t>www.crunchbase.com/funding-round/c59de6486d4c17f356e93ced97d2c0d1</w:t>
      </w:r>
      <w:r w:rsidR="002939FC" w:rsidRPr="00216DF1">
        <w:rPr>
          <w:sz w:val="16"/>
          <w:szCs w:val="16"/>
        </w:rPr>
        <w:t>.</w:t>
      </w:r>
    </w:p>
    <w:p w14:paraId="5C228E70" w14:textId="77777777" w:rsidR="00AB3E3A" w:rsidRPr="00216DF1" w:rsidRDefault="00AB3E3A" w:rsidP="00AB3E3A">
      <w:pPr>
        <w:pStyle w:val="EndnoteText"/>
        <w:ind w:left="-90" w:right="-270"/>
        <w:jc w:val="both"/>
        <w:rPr>
          <w:rFonts w:ascii="Arial" w:hAnsi="Arial" w:cs="Arial"/>
          <w:sz w:val="18"/>
          <w:szCs w:val="18"/>
        </w:rPr>
      </w:pPr>
    </w:p>
    <w:p w14:paraId="1CEEA571" w14:textId="77777777" w:rsidR="005E35A6" w:rsidRPr="00216DF1" w:rsidRDefault="005E35A6">
      <w:pPr>
        <w:rPr>
          <w:rFonts w:ascii="Arial" w:hAnsi="Arial" w:cs="Arial"/>
          <w:b/>
          <w:caps/>
          <w:sz w:val="18"/>
          <w:szCs w:val="18"/>
        </w:rPr>
      </w:pPr>
      <w:r w:rsidRPr="00216DF1">
        <w:rPr>
          <w:rFonts w:ascii="Arial" w:hAnsi="Arial" w:cs="Arial"/>
          <w:b/>
          <w:caps/>
          <w:sz w:val="18"/>
          <w:szCs w:val="18"/>
        </w:rPr>
        <w:br w:type="page"/>
      </w:r>
    </w:p>
    <w:p w14:paraId="6BBEE398" w14:textId="44C51AF3" w:rsidR="00AB3E3A" w:rsidRDefault="00AB3E3A" w:rsidP="00E06166">
      <w:pPr>
        <w:pStyle w:val="ExhibitHeading"/>
        <w:ind w:right="-90"/>
      </w:pPr>
      <w:r w:rsidRPr="00216DF1">
        <w:lastRenderedPageBreak/>
        <w:t xml:space="preserve">Exhibit 2: </w:t>
      </w:r>
      <w:r w:rsidR="002C4B8A" w:rsidRPr="00216DF1">
        <w:t>venture-</w:t>
      </w:r>
      <w:r w:rsidR="00555DE0" w:rsidRPr="00216DF1">
        <w:t xml:space="preserve">backed firms with valuations above $1 billion, </w:t>
      </w:r>
      <w:r w:rsidR="00235118" w:rsidRPr="00216DF1">
        <w:t>July</w:t>
      </w:r>
      <w:r w:rsidR="00555DE0" w:rsidRPr="00216DF1">
        <w:t xml:space="preserve"> 2014 (in US$)</w:t>
      </w:r>
    </w:p>
    <w:p w14:paraId="62063231" w14:textId="77777777" w:rsidR="00254E8C" w:rsidRPr="00216DF1" w:rsidRDefault="00254E8C" w:rsidP="00E06166">
      <w:pPr>
        <w:pStyle w:val="ExhibitHeading"/>
        <w:ind w:right="-90"/>
      </w:pPr>
    </w:p>
    <w:tbl>
      <w:tblPr>
        <w:tblStyle w:val="TableGrid"/>
        <w:tblW w:w="0" w:type="auto"/>
        <w:jc w:val="center"/>
        <w:tblLook w:val="04A0" w:firstRow="1" w:lastRow="0" w:firstColumn="1" w:lastColumn="0" w:noHBand="0" w:noVBand="1"/>
      </w:tblPr>
      <w:tblGrid>
        <w:gridCol w:w="3600"/>
        <w:gridCol w:w="1170"/>
        <w:gridCol w:w="1440"/>
        <w:gridCol w:w="1568"/>
        <w:gridCol w:w="1487"/>
      </w:tblGrid>
      <w:tr w:rsidR="008B495E" w:rsidRPr="00F37126" w14:paraId="61FB2023" w14:textId="77777777" w:rsidTr="00A43D96">
        <w:trPr>
          <w:trHeight w:val="300"/>
          <w:jc w:val="center"/>
        </w:trPr>
        <w:tc>
          <w:tcPr>
            <w:tcW w:w="3600" w:type="dxa"/>
            <w:vAlign w:val="center"/>
            <w:hideMark/>
          </w:tcPr>
          <w:p w14:paraId="224968C9" w14:textId="77777777" w:rsidR="00F37126" w:rsidRPr="008B495E" w:rsidRDefault="00F37126" w:rsidP="00517CBD">
            <w:pPr>
              <w:pStyle w:val="ExhibitText"/>
              <w:jc w:val="left"/>
              <w:rPr>
                <w:b/>
                <w:lang w:val="en-US"/>
              </w:rPr>
            </w:pPr>
            <w:r w:rsidRPr="008B495E">
              <w:rPr>
                <w:b/>
              </w:rPr>
              <w:t>Company</w:t>
            </w:r>
          </w:p>
        </w:tc>
        <w:tc>
          <w:tcPr>
            <w:tcW w:w="1170" w:type="dxa"/>
            <w:vAlign w:val="center"/>
            <w:hideMark/>
          </w:tcPr>
          <w:p w14:paraId="75459DB7" w14:textId="57082FB5" w:rsidR="00F37126" w:rsidRPr="008B495E" w:rsidRDefault="00F37126" w:rsidP="008B495E">
            <w:pPr>
              <w:pStyle w:val="ExhibitText"/>
              <w:jc w:val="center"/>
              <w:rPr>
                <w:b/>
              </w:rPr>
            </w:pPr>
            <w:r w:rsidRPr="008B495E">
              <w:rPr>
                <w:b/>
              </w:rPr>
              <w:t>Valuation</w:t>
            </w:r>
            <w:r w:rsidR="008B495E">
              <w:rPr>
                <w:b/>
              </w:rPr>
              <w:t xml:space="preserve"> </w:t>
            </w:r>
            <w:r w:rsidR="0003595C">
              <w:rPr>
                <w:b/>
              </w:rPr>
              <w:t xml:space="preserve">     (</w:t>
            </w:r>
            <w:r w:rsidR="008B495E">
              <w:rPr>
                <w:b/>
              </w:rPr>
              <w:t>billions)</w:t>
            </w:r>
          </w:p>
        </w:tc>
        <w:tc>
          <w:tcPr>
            <w:tcW w:w="1440" w:type="dxa"/>
            <w:vAlign w:val="center"/>
            <w:hideMark/>
          </w:tcPr>
          <w:p w14:paraId="0AC06640" w14:textId="59D2E879" w:rsidR="00F37126" w:rsidRPr="008B495E" w:rsidRDefault="00F37126" w:rsidP="008B495E">
            <w:pPr>
              <w:pStyle w:val="ExhibitText"/>
              <w:jc w:val="center"/>
              <w:rPr>
                <w:b/>
              </w:rPr>
            </w:pPr>
            <w:r w:rsidRPr="008B495E">
              <w:rPr>
                <w:b/>
              </w:rPr>
              <w:t>Total Equity Funding</w:t>
            </w:r>
            <w:r w:rsidR="008B495E">
              <w:rPr>
                <w:b/>
              </w:rPr>
              <w:t xml:space="preserve"> </w:t>
            </w:r>
            <w:r w:rsidR="0003595C">
              <w:rPr>
                <w:b/>
              </w:rPr>
              <w:t xml:space="preserve">   (</w:t>
            </w:r>
            <w:r w:rsidR="008B495E">
              <w:rPr>
                <w:b/>
              </w:rPr>
              <w:t>millions)</w:t>
            </w:r>
          </w:p>
        </w:tc>
        <w:tc>
          <w:tcPr>
            <w:tcW w:w="1568" w:type="dxa"/>
            <w:vAlign w:val="center"/>
            <w:hideMark/>
          </w:tcPr>
          <w:p w14:paraId="121F66F7" w14:textId="77777777" w:rsidR="00F37126" w:rsidRPr="008B495E" w:rsidRDefault="00F37126" w:rsidP="008B495E">
            <w:pPr>
              <w:pStyle w:val="ExhibitText"/>
              <w:jc w:val="center"/>
              <w:rPr>
                <w:b/>
              </w:rPr>
            </w:pPr>
            <w:r w:rsidRPr="008B495E">
              <w:rPr>
                <w:b/>
              </w:rPr>
              <w:t>Last Valuation</w:t>
            </w:r>
          </w:p>
        </w:tc>
        <w:tc>
          <w:tcPr>
            <w:tcW w:w="1487" w:type="dxa"/>
            <w:vAlign w:val="center"/>
            <w:hideMark/>
          </w:tcPr>
          <w:p w14:paraId="59BDD0AB" w14:textId="77777777" w:rsidR="00F37126" w:rsidRPr="008B495E" w:rsidRDefault="00F37126" w:rsidP="008B495E">
            <w:pPr>
              <w:pStyle w:val="ExhibitText"/>
              <w:jc w:val="center"/>
              <w:rPr>
                <w:b/>
              </w:rPr>
            </w:pPr>
            <w:r w:rsidRPr="008B495E">
              <w:rPr>
                <w:b/>
              </w:rPr>
              <w:t>Country</w:t>
            </w:r>
          </w:p>
        </w:tc>
      </w:tr>
      <w:tr w:rsidR="008B495E" w:rsidRPr="00F37126" w14:paraId="3D875F31" w14:textId="77777777" w:rsidTr="00A43D96">
        <w:trPr>
          <w:trHeight w:val="224"/>
          <w:jc w:val="center"/>
        </w:trPr>
        <w:tc>
          <w:tcPr>
            <w:tcW w:w="3600" w:type="dxa"/>
            <w:hideMark/>
          </w:tcPr>
          <w:p w14:paraId="7A0CCDC1" w14:textId="77777777" w:rsidR="00F37126" w:rsidRPr="00F37126" w:rsidRDefault="00F37126" w:rsidP="00F37126">
            <w:pPr>
              <w:pStyle w:val="ExhibitText"/>
              <w:jc w:val="left"/>
            </w:pPr>
            <w:r w:rsidRPr="00F37126">
              <w:t>Uber Technologies Inc.</w:t>
            </w:r>
          </w:p>
        </w:tc>
        <w:tc>
          <w:tcPr>
            <w:tcW w:w="1170" w:type="dxa"/>
            <w:vAlign w:val="center"/>
            <w:hideMark/>
          </w:tcPr>
          <w:p w14:paraId="583E6CA8" w14:textId="77E27D85" w:rsidR="00F37126" w:rsidRPr="00F37126" w:rsidRDefault="00F37126" w:rsidP="008B495E">
            <w:pPr>
              <w:pStyle w:val="ExhibitText"/>
              <w:jc w:val="right"/>
            </w:pPr>
            <w:r w:rsidRPr="00F37126">
              <w:t>$18.2</w:t>
            </w:r>
          </w:p>
        </w:tc>
        <w:tc>
          <w:tcPr>
            <w:tcW w:w="1440" w:type="dxa"/>
            <w:vAlign w:val="center"/>
            <w:hideMark/>
          </w:tcPr>
          <w:p w14:paraId="6DDB597F" w14:textId="2417E7AB" w:rsidR="00F37126" w:rsidRPr="00F37126" w:rsidRDefault="00F37126" w:rsidP="008B495E">
            <w:pPr>
              <w:pStyle w:val="ExhibitText"/>
              <w:jc w:val="right"/>
            </w:pPr>
            <w:r w:rsidRPr="00F37126">
              <w:t>$1,600</w:t>
            </w:r>
          </w:p>
        </w:tc>
        <w:tc>
          <w:tcPr>
            <w:tcW w:w="1568" w:type="dxa"/>
            <w:vAlign w:val="center"/>
            <w:hideMark/>
          </w:tcPr>
          <w:p w14:paraId="13054FA1" w14:textId="77777777" w:rsidR="00F37126" w:rsidRPr="00F37126" w:rsidRDefault="00F37126" w:rsidP="008B495E">
            <w:pPr>
              <w:pStyle w:val="ExhibitText"/>
              <w:jc w:val="right"/>
            </w:pPr>
            <w:r w:rsidRPr="00F37126">
              <w:t>June-14</w:t>
            </w:r>
          </w:p>
        </w:tc>
        <w:tc>
          <w:tcPr>
            <w:tcW w:w="1487" w:type="dxa"/>
            <w:vAlign w:val="center"/>
            <w:hideMark/>
          </w:tcPr>
          <w:p w14:paraId="4DCC9BF2" w14:textId="77777777" w:rsidR="00F37126" w:rsidRPr="00F37126" w:rsidRDefault="00F37126" w:rsidP="008B495E">
            <w:pPr>
              <w:pStyle w:val="ExhibitText"/>
              <w:jc w:val="right"/>
            </w:pPr>
            <w:r w:rsidRPr="00F37126">
              <w:t>United States</w:t>
            </w:r>
          </w:p>
        </w:tc>
      </w:tr>
      <w:tr w:rsidR="008B495E" w:rsidRPr="00F37126" w14:paraId="7D029B22" w14:textId="77777777" w:rsidTr="00A43D96">
        <w:trPr>
          <w:trHeight w:val="161"/>
          <w:jc w:val="center"/>
        </w:trPr>
        <w:tc>
          <w:tcPr>
            <w:tcW w:w="3600" w:type="dxa"/>
            <w:hideMark/>
          </w:tcPr>
          <w:p w14:paraId="0D5BB132" w14:textId="77777777" w:rsidR="00F37126" w:rsidRPr="00F37126" w:rsidRDefault="00F37126" w:rsidP="00F37126">
            <w:pPr>
              <w:pStyle w:val="ExhibitText"/>
              <w:jc w:val="left"/>
            </w:pPr>
            <w:r w:rsidRPr="00F37126">
              <w:t>Airbnb Inc.</w:t>
            </w:r>
          </w:p>
        </w:tc>
        <w:tc>
          <w:tcPr>
            <w:tcW w:w="1170" w:type="dxa"/>
            <w:vAlign w:val="center"/>
            <w:hideMark/>
          </w:tcPr>
          <w:p w14:paraId="11A98F34" w14:textId="72C7C3A6" w:rsidR="00F37126" w:rsidRPr="00F37126" w:rsidRDefault="00F37126" w:rsidP="008B495E">
            <w:pPr>
              <w:pStyle w:val="ExhibitText"/>
              <w:jc w:val="right"/>
            </w:pPr>
            <w:r w:rsidRPr="00F37126">
              <w:t>$10.0</w:t>
            </w:r>
          </w:p>
        </w:tc>
        <w:tc>
          <w:tcPr>
            <w:tcW w:w="1440" w:type="dxa"/>
            <w:vAlign w:val="center"/>
            <w:hideMark/>
          </w:tcPr>
          <w:p w14:paraId="30E76EAC" w14:textId="441F3F1F" w:rsidR="00F37126" w:rsidRPr="00F37126" w:rsidRDefault="00F37126" w:rsidP="008B495E">
            <w:pPr>
              <w:pStyle w:val="ExhibitText"/>
              <w:jc w:val="right"/>
            </w:pPr>
            <w:r w:rsidRPr="00F37126">
              <w:t>$800</w:t>
            </w:r>
          </w:p>
        </w:tc>
        <w:tc>
          <w:tcPr>
            <w:tcW w:w="1568" w:type="dxa"/>
            <w:vAlign w:val="center"/>
            <w:hideMark/>
          </w:tcPr>
          <w:p w14:paraId="398D797A" w14:textId="77777777" w:rsidR="00F37126" w:rsidRPr="00F37126" w:rsidRDefault="00F37126" w:rsidP="008B495E">
            <w:pPr>
              <w:pStyle w:val="ExhibitText"/>
              <w:jc w:val="right"/>
            </w:pPr>
            <w:r w:rsidRPr="00F37126">
              <w:t>April-14</w:t>
            </w:r>
          </w:p>
        </w:tc>
        <w:tc>
          <w:tcPr>
            <w:tcW w:w="1487" w:type="dxa"/>
            <w:vAlign w:val="center"/>
            <w:hideMark/>
          </w:tcPr>
          <w:p w14:paraId="037A119E" w14:textId="77777777" w:rsidR="00F37126" w:rsidRPr="00F37126" w:rsidRDefault="00F37126" w:rsidP="008B495E">
            <w:pPr>
              <w:pStyle w:val="ExhibitText"/>
              <w:jc w:val="right"/>
            </w:pPr>
            <w:r w:rsidRPr="00F37126">
              <w:t>United States</w:t>
            </w:r>
          </w:p>
        </w:tc>
      </w:tr>
      <w:tr w:rsidR="008B495E" w:rsidRPr="00F37126" w14:paraId="49B575B3" w14:textId="77777777" w:rsidTr="00A43D96">
        <w:trPr>
          <w:trHeight w:val="206"/>
          <w:jc w:val="center"/>
        </w:trPr>
        <w:tc>
          <w:tcPr>
            <w:tcW w:w="3600" w:type="dxa"/>
            <w:hideMark/>
          </w:tcPr>
          <w:p w14:paraId="68066527" w14:textId="77777777" w:rsidR="00F37126" w:rsidRPr="00F37126" w:rsidRDefault="00F37126" w:rsidP="00F37126">
            <w:pPr>
              <w:pStyle w:val="ExhibitText"/>
              <w:jc w:val="left"/>
            </w:pPr>
            <w:r w:rsidRPr="00F37126">
              <w:t>Xiaomi Inc.</w:t>
            </w:r>
          </w:p>
        </w:tc>
        <w:tc>
          <w:tcPr>
            <w:tcW w:w="1170" w:type="dxa"/>
            <w:vAlign w:val="center"/>
            <w:hideMark/>
          </w:tcPr>
          <w:p w14:paraId="58638878" w14:textId="0ECB14D7" w:rsidR="00F37126" w:rsidRPr="00F37126" w:rsidRDefault="00F37126" w:rsidP="008B495E">
            <w:pPr>
              <w:pStyle w:val="ExhibitText"/>
              <w:jc w:val="right"/>
            </w:pPr>
            <w:r w:rsidRPr="00F37126">
              <w:t>$10.0</w:t>
            </w:r>
          </w:p>
        </w:tc>
        <w:tc>
          <w:tcPr>
            <w:tcW w:w="1440" w:type="dxa"/>
            <w:vAlign w:val="center"/>
            <w:hideMark/>
          </w:tcPr>
          <w:p w14:paraId="7D7754BB" w14:textId="7DC56458" w:rsidR="00F37126" w:rsidRPr="00F37126" w:rsidRDefault="00F37126" w:rsidP="008B495E">
            <w:pPr>
              <w:pStyle w:val="ExhibitText"/>
              <w:jc w:val="right"/>
            </w:pPr>
            <w:r w:rsidRPr="00F37126">
              <w:t>$347</w:t>
            </w:r>
          </w:p>
        </w:tc>
        <w:tc>
          <w:tcPr>
            <w:tcW w:w="1568" w:type="dxa"/>
            <w:vAlign w:val="center"/>
            <w:hideMark/>
          </w:tcPr>
          <w:p w14:paraId="65FA94C6" w14:textId="77777777" w:rsidR="00F37126" w:rsidRPr="00F37126" w:rsidRDefault="00F37126" w:rsidP="008B495E">
            <w:pPr>
              <w:pStyle w:val="ExhibitText"/>
              <w:jc w:val="right"/>
            </w:pPr>
            <w:r w:rsidRPr="00F37126">
              <w:t>August-13</w:t>
            </w:r>
          </w:p>
        </w:tc>
        <w:tc>
          <w:tcPr>
            <w:tcW w:w="1487" w:type="dxa"/>
            <w:vAlign w:val="center"/>
            <w:hideMark/>
          </w:tcPr>
          <w:p w14:paraId="592A6019" w14:textId="77777777" w:rsidR="00F37126" w:rsidRPr="00F37126" w:rsidRDefault="00F37126" w:rsidP="008B495E">
            <w:pPr>
              <w:pStyle w:val="ExhibitText"/>
              <w:jc w:val="right"/>
            </w:pPr>
            <w:r w:rsidRPr="00F37126">
              <w:t>China</w:t>
            </w:r>
          </w:p>
        </w:tc>
      </w:tr>
      <w:tr w:rsidR="008B495E" w:rsidRPr="00F37126" w14:paraId="7531BA8A" w14:textId="77777777" w:rsidTr="00A43D96">
        <w:trPr>
          <w:trHeight w:val="143"/>
          <w:jc w:val="center"/>
        </w:trPr>
        <w:tc>
          <w:tcPr>
            <w:tcW w:w="3600" w:type="dxa"/>
            <w:hideMark/>
          </w:tcPr>
          <w:p w14:paraId="51712CF7" w14:textId="77777777" w:rsidR="00F37126" w:rsidRPr="00F37126" w:rsidRDefault="00F37126" w:rsidP="00F37126">
            <w:pPr>
              <w:pStyle w:val="ExhibitText"/>
              <w:jc w:val="left"/>
            </w:pPr>
            <w:r w:rsidRPr="00F37126">
              <w:t>Dropbox, Inc.</w:t>
            </w:r>
          </w:p>
        </w:tc>
        <w:tc>
          <w:tcPr>
            <w:tcW w:w="1170" w:type="dxa"/>
            <w:vAlign w:val="center"/>
            <w:hideMark/>
          </w:tcPr>
          <w:p w14:paraId="7DD6F0DE" w14:textId="1FEB234C" w:rsidR="00F37126" w:rsidRPr="00F37126" w:rsidRDefault="00F37126" w:rsidP="008B495E">
            <w:pPr>
              <w:pStyle w:val="ExhibitText"/>
              <w:jc w:val="right"/>
            </w:pPr>
            <w:r w:rsidRPr="00F37126">
              <w:t>$10.0</w:t>
            </w:r>
          </w:p>
        </w:tc>
        <w:tc>
          <w:tcPr>
            <w:tcW w:w="1440" w:type="dxa"/>
            <w:vAlign w:val="center"/>
            <w:hideMark/>
          </w:tcPr>
          <w:p w14:paraId="39E37F7E" w14:textId="18A78D3D" w:rsidR="00F37126" w:rsidRPr="00F37126" w:rsidRDefault="00F37126" w:rsidP="008B495E">
            <w:pPr>
              <w:pStyle w:val="ExhibitText"/>
              <w:jc w:val="right"/>
            </w:pPr>
            <w:r w:rsidRPr="00F37126">
              <w:t>$607</w:t>
            </w:r>
          </w:p>
        </w:tc>
        <w:tc>
          <w:tcPr>
            <w:tcW w:w="1568" w:type="dxa"/>
            <w:vAlign w:val="center"/>
            <w:hideMark/>
          </w:tcPr>
          <w:p w14:paraId="679ECE93" w14:textId="77777777" w:rsidR="00F37126" w:rsidRPr="00F37126" w:rsidRDefault="00F37126" w:rsidP="008B495E">
            <w:pPr>
              <w:pStyle w:val="ExhibitText"/>
              <w:jc w:val="right"/>
            </w:pPr>
            <w:r w:rsidRPr="00F37126">
              <w:t>January-14</w:t>
            </w:r>
          </w:p>
        </w:tc>
        <w:tc>
          <w:tcPr>
            <w:tcW w:w="1487" w:type="dxa"/>
            <w:vAlign w:val="center"/>
            <w:hideMark/>
          </w:tcPr>
          <w:p w14:paraId="5267DA62" w14:textId="77777777" w:rsidR="00F37126" w:rsidRPr="00F37126" w:rsidRDefault="00F37126" w:rsidP="008B495E">
            <w:pPr>
              <w:pStyle w:val="ExhibitText"/>
              <w:jc w:val="right"/>
            </w:pPr>
            <w:r w:rsidRPr="00F37126">
              <w:t>United States</w:t>
            </w:r>
          </w:p>
        </w:tc>
      </w:tr>
      <w:tr w:rsidR="008B495E" w:rsidRPr="00F37126" w14:paraId="1884A6F3" w14:textId="77777777" w:rsidTr="00A43D96">
        <w:trPr>
          <w:trHeight w:val="170"/>
          <w:jc w:val="center"/>
        </w:trPr>
        <w:tc>
          <w:tcPr>
            <w:tcW w:w="3600" w:type="dxa"/>
            <w:hideMark/>
          </w:tcPr>
          <w:p w14:paraId="0FCE3147" w14:textId="77777777" w:rsidR="00F37126" w:rsidRPr="00F37126" w:rsidRDefault="00F37126" w:rsidP="00F37126">
            <w:pPr>
              <w:pStyle w:val="ExhibitText"/>
              <w:jc w:val="left"/>
            </w:pPr>
            <w:r w:rsidRPr="00F37126">
              <w:t>Palantir Technologies Inc.</w:t>
            </w:r>
          </w:p>
        </w:tc>
        <w:tc>
          <w:tcPr>
            <w:tcW w:w="1170" w:type="dxa"/>
            <w:vAlign w:val="center"/>
            <w:hideMark/>
          </w:tcPr>
          <w:p w14:paraId="74452F0E" w14:textId="1AB5CE03" w:rsidR="00F37126" w:rsidRPr="00F37126" w:rsidRDefault="00F37126" w:rsidP="008B495E">
            <w:pPr>
              <w:pStyle w:val="ExhibitText"/>
              <w:jc w:val="right"/>
            </w:pPr>
            <w:r w:rsidRPr="00F37126">
              <w:t>$9.3</w:t>
            </w:r>
          </w:p>
        </w:tc>
        <w:tc>
          <w:tcPr>
            <w:tcW w:w="1440" w:type="dxa"/>
            <w:vAlign w:val="center"/>
            <w:hideMark/>
          </w:tcPr>
          <w:p w14:paraId="1D2B2A1E" w14:textId="6EE22E01" w:rsidR="00F37126" w:rsidRPr="00F37126" w:rsidRDefault="00F37126" w:rsidP="008B495E">
            <w:pPr>
              <w:pStyle w:val="ExhibitText"/>
              <w:jc w:val="right"/>
            </w:pPr>
            <w:r w:rsidRPr="00F37126">
              <w:t>$898,000</w:t>
            </w:r>
          </w:p>
        </w:tc>
        <w:tc>
          <w:tcPr>
            <w:tcW w:w="1568" w:type="dxa"/>
            <w:vAlign w:val="center"/>
            <w:hideMark/>
          </w:tcPr>
          <w:p w14:paraId="1BFB8875" w14:textId="77777777" w:rsidR="00F37126" w:rsidRPr="00F37126" w:rsidRDefault="00F37126" w:rsidP="008B495E">
            <w:pPr>
              <w:pStyle w:val="ExhibitText"/>
              <w:jc w:val="right"/>
            </w:pPr>
            <w:r w:rsidRPr="00F37126">
              <w:t>September-13</w:t>
            </w:r>
          </w:p>
        </w:tc>
        <w:tc>
          <w:tcPr>
            <w:tcW w:w="1487" w:type="dxa"/>
            <w:vAlign w:val="center"/>
            <w:hideMark/>
          </w:tcPr>
          <w:p w14:paraId="1BAEB5E4" w14:textId="77777777" w:rsidR="00F37126" w:rsidRPr="00F37126" w:rsidRDefault="00F37126" w:rsidP="008B495E">
            <w:pPr>
              <w:pStyle w:val="ExhibitText"/>
              <w:jc w:val="right"/>
            </w:pPr>
            <w:r w:rsidRPr="00F37126">
              <w:t>United States</w:t>
            </w:r>
          </w:p>
        </w:tc>
      </w:tr>
      <w:tr w:rsidR="008B495E" w:rsidRPr="00F37126" w14:paraId="4800869E" w14:textId="77777777" w:rsidTr="00A43D96">
        <w:trPr>
          <w:trHeight w:val="197"/>
          <w:jc w:val="center"/>
        </w:trPr>
        <w:tc>
          <w:tcPr>
            <w:tcW w:w="3600" w:type="dxa"/>
            <w:hideMark/>
          </w:tcPr>
          <w:p w14:paraId="340577D1" w14:textId="77777777" w:rsidR="00F37126" w:rsidRPr="00F37126" w:rsidRDefault="00F37126" w:rsidP="00F37126">
            <w:pPr>
              <w:pStyle w:val="ExhibitText"/>
              <w:jc w:val="left"/>
            </w:pPr>
            <w:r w:rsidRPr="00F37126">
              <w:t>Theranos Inc.</w:t>
            </w:r>
          </w:p>
        </w:tc>
        <w:tc>
          <w:tcPr>
            <w:tcW w:w="1170" w:type="dxa"/>
            <w:vAlign w:val="center"/>
            <w:hideMark/>
          </w:tcPr>
          <w:p w14:paraId="50D267F7" w14:textId="4BAD13CB" w:rsidR="00F37126" w:rsidRPr="00F37126" w:rsidRDefault="00F37126" w:rsidP="008B495E">
            <w:pPr>
              <w:pStyle w:val="ExhibitText"/>
              <w:jc w:val="right"/>
            </w:pPr>
            <w:r w:rsidRPr="00F37126">
              <w:t>$9.0</w:t>
            </w:r>
          </w:p>
        </w:tc>
        <w:tc>
          <w:tcPr>
            <w:tcW w:w="1440" w:type="dxa"/>
            <w:vAlign w:val="center"/>
            <w:hideMark/>
          </w:tcPr>
          <w:p w14:paraId="32EB3CCF" w14:textId="760BDC30" w:rsidR="00F37126" w:rsidRPr="00F37126" w:rsidRDefault="00F37126" w:rsidP="008B495E">
            <w:pPr>
              <w:pStyle w:val="ExhibitText"/>
              <w:jc w:val="right"/>
            </w:pPr>
            <w:r w:rsidRPr="00F37126">
              <w:t>$750</w:t>
            </w:r>
          </w:p>
        </w:tc>
        <w:tc>
          <w:tcPr>
            <w:tcW w:w="1568" w:type="dxa"/>
            <w:vAlign w:val="center"/>
            <w:hideMark/>
          </w:tcPr>
          <w:p w14:paraId="05888F05" w14:textId="77777777" w:rsidR="00F37126" w:rsidRPr="00F37126" w:rsidRDefault="00F37126" w:rsidP="008B495E">
            <w:pPr>
              <w:pStyle w:val="ExhibitText"/>
              <w:jc w:val="right"/>
            </w:pPr>
            <w:r w:rsidRPr="00F37126">
              <w:t>February-14</w:t>
            </w:r>
          </w:p>
        </w:tc>
        <w:tc>
          <w:tcPr>
            <w:tcW w:w="1487" w:type="dxa"/>
            <w:vAlign w:val="center"/>
            <w:hideMark/>
          </w:tcPr>
          <w:p w14:paraId="62E360AC" w14:textId="77777777" w:rsidR="00F37126" w:rsidRPr="00F37126" w:rsidRDefault="00F37126" w:rsidP="008B495E">
            <w:pPr>
              <w:pStyle w:val="ExhibitText"/>
              <w:jc w:val="right"/>
            </w:pPr>
            <w:r w:rsidRPr="00F37126">
              <w:t>United States</w:t>
            </w:r>
          </w:p>
        </w:tc>
      </w:tr>
      <w:tr w:rsidR="008B495E" w:rsidRPr="00F37126" w14:paraId="4E110D53" w14:textId="77777777" w:rsidTr="00A43D96">
        <w:trPr>
          <w:trHeight w:val="134"/>
          <w:jc w:val="center"/>
        </w:trPr>
        <w:tc>
          <w:tcPr>
            <w:tcW w:w="3600" w:type="dxa"/>
            <w:hideMark/>
          </w:tcPr>
          <w:p w14:paraId="573936F6" w14:textId="77777777" w:rsidR="00F37126" w:rsidRPr="00F37126" w:rsidRDefault="00F37126" w:rsidP="00F37126">
            <w:pPr>
              <w:pStyle w:val="ExhibitText"/>
              <w:jc w:val="left"/>
            </w:pPr>
            <w:r w:rsidRPr="00F37126">
              <w:t>Snap Inc.</w:t>
            </w:r>
          </w:p>
        </w:tc>
        <w:tc>
          <w:tcPr>
            <w:tcW w:w="1170" w:type="dxa"/>
            <w:vAlign w:val="center"/>
            <w:hideMark/>
          </w:tcPr>
          <w:p w14:paraId="48FE53DB" w14:textId="49DD3042" w:rsidR="00F37126" w:rsidRPr="00F37126" w:rsidRDefault="00F37126" w:rsidP="008B495E">
            <w:pPr>
              <w:pStyle w:val="ExhibitText"/>
              <w:jc w:val="right"/>
            </w:pPr>
            <w:r w:rsidRPr="00F37126">
              <w:t>$7.0</w:t>
            </w:r>
          </w:p>
        </w:tc>
        <w:tc>
          <w:tcPr>
            <w:tcW w:w="1440" w:type="dxa"/>
            <w:vAlign w:val="center"/>
            <w:hideMark/>
          </w:tcPr>
          <w:p w14:paraId="5FE3E641" w14:textId="400B1925" w:rsidR="00F37126" w:rsidRPr="00F37126" w:rsidRDefault="00F37126" w:rsidP="008B495E">
            <w:pPr>
              <w:pStyle w:val="ExhibitText"/>
              <w:jc w:val="right"/>
            </w:pPr>
            <w:r w:rsidRPr="00F37126">
              <w:t>$130</w:t>
            </w:r>
          </w:p>
        </w:tc>
        <w:tc>
          <w:tcPr>
            <w:tcW w:w="1568" w:type="dxa"/>
            <w:vAlign w:val="center"/>
            <w:hideMark/>
          </w:tcPr>
          <w:p w14:paraId="45052275" w14:textId="77777777" w:rsidR="00F37126" w:rsidRPr="00F37126" w:rsidRDefault="00F37126" w:rsidP="008B495E">
            <w:pPr>
              <w:pStyle w:val="ExhibitText"/>
              <w:jc w:val="right"/>
            </w:pPr>
            <w:r w:rsidRPr="00F37126">
              <w:t>May-14</w:t>
            </w:r>
          </w:p>
        </w:tc>
        <w:tc>
          <w:tcPr>
            <w:tcW w:w="1487" w:type="dxa"/>
            <w:vAlign w:val="center"/>
            <w:hideMark/>
          </w:tcPr>
          <w:p w14:paraId="7107A9FC" w14:textId="77777777" w:rsidR="00F37126" w:rsidRPr="00F37126" w:rsidRDefault="00F37126" w:rsidP="008B495E">
            <w:pPr>
              <w:pStyle w:val="ExhibitText"/>
              <w:jc w:val="right"/>
            </w:pPr>
            <w:r w:rsidRPr="00F37126">
              <w:t>United States</w:t>
            </w:r>
          </w:p>
        </w:tc>
      </w:tr>
      <w:tr w:rsidR="008B495E" w:rsidRPr="00F37126" w14:paraId="39178D5F" w14:textId="77777777" w:rsidTr="00A43D96">
        <w:trPr>
          <w:trHeight w:val="161"/>
          <w:jc w:val="center"/>
        </w:trPr>
        <w:tc>
          <w:tcPr>
            <w:tcW w:w="3600" w:type="dxa"/>
            <w:hideMark/>
          </w:tcPr>
          <w:p w14:paraId="7F390ED4" w14:textId="77777777" w:rsidR="00F37126" w:rsidRPr="00F37126" w:rsidRDefault="00F37126" w:rsidP="00F37126">
            <w:pPr>
              <w:pStyle w:val="ExhibitText"/>
              <w:jc w:val="left"/>
            </w:pPr>
            <w:r w:rsidRPr="00F37126">
              <w:t>Flipkart Internet Private Limited</w:t>
            </w:r>
          </w:p>
        </w:tc>
        <w:tc>
          <w:tcPr>
            <w:tcW w:w="1170" w:type="dxa"/>
            <w:vAlign w:val="center"/>
            <w:hideMark/>
          </w:tcPr>
          <w:p w14:paraId="4AFAC783" w14:textId="459121D4" w:rsidR="00F37126" w:rsidRPr="00F37126" w:rsidRDefault="00F37126" w:rsidP="008B495E">
            <w:pPr>
              <w:pStyle w:val="ExhibitText"/>
              <w:jc w:val="right"/>
            </w:pPr>
            <w:r w:rsidRPr="00F37126">
              <w:t>$7.0</w:t>
            </w:r>
          </w:p>
        </w:tc>
        <w:tc>
          <w:tcPr>
            <w:tcW w:w="1440" w:type="dxa"/>
            <w:vAlign w:val="center"/>
            <w:hideMark/>
          </w:tcPr>
          <w:p w14:paraId="11C4C708" w14:textId="04D07617" w:rsidR="00F37126" w:rsidRPr="00F37126" w:rsidRDefault="00F37126" w:rsidP="008B495E">
            <w:pPr>
              <w:pStyle w:val="ExhibitText"/>
              <w:jc w:val="right"/>
            </w:pPr>
            <w:r w:rsidRPr="00F37126">
              <w:t>$1,800</w:t>
            </w:r>
          </w:p>
        </w:tc>
        <w:tc>
          <w:tcPr>
            <w:tcW w:w="1568" w:type="dxa"/>
            <w:vAlign w:val="center"/>
            <w:hideMark/>
          </w:tcPr>
          <w:p w14:paraId="45143A99" w14:textId="77777777" w:rsidR="00F37126" w:rsidRPr="00F37126" w:rsidRDefault="00F37126" w:rsidP="008B495E">
            <w:pPr>
              <w:pStyle w:val="ExhibitText"/>
              <w:jc w:val="right"/>
            </w:pPr>
            <w:r w:rsidRPr="00F37126">
              <w:t>July-14</w:t>
            </w:r>
          </w:p>
        </w:tc>
        <w:tc>
          <w:tcPr>
            <w:tcW w:w="1487" w:type="dxa"/>
            <w:vAlign w:val="center"/>
            <w:hideMark/>
          </w:tcPr>
          <w:p w14:paraId="3418DE5E" w14:textId="77777777" w:rsidR="00F37126" w:rsidRPr="00F37126" w:rsidRDefault="00F37126" w:rsidP="008B495E">
            <w:pPr>
              <w:pStyle w:val="ExhibitText"/>
              <w:jc w:val="right"/>
            </w:pPr>
            <w:r w:rsidRPr="00F37126">
              <w:t>India</w:t>
            </w:r>
          </w:p>
        </w:tc>
      </w:tr>
      <w:tr w:rsidR="008B495E" w:rsidRPr="00F37126" w14:paraId="271CEC31" w14:textId="77777777" w:rsidTr="00A43D96">
        <w:trPr>
          <w:trHeight w:val="56"/>
          <w:jc w:val="center"/>
        </w:trPr>
        <w:tc>
          <w:tcPr>
            <w:tcW w:w="3600" w:type="dxa"/>
            <w:hideMark/>
          </w:tcPr>
          <w:p w14:paraId="57974B74" w14:textId="77777777" w:rsidR="00F37126" w:rsidRPr="00F37126" w:rsidRDefault="00F37126" w:rsidP="00F37126">
            <w:pPr>
              <w:pStyle w:val="ExhibitText"/>
              <w:jc w:val="left"/>
            </w:pPr>
            <w:r w:rsidRPr="00F37126">
              <w:t>Pinterest, Inc.</w:t>
            </w:r>
          </w:p>
        </w:tc>
        <w:tc>
          <w:tcPr>
            <w:tcW w:w="1170" w:type="dxa"/>
            <w:vAlign w:val="center"/>
            <w:hideMark/>
          </w:tcPr>
          <w:p w14:paraId="62368817" w14:textId="6BCB914A" w:rsidR="00F37126" w:rsidRPr="00F37126" w:rsidRDefault="00F37126" w:rsidP="008B495E">
            <w:pPr>
              <w:pStyle w:val="ExhibitText"/>
              <w:jc w:val="right"/>
            </w:pPr>
            <w:r w:rsidRPr="00F37126">
              <w:t>$5.0</w:t>
            </w:r>
          </w:p>
        </w:tc>
        <w:tc>
          <w:tcPr>
            <w:tcW w:w="1440" w:type="dxa"/>
            <w:vAlign w:val="center"/>
            <w:hideMark/>
          </w:tcPr>
          <w:p w14:paraId="610FCA39" w14:textId="4C4EF512" w:rsidR="00F37126" w:rsidRPr="00F37126" w:rsidRDefault="00F37126" w:rsidP="008B495E">
            <w:pPr>
              <w:pStyle w:val="ExhibitText"/>
              <w:jc w:val="right"/>
            </w:pPr>
            <w:r w:rsidRPr="00F37126">
              <w:t>$764</w:t>
            </w:r>
          </w:p>
        </w:tc>
        <w:tc>
          <w:tcPr>
            <w:tcW w:w="1568" w:type="dxa"/>
            <w:vAlign w:val="center"/>
            <w:hideMark/>
          </w:tcPr>
          <w:p w14:paraId="35CDCDD1" w14:textId="77777777" w:rsidR="00F37126" w:rsidRPr="00F37126" w:rsidRDefault="00F37126" w:rsidP="008B495E">
            <w:pPr>
              <w:pStyle w:val="ExhibitText"/>
              <w:jc w:val="right"/>
            </w:pPr>
            <w:r w:rsidRPr="00F37126">
              <w:t>May-14</w:t>
            </w:r>
          </w:p>
        </w:tc>
        <w:tc>
          <w:tcPr>
            <w:tcW w:w="1487" w:type="dxa"/>
            <w:vAlign w:val="center"/>
            <w:hideMark/>
          </w:tcPr>
          <w:p w14:paraId="335D8DFD" w14:textId="77777777" w:rsidR="00F37126" w:rsidRPr="00F37126" w:rsidRDefault="00F37126" w:rsidP="008B495E">
            <w:pPr>
              <w:pStyle w:val="ExhibitText"/>
              <w:jc w:val="right"/>
            </w:pPr>
            <w:r w:rsidRPr="00F37126">
              <w:t>United States</w:t>
            </w:r>
          </w:p>
        </w:tc>
      </w:tr>
      <w:tr w:rsidR="008B495E" w:rsidRPr="00F37126" w14:paraId="19D9D4F0" w14:textId="77777777" w:rsidTr="00A43D96">
        <w:trPr>
          <w:trHeight w:val="56"/>
          <w:jc w:val="center"/>
        </w:trPr>
        <w:tc>
          <w:tcPr>
            <w:tcW w:w="3600" w:type="dxa"/>
            <w:hideMark/>
          </w:tcPr>
          <w:p w14:paraId="1B9DE001" w14:textId="77777777" w:rsidR="00F37126" w:rsidRPr="00F37126" w:rsidRDefault="00F37126" w:rsidP="00F37126">
            <w:pPr>
              <w:pStyle w:val="ExhibitText"/>
              <w:jc w:val="left"/>
            </w:pPr>
            <w:r w:rsidRPr="00F37126">
              <w:t>Zalando SE</w:t>
            </w:r>
          </w:p>
        </w:tc>
        <w:tc>
          <w:tcPr>
            <w:tcW w:w="1170" w:type="dxa"/>
            <w:vAlign w:val="center"/>
            <w:hideMark/>
          </w:tcPr>
          <w:p w14:paraId="12A755CA" w14:textId="7B91A476" w:rsidR="00F37126" w:rsidRPr="00F37126" w:rsidRDefault="00F37126" w:rsidP="008B495E">
            <w:pPr>
              <w:pStyle w:val="ExhibitText"/>
              <w:jc w:val="right"/>
            </w:pPr>
            <w:r w:rsidRPr="00F37126">
              <w:t>$4.9</w:t>
            </w:r>
          </w:p>
        </w:tc>
        <w:tc>
          <w:tcPr>
            <w:tcW w:w="1440" w:type="dxa"/>
            <w:vAlign w:val="center"/>
            <w:hideMark/>
          </w:tcPr>
          <w:p w14:paraId="3892EE8A" w14:textId="0C1C8D88" w:rsidR="00F37126" w:rsidRPr="00F37126" w:rsidRDefault="00F37126" w:rsidP="008B495E">
            <w:pPr>
              <w:pStyle w:val="ExhibitText"/>
              <w:jc w:val="right"/>
            </w:pPr>
            <w:r w:rsidRPr="00F37126">
              <w:t>$49</w:t>
            </w:r>
          </w:p>
        </w:tc>
        <w:tc>
          <w:tcPr>
            <w:tcW w:w="1568" w:type="dxa"/>
            <w:vAlign w:val="center"/>
            <w:hideMark/>
          </w:tcPr>
          <w:p w14:paraId="77D5FAE6" w14:textId="77777777" w:rsidR="00F37126" w:rsidRPr="00F37126" w:rsidRDefault="00F37126" w:rsidP="008B495E">
            <w:pPr>
              <w:pStyle w:val="ExhibitText"/>
              <w:jc w:val="right"/>
            </w:pPr>
            <w:r w:rsidRPr="00F37126">
              <w:t>October-13</w:t>
            </w:r>
          </w:p>
        </w:tc>
        <w:tc>
          <w:tcPr>
            <w:tcW w:w="1487" w:type="dxa"/>
            <w:vAlign w:val="center"/>
            <w:hideMark/>
          </w:tcPr>
          <w:p w14:paraId="6707306E" w14:textId="77777777" w:rsidR="00F37126" w:rsidRPr="00F37126" w:rsidRDefault="00F37126" w:rsidP="008B495E">
            <w:pPr>
              <w:pStyle w:val="ExhibitText"/>
              <w:jc w:val="right"/>
            </w:pPr>
            <w:r w:rsidRPr="00F37126">
              <w:t>Germany</w:t>
            </w:r>
          </w:p>
        </w:tc>
      </w:tr>
      <w:tr w:rsidR="008B495E" w:rsidRPr="00F37126" w14:paraId="626654C0" w14:textId="77777777" w:rsidTr="00A43D96">
        <w:trPr>
          <w:trHeight w:val="206"/>
          <w:jc w:val="center"/>
        </w:trPr>
        <w:tc>
          <w:tcPr>
            <w:tcW w:w="3600" w:type="dxa"/>
            <w:hideMark/>
          </w:tcPr>
          <w:p w14:paraId="54CAC105" w14:textId="01EC3829" w:rsidR="00F37126" w:rsidRPr="00F37126" w:rsidRDefault="00F37126" w:rsidP="00F37126">
            <w:pPr>
              <w:pStyle w:val="ExhibitText"/>
              <w:jc w:val="left"/>
            </w:pPr>
            <w:r w:rsidRPr="00F37126">
              <w:t>Space Exploration Technologies Corp.</w:t>
            </w:r>
          </w:p>
        </w:tc>
        <w:tc>
          <w:tcPr>
            <w:tcW w:w="1170" w:type="dxa"/>
            <w:vAlign w:val="center"/>
            <w:hideMark/>
          </w:tcPr>
          <w:p w14:paraId="015BC1C0" w14:textId="1D5F4851" w:rsidR="00F37126" w:rsidRPr="00F37126" w:rsidRDefault="00F37126" w:rsidP="008B495E">
            <w:pPr>
              <w:pStyle w:val="ExhibitText"/>
              <w:jc w:val="right"/>
            </w:pPr>
            <w:r w:rsidRPr="00F37126">
              <w:t>$4.8</w:t>
            </w:r>
          </w:p>
        </w:tc>
        <w:tc>
          <w:tcPr>
            <w:tcW w:w="1440" w:type="dxa"/>
            <w:vAlign w:val="center"/>
            <w:hideMark/>
          </w:tcPr>
          <w:p w14:paraId="38248990" w14:textId="3E6E53A7" w:rsidR="00F37126" w:rsidRPr="00F37126" w:rsidRDefault="00F37126" w:rsidP="008B495E">
            <w:pPr>
              <w:pStyle w:val="ExhibitText"/>
              <w:jc w:val="right"/>
            </w:pPr>
            <w:r w:rsidRPr="00F37126">
              <w:t>$115</w:t>
            </w:r>
          </w:p>
        </w:tc>
        <w:tc>
          <w:tcPr>
            <w:tcW w:w="1568" w:type="dxa"/>
            <w:vAlign w:val="center"/>
            <w:hideMark/>
          </w:tcPr>
          <w:p w14:paraId="6CBE3699" w14:textId="77777777" w:rsidR="00F37126" w:rsidRPr="00F37126" w:rsidRDefault="00F37126" w:rsidP="008B495E">
            <w:pPr>
              <w:pStyle w:val="ExhibitText"/>
              <w:jc w:val="right"/>
            </w:pPr>
            <w:r w:rsidRPr="00F37126">
              <w:t>December-12</w:t>
            </w:r>
          </w:p>
        </w:tc>
        <w:tc>
          <w:tcPr>
            <w:tcW w:w="1487" w:type="dxa"/>
            <w:vAlign w:val="center"/>
            <w:hideMark/>
          </w:tcPr>
          <w:p w14:paraId="5841765B" w14:textId="77777777" w:rsidR="00F37126" w:rsidRPr="00F37126" w:rsidRDefault="00F37126" w:rsidP="008B495E">
            <w:pPr>
              <w:pStyle w:val="ExhibitText"/>
              <w:jc w:val="right"/>
            </w:pPr>
            <w:r w:rsidRPr="00F37126">
              <w:t>United States</w:t>
            </w:r>
          </w:p>
        </w:tc>
      </w:tr>
      <w:tr w:rsidR="008B495E" w:rsidRPr="00F37126" w14:paraId="06853C0B" w14:textId="77777777" w:rsidTr="00A43D96">
        <w:trPr>
          <w:trHeight w:val="242"/>
          <w:jc w:val="center"/>
        </w:trPr>
        <w:tc>
          <w:tcPr>
            <w:tcW w:w="3600" w:type="dxa"/>
            <w:hideMark/>
          </w:tcPr>
          <w:p w14:paraId="0ACE45D6" w14:textId="77777777" w:rsidR="00F37126" w:rsidRPr="00F37126" w:rsidRDefault="00F37126" w:rsidP="00F37126">
            <w:pPr>
              <w:pStyle w:val="ExhibitText"/>
              <w:jc w:val="left"/>
            </w:pPr>
            <w:r w:rsidRPr="00F37126">
              <w:t>Cloudera Inc.</w:t>
            </w:r>
          </w:p>
        </w:tc>
        <w:tc>
          <w:tcPr>
            <w:tcW w:w="1170" w:type="dxa"/>
            <w:vAlign w:val="center"/>
            <w:hideMark/>
          </w:tcPr>
          <w:p w14:paraId="2659CE6D" w14:textId="6B66123B" w:rsidR="00F37126" w:rsidRPr="00F37126" w:rsidRDefault="00F37126" w:rsidP="008B495E">
            <w:pPr>
              <w:pStyle w:val="ExhibitText"/>
              <w:jc w:val="right"/>
            </w:pPr>
            <w:r w:rsidRPr="00F37126">
              <w:t>$4.1</w:t>
            </w:r>
          </w:p>
        </w:tc>
        <w:tc>
          <w:tcPr>
            <w:tcW w:w="1440" w:type="dxa"/>
            <w:vAlign w:val="center"/>
            <w:hideMark/>
          </w:tcPr>
          <w:p w14:paraId="5E510177" w14:textId="298BFED1" w:rsidR="00F37126" w:rsidRPr="00F37126" w:rsidRDefault="00F37126" w:rsidP="008B495E">
            <w:pPr>
              <w:pStyle w:val="ExhibitText"/>
              <w:jc w:val="right"/>
            </w:pPr>
            <w:r w:rsidRPr="00F37126">
              <w:t>$670</w:t>
            </w:r>
          </w:p>
        </w:tc>
        <w:tc>
          <w:tcPr>
            <w:tcW w:w="1568" w:type="dxa"/>
            <w:vAlign w:val="center"/>
            <w:hideMark/>
          </w:tcPr>
          <w:p w14:paraId="64B21236" w14:textId="77777777" w:rsidR="00F37126" w:rsidRPr="00F37126" w:rsidRDefault="00F37126" w:rsidP="008B495E">
            <w:pPr>
              <w:pStyle w:val="ExhibitText"/>
              <w:jc w:val="right"/>
            </w:pPr>
            <w:r w:rsidRPr="00F37126">
              <w:t>March-14</w:t>
            </w:r>
          </w:p>
        </w:tc>
        <w:tc>
          <w:tcPr>
            <w:tcW w:w="1487" w:type="dxa"/>
            <w:vAlign w:val="center"/>
            <w:hideMark/>
          </w:tcPr>
          <w:p w14:paraId="1E71959C" w14:textId="77777777" w:rsidR="00F37126" w:rsidRPr="00F37126" w:rsidRDefault="00F37126" w:rsidP="008B495E">
            <w:pPr>
              <w:pStyle w:val="ExhibitText"/>
              <w:jc w:val="right"/>
            </w:pPr>
            <w:r w:rsidRPr="00F37126">
              <w:t>United States</w:t>
            </w:r>
          </w:p>
        </w:tc>
      </w:tr>
      <w:tr w:rsidR="008B495E" w:rsidRPr="00F37126" w14:paraId="2A37272B" w14:textId="77777777" w:rsidTr="00A43D96">
        <w:trPr>
          <w:trHeight w:val="161"/>
          <w:jc w:val="center"/>
        </w:trPr>
        <w:tc>
          <w:tcPr>
            <w:tcW w:w="3600" w:type="dxa"/>
            <w:hideMark/>
          </w:tcPr>
          <w:p w14:paraId="405D3894" w14:textId="77777777" w:rsidR="00F37126" w:rsidRPr="00F37126" w:rsidRDefault="00F37126" w:rsidP="00F37126">
            <w:pPr>
              <w:pStyle w:val="ExhibitText"/>
              <w:jc w:val="left"/>
            </w:pPr>
            <w:r w:rsidRPr="00F37126">
              <w:t>Spotify AB</w:t>
            </w:r>
          </w:p>
        </w:tc>
        <w:tc>
          <w:tcPr>
            <w:tcW w:w="1170" w:type="dxa"/>
            <w:vAlign w:val="center"/>
            <w:hideMark/>
          </w:tcPr>
          <w:p w14:paraId="535063A6" w14:textId="45D65439" w:rsidR="00F37126" w:rsidRPr="00F37126" w:rsidRDefault="00F37126" w:rsidP="008B495E">
            <w:pPr>
              <w:pStyle w:val="ExhibitText"/>
              <w:jc w:val="right"/>
            </w:pPr>
            <w:r w:rsidRPr="00F37126">
              <w:t>$4.0</w:t>
            </w:r>
          </w:p>
        </w:tc>
        <w:tc>
          <w:tcPr>
            <w:tcW w:w="1440" w:type="dxa"/>
            <w:vAlign w:val="center"/>
            <w:hideMark/>
          </w:tcPr>
          <w:p w14:paraId="4E0BC7FF" w14:textId="7ABB66E6" w:rsidR="00F37126" w:rsidRPr="00F37126" w:rsidRDefault="00F37126" w:rsidP="008B495E">
            <w:pPr>
              <w:pStyle w:val="ExhibitText"/>
              <w:jc w:val="right"/>
            </w:pPr>
            <w:r w:rsidRPr="00F37126">
              <w:t>$521</w:t>
            </w:r>
          </w:p>
        </w:tc>
        <w:tc>
          <w:tcPr>
            <w:tcW w:w="1568" w:type="dxa"/>
            <w:vAlign w:val="center"/>
            <w:hideMark/>
          </w:tcPr>
          <w:p w14:paraId="350462AB" w14:textId="77777777" w:rsidR="00F37126" w:rsidRPr="00F37126" w:rsidRDefault="00F37126" w:rsidP="008B495E">
            <w:pPr>
              <w:pStyle w:val="ExhibitText"/>
              <w:jc w:val="right"/>
            </w:pPr>
            <w:r w:rsidRPr="00F37126">
              <w:t>November-13</w:t>
            </w:r>
          </w:p>
        </w:tc>
        <w:tc>
          <w:tcPr>
            <w:tcW w:w="1487" w:type="dxa"/>
            <w:vAlign w:val="center"/>
            <w:hideMark/>
          </w:tcPr>
          <w:p w14:paraId="044A1C95" w14:textId="77777777" w:rsidR="00F37126" w:rsidRPr="00F37126" w:rsidRDefault="00F37126" w:rsidP="008B495E">
            <w:pPr>
              <w:pStyle w:val="ExhibitText"/>
              <w:jc w:val="right"/>
            </w:pPr>
            <w:r w:rsidRPr="00F37126">
              <w:t>Sweden</w:t>
            </w:r>
          </w:p>
        </w:tc>
      </w:tr>
      <w:tr w:rsidR="008B495E" w:rsidRPr="00F37126" w14:paraId="293A489D" w14:textId="77777777" w:rsidTr="00A43D96">
        <w:trPr>
          <w:trHeight w:val="107"/>
          <w:jc w:val="center"/>
        </w:trPr>
        <w:tc>
          <w:tcPr>
            <w:tcW w:w="3600" w:type="dxa"/>
            <w:hideMark/>
          </w:tcPr>
          <w:p w14:paraId="20E66873" w14:textId="77777777" w:rsidR="00F37126" w:rsidRPr="00F37126" w:rsidRDefault="00F37126" w:rsidP="00F37126">
            <w:pPr>
              <w:pStyle w:val="ExhibitText"/>
              <w:jc w:val="left"/>
            </w:pPr>
            <w:r w:rsidRPr="00F37126">
              <w:t>Meituan.com</w:t>
            </w:r>
          </w:p>
        </w:tc>
        <w:tc>
          <w:tcPr>
            <w:tcW w:w="1170" w:type="dxa"/>
            <w:vAlign w:val="center"/>
            <w:hideMark/>
          </w:tcPr>
          <w:p w14:paraId="4241D6B9" w14:textId="4A69F309" w:rsidR="00F37126" w:rsidRPr="00F37126" w:rsidRDefault="00F37126" w:rsidP="008B495E">
            <w:pPr>
              <w:pStyle w:val="ExhibitText"/>
              <w:jc w:val="right"/>
            </w:pPr>
            <w:r w:rsidRPr="00F37126">
              <w:t>$4.0</w:t>
            </w:r>
          </w:p>
        </w:tc>
        <w:tc>
          <w:tcPr>
            <w:tcW w:w="1440" w:type="dxa"/>
            <w:vAlign w:val="center"/>
            <w:hideMark/>
          </w:tcPr>
          <w:p w14:paraId="72D753F7" w14:textId="026770A2" w:rsidR="00F37126" w:rsidRPr="00F37126" w:rsidRDefault="00F37126" w:rsidP="008B495E">
            <w:pPr>
              <w:pStyle w:val="ExhibitText"/>
              <w:jc w:val="right"/>
            </w:pPr>
            <w:r w:rsidRPr="00F37126">
              <w:t>$370</w:t>
            </w:r>
          </w:p>
        </w:tc>
        <w:tc>
          <w:tcPr>
            <w:tcW w:w="1568" w:type="dxa"/>
            <w:vAlign w:val="center"/>
            <w:hideMark/>
          </w:tcPr>
          <w:p w14:paraId="49BD25FD" w14:textId="77777777" w:rsidR="00F37126" w:rsidRPr="00F37126" w:rsidRDefault="00F37126" w:rsidP="008B495E">
            <w:pPr>
              <w:pStyle w:val="ExhibitText"/>
              <w:jc w:val="right"/>
            </w:pPr>
            <w:r w:rsidRPr="00F37126">
              <w:t>May-14</w:t>
            </w:r>
          </w:p>
        </w:tc>
        <w:tc>
          <w:tcPr>
            <w:tcW w:w="1487" w:type="dxa"/>
            <w:vAlign w:val="center"/>
            <w:hideMark/>
          </w:tcPr>
          <w:p w14:paraId="78672D1A" w14:textId="77777777" w:rsidR="00F37126" w:rsidRPr="00F37126" w:rsidRDefault="00F37126" w:rsidP="008B495E">
            <w:pPr>
              <w:pStyle w:val="ExhibitText"/>
              <w:jc w:val="right"/>
            </w:pPr>
            <w:r w:rsidRPr="00F37126">
              <w:t>China</w:t>
            </w:r>
          </w:p>
        </w:tc>
      </w:tr>
      <w:tr w:rsidR="008B495E" w:rsidRPr="00F37126" w14:paraId="39B644E4" w14:textId="77777777" w:rsidTr="00A43D96">
        <w:trPr>
          <w:trHeight w:val="143"/>
          <w:jc w:val="center"/>
        </w:trPr>
        <w:tc>
          <w:tcPr>
            <w:tcW w:w="3600" w:type="dxa"/>
            <w:hideMark/>
          </w:tcPr>
          <w:p w14:paraId="3C0086C7" w14:textId="77777777" w:rsidR="00F37126" w:rsidRPr="00F37126" w:rsidRDefault="00F37126" w:rsidP="00F37126">
            <w:pPr>
              <w:pStyle w:val="ExhibitText"/>
              <w:jc w:val="left"/>
            </w:pPr>
            <w:r w:rsidRPr="00F37126">
              <w:t>Didi Chuxing</w:t>
            </w:r>
          </w:p>
        </w:tc>
        <w:tc>
          <w:tcPr>
            <w:tcW w:w="1170" w:type="dxa"/>
            <w:vAlign w:val="center"/>
            <w:hideMark/>
          </w:tcPr>
          <w:p w14:paraId="7B3F4EAA" w14:textId="5D9D826D" w:rsidR="00F37126" w:rsidRPr="00F37126" w:rsidRDefault="00F37126" w:rsidP="008B495E">
            <w:pPr>
              <w:pStyle w:val="ExhibitText"/>
              <w:jc w:val="right"/>
            </w:pPr>
            <w:r w:rsidRPr="00F37126">
              <w:t>$3.5</w:t>
            </w:r>
          </w:p>
        </w:tc>
        <w:tc>
          <w:tcPr>
            <w:tcW w:w="1440" w:type="dxa"/>
            <w:vAlign w:val="center"/>
            <w:hideMark/>
          </w:tcPr>
          <w:p w14:paraId="46B9CFCF" w14:textId="555899B1" w:rsidR="00F37126" w:rsidRPr="00F37126" w:rsidRDefault="00F37126" w:rsidP="008B495E">
            <w:pPr>
              <w:pStyle w:val="ExhibitText"/>
              <w:jc w:val="right"/>
            </w:pPr>
            <w:r w:rsidRPr="00F37126">
              <w:t>$828</w:t>
            </w:r>
          </w:p>
        </w:tc>
        <w:tc>
          <w:tcPr>
            <w:tcW w:w="1568" w:type="dxa"/>
            <w:vAlign w:val="center"/>
            <w:hideMark/>
          </w:tcPr>
          <w:p w14:paraId="6166225F" w14:textId="77777777" w:rsidR="00F37126" w:rsidRPr="00F37126" w:rsidRDefault="00F37126" w:rsidP="008B495E">
            <w:pPr>
              <w:pStyle w:val="ExhibitText"/>
              <w:jc w:val="right"/>
            </w:pPr>
            <w:r w:rsidRPr="00F37126">
              <w:t>December-13</w:t>
            </w:r>
          </w:p>
        </w:tc>
        <w:tc>
          <w:tcPr>
            <w:tcW w:w="1487" w:type="dxa"/>
            <w:vAlign w:val="center"/>
            <w:hideMark/>
          </w:tcPr>
          <w:p w14:paraId="26417F1D" w14:textId="77777777" w:rsidR="00F37126" w:rsidRPr="00F37126" w:rsidRDefault="00F37126" w:rsidP="008B495E">
            <w:pPr>
              <w:pStyle w:val="ExhibitText"/>
              <w:jc w:val="right"/>
            </w:pPr>
            <w:r w:rsidRPr="00F37126">
              <w:t>China</w:t>
            </w:r>
          </w:p>
        </w:tc>
      </w:tr>
      <w:tr w:rsidR="008B495E" w:rsidRPr="00F37126" w14:paraId="090D1C84" w14:textId="77777777" w:rsidTr="00A43D96">
        <w:trPr>
          <w:trHeight w:val="80"/>
          <w:jc w:val="center"/>
        </w:trPr>
        <w:tc>
          <w:tcPr>
            <w:tcW w:w="3600" w:type="dxa"/>
            <w:hideMark/>
          </w:tcPr>
          <w:p w14:paraId="207DB200" w14:textId="77777777" w:rsidR="00F37126" w:rsidRPr="00F37126" w:rsidRDefault="00F37126" w:rsidP="00F37126">
            <w:pPr>
              <w:pStyle w:val="ExhibitText"/>
              <w:jc w:val="left"/>
            </w:pPr>
            <w:r w:rsidRPr="00F37126">
              <w:t>Jawbone</w:t>
            </w:r>
          </w:p>
        </w:tc>
        <w:tc>
          <w:tcPr>
            <w:tcW w:w="1170" w:type="dxa"/>
            <w:vAlign w:val="center"/>
            <w:hideMark/>
          </w:tcPr>
          <w:p w14:paraId="1122754E" w14:textId="7EA1677C" w:rsidR="00F37126" w:rsidRPr="00F37126" w:rsidRDefault="00F37126" w:rsidP="008B495E">
            <w:pPr>
              <w:pStyle w:val="ExhibitText"/>
              <w:jc w:val="right"/>
            </w:pPr>
            <w:r w:rsidRPr="00F37126">
              <w:t>$3.3</w:t>
            </w:r>
          </w:p>
        </w:tc>
        <w:tc>
          <w:tcPr>
            <w:tcW w:w="1440" w:type="dxa"/>
            <w:vAlign w:val="center"/>
            <w:hideMark/>
          </w:tcPr>
          <w:p w14:paraId="71FAF9DD" w14:textId="430D06E6" w:rsidR="00F37126" w:rsidRPr="00F37126" w:rsidRDefault="00F37126" w:rsidP="008B495E">
            <w:pPr>
              <w:pStyle w:val="ExhibitText"/>
              <w:jc w:val="right"/>
            </w:pPr>
            <w:r w:rsidRPr="00F37126">
              <w:t>$531</w:t>
            </w:r>
          </w:p>
        </w:tc>
        <w:tc>
          <w:tcPr>
            <w:tcW w:w="1568" w:type="dxa"/>
            <w:vAlign w:val="center"/>
            <w:hideMark/>
          </w:tcPr>
          <w:p w14:paraId="44508CE5" w14:textId="77777777" w:rsidR="00F37126" w:rsidRPr="00F37126" w:rsidRDefault="00F37126" w:rsidP="008B495E">
            <w:pPr>
              <w:pStyle w:val="ExhibitText"/>
              <w:jc w:val="right"/>
            </w:pPr>
            <w:r w:rsidRPr="00F37126">
              <w:t>February-14</w:t>
            </w:r>
          </w:p>
        </w:tc>
        <w:tc>
          <w:tcPr>
            <w:tcW w:w="1487" w:type="dxa"/>
            <w:vAlign w:val="center"/>
            <w:hideMark/>
          </w:tcPr>
          <w:p w14:paraId="6139FF89" w14:textId="77777777" w:rsidR="00F37126" w:rsidRPr="00F37126" w:rsidRDefault="00F37126" w:rsidP="008B495E">
            <w:pPr>
              <w:pStyle w:val="ExhibitText"/>
              <w:jc w:val="right"/>
            </w:pPr>
            <w:r w:rsidRPr="00F37126">
              <w:t>United States</w:t>
            </w:r>
          </w:p>
        </w:tc>
      </w:tr>
      <w:tr w:rsidR="008B495E" w:rsidRPr="00F37126" w14:paraId="240516A5" w14:textId="77777777" w:rsidTr="00A43D96">
        <w:trPr>
          <w:trHeight w:val="107"/>
          <w:jc w:val="center"/>
        </w:trPr>
        <w:tc>
          <w:tcPr>
            <w:tcW w:w="3600" w:type="dxa"/>
            <w:hideMark/>
          </w:tcPr>
          <w:p w14:paraId="570B9D16" w14:textId="77777777" w:rsidR="00F37126" w:rsidRPr="00F37126" w:rsidRDefault="00F37126" w:rsidP="00F37126">
            <w:pPr>
              <w:pStyle w:val="ExhibitText"/>
              <w:jc w:val="left"/>
            </w:pPr>
            <w:r w:rsidRPr="00F37126">
              <w:t>Square, Inc.</w:t>
            </w:r>
          </w:p>
        </w:tc>
        <w:tc>
          <w:tcPr>
            <w:tcW w:w="1170" w:type="dxa"/>
            <w:vAlign w:val="center"/>
            <w:hideMark/>
          </w:tcPr>
          <w:p w14:paraId="73964A7A" w14:textId="110C02BA" w:rsidR="00F37126" w:rsidRPr="00F37126" w:rsidRDefault="00F37126" w:rsidP="008B495E">
            <w:pPr>
              <w:pStyle w:val="ExhibitText"/>
              <w:jc w:val="right"/>
            </w:pPr>
            <w:r w:rsidRPr="00F37126">
              <w:t>$3.3</w:t>
            </w:r>
          </w:p>
        </w:tc>
        <w:tc>
          <w:tcPr>
            <w:tcW w:w="1440" w:type="dxa"/>
            <w:vAlign w:val="center"/>
            <w:hideMark/>
          </w:tcPr>
          <w:p w14:paraId="67B42354" w14:textId="65CE901A" w:rsidR="00F37126" w:rsidRPr="00F37126" w:rsidRDefault="00F37126" w:rsidP="008B495E">
            <w:pPr>
              <w:pStyle w:val="ExhibitText"/>
              <w:jc w:val="right"/>
            </w:pPr>
            <w:r w:rsidRPr="00F37126">
              <w:t>$371</w:t>
            </w:r>
          </w:p>
        </w:tc>
        <w:tc>
          <w:tcPr>
            <w:tcW w:w="1568" w:type="dxa"/>
            <w:vAlign w:val="center"/>
            <w:hideMark/>
          </w:tcPr>
          <w:p w14:paraId="04BC34D8" w14:textId="77777777" w:rsidR="00F37126" w:rsidRPr="00F37126" w:rsidRDefault="00F37126" w:rsidP="008B495E">
            <w:pPr>
              <w:pStyle w:val="ExhibitText"/>
              <w:jc w:val="right"/>
            </w:pPr>
            <w:r w:rsidRPr="00F37126">
              <w:t>September-12</w:t>
            </w:r>
          </w:p>
        </w:tc>
        <w:tc>
          <w:tcPr>
            <w:tcW w:w="1487" w:type="dxa"/>
            <w:vAlign w:val="center"/>
            <w:hideMark/>
          </w:tcPr>
          <w:p w14:paraId="43440874" w14:textId="77777777" w:rsidR="00F37126" w:rsidRPr="00F37126" w:rsidRDefault="00F37126" w:rsidP="008B495E">
            <w:pPr>
              <w:pStyle w:val="ExhibitText"/>
              <w:jc w:val="right"/>
            </w:pPr>
            <w:r w:rsidRPr="00F37126">
              <w:t>United States</w:t>
            </w:r>
          </w:p>
        </w:tc>
      </w:tr>
      <w:tr w:rsidR="008B495E" w:rsidRPr="00F37126" w14:paraId="701B9A5B" w14:textId="77777777" w:rsidTr="00A43D96">
        <w:trPr>
          <w:trHeight w:val="134"/>
          <w:jc w:val="center"/>
        </w:trPr>
        <w:tc>
          <w:tcPr>
            <w:tcW w:w="3600" w:type="dxa"/>
            <w:hideMark/>
          </w:tcPr>
          <w:p w14:paraId="72427CDF" w14:textId="77777777" w:rsidR="00F37126" w:rsidRPr="00F37126" w:rsidRDefault="00F37126" w:rsidP="00F37126">
            <w:pPr>
              <w:pStyle w:val="ExhibitText"/>
              <w:jc w:val="left"/>
            </w:pPr>
            <w:r w:rsidRPr="00F37126">
              <w:t>Lending Club Corportion</w:t>
            </w:r>
          </w:p>
        </w:tc>
        <w:tc>
          <w:tcPr>
            <w:tcW w:w="1170" w:type="dxa"/>
            <w:vAlign w:val="center"/>
            <w:hideMark/>
          </w:tcPr>
          <w:p w14:paraId="7BBD7B68" w14:textId="14D144A8" w:rsidR="00F37126" w:rsidRPr="00F37126" w:rsidRDefault="00F37126" w:rsidP="008B495E">
            <w:pPr>
              <w:pStyle w:val="ExhibitText"/>
              <w:jc w:val="right"/>
            </w:pPr>
            <w:r w:rsidRPr="00F37126">
              <w:t>$3.1</w:t>
            </w:r>
          </w:p>
        </w:tc>
        <w:tc>
          <w:tcPr>
            <w:tcW w:w="1440" w:type="dxa"/>
            <w:vAlign w:val="center"/>
            <w:hideMark/>
          </w:tcPr>
          <w:p w14:paraId="2F34437D" w14:textId="407B1A86" w:rsidR="00F37126" w:rsidRPr="00F37126" w:rsidRDefault="00F37126" w:rsidP="008B495E">
            <w:pPr>
              <w:pStyle w:val="ExhibitText"/>
              <w:jc w:val="right"/>
            </w:pPr>
            <w:r w:rsidRPr="00F37126">
              <w:t>$193</w:t>
            </w:r>
          </w:p>
        </w:tc>
        <w:tc>
          <w:tcPr>
            <w:tcW w:w="1568" w:type="dxa"/>
            <w:vAlign w:val="center"/>
            <w:hideMark/>
          </w:tcPr>
          <w:p w14:paraId="030DCBE2" w14:textId="77777777" w:rsidR="00F37126" w:rsidRPr="00F37126" w:rsidRDefault="00F37126" w:rsidP="008B495E">
            <w:pPr>
              <w:pStyle w:val="ExhibitText"/>
              <w:jc w:val="right"/>
            </w:pPr>
            <w:r w:rsidRPr="00F37126">
              <w:t>April-14</w:t>
            </w:r>
          </w:p>
        </w:tc>
        <w:tc>
          <w:tcPr>
            <w:tcW w:w="1487" w:type="dxa"/>
            <w:vAlign w:val="center"/>
            <w:hideMark/>
          </w:tcPr>
          <w:p w14:paraId="43535CCA" w14:textId="77777777" w:rsidR="00F37126" w:rsidRPr="00F37126" w:rsidRDefault="00F37126" w:rsidP="008B495E">
            <w:pPr>
              <w:pStyle w:val="ExhibitText"/>
              <w:jc w:val="right"/>
            </w:pPr>
            <w:r w:rsidRPr="00F37126">
              <w:t>United States</w:t>
            </w:r>
          </w:p>
        </w:tc>
      </w:tr>
      <w:tr w:rsidR="008B495E" w:rsidRPr="00F37126" w14:paraId="3B2DF3DD" w14:textId="77777777" w:rsidTr="00A43D96">
        <w:trPr>
          <w:trHeight w:val="71"/>
          <w:jc w:val="center"/>
        </w:trPr>
        <w:tc>
          <w:tcPr>
            <w:tcW w:w="3600" w:type="dxa"/>
            <w:hideMark/>
          </w:tcPr>
          <w:p w14:paraId="6DFD9841" w14:textId="77777777" w:rsidR="00F37126" w:rsidRPr="00F37126" w:rsidRDefault="00F37126" w:rsidP="00F37126">
            <w:pPr>
              <w:pStyle w:val="ExhibitText"/>
              <w:jc w:val="left"/>
            </w:pPr>
            <w:r w:rsidRPr="00F37126">
              <w:t>Fanatics, Inc.</w:t>
            </w:r>
          </w:p>
        </w:tc>
        <w:tc>
          <w:tcPr>
            <w:tcW w:w="1170" w:type="dxa"/>
            <w:vAlign w:val="center"/>
            <w:hideMark/>
          </w:tcPr>
          <w:p w14:paraId="34C6F7EA" w14:textId="3B43A584" w:rsidR="00F37126" w:rsidRPr="00F37126" w:rsidRDefault="00F37126" w:rsidP="008B495E">
            <w:pPr>
              <w:pStyle w:val="ExhibitText"/>
              <w:jc w:val="right"/>
            </w:pPr>
            <w:r w:rsidRPr="00F37126">
              <w:t>$3.1</w:t>
            </w:r>
          </w:p>
        </w:tc>
        <w:tc>
          <w:tcPr>
            <w:tcW w:w="1440" w:type="dxa"/>
            <w:vAlign w:val="center"/>
            <w:hideMark/>
          </w:tcPr>
          <w:p w14:paraId="5021A10D" w14:textId="4DB561CB" w:rsidR="00F37126" w:rsidRPr="00F37126" w:rsidRDefault="00F37126" w:rsidP="008B495E">
            <w:pPr>
              <w:pStyle w:val="ExhibitText"/>
              <w:jc w:val="right"/>
            </w:pPr>
            <w:r w:rsidRPr="00F37126">
              <w:t>$320</w:t>
            </w:r>
          </w:p>
        </w:tc>
        <w:tc>
          <w:tcPr>
            <w:tcW w:w="1568" w:type="dxa"/>
            <w:vAlign w:val="center"/>
            <w:hideMark/>
          </w:tcPr>
          <w:p w14:paraId="352C4FC8" w14:textId="77777777" w:rsidR="00F37126" w:rsidRPr="00F37126" w:rsidRDefault="00F37126" w:rsidP="008B495E">
            <w:pPr>
              <w:pStyle w:val="ExhibitText"/>
              <w:jc w:val="right"/>
            </w:pPr>
            <w:r w:rsidRPr="00F37126">
              <w:t>June-13</w:t>
            </w:r>
          </w:p>
        </w:tc>
        <w:tc>
          <w:tcPr>
            <w:tcW w:w="1487" w:type="dxa"/>
            <w:vAlign w:val="center"/>
            <w:hideMark/>
          </w:tcPr>
          <w:p w14:paraId="7FFD803F" w14:textId="77777777" w:rsidR="00F37126" w:rsidRPr="00F37126" w:rsidRDefault="00F37126" w:rsidP="008B495E">
            <w:pPr>
              <w:pStyle w:val="ExhibitText"/>
              <w:jc w:val="right"/>
            </w:pPr>
            <w:r w:rsidRPr="00F37126">
              <w:t>United States</w:t>
            </w:r>
          </w:p>
        </w:tc>
      </w:tr>
      <w:tr w:rsidR="008B495E" w:rsidRPr="00F37126" w14:paraId="1B041381" w14:textId="77777777" w:rsidTr="00A43D96">
        <w:trPr>
          <w:trHeight w:val="197"/>
          <w:jc w:val="center"/>
        </w:trPr>
        <w:tc>
          <w:tcPr>
            <w:tcW w:w="3600" w:type="dxa"/>
            <w:hideMark/>
          </w:tcPr>
          <w:p w14:paraId="6CF12C3D" w14:textId="77777777" w:rsidR="00F37126" w:rsidRPr="00F37126" w:rsidRDefault="00F37126" w:rsidP="00F37126">
            <w:pPr>
              <w:pStyle w:val="ExhibitText"/>
              <w:jc w:val="left"/>
            </w:pPr>
            <w:r w:rsidRPr="00F37126">
              <w:t>VANCL Limited</w:t>
            </w:r>
          </w:p>
        </w:tc>
        <w:tc>
          <w:tcPr>
            <w:tcW w:w="1170" w:type="dxa"/>
            <w:vAlign w:val="center"/>
            <w:hideMark/>
          </w:tcPr>
          <w:p w14:paraId="7B3B20E2" w14:textId="2D31938B" w:rsidR="00F37126" w:rsidRPr="00F37126" w:rsidRDefault="00F37126" w:rsidP="008B495E">
            <w:pPr>
              <w:pStyle w:val="ExhibitText"/>
              <w:jc w:val="right"/>
            </w:pPr>
            <w:r w:rsidRPr="00F37126">
              <w:t>$3.0</w:t>
            </w:r>
          </w:p>
        </w:tc>
        <w:tc>
          <w:tcPr>
            <w:tcW w:w="1440" w:type="dxa"/>
            <w:vAlign w:val="center"/>
            <w:hideMark/>
          </w:tcPr>
          <w:p w14:paraId="266980B4" w14:textId="42757DCA" w:rsidR="00F37126" w:rsidRPr="00F37126" w:rsidRDefault="00F37126" w:rsidP="008B495E">
            <w:pPr>
              <w:pStyle w:val="ExhibitText"/>
              <w:jc w:val="right"/>
            </w:pPr>
            <w:r w:rsidRPr="00F37126">
              <w:t>$512</w:t>
            </w:r>
          </w:p>
        </w:tc>
        <w:tc>
          <w:tcPr>
            <w:tcW w:w="1568" w:type="dxa"/>
            <w:vAlign w:val="center"/>
            <w:hideMark/>
          </w:tcPr>
          <w:p w14:paraId="387B43F2" w14:textId="77777777" w:rsidR="00F37126" w:rsidRPr="00F37126" w:rsidRDefault="00F37126" w:rsidP="008B495E">
            <w:pPr>
              <w:pStyle w:val="ExhibitText"/>
              <w:jc w:val="right"/>
            </w:pPr>
            <w:r w:rsidRPr="00F37126">
              <w:t>December-11</w:t>
            </w:r>
          </w:p>
        </w:tc>
        <w:tc>
          <w:tcPr>
            <w:tcW w:w="1487" w:type="dxa"/>
            <w:vAlign w:val="center"/>
            <w:hideMark/>
          </w:tcPr>
          <w:p w14:paraId="6BEA6A7C" w14:textId="77777777" w:rsidR="00F37126" w:rsidRPr="00F37126" w:rsidRDefault="00F37126" w:rsidP="008B495E">
            <w:pPr>
              <w:pStyle w:val="ExhibitText"/>
              <w:jc w:val="right"/>
            </w:pPr>
            <w:r w:rsidRPr="00F37126">
              <w:t>China</w:t>
            </w:r>
          </w:p>
        </w:tc>
      </w:tr>
      <w:tr w:rsidR="008B495E" w:rsidRPr="00F37126" w14:paraId="74B61FAE" w14:textId="77777777" w:rsidTr="00A43D96">
        <w:trPr>
          <w:trHeight w:val="143"/>
          <w:jc w:val="center"/>
        </w:trPr>
        <w:tc>
          <w:tcPr>
            <w:tcW w:w="3600" w:type="dxa"/>
            <w:hideMark/>
          </w:tcPr>
          <w:p w14:paraId="066D0A78" w14:textId="77777777" w:rsidR="00F37126" w:rsidRPr="00F37126" w:rsidRDefault="00F37126" w:rsidP="00F37126">
            <w:pPr>
              <w:pStyle w:val="ExhibitText"/>
              <w:jc w:val="left"/>
            </w:pPr>
            <w:r w:rsidRPr="00F37126">
              <w:t>Pure Storage, Inc.</w:t>
            </w:r>
          </w:p>
        </w:tc>
        <w:tc>
          <w:tcPr>
            <w:tcW w:w="1170" w:type="dxa"/>
            <w:vAlign w:val="center"/>
            <w:hideMark/>
          </w:tcPr>
          <w:p w14:paraId="20373F77" w14:textId="61F6061F" w:rsidR="00F37126" w:rsidRPr="00F37126" w:rsidRDefault="00F37126" w:rsidP="008B495E">
            <w:pPr>
              <w:pStyle w:val="ExhibitText"/>
              <w:jc w:val="right"/>
            </w:pPr>
            <w:r w:rsidRPr="00F37126">
              <w:t>$3.0</w:t>
            </w:r>
          </w:p>
        </w:tc>
        <w:tc>
          <w:tcPr>
            <w:tcW w:w="1440" w:type="dxa"/>
            <w:vAlign w:val="center"/>
            <w:hideMark/>
          </w:tcPr>
          <w:p w14:paraId="028A6F9B" w14:textId="30678E71" w:rsidR="00F37126" w:rsidRPr="00F37126" w:rsidRDefault="00F37126" w:rsidP="008B495E">
            <w:pPr>
              <w:pStyle w:val="ExhibitText"/>
              <w:jc w:val="right"/>
            </w:pPr>
            <w:r w:rsidRPr="00F37126">
              <w:t>$530</w:t>
            </w:r>
          </w:p>
        </w:tc>
        <w:tc>
          <w:tcPr>
            <w:tcW w:w="1568" w:type="dxa"/>
            <w:vAlign w:val="center"/>
            <w:hideMark/>
          </w:tcPr>
          <w:p w14:paraId="13E849B4" w14:textId="77777777" w:rsidR="00F37126" w:rsidRPr="00F37126" w:rsidRDefault="00F37126" w:rsidP="008B495E">
            <w:pPr>
              <w:pStyle w:val="ExhibitText"/>
              <w:jc w:val="right"/>
            </w:pPr>
            <w:r w:rsidRPr="00F37126">
              <w:t>June-14</w:t>
            </w:r>
          </w:p>
        </w:tc>
        <w:tc>
          <w:tcPr>
            <w:tcW w:w="1487" w:type="dxa"/>
            <w:vAlign w:val="center"/>
            <w:hideMark/>
          </w:tcPr>
          <w:p w14:paraId="5160414E" w14:textId="77777777" w:rsidR="00F37126" w:rsidRPr="00F37126" w:rsidRDefault="00F37126" w:rsidP="008B495E">
            <w:pPr>
              <w:pStyle w:val="ExhibitText"/>
              <w:jc w:val="right"/>
            </w:pPr>
            <w:r w:rsidRPr="00F37126">
              <w:t>United States</w:t>
            </w:r>
          </w:p>
        </w:tc>
      </w:tr>
      <w:tr w:rsidR="008B495E" w:rsidRPr="00F37126" w14:paraId="1D85DEB7" w14:textId="77777777" w:rsidTr="00A43D96">
        <w:trPr>
          <w:trHeight w:val="170"/>
          <w:jc w:val="center"/>
        </w:trPr>
        <w:tc>
          <w:tcPr>
            <w:tcW w:w="3600" w:type="dxa"/>
            <w:hideMark/>
          </w:tcPr>
          <w:p w14:paraId="09EA47F5" w14:textId="77777777" w:rsidR="00F37126" w:rsidRPr="00F37126" w:rsidRDefault="00F37126" w:rsidP="00F37126">
            <w:pPr>
              <w:pStyle w:val="ExhibitText"/>
              <w:jc w:val="left"/>
            </w:pPr>
            <w:r w:rsidRPr="00F37126">
              <w:t>Legendary Pictures, LLC</w:t>
            </w:r>
          </w:p>
        </w:tc>
        <w:tc>
          <w:tcPr>
            <w:tcW w:w="1170" w:type="dxa"/>
            <w:vAlign w:val="center"/>
            <w:hideMark/>
          </w:tcPr>
          <w:p w14:paraId="7BD72B49" w14:textId="3655D02B" w:rsidR="00F37126" w:rsidRPr="00F37126" w:rsidRDefault="00F37126" w:rsidP="008B495E">
            <w:pPr>
              <w:pStyle w:val="ExhibitText"/>
              <w:jc w:val="right"/>
            </w:pPr>
            <w:r w:rsidRPr="00F37126">
              <w:t>$3.0</w:t>
            </w:r>
          </w:p>
        </w:tc>
        <w:tc>
          <w:tcPr>
            <w:tcW w:w="1440" w:type="dxa"/>
            <w:vAlign w:val="center"/>
            <w:hideMark/>
          </w:tcPr>
          <w:p w14:paraId="08A492F3" w14:textId="0FD059A6" w:rsidR="00F37126" w:rsidRPr="00F37126" w:rsidRDefault="00F37126" w:rsidP="008B495E">
            <w:pPr>
              <w:pStyle w:val="ExhibitText"/>
              <w:jc w:val="right"/>
            </w:pPr>
            <w:r w:rsidRPr="00F37126">
              <w:t>$650</w:t>
            </w:r>
          </w:p>
        </w:tc>
        <w:tc>
          <w:tcPr>
            <w:tcW w:w="1568" w:type="dxa"/>
            <w:vAlign w:val="center"/>
            <w:hideMark/>
          </w:tcPr>
          <w:p w14:paraId="2CA61878" w14:textId="77777777" w:rsidR="00F37126" w:rsidRPr="00F37126" w:rsidRDefault="00F37126" w:rsidP="008B495E">
            <w:pPr>
              <w:pStyle w:val="ExhibitText"/>
              <w:jc w:val="right"/>
            </w:pPr>
            <w:r w:rsidRPr="00F37126">
              <w:t>January-14</w:t>
            </w:r>
          </w:p>
        </w:tc>
        <w:tc>
          <w:tcPr>
            <w:tcW w:w="1487" w:type="dxa"/>
            <w:vAlign w:val="center"/>
            <w:hideMark/>
          </w:tcPr>
          <w:p w14:paraId="7B05832A" w14:textId="77777777" w:rsidR="00F37126" w:rsidRPr="00F37126" w:rsidRDefault="00F37126" w:rsidP="008B495E">
            <w:pPr>
              <w:pStyle w:val="ExhibitText"/>
              <w:jc w:val="right"/>
            </w:pPr>
            <w:r w:rsidRPr="00F37126">
              <w:t>Germany</w:t>
            </w:r>
          </w:p>
        </w:tc>
      </w:tr>
      <w:tr w:rsidR="008B495E" w:rsidRPr="00F37126" w14:paraId="439280B2" w14:textId="77777777" w:rsidTr="00A43D96">
        <w:trPr>
          <w:trHeight w:val="107"/>
          <w:jc w:val="center"/>
        </w:trPr>
        <w:tc>
          <w:tcPr>
            <w:tcW w:w="3600" w:type="dxa"/>
            <w:hideMark/>
          </w:tcPr>
          <w:p w14:paraId="33BDE115" w14:textId="77777777" w:rsidR="00F37126" w:rsidRPr="00F37126" w:rsidRDefault="00F37126" w:rsidP="00F37126">
            <w:pPr>
              <w:pStyle w:val="ExhibitText"/>
              <w:jc w:val="left"/>
            </w:pPr>
            <w:r w:rsidRPr="00F37126">
              <w:t>Bloom Energy</w:t>
            </w:r>
          </w:p>
        </w:tc>
        <w:tc>
          <w:tcPr>
            <w:tcW w:w="1170" w:type="dxa"/>
            <w:vAlign w:val="center"/>
            <w:hideMark/>
          </w:tcPr>
          <w:p w14:paraId="1670AADD" w14:textId="151FD398" w:rsidR="00F37126" w:rsidRPr="00F37126" w:rsidRDefault="00F37126" w:rsidP="008B495E">
            <w:pPr>
              <w:pStyle w:val="ExhibitText"/>
              <w:jc w:val="right"/>
            </w:pPr>
            <w:r w:rsidRPr="00F37126">
              <w:t>$2.9</w:t>
            </w:r>
          </w:p>
        </w:tc>
        <w:tc>
          <w:tcPr>
            <w:tcW w:w="1440" w:type="dxa"/>
            <w:vAlign w:val="center"/>
            <w:hideMark/>
          </w:tcPr>
          <w:p w14:paraId="7B5797A7" w14:textId="470BEB8D" w:rsidR="00F37126" w:rsidRPr="00F37126" w:rsidRDefault="00F37126" w:rsidP="008B495E">
            <w:pPr>
              <w:pStyle w:val="ExhibitText"/>
              <w:jc w:val="right"/>
            </w:pPr>
            <w:r w:rsidRPr="00F37126">
              <w:t>$1,200</w:t>
            </w:r>
          </w:p>
        </w:tc>
        <w:tc>
          <w:tcPr>
            <w:tcW w:w="1568" w:type="dxa"/>
            <w:vAlign w:val="center"/>
            <w:hideMark/>
          </w:tcPr>
          <w:p w14:paraId="6A61EAC9" w14:textId="77777777" w:rsidR="00F37126" w:rsidRPr="00F37126" w:rsidRDefault="00F37126" w:rsidP="008B495E">
            <w:pPr>
              <w:pStyle w:val="ExhibitText"/>
              <w:jc w:val="right"/>
            </w:pPr>
            <w:r w:rsidRPr="00F37126">
              <w:t>September-11</w:t>
            </w:r>
          </w:p>
        </w:tc>
        <w:tc>
          <w:tcPr>
            <w:tcW w:w="1487" w:type="dxa"/>
            <w:vAlign w:val="center"/>
            <w:hideMark/>
          </w:tcPr>
          <w:p w14:paraId="49790A72" w14:textId="77777777" w:rsidR="00F37126" w:rsidRPr="00F37126" w:rsidRDefault="00F37126" w:rsidP="008B495E">
            <w:pPr>
              <w:pStyle w:val="ExhibitText"/>
              <w:jc w:val="right"/>
            </w:pPr>
            <w:r w:rsidRPr="00F37126">
              <w:t>United States</w:t>
            </w:r>
          </w:p>
        </w:tc>
      </w:tr>
      <w:tr w:rsidR="008B495E" w:rsidRPr="00F37126" w14:paraId="5D032588" w14:textId="77777777" w:rsidTr="00A43D96">
        <w:trPr>
          <w:trHeight w:val="56"/>
          <w:jc w:val="center"/>
        </w:trPr>
        <w:tc>
          <w:tcPr>
            <w:tcW w:w="3600" w:type="dxa"/>
            <w:hideMark/>
          </w:tcPr>
          <w:p w14:paraId="665FF8DD" w14:textId="77777777" w:rsidR="00F37126" w:rsidRPr="00F37126" w:rsidRDefault="00F37126" w:rsidP="00F37126">
            <w:pPr>
              <w:pStyle w:val="ExhibitText"/>
              <w:jc w:val="left"/>
            </w:pPr>
            <w:r w:rsidRPr="00F37126">
              <w:t>Box</w:t>
            </w:r>
          </w:p>
        </w:tc>
        <w:tc>
          <w:tcPr>
            <w:tcW w:w="1170" w:type="dxa"/>
            <w:vAlign w:val="center"/>
            <w:hideMark/>
          </w:tcPr>
          <w:p w14:paraId="0ADB2C13" w14:textId="01053D1F" w:rsidR="00F37126" w:rsidRPr="00F37126" w:rsidRDefault="00F37126" w:rsidP="008B495E">
            <w:pPr>
              <w:pStyle w:val="ExhibitText"/>
              <w:jc w:val="right"/>
            </w:pPr>
            <w:r w:rsidRPr="00F37126">
              <w:t>$2.4</w:t>
            </w:r>
          </w:p>
        </w:tc>
        <w:tc>
          <w:tcPr>
            <w:tcW w:w="1440" w:type="dxa"/>
            <w:vAlign w:val="center"/>
            <w:hideMark/>
          </w:tcPr>
          <w:p w14:paraId="15369D10" w14:textId="2F586D8B" w:rsidR="00F37126" w:rsidRPr="00F37126" w:rsidRDefault="00F37126" w:rsidP="008B495E">
            <w:pPr>
              <w:pStyle w:val="ExhibitText"/>
              <w:jc w:val="right"/>
            </w:pPr>
            <w:r w:rsidRPr="00F37126">
              <w:t>$533</w:t>
            </w:r>
          </w:p>
        </w:tc>
        <w:tc>
          <w:tcPr>
            <w:tcW w:w="1568" w:type="dxa"/>
            <w:vAlign w:val="center"/>
            <w:hideMark/>
          </w:tcPr>
          <w:p w14:paraId="6B341F37" w14:textId="77777777" w:rsidR="00F37126" w:rsidRPr="00F37126" w:rsidRDefault="00F37126" w:rsidP="008B495E">
            <w:pPr>
              <w:pStyle w:val="ExhibitText"/>
              <w:jc w:val="right"/>
            </w:pPr>
            <w:r w:rsidRPr="00F37126">
              <w:t>June-14</w:t>
            </w:r>
          </w:p>
        </w:tc>
        <w:tc>
          <w:tcPr>
            <w:tcW w:w="1487" w:type="dxa"/>
            <w:vAlign w:val="center"/>
            <w:hideMark/>
          </w:tcPr>
          <w:p w14:paraId="499E67DB" w14:textId="77777777" w:rsidR="00F37126" w:rsidRPr="00F37126" w:rsidRDefault="00F37126" w:rsidP="008B495E">
            <w:pPr>
              <w:pStyle w:val="ExhibitText"/>
              <w:jc w:val="right"/>
            </w:pPr>
            <w:r w:rsidRPr="00F37126">
              <w:t>United States</w:t>
            </w:r>
          </w:p>
        </w:tc>
      </w:tr>
      <w:tr w:rsidR="008B495E" w:rsidRPr="00F37126" w14:paraId="4CB0B768" w14:textId="77777777" w:rsidTr="00A43D96">
        <w:trPr>
          <w:trHeight w:val="278"/>
          <w:jc w:val="center"/>
        </w:trPr>
        <w:tc>
          <w:tcPr>
            <w:tcW w:w="3600" w:type="dxa"/>
            <w:hideMark/>
          </w:tcPr>
          <w:p w14:paraId="5CC3BE9A" w14:textId="77777777" w:rsidR="00F37126" w:rsidRPr="00F37126" w:rsidRDefault="00F37126" w:rsidP="00F37126">
            <w:pPr>
              <w:pStyle w:val="ExhibitText"/>
              <w:jc w:val="left"/>
            </w:pPr>
            <w:r w:rsidRPr="00F37126">
              <w:t>Trendy International Group Co., Ltd.</w:t>
            </w:r>
          </w:p>
        </w:tc>
        <w:tc>
          <w:tcPr>
            <w:tcW w:w="1170" w:type="dxa"/>
            <w:vAlign w:val="center"/>
            <w:hideMark/>
          </w:tcPr>
          <w:p w14:paraId="5C73FEDF" w14:textId="41068C01" w:rsidR="00F37126" w:rsidRPr="00F37126" w:rsidRDefault="00F37126" w:rsidP="008B495E">
            <w:pPr>
              <w:pStyle w:val="ExhibitText"/>
              <w:jc w:val="right"/>
            </w:pPr>
            <w:r w:rsidRPr="00F37126">
              <w:t>$2.0</w:t>
            </w:r>
          </w:p>
        </w:tc>
        <w:tc>
          <w:tcPr>
            <w:tcW w:w="1440" w:type="dxa"/>
            <w:vAlign w:val="center"/>
            <w:hideMark/>
          </w:tcPr>
          <w:p w14:paraId="6905A48D" w14:textId="6E6F47DB" w:rsidR="00F37126" w:rsidRPr="00F37126" w:rsidRDefault="00F37126" w:rsidP="008B495E">
            <w:pPr>
              <w:pStyle w:val="ExhibitText"/>
              <w:jc w:val="right"/>
            </w:pPr>
            <w:r w:rsidRPr="00F37126">
              <w:t>$200</w:t>
            </w:r>
          </w:p>
        </w:tc>
        <w:tc>
          <w:tcPr>
            <w:tcW w:w="1568" w:type="dxa"/>
            <w:vAlign w:val="center"/>
            <w:hideMark/>
          </w:tcPr>
          <w:p w14:paraId="18869283" w14:textId="77777777" w:rsidR="00F37126" w:rsidRPr="00F37126" w:rsidRDefault="00F37126" w:rsidP="008B495E">
            <w:pPr>
              <w:pStyle w:val="ExhibitText"/>
              <w:jc w:val="right"/>
            </w:pPr>
            <w:r w:rsidRPr="00F37126">
              <w:t>February-12</w:t>
            </w:r>
          </w:p>
        </w:tc>
        <w:tc>
          <w:tcPr>
            <w:tcW w:w="1487" w:type="dxa"/>
            <w:vAlign w:val="center"/>
            <w:hideMark/>
          </w:tcPr>
          <w:p w14:paraId="7DAF6488" w14:textId="77777777" w:rsidR="00F37126" w:rsidRPr="00F37126" w:rsidRDefault="00F37126" w:rsidP="008B495E">
            <w:pPr>
              <w:pStyle w:val="ExhibitText"/>
              <w:jc w:val="right"/>
            </w:pPr>
            <w:r w:rsidRPr="00F37126">
              <w:t>China</w:t>
            </w:r>
          </w:p>
        </w:tc>
      </w:tr>
      <w:tr w:rsidR="008B495E" w:rsidRPr="00F37126" w14:paraId="3907CB18" w14:textId="77777777" w:rsidTr="00A43D96">
        <w:trPr>
          <w:trHeight w:val="143"/>
          <w:jc w:val="center"/>
        </w:trPr>
        <w:tc>
          <w:tcPr>
            <w:tcW w:w="3600" w:type="dxa"/>
            <w:hideMark/>
          </w:tcPr>
          <w:p w14:paraId="3278F051" w14:textId="77777777" w:rsidR="00F37126" w:rsidRPr="00F37126" w:rsidRDefault="00F37126" w:rsidP="00F37126">
            <w:pPr>
              <w:pStyle w:val="ExhibitText"/>
              <w:jc w:val="left"/>
            </w:pPr>
            <w:r w:rsidRPr="00F37126">
              <w:t>Dianping.com</w:t>
            </w:r>
          </w:p>
        </w:tc>
        <w:tc>
          <w:tcPr>
            <w:tcW w:w="1170" w:type="dxa"/>
            <w:vAlign w:val="center"/>
            <w:hideMark/>
          </w:tcPr>
          <w:p w14:paraId="64A81D9A" w14:textId="3335CF9E" w:rsidR="00F37126" w:rsidRPr="00F37126" w:rsidRDefault="00F37126" w:rsidP="008B495E">
            <w:pPr>
              <w:pStyle w:val="ExhibitText"/>
              <w:jc w:val="right"/>
            </w:pPr>
            <w:r w:rsidRPr="00F37126">
              <w:t>$2.0</w:t>
            </w:r>
          </w:p>
        </w:tc>
        <w:tc>
          <w:tcPr>
            <w:tcW w:w="1440" w:type="dxa"/>
            <w:vAlign w:val="center"/>
            <w:hideMark/>
          </w:tcPr>
          <w:p w14:paraId="20849668" w14:textId="3E249F02" w:rsidR="00F37126" w:rsidRPr="00F37126" w:rsidRDefault="00F37126" w:rsidP="008B495E">
            <w:pPr>
              <w:pStyle w:val="ExhibitText"/>
              <w:jc w:val="right"/>
            </w:pPr>
            <w:r w:rsidRPr="00F37126">
              <w:t>$569</w:t>
            </w:r>
          </w:p>
        </w:tc>
        <w:tc>
          <w:tcPr>
            <w:tcW w:w="1568" w:type="dxa"/>
            <w:vAlign w:val="center"/>
            <w:hideMark/>
          </w:tcPr>
          <w:p w14:paraId="198AD81E" w14:textId="77777777" w:rsidR="00F37126" w:rsidRPr="00F37126" w:rsidRDefault="00F37126" w:rsidP="008B495E">
            <w:pPr>
              <w:pStyle w:val="ExhibitText"/>
              <w:jc w:val="right"/>
            </w:pPr>
            <w:r w:rsidRPr="00F37126">
              <w:t>February-14</w:t>
            </w:r>
          </w:p>
        </w:tc>
        <w:tc>
          <w:tcPr>
            <w:tcW w:w="1487" w:type="dxa"/>
            <w:vAlign w:val="center"/>
            <w:hideMark/>
          </w:tcPr>
          <w:p w14:paraId="7E91C38C" w14:textId="77777777" w:rsidR="00F37126" w:rsidRPr="00F37126" w:rsidRDefault="00F37126" w:rsidP="008B495E">
            <w:pPr>
              <w:pStyle w:val="ExhibitText"/>
              <w:jc w:val="right"/>
            </w:pPr>
            <w:r w:rsidRPr="00F37126">
              <w:t>China</w:t>
            </w:r>
          </w:p>
        </w:tc>
      </w:tr>
      <w:tr w:rsidR="008B495E" w:rsidRPr="00F37126" w14:paraId="5B6EE3A9" w14:textId="77777777" w:rsidTr="00A43D96">
        <w:trPr>
          <w:trHeight w:val="179"/>
          <w:jc w:val="center"/>
        </w:trPr>
        <w:tc>
          <w:tcPr>
            <w:tcW w:w="3600" w:type="dxa"/>
            <w:hideMark/>
          </w:tcPr>
          <w:p w14:paraId="7B072DA9" w14:textId="77777777" w:rsidR="00F37126" w:rsidRPr="00F37126" w:rsidRDefault="00F37126" w:rsidP="00F37126">
            <w:pPr>
              <w:pStyle w:val="ExhibitText"/>
              <w:jc w:val="left"/>
            </w:pPr>
            <w:r w:rsidRPr="00F37126">
              <w:t>Wayfair, Inc.</w:t>
            </w:r>
          </w:p>
        </w:tc>
        <w:tc>
          <w:tcPr>
            <w:tcW w:w="1170" w:type="dxa"/>
            <w:vAlign w:val="center"/>
            <w:hideMark/>
          </w:tcPr>
          <w:p w14:paraId="5D6F9358" w14:textId="326AA9C1" w:rsidR="00F37126" w:rsidRPr="00F37126" w:rsidRDefault="00F37126" w:rsidP="008B495E">
            <w:pPr>
              <w:pStyle w:val="ExhibitText"/>
              <w:jc w:val="right"/>
            </w:pPr>
            <w:r w:rsidRPr="00F37126">
              <w:t>$1.9</w:t>
            </w:r>
          </w:p>
        </w:tc>
        <w:tc>
          <w:tcPr>
            <w:tcW w:w="1440" w:type="dxa"/>
            <w:vAlign w:val="center"/>
            <w:hideMark/>
          </w:tcPr>
          <w:p w14:paraId="1C7486FD" w14:textId="1DF4F2B6" w:rsidR="00F37126" w:rsidRPr="00F37126" w:rsidRDefault="00F37126" w:rsidP="008B495E">
            <w:pPr>
              <w:pStyle w:val="ExhibitText"/>
              <w:jc w:val="right"/>
            </w:pPr>
            <w:r w:rsidRPr="00F37126">
              <w:t>$359</w:t>
            </w:r>
          </w:p>
        </w:tc>
        <w:tc>
          <w:tcPr>
            <w:tcW w:w="1568" w:type="dxa"/>
            <w:vAlign w:val="center"/>
            <w:hideMark/>
          </w:tcPr>
          <w:p w14:paraId="3D6B6097" w14:textId="77777777" w:rsidR="00F37126" w:rsidRPr="00F37126" w:rsidRDefault="00F37126" w:rsidP="008B495E">
            <w:pPr>
              <w:pStyle w:val="ExhibitText"/>
              <w:jc w:val="right"/>
            </w:pPr>
            <w:r w:rsidRPr="00F37126">
              <w:t>March-14</w:t>
            </w:r>
          </w:p>
        </w:tc>
        <w:tc>
          <w:tcPr>
            <w:tcW w:w="1487" w:type="dxa"/>
            <w:vAlign w:val="center"/>
            <w:hideMark/>
          </w:tcPr>
          <w:p w14:paraId="5B656209" w14:textId="77777777" w:rsidR="00F37126" w:rsidRPr="00F37126" w:rsidRDefault="00F37126" w:rsidP="008B495E">
            <w:pPr>
              <w:pStyle w:val="ExhibitText"/>
              <w:jc w:val="right"/>
            </w:pPr>
            <w:r w:rsidRPr="00F37126">
              <w:t>United States</w:t>
            </w:r>
          </w:p>
        </w:tc>
      </w:tr>
      <w:tr w:rsidR="008B495E" w:rsidRPr="00F37126" w14:paraId="373DBE8C" w14:textId="77777777" w:rsidTr="00A43D96">
        <w:trPr>
          <w:trHeight w:val="116"/>
          <w:jc w:val="center"/>
        </w:trPr>
        <w:tc>
          <w:tcPr>
            <w:tcW w:w="3600" w:type="dxa"/>
            <w:hideMark/>
          </w:tcPr>
          <w:p w14:paraId="4820B5EB" w14:textId="77777777" w:rsidR="00F37126" w:rsidRPr="00F37126" w:rsidRDefault="00F37126" w:rsidP="00F37126">
            <w:pPr>
              <w:pStyle w:val="ExhibitText"/>
              <w:jc w:val="left"/>
            </w:pPr>
            <w:r w:rsidRPr="00F37126">
              <w:t>Stripe</w:t>
            </w:r>
          </w:p>
        </w:tc>
        <w:tc>
          <w:tcPr>
            <w:tcW w:w="1170" w:type="dxa"/>
            <w:vAlign w:val="center"/>
            <w:hideMark/>
          </w:tcPr>
          <w:p w14:paraId="29EFC4F3" w14:textId="40FF2449" w:rsidR="00F37126" w:rsidRPr="00F37126" w:rsidRDefault="00F37126" w:rsidP="008B495E">
            <w:pPr>
              <w:pStyle w:val="ExhibitText"/>
              <w:jc w:val="right"/>
            </w:pPr>
            <w:r w:rsidRPr="00F37126">
              <w:t>$1.8</w:t>
            </w:r>
          </w:p>
        </w:tc>
        <w:tc>
          <w:tcPr>
            <w:tcW w:w="1440" w:type="dxa"/>
            <w:vAlign w:val="center"/>
            <w:hideMark/>
          </w:tcPr>
          <w:p w14:paraId="6E636A2D" w14:textId="590FE192" w:rsidR="00F37126" w:rsidRPr="00F37126" w:rsidRDefault="00F37126" w:rsidP="008B495E">
            <w:pPr>
              <w:pStyle w:val="ExhibitText"/>
              <w:jc w:val="right"/>
            </w:pPr>
            <w:r w:rsidRPr="00F37126">
              <w:t>$120</w:t>
            </w:r>
          </w:p>
        </w:tc>
        <w:tc>
          <w:tcPr>
            <w:tcW w:w="1568" w:type="dxa"/>
            <w:vAlign w:val="center"/>
            <w:hideMark/>
          </w:tcPr>
          <w:p w14:paraId="76ED409F" w14:textId="77777777" w:rsidR="00F37126" w:rsidRPr="00F37126" w:rsidRDefault="00F37126" w:rsidP="008B495E">
            <w:pPr>
              <w:pStyle w:val="ExhibitText"/>
              <w:jc w:val="right"/>
            </w:pPr>
            <w:r w:rsidRPr="00F37126">
              <w:t>January-14</w:t>
            </w:r>
          </w:p>
        </w:tc>
        <w:tc>
          <w:tcPr>
            <w:tcW w:w="1487" w:type="dxa"/>
            <w:vAlign w:val="center"/>
            <w:hideMark/>
          </w:tcPr>
          <w:p w14:paraId="06D512C5" w14:textId="77777777" w:rsidR="00F37126" w:rsidRPr="00F37126" w:rsidRDefault="00F37126" w:rsidP="008B495E">
            <w:pPr>
              <w:pStyle w:val="ExhibitText"/>
              <w:jc w:val="right"/>
            </w:pPr>
            <w:r w:rsidRPr="00F37126">
              <w:t>United States</w:t>
            </w:r>
          </w:p>
        </w:tc>
      </w:tr>
      <w:tr w:rsidR="008B495E" w:rsidRPr="00F37126" w14:paraId="7F2DFB33" w14:textId="77777777" w:rsidTr="00A43D96">
        <w:trPr>
          <w:trHeight w:val="152"/>
          <w:jc w:val="center"/>
        </w:trPr>
        <w:tc>
          <w:tcPr>
            <w:tcW w:w="3600" w:type="dxa"/>
            <w:hideMark/>
          </w:tcPr>
          <w:p w14:paraId="56C3D66D" w14:textId="77777777" w:rsidR="00F37126" w:rsidRPr="00F37126" w:rsidRDefault="00F37126" w:rsidP="00F37126">
            <w:pPr>
              <w:pStyle w:val="ExhibitText"/>
              <w:jc w:val="left"/>
            </w:pPr>
            <w:r w:rsidRPr="00F37126">
              <w:t>Intarcia Therapeutics, Inc.</w:t>
            </w:r>
          </w:p>
        </w:tc>
        <w:tc>
          <w:tcPr>
            <w:tcW w:w="1170" w:type="dxa"/>
            <w:vAlign w:val="center"/>
            <w:hideMark/>
          </w:tcPr>
          <w:p w14:paraId="3205FE12" w14:textId="171FCFD3" w:rsidR="00F37126" w:rsidRPr="00F37126" w:rsidRDefault="00F37126" w:rsidP="008B495E">
            <w:pPr>
              <w:pStyle w:val="ExhibitText"/>
              <w:jc w:val="right"/>
            </w:pPr>
            <w:r w:rsidRPr="00F37126">
              <w:t>$1.8</w:t>
            </w:r>
          </w:p>
        </w:tc>
        <w:tc>
          <w:tcPr>
            <w:tcW w:w="1440" w:type="dxa"/>
            <w:vAlign w:val="center"/>
            <w:hideMark/>
          </w:tcPr>
          <w:p w14:paraId="2AF0D6A7" w14:textId="514D7362" w:rsidR="00F37126" w:rsidRPr="00F37126" w:rsidRDefault="00F37126" w:rsidP="008B495E">
            <w:pPr>
              <w:pStyle w:val="ExhibitText"/>
              <w:jc w:val="right"/>
            </w:pPr>
            <w:r w:rsidRPr="00F37126">
              <w:t>$598</w:t>
            </w:r>
          </w:p>
        </w:tc>
        <w:tc>
          <w:tcPr>
            <w:tcW w:w="1568" w:type="dxa"/>
            <w:vAlign w:val="center"/>
            <w:hideMark/>
          </w:tcPr>
          <w:p w14:paraId="74677D89" w14:textId="77777777" w:rsidR="00F37126" w:rsidRPr="00F37126" w:rsidRDefault="00F37126" w:rsidP="008B495E">
            <w:pPr>
              <w:pStyle w:val="ExhibitText"/>
              <w:jc w:val="right"/>
            </w:pPr>
            <w:r w:rsidRPr="00F37126">
              <w:t>March-14</w:t>
            </w:r>
          </w:p>
        </w:tc>
        <w:tc>
          <w:tcPr>
            <w:tcW w:w="1487" w:type="dxa"/>
            <w:vAlign w:val="center"/>
            <w:hideMark/>
          </w:tcPr>
          <w:p w14:paraId="4147EBCD" w14:textId="77777777" w:rsidR="00F37126" w:rsidRPr="00F37126" w:rsidRDefault="00F37126" w:rsidP="008B495E">
            <w:pPr>
              <w:pStyle w:val="ExhibitText"/>
              <w:jc w:val="right"/>
            </w:pPr>
            <w:r w:rsidRPr="00F37126">
              <w:t>United States</w:t>
            </w:r>
          </w:p>
        </w:tc>
      </w:tr>
      <w:tr w:rsidR="008B495E" w:rsidRPr="00F37126" w14:paraId="0DE55C30" w14:textId="77777777" w:rsidTr="00A43D96">
        <w:trPr>
          <w:trHeight w:val="179"/>
          <w:jc w:val="center"/>
        </w:trPr>
        <w:tc>
          <w:tcPr>
            <w:tcW w:w="3600" w:type="dxa"/>
            <w:hideMark/>
          </w:tcPr>
          <w:p w14:paraId="220ACAAA" w14:textId="77777777" w:rsidR="00F37126" w:rsidRPr="00F37126" w:rsidRDefault="00F37126" w:rsidP="00F37126">
            <w:pPr>
              <w:pStyle w:val="ExhibitText"/>
              <w:jc w:val="left"/>
            </w:pPr>
            <w:r w:rsidRPr="00F37126">
              <w:t>DocuSign Inc.</w:t>
            </w:r>
          </w:p>
        </w:tc>
        <w:tc>
          <w:tcPr>
            <w:tcW w:w="1170" w:type="dxa"/>
            <w:vAlign w:val="center"/>
            <w:hideMark/>
          </w:tcPr>
          <w:p w14:paraId="130DAE68" w14:textId="3A749A2F" w:rsidR="00F37126" w:rsidRPr="00F37126" w:rsidRDefault="00F37126" w:rsidP="008B495E">
            <w:pPr>
              <w:pStyle w:val="ExhibitText"/>
              <w:jc w:val="right"/>
            </w:pPr>
            <w:r w:rsidRPr="00F37126">
              <w:t>$1.6</w:t>
            </w:r>
          </w:p>
        </w:tc>
        <w:tc>
          <w:tcPr>
            <w:tcW w:w="1440" w:type="dxa"/>
            <w:vAlign w:val="center"/>
            <w:hideMark/>
          </w:tcPr>
          <w:p w14:paraId="0EE88CAC" w14:textId="23504C2C" w:rsidR="00F37126" w:rsidRPr="00F37126" w:rsidRDefault="00F37126" w:rsidP="008B495E">
            <w:pPr>
              <w:pStyle w:val="ExhibitText"/>
              <w:jc w:val="right"/>
            </w:pPr>
            <w:r w:rsidRPr="00F37126">
              <w:t>$237</w:t>
            </w:r>
          </w:p>
        </w:tc>
        <w:tc>
          <w:tcPr>
            <w:tcW w:w="1568" w:type="dxa"/>
            <w:vAlign w:val="center"/>
            <w:hideMark/>
          </w:tcPr>
          <w:p w14:paraId="0A696181" w14:textId="77777777" w:rsidR="00F37126" w:rsidRPr="00F37126" w:rsidRDefault="00F37126" w:rsidP="008B495E">
            <w:pPr>
              <w:pStyle w:val="ExhibitText"/>
              <w:jc w:val="right"/>
            </w:pPr>
            <w:r w:rsidRPr="00F37126">
              <w:t>March-14</w:t>
            </w:r>
          </w:p>
        </w:tc>
        <w:tc>
          <w:tcPr>
            <w:tcW w:w="1487" w:type="dxa"/>
            <w:vAlign w:val="center"/>
            <w:hideMark/>
          </w:tcPr>
          <w:p w14:paraId="07CE3C20" w14:textId="77777777" w:rsidR="00F37126" w:rsidRPr="00F37126" w:rsidRDefault="00F37126" w:rsidP="008B495E">
            <w:pPr>
              <w:pStyle w:val="ExhibitText"/>
              <w:jc w:val="right"/>
            </w:pPr>
            <w:r w:rsidRPr="00F37126">
              <w:t>United States</w:t>
            </w:r>
          </w:p>
        </w:tc>
      </w:tr>
      <w:tr w:rsidR="008B495E" w:rsidRPr="00F37126" w14:paraId="2F39A101" w14:textId="77777777" w:rsidTr="00A43D96">
        <w:trPr>
          <w:trHeight w:val="116"/>
          <w:jc w:val="center"/>
        </w:trPr>
        <w:tc>
          <w:tcPr>
            <w:tcW w:w="3600" w:type="dxa"/>
            <w:hideMark/>
          </w:tcPr>
          <w:p w14:paraId="330E58A2" w14:textId="77777777" w:rsidR="00F37126" w:rsidRPr="00F37126" w:rsidRDefault="00F37126" w:rsidP="00F37126">
            <w:pPr>
              <w:pStyle w:val="ExhibitText"/>
              <w:jc w:val="left"/>
            </w:pPr>
            <w:r w:rsidRPr="00F37126">
              <w:t>Mobileye</w:t>
            </w:r>
          </w:p>
        </w:tc>
        <w:tc>
          <w:tcPr>
            <w:tcW w:w="1170" w:type="dxa"/>
            <w:vAlign w:val="center"/>
            <w:hideMark/>
          </w:tcPr>
          <w:p w14:paraId="486B055C" w14:textId="264BD052" w:rsidR="00F37126" w:rsidRPr="00F37126" w:rsidRDefault="00F37126" w:rsidP="008B495E">
            <w:pPr>
              <w:pStyle w:val="ExhibitText"/>
              <w:jc w:val="right"/>
            </w:pPr>
            <w:r w:rsidRPr="00F37126">
              <w:t>$1.5</w:t>
            </w:r>
          </w:p>
        </w:tc>
        <w:tc>
          <w:tcPr>
            <w:tcW w:w="1440" w:type="dxa"/>
            <w:vAlign w:val="center"/>
            <w:hideMark/>
          </w:tcPr>
          <w:p w14:paraId="4CB97157" w14:textId="5A86F818" w:rsidR="00F37126" w:rsidRPr="00F37126" w:rsidRDefault="00F37126" w:rsidP="008B495E">
            <w:pPr>
              <w:pStyle w:val="ExhibitText"/>
              <w:jc w:val="right"/>
            </w:pPr>
            <w:r w:rsidRPr="00F37126">
              <w:t>$487</w:t>
            </w:r>
          </w:p>
        </w:tc>
        <w:tc>
          <w:tcPr>
            <w:tcW w:w="1568" w:type="dxa"/>
            <w:vAlign w:val="center"/>
            <w:hideMark/>
          </w:tcPr>
          <w:p w14:paraId="013DE50F" w14:textId="77777777" w:rsidR="00F37126" w:rsidRPr="00F37126" w:rsidRDefault="00F37126" w:rsidP="008B495E">
            <w:pPr>
              <w:pStyle w:val="ExhibitText"/>
              <w:jc w:val="right"/>
            </w:pPr>
            <w:r w:rsidRPr="00F37126">
              <w:t>June-13</w:t>
            </w:r>
          </w:p>
        </w:tc>
        <w:tc>
          <w:tcPr>
            <w:tcW w:w="1487" w:type="dxa"/>
            <w:vAlign w:val="center"/>
            <w:hideMark/>
          </w:tcPr>
          <w:p w14:paraId="3E892ABE" w14:textId="77777777" w:rsidR="00F37126" w:rsidRPr="00F37126" w:rsidRDefault="00F37126" w:rsidP="008B495E">
            <w:pPr>
              <w:pStyle w:val="ExhibitText"/>
              <w:jc w:val="right"/>
            </w:pPr>
            <w:r w:rsidRPr="00F37126">
              <w:t>Israel</w:t>
            </w:r>
          </w:p>
        </w:tc>
      </w:tr>
      <w:tr w:rsidR="008B495E" w:rsidRPr="00F37126" w14:paraId="2C76B789" w14:textId="77777777" w:rsidTr="00A43D96">
        <w:trPr>
          <w:trHeight w:val="56"/>
          <w:jc w:val="center"/>
        </w:trPr>
        <w:tc>
          <w:tcPr>
            <w:tcW w:w="3600" w:type="dxa"/>
            <w:hideMark/>
          </w:tcPr>
          <w:p w14:paraId="50E26A78" w14:textId="77777777" w:rsidR="00F37126" w:rsidRPr="00F37126" w:rsidRDefault="00F37126" w:rsidP="00F37126">
            <w:pPr>
              <w:pStyle w:val="ExhibitText"/>
              <w:jc w:val="left"/>
            </w:pPr>
            <w:r w:rsidRPr="00F37126">
              <w:t>Mu Sigma</w:t>
            </w:r>
          </w:p>
        </w:tc>
        <w:tc>
          <w:tcPr>
            <w:tcW w:w="1170" w:type="dxa"/>
            <w:vAlign w:val="center"/>
            <w:hideMark/>
          </w:tcPr>
          <w:p w14:paraId="191B65E6" w14:textId="4583AC0F" w:rsidR="00F37126" w:rsidRPr="00F37126" w:rsidRDefault="00F37126" w:rsidP="008B495E">
            <w:pPr>
              <w:pStyle w:val="ExhibitText"/>
              <w:jc w:val="right"/>
            </w:pPr>
            <w:r w:rsidRPr="00F37126">
              <w:t>$1.5</w:t>
            </w:r>
          </w:p>
        </w:tc>
        <w:tc>
          <w:tcPr>
            <w:tcW w:w="1440" w:type="dxa"/>
            <w:vAlign w:val="center"/>
            <w:hideMark/>
          </w:tcPr>
          <w:p w14:paraId="4B20D609" w14:textId="06E88ED5" w:rsidR="00F37126" w:rsidRPr="00F37126" w:rsidRDefault="00F37126" w:rsidP="008B495E">
            <w:pPr>
              <w:pStyle w:val="ExhibitText"/>
              <w:jc w:val="right"/>
            </w:pPr>
            <w:r w:rsidRPr="00F37126">
              <w:t>$195</w:t>
            </w:r>
          </w:p>
        </w:tc>
        <w:tc>
          <w:tcPr>
            <w:tcW w:w="1568" w:type="dxa"/>
            <w:vAlign w:val="center"/>
            <w:hideMark/>
          </w:tcPr>
          <w:p w14:paraId="45BFFAED" w14:textId="77777777" w:rsidR="00F37126" w:rsidRPr="00F37126" w:rsidRDefault="00F37126" w:rsidP="008B495E">
            <w:pPr>
              <w:pStyle w:val="ExhibitText"/>
              <w:jc w:val="right"/>
            </w:pPr>
            <w:r w:rsidRPr="00F37126">
              <w:t>February-13</w:t>
            </w:r>
          </w:p>
        </w:tc>
        <w:tc>
          <w:tcPr>
            <w:tcW w:w="1487" w:type="dxa"/>
            <w:vAlign w:val="center"/>
            <w:hideMark/>
          </w:tcPr>
          <w:p w14:paraId="710A1FE6" w14:textId="77777777" w:rsidR="00F37126" w:rsidRPr="00F37126" w:rsidRDefault="00F37126" w:rsidP="008B495E">
            <w:pPr>
              <w:pStyle w:val="ExhibitText"/>
              <w:jc w:val="right"/>
            </w:pPr>
            <w:r w:rsidRPr="00F37126">
              <w:t>United States</w:t>
            </w:r>
          </w:p>
        </w:tc>
      </w:tr>
      <w:tr w:rsidR="008B495E" w:rsidRPr="00F37126" w14:paraId="70EBF6CA" w14:textId="77777777" w:rsidTr="00A43D96">
        <w:trPr>
          <w:trHeight w:val="89"/>
          <w:jc w:val="center"/>
        </w:trPr>
        <w:tc>
          <w:tcPr>
            <w:tcW w:w="3600" w:type="dxa"/>
            <w:hideMark/>
          </w:tcPr>
          <w:p w14:paraId="616BDBB5" w14:textId="77777777" w:rsidR="00F37126" w:rsidRPr="00F37126" w:rsidRDefault="00F37126" w:rsidP="00F37126">
            <w:pPr>
              <w:pStyle w:val="ExhibitText"/>
              <w:jc w:val="left"/>
            </w:pPr>
            <w:r w:rsidRPr="00F37126">
              <w:t>Deem Co.</w:t>
            </w:r>
          </w:p>
        </w:tc>
        <w:tc>
          <w:tcPr>
            <w:tcW w:w="1170" w:type="dxa"/>
            <w:vAlign w:val="center"/>
            <w:hideMark/>
          </w:tcPr>
          <w:p w14:paraId="01D89FE6" w14:textId="676CA638" w:rsidR="00F37126" w:rsidRPr="00F37126" w:rsidRDefault="00F37126" w:rsidP="008B495E">
            <w:pPr>
              <w:pStyle w:val="ExhibitText"/>
              <w:jc w:val="right"/>
            </w:pPr>
            <w:r w:rsidRPr="00F37126">
              <w:t>$1.4</w:t>
            </w:r>
          </w:p>
        </w:tc>
        <w:tc>
          <w:tcPr>
            <w:tcW w:w="1440" w:type="dxa"/>
            <w:vAlign w:val="center"/>
            <w:hideMark/>
          </w:tcPr>
          <w:p w14:paraId="6E7AF8AB" w14:textId="22BC3A40" w:rsidR="00F37126" w:rsidRPr="00F37126" w:rsidRDefault="00F37126" w:rsidP="008B495E">
            <w:pPr>
              <w:pStyle w:val="ExhibitText"/>
              <w:jc w:val="right"/>
            </w:pPr>
            <w:r w:rsidRPr="00F37126">
              <w:t>$474</w:t>
            </w:r>
          </w:p>
        </w:tc>
        <w:tc>
          <w:tcPr>
            <w:tcW w:w="1568" w:type="dxa"/>
            <w:vAlign w:val="center"/>
            <w:hideMark/>
          </w:tcPr>
          <w:p w14:paraId="7EA2A836" w14:textId="77777777" w:rsidR="00F37126" w:rsidRPr="00F37126" w:rsidRDefault="00F37126" w:rsidP="008B495E">
            <w:pPr>
              <w:pStyle w:val="ExhibitText"/>
              <w:jc w:val="right"/>
            </w:pPr>
            <w:r w:rsidRPr="00F37126">
              <w:t>September-11</w:t>
            </w:r>
          </w:p>
        </w:tc>
        <w:tc>
          <w:tcPr>
            <w:tcW w:w="1487" w:type="dxa"/>
            <w:vAlign w:val="center"/>
            <w:hideMark/>
          </w:tcPr>
          <w:p w14:paraId="411C2CB5" w14:textId="77777777" w:rsidR="00F37126" w:rsidRPr="00F37126" w:rsidRDefault="00F37126" w:rsidP="008B495E">
            <w:pPr>
              <w:pStyle w:val="ExhibitText"/>
              <w:jc w:val="right"/>
            </w:pPr>
            <w:r w:rsidRPr="00F37126">
              <w:t>United States</w:t>
            </w:r>
          </w:p>
        </w:tc>
      </w:tr>
      <w:tr w:rsidR="008B495E" w:rsidRPr="00F37126" w14:paraId="60EF354C" w14:textId="77777777" w:rsidTr="00A43D96">
        <w:trPr>
          <w:trHeight w:val="116"/>
          <w:jc w:val="center"/>
        </w:trPr>
        <w:tc>
          <w:tcPr>
            <w:tcW w:w="3600" w:type="dxa"/>
            <w:hideMark/>
          </w:tcPr>
          <w:p w14:paraId="276797D3" w14:textId="77777777" w:rsidR="00F37126" w:rsidRPr="00F37126" w:rsidRDefault="00F37126" w:rsidP="00F37126">
            <w:pPr>
              <w:pStyle w:val="ExhibitText"/>
              <w:jc w:val="left"/>
            </w:pPr>
            <w:r w:rsidRPr="00F37126">
              <w:t>Klarna Bank AB</w:t>
            </w:r>
          </w:p>
        </w:tc>
        <w:tc>
          <w:tcPr>
            <w:tcW w:w="1170" w:type="dxa"/>
            <w:vAlign w:val="center"/>
            <w:hideMark/>
          </w:tcPr>
          <w:p w14:paraId="4C38379E" w14:textId="4E31AC54" w:rsidR="00F37126" w:rsidRPr="00F37126" w:rsidRDefault="00F37126" w:rsidP="008B495E">
            <w:pPr>
              <w:pStyle w:val="ExhibitText"/>
              <w:jc w:val="right"/>
            </w:pPr>
            <w:r w:rsidRPr="00F37126">
              <w:t>$1.4</w:t>
            </w:r>
          </w:p>
        </w:tc>
        <w:tc>
          <w:tcPr>
            <w:tcW w:w="1440" w:type="dxa"/>
            <w:vAlign w:val="center"/>
            <w:hideMark/>
          </w:tcPr>
          <w:p w14:paraId="23BA8A8E" w14:textId="2A137DEC" w:rsidR="00F37126" w:rsidRPr="00F37126" w:rsidRDefault="00F37126" w:rsidP="008B495E">
            <w:pPr>
              <w:pStyle w:val="ExhibitText"/>
              <w:jc w:val="right"/>
            </w:pPr>
            <w:r w:rsidRPr="00F37126">
              <w:t>$299</w:t>
            </w:r>
          </w:p>
        </w:tc>
        <w:tc>
          <w:tcPr>
            <w:tcW w:w="1568" w:type="dxa"/>
            <w:vAlign w:val="center"/>
            <w:hideMark/>
          </w:tcPr>
          <w:p w14:paraId="4662417A" w14:textId="77777777" w:rsidR="00F37126" w:rsidRPr="00F37126" w:rsidRDefault="00F37126" w:rsidP="008B495E">
            <w:pPr>
              <w:pStyle w:val="ExhibitText"/>
              <w:jc w:val="right"/>
            </w:pPr>
            <w:r w:rsidRPr="00F37126">
              <w:t>March-14</w:t>
            </w:r>
          </w:p>
        </w:tc>
        <w:tc>
          <w:tcPr>
            <w:tcW w:w="1487" w:type="dxa"/>
            <w:vAlign w:val="center"/>
            <w:hideMark/>
          </w:tcPr>
          <w:p w14:paraId="4276C1A2" w14:textId="77777777" w:rsidR="00F37126" w:rsidRPr="00F37126" w:rsidRDefault="00F37126" w:rsidP="008B495E">
            <w:pPr>
              <w:pStyle w:val="ExhibitText"/>
              <w:jc w:val="right"/>
            </w:pPr>
            <w:r w:rsidRPr="00F37126">
              <w:t>Sweden</w:t>
            </w:r>
          </w:p>
        </w:tc>
      </w:tr>
      <w:tr w:rsidR="008B495E" w:rsidRPr="00F37126" w14:paraId="4530CD3B" w14:textId="77777777" w:rsidTr="00A43D96">
        <w:trPr>
          <w:trHeight w:val="152"/>
          <w:jc w:val="center"/>
        </w:trPr>
        <w:tc>
          <w:tcPr>
            <w:tcW w:w="3600" w:type="dxa"/>
            <w:hideMark/>
          </w:tcPr>
          <w:p w14:paraId="53DC8F75" w14:textId="77777777" w:rsidR="00F37126" w:rsidRPr="00F37126" w:rsidRDefault="00F37126" w:rsidP="00F37126">
            <w:pPr>
              <w:pStyle w:val="ExhibitText"/>
              <w:jc w:val="left"/>
            </w:pPr>
            <w:r w:rsidRPr="00F37126">
              <w:t>Jasper Technologies, Inc.</w:t>
            </w:r>
          </w:p>
        </w:tc>
        <w:tc>
          <w:tcPr>
            <w:tcW w:w="1170" w:type="dxa"/>
            <w:vAlign w:val="center"/>
            <w:hideMark/>
          </w:tcPr>
          <w:p w14:paraId="4F785617" w14:textId="62ACE143" w:rsidR="00F37126" w:rsidRPr="00F37126" w:rsidRDefault="00F37126" w:rsidP="008B495E">
            <w:pPr>
              <w:pStyle w:val="ExhibitText"/>
              <w:jc w:val="right"/>
            </w:pPr>
            <w:r w:rsidRPr="00F37126">
              <w:t>$1.4</w:t>
            </w:r>
          </w:p>
        </w:tc>
        <w:tc>
          <w:tcPr>
            <w:tcW w:w="1440" w:type="dxa"/>
            <w:vAlign w:val="center"/>
            <w:hideMark/>
          </w:tcPr>
          <w:p w14:paraId="568BA159" w14:textId="48D283F3" w:rsidR="00F37126" w:rsidRPr="00F37126" w:rsidRDefault="00F37126" w:rsidP="008B495E">
            <w:pPr>
              <w:pStyle w:val="ExhibitText"/>
              <w:jc w:val="right"/>
            </w:pPr>
            <w:r w:rsidRPr="00F37126">
              <w:t>$204</w:t>
            </w:r>
          </w:p>
        </w:tc>
        <w:tc>
          <w:tcPr>
            <w:tcW w:w="1568" w:type="dxa"/>
            <w:vAlign w:val="center"/>
            <w:hideMark/>
          </w:tcPr>
          <w:p w14:paraId="45B9A9E0" w14:textId="77777777" w:rsidR="00F37126" w:rsidRPr="00F37126" w:rsidRDefault="00F37126" w:rsidP="008B495E">
            <w:pPr>
              <w:pStyle w:val="ExhibitText"/>
              <w:jc w:val="right"/>
            </w:pPr>
            <w:r w:rsidRPr="00F37126">
              <w:t>April-14</w:t>
            </w:r>
          </w:p>
        </w:tc>
        <w:tc>
          <w:tcPr>
            <w:tcW w:w="1487" w:type="dxa"/>
            <w:vAlign w:val="center"/>
            <w:hideMark/>
          </w:tcPr>
          <w:p w14:paraId="7EB6C858" w14:textId="77777777" w:rsidR="00F37126" w:rsidRPr="00F37126" w:rsidRDefault="00F37126" w:rsidP="008B495E">
            <w:pPr>
              <w:pStyle w:val="ExhibitText"/>
              <w:jc w:val="right"/>
            </w:pPr>
            <w:r w:rsidRPr="00F37126">
              <w:t>United States</w:t>
            </w:r>
          </w:p>
        </w:tc>
      </w:tr>
      <w:tr w:rsidR="008B495E" w:rsidRPr="00F37126" w14:paraId="00EEFACB" w14:textId="77777777" w:rsidTr="00A43D96">
        <w:trPr>
          <w:trHeight w:val="179"/>
          <w:jc w:val="center"/>
        </w:trPr>
        <w:tc>
          <w:tcPr>
            <w:tcW w:w="3600" w:type="dxa"/>
            <w:hideMark/>
          </w:tcPr>
          <w:p w14:paraId="7C3E349C" w14:textId="77777777" w:rsidR="00F37126" w:rsidRPr="00F37126" w:rsidRDefault="00F37126" w:rsidP="00F37126">
            <w:pPr>
              <w:pStyle w:val="ExhibitText"/>
              <w:jc w:val="left"/>
            </w:pPr>
            <w:r w:rsidRPr="00F37126">
              <w:t>Sunrun Inc.</w:t>
            </w:r>
          </w:p>
        </w:tc>
        <w:tc>
          <w:tcPr>
            <w:tcW w:w="1170" w:type="dxa"/>
            <w:vAlign w:val="center"/>
            <w:hideMark/>
          </w:tcPr>
          <w:p w14:paraId="79753F40" w14:textId="1D4AC3E0" w:rsidR="00F37126" w:rsidRPr="00F37126" w:rsidRDefault="00F37126" w:rsidP="008B495E">
            <w:pPr>
              <w:pStyle w:val="ExhibitText"/>
              <w:jc w:val="right"/>
            </w:pPr>
            <w:r w:rsidRPr="00F37126">
              <w:t>$1.3</w:t>
            </w:r>
          </w:p>
        </w:tc>
        <w:tc>
          <w:tcPr>
            <w:tcW w:w="1440" w:type="dxa"/>
            <w:vAlign w:val="center"/>
            <w:hideMark/>
          </w:tcPr>
          <w:p w14:paraId="220880C0" w14:textId="4F1CEA7A" w:rsidR="00F37126" w:rsidRPr="00F37126" w:rsidRDefault="00F37126" w:rsidP="008B495E">
            <w:pPr>
              <w:pStyle w:val="ExhibitText"/>
              <w:jc w:val="right"/>
            </w:pPr>
            <w:r w:rsidRPr="00F37126">
              <w:t>$295</w:t>
            </w:r>
          </w:p>
        </w:tc>
        <w:tc>
          <w:tcPr>
            <w:tcW w:w="1568" w:type="dxa"/>
            <w:vAlign w:val="center"/>
            <w:hideMark/>
          </w:tcPr>
          <w:p w14:paraId="3B3FFB06" w14:textId="77777777" w:rsidR="00F37126" w:rsidRPr="00F37126" w:rsidRDefault="00F37126" w:rsidP="008B495E">
            <w:pPr>
              <w:pStyle w:val="ExhibitText"/>
              <w:jc w:val="right"/>
            </w:pPr>
            <w:r w:rsidRPr="00F37126">
              <w:t>March-14</w:t>
            </w:r>
          </w:p>
        </w:tc>
        <w:tc>
          <w:tcPr>
            <w:tcW w:w="1487" w:type="dxa"/>
            <w:vAlign w:val="center"/>
            <w:hideMark/>
          </w:tcPr>
          <w:p w14:paraId="208DF4A4" w14:textId="77777777" w:rsidR="00F37126" w:rsidRPr="00F37126" w:rsidRDefault="00F37126" w:rsidP="008B495E">
            <w:pPr>
              <w:pStyle w:val="ExhibitText"/>
              <w:jc w:val="right"/>
            </w:pPr>
            <w:r w:rsidRPr="00F37126">
              <w:t>United States</w:t>
            </w:r>
          </w:p>
        </w:tc>
      </w:tr>
      <w:tr w:rsidR="008B495E" w:rsidRPr="00F37126" w14:paraId="1EA38C7B" w14:textId="77777777" w:rsidTr="00A43D96">
        <w:trPr>
          <w:trHeight w:val="260"/>
          <w:jc w:val="center"/>
        </w:trPr>
        <w:tc>
          <w:tcPr>
            <w:tcW w:w="3600" w:type="dxa"/>
            <w:hideMark/>
          </w:tcPr>
          <w:p w14:paraId="6B17EE99" w14:textId="77777777" w:rsidR="00F37126" w:rsidRPr="00F37126" w:rsidRDefault="00F37126" w:rsidP="00F37126">
            <w:pPr>
              <w:pStyle w:val="ExhibitText"/>
              <w:jc w:val="left"/>
            </w:pPr>
            <w:r w:rsidRPr="00F37126">
              <w:t>Fab Commerce and Design, Inc.</w:t>
            </w:r>
          </w:p>
        </w:tc>
        <w:tc>
          <w:tcPr>
            <w:tcW w:w="1170" w:type="dxa"/>
            <w:vAlign w:val="center"/>
            <w:hideMark/>
          </w:tcPr>
          <w:p w14:paraId="10294DE9" w14:textId="58491781" w:rsidR="00F37126" w:rsidRPr="00F37126" w:rsidRDefault="00F37126" w:rsidP="008B495E">
            <w:pPr>
              <w:pStyle w:val="ExhibitText"/>
              <w:jc w:val="right"/>
            </w:pPr>
            <w:r w:rsidRPr="00F37126">
              <w:t>$1.2</w:t>
            </w:r>
          </w:p>
        </w:tc>
        <w:tc>
          <w:tcPr>
            <w:tcW w:w="1440" w:type="dxa"/>
            <w:vAlign w:val="center"/>
            <w:hideMark/>
          </w:tcPr>
          <w:p w14:paraId="1B9E9912" w14:textId="235C2510" w:rsidR="00F37126" w:rsidRPr="00F37126" w:rsidRDefault="00F37126" w:rsidP="008B495E">
            <w:pPr>
              <w:pStyle w:val="ExhibitText"/>
              <w:jc w:val="right"/>
            </w:pPr>
            <w:r w:rsidRPr="00F37126">
              <w:t>$335</w:t>
            </w:r>
          </w:p>
        </w:tc>
        <w:tc>
          <w:tcPr>
            <w:tcW w:w="1568" w:type="dxa"/>
            <w:vAlign w:val="center"/>
            <w:hideMark/>
          </w:tcPr>
          <w:p w14:paraId="2E630E93" w14:textId="77777777" w:rsidR="00F37126" w:rsidRPr="00F37126" w:rsidRDefault="00F37126" w:rsidP="008B495E">
            <w:pPr>
              <w:pStyle w:val="ExhibitText"/>
              <w:jc w:val="right"/>
            </w:pPr>
            <w:r w:rsidRPr="00F37126">
              <w:t>June-13</w:t>
            </w:r>
          </w:p>
        </w:tc>
        <w:tc>
          <w:tcPr>
            <w:tcW w:w="1487" w:type="dxa"/>
            <w:vAlign w:val="center"/>
            <w:hideMark/>
          </w:tcPr>
          <w:p w14:paraId="2932D85F" w14:textId="77777777" w:rsidR="00F37126" w:rsidRPr="00F37126" w:rsidRDefault="00F37126" w:rsidP="008B495E">
            <w:pPr>
              <w:pStyle w:val="ExhibitText"/>
              <w:jc w:val="right"/>
            </w:pPr>
            <w:r w:rsidRPr="00F37126">
              <w:t>United States</w:t>
            </w:r>
          </w:p>
        </w:tc>
      </w:tr>
      <w:tr w:rsidR="008B495E" w:rsidRPr="00F37126" w14:paraId="73A4277A" w14:textId="77777777" w:rsidTr="00A43D96">
        <w:trPr>
          <w:trHeight w:val="89"/>
          <w:jc w:val="center"/>
        </w:trPr>
        <w:tc>
          <w:tcPr>
            <w:tcW w:w="3600" w:type="dxa"/>
            <w:hideMark/>
          </w:tcPr>
          <w:p w14:paraId="0351079B" w14:textId="77777777" w:rsidR="00F37126" w:rsidRPr="00F37126" w:rsidRDefault="00F37126" w:rsidP="00F37126">
            <w:pPr>
              <w:pStyle w:val="ExhibitText"/>
              <w:jc w:val="left"/>
            </w:pPr>
            <w:r w:rsidRPr="00F37126">
              <w:t>MongoDB, Inc.</w:t>
            </w:r>
          </w:p>
        </w:tc>
        <w:tc>
          <w:tcPr>
            <w:tcW w:w="1170" w:type="dxa"/>
            <w:vAlign w:val="center"/>
            <w:hideMark/>
          </w:tcPr>
          <w:p w14:paraId="569D6C45" w14:textId="0717935F" w:rsidR="00F37126" w:rsidRPr="00F37126" w:rsidRDefault="00F37126" w:rsidP="008B495E">
            <w:pPr>
              <w:pStyle w:val="ExhibitText"/>
              <w:jc w:val="right"/>
            </w:pPr>
            <w:r w:rsidRPr="00F37126">
              <w:t>$1.2</w:t>
            </w:r>
          </w:p>
        </w:tc>
        <w:tc>
          <w:tcPr>
            <w:tcW w:w="1440" w:type="dxa"/>
            <w:vAlign w:val="center"/>
            <w:hideMark/>
          </w:tcPr>
          <w:p w14:paraId="704F7E4A" w14:textId="21068904" w:rsidR="00F37126" w:rsidRPr="00F37126" w:rsidRDefault="00F37126" w:rsidP="008B495E">
            <w:pPr>
              <w:pStyle w:val="ExhibitText"/>
              <w:jc w:val="right"/>
            </w:pPr>
            <w:r w:rsidRPr="00F37126">
              <w:t>$231</w:t>
            </w:r>
          </w:p>
        </w:tc>
        <w:tc>
          <w:tcPr>
            <w:tcW w:w="1568" w:type="dxa"/>
            <w:vAlign w:val="center"/>
            <w:hideMark/>
          </w:tcPr>
          <w:p w14:paraId="34ACCAF4" w14:textId="77777777" w:rsidR="00F37126" w:rsidRPr="00F37126" w:rsidRDefault="00F37126" w:rsidP="008B495E">
            <w:pPr>
              <w:pStyle w:val="ExhibitText"/>
              <w:jc w:val="right"/>
            </w:pPr>
            <w:r w:rsidRPr="00F37126">
              <w:t>October-13</w:t>
            </w:r>
          </w:p>
        </w:tc>
        <w:tc>
          <w:tcPr>
            <w:tcW w:w="1487" w:type="dxa"/>
            <w:vAlign w:val="center"/>
            <w:hideMark/>
          </w:tcPr>
          <w:p w14:paraId="63F2C609" w14:textId="77777777" w:rsidR="00F37126" w:rsidRPr="00F37126" w:rsidRDefault="00F37126" w:rsidP="008B495E">
            <w:pPr>
              <w:pStyle w:val="ExhibitText"/>
              <w:jc w:val="right"/>
            </w:pPr>
            <w:r w:rsidRPr="00F37126">
              <w:t>United States</w:t>
            </w:r>
          </w:p>
        </w:tc>
      </w:tr>
      <w:tr w:rsidR="008B495E" w:rsidRPr="00F37126" w14:paraId="3D1DF8AE" w14:textId="77777777" w:rsidTr="00A43D96">
        <w:trPr>
          <w:trHeight w:val="134"/>
          <w:jc w:val="center"/>
        </w:trPr>
        <w:tc>
          <w:tcPr>
            <w:tcW w:w="3600" w:type="dxa"/>
            <w:hideMark/>
          </w:tcPr>
          <w:p w14:paraId="7B8B55D9" w14:textId="77777777" w:rsidR="00F37126" w:rsidRPr="00F37126" w:rsidRDefault="00F37126" w:rsidP="00F37126">
            <w:pPr>
              <w:pStyle w:val="ExhibitText"/>
              <w:jc w:val="left"/>
            </w:pPr>
            <w:r w:rsidRPr="00F37126">
              <w:t>New Relic, Inc.</w:t>
            </w:r>
          </w:p>
        </w:tc>
        <w:tc>
          <w:tcPr>
            <w:tcW w:w="1170" w:type="dxa"/>
            <w:vAlign w:val="center"/>
            <w:hideMark/>
          </w:tcPr>
          <w:p w14:paraId="2B6960A4" w14:textId="2E7D5F61" w:rsidR="00F37126" w:rsidRPr="00F37126" w:rsidRDefault="00F37126" w:rsidP="008B495E">
            <w:pPr>
              <w:pStyle w:val="ExhibitText"/>
              <w:jc w:val="right"/>
            </w:pPr>
            <w:r w:rsidRPr="00F37126">
              <w:t>$1.2</w:t>
            </w:r>
          </w:p>
        </w:tc>
        <w:tc>
          <w:tcPr>
            <w:tcW w:w="1440" w:type="dxa"/>
            <w:vAlign w:val="center"/>
            <w:hideMark/>
          </w:tcPr>
          <w:p w14:paraId="04AD4255" w14:textId="12C32CC2" w:rsidR="00F37126" w:rsidRPr="00F37126" w:rsidRDefault="00F37126" w:rsidP="008B495E">
            <w:pPr>
              <w:pStyle w:val="ExhibitText"/>
              <w:jc w:val="right"/>
            </w:pPr>
            <w:r w:rsidRPr="00F37126">
              <w:t>$197</w:t>
            </w:r>
          </w:p>
        </w:tc>
        <w:tc>
          <w:tcPr>
            <w:tcW w:w="1568" w:type="dxa"/>
            <w:vAlign w:val="center"/>
            <w:hideMark/>
          </w:tcPr>
          <w:p w14:paraId="05D666B0" w14:textId="77777777" w:rsidR="00F37126" w:rsidRPr="00F37126" w:rsidRDefault="00F37126" w:rsidP="008B495E">
            <w:pPr>
              <w:pStyle w:val="ExhibitText"/>
              <w:jc w:val="right"/>
            </w:pPr>
            <w:r w:rsidRPr="00F37126">
              <w:t>April-14</w:t>
            </w:r>
          </w:p>
        </w:tc>
        <w:tc>
          <w:tcPr>
            <w:tcW w:w="1487" w:type="dxa"/>
            <w:vAlign w:val="center"/>
            <w:hideMark/>
          </w:tcPr>
          <w:p w14:paraId="0D2E1D12" w14:textId="77777777" w:rsidR="00F37126" w:rsidRPr="00F37126" w:rsidRDefault="00F37126" w:rsidP="008B495E">
            <w:pPr>
              <w:pStyle w:val="ExhibitText"/>
              <w:jc w:val="right"/>
            </w:pPr>
            <w:r w:rsidRPr="00F37126">
              <w:t>United States</w:t>
            </w:r>
          </w:p>
        </w:tc>
      </w:tr>
      <w:tr w:rsidR="008B495E" w:rsidRPr="00F37126" w14:paraId="587B738F" w14:textId="77777777" w:rsidTr="00A43D96">
        <w:trPr>
          <w:trHeight w:val="161"/>
          <w:jc w:val="center"/>
        </w:trPr>
        <w:tc>
          <w:tcPr>
            <w:tcW w:w="3600" w:type="dxa"/>
            <w:hideMark/>
          </w:tcPr>
          <w:p w14:paraId="41DA0D71" w14:textId="77777777" w:rsidR="00F37126" w:rsidRPr="00F37126" w:rsidRDefault="00F37126" w:rsidP="00F37126">
            <w:pPr>
              <w:pStyle w:val="ExhibitText"/>
              <w:jc w:val="left"/>
            </w:pPr>
            <w:r w:rsidRPr="00F37126">
              <w:t>Automattic, Inc.</w:t>
            </w:r>
          </w:p>
        </w:tc>
        <w:tc>
          <w:tcPr>
            <w:tcW w:w="1170" w:type="dxa"/>
            <w:vAlign w:val="center"/>
            <w:hideMark/>
          </w:tcPr>
          <w:p w14:paraId="654286E8" w14:textId="1AC0EB1A" w:rsidR="00F37126" w:rsidRPr="00F37126" w:rsidRDefault="00F37126" w:rsidP="008B495E">
            <w:pPr>
              <w:pStyle w:val="ExhibitText"/>
              <w:jc w:val="right"/>
            </w:pPr>
            <w:r w:rsidRPr="00F37126">
              <w:t>$1.2</w:t>
            </w:r>
          </w:p>
        </w:tc>
        <w:tc>
          <w:tcPr>
            <w:tcW w:w="1440" w:type="dxa"/>
            <w:vAlign w:val="center"/>
            <w:hideMark/>
          </w:tcPr>
          <w:p w14:paraId="443E70D6" w14:textId="6498BAD5" w:rsidR="00F37126" w:rsidRPr="00F37126" w:rsidRDefault="00F37126" w:rsidP="008B495E">
            <w:pPr>
              <w:pStyle w:val="ExhibitText"/>
              <w:jc w:val="right"/>
            </w:pPr>
            <w:r w:rsidRPr="00F37126">
              <w:t>$190</w:t>
            </w:r>
          </w:p>
        </w:tc>
        <w:tc>
          <w:tcPr>
            <w:tcW w:w="1568" w:type="dxa"/>
            <w:vAlign w:val="center"/>
            <w:hideMark/>
          </w:tcPr>
          <w:p w14:paraId="2A7B9391" w14:textId="77777777" w:rsidR="00F37126" w:rsidRPr="00F37126" w:rsidRDefault="00F37126" w:rsidP="008B495E">
            <w:pPr>
              <w:pStyle w:val="ExhibitText"/>
              <w:jc w:val="right"/>
            </w:pPr>
            <w:r w:rsidRPr="00F37126">
              <w:t>May-14</w:t>
            </w:r>
          </w:p>
        </w:tc>
        <w:tc>
          <w:tcPr>
            <w:tcW w:w="1487" w:type="dxa"/>
            <w:vAlign w:val="center"/>
            <w:hideMark/>
          </w:tcPr>
          <w:p w14:paraId="61D8E2A3" w14:textId="77777777" w:rsidR="00F37126" w:rsidRPr="00F37126" w:rsidRDefault="00F37126" w:rsidP="008B495E">
            <w:pPr>
              <w:pStyle w:val="ExhibitText"/>
              <w:jc w:val="right"/>
            </w:pPr>
            <w:r w:rsidRPr="00F37126">
              <w:t>United States</w:t>
            </w:r>
          </w:p>
        </w:tc>
      </w:tr>
      <w:tr w:rsidR="008B495E" w:rsidRPr="00F37126" w14:paraId="524CB2A7" w14:textId="77777777" w:rsidTr="00A43D96">
        <w:trPr>
          <w:trHeight w:val="98"/>
          <w:jc w:val="center"/>
        </w:trPr>
        <w:tc>
          <w:tcPr>
            <w:tcW w:w="3600" w:type="dxa"/>
            <w:hideMark/>
          </w:tcPr>
          <w:p w14:paraId="130D27D1" w14:textId="77777777" w:rsidR="00F37126" w:rsidRPr="00F37126" w:rsidRDefault="00F37126" w:rsidP="00F37126">
            <w:pPr>
              <w:pStyle w:val="ExhibitText"/>
              <w:jc w:val="left"/>
            </w:pPr>
            <w:r w:rsidRPr="00F37126">
              <w:t>Beats Electronics</w:t>
            </w:r>
          </w:p>
        </w:tc>
        <w:tc>
          <w:tcPr>
            <w:tcW w:w="1170" w:type="dxa"/>
            <w:vAlign w:val="center"/>
            <w:hideMark/>
          </w:tcPr>
          <w:p w14:paraId="7ABD41DB" w14:textId="7607F645" w:rsidR="00F37126" w:rsidRPr="00F37126" w:rsidRDefault="00F37126" w:rsidP="008B495E">
            <w:pPr>
              <w:pStyle w:val="ExhibitText"/>
              <w:jc w:val="right"/>
            </w:pPr>
            <w:r w:rsidRPr="00F37126">
              <w:t>$1.1</w:t>
            </w:r>
          </w:p>
        </w:tc>
        <w:tc>
          <w:tcPr>
            <w:tcW w:w="1440" w:type="dxa"/>
            <w:vAlign w:val="center"/>
            <w:hideMark/>
          </w:tcPr>
          <w:p w14:paraId="499472F5" w14:textId="52446B99" w:rsidR="00F37126" w:rsidRPr="00F37126" w:rsidRDefault="00F37126" w:rsidP="008B495E">
            <w:pPr>
              <w:pStyle w:val="ExhibitText"/>
              <w:jc w:val="right"/>
            </w:pPr>
            <w:r w:rsidRPr="00F37126">
              <w:t>$560</w:t>
            </w:r>
          </w:p>
        </w:tc>
        <w:tc>
          <w:tcPr>
            <w:tcW w:w="1568" w:type="dxa"/>
            <w:vAlign w:val="center"/>
            <w:hideMark/>
          </w:tcPr>
          <w:p w14:paraId="5F0AF958" w14:textId="77777777" w:rsidR="00F37126" w:rsidRPr="00F37126" w:rsidRDefault="00F37126" w:rsidP="008B495E">
            <w:pPr>
              <w:pStyle w:val="ExhibitText"/>
              <w:jc w:val="right"/>
            </w:pPr>
            <w:r w:rsidRPr="00F37126">
              <w:t>September-14</w:t>
            </w:r>
          </w:p>
        </w:tc>
        <w:tc>
          <w:tcPr>
            <w:tcW w:w="1487" w:type="dxa"/>
            <w:vAlign w:val="center"/>
            <w:hideMark/>
          </w:tcPr>
          <w:p w14:paraId="430C84BA" w14:textId="77777777" w:rsidR="00F37126" w:rsidRPr="00F37126" w:rsidRDefault="00F37126" w:rsidP="008B495E">
            <w:pPr>
              <w:pStyle w:val="ExhibitText"/>
              <w:jc w:val="right"/>
            </w:pPr>
            <w:r w:rsidRPr="00F37126">
              <w:t>United States</w:t>
            </w:r>
          </w:p>
        </w:tc>
      </w:tr>
      <w:tr w:rsidR="008B495E" w:rsidRPr="00F37126" w14:paraId="6D6ED24F" w14:textId="77777777" w:rsidTr="00A43D96">
        <w:trPr>
          <w:trHeight w:val="56"/>
          <w:jc w:val="center"/>
        </w:trPr>
        <w:tc>
          <w:tcPr>
            <w:tcW w:w="3600" w:type="dxa"/>
            <w:hideMark/>
          </w:tcPr>
          <w:p w14:paraId="636E9DC3" w14:textId="77777777" w:rsidR="00F37126" w:rsidRPr="00F37126" w:rsidRDefault="00F37126" w:rsidP="00F37126">
            <w:pPr>
              <w:pStyle w:val="ExhibitText"/>
              <w:jc w:val="left"/>
            </w:pPr>
            <w:r w:rsidRPr="00F37126">
              <w:t>LaShou Group Inc.</w:t>
            </w:r>
          </w:p>
        </w:tc>
        <w:tc>
          <w:tcPr>
            <w:tcW w:w="1170" w:type="dxa"/>
            <w:vAlign w:val="center"/>
            <w:hideMark/>
          </w:tcPr>
          <w:p w14:paraId="25A72DAA" w14:textId="2A7FAD41" w:rsidR="00F37126" w:rsidRPr="00F37126" w:rsidRDefault="00F37126" w:rsidP="008B495E">
            <w:pPr>
              <w:pStyle w:val="ExhibitText"/>
              <w:jc w:val="right"/>
            </w:pPr>
            <w:r w:rsidRPr="00F37126">
              <w:t>$1.1</w:t>
            </w:r>
          </w:p>
        </w:tc>
        <w:tc>
          <w:tcPr>
            <w:tcW w:w="1440" w:type="dxa"/>
            <w:vAlign w:val="center"/>
            <w:hideMark/>
          </w:tcPr>
          <w:p w14:paraId="198F94D9" w14:textId="25E0ADD7" w:rsidR="00F37126" w:rsidRPr="00F37126" w:rsidRDefault="00F37126" w:rsidP="008B495E">
            <w:pPr>
              <w:pStyle w:val="ExhibitText"/>
              <w:jc w:val="right"/>
            </w:pPr>
            <w:r w:rsidRPr="00F37126">
              <w:t>$166</w:t>
            </w:r>
          </w:p>
        </w:tc>
        <w:tc>
          <w:tcPr>
            <w:tcW w:w="1568" w:type="dxa"/>
            <w:vAlign w:val="center"/>
            <w:hideMark/>
          </w:tcPr>
          <w:p w14:paraId="344E0440" w14:textId="77777777" w:rsidR="00F37126" w:rsidRPr="00F37126" w:rsidRDefault="00F37126" w:rsidP="008B495E">
            <w:pPr>
              <w:pStyle w:val="ExhibitText"/>
              <w:jc w:val="right"/>
            </w:pPr>
            <w:r w:rsidRPr="00F37126">
              <w:t>March-11</w:t>
            </w:r>
          </w:p>
        </w:tc>
        <w:tc>
          <w:tcPr>
            <w:tcW w:w="1487" w:type="dxa"/>
            <w:vAlign w:val="center"/>
            <w:hideMark/>
          </w:tcPr>
          <w:p w14:paraId="3005E6AA" w14:textId="77777777" w:rsidR="00F37126" w:rsidRPr="00F37126" w:rsidRDefault="00F37126" w:rsidP="008B495E">
            <w:pPr>
              <w:pStyle w:val="ExhibitText"/>
              <w:jc w:val="right"/>
            </w:pPr>
            <w:r w:rsidRPr="00F37126">
              <w:t>China</w:t>
            </w:r>
          </w:p>
        </w:tc>
      </w:tr>
      <w:tr w:rsidR="008B495E" w:rsidRPr="00F37126" w14:paraId="0C28EF6C" w14:textId="77777777" w:rsidTr="00A43D96">
        <w:trPr>
          <w:trHeight w:val="62"/>
          <w:jc w:val="center"/>
        </w:trPr>
        <w:tc>
          <w:tcPr>
            <w:tcW w:w="3600" w:type="dxa"/>
            <w:hideMark/>
          </w:tcPr>
          <w:p w14:paraId="4F8716A3" w14:textId="77777777" w:rsidR="00F37126" w:rsidRPr="00F37126" w:rsidRDefault="00F37126" w:rsidP="00F37126">
            <w:pPr>
              <w:pStyle w:val="ExhibitText"/>
              <w:jc w:val="left"/>
            </w:pPr>
            <w:r w:rsidRPr="00F37126">
              <w:t>Gilt Groupe, Inc.</w:t>
            </w:r>
          </w:p>
        </w:tc>
        <w:tc>
          <w:tcPr>
            <w:tcW w:w="1170" w:type="dxa"/>
            <w:vAlign w:val="center"/>
            <w:hideMark/>
          </w:tcPr>
          <w:p w14:paraId="0C7C4176" w14:textId="7F265793" w:rsidR="00F37126" w:rsidRPr="00F37126" w:rsidRDefault="00F37126" w:rsidP="008B495E">
            <w:pPr>
              <w:pStyle w:val="ExhibitText"/>
              <w:jc w:val="right"/>
            </w:pPr>
            <w:r w:rsidRPr="00F37126">
              <w:t>$1.1</w:t>
            </w:r>
          </w:p>
        </w:tc>
        <w:tc>
          <w:tcPr>
            <w:tcW w:w="1440" w:type="dxa"/>
            <w:vAlign w:val="center"/>
            <w:hideMark/>
          </w:tcPr>
          <w:p w14:paraId="15E801F8" w14:textId="3779E21B" w:rsidR="00F37126" w:rsidRPr="00F37126" w:rsidRDefault="00F37126" w:rsidP="008B495E">
            <w:pPr>
              <w:pStyle w:val="ExhibitText"/>
              <w:jc w:val="right"/>
            </w:pPr>
            <w:r w:rsidRPr="00F37126">
              <w:t>$275</w:t>
            </w:r>
          </w:p>
        </w:tc>
        <w:tc>
          <w:tcPr>
            <w:tcW w:w="1568" w:type="dxa"/>
            <w:vAlign w:val="center"/>
            <w:hideMark/>
          </w:tcPr>
          <w:p w14:paraId="00A0401E" w14:textId="77777777" w:rsidR="00F37126" w:rsidRPr="00F37126" w:rsidRDefault="00F37126" w:rsidP="008B495E">
            <w:pPr>
              <w:pStyle w:val="ExhibitText"/>
              <w:jc w:val="right"/>
            </w:pPr>
            <w:r w:rsidRPr="00F37126">
              <w:t>April-11</w:t>
            </w:r>
          </w:p>
        </w:tc>
        <w:tc>
          <w:tcPr>
            <w:tcW w:w="1487" w:type="dxa"/>
            <w:vAlign w:val="center"/>
            <w:hideMark/>
          </w:tcPr>
          <w:p w14:paraId="1EC87B25" w14:textId="77777777" w:rsidR="00F37126" w:rsidRPr="00F37126" w:rsidRDefault="00F37126" w:rsidP="008B495E">
            <w:pPr>
              <w:pStyle w:val="ExhibitText"/>
              <w:jc w:val="right"/>
            </w:pPr>
            <w:r w:rsidRPr="00F37126">
              <w:t>United States</w:t>
            </w:r>
          </w:p>
        </w:tc>
      </w:tr>
      <w:tr w:rsidR="008B495E" w:rsidRPr="00F37126" w14:paraId="4C05208D" w14:textId="77777777" w:rsidTr="00A43D96">
        <w:trPr>
          <w:trHeight w:val="107"/>
          <w:jc w:val="center"/>
        </w:trPr>
        <w:tc>
          <w:tcPr>
            <w:tcW w:w="3600" w:type="dxa"/>
            <w:hideMark/>
          </w:tcPr>
          <w:p w14:paraId="1975AAF6" w14:textId="77777777" w:rsidR="00F37126" w:rsidRPr="00F37126" w:rsidRDefault="00F37126" w:rsidP="00F37126">
            <w:pPr>
              <w:pStyle w:val="ExhibitText"/>
              <w:jc w:val="left"/>
            </w:pPr>
            <w:r w:rsidRPr="00F37126">
              <w:t>Actifio Inc.</w:t>
            </w:r>
          </w:p>
        </w:tc>
        <w:tc>
          <w:tcPr>
            <w:tcW w:w="1170" w:type="dxa"/>
            <w:vAlign w:val="center"/>
            <w:hideMark/>
          </w:tcPr>
          <w:p w14:paraId="522C5B59" w14:textId="7CFA8EBF" w:rsidR="00F37126" w:rsidRPr="00F37126" w:rsidRDefault="00F37126" w:rsidP="008B495E">
            <w:pPr>
              <w:pStyle w:val="ExhibitText"/>
              <w:jc w:val="right"/>
            </w:pPr>
            <w:r w:rsidRPr="00F37126">
              <w:t>$1.1</w:t>
            </w:r>
          </w:p>
        </w:tc>
        <w:tc>
          <w:tcPr>
            <w:tcW w:w="1440" w:type="dxa"/>
            <w:vAlign w:val="center"/>
            <w:hideMark/>
          </w:tcPr>
          <w:p w14:paraId="0AB93B77" w14:textId="59E3E6D8" w:rsidR="00F37126" w:rsidRPr="00F37126" w:rsidRDefault="00F37126" w:rsidP="008B495E">
            <w:pPr>
              <w:pStyle w:val="ExhibitText"/>
              <w:jc w:val="right"/>
            </w:pPr>
            <w:r w:rsidRPr="00F37126">
              <w:t>$208</w:t>
            </w:r>
          </w:p>
        </w:tc>
        <w:tc>
          <w:tcPr>
            <w:tcW w:w="1568" w:type="dxa"/>
            <w:vAlign w:val="center"/>
            <w:hideMark/>
          </w:tcPr>
          <w:p w14:paraId="7F2B0304" w14:textId="77777777" w:rsidR="00F37126" w:rsidRPr="00F37126" w:rsidRDefault="00F37126" w:rsidP="008B495E">
            <w:pPr>
              <w:pStyle w:val="ExhibitText"/>
              <w:jc w:val="right"/>
            </w:pPr>
            <w:r w:rsidRPr="00F37126">
              <w:t>March-14</w:t>
            </w:r>
          </w:p>
        </w:tc>
        <w:tc>
          <w:tcPr>
            <w:tcW w:w="1487" w:type="dxa"/>
            <w:vAlign w:val="center"/>
            <w:hideMark/>
          </w:tcPr>
          <w:p w14:paraId="301FB8E6" w14:textId="77777777" w:rsidR="00F37126" w:rsidRPr="00F37126" w:rsidRDefault="00F37126" w:rsidP="008B495E">
            <w:pPr>
              <w:pStyle w:val="ExhibitText"/>
              <w:jc w:val="right"/>
            </w:pPr>
            <w:r w:rsidRPr="00F37126">
              <w:t>United States</w:t>
            </w:r>
          </w:p>
        </w:tc>
      </w:tr>
      <w:tr w:rsidR="008B495E" w:rsidRPr="00F37126" w14:paraId="0F2AE117" w14:textId="77777777" w:rsidTr="00A43D96">
        <w:trPr>
          <w:trHeight w:val="56"/>
          <w:jc w:val="center"/>
        </w:trPr>
        <w:tc>
          <w:tcPr>
            <w:tcW w:w="3600" w:type="dxa"/>
            <w:hideMark/>
          </w:tcPr>
          <w:p w14:paraId="7BBEA89F" w14:textId="77777777" w:rsidR="00F37126" w:rsidRPr="00F37126" w:rsidRDefault="00F37126" w:rsidP="00F37126">
            <w:pPr>
              <w:pStyle w:val="ExhibitText"/>
              <w:jc w:val="left"/>
            </w:pPr>
            <w:r w:rsidRPr="00F37126">
              <w:t>Hortonworks, Inc.</w:t>
            </w:r>
          </w:p>
        </w:tc>
        <w:tc>
          <w:tcPr>
            <w:tcW w:w="1170" w:type="dxa"/>
            <w:vAlign w:val="center"/>
            <w:hideMark/>
          </w:tcPr>
          <w:p w14:paraId="5C57CF13" w14:textId="33432867" w:rsidR="00F37126" w:rsidRPr="00F37126" w:rsidRDefault="00F37126" w:rsidP="008B495E">
            <w:pPr>
              <w:pStyle w:val="ExhibitText"/>
              <w:jc w:val="right"/>
            </w:pPr>
            <w:r w:rsidRPr="00F37126">
              <w:t>$1.1</w:t>
            </w:r>
          </w:p>
        </w:tc>
        <w:tc>
          <w:tcPr>
            <w:tcW w:w="1440" w:type="dxa"/>
            <w:vAlign w:val="center"/>
            <w:hideMark/>
          </w:tcPr>
          <w:p w14:paraId="2FAFFAB9" w14:textId="171BDFC9" w:rsidR="00F37126" w:rsidRPr="00F37126" w:rsidRDefault="00F37126" w:rsidP="008B495E">
            <w:pPr>
              <w:pStyle w:val="ExhibitText"/>
              <w:jc w:val="right"/>
            </w:pPr>
            <w:r w:rsidRPr="00F37126">
              <w:t>$254</w:t>
            </w:r>
          </w:p>
        </w:tc>
        <w:tc>
          <w:tcPr>
            <w:tcW w:w="1568" w:type="dxa"/>
            <w:vAlign w:val="center"/>
            <w:hideMark/>
          </w:tcPr>
          <w:p w14:paraId="0D32577D" w14:textId="77777777" w:rsidR="00F37126" w:rsidRPr="00F37126" w:rsidRDefault="00F37126" w:rsidP="008B495E">
            <w:pPr>
              <w:pStyle w:val="ExhibitText"/>
              <w:jc w:val="right"/>
            </w:pPr>
            <w:r w:rsidRPr="00F37126">
              <w:t>March-14</w:t>
            </w:r>
          </w:p>
        </w:tc>
        <w:tc>
          <w:tcPr>
            <w:tcW w:w="1487" w:type="dxa"/>
            <w:vAlign w:val="center"/>
            <w:hideMark/>
          </w:tcPr>
          <w:p w14:paraId="5F530670" w14:textId="77777777" w:rsidR="00F37126" w:rsidRPr="00F37126" w:rsidRDefault="00F37126" w:rsidP="008B495E">
            <w:pPr>
              <w:pStyle w:val="ExhibitText"/>
              <w:jc w:val="right"/>
            </w:pPr>
            <w:r w:rsidRPr="00F37126">
              <w:t>United States</w:t>
            </w:r>
          </w:p>
        </w:tc>
      </w:tr>
    </w:tbl>
    <w:p w14:paraId="5E333A12" w14:textId="77777777" w:rsidR="008B495E" w:rsidRDefault="008B495E"/>
    <w:p w14:paraId="6AB6C960" w14:textId="77777777" w:rsidR="008B495E" w:rsidRDefault="008B495E"/>
    <w:p w14:paraId="01585054" w14:textId="5C744FF7" w:rsidR="008B495E" w:rsidRDefault="00517CBD" w:rsidP="00517CBD">
      <w:pPr>
        <w:pStyle w:val="ExhibitHeading"/>
        <w:keepNext/>
      </w:pPr>
      <w:r w:rsidRPr="00517CBD">
        <w:lastRenderedPageBreak/>
        <w:t>Exhibit 2: venture-backed firms with valuations above $1 billion, July 2014 (in US$)</w:t>
      </w:r>
      <w:r>
        <w:t xml:space="preserve"> </w:t>
      </w:r>
      <w:r w:rsidR="008B495E">
        <w:t>(Continued)</w:t>
      </w:r>
    </w:p>
    <w:p w14:paraId="75F9985C" w14:textId="77777777" w:rsidR="008B495E" w:rsidRDefault="008B495E" w:rsidP="008B495E">
      <w:pPr>
        <w:pStyle w:val="ExhibitHeading"/>
        <w:keepNext/>
      </w:pPr>
    </w:p>
    <w:tbl>
      <w:tblPr>
        <w:tblStyle w:val="TableGrid"/>
        <w:tblW w:w="0" w:type="auto"/>
        <w:jc w:val="center"/>
        <w:tblLook w:val="04A0" w:firstRow="1" w:lastRow="0" w:firstColumn="1" w:lastColumn="0" w:noHBand="0" w:noVBand="1"/>
      </w:tblPr>
      <w:tblGrid>
        <w:gridCol w:w="3600"/>
        <w:gridCol w:w="1260"/>
        <w:gridCol w:w="1170"/>
        <w:gridCol w:w="1530"/>
        <w:gridCol w:w="1705"/>
      </w:tblGrid>
      <w:tr w:rsidR="0003595C" w:rsidRPr="00F37126" w14:paraId="2214980C" w14:textId="77777777" w:rsidTr="00A43D96">
        <w:trPr>
          <w:trHeight w:val="161"/>
          <w:jc w:val="center"/>
        </w:trPr>
        <w:tc>
          <w:tcPr>
            <w:tcW w:w="3600" w:type="dxa"/>
            <w:hideMark/>
          </w:tcPr>
          <w:p w14:paraId="7B09E021" w14:textId="77777777" w:rsidR="00F37126" w:rsidRPr="00F37126" w:rsidRDefault="00F37126" w:rsidP="008B495E">
            <w:pPr>
              <w:pStyle w:val="ExhibitText"/>
              <w:keepNext/>
              <w:jc w:val="left"/>
            </w:pPr>
            <w:r w:rsidRPr="00F37126">
              <w:t>Proteus Digital Health, Inc.</w:t>
            </w:r>
          </w:p>
        </w:tc>
        <w:tc>
          <w:tcPr>
            <w:tcW w:w="1260" w:type="dxa"/>
            <w:hideMark/>
          </w:tcPr>
          <w:p w14:paraId="44E85BB5" w14:textId="3271CA5D" w:rsidR="00F37126" w:rsidRPr="00F37126" w:rsidRDefault="00F37126" w:rsidP="008B495E">
            <w:pPr>
              <w:pStyle w:val="ExhibitText"/>
              <w:keepNext/>
              <w:jc w:val="right"/>
            </w:pPr>
            <w:r w:rsidRPr="00F37126">
              <w:t>$1.1</w:t>
            </w:r>
          </w:p>
        </w:tc>
        <w:tc>
          <w:tcPr>
            <w:tcW w:w="1170" w:type="dxa"/>
            <w:hideMark/>
          </w:tcPr>
          <w:p w14:paraId="21130333" w14:textId="2364EA67" w:rsidR="00F37126" w:rsidRPr="00F37126" w:rsidRDefault="00F37126" w:rsidP="008B495E">
            <w:pPr>
              <w:pStyle w:val="ExhibitText"/>
              <w:keepNext/>
              <w:jc w:val="right"/>
            </w:pPr>
            <w:r w:rsidRPr="00F37126">
              <w:t>$354</w:t>
            </w:r>
          </w:p>
        </w:tc>
        <w:tc>
          <w:tcPr>
            <w:tcW w:w="1530" w:type="dxa"/>
            <w:hideMark/>
          </w:tcPr>
          <w:p w14:paraId="716E8A33" w14:textId="77777777" w:rsidR="00F37126" w:rsidRPr="00F37126" w:rsidRDefault="00F37126" w:rsidP="008B495E">
            <w:pPr>
              <w:pStyle w:val="ExhibitText"/>
              <w:keepNext/>
              <w:jc w:val="right"/>
            </w:pPr>
            <w:r w:rsidRPr="00F37126">
              <w:t>June-14</w:t>
            </w:r>
          </w:p>
        </w:tc>
        <w:tc>
          <w:tcPr>
            <w:tcW w:w="1705" w:type="dxa"/>
            <w:hideMark/>
          </w:tcPr>
          <w:p w14:paraId="38B8BC17" w14:textId="77777777" w:rsidR="00F37126" w:rsidRPr="00F37126" w:rsidRDefault="00F37126" w:rsidP="008B495E">
            <w:pPr>
              <w:pStyle w:val="ExhibitText"/>
              <w:keepNext/>
              <w:jc w:val="right"/>
            </w:pPr>
            <w:r w:rsidRPr="00F37126">
              <w:t>United States</w:t>
            </w:r>
          </w:p>
        </w:tc>
      </w:tr>
      <w:tr w:rsidR="0003595C" w:rsidRPr="00F37126" w14:paraId="0BDBD8C1" w14:textId="77777777" w:rsidTr="00A43D96">
        <w:trPr>
          <w:trHeight w:val="300"/>
          <w:jc w:val="center"/>
        </w:trPr>
        <w:tc>
          <w:tcPr>
            <w:tcW w:w="3600" w:type="dxa"/>
            <w:hideMark/>
          </w:tcPr>
          <w:p w14:paraId="0B19C819" w14:textId="77777777" w:rsidR="00F37126" w:rsidRPr="00F37126" w:rsidRDefault="00F37126" w:rsidP="008B495E">
            <w:pPr>
              <w:pStyle w:val="ExhibitText"/>
              <w:keepNext/>
              <w:jc w:val="left"/>
            </w:pPr>
            <w:r w:rsidRPr="00F37126">
              <w:t>AppDynamics LLC.</w:t>
            </w:r>
          </w:p>
        </w:tc>
        <w:tc>
          <w:tcPr>
            <w:tcW w:w="1260" w:type="dxa"/>
            <w:hideMark/>
          </w:tcPr>
          <w:p w14:paraId="771E2259" w14:textId="526D2E8C" w:rsidR="00F37126" w:rsidRPr="00F37126" w:rsidRDefault="00F37126" w:rsidP="008B495E">
            <w:pPr>
              <w:pStyle w:val="ExhibitText"/>
              <w:keepNext/>
              <w:jc w:val="right"/>
            </w:pPr>
            <w:r w:rsidRPr="00F37126">
              <w:t>$1.1</w:t>
            </w:r>
          </w:p>
        </w:tc>
        <w:tc>
          <w:tcPr>
            <w:tcW w:w="1170" w:type="dxa"/>
            <w:hideMark/>
          </w:tcPr>
          <w:p w14:paraId="5A18A42B" w14:textId="718136B9" w:rsidR="00F37126" w:rsidRPr="00F37126" w:rsidRDefault="00F37126" w:rsidP="008B495E">
            <w:pPr>
              <w:pStyle w:val="ExhibitText"/>
              <w:keepNext/>
              <w:jc w:val="right"/>
            </w:pPr>
            <w:r w:rsidRPr="00F37126">
              <w:t>$177</w:t>
            </w:r>
          </w:p>
        </w:tc>
        <w:tc>
          <w:tcPr>
            <w:tcW w:w="1530" w:type="dxa"/>
            <w:hideMark/>
          </w:tcPr>
          <w:p w14:paraId="7E5EFEED" w14:textId="77777777" w:rsidR="00F37126" w:rsidRPr="00F37126" w:rsidRDefault="00F37126" w:rsidP="008B495E">
            <w:pPr>
              <w:pStyle w:val="ExhibitText"/>
              <w:keepNext/>
              <w:jc w:val="right"/>
            </w:pPr>
            <w:r w:rsidRPr="00F37126">
              <w:t>July-14</w:t>
            </w:r>
          </w:p>
        </w:tc>
        <w:tc>
          <w:tcPr>
            <w:tcW w:w="1705" w:type="dxa"/>
            <w:hideMark/>
          </w:tcPr>
          <w:p w14:paraId="1D66CD3A" w14:textId="77777777" w:rsidR="00F37126" w:rsidRPr="00F37126" w:rsidRDefault="00F37126" w:rsidP="008B495E">
            <w:pPr>
              <w:pStyle w:val="ExhibitText"/>
              <w:keepNext/>
              <w:jc w:val="right"/>
            </w:pPr>
            <w:r w:rsidRPr="00F37126">
              <w:t>United States</w:t>
            </w:r>
          </w:p>
        </w:tc>
      </w:tr>
      <w:tr w:rsidR="0003595C" w:rsidRPr="00F37126" w14:paraId="5CD96108" w14:textId="77777777" w:rsidTr="00A43D96">
        <w:trPr>
          <w:trHeight w:val="80"/>
          <w:jc w:val="center"/>
        </w:trPr>
        <w:tc>
          <w:tcPr>
            <w:tcW w:w="3600" w:type="dxa"/>
            <w:hideMark/>
          </w:tcPr>
          <w:p w14:paraId="0C171DD0" w14:textId="77777777" w:rsidR="00F37126" w:rsidRPr="00F37126" w:rsidRDefault="00F37126" w:rsidP="008B495E">
            <w:pPr>
              <w:pStyle w:val="ExhibitText"/>
              <w:keepNext/>
              <w:jc w:val="left"/>
            </w:pPr>
            <w:r w:rsidRPr="00F37126">
              <w:t>Evernote Corporation</w:t>
            </w:r>
          </w:p>
        </w:tc>
        <w:tc>
          <w:tcPr>
            <w:tcW w:w="1260" w:type="dxa"/>
            <w:hideMark/>
          </w:tcPr>
          <w:p w14:paraId="6DDF62CA" w14:textId="419F85C1" w:rsidR="00F37126" w:rsidRPr="00F37126" w:rsidRDefault="00F37126" w:rsidP="008B495E">
            <w:pPr>
              <w:pStyle w:val="ExhibitText"/>
              <w:keepNext/>
              <w:jc w:val="right"/>
            </w:pPr>
            <w:r w:rsidRPr="00F37126">
              <w:t>$1.0</w:t>
            </w:r>
          </w:p>
        </w:tc>
        <w:tc>
          <w:tcPr>
            <w:tcW w:w="1170" w:type="dxa"/>
            <w:hideMark/>
          </w:tcPr>
          <w:p w14:paraId="2DDDE25C" w14:textId="051D5816" w:rsidR="00F37126" w:rsidRPr="00F37126" w:rsidRDefault="00F37126" w:rsidP="008B495E">
            <w:pPr>
              <w:pStyle w:val="ExhibitText"/>
              <w:keepNext/>
              <w:jc w:val="right"/>
            </w:pPr>
            <w:r w:rsidRPr="00F37126">
              <w:t>$302</w:t>
            </w:r>
          </w:p>
        </w:tc>
        <w:tc>
          <w:tcPr>
            <w:tcW w:w="1530" w:type="dxa"/>
            <w:hideMark/>
          </w:tcPr>
          <w:p w14:paraId="3441AA61" w14:textId="77777777" w:rsidR="00F37126" w:rsidRPr="00F37126" w:rsidRDefault="00F37126" w:rsidP="008B495E">
            <w:pPr>
              <w:pStyle w:val="ExhibitText"/>
              <w:keepNext/>
              <w:jc w:val="right"/>
            </w:pPr>
            <w:r w:rsidRPr="00F37126">
              <w:t>May-12</w:t>
            </w:r>
          </w:p>
        </w:tc>
        <w:tc>
          <w:tcPr>
            <w:tcW w:w="1705" w:type="dxa"/>
            <w:hideMark/>
          </w:tcPr>
          <w:p w14:paraId="5632259A" w14:textId="77777777" w:rsidR="00F37126" w:rsidRPr="00F37126" w:rsidRDefault="00F37126" w:rsidP="008B495E">
            <w:pPr>
              <w:pStyle w:val="ExhibitText"/>
              <w:keepNext/>
              <w:jc w:val="right"/>
            </w:pPr>
            <w:r w:rsidRPr="00F37126">
              <w:t>United States</w:t>
            </w:r>
          </w:p>
        </w:tc>
      </w:tr>
      <w:tr w:rsidR="0003595C" w:rsidRPr="00F37126" w14:paraId="30EC1E82" w14:textId="77777777" w:rsidTr="00A43D96">
        <w:trPr>
          <w:trHeight w:val="56"/>
          <w:jc w:val="center"/>
        </w:trPr>
        <w:tc>
          <w:tcPr>
            <w:tcW w:w="3600" w:type="dxa"/>
            <w:hideMark/>
          </w:tcPr>
          <w:p w14:paraId="1A6C52D0" w14:textId="77777777" w:rsidR="00F37126" w:rsidRPr="00F37126" w:rsidRDefault="00F37126" w:rsidP="008B495E">
            <w:pPr>
              <w:pStyle w:val="ExhibitText"/>
              <w:keepNext/>
              <w:jc w:val="left"/>
            </w:pPr>
            <w:r w:rsidRPr="00F37126">
              <w:t>Cloudflare, Inc.</w:t>
            </w:r>
          </w:p>
        </w:tc>
        <w:tc>
          <w:tcPr>
            <w:tcW w:w="1260" w:type="dxa"/>
            <w:hideMark/>
          </w:tcPr>
          <w:p w14:paraId="48B1C669" w14:textId="1FDB0F3D" w:rsidR="00F37126" w:rsidRPr="00F37126" w:rsidRDefault="00F37126" w:rsidP="008B495E">
            <w:pPr>
              <w:pStyle w:val="ExhibitText"/>
              <w:keepNext/>
              <w:jc w:val="right"/>
            </w:pPr>
            <w:r w:rsidRPr="00F37126">
              <w:t>$1.0</w:t>
            </w:r>
          </w:p>
        </w:tc>
        <w:tc>
          <w:tcPr>
            <w:tcW w:w="1170" w:type="dxa"/>
            <w:hideMark/>
          </w:tcPr>
          <w:p w14:paraId="6715839B" w14:textId="51C907A7" w:rsidR="00F37126" w:rsidRPr="00F37126" w:rsidRDefault="00F37126" w:rsidP="008B495E">
            <w:pPr>
              <w:pStyle w:val="ExhibitText"/>
              <w:keepNext/>
              <w:jc w:val="right"/>
            </w:pPr>
            <w:r w:rsidRPr="00F37126">
              <w:t>$72</w:t>
            </w:r>
          </w:p>
        </w:tc>
        <w:tc>
          <w:tcPr>
            <w:tcW w:w="1530" w:type="dxa"/>
            <w:hideMark/>
          </w:tcPr>
          <w:p w14:paraId="3F66CCDE" w14:textId="77777777" w:rsidR="00F37126" w:rsidRPr="00F37126" w:rsidRDefault="00F37126" w:rsidP="008B495E">
            <w:pPr>
              <w:pStyle w:val="ExhibitText"/>
              <w:keepNext/>
              <w:jc w:val="right"/>
            </w:pPr>
            <w:r w:rsidRPr="00F37126">
              <w:t>December-12</w:t>
            </w:r>
          </w:p>
        </w:tc>
        <w:tc>
          <w:tcPr>
            <w:tcW w:w="1705" w:type="dxa"/>
            <w:hideMark/>
          </w:tcPr>
          <w:p w14:paraId="65CE2847" w14:textId="77777777" w:rsidR="00F37126" w:rsidRPr="00F37126" w:rsidRDefault="00F37126" w:rsidP="008B495E">
            <w:pPr>
              <w:pStyle w:val="ExhibitText"/>
              <w:keepNext/>
              <w:jc w:val="right"/>
            </w:pPr>
            <w:r w:rsidRPr="00F37126">
              <w:t>United States</w:t>
            </w:r>
          </w:p>
        </w:tc>
      </w:tr>
      <w:tr w:rsidR="0003595C" w:rsidRPr="00F37126" w14:paraId="5ED2B88C" w14:textId="77777777" w:rsidTr="00A43D96">
        <w:trPr>
          <w:trHeight w:val="56"/>
          <w:jc w:val="center"/>
        </w:trPr>
        <w:tc>
          <w:tcPr>
            <w:tcW w:w="3600" w:type="dxa"/>
            <w:hideMark/>
          </w:tcPr>
          <w:p w14:paraId="6D5B3E96" w14:textId="77777777" w:rsidR="00F37126" w:rsidRPr="00F37126" w:rsidRDefault="00F37126" w:rsidP="00F37126">
            <w:pPr>
              <w:pStyle w:val="ExhibitText"/>
              <w:jc w:val="left"/>
            </w:pPr>
            <w:r w:rsidRPr="00F37126">
              <w:t>Good Technology</w:t>
            </w:r>
          </w:p>
        </w:tc>
        <w:tc>
          <w:tcPr>
            <w:tcW w:w="1260" w:type="dxa"/>
            <w:hideMark/>
          </w:tcPr>
          <w:p w14:paraId="607CE6C5" w14:textId="31E44DA2" w:rsidR="00F37126" w:rsidRPr="00F37126" w:rsidRDefault="00F37126" w:rsidP="008B495E">
            <w:pPr>
              <w:pStyle w:val="ExhibitText"/>
              <w:jc w:val="right"/>
            </w:pPr>
            <w:r w:rsidRPr="00F37126">
              <w:t>$1.0</w:t>
            </w:r>
          </w:p>
        </w:tc>
        <w:tc>
          <w:tcPr>
            <w:tcW w:w="1170" w:type="dxa"/>
            <w:hideMark/>
          </w:tcPr>
          <w:p w14:paraId="32ADEB29" w14:textId="28376C55" w:rsidR="00F37126" w:rsidRPr="00F37126" w:rsidRDefault="00F37126" w:rsidP="008B495E">
            <w:pPr>
              <w:pStyle w:val="ExhibitText"/>
              <w:jc w:val="right"/>
            </w:pPr>
            <w:r w:rsidRPr="00F37126">
              <w:t>$388</w:t>
            </w:r>
          </w:p>
        </w:tc>
        <w:tc>
          <w:tcPr>
            <w:tcW w:w="1530" w:type="dxa"/>
            <w:hideMark/>
          </w:tcPr>
          <w:p w14:paraId="55234455" w14:textId="77777777" w:rsidR="00F37126" w:rsidRPr="00F37126" w:rsidRDefault="00F37126" w:rsidP="008B495E">
            <w:pPr>
              <w:pStyle w:val="ExhibitText"/>
              <w:jc w:val="right"/>
            </w:pPr>
            <w:r w:rsidRPr="00F37126">
              <w:t>April-13</w:t>
            </w:r>
          </w:p>
        </w:tc>
        <w:tc>
          <w:tcPr>
            <w:tcW w:w="1705" w:type="dxa"/>
            <w:hideMark/>
          </w:tcPr>
          <w:p w14:paraId="450152CF" w14:textId="77777777" w:rsidR="00F37126" w:rsidRPr="00F37126" w:rsidRDefault="00F37126" w:rsidP="008B495E">
            <w:pPr>
              <w:pStyle w:val="ExhibitText"/>
              <w:jc w:val="right"/>
            </w:pPr>
            <w:r w:rsidRPr="00F37126">
              <w:t>United States</w:t>
            </w:r>
          </w:p>
        </w:tc>
      </w:tr>
      <w:tr w:rsidR="0003595C" w:rsidRPr="00F37126" w14:paraId="67B70A31" w14:textId="77777777" w:rsidTr="00A43D96">
        <w:trPr>
          <w:trHeight w:val="89"/>
          <w:jc w:val="center"/>
        </w:trPr>
        <w:tc>
          <w:tcPr>
            <w:tcW w:w="3600" w:type="dxa"/>
            <w:hideMark/>
          </w:tcPr>
          <w:p w14:paraId="54FEBB89" w14:textId="77777777" w:rsidR="00F37126" w:rsidRPr="00F37126" w:rsidRDefault="00F37126" w:rsidP="00F37126">
            <w:pPr>
              <w:pStyle w:val="ExhibitText"/>
              <w:jc w:val="left"/>
            </w:pPr>
            <w:r w:rsidRPr="00F37126">
              <w:t>Mode Media, Inc.</w:t>
            </w:r>
          </w:p>
        </w:tc>
        <w:tc>
          <w:tcPr>
            <w:tcW w:w="1260" w:type="dxa"/>
            <w:hideMark/>
          </w:tcPr>
          <w:p w14:paraId="4B6D4718" w14:textId="1E831BB7" w:rsidR="00F37126" w:rsidRPr="00F37126" w:rsidRDefault="00F37126" w:rsidP="008B495E">
            <w:pPr>
              <w:pStyle w:val="ExhibitText"/>
              <w:jc w:val="right"/>
            </w:pPr>
            <w:r w:rsidRPr="00F37126">
              <w:t>$1.0</w:t>
            </w:r>
          </w:p>
        </w:tc>
        <w:tc>
          <w:tcPr>
            <w:tcW w:w="1170" w:type="dxa"/>
            <w:hideMark/>
          </w:tcPr>
          <w:p w14:paraId="3A4D32C5" w14:textId="7143CA79" w:rsidR="00F37126" w:rsidRPr="00F37126" w:rsidRDefault="00F37126" w:rsidP="008B495E">
            <w:pPr>
              <w:pStyle w:val="ExhibitText"/>
              <w:jc w:val="right"/>
            </w:pPr>
            <w:r w:rsidRPr="00F37126">
              <w:t>$230</w:t>
            </w:r>
          </w:p>
        </w:tc>
        <w:tc>
          <w:tcPr>
            <w:tcW w:w="1530" w:type="dxa"/>
            <w:hideMark/>
          </w:tcPr>
          <w:p w14:paraId="3EA17B3F" w14:textId="77777777" w:rsidR="00F37126" w:rsidRPr="00F37126" w:rsidRDefault="00F37126" w:rsidP="008B495E">
            <w:pPr>
              <w:pStyle w:val="ExhibitText"/>
              <w:jc w:val="right"/>
            </w:pPr>
            <w:r w:rsidRPr="00F37126">
              <w:t>August-13</w:t>
            </w:r>
          </w:p>
        </w:tc>
        <w:tc>
          <w:tcPr>
            <w:tcW w:w="1705" w:type="dxa"/>
            <w:hideMark/>
          </w:tcPr>
          <w:p w14:paraId="5401E4E5" w14:textId="77777777" w:rsidR="00F37126" w:rsidRPr="00F37126" w:rsidRDefault="00F37126" w:rsidP="008B495E">
            <w:pPr>
              <w:pStyle w:val="ExhibitText"/>
              <w:jc w:val="right"/>
            </w:pPr>
            <w:r w:rsidRPr="00F37126">
              <w:t>United States</w:t>
            </w:r>
          </w:p>
        </w:tc>
      </w:tr>
      <w:tr w:rsidR="0003595C" w:rsidRPr="00F37126" w14:paraId="7303517C" w14:textId="77777777" w:rsidTr="00A43D96">
        <w:trPr>
          <w:trHeight w:val="56"/>
          <w:jc w:val="center"/>
        </w:trPr>
        <w:tc>
          <w:tcPr>
            <w:tcW w:w="3600" w:type="dxa"/>
            <w:hideMark/>
          </w:tcPr>
          <w:p w14:paraId="740EF44E" w14:textId="77777777" w:rsidR="00F37126" w:rsidRPr="00F37126" w:rsidRDefault="00F37126" w:rsidP="00F37126">
            <w:pPr>
              <w:pStyle w:val="ExhibitText"/>
              <w:jc w:val="left"/>
            </w:pPr>
            <w:r w:rsidRPr="00F37126">
              <w:t>Shopify Inc.</w:t>
            </w:r>
          </w:p>
        </w:tc>
        <w:tc>
          <w:tcPr>
            <w:tcW w:w="1260" w:type="dxa"/>
            <w:hideMark/>
          </w:tcPr>
          <w:p w14:paraId="7CBF53DC" w14:textId="26CB097C" w:rsidR="00F37126" w:rsidRPr="00F37126" w:rsidRDefault="00F37126" w:rsidP="008B495E">
            <w:pPr>
              <w:pStyle w:val="ExhibitText"/>
              <w:jc w:val="right"/>
            </w:pPr>
            <w:r w:rsidRPr="00F37126">
              <w:t>$1.0</w:t>
            </w:r>
          </w:p>
        </w:tc>
        <w:tc>
          <w:tcPr>
            <w:tcW w:w="1170" w:type="dxa"/>
            <w:hideMark/>
          </w:tcPr>
          <w:p w14:paraId="5301251E" w14:textId="50BB7CBE" w:rsidR="00F37126" w:rsidRPr="00F37126" w:rsidRDefault="00F37126" w:rsidP="008B495E">
            <w:pPr>
              <w:pStyle w:val="ExhibitText"/>
              <w:jc w:val="right"/>
            </w:pPr>
            <w:r w:rsidRPr="00F37126">
              <w:t>$122</w:t>
            </w:r>
          </w:p>
        </w:tc>
        <w:tc>
          <w:tcPr>
            <w:tcW w:w="1530" w:type="dxa"/>
            <w:hideMark/>
          </w:tcPr>
          <w:p w14:paraId="6DF9D606" w14:textId="77777777" w:rsidR="00F37126" w:rsidRPr="00F37126" w:rsidRDefault="00F37126" w:rsidP="008B495E">
            <w:pPr>
              <w:pStyle w:val="ExhibitText"/>
              <w:jc w:val="right"/>
            </w:pPr>
            <w:r w:rsidRPr="00F37126">
              <w:t>December-13</w:t>
            </w:r>
          </w:p>
        </w:tc>
        <w:tc>
          <w:tcPr>
            <w:tcW w:w="1705" w:type="dxa"/>
            <w:hideMark/>
          </w:tcPr>
          <w:p w14:paraId="24949420" w14:textId="77777777" w:rsidR="00F37126" w:rsidRPr="00F37126" w:rsidRDefault="00F37126" w:rsidP="008B495E">
            <w:pPr>
              <w:pStyle w:val="ExhibitText"/>
              <w:jc w:val="right"/>
            </w:pPr>
            <w:r w:rsidRPr="00F37126">
              <w:t>Canada</w:t>
            </w:r>
          </w:p>
        </w:tc>
      </w:tr>
      <w:tr w:rsidR="0003595C" w:rsidRPr="00F37126" w14:paraId="7EFD822D" w14:textId="77777777" w:rsidTr="00A43D96">
        <w:trPr>
          <w:trHeight w:val="233"/>
          <w:jc w:val="center"/>
        </w:trPr>
        <w:tc>
          <w:tcPr>
            <w:tcW w:w="3600" w:type="dxa"/>
            <w:hideMark/>
          </w:tcPr>
          <w:p w14:paraId="6159F549" w14:textId="77777777" w:rsidR="00F37126" w:rsidRPr="00F37126" w:rsidRDefault="00F37126" w:rsidP="00F37126">
            <w:pPr>
              <w:pStyle w:val="ExhibitText"/>
              <w:jc w:val="left"/>
            </w:pPr>
            <w:r w:rsidRPr="00F37126">
              <w:t xml:space="preserve">Avast Software s.r.o. </w:t>
            </w:r>
          </w:p>
        </w:tc>
        <w:tc>
          <w:tcPr>
            <w:tcW w:w="1260" w:type="dxa"/>
            <w:hideMark/>
          </w:tcPr>
          <w:p w14:paraId="5323D972" w14:textId="563790E5" w:rsidR="00F37126" w:rsidRPr="00F37126" w:rsidRDefault="00F37126" w:rsidP="008B495E">
            <w:pPr>
              <w:pStyle w:val="ExhibitText"/>
              <w:jc w:val="right"/>
            </w:pPr>
            <w:r w:rsidRPr="00F37126">
              <w:t>$1.0</w:t>
            </w:r>
          </w:p>
        </w:tc>
        <w:tc>
          <w:tcPr>
            <w:tcW w:w="1170" w:type="dxa"/>
            <w:hideMark/>
          </w:tcPr>
          <w:p w14:paraId="2159C1C8" w14:textId="43AD575F" w:rsidR="00F37126" w:rsidRPr="00F37126" w:rsidRDefault="00F37126" w:rsidP="008B495E">
            <w:pPr>
              <w:pStyle w:val="ExhibitText"/>
              <w:jc w:val="right"/>
            </w:pPr>
            <w:r w:rsidRPr="00F37126">
              <w:t>$100</w:t>
            </w:r>
          </w:p>
        </w:tc>
        <w:tc>
          <w:tcPr>
            <w:tcW w:w="1530" w:type="dxa"/>
            <w:hideMark/>
          </w:tcPr>
          <w:p w14:paraId="0B6BE78E" w14:textId="77777777" w:rsidR="00F37126" w:rsidRPr="00F37126" w:rsidRDefault="00F37126" w:rsidP="008B495E">
            <w:pPr>
              <w:pStyle w:val="ExhibitText"/>
              <w:jc w:val="right"/>
            </w:pPr>
            <w:r w:rsidRPr="00F37126">
              <w:t>February-14</w:t>
            </w:r>
          </w:p>
        </w:tc>
        <w:tc>
          <w:tcPr>
            <w:tcW w:w="1705" w:type="dxa"/>
            <w:hideMark/>
          </w:tcPr>
          <w:p w14:paraId="459EFA84" w14:textId="77777777" w:rsidR="00F37126" w:rsidRPr="00F37126" w:rsidRDefault="00F37126" w:rsidP="008B495E">
            <w:pPr>
              <w:pStyle w:val="ExhibitText"/>
              <w:jc w:val="right"/>
            </w:pPr>
            <w:r w:rsidRPr="00F37126">
              <w:t>Czech Republic</w:t>
            </w:r>
          </w:p>
        </w:tc>
      </w:tr>
      <w:tr w:rsidR="0003595C" w:rsidRPr="00F37126" w14:paraId="49F11377" w14:textId="77777777" w:rsidTr="00A43D96">
        <w:trPr>
          <w:trHeight w:val="206"/>
          <w:jc w:val="center"/>
        </w:trPr>
        <w:tc>
          <w:tcPr>
            <w:tcW w:w="3600" w:type="dxa"/>
            <w:hideMark/>
          </w:tcPr>
          <w:p w14:paraId="5E77EB96" w14:textId="77777777" w:rsidR="00F37126" w:rsidRPr="00F37126" w:rsidRDefault="00F37126" w:rsidP="00F37126">
            <w:pPr>
              <w:pStyle w:val="ExhibitText"/>
              <w:jc w:val="left"/>
            </w:pPr>
            <w:r w:rsidRPr="00F37126">
              <w:t>Eventbrite</w:t>
            </w:r>
          </w:p>
        </w:tc>
        <w:tc>
          <w:tcPr>
            <w:tcW w:w="1260" w:type="dxa"/>
            <w:hideMark/>
          </w:tcPr>
          <w:p w14:paraId="3995C16B" w14:textId="2CBE7989" w:rsidR="00F37126" w:rsidRPr="00F37126" w:rsidRDefault="00F37126" w:rsidP="008B495E">
            <w:pPr>
              <w:pStyle w:val="ExhibitText"/>
              <w:jc w:val="right"/>
            </w:pPr>
            <w:r w:rsidRPr="00F37126">
              <w:t>$1.0</w:t>
            </w:r>
          </w:p>
        </w:tc>
        <w:tc>
          <w:tcPr>
            <w:tcW w:w="1170" w:type="dxa"/>
            <w:hideMark/>
          </w:tcPr>
          <w:p w14:paraId="4129FD3D" w14:textId="6BFDA2E3" w:rsidR="00F37126" w:rsidRPr="00F37126" w:rsidRDefault="00F37126" w:rsidP="008B495E">
            <w:pPr>
              <w:pStyle w:val="ExhibitText"/>
              <w:jc w:val="right"/>
            </w:pPr>
            <w:r w:rsidRPr="00F37126">
              <w:t>$200</w:t>
            </w:r>
          </w:p>
        </w:tc>
        <w:tc>
          <w:tcPr>
            <w:tcW w:w="1530" w:type="dxa"/>
            <w:hideMark/>
          </w:tcPr>
          <w:p w14:paraId="02E4DF10" w14:textId="77777777" w:rsidR="00F37126" w:rsidRPr="00F37126" w:rsidRDefault="00F37126" w:rsidP="008B495E">
            <w:pPr>
              <w:pStyle w:val="ExhibitText"/>
              <w:jc w:val="right"/>
            </w:pPr>
            <w:r w:rsidRPr="00F37126">
              <w:t>March-14</w:t>
            </w:r>
          </w:p>
        </w:tc>
        <w:tc>
          <w:tcPr>
            <w:tcW w:w="1705" w:type="dxa"/>
            <w:hideMark/>
          </w:tcPr>
          <w:p w14:paraId="214E0A62" w14:textId="77777777" w:rsidR="00F37126" w:rsidRPr="00F37126" w:rsidRDefault="00F37126" w:rsidP="008B495E">
            <w:pPr>
              <w:pStyle w:val="ExhibitText"/>
              <w:jc w:val="right"/>
            </w:pPr>
            <w:r w:rsidRPr="00F37126">
              <w:t>United States</w:t>
            </w:r>
          </w:p>
        </w:tc>
      </w:tr>
      <w:tr w:rsidR="0003595C" w:rsidRPr="00F37126" w14:paraId="6E18E0F2" w14:textId="77777777" w:rsidTr="00A43D96">
        <w:trPr>
          <w:trHeight w:val="152"/>
          <w:jc w:val="center"/>
        </w:trPr>
        <w:tc>
          <w:tcPr>
            <w:tcW w:w="3600" w:type="dxa"/>
            <w:hideMark/>
          </w:tcPr>
          <w:p w14:paraId="4084A01C" w14:textId="77777777" w:rsidR="00F37126" w:rsidRPr="00F37126" w:rsidRDefault="00F37126" w:rsidP="00F37126">
            <w:pPr>
              <w:pStyle w:val="ExhibitText"/>
              <w:jc w:val="left"/>
            </w:pPr>
            <w:r w:rsidRPr="00F37126">
              <w:t>TangoMe, Inc.</w:t>
            </w:r>
          </w:p>
        </w:tc>
        <w:tc>
          <w:tcPr>
            <w:tcW w:w="1260" w:type="dxa"/>
            <w:hideMark/>
          </w:tcPr>
          <w:p w14:paraId="3AFF30E2" w14:textId="2249362B" w:rsidR="00F37126" w:rsidRPr="00F37126" w:rsidRDefault="00F37126" w:rsidP="008B495E">
            <w:pPr>
              <w:pStyle w:val="ExhibitText"/>
              <w:jc w:val="right"/>
            </w:pPr>
            <w:r w:rsidRPr="00F37126">
              <w:t>$1.0</w:t>
            </w:r>
          </w:p>
        </w:tc>
        <w:tc>
          <w:tcPr>
            <w:tcW w:w="1170" w:type="dxa"/>
            <w:hideMark/>
          </w:tcPr>
          <w:p w14:paraId="6B03185A" w14:textId="7C5ED453" w:rsidR="00F37126" w:rsidRPr="00F37126" w:rsidRDefault="00F37126" w:rsidP="008B495E">
            <w:pPr>
              <w:pStyle w:val="ExhibitText"/>
              <w:jc w:val="right"/>
            </w:pPr>
            <w:r w:rsidRPr="00F37126">
              <w:t>$367</w:t>
            </w:r>
          </w:p>
        </w:tc>
        <w:tc>
          <w:tcPr>
            <w:tcW w:w="1530" w:type="dxa"/>
            <w:hideMark/>
          </w:tcPr>
          <w:p w14:paraId="70CA351F" w14:textId="77777777" w:rsidR="00F37126" w:rsidRPr="00F37126" w:rsidRDefault="00F37126" w:rsidP="008B495E">
            <w:pPr>
              <w:pStyle w:val="ExhibitText"/>
              <w:jc w:val="right"/>
            </w:pPr>
            <w:r w:rsidRPr="00F37126">
              <w:t>March-14</w:t>
            </w:r>
          </w:p>
        </w:tc>
        <w:tc>
          <w:tcPr>
            <w:tcW w:w="1705" w:type="dxa"/>
            <w:hideMark/>
          </w:tcPr>
          <w:p w14:paraId="1864CCFE" w14:textId="77777777" w:rsidR="00F37126" w:rsidRPr="00F37126" w:rsidRDefault="00F37126" w:rsidP="008B495E">
            <w:pPr>
              <w:pStyle w:val="ExhibitText"/>
              <w:jc w:val="right"/>
            </w:pPr>
            <w:r w:rsidRPr="00F37126">
              <w:t>United States</w:t>
            </w:r>
          </w:p>
        </w:tc>
      </w:tr>
      <w:tr w:rsidR="0003595C" w:rsidRPr="00F37126" w14:paraId="1F5A9335" w14:textId="77777777" w:rsidTr="00A43D96">
        <w:trPr>
          <w:trHeight w:val="179"/>
          <w:jc w:val="center"/>
        </w:trPr>
        <w:tc>
          <w:tcPr>
            <w:tcW w:w="3600" w:type="dxa"/>
            <w:hideMark/>
          </w:tcPr>
          <w:p w14:paraId="4B7A985A" w14:textId="77777777" w:rsidR="00F37126" w:rsidRPr="00F37126" w:rsidRDefault="00F37126" w:rsidP="00F37126">
            <w:pPr>
              <w:pStyle w:val="ExhibitText"/>
              <w:jc w:val="left"/>
            </w:pPr>
            <w:r w:rsidRPr="00F37126">
              <w:t>Credit Karma, Inc.</w:t>
            </w:r>
          </w:p>
        </w:tc>
        <w:tc>
          <w:tcPr>
            <w:tcW w:w="1260" w:type="dxa"/>
            <w:hideMark/>
          </w:tcPr>
          <w:p w14:paraId="39339906" w14:textId="6DAFC857" w:rsidR="00F37126" w:rsidRPr="00F37126" w:rsidRDefault="00F37126" w:rsidP="008B495E">
            <w:pPr>
              <w:pStyle w:val="ExhibitText"/>
              <w:jc w:val="right"/>
            </w:pPr>
            <w:r w:rsidRPr="00F37126">
              <w:t>$1.0</w:t>
            </w:r>
          </w:p>
        </w:tc>
        <w:tc>
          <w:tcPr>
            <w:tcW w:w="1170" w:type="dxa"/>
            <w:hideMark/>
          </w:tcPr>
          <w:p w14:paraId="0B825D57" w14:textId="5D0469B7" w:rsidR="00F37126" w:rsidRPr="00F37126" w:rsidRDefault="00F37126" w:rsidP="008B495E">
            <w:pPr>
              <w:pStyle w:val="ExhibitText"/>
              <w:jc w:val="right"/>
            </w:pPr>
            <w:r w:rsidRPr="00F37126">
              <w:t>$194</w:t>
            </w:r>
          </w:p>
        </w:tc>
        <w:tc>
          <w:tcPr>
            <w:tcW w:w="1530" w:type="dxa"/>
            <w:hideMark/>
          </w:tcPr>
          <w:p w14:paraId="23438423" w14:textId="77777777" w:rsidR="00F37126" w:rsidRPr="00F37126" w:rsidRDefault="00F37126" w:rsidP="008B495E">
            <w:pPr>
              <w:pStyle w:val="ExhibitText"/>
              <w:jc w:val="right"/>
            </w:pPr>
            <w:r w:rsidRPr="00F37126">
              <w:t>March-14</w:t>
            </w:r>
          </w:p>
        </w:tc>
        <w:tc>
          <w:tcPr>
            <w:tcW w:w="1705" w:type="dxa"/>
            <w:hideMark/>
          </w:tcPr>
          <w:p w14:paraId="7030E8A9" w14:textId="77777777" w:rsidR="00F37126" w:rsidRPr="00F37126" w:rsidRDefault="00F37126" w:rsidP="008B495E">
            <w:pPr>
              <w:pStyle w:val="ExhibitText"/>
              <w:jc w:val="right"/>
            </w:pPr>
            <w:r w:rsidRPr="00F37126">
              <w:t>United States</w:t>
            </w:r>
          </w:p>
        </w:tc>
      </w:tr>
      <w:tr w:rsidR="0003595C" w:rsidRPr="00F37126" w14:paraId="12805C34" w14:textId="77777777" w:rsidTr="00A43D96">
        <w:trPr>
          <w:trHeight w:val="125"/>
          <w:jc w:val="center"/>
        </w:trPr>
        <w:tc>
          <w:tcPr>
            <w:tcW w:w="3600" w:type="dxa"/>
            <w:hideMark/>
          </w:tcPr>
          <w:p w14:paraId="70CE1CD0" w14:textId="77777777" w:rsidR="00F37126" w:rsidRPr="00F37126" w:rsidRDefault="00F37126" w:rsidP="00F37126">
            <w:pPr>
              <w:pStyle w:val="ExhibitText"/>
              <w:jc w:val="left"/>
            </w:pPr>
            <w:r w:rsidRPr="00F37126">
              <w:t>InsideSales.com</w:t>
            </w:r>
          </w:p>
        </w:tc>
        <w:tc>
          <w:tcPr>
            <w:tcW w:w="1260" w:type="dxa"/>
            <w:hideMark/>
          </w:tcPr>
          <w:p w14:paraId="2E34391F" w14:textId="0BA59EB4" w:rsidR="00F37126" w:rsidRPr="00F37126" w:rsidRDefault="00F37126" w:rsidP="008B495E">
            <w:pPr>
              <w:pStyle w:val="ExhibitText"/>
              <w:jc w:val="right"/>
            </w:pPr>
            <w:r w:rsidRPr="00F37126">
              <w:t>$1.0</w:t>
            </w:r>
          </w:p>
        </w:tc>
        <w:tc>
          <w:tcPr>
            <w:tcW w:w="1170" w:type="dxa"/>
            <w:hideMark/>
          </w:tcPr>
          <w:p w14:paraId="248020EC" w14:textId="0D586B2C" w:rsidR="00F37126" w:rsidRPr="00F37126" w:rsidRDefault="00F37126" w:rsidP="008B495E">
            <w:pPr>
              <w:pStyle w:val="ExhibitText"/>
              <w:jc w:val="right"/>
            </w:pPr>
            <w:r w:rsidRPr="00F37126">
              <w:t>$139</w:t>
            </w:r>
          </w:p>
        </w:tc>
        <w:tc>
          <w:tcPr>
            <w:tcW w:w="1530" w:type="dxa"/>
            <w:hideMark/>
          </w:tcPr>
          <w:p w14:paraId="627BBC39" w14:textId="77777777" w:rsidR="00F37126" w:rsidRPr="00F37126" w:rsidRDefault="00F37126" w:rsidP="008B495E">
            <w:pPr>
              <w:pStyle w:val="ExhibitText"/>
              <w:jc w:val="right"/>
            </w:pPr>
            <w:r w:rsidRPr="00F37126">
              <w:t>April-14</w:t>
            </w:r>
          </w:p>
        </w:tc>
        <w:tc>
          <w:tcPr>
            <w:tcW w:w="1705" w:type="dxa"/>
            <w:hideMark/>
          </w:tcPr>
          <w:p w14:paraId="3FF0C347" w14:textId="77777777" w:rsidR="00F37126" w:rsidRPr="00F37126" w:rsidRDefault="00F37126" w:rsidP="008B495E">
            <w:pPr>
              <w:pStyle w:val="ExhibitText"/>
              <w:jc w:val="right"/>
            </w:pPr>
            <w:r w:rsidRPr="00F37126">
              <w:t>United States</w:t>
            </w:r>
          </w:p>
        </w:tc>
      </w:tr>
      <w:tr w:rsidR="0003595C" w:rsidRPr="00F37126" w14:paraId="4CBF258E" w14:textId="77777777" w:rsidTr="00A43D96">
        <w:trPr>
          <w:trHeight w:val="152"/>
          <w:jc w:val="center"/>
        </w:trPr>
        <w:tc>
          <w:tcPr>
            <w:tcW w:w="3600" w:type="dxa"/>
            <w:hideMark/>
          </w:tcPr>
          <w:p w14:paraId="615DEF76" w14:textId="77777777" w:rsidR="00F37126" w:rsidRPr="00F37126" w:rsidRDefault="00F37126" w:rsidP="00F37126">
            <w:pPr>
              <w:pStyle w:val="ExhibitText"/>
              <w:jc w:val="left"/>
            </w:pPr>
            <w:r w:rsidRPr="00F37126">
              <w:t>Snapdeal</w:t>
            </w:r>
          </w:p>
        </w:tc>
        <w:tc>
          <w:tcPr>
            <w:tcW w:w="1260" w:type="dxa"/>
            <w:hideMark/>
          </w:tcPr>
          <w:p w14:paraId="6BB86106" w14:textId="6BC624D9" w:rsidR="00F37126" w:rsidRPr="00F37126" w:rsidRDefault="00F37126" w:rsidP="008B495E">
            <w:pPr>
              <w:pStyle w:val="ExhibitText"/>
              <w:jc w:val="right"/>
            </w:pPr>
            <w:r w:rsidRPr="00F37126">
              <w:t>$1.0</w:t>
            </w:r>
          </w:p>
        </w:tc>
        <w:tc>
          <w:tcPr>
            <w:tcW w:w="1170" w:type="dxa"/>
            <w:hideMark/>
          </w:tcPr>
          <w:p w14:paraId="1B6F173F" w14:textId="14143AB9" w:rsidR="00F37126" w:rsidRPr="00F37126" w:rsidRDefault="00F37126" w:rsidP="008B495E">
            <w:pPr>
              <w:pStyle w:val="ExhibitText"/>
              <w:jc w:val="right"/>
            </w:pPr>
            <w:r w:rsidRPr="00F37126">
              <w:t>$411</w:t>
            </w:r>
          </w:p>
        </w:tc>
        <w:tc>
          <w:tcPr>
            <w:tcW w:w="1530" w:type="dxa"/>
            <w:hideMark/>
          </w:tcPr>
          <w:p w14:paraId="0FDB8D4D" w14:textId="77777777" w:rsidR="00F37126" w:rsidRPr="00F37126" w:rsidRDefault="00F37126" w:rsidP="008B495E">
            <w:pPr>
              <w:pStyle w:val="ExhibitText"/>
              <w:jc w:val="right"/>
            </w:pPr>
            <w:r w:rsidRPr="00F37126">
              <w:t>May-14</w:t>
            </w:r>
          </w:p>
        </w:tc>
        <w:tc>
          <w:tcPr>
            <w:tcW w:w="1705" w:type="dxa"/>
            <w:hideMark/>
          </w:tcPr>
          <w:p w14:paraId="74C88C66" w14:textId="77777777" w:rsidR="00F37126" w:rsidRPr="00F37126" w:rsidRDefault="00F37126" w:rsidP="008B495E">
            <w:pPr>
              <w:pStyle w:val="ExhibitText"/>
              <w:jc w:val="right"/>
            </w:pPr>
            <w:r w:rsidRPr="00F37126">
              <w:t>India</w:t>
            </w:r>
          </w:p>
        </w:tc>
      </w:tr>
      <w:tr w:rsidR="0003595C" w:rsidRPr="00F37126" w14:paraId="20C68F38" w14:textId="77777777" w:rsidTr="00A43D96">
        <w:trPr>
          <w:trHeight w:val="179"/>
          <w:jc w:val="center"/>
        </w:trPr>
        <w:tc>
          <w:tcPr>
            <w:tcW w:w="3600" w:type="dxa"/>
            <w:hideMark/>
          </w:tcPr>
          <w:p w14:paraId="5C10A634" w14:textId="77777777" w:rsidR="00F37126" w:rsidRPr="00F37126" w:rsidRDefault="00F37126" w:rsidP="00F37126">
            <w:pPr>
              <w:pStyle w:val="ExhibitText"/>
              <w:jc w:val="left"/>
            </w:pPr>
            <w:r w:rsidRPr="00F37126">
              <w:t>Kupang Co., Ltd.</w:t>
            </w:r>
          </w:p>
        </w:tc>
        <w:tc>
          <w:tcPr>
            <w:tcW w:w="1260" w:type="dxa"/>
            <w:hideMark/>
          </w:tcPr>
          <w:p w14:paraId="05C50F22" w14:textId="2B808149" w:rsidR="00F37126" w:rsidRPr="00F37126" w:rsidRDefault="00F37126" w:rsidP="008B495E">
            <w:pPr>
              <w:pStyle w:val="ExhibitText"/>
              <w:jc w:val="right"/>
            </w:pPr>
            <w:r w:rsidRPr="00F37126">
              <w:t>$1.0</w:t>
            </w:r>
          </w:p>
        </w:tc>
        <w:tc>
          <w:tcPr>
            <w:tcW w:w="1170" w:type="dxa"/>
            <w:hideMark/>
          </w:tcPr>
          <w:p w14:paraId="73E23097" w14:textId="671D8679" w:rsidR="00F37126" w:rsidRPr="00F37126" w:rsidRDefault="00F37126" w:rsidP="008B495E">
            <w:pPr>
              <w:pStyle w:val="ExhibitText"/>
              <w:jc w:val="right"/>
            </w:pPr>
            <w:r w:rsidRPr="00F37126">
              <w:t>$118</w:t>
            </w:r>
          </w:p>
        </w:tc>
        <w:tc>
          <w:tcPr>
            <w:tcW w:w="1530" w:type="dxa"/>
            <w:hideMark/>
          </w:tcPr>
          <w:p w14:paraId="476EF542" w14:textId="77777777" w:rsidR="00F37126" w:rsidRPr="00F37126" w:rsidRDefault="00F37126" w:rsidP="008B495E">
            <w:pPr>
              <w:pStyle w:val="ExhibitText"/>
              <w:jc w:val="right"/>
            </w:pPr>
            <w:r w:rsidRPr="00F37126">
              <w:t>May-14</w:t>
            </w:r>
          </w:p>
        </w:tc>
        <w:tc>
          <w:tcPr>
            <w:tcW w:w="1705" w:type="dxa"/>
            <w:hideMark/>
          </w:tcPr>
          <w:p w14:paraId="06C3CE1B" w14:textId="77777777" w:rsidR="00F37126" w:rsidRPr="00F37126" w:rsidRDefault="00F37126" w:rsidP="008B495E">
            <w:pPr>
              <w:pStyle w:val="ExhibitText"/>
              <w:jc w:val="right"/>
            </w:pPr>
            <w:r w:rsidRPr="00F37126">
              <w:t>South Korea</w:t>
            </w:r>
          </w:p>
        </w:tc>
      </w:tr>
      <w:tr w:rsidR="0003595C" w:rsidRPr="00F37126" w14:paraId="01DF1FDE" w14:textId="77777777" w:rsidTr="00A43D96">
        <w:trPr>
          <w:trHeight w:val="386"/>
          <w:jc w:val="center"/>
        </w:trPr>
        <w:tc>
          <w:tcPr>
            <w:tcW w:w="3600" w:type="dxa"/>
            <w:hideMark/>
          </w:tcPr>
          <w:p w14:paraId="7C710DAA" w14:textId="77777777" w:rsidR="00F37126" w:rsidRPr="00F37126" w:rsidRDefault="00F37126" w:rsidP="00F37126">
            <w:pPr>
              <w:pStyle w:val="ExhibitText"/>
              <w:jc w:val="left"/>
            </w:pPr>
            <w:r w:rsidRPr="00F37126">
              <w:t>Mogujie.com Hangzhou Kuaua Network Co., Ltd.</w:t>
            </w:r>
          </w:p>
        </w:tc>
        <w:tc>
          <w:tcPr>
            <w:tcW w:w="1260" w:type="dxa"/>
            <w:vAlign w:val="center"/>
            <w:hideMark/>
          </w:tcPr>
          <w:p w14:paraId="1826270D" w14:textId="7BEC8916" w:rsidR="00F37126" w:rsidRPr="00F37126" w:rsidRDefault="00F37126" w:rsidP="0003595C">
            <w:pPr>
              <w:pStyle w:val="ExhibitText"/>
              <w:jc w:val="right"/>
            </w:pPr>
            <w:r w:rsidRPr="00F37126">
              <w:t>$1.0</w:t>
            </w:r>
          </w:p>
        </w:tc>
        <w:tc>
          <w:tcPr>
            <w:tcW w:w="1170" w:type="dxa"/>
            <w:vAlign w:val="center"/>
            <w:hideMark/>
          </w:tcPr>
          <w:p w14:paraId="0AB4CD9B" w14:textId="72BCC3CB" w:rsidR="00F37126" w:rsidRPr="00F37126" w:rsidRDefault="00F37126" w:rsidP="0003595C">
            <w:pPr>
              <w:pStyle w:val="ExhibitText"/>
              <w:jc w:val="right"/>
            </w:pPr>
            <w:r w:rsidRPr="00F37126">
              <w:t>$200</w:t>
            </w:r>
          </w:p>
        </w:tc>
        <w:tc>
          <w:tcPr>
            <w:tcW w:w="1530" w:type="dxa"/>
            <w:vAlign w:val="center"/>
            <w:hideMark/>
          </w:tcPr>
          <w:p w14:paraId="55406968" w14:textId="77777777" w:rsidR="00F37126" w:rsidRPr="00F37126" w:rsidRDefault="00F37126" w:rsidP="0003595C">
            <w:pPr>
              <w:pStyle w:val="ExhibitText"/>
              <w:jc w:val="right"/>
            </w:pPr>
            <w:r w:rsidRPr="00F37126">
              <w:t>June-14</w:t>
            </w:r>
          </w:p>
        </w:tc>
        <w:tc>
          <w:tcPr>
            <w:tcW w:w="1705" w:type="dxa"/>
            <w:vAlign w:val="center"/>
            <w:hideMark/>
          </w:tcPr>
          <w:p w14:paraId="23189A2B" w14:textId="77777777" w:rsidR="00F37126" w:rsidRPr="00F37126" w:rsidRDefault="00F37126" w:rsidP="0003595C">
            <w:pPr>
              <w:pStyle w:val="ExhibitText"/>
              <w:jc w:val="right"/>
            </w:pPr>
            <w:r w:rsidRPr="00F37126">
              <w:t>China</w:t>
            </w:r>
          </w:p>
        </w:tc>
      </w:tr>
      <w:tr w:rsidR="0003595C" w:rsidRPr="00F37126" w14:paraId="3E5D9A02" w14:textId="77777777" w:rsidTr="00A43D96">
        <w:trPr>
          <w:trHeight w:val="98"/>
          <w:jc w:val="center"/>
        </w:trPr>
        <w:tc>
          <w:tcPr>
            <w:tcW w:w="3600" w:type="dxa"/>
            <w:hideMark/>
          </w:tcPr>
          <w:p w14:paraId="67D63C9F" w14:textId="77777777" w:rsidR="00F37126" w:rsidRPr="00F37126" w:rsidRDefault="00F37126" w:rsidP="00F37126">
            <w:pPr>
              <w:pStyle w:val="ExhibitText"/>
              <w:jc w:val="left"/>
            </w:pPr>
            <w:r w:rsidRPr="00F37126">
              <w:t>NUTANIX</w:t>
            </w:r>
          </w:p>
        </w:tc>
        <w:tc>
          <w:tcPr>
            <w:tcW w:w="1260" w:type="dxa"/>
            <w:hideMark/>
          </w:tcPr>
          <w:p w14:paraId="20E089B7" w14:textId="3C53FA58" w:rsidR="00F37126" w:rsidRPr="00F37126" w:rsidRDefault="00F37126" w:rsidP="008B495E">
            <w:pPr>
              <w:pStyle w:val="ExhibitText"/>
              <w:jc w:val="right"/>
            </w:pPr>
            <w:r w:rsidRPr="00F37126">
              <w:t>$1.0</w:t>
            </w:r>
          </w:p>
        </w:tc>
        <w:tc>
          <w:tcPr>
            <w:tcW w:w="1170" w:type="dxa"/>
            <w:hideMark/>
          </w:tcPr>
          <w:p w14:paraId="610FF5D0" w14:textId="4EB03BE8" w:rsidR="00F37126" w:rsidRPr="00F37126" w:rsidRDefault="00F37126" w:rsidP="008B495E">
            <w:pPr>
              <w:pStyle w:val="ExhibitText"/>
              <w:jc w:val="right"/>
            </w:pPr>
            <w:r w:rsidRPr="00F37126">
              <w:t>$172</w:t>
            </w:r>
          </w:p>
        </w:tc>
        <w:tc>
          <w:tcPr>
            <w:tcW w:w="1530" w:type="dxa"/>
            <w:hideMark/>
          </w:tcPr>
          <w:p w14:paraId="3C561F94" w14:textId="77777777" w:rsidR="00F37126" w:rsidRPr="00F37126" w:rsidRDefault="00F37126" w:rsidP="008B495E">
            <w:pPr>
              <w:pStyle w:val="ExhibitText"/>
              <w:jc w:val="right"/>
            </w:pPr>
            <w:r w:rsidRPr="00F37126">
              <w:t>December-13</w:t>
            </w:r>
          </w:p>
        </w:tc>
        <w:tc>
          <w:tcPr>
            <w:tcW w:w="1705" w:type="dxa"/>
            <w:hideMark/>
          </w:tcPr>
          <w:p w14:paraId="4F0643A3" w14:textId="77777777" w:rsidR="00F37126" w:rsidRPr="00F37126" w:rsidRDefault="00F37126" w:rsidP="008B495E">
            <w:pPr>
              <w:pStyle w:val="ExhibitText"/>
              <w:jc w:val="right"/>
            </w:pPr>
            <w:r w:rsidRPr="00F37126">
              <w:t>Sweden</w:t>
            </w:r>
          </w:p>
        </w:tc>
      </w:tr>
      <w:tr w:rsidR="0003595C" w:rsidRPr="00F37126" w14:paraId="224B2F25" w14:textId="77777777" w:rsidTr="00A43D96">
        <w:trPr>
          <w:trHeight w:val="125"/>
          <w:jc w:val="center"/>
        </w:trPr>
        <w:tc>
          <w:tcPr>
            <w:tcW w:w="3600" w:type="dxa"/>
            <w:hideMark/>
          </w:tcPr>
          <w:p w14:paraId="27EA17BE" w14:textId="77777777" w:rsidR="00F37126" w:rsidRPr="00F37126" w:rsidRDefault="00F37126" w:rsidP="00F37126">
            <w:pPr>
              <w:pStyle w:val="ExhibitText"/>
              <w:jc w:val="left"/>
            </w:pPr>
            <w:r w:rsidRPr="00F37126">
              <w:t>Lookout, Inc.</w:t>
            </w:r>
          </w:p>
        </w:tc>
        <w:tc>
          <w:tcPr>
            <w:tcW w:w="1260" w:type="dxa"/>
            <w:hideMark/>
          </w:tcPr>
          <w:p w14:paraId="5A9DA5C5" w14:textId="7CB7C46D" w:rsidR="00F37126" w:rsidRPr="00F37126" w:rsidRDefault="00F37126" w:rsidP="008B495E">
            <w:pPr>
              <w:pStyle w:val="ExhibitText"/>
              <w:jc w:val="right"/>
            </w:pPr>
            <w:r w:rsidRPr="00F37126">
              <w:t>$1.0</w:t>
            </w:r>
          </w:p>
        </w:tc>
        <w:tc>
          <w:tcPr>
            <w:tcW w:w="1170" w:type="dxa"/>
            <w:hideMark/>
          </w:tcPr>
          <w:p w14:paraId="6CED56EC" w14:textId="59F7022E" w:rsidR="00F37126" w:rsidRPr="00F37126" w:rsidRDefault="00F37126" w:rsidP="008B495E">
            <w:pPr>
              <w:pStyle w:val="ExhibitText"/>
              <w:jc w:val="right"/>
            </w:pPr>
            <w:r w:rsidRPr="00F37126">
              <w:t>$134</w:t>
            </w:r>
          </w:p>
        </w:tc>
        <w:tc>
          <w:tcPr>
            <w:tcW w:w="1530" w:type="dxa"/>
            <w:hideMark/>
          </w:tcPr>
          <w:p w14:paraId="682C8C33" w14:textId="77777777" w:rsidR="00F37126" w:rsidRPr="00F37126" w:rsidRDefault="00F37126" w:rsidP="008B495E">
            <w:pPr>
              <w:pStyle w:val="ExhibitText"/>
              <w:jc w:val="right"/>
            </w:pPr>
            <w:r w:rsidRPr="00F37126">
              <w:t>September-13</w:t>
            </w:r>
          </w:p>
        </w:tc>
        <w:tc>
          <w:tcPr>
            <w:tcW w:w="1705" w:type="dxa"/>
            <w:hideMark/>
          </w:tcPr>
          <w:p w14:paraId="100B7319" w14:textId="77777777" w:rsidR="00F37126" w:rsidRPr="00F37126" w:rsidRDefault="00F37126" w:rsidP="008B495E">
            <w:pPr>
              <w:pStyle w:val="ExhibitText"/>
              <w:jc w:val="right"/>
            </w:pPr>
            <w:r w:rsidRPr="00F37126">
              <w:t>United States</w:t>
            </w:r>
          </w:p>
        </w:tc>
      </w:tr>
    </w:tbl>
    <w:p w14:paraId="6943CCB6" w14:textId="77777777" w:rsidR="00254E8C" w:rsidRDefault="00254E8C" w:rsidP="00E06166">
      <w:pPr>
        <w:pStyle w:val="Footnote"/>
      </w:pPr>
    </w:p>
    <w:p w14:paraId="17BB196B" w14:textId="06697B94" w:rsidR="005B05EE" w:rsidRDefault="005B05EE" w:rsidP="00E06166">
      <w:pPr>
        <w:pStyle w:val="Footnote"/>
        <w:rPr>
          <w:bCs/>
          <w:color w:val="000000" w:themeColor="text1"/>
        </w:rPr>
      </w:pPr>
      <w:r w:rsidRPr="00216DF1">
        <w:t>Source:</w:t>
      </w:r>
      <w:r w:rsidR="0045435F" w:rsidRPr="00216DF1">
        <w:t xml:space="preserve"> </w:t>
      </w:r>
      <w:r w:rsidR="00235118" w:rsidRPr="00216DF1">
        <w:t>Scott Austin</w:t>
      </w:r>
      <w:r w:rsidRPr="00216DF1">
        <w:t xml:space="preserve">, </w:t>
      </w:r>
      <w:r w:rsidR="000F1A6A" w:rsidRPr="00216DF1">
        <w:t>Chris Canipe</w:t>
      </w:r>
      <w:r w:rsidR="005E53EB">
        <w:t>,</w:t>
      </w:r>
      <w:r w:rsidR="000F1A6A" w:rsidRPr="00216DF1">
        <w:t xml:space="preserve"> and Sarah Slobin, </w:t>
      </w:r>
      <w:r w:rsidRPr="00216DF1">
        <w:t xml:space="preserve">“The Billion Dollar Startup Club,” </w:t>
      </w:r>
      <w:r w:rsidR="000F1A6A" w:rsidRPr="00E06166">
        <w:rPr>
          <w:i/>
        </w:rPr>
        <w:t>Wall Street Journal</w:t>
      </w:r>
      <w:r w:rsidR="000F1A6A" w:rsidRPr="00216DF1">
        <w:t xml:space="preserve">, February 18, 2015, </w:t>
      </w:r>
      <w:r w:rsidRPr="00216DF1">
        <w:t xml:space="preserve">accessed May 21, 2017, </w:t>
      </w:r>
      <w:r w:rsidR="0045435F" w:rsidRPr="00216DF1">
        <w:rPr>
          <w:bCs/>
          <w:color w:val="000000" w:themeColor="text1"/>
        </w:rPr>
        <w:t>graphics.wsj.com/billion-dollar-club</w:t>
      </w:r>
      <w:r w:rsidR="008F3473" w:rsidRPr="00216DF1">
        <w:rPr>
          <w:bCs/>
          <w:color w:val="000000" w:themeColor="text1"/>
        </w:rPr>
        <w:t>.</w:t>
      </w:r>
    </w:p>
    <w:p w14:paraId="6911482B" w14:textId="77777777" w:rsidR="00254E8C" w:rsidRDefault="00254E8C" w:rsidP="00E06166">
      <w:pPr>
        <w:pStyle w:val="Footnote"/>
        <w:rPr>
          <w:bCs/>
          <w:color w:val="000000" w:themeColor="text1"/>
        </w:rPr>
      </w:pPr>
    </w:p>
    <w:p w14:paraId="570A8298" w14:textId="77777777" w:rsidR="00254E8C" w:rsidRPr="00216DF1" w:rsidRDefault="00254E8C" w:rsidP="00E06166">
      <w:pPr>
        <w:pStyle w:val="Footnote"/>
        <w:rPr>
          <w:bCs/>
          <w:color w:val="000000" w:themeColor="text1"/>
        </w:rPr>
      </w:pPr>
    </w:p>
    <w:p w14:paraId="5E1E0062" w14:textId="26F90F90" w:rsidR="00782C29" w:rsidRPr="00216DF1" w:rsidRDefault="00782C29" w:rsidP="00E06166">
      <w:pPr>
        <w:pStyle w:val="ExhibitHeading"/>
      </w:pPr>
      <w:r w:rsidRPr="00216DF1">
        <w:t>Exhibit 3: Square, Inc. gross payme</w:t>
      </w:r>
      <w:r w:rsidR="002C4B8A" w:rsidRPr="00216DF1">
        <w:t>nt volume and ebitda (in thousand</w:t>
      </w:r>
      <w:r w:rsidRPr="00216DF1">
        <w:t>s of US$)</w:t>
      </w:r>
    </w:p>
    <w:p w14:paraId="7290AE00" w14:textId="77777777" w:rsidR="007A7AA9" w:rsidRPr="00216DF1" w:rsidRDefault="007A7AA9" w:rsidP="00E06166">
      <w:pPr>
        <w:pStyle w:val="ExhibitText"/>
      </w:pPr>
    </w:p>
    <w:tbl>
      <w:tblPr>
        <w:tblStyle w:val="TableGrid"/>
        <w:tblW w:w="0" w:type="auto"/>
        <w:tblInd w:w="1624" w:type="dxa"/>
        <w:tblLook w:val="04A0" w:firstRow="1" w:lastRow="0" w:firstColumn="1" w:lastColumn="0" w:noHBand="0" w:noVBand="1"/>
      </w:tblPr>
      <w:tblGrid>
        <w:gridCol w:w="2328"/>
        <w:gridCol w:w="1317"/>
        <w:gridCol w:w="1462"/>
        <w:gridCol w:w="1661"/>
      </w:tblGrid>
      <w:tr w:rsidR="005857E7" w:rsidRPr="00216DF1" w14:paraId="3D5CBCEA" w14:textId="77777777" w:rsidTr="005857E7">
        <w:trPr>
          <w:trHeight w:val="700"/>
        </w:trPr>
        <w:tc>
          <w:tcPr>
            <w:tcW w:w="0" w:type="auto"/>
            <w:vAlign w:val="bottom"/>
          </w:tcPr>
          <w:p w14:paraId="79BA404B" w14:textId="2021EBBB" w:rsidR="005857E7" w:rsidRPr="00E06166" w:rsidRDefault="005857E7" w:rsidP="00E06166">
            <w:pPr>
              <w:pStyle w:val="ExhibitText"/>
              <w:rPr>
                <w:b/>
              </w:rPr>
            </w:pPr>
          </w:p>
        </w:tc>
        <w:tc>
          <w:tcPr>
            <w:tcW w:w="0" w:type="auto"/>
            <w:tcBorders>
              <w:right w:val="single" w:sz="4" w:space="0" w:color="auto"/>
            </w:tcBorders>
            <w:vAlign w:val="center"/>
          </w:tcPr>
          <w:p w14:paraId="2465AF9C" w14:textId="77777777" w:rsidR="005857E7" w:rsidRPr="00E06166" w:rsidRDefault="005857E7" w:rsidP="005857E7">
            <w:pPr>
              <w:pStyle w:val="ExhibitText"/>
              <w:jc w:val="center"/>
              <w:rPr>
                <w:b/>
              </w:rPr>
            </w:pPr>
            <w:r w:rsidRPr="00E06166">
              <w:rPr>
                <w:b/>
              </w:rPr>
              <w:t>Year Ended</w:t>
            </w:r>
          </w:p>
          <w:p w14:paraId="794180BE" w14:textId="6C0EB096" w:rsidR="005857E7" w:rsidRPr="00E06166" w:rsidRDefault="005857E7" w:rsidP="005857E7">
            <w:pPr>
              <w:pStyle w:val="ExhibitText"/>
              <w:jc w:val="center"/>
              <w:rPr>
                <w:b/>
              </w:rPr>
            </w:pPr>
            <w:r w:rsidRPr="00E06166">
              <w:rPr>
                <w:b/>
              </w:rPr>
              <w:t>2012</w:t>
            </w:r>
          </w:p>
        </w:tc>
        <w:tc>
          <w:tcPr>
            <w:tcW w:w="0" w:type="auto"/>
            <w:tcBorders>
              <w:left w:val="single" w:sz="4" w:space="0" w:color="auto"/>
            </w:tcBorders>
            <w:vAlign w:val="center"/>
          </w:tcPr>
          <w:p w14:paraId="74390DD9" w14:textId="77777777" w:rsidR="005857E7" w:rsidRPr="00E06166" w:rsidRDefault="005857E7" w:rsidP="005857E7">
            <w:pPr>
              <w:pStyle w:val="ExhibitText"/>
              <w:jc w:val="center"/>
              <w:rPr>
                <w:b/>
              </w:rPr>
            </w:pPr>
            <w:r w:rsidRPr="00E06166">
              <w:rPr>
                <w:b/>
              </w:rPr>
              <w:t>December 31</w:t>
            </w:r>
          </w:p>
          <w:p w14:paraId="60F4F0D5" w14:textId="4BD52622" w:rsidR="005857E7" w:rsidRPr="00E06166" w:rsidRDefault="005857E7" w:rsidP="005857E7">
            <w:pPr>
              <w:pStyle w:val="ExhibitText"/>
              <w:jc w:val="center"/>
              <w:rPr>
                <w:b/>
              </w:rPr>
            </w:pPr>
            <w:r w:rsidRPr="00E06166">
              <w:rPr>
                <w:b/>
              </w:rPr>
              <w:t>2013</w:t>
            </w:r>
          </w:p>
        </w:tc>
        <w:tc>
          <w:tcPr>
            <w:tcW w:w="1661" w:type="dxa"/>
            <w:vAlign w:val="center"/>
          </w:tcPr>
          <w:p w14:paraId="57DD0693" w14:textId="77777777" w:rsidR="005857E7" w:rsidRPr="00E06166" w:rsidRDefault="005857E7" w:rsidP="005857E7">
            <w:pPr>
              <w:pStyle w:val="ExhibitText"/>
              <w:jc w:val="center"/>
              <w:rPr>
                <w:b/>
              </w:rPr>
            </w:pPr>
            <w:r w:rsidRPr="00E06166">
              <w:rPr>
                <w:b/>
              </w:rPr>
              <w:t>Six Months Ended</w:t>
            </w:r>
          </w:p>
          <w:p w14:paraId="27A69988" w14:textId="55522B6A" w:rsidR="005857E7" w:rsidRPr="00E06166" w:rsidRDefault="005857E7" w:rsidP="005857E7">
            <w:pPr>
              <w:pStyle w:val="ExhibitText"/>
              <w:jc w:val="center"/>
              <w:rPr>
                <w:b/>
              </w:rPr>
            </w:pPr>
            <w:r w:rsidRPr="00E06166">
              <w:rPr>
                <w:b/>
              </w:rPr>
              <w:t>June 30, 2014</w:t>
            </w:r>
          </w:p>
        </w:tc>
      </w:tr>
      <w:tr w:rsidR="005857E7" w:rsidRPr="00216DF1" w14:paraId="2FEF91EF" w14:textId="77777777" w:rsidTr="00E94677">
        <w:tc>
          <w:tcPr>
            <w:tcW w:w="0" w:type="auto"/>
            <w:vAlign w:val="bottom"/>
          </w:tcPr>
          <w:p w14:paraId="7F9C968D" w14:textId="0BE6A857" w:rsidR="005857E7" w:rsidRPr="00E06166" w:rsidRDefault="005857E7" w:rsidP="00E06166">
            <w:pPr>
              <w:pStyle w:val="ExhibitText"/>
            </w:pPr>
            <w:r w:rsidRPr="00E06166">
              <w:t>Gross Payment Volume</w:t>
            </w:r>
          </w:p>
        </w:tc>
        <w:tc>
          <w:tcPr>
            <w:tcW w:w="0" w:type="auto"/>
            <w:vAlign w:val="bottom"/>
          </w:tcPr>
          <w:p w14:paraId="3548A51F" w14:textId="4A7E844B" w:rsidR="005857E7" w:rsidRPr="00E06166" w:rsidRDefault="005857E7" w:rsidP="00E06166">
            <w:pPr>
              <w:pStyle w:val="ExhibitText"/>
              <w:jc w:val="right"/>
            </w:pPr>
            <w:r w:rsidRPr="00E06166">
              <w:t xml:space="preserve">$6,518,000 </w:t>
            </w:r>
          </w:p>
        </w:tc>
        <w:tc>
          <w:tcPr>
            <w:tcW w:w="0" w:type="auto"/>
            <w:vAlign w:val="bottom"/>
          </w:tcPr>
          <w:p w14:paraId="3EF36084" w14:textId="5FCB38C9" w:rsidR="005857E7" w:rsidRPr="00E06166" w:rsidRDefault="005857E7" w:rsidP="00E06166">
            <w:pPr>
              <w:pStyle w:val="ExhibitText"/>
              <w:jc w:val="right"/>
            </w:pPr>
            <w:r w:rsidRPr="00E06166">
              <w:t xml:space="preserve">$14,819,000 </w:t>
            </w:r>
          </w:p>
        </w:tc>
        <w:tc>
          <w:tcPr>
            <w:tcW w:w="1661" w:type="dxa"/>
            <w:vAlign w:val="bottom"/>
          </w:tcPr>
          <w:p w14:paraId="08EABA09" w14:textId="41A9CE6C" w:rsidR="005857E7" w:rsidRPr="00E06166" w:rsidRDefault="005857E7" w:rsidP="00E06166">
            <w:pPr>
              <w:pStyle w:val="ExhibitText"/>
              <w:jc w:val="right"/>
            </w:pPr>
            <w:r w:rsidRPr="00E06166">
              <w:t xml:space="preserve"> $10,395,000 </w:t>
            </w:r>
          </w:p>
        </w:tc>
      </w:tr>
      <w:tr w:rsidR="005857E7" w:rsidRPr="00216DF1" w14:paraId="01935E7D" w14:textId="77777777" w:rsidTr="00E94677">
        <w:tc>
          <w:tcPr>
            <w:tcW w:w="0" w:type="auto"/>
            <w:vAlign w:val="bottom"/>
          </w:tcPr>
          <w:p w14:paraId="14BE4D2D" w14:textId="2AD4D292" w:rsidR="005857E7" w:rsidRPr="00E06166" w:rsidRDefault="005857E7" w:rsidP="00E06166">
            <w:pPr>
              <w:pStyle w:val="ExhibitText"/>
            </w:pPr>
            <w:r w:rsidRPr="00E06166">
              <w:t>Adjusted Revenue</w:t>
            </w:r>
          </w:p>
        </w:tc>
        <w:tc>
          <w:tcPr>
            <w:tcW w:w="0" w:type="auto"/>
            <w:vAlign w:val="bottom"/>
          </w:tcPr>
          <w:p w14:paraId="63A37889" w14:textId="72A60C82" w:rsidR="005857E7" w:rsidRPr="00E06166" w:rsidRDefault="005857E7" w:rsidP="00E06166">
            <w:pPr>
              <w:pStyle w:val="ExhibitText"/>
              <w:jc w:val="right"/>
            </w:pPr>
            <w:r w:rsidRPr="00E06166">
              <w:t xml:space="preserve">$67,627 </w:t>
            </w:r>
          </w:p>
        </w:tc>
        <w:tc>
          <w:tcPr>
            <w:tcW w:w="0" w:type="auto"/>
            <w:vAlign w:val="bottom"/>
          </w:tcPr>
          <w:p w14:paraId="1153FAA9" w14:textId="2AF63DBD" w:rsidR="005857E7" w:rsidRPr="00E06166" w:rsidRDefault="005857E7" w:rsidP="00E06166">
            <w:pPr>
              <w:pStyle w:val="ExhibitText"/>
              <w:jc w:val="right"/>
            </w:pPr>
            <w:r w:rsidRPr="00E06166">
              <w:t xml:space="preserve">$160,144 </w:t>
            </w:r>
          </w:p>
        </w:tc>
        <w:tc>
          <w:tcPr>
            <w:tcW w:w="1661" w:type="dxa"/>
            <w:vAlign w:val="bottom"/>
          </w:tcPr>
          <w:p w14:paraId="3F497ED4" w14:textId="1B8968E1" w:rsidR="005857E7" w:rsidRPr="00E06166" w:rsidRDefault="005857E7" w:rsidP="00E06166">
            <w:pPr>
              <w:pStyle w:val="ExhibitText"/>
              <w:jc w:val="right"/>
            </w:pPr>
            <w:r w:rsidRPr="00E06166">
              <w:t xml:space="preserve">$119,189 </w:t>
            </w:r>
          </w:p>
        </w:tc>
      </w:tr>
      <w:tr w:rsidR="005857E7" w:rsidRPr="00216DF1" w14:paraId="12725094" w14:textId="77777777" w:rsidTr="00E94677">
        <w:tc>
          <w:tcPr>
            <w:tcW w:w="0" w:type="auto"/>
            <w:vAlign w:val="bottom"/>
          </w:tcPr>
          <w:p w14:paraId="0D9CA23A" w14:textId="419EF106" w:rsidR="005857E7" w:rsidRPr="00E06166" w:rsidRDefault="005857E7" w:rsidP="00E06166">
            <w:pPr>
              <w:pStyle w:val="ExhibitText"/>
            </w:pPr>
            <w:r w:rsidRPr="00E06166">
              <w:t>Adjusted EBITDA</w:t>
            </w:r>
          </w:p>
        </w:tc>
        <w:tc>
          <w:tcPr>
            <w:tcW w:w="0" w:type="auto"/>
            <w:vAlign w:val="bottom"/>
          </w:tcPr>
          <w:p w14:paraId="4D08431E" w14:textId="64675916" w:rsidR="005857E7" w:rsidRPr="00E06166" w:rsidRDefault="005857E7" w:rsidP="00E06166">
            <w:pPr>
              <w:pStyle w:val="ExhibitText"/>
              <w:jc w:val="right"/>
            </w:pPr>
            <w:r w:rsidRPr="00E06166">
              <w:t>−$70,579</w:t>
            </w:r>
          </w:p>
        </w:tc>
        <w:tc>
          <w:tcPr>
            <w:tcW w:w="0" w:type="auto"/>
            <w:vAlign w:val="bottom"/>
          </w:tcPr>
          <w:p w14:paraId="5103B625" w14:textId="5F4804B4" w:rsidR="005857E7" w:rsidRPr="00E06166" w:rsidRDefault="005857E7" w:rsidP="00E06166">
            <w:pPr>
              <w:pStyle w:val="ExhibitText"/>
              <w:jc w:val="right"/>
            </w:pPr>
            <w:r w:rsidRPr="00E06166">
              <w:t>−$51,530</w:t>
            </w:r>
          </w:p>
        </w:tc>
        <w:tc>
          <w:tcPr>
            <w:tcW w:w="1661" w:type="dxa"/>
            <w:vAlign w:val="bottom"/>
          </w:tcPr>
          <w:p w14:paraId="4E00DEDB" w14:textId="5AA8D9B9" w:rsidR="005857E7" w:rsidRPr="00E06166" w:rsidRDefault="005857E7" w:rsidP="00E06166">
            <w:pPr>
              <w:pStyle w:val="ExhibitText"/>
              <w:jc w:val="right"/>
            </w:pPr>
            <w:r w:rsidRPr="00E06166">
              <w:t>−$44,002</w:t>
            </w:r>
          </w:p>
        </w:tc>
      </w:tr>
    </w:tbl>
    <w:p w14:paraId="10818F5C" w14:textId="77777777" w:rsidR="001B7DBA" w:rsidRPr="00216DF1" w:rsidRDefault="001B7DBA" w:rsidP="00E06166">
      <w:pPr>
        <w:pStyle w:val="ExhibitText"/>
        <w:rPr>
          <w:sz w:val="16"/>
          <w:szCs w:val="16"/>
        </w:rPr>
      </w:pPr>
    </w:p>
    <w:p w14:paraId="3195336D" w14:textId="4795810A" w:rsidR="00DD4EAC" w:rsidRPr="00216DF1" w:rsidRDefault="000F1A6A" w:rsidP="00E06166">
      <w:pPr>
        <w:pStyle w:val="Footnote"/>
      </w:pPr>
      <w:r w:rsidRPr="00216DF1">
        <w:t xml:space="preserve">Note: </w:t>
      </w:r>
      <w:r w:rsidR="008E6855">
        <w:t>EBITDA = earnings before interest, taxes, depreciation, and amortization;</w:t>
      </w:r>
      <w:r w:rsidR="008E6855" w:rsidRPr="00216DF1">
        <w:t xml:space="preserve"> </w:t>
      </w:r>
      <w:r w:rsidR="00A332A6" w:rsidRPr="00216DF1">
        <w:t xml:space="preserve">Gross </w:t>
      </w:r>
      <w:r w:rsidR="0075273F" w:rsidRPr="00216DF1">
        <w:t>p</w:t>
      </w:r>
      <w:r w:rsidR="00A332A6" w:rsidRPr="00216DF1">
        <w:t xml:space="preserve">ayment </w:t>
      </w:r>
      <w:r w:rsidR="0075273F" w:rsidRPr="00216DF1">
        <w:t>v</w:t>
      </w:r>
      <w:r w:rsidR="00A332A6" w:rsidRPr="00216DF1">
        <w:t xml:space="preserve">olume </w:t>
      </w:r>
      <w:r w:rsidR="001B7DBA" w:rsidRPr="00216DF1">
        <w:t>was</w:t>
      </w:r>
      <w:r w:rsidR="00323109" w:rsidRPr="00216DF1">
        <w:t xml:space="preserve"> the total dollar amount of all card payments processed by sellers using Square, net of refund</w:t>
      </w:r>
      <w:r w:rsidR="008E6855">
        <w:t>s</w:t>
      </w:r>
      <w:r w:rsidR="00803107" w:rsidRPr="00216DF1">
        <w:t xml:space="preserve">, excluding </w:t>
      </w:r>
      <w:r w:rsidR="00323109" w:rsidRPr="00216DF1">
        <w:t>card payments processed for Starbucks and activity</w:t>
      </w:r>
      <w:r w:rsidR="006268B5" w:rsidRPr="00216DF1">
        <w:t xml:space="preserve"> related to the</w:t>
      </w:r>
      <w:r w:rsidR="00323109" w:rsidRPr="00216DF1">
        <w:t xml:space="preserve"> Square Cash peer-to-peer payments service</w:t>
      </w:r>
      <w:r w:rsidRPr="00216DF1">
        <w:t xml:space="preserve">; </w:t>
      </w:r>
      <w:r w:rsidR="001B7DBA" w:rsidRPr="00216DF1">
        <w:t xml:space="preserve">Adjusted </w:t>
      </w:r>
      <w:r w:rsidR="0075273F" w:rsidRPr="00216DF1">
        <w:t>r</w:t>
      </w:r>
      <w:r w:rsidR="001B7DBA" w:rsidRPr="00216DF1">
        <w:t>evenue was</w:t>
      </w:r>
      <w:r w:rsidR="00DD4EAC" w:rsidRPr="00216DF1">
        <w:t xml:space="preserve"> a non-GAAP </w:t>
      </w:r>
      <w:r w:rsidR="00A43D96">
        <w:t xml:space="preserve">(generally accepted accounting principles) </w:t>
      </w:r>
      <w:r w:rsidR="00DD4EAC" w:rsidRPr="00216DF1">
        <w:t>financial measure defined as total net revenue less transaction costs, adjusted to eliminate the effect of activity under the payment</w:t>
      </w:r>
      <w:r w:rsidR="00514254">
        <w:t>-</w:t>
      </w:r>
      <w:r w:rsidR="00DD4EAC" w:rsidRPr="00216DF1">
        <w:t>processing agreement with Starbucks</w:t>
      </w:r>
      <w:r w:rsidRPr="00216DF1">
        <w:t xml:space="preserve">; </w:t>
      </w:r>
      <w:r w:rsidR="001B7DBA" w:rsidRPr="00216DF1">
        <w:t>Adjusted EBITDA wa</w:t>
      </w:r>
      <w:r w:rsidR="00DD4EAC" w:rsidRPr="00216DF1">
        <w:t>s a non-GAAP f</w:t>
      </w:r>
      <w:r w:rsidR="001B7DBA" w:rsidRPr="00216DF1">
        <w:t>inancial measure that represented</w:t>
      </w:r>
      <w:r w:rsidR="00DD4EAC" w:rsidRPr="00216DF1">
        <w:t xml:space="preserve"> the net loss, adjusted to eliminate the effect of Starbucks transaction revenue and Sta</w:t>
      </w:r>
      <w:r w:rsidR="00216DF1" w:rsidRPr="00216DF1">
        <w:t>r</w:t>
      </w:r>
      <w:r w:rsidR="00DD4EAC" w:rsidRPr="00216DF1">
        <w:t>bucks transaction costs, before interest income and expense, provision</w:t>
      </w:r>
      <w:r w:rsidR="0075273F" w:rsidRPr="00216DF1">
        <w:t>,</w:t>
      </w:r>
      <w:r w:rsidR="00DD4EAC" w:rsidRPr="00216DF1">
        <w:t xml:space="preserve"> or benefit for income taxes, depreciation, amortization, share-based compensation expense, other income and expense, the gain or loss on the sale of property and equipment, and impairment of intangible assets.</w:t>
      </w:r>
    </w:p>
    <w:p w14:paraId="46BDF087" w14:textId="36A2FB28" w:rsidR="009B3846" w:rsidRPr="00216DF1" w:rsidRDefault="009B3846" w:rsidP="00E06166">
      <w:pPr>
        <w:pStyle w:val="Footnote"/>
      </w:pPr>
      <w:r w:rsidRPr="00216DF1">
        <w:t xml:space="preserve">Source: </w:t>
      </w:r>
      <w:r w:rsidR="0075273F" w:rsidRPr="00216DF1">
        <w:t>United States Securities and Exchange Commission, “</w:t>
      </w:r>
      <w:r w:rsidRPr="00216DF1">
        <w:t>Square, Inc. Form S-1,</w:t>
      </w:r>
      <w:r w:rsidR="0075273F" w:rsidRPr="00216DF1">
        <w:t>”</w:t>
      </w:r>
      <w:r w:rsidRPr="00216DF1">
        <w:t xml:space="preserve"> accessed May 22, 2017, www.sec.gov/Archives/edgar/data/1512673/000119312515343733/d937622ds1.htm#fin937622_30</w:t>
      </w:r>
      <w:r w:rsidR="0075273F" w:rsidRPr="00216DF1">
        <w:t>.</w:t>
      </w:r>
    </w:p>
    <w:p w14:paraId="08AAE393" w14:textId="77777777" w:rsidR="001953B1" w:rsidRPr="00216DF1" w:rsidRDefault="001953B1" w:rsidP="001953B1">
      <w:pPr>
        <w:rPr>
          <w:rFonts w:ascii="Arial" w:hAnsi="Arial" w:cs="Arial"/>
          <w:b/>
          <w:sz w:val="18"/>
          <w:szCs w:val="18"/>
        </w:rPr>
      </w:pPr>
    </w:p>
    <w:p w14:paraId="0671FDB0" w14:textId="77777777" w:rsidR="00782C29" w:rsidRPr="00216DF1" w:rsidRDefault="00782C29">
      <w:pPr>
        <w:rPr>
          <w:rFonts w:ascii="Arial" w:hAnsi="Arial" w:cs="Arial"/>
          <w:b/>
          <w:caps/>
          <w:sz w:val="18"/>
          <w:szCs w:val="18"/>
        </w:rPr>
      </w:pPr>
      <w:r w:rsidRPr="00216DF1">
        <w:rPr>
          <w:rFonts w:ascii="Arial" w:hAnsi="Arial" w:cs="Arial"/>
          <w:b/>
          <w:caps/>
          <w:sz w:val="18"/>
          <w:szCs w:val="18"/>
        </w:rPr>
        <w:br w:type="page"/>
      </w:r>
    </w:p>
    <w:p w14:paraId="183068DE" w14:textId="0F15B23B" w:rsidR="009D37ED" w:rsidRPr="00216DF1" w:rsidRDefault="00C63CA6" w:rsidP="00E06166">
      <w:pPr>
        <w:pStyle w:val="ExhibitHeading"/>
      </w:pPr>
      <w:r w:rsidRPr="00216DF1">
        <w:lastRenderedPageBreak/>
        <w:t>Exhibit 4</w:t>
      </w:r>
      <w:r w:rsidR="009D37ED" w:rsidRPr="00216DF1">
        <w:t xml:space="preserve">: Square, Inc. </w:t>
      </w:r>
      <w:r w:rsidRPr="00216DF1">
        <w:t>Statements of cash flows</w:t>
      </w:r>
      <w:r w:rsidR="009D37ED" w:rsidRPr="00216DF1">
        <w:t xml:space="preserve"> (in </w:t>
      </w:r>
      <w:r w:rsidR="002C4B8A" w:rsidRPr="00216DF1">
        <w:t>thousand</w:t>
      </w:r>
      <w:r w:rsidR="009D37ED" w:rsidRPr="00216DF1">
        <w:t>s of US$)</w:t>
      </w:r>
    </w:p>
    <w:p w14:paraId="28FA9744" w14:textId="77777777" w:rsidR="00C63CA6" w:rsidRPr="00216DF1" w:rsidRDefault="00C63CA6" w:rsidP="00C63CA6">
      <w:pPr>
        <w:jc w:val="center"/>
        <w:rPr>
          <w:rFonts w:ascii="Arial" w:hAnsi="Arial" w:cs="Arial"/>
          <w:b/>
          <w:caps/>
          <w:sz w:val="18"/>
          <w:szCs w:val="18"/>
        </w:rPr>
      </w:pPr>
    </w:p>
    <w:tbl>
      <w:tblPr>
        <w:tblStyle w:val="TableGrid"/>
        <w:tblW w:w="8948" w:type="dxa"/>
        <w:jc w:val="center"/>
        <w:tblLayout w:type="fixed"/>
        <w:tblCellMar>
          <w:left w:w="29" w:type="dxa"/>
          <w:right w:w="29" w:type="dxa"/>
        </w:tblCellMar>
        <w:tblLook w:val="04A0" w:firstRow="1" w:lastRow="0" w:firstColumn="1" w:lastColumn="0" w:noHBand="0" w:noVBand="1"/>
      </w:tblPr>
      <w:tblGrid>
        <w:gridCol w:w="4945"/>
        <w:gridCol w:w="1170"/>
        <w:gridCol w:w="1260"/>
        <w:gridCol w:w="1573"/>
      </w:tblGrid>
      <w:tr w:rsidR="005857E7" w:rsidRPr="00216DF1" w14:paraId="6C9CFA81" w14:textId="77777777" w:rsidTr="00910B2C">
        <w:trPr>
          <w:trHeight w:val="629"/>
          <w:jc w:val="center"/>
        </w:trPr>
        <w:tc>
          <w:tcPr>
            <w:tcW w:w="4945" w:type="dxa"/>
            <w:vAlign w:val="bottom"/>
          </w:tcPr>
          <w:p w14:paraId="4D7956FE" w14:textId="77777777" w:rsidR="005857E7" w:rsidRPr="00E06166" w:rsidRDefault="005857E7" w:rsidP="00C63CA6">
            <w:pPr>
              <w:rPr>
                <w:rFonts w:ascii="Arial" w:hAnsi="Arial" w:cs="Arial"/>
                <w:b/>
                <w:caps/>
                <w:sz w:val="18"/>
                <w:szCs w:val="18"/>
              </w:rPr>
            </w:pPr>
          </w:p>
        </w:tc>
        <w:tc>
          <w:tcPr>
            <w:tcW w:w="1170" w:type="dxa"/>
            <w:tcBorders>
              <w:right w:val="single" w:sz="4" w:space="0" w:color="auto"/>
            </w:tcBorders>
            <w:vAlign w:val="center"/>
          </w:tcPr>
          <w:p w14:paraId="5DC191D2" w14:textId="77777777" w:rsidR="005857E7" w:rsidRPr="00E06166" w:rsidRDefault="005857E7" w:rsidP="005857E7">
            <w:pPr>
              <w:ind w:left="-21" w:right="-21"/>
              <w:jc w:val="center"/>
              <w:rPr>
                <w:rFonts w:ascii="Arial" w:hAnsi="Arial" w:cs="Arial"/>
                <w:b/>
                <w:color w:val="000000"/>
                <w:sz w:val="18"/>
                <w:szCs w:val="18"/>
              </w:rPr>
            </w:pPr>
            <w:r w:rsidRPr="00E06166">
              <w:rPr>
                <w:rFonts w:ascii="Arial" w:hAnsi="Arial" w:cs="Arial"/>
                <w:b/>
                <w:color w:val="000000"/>
                <w:sz w:val="18"/>
                <w:szCs w:val="18"/>
              </w:rPr>
              <w:t>Year Ended</w:t>
            </w:r>
          </w:p>
          <w:p w14:paraId="430B28F0" w14:textId="6603FD54" w:rsidR="005857E7" w:rsidRPr="00E06166" w:rsidRDefault="005857E7" w:rsidP="005857E7">
            <w:pPr>
              <w:jc w:val="center"/>
              <w:rPr>
                <w:rFonts w:ascii="Arial" w:hAnsi="Arial" w:cs="Arial"/>
                <w:b/>
                <w:color w:val="000000"/>
                <w:sz w:val="18"/>
                <w:szCs w:val="18"/>
              </w:rPr>
            </w:pPr>
            <w:r w:rsidRPr="00E06166">
              <w:rPr>
                <w:rFonts w:ascii="Arial" w:hAnsi="Arial" w:cs="Arial"/>
                <w:b/>
                <w:color w:val="000000"/>
                <w:sz w:val="18"/>
                <w:szCs w:val="18"/>
              </w:rPr>
              <w:t>2012</w:t>
            </w:r>
          </w:p>
        </w:tc>
        <w:tc>
          <w:tcPr>
            <w:tcW w:w="1260" w:type="dxa"/>
            <w:tcBorders>
              <w:left w:val="single" w:sz="4" w:space="0" w:color="auto"/>
              <w:right w:val="single" w:sz="4" w:space="0" w:color="auto"/>
            </w:tcBorders>
            <w:vAlign w:val="center"/>
          </w:tcPr>
          <w:p w14:paraId="50283F20" w14:textId="77777777" w:rsidR="005857E7" w:rsidRPr="00E06166" w:rsidRDefault="005857E7" w:rsidP="005857E7">
            <w:pPr>
              <w:ind w:left="-105" w:right="14"/>
              <w:jc w:val="center"/>
              <w:rPr>
                <w:rFonts w:ascii="Arial" w:hAnsi="Arial" w:cs="Arial"/>
                <w:b/>
                <w:color w:val="000000"/>
                <w:sz w:val="18"/>
                <w:szCs w:val="18"/>
              </w:rPr>
            </w:pPr>
            <w:r w:rsidRPr="00E06166">
              <w:rPr>
                <w:rFonts w:ascii="Arial" w:hAnsi="Arial" w:cs="Arial"/>
                <w:b/>
                <w:color w:val="000000"/>
                <w:sz w:val="18"/>
                <w:szCs w:val="18"/>
              </w:rPr>
              <w:t>December 31</w:t>
            </w:r>
          </w:p>
          <w:p w14:paraId="1E2E50C9" w14:textId="330A7BF4" w:rsidR="005857E7" w:rsidRPr="00E06166" w:rsidRDefault="005857E7" w:rsidP="005857E7">
            <w:pPr>
              <w:jc w:val="center"/>
              <w:rPr>
                <w:rFonts w:ascii="Arial" w:hAnsi="Arial" w:cs="Arial"/>
                <w:b/>
                <w:color w:val="000000"/>
                <w:sz w:val="18"/>
                <w:szCs w:val="18"/>
              </w:rPr>
            </w:pPr>
            <w:r w:rsidRPr="00E06166">
              <w:rPr>
                <w:rFonts w:ascii="Arial" w:hAnsi="Arial" w:cs="Arial"/>
                <w:b/>
                <w:color w:val="000000"/>
                <w:sz w:val="18"/>
                <w:szCs w:val="18"/>
              </w:rPr>
              <w:t>2013</w:t>
            </w:r>
          </w:p>
        </w:tc>
        <w:tc>
          <w:tcPr>
            <w:tcW w:w="1573" w:type="dxa"/>
            <w:tcBorders>
              <w:left w:val="single" w:sz="4" w:space="0" w:color="auto"/>
            </w:tcBorders>
            <w:vAlign w:val="center"/>
          </w:tcPr>
          <w:p w14:paraId="60941706" w14:textId="77777777" w:rsidR="005857E7" w:rsidRPr="00E06166" w:rsidRDefault="005857E7" w:rsidP="005857E7">
            <w:pPr>
              <w:jc w:val="center"/>
              <w:rPr>
                <w:rFonts w:ascii="Arial" w:hAnsi="Arial" w:cs="Arial"/>
                <w:b/>
                <w:color w:val="000000"/>
                <w:sz w:val="18"/>
                <w:szCs w:val="18"/>
              </w:rPr>
            </w:pPr>
            <w:r w:rsidRPr="00E06166">
              <w:rPr>
                <w:rFonts w:ascii="Arial" w:hAnsi="Arial" w:cs="Arial"/>
                <w:b/>
                <w:color w:val="000000"/>
                <w:sz w:val="18"/>
                <w:szCs w:val="18"/>
              </w:rPr>
              <w:t>Six Months Ended</w:t>
            </w:r>
          </w:p>
          <w:p w14:paraId="6CEA1E65" w14:textId="2C443B64" w:rsidR="005857E7" w:rsidRPr="00E06166" w:rsidRDefault="005857E7" w:rsidP="005857E7">
            <w:pPr>
              <w:jc w:val="center"/>
              <w:rPr>
                <w:rFonts w:ascii="Arial" w:hAnsi="Arial" w:cs="Arial"/>
                <w:b/>
                <w:color w:val="000000"/>
                <w:sz w:val="18"/>
                <w:szCs w:val="18"/>
              </w:rPr>
            </w:pPr>
            <w:r w:rsidRPr="00E06166">
              <w:rPr>
                <w:rFonts w:ascii="Arial" w:hAnsi="Arial" w:cs="Arial"/>
                <w:b/>
                <w:color w:val="000000"/>
                <w:sz w:val="18"/>
                <w:szCs w:val="18"/>
              </w:rPr>
              <w:t>June 30, 2014</w:t>
            </w:r>
          </w:p>
        </w:tc>
      </w:tr>
      <w:tr w:rsidR="00910B2C" w:rsidRPr="00216DF1" w14:paraId="4B430AD5" w14:textId="77777777" w:rsidTr="00571C7B">
        <w:trPr>
          <w:jc w:val="center"/>
        </w:trPr>
        <w:tc>
          <w:tcPr>
            <w:tcW w:w="4945" w:type="dxa"/>
            <w:vAlign w:val="bottom"/>
          </w:tcPr>
          <w:p w14:paraId="6EF39F44" w14:textId="14CB17FB" w:rsidR="00910B2C" w:rsidRPr="00E06166" w:rsidRDefault="00910B2C" w:rsidP="00C63CA6">
            <w:pPr>
              <w:rPr>
                <w:rFonts w:ascii="Arial" w:hAnsi="Arial" w:cs="Arial"/>
                <w:b/>
                <w:caps/>
                <w:sz w:val="18"/>
                <w:szCs w:val="18"/>
              </w:rPr>
            </w:pPr>
            <w:r w:rsidRPr="00E06166">
              <w:rPr>
                <w:rFonts w:ascii="Arial" w:hAnsi="Arial" w:cs="Arial"/>
                <w:b/>
                <w:bCs/>
                <w:color w:val="000000"/>
                <w:sz w:val="18"/>
                <w:szCs w:val="18"/>
              </w:rPr>
              <w:t>Cash flows from operating activities:</w:t>
            </w:r>
          </w:p>
        </w:tc>
        <w:tc>
          <w:tcPr>
            <w:tcW w:w="4003" w:type="dxa"/>
            <w:gridSpan w:val="3"/>
            <w:vAlign w:val="bottom"/>
          </w:tcPr>
          <w:p w14:paraId="188F447C" w14:textId="77777777" w:rsidR="00910B2C" w:rsidRPr="00E06166" w:rsidRDefault="00910B2C" w:rsidP="00C63CA6">
            <w:pPr>
              <w:jc w:val="center"/>
              <w:rPr>
                <w:rFonts w:ascii="Arial" w:hAnsi="Arial" w:cs="Arial"/>
                <w:b/>
                <w:caps/>
                <w:sz w:val="18"/>
                <w:szCs w:val="18"/>
              </w:rPr>
            </w:pPr>
          </w:p>
        </w:tc>
      </w:tr>
      <w:tr w:rsidR="005857E7" w:rsidRPr="00216DF1" w14:paraId="40A3EED5" w14:textId="77777777" w:rsidTr="00910B2C">
        <w:trPr>
          <w:jc w:val="center"/>
        </w:trPr>
        <w:tc>
          <w:tcPr>
            <w:tcW w:w="4945" w:type="dxa"/>
            <w:vAlign w:val="bottom"/>
          </w:tcPr>
          <w:p w14:paraId="660379A6" w14:textId="4E63A24C" w:rsidR="005857E7" w:rsidRPr="00E06166" w:rsidRDefault="005857E7" w:rsidP="00C63CA6">
            <w:pPr>
              <w:rPr>
                <w:rFonts w:ascii="Arial" w:hAnsi="Arial" w:cs="Arial"/>
                <w:b/>
                <w:caps/>
                <w:sz w:val="18"/>
                <w:szCs w:val="18"/>
              </w:rPr>
            </w:pPr>
            <w:r w:rsidRPr="00E06166">
              <w:rPr>
                <w:rFonts w:ascii="Arial" w:hAnsi="Arial" w:cs="Arial"/>
                <w:color w:val="000000"/>
                <w:sz w:val="18"/>
                <w:szCs w:val="18"/>
              </w:rPr>
              <w:t>Net loss</w:t>
            </w:r>
          </w:p>
        </w:tc>
        <w:tc>
          <w:tcPr>
            <w:tcW w:w="1170" w:type="dxa"/>
            <w:tcBorders>
              <w:bottom w:val="single" w:sz="4" w:space="0" w:color="auto"/>
            </w:tcBorders>
            <w:vAlign w:val="bottom"/>
          </w:tcPr>
          <w:p w14:paraId="2E5EC134" w14:textId="46D1BBF8"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85,199</w:t>
            </w:r>
          </w:p>
        </w:tc>
        <w:tc>
          <w:tcPr>
            <w:tcW w:w="1260" w:type="dxa"/>
            <w:tcBorders>
              <w:bottom w:val="single" w:sz="4" w:space="0" w:color="auto"/>
            </w:tcBorders>
            <w:vAlign w:val="bottom"/>
          </w:tcPr>
          <w:p w14:paraId="0426B0F3" w14:textId="61ADAACC"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104,493</w:t>
            </w:r>
          </w:p>
        </w:tc>
        <w:tc>
          <w:tcPr>
            <w:tcW w:w="1573" w:type="dxa"/>
            <w:vAlign w:val="bottom"/>
          </w:tcPr>
          <w:p w14:paraId="69321030" w14:textId="2B0E856F"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79,355</w:t>
            </w:r>
          </w:p>
        </w:tc>
      </w:tr>
      <w:tr w:rsidR="00910B2C" w:rsidRPr="00216DF1" w14:paraId="0EE714CB" w14:textId="77777777" w:rsidTr="00571C7B">
        <w:trPr>
          <w:jc w:val="center"/>
        </w:trPr>
        <w:tc>
          <w:tcPr>
            <w:tcW w:w="4945" w:type="dxa"/>
            <w:vAlign w:val="bottom"/>
          </w:tcPr>
          <w:p w14:paraId="6C0E42B5" w14:textId="54C4BDC6" w:rsidR="00910B2C" w:rsidRPr="00517CBD" w:rsidRDefault="00910B2C" w:rsidP="005857E7">
            <w:pPr>
              <w:suppressAutoHyphens/>
              <w:rPr>
                <w:rFonts w:ascii="Arial" w:hAnsi="Arial" w:cs="Arial"/>
                <w:b/>
                <w:caps/>
                <w:sz w:val="18"/>
                <w:szCs w:val="18"/>
              </w:rPr>
            </w:pPr>
            <w:r w:rsidRPr="00517CBD">
              <w:rPr>
                <w:rFonts w:ascii="Arial" w:hAnsi="Arial" w:cs="Arial"/>
                <w:b/>
                <w:color w:val="000000"/>
                <w:sz w:val="18"/>
                <w:szCs w:val="18"/>
              </w:rPr>
              <w:t>Adjustments to reconcile net loss to cash used in operating activities:</w:t>
            </w:r>
          </w:p>
        </w:tc>
        <w:tc>
          <w:tcPr>
            <w:tcW w:w="4003" w:type="dxa"/>
            <w:gridSpan w:val="3"/>
            <w:vAlign w:val="bottom"/>
          </w:tcPr>
          <w:p w14:paraId="482A03F8" w14:textId="77777777" w:rsidR="00910B2C" w:rsidRPr="00E06166" w:rsidRDefault="00910B2C" w:rsidP="00C63CA6">
            <w:pPr>
              <w:jc w:val="right"/>
              <w:rPr>
                <w:rFonts w:ascii="Arial" w:hAnsi="Arial" w:cs="Arial"/>
                <w:b/>
                <w:caps/>
                <w:sz w:val="18"/>
                <w:szCs w:val="18"/>
              </w:rPr>
            </w:pPr>
          </w:p>
        </w:tc>
      </w:tr>
      <w:tr w:rsidR="005857E7" w:rsidRPr="00216DF1" w14:paraId="6BCC4CEB" w14:textId="77777777" w:rsidTr="00910B2C">
        <w:trPr>
          <w:jc w:val="center"/>
        </w:trPr>
        <w:tc>
          <w:tcPr>
            <w:tcW w:w="4945" w:type="dxa"/>
            <w:vAlign w:val="bottom"/>
          </w:tcPr>
          <w:p w14:paraId="52155F1A" w14:textId="66C7FD04"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Depreciation and amortization</w:t>
            </w:r>
          </w:p>
        </w:tc>
        <w:tc>
          <w:tcPr>
            <w:tcW w:w="1170" w:type="dxa"/>
            <w:vAlign w:val="bottom"/>
          </w:tcPr>
          <w:p w14:paraId="18EE3A7F" w14:textId="214265BC"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3,579 </w:t>
            </w:r>
          </w:p>
        </w:tc>
        <w:tc>
          <w:tcPr>
            <w:tcW w:w="1260" w:type="dxa"/>
            <w:vAlign w:val="bottom"/>
          </w:tcPr>
          <w:p w14:paraId="0646C9A5" w14:textId="0B45AAA0"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8,272 </w:t>
            </w:r>
          </w:p>
        </w:tc>
        <w:tc>
          <w:tcPr>
            <w:tcW w:w="1573" w:type="dxa"/>
            <w:vAlign w:val="bottom"/>
          </w:tcPr>
          <w:p w14:paraId="2DC7F9F1" w14:textId="09F41A9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7,713 </w:t>
            </w:r>
          </w:p>
        </w:tc>
      </w:tr>
      <w:tr w:rsidR="005857E7" w:rsidRPr="00216DF1" w14:paraId="6A054BE0" w14:textId="77777777" w:rsidTr="00910B2C">
        <w:trPr>
          <w:trHeight w:val="197"/>
          <w:jc w:val="center"/>
        </w:trPr>
        <w:tc>
          <w:tcPr>
            <w:tcW w:w="4945" w:type="dxa"/>
            <w:vAlign w:val="bottom"/>
          </w:tcPr>
          <w:p w14:paraId="17AFC052" w14:textId="74ADD56B"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Share-based compensation</w:t>
            </w:r>
          </w:p>
        </w:tc>
        <w:tc>
          <w:tcPr>
            <w:tcW w:w="1170" w:type="dxa"/>
            <w:vAlign w:val="bottom"/>
          </w:tcPr>
          <w:p w14:paraId="4C71C176" w14:textId="4BE168A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8,114 </w:t>
            </w:r>
          </w:p>
        </w:tc>
        <w:tc>
          <w:tcPr>
            <w:tcW w:w="1260" w:type="dxa"/>
            <w:vAlign w:val="bottom"/>
          </w:tcPr>
          <w:p w14:paraId="4317A422" w14:textId="21788F0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14,658 </w:t>
            </w:r>
          </w:p>
        </w:tc>
        <w:tc>
          <w:tcPr>
            <w:tcW w:w="1573" w:type="dxa"/>
            <w:vAlign w:val="bottom"/>
          </w:tcPr>
          <w:p w14:paraId="18009949" w14:textId="7F72321D"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14,321 </w:t>
            </w:r>
          </w:p>
        </w:tc>
      </w:tr>
      <w:tr w:rsidR="005857E7" w:rsidRPr="00216DF1" w14:paraId="3D8CF012" w14:textId="77777777" w:rsidTr="00910B2C">
        <w:trPr>
          <w:jc w:val="center"/>
        </w:trPr>
        <w:tc>
          <w:tcPr>
            <w:tcW w:w="4945" w:type="dxa"/>
            <w:vAlign w:val="bottom"/>
          </w:tcPr>
          <w:p w14:paraId="683CBFB7" w14:textId="6721AA8B"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Starbucks share</w:t>
            </w:r>
            <w:r w:rsidRPr="00216DF1">
              <w:rPr>
                <w:rFonts w:ascii="Arial" w:hAnsi="Arial" w:cs="Arial"/>
                <w:color w:val="000000"/>
                <w:sz w:val="18"/>
                <w:szCs w:val="18"/>
              </w:rPr>
              <w:t>–</w:t>
            </w:r>
            <w:r w:rsidRPr="00E06166">
              <w:rPr>
                <w:rFonts w:ascii="Arial" w:hAnsi="Arial" w:cs="Arial"/>
                <w:color w:val="000000"/>
                <w:sz w:val="18"/>
                <w:szCs w:val="18"/>
              </w:rPr>
              <w:t>based incentive</w:t>
            </w:r>
          </w:p>
        </w:tc>
        <w:tc>
          <w:tcPr>
            <w:tcW w:w="1170" w:type="dxa"/>
            <w:vAlign w:val="bottom"/>
          </w:tcPr>
          <w:p w14:paraId="7D93CC88" w14:textId="33442560"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1,999 </w:t>
            </w:r>
          </w:p>
        </w:tc>
        <w:tc>
          <w:tcPr>
            <w:tcW w:w="1260" w:type="dxa"/>
            <w:vAlign w:val="bottom"/>
          </w:tcPr>
          <w:p w14:paraId="2A1A83AE" w14:textId="585A912A"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1B08D981" w14:textId="37047437"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5857E7" w:rsidRPr="00216DF1" w14:paraId="26E1FC5C" w14:textId="77777777" w:rsidTr="00910B2C">
        <w:trPr>
          <w:jc w:val="center"/>
        </w:trPr>
        <w:tc>
          <w:tcPr>
            <w:tcW w:w="4945" w:type="dxa"/>
            <w:vAlign w:val="bottom"/>
          </w:tcPr>
          <w:p w14:paraId="62E2C3F2" w14:textId="40EB3AEC"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Excess tax benefit from share-based payment activity</w:t>
            </w:r>
          </w:p>
        </w:tc>
        <w:tc>
          <w:tcPr>
            <w:tcW w:w="1170" w:type="dxa"/>
            <w:vAlign w:val="bottom"/>
          </w:tcPr>
          <w:p w14:paraId="3083F9D9" w14:textId="1B403A84"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5214D8FD" w14:textId="0A119813"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07501929" w14:textId="09278AB8"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5857E7" w:rsidRPr="00216DF1" w14:paraId="3751856A" w14:textId="77777777" w:rsidTr="00910B2C">
        <w:trPr>
          <w:jc w:val="center"/>
        </w:trPr>
        <w:tc>
          <w:tcPr>
            <w:tcW w:w="4945" w:type="dxa"/>
            <w:vAlign w:val="bottom"/>
          </w:tcPr>
          <w:p w14:paraId="469B0D51" w14:textId="4D016B8A"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Provision for transaction losses</w:t>
            </w:r>
          </w:p>
        </w:tc>
        <w:tc>
          <w:tcPr>
            <w:tcW w:w="1170" w:type="dxa"/>
            <w:vAlign w:val="bottom"/>
          </w:tcPr>
          <w:p w14:paraId="455AC999" w14:textId="4A877DE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10,512 </w:t>
            </w:r>
          </w:p>
        </w:tc>
        <w:tc>
          <w:tcPr>
            <w:tcW w:w="1260" w:type="dxa"/>
            <w:vAlign w:val="bottom"/>
          </w:tcPr>
          <w:p w14:paraId="46F4BF02" w14:textId="4AF5C88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15,080 </w:t>
            </w:r>
          </w:p>
        </w:tc>
        <w:tc>
          <w:tcPr>
            <w:tcW w:w="1573" w:type="dxa"/>
            <w:vAlign w:val="bottom"/>
          </w:tcPr>
          <w:p w14:paraId="4C4CBF3E" w14:textId="0FB7A483"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7,983 </w:t>
            </w:r>
          </w:p>
        </w:tc>
      </w:tr>
      <w:tr w:rsidR="005857E7" w:rsidRPr="00216DF1" w14:paraId="3FFA4C50" w14:textId="77777777" w:rsidTr="00910B2C">
        <w:trPr>
          <w:jc w:val="center"/>
        </w:trPr>
        <w:tc>
          <w:tcPr>
            <w:tcW w:w="4945" w:type="dxa"/>
            <w:vAlign w:val="bottom"/>
          </w:tcPr>
          <w:p w14:paraId="4D780FD2" w14:textId="31E3B69A"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Provision for uncollectible receivables from</w:t>
            </w:r>
            <w:r>
              <w:rPr>
                <w:rFonts w:ascii="Arial" w:hAnsi="Arial" w:cs="Arial"/>
                <w:color w:val="000000"/>
                <w:sz w:val="18"/>
                <w:szCs w:val="18"/>
              </w:rPr>
              <w:t xml:space="preserve"> merchant cash ad</w:t>
            </w:r>
            <w:r w:rsidRPr="00E06166">
              <w:rPr>
                <w:rFonts w:ascii="Arial" w:hAnsi="Arial" w:cs="Arial"/>
                <w:color w:val="000000"/>
                <w:sz w:val="18"/>
                <w:szCs w:val="18"/>
              </w:rPr>
              <w:t>vances</w:t>
            </w:r>
          </w:p>
        </w:tc>
        <w:tc>
          <w:tcPr>
            <w:tcW w:w="1170" w:type="dxa"/>
            <w:vAlign w:val="bottom"/>
          </w:tcPr>
          <w:p w14:paraId="1203BCBD" w14:textId="0CCF1EE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346C6325" w14:textId="00E115D4"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3711C689" w14:textId="1EB04D2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1,285 </w:t>
            </w:r>
          </w:p>
        </w:tc>
      </w:tr>
      <w:tr w:rsidR="005857E7" w:rsidRPr="00216DF1" w14:paraId="053DFE29" w14:textId="77777777" w:rsidTr="00910B2C">
        <w:trPr>
          <w:jc w:val="center"/>
        </w:trPr>
        <w:tc>
          <w:tcPr>
            <w:tcW w:w="4945" w:type="dxa"/>
            <w:vAlign w:val="bottom"/>
          </w:tcPr>
          <w:p w14:paraId="004E6B0A" w14:textId="6C8CE932"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Deferred tax assets</w:t>
            </w:r>
          </w:p>
        </w:tc>
        <w:tc>
          <w:tcPr>
            <w:tcW w:w="1170" w:type="dxa"/>
            <w:vAlign w:val="bottom"/>
          </w:tcPr>
          <w:p w14:paraId="5B6D072B" w14:textId="74DB120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00B8E0BB" w14:textId="13509CB3"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332A9FB7" w14:textId="25198B5E"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933</w:t>
            </w:r>
          </w:p>
        </w:tc>
      </w:tr>
      <w:tr w:rsidR="005857E7" w:rsidRPr="00216DF1" w14:paraId="22FAD13C" w14:textId="77777777" w:rsidTr="00910B2C">
        <w:trPr>
          <w:jc w:val="center"/>
        </w:trPr>
        <w:tc>
          <w:tcPr>
            <w:tcW w:w="4945" w:type="dxa"/>
            <w:vAlign w:val="bottom"/>
          </w:tcPr>
          <w:p w14:paraId="364C13BB" w14:textId="105B1419"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Impairment of intangible assets</w:t>
            </w:r>
          </w:p>
        </w:tc>
        <w:tc>
          <w:tcPr>
            <w:tcW w:w="1170" w:type="dxa"/>
            <w:vAlign w:val="bottom"/>
          </w:tcPr>
          <w:p w14:paraId="1F9DC68D" w14:textId="111EABD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02D6CBFE" w14:textId="60B3501D"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2,430 </w:t>
            </w:r>
          </w:p>
        </w:tc>
        <w:tc>
          <w:tcPr>
            <w:tcW w:w="1573" w:type="dxa"/>
            <w:vAlign w:val="bottom"/>
          </w:tcPr>
          <w:p w14:paraId="4AD9DCDC" w14:textId="7EA2B765"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5857E7" w:rsidRPr="00216DF1" w14:paraId="01573758" w14:textId="77777777" w:rsidTr="00910B2C">
        <w:trPr>
          <w:jc w:val="center"/>
        </w:trPr>
        <w:tc>
          <w:tcPr>
            <w:tcW w:w="4945" w:type="dxa"/>
            <w:vAlign w:val="bottom"/>
          </w:tcPr>
          <w:p w14:paraId="0B39B5E1" w14:textId="436294AD" w:rsidR="005857E7" w:rsidRPr="00E06166" w:rsidRDefault="005857E7" w:rsidP="005857E7">
            <w:pPr>
              <w:suppressAutoHyphens/>
              <w:rPr>
                <w:rFonts w:ascii="Arial" w:hAnsi="Arial" w:cs="Arial"/>
                <w:b/>
                <w:caps/>
                <w:sz w:val="18"/>
                <w:szCs w:val="18"/>
              </w:rPr>
            </w:pPr>
            <w:r w:rsidRPr="00E06166">
              <w:rPr>
                <w:rFonts w:ascii="Arial" w:hAnsi="Arial" w:cs="Arial"/>
                <w:b/>
                <w:color w:val="000000"/>
                <w:sz w:val="18"/>
                <w:szCs w:val="18"/>
              </w:rPr>
              <w:t>Changes in operating assets and liabilities:</w:t>
            </w:r>
          </w:p>
        </w:tc>
        <w:tc>
          <w:tcPr>
            <w:tcW w:w="1170" w:type="dxa"/>
            <w:vAlign w:val="bottom"/>
          </w:tcPr>
          <w:p w14:paraId="40032C5D" w14:textId="77777777" w:rsidR="005857E7" w:rsidRPr="00E06166" w:rsidRDefault="005857E7" w:rsidP="00C63CA6">
            <w:pPr>
              <w:jc w:val="right"/>
              <w:rPr>
                <w:rFonts w:ascii="Arial" w:hAnsi="Arial" w:cs="Arial"/>
                <w:b/>
                <w:caps/>
                <w:sz w:val="18"/>
                <w:szCs w:val="18"/>
              </w:rPr>
            </w:pPr>
          </w:p>
        </w:tc>
        <w:tc>
          <w:tcPr>
            <w:tcW w:w="1260" w:type="dxa"/>
            <w:vAlign w:val="bottom"/>
          </w:tcPr>
          <w:p w14:paraId="54C9CB65" w14:textId="77777777" w:rsidR="005857E7" w:rsidRPr="00E06166" w:rsidRDefault="005857E7" w:rsidP="00C63CA6">
            <w:pPr>
              <w:jc w:val="right"/>
              <w:rPr>
                <w:rFonts w:ascii="Arial" w:hAnsi="Arial" w:cs="Arial"/>
                <w:b/>
                <w:caps/>
                <w:sz w:val="18"/>
                <w:szCs w:val="18"/>
              </w:rPr>
            </w:pPr>
          </w:p>
        </w:tc>
        <w:tc>
          <w:tcPr>
            <w:tcW w:w="1573" w:type="dxa"/>
            <w:vAlign w:val="bottom"/>
          </w:tcPr>
          <w:p w14:paraId="1CB5B115" w14:textId="77777777" w:rsidR="005857E7" w:rsidRPr="00E06166" w:rsidRDefault="005857E7" w:rsidP="00C63CA6">
            <w:pPr>
              <w:jc w:val="right"/>
              <w:rPr>
                <w:rFonts w:ascii="Arial" w:hAnsi="Arial" w:cs="Arial"/>
                <w:b/>
                <w:caps/>
                <w:sz w:val="18"/>
                <w:szCs w:val="18"/>
              </w:rPr>
            </w:pPr>
          </w:p>
        </w:tc>
      </w:tr>
      <w:tr w:rsidR="005857E7" w:rsidRPr="00216DF1" w14:paraId="04163697" w14:textId="77777777" w:rsidTr="00910B2C">
        <w:trPr>
          <w:jc w:val="center"/>
        </w:trPr>
        <w:tc>
          <w:tcPr>
            <w:tcW w:w="4945" w:type="dxa"/>
            <w:vAlign w:val="bottom"/>
          </w:tcPr>
          <w:p w14:paraId="09F2CDBD" w14:textId="37EE9BC5"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Settlements receivable</w:t>
            </w:r>
          </w:p>
        </w:tc>
        <w:tc>
          <w:tcPr>
            <w:tcW w:w="1170" w:type="dxa"/>
            <w:vAlign w:val="bottom"/>
          </w:tcPr>
          <w:p w14:paraId="42CB89ED" w14:textId="20740783"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19,854</w:t>
            </w:r>
          </w:p>
        </w:tc>
        <w:tc>
          <w:tcPr>
            <w:tcW w:w="1260" w:type="dxa"/>
            <w:vAlign w:val="bottom"/>
          </w:tcPr>
          <w:p w14:paraId="15772C45" w14:textId="243169FD"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27,704</w:t>
            </w:r>
          </w:p>
        </w:tc>
        <w:tc>
          <w:tcPr>
            <w:tcW w:w="1573" w:type="dxa"/>
            <w:vAlign w:val="bottom"/>
          </w:tcPr>
          <w:p w14:paraId="07773AC4" w14:textId="415B853E"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38,039</w:t>
            </w:r>
          </w:p>
        </w:tc>
      </w:tr>
      <w:tr w:rsidR="005857E7" w:rsidRPr="00216DF1" w14:paraId="2E8F6228" w14:textId="77777777" w:rsidTr="00910B2C">
        <w:trPr>
          <w:jc w:val="center"/>
        </w:trPr>
        <w:tc>
          <w:tcPr>
            <w:tcW w:w="4945" w:type="dxa"/>
            <w:vAlign w:val="bottom"/>
          </w:tcPr>
          <w:p w14:paraId="6338F9F9" w14:textId="41BF309C"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Merchant cash advance receivable</w:t>
            </w:r>
          </w:p>
        </w:tc>
        <w:tc>
          <w:tcPr>
            <w:tcW w:w="1170" w:type="dxa"/>
            <w:vAlign w:val="bottom"/>
          </w:tcPr>
          <w:p w14:paraId="1BDAAB5D" w14:textId="5EB8B6A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2EECC376" w14:textId="6F43E04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1C8828BB" w14:textId="6F136E8B" w:rsidR="005857E7" w:rsidRPr="00E06166" w:rsidRDefault="005857E7" w:rsidP="00C63CA6">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26,368</w:t>
            </w:r>
          </w:p>
        </w:tc>
      </w:tr>
      <w:tr w:rsidR="005857E7" w:rsidRPr="00216DF1" w14:paraId="5EEEBEFF" w14:textId="77777777" w:rsidTr="00910B2C">
        <w:trPr>
          <w:jc w:val="center"/>
        </w:trPr>
        <w:tc>
          <w:tcPr>
            <w:tcW w:w="4945" w:type="dxa"/>
            <w:vAlign w:val="bottom"/>
          </w:tcPr>
          <w:p w14:paraId="4DB5524D" w14:textId="3942A915"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Other current assets</w:t>
            </w:r>
          </w:p>
        </w:tc>
        <w:tc>
          <w:tcPr>
            <w:tcW w:w="1170" w:type="dxa"/>
            <w:vAlign w:val="bottom"/>
          </w:tcPr>
          <w:p w14:paraId="40232F89" w14:textId="181CB7EC"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7,605</w:t>
            </w:r>
          </w:p>
        </w:tc>
        <w:tc>
          <w:tcPr>
            <w:tcW w:w="1260" w:type="dxa"/>
            <w:vAlign w:val="bottom"/>
          </w:tcPr>
          <w:p w14:paraId="20E37343" w14:textId="48A965EF"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2,384</w:t>
            </w:r>
          </w:p>
        </w:tc>
        <w:tc>
          <w:tcPr>
            <w:tcW w:w="1573" w:type="dxa"/>
            <w:vAlign w:val="bottom"/>
          </w:tcPr>
          <w:p w14:paraId="60F2D553" w14:textId="2FA697A4"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6,299</w:t>
            </w:r>
          </w:p>
        </w:tc>
      </w:tr>
      <w:tr w:rsidR="005857E7" w:rsidRPr="00216DF1" w14:paraId="78B04407" w14:textId="77777777" w:rsidTr="00910B2C">
        <w:trPr>
          <w:jc w:val="center"/>
        </w:trPr>
        <w:tc>
          <w:tcPr>
            <w:tcW w:w="4945" w:type="dxa"/>
            <w:vAlign w:val="bottom"/>
          </w:tcPr>
          <w:p w14:paraId="0822216B" w14:textId="5EC0DC10"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Other assets</w:t>
            </w:r>
          </w:p>
        </w:tc>
        <w:tc>
          <w:tcPr>
            <w:tcW w:w="1170" w:type="dxa"/>
            <w:vAlign w:val="bottom"/>
          </w:tcPr>
          <w:p w14:paraId="2068C51D" w14:textId="25144BF1" w:rsidR="005857E7" w:rsidRPr="00E06166" w:rsidRDefault="005857E7" w:rsidP="00C63CA6">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1,615</w:t>
            </w:r>
          </w:p>
        </w:tc>
        <w:tc>
          <w:tcPr>
            <w:tcW w:w="1260" w:type="dxa"/>
            <w:vAlign w:val="bottom"/>
          </w:tcPr>
          <w:p w14:paraId="6E5EA8B2" w14:textId="209483D0"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2,668 </w:t>
            </w:r>
          </w:p>
        </w:tc>
        <w:tc>
          <w:tcPr>
            <w:tcW w:w="1573" w:type="dxa"/>
            <w:vAlign w:val="bottom"/>
          </w:tcPr>
          <w:p w14:paraId="3F2E9253" w14:textId="49FAD8BF"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1,593</w:t>
            </w:r>
          </w:p>
        </w:tc>
      </w:tr>
      <w:tr w:rsidR="005857E7" w:rsidRPr="00216DF1" w14:paraId="629C9285" w14:textId="77777777" w:rsidTr="00910B2C">
        <w:trPr>
          <w:jc w:val="center"/>
        </w:trPr>
        <w:tc>
          <w:tcPr>
            <w:tcW w:w="4945" w:type="dxa"/>
            <w:vAlign w:val="bottom"/>
          </w:tcPr>
          <w:p w14:paraId="1D2EC47F" w14:textId="77D3DC7A"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Accounts payable</w:t>
            </w:r>
          </w:p>
        </w:tc>
        <w:tc>
          <w:tcPr>
            <w:tcW w:w="1170" w:type="dxa"/>
            <w:vAlign w:val="bottom"/>
          </w:tcPr>
          <w:p w14:paraId="2634EAAB" w14:textId="15BE2BD5"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2,028 </w:t>
            </w:r>
          </w:p>
        </w:tc>
        <w:tc>
          <w:tcPr>
            <w:tcW w:w="1260" w:type="dxa"/>
            <w:vAlign w:val="bottom"/>
          </w:tcPr>
          <w:p w14:paraId="571B743E" w14:textId="3759F739" w:rsidR="005857E7" w:rsidRPr="00E06166" w:rsidRDefault="005857E7" w:rsidP="00C63CA6">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942</w:t>
            </w:r>
          </w:p>
        </w:tc>
        <w:tc>
          <w:tcPr>
            <w:tcW w:w="1573" w:type="dxa"/>
            <w:vAlign w:val="bottom"/>
          </w:tcPr>
          <w:p w14:paraId="7122E448" w14:textId="5E11049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1,241 </w:t>
            </w:r>
          </w:p>
        </w:tc>
      </w:tr>
      <w:tr w:rsidR="005857E7" w:rsidRPr="00216DF1" w14:paraId="752CE9BB" w14:textId="77777777" w:rsidTr="00910B2C">
        <w:trPr>
          <w:jc w:val="center"/>
        </w:trPr>
        <w:tc>
          <w:tcPr>
            <w:tcW w:w="4945" w:type="dxa"/>
            <w:vAlign w:val="bottom"/>
          </w:tcPr>
          <w:p w14:paraId="2BADD59B" w14:textId="4DE9D37F"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Customers payable</w:t>
            </w:r>
          </w:p>
        </w:tc>
        <w:tc>
          <w:tcPr>
            <w:tcW w:w="1170" w:type="dxa"/>
            <w:vAlign w:val="bottom"/>
          </w:tcPr>
          <w:p w14:paraId="46E85441" w14:textId="1E63834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47,101 </w:t>
            </w:r>
          </w:p>
        </w:tc>
        <w:tc>
          <w:tcPr>
            <w:tcW w:w="1260" w:type="dxa"/>
            <w:vAlign w:val="bottom"/>
          </w:tcPr>
          <w:p w14:paraId="59F51D40" w14:textId="6AB03A52"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21,148 </w:t>
            </w:r>
          </w:p>
        </w:tc>
        <w:tc>
          <w:tcPr>
            <w:tcW w:w="1573" w:type="dxa"/>
            <w:vAlign w:val="bottom"/>
          </w:tcPr>
          <w:p w14:paraId="02B1AC55" w14:textId="54886912"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49,413 </w:t>
            </w:r>
          </w:p>
        </w:tc>
      </w:tr>
      <w:tr w:rsidR="005857E7" w:rsidRPr="00216DF1" w14:paraId="0B930E29" w14:textId="77777777" w:rsidTr="00910B2C">
        <w:trPr>
          <w:jc w:val="center"/>
        </w:trPr>
        <w:tc>
          <w:tcPr>
            <w:tcW w:w="4945" w:type="dxa"/>
            <w:vAlign w:val="bottom"/>
          </w:tcPr>
          <w:p w14:paraId="570F9542" w14:textId="1033C8C2"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Charge-offs and recoveries to accrued transaction losses</w:t>
            </w:r>
          </w:p>
        </w:tc>
        <w:tc>
          <w:tcPr>
            <w:tcW w:w="1170" w:type="dxa"/>
            <w:vAlign w:val="bottom"/>
          </w:tcPr>
          <w:p w14:paraId="0BDDEC28" w14:textId="116E0566" w:rsidR="005857E7" w:rsidRPr="00E06166" w:rsidRDefault="005857E7" w:rsidP="00C63CA6">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7,335</w:t>
            </w:r>
          </w:p>
        </w:tc>
        <w:tc>
          <w:tcPr>
            <w:tcW w:w="1260" w:type="dxa"/>
            <w:vAlign w:val="bottom"/>
          </w:tcPr>
          <w:p w14:paraId="5BB97294" w14:textId="420B51F4"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13,613</w:t>
            </w:r>
          </w:p>
        </w:tc>
        <w:tc>
          <w:tcPr>
            <w:tcW w:w="1573" w:type="dxa"/>
            <w:vAlign w:val="bottom"/>
          </w:tcPr>
          <w:p w14:paraId="24E8A1C7" w14:textId="7827C836"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6,881</w:t>
            </w:r>
          </w:p>
        </w:tc>
      </w:tr>
      <w:tr w:rsidR="005857E7" w:rsidRPr="00216DF1" w14:paraId="401974F6" w14:textId="77777777" w:rsidTr="00910B2C">
        <w:trPr>
          <w:jc w:val="center"/>
        </w:trPr>
        <w:tc>
          <w:tcPr>
            <w:tcW w:w="4945" w:type="dxa"/>
            <w:vAlign w:val="bottom"/>
          </w:tcPr>
          <w:p w14:paraId="2392FD95" w14:textId="4109F29D"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Accrued expenses</w:t>
            </w:r>
          </w:p>
        </w:tc>
        <w:tc>
          <w:tcPr>
            <w:tcW w:w="1170" w:type="dxa"/>
            <w:vAlign w:val="bottom"/>
          </w:tcPr>
          <w:p w14:paraId="591709EE" w14:textId="35AD5AE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3,909 </w:t>
            </w:r>
          </w:p>
        </w:tc>
        <w:tc>
          <w:tcPr>
            <w:tcW w:w="1260" w:type="dxa"/>
            <w:vAlign w:val="bottom"/>
          </w:tcPr>
          <w:p w14:paraId="63E4D044" w14:textId="5685695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9,912 </w:t>
            </w:r>
          </w:p>
        </w:tc>
        <w:tc>
          <w:tcPr>
            <w:tcW w:w="1573" w:type="dxa"/>
            <w:vAlign w:val="bottom"/>
          </w:tcPr>
          <w:p w14:paraId="6E1BEB29" w14:textId="3D79BD5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9,352 </w:t>
            </w:r>
          </w:p>
        </w:tc>
      </w:tr>
      <w:tr w:rsidR="005857E7" w:rsidRPr="00216DF1" w14:paraId="60A8E264" w14:textId="77777777" w:rsidTr="00910B2C">
        <w:trPr>
          <w:jc w:val="center"/>
        </w:trPr>
        <w:tc>
          <w:tcPr>
            <w:tcW w:w="4945" w:type="dxa"/>
            <w:vAlign w:val="bottom"/>
          </w:tcPr>
          <w:p w14:paraId="2BA8DEF4" w14:textId="0262988B"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Other current liabilities</w:t>
            </w:r>
          </w:p>
        </w:tc>
        <w:tc>
          <w:tcPr>
            <w:tcW w:w="1170" w:type="dxa"/>
            <w:vAlign w:val="bottom"/>
          </w:tcPr>
          <w:p w14:paraId="087E0B77" w14:textId="1B82B45C"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1,433 </w:t>
            </w:r>
          </w:p>
        </w:tc>
        <w:tc>
          <w:tcPr>
            <w:tcW w:w="1260" w:type="dxa"/>
            <w:vAlign w:val="bottom"/>
          </w:tcPr>
          <w:p w14:paraId="668A7905" w14:textId="004DF92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103 </w:t>
            </w:r>
          </w:p>
        </w:tc>
        <w:tc>
          <w:tcPr>
            <w:tcW w:w="1573" w:type="dxa"/>
            <w:vAlign w:val="bottom"/>
          </w:tcPr>
          <w:p w14:paraId="79EBA86A" w14:textId="702E6C55"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1,012 </w:t>
            </w:r>
          </w:p>
        </w:tc>
      </w:tr>
      <w:tr w:rsidR="005857E7" w:rsidRPr="00216DF1" w14:paraId="759482DF" w14:textId="77777777" w:rsidTr="00910B2C">
        <w:trPr>
          <w:jc w:val="center"/>
        </w:trPr>
        <w:tc>
          <w:tcPr>
            <w:tcW w:w="4945" w:type="dxa"/>
            <w:vAlign w:val="bottom"/>
          </w:tcPr>
          <w:p w14:paraId="4A020825" w14:textId="3FFEDC9C"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Other liabilities</w:t>
            </w:r>
          </w:p>
        </w:tc>
        <w:tc>
          <w:tcPr>
            <w:tcW w:w="1170" w:type="dxa"/>
            <w:tcBorders>
              <w:bottom w:val="single" w:sz="4" w:space="0" w:color="auto"/>
            </w:tcBorders>
            <w:vAlign w:val="bottom"/>
          </w:tcPr>
          <w:p w14:paraId="4AFF49E9" w14:textId="2F621D85"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8 </w:t>
            </w:r>
          </w:p>
        </w:tc>
        <w:tc>
          <w:tcPr>
            <w:tcW w:w="1260" w:type="dxa"/>
            <w:tcBorders>
              <w:bottom w:val="single" w:sz="4" w:space="0" w:color="auto"/>
            </w:tcBorders>
            <w:vAlign w:val="bottom"/>
          </w:tcPr>
          <w:p w14:paraId="3EC33AA6" w14:textId="621350C7"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14,288 </w:t>
            </w:r>
          </w:p>
        </w:tc>
        <w:tc>
          <w:tcPr>
            <w:tcW w:w="1573" w:type="dxa"/>
            <w:vAlign w:val="bottom"/>
          </w:tcPr>
          <w:p w14:paraId="3F77E4E2" w14:textId="4761BBD4"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16,415 </w:t>
            </w:r>
          </w:p>
        </w:tc>
      </w:tr>
      <w:tr w:rsidR="00910B2C" w:rsidRPr="00216DF1" w14:paraId="730F8775" w14:textId="77777777" w:rsidTr="00910B2C">
        <w:trPr>
          <w:jc w:val="center"/>
        </w:trPr>
        <w:tc>
          <w:tcPr>
            <w:tcW w:w="8948" w:type="dxa"/>
            <w:gridSpan w:val="4"/>
            <w:vAlign w:val="bottom"/>
          </w:tcPr>
          <w:p w14:paraId="686B2FA4" w14:textId="77777777" w:rsidR="00910B2C" w:rsidRPr="00E06166" w:rsidRDefault="00910B2C" w:rsidP="00C63CA6">
            <w:pPr>
              <w:jc w:val="right"/>
              <w:rPr>
                <w:rFonts w:ascii="Arial" w:hAnsi="Arial" w:cs="Arial"/>
                <w:b/>
                <w:caps/>
                <w:sz w:val="18"/>
                <w:szCs w:val="18"/>
              </w:rPr>
            </w:pPr>
          </w:p>
        </w:tc>
      </w:tr>
      <w:tr w:rsidR="005857E7" w:rsidRPr="00216DF1" w14:paraId="2DE31137" w14:textId="77777777" w:rsidTr="00910B2C">
        <w:trPr>
          <w:jc w:val="center"/>
        </w:trPr>
        <w:tc>
          <w:tcPr>
            <w:tcW w:w="4945" w:type="dxa"/>
            <w:vAlign w:val="bottom"/>
          </w:tcPr>
          <w:p w14:paraId="35CC8E63" w14:textId="0B6F805F"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Net cash used in operating activities</w:t>
            </w:r>
          </w:p>
        </w:tc>
        <w:tc>
          <w:tcPr>
            <w:tcW w:w="1170" w:type="dxa"/>
            <w:tcBorders>
              <w:bottom w:val="single" w:sz="4" w:space="0" w:color="auto"/>
            </w:tcBorders>
            <w:vAlign w:val="bottom"/>
          </w:tcPr>
          <w:p w14:paraId="037F419D" w14:textId="01A7E717"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42,925</w:t>
            </w:r>
          </w:p>
        </w:tc>
        <w:tc>
          <w:tcPr>
            <w:tcW w:w="1260" w:type="dxa"/>
            <w:tcBorders>
              <w:bottom w:val="single" w:sz="4" w:space="0" w:color="auto"/>
            </w:tcBorders>
            <w:vAlign w:val="bottom"/>
          </w:tcPr>
          <w:p w14:paraId="4404C8C0" w14:textId="7237DDEB"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60,577</w:t>
            </w:r>
          </w:p>
        </w:tc>
        <w:tc>
          <w:tcPr>
            <w:tcW w:w="1573" w:type="dxa"/>
            <w:vAlign w:val="bottom"/>
          </w:tcPr>
          <w:p w14:paraId="4E4AFD45" w14:textId="7139DBAB"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50,733</w:t>
            </w:r>
          </w:p>
        </w:tc>
      </w:tr>
      <w:tr w:rsidR="00910B2C" w:rsidRPr="00216DF1" w14:paraId="2DC0B814" w14:textId="77777777" w:rsidTr="00910B2C">
        <w:trPr>
          <w:jc w:val="center"/>
        </w:trPr>
        <w:tc>
          <w:tcPr>
            <w:tcW w:w="8948" w:type="dxa"/>
            <w:gridSpan w:val="4"/>
            <w:vAlign w:val="bottom"/>
          </w:tcPr>
          <w:p w14:paraId="43444966" w14:textId="77777777" w:rsidR="00910B2C" w:rsidRPr="00E06166" w:rsidRDefault="00910B2C" w:rsidP="00C63CA6">
            <w:pPr>
              <w:jc w:val="right"/>
              <w:rPr>
                <w:rFonts w:ascii="Arial" w:hAnsi="Arial" w:cs="Arial"/>
                <w:b/>
                <w:caps/>
                <w:sz w:val="18"/>
                <w:szCs w:val="18"/>
              </w:rPr>
            </w:pPr>
          </w:p>
        </w:tc>
      </w:tr>
      <w:tr w:rsidR="00910B2C" w:rsidRPr="00216DF1" w14:paraId="3B889F1F" w14:textId="77777777" w:rsidTr="00910B2C">
        <w:trPr>
          <w:jc w:val="center"/>
        </w:trPr>
        <w:tc>
          <w:tcPr>
            <w:tcW w:w="4945" w:type="dxa"/>
            <w:vAlign w:val="bottom"/>
          </w:tcPr>
          <w:p w14:paraId="5562B1EE" w14:textId="7DC21197" w:rsidR="00910B2C" w:rsidRPr="00E06166" w:rsidRDefault="00910B2C" w:rsidP="005857E7">
            <w:pPr>
              <w:suppressAutoHyphens/>
              <w:rPr>
                <w:rFonts w:ascii="Arial" w:hAnsi="Arial" w:cs="Arial"/>
                <w:b/>
                <w:caps/>
                <w:sz w:val="18"/>
                <w:szCs w:val="18"/>
              </w:rPr>
            </w:pPr>
            <w:r w:rsidRPr="00E06166">
              <w:rPr>
                <w:rFonts w:ascii="Arial" w:hAnsi="Arial" w:cs="Arial"/>
                <w:b/>
                <w:bCs/>
                <w:color w:val="000000"/>
                <w:sz w:val="18"/>
                <w:szCs w:val="18"/>
              </w:rPr>
              <w:t>Cash flows from investing activities:</w:t>
            </w:r>
          </w:p>
        </w:tc>
        <w:tc>
          <w:tcPr>
            <w:tcW w:w="4003" w:type="dxa"/>
            <w:gridSpan w:val="3"/>
            <w:tcBorders>
              <w:top w:val="nil"/>
            </w:tcBorders>
            <w:vAlign w:val="bottom"/>
          </w:tcPr>
          <w:p w14:paraId="0CF203CE" w14:textId="77777777" w:rsidR="00910B2C" w:rsidRPr="00E06166" w:rsidRDefault="00910B2C" w:rsidP="00C63CA6">
            <w:pPr>
              <w:jc w:val="right"/>
              <w:rPr>
                <w:rFonts w:ascii="Arial" w:hAnsi="Arial" w:cs="Arial"/>
                <w:b/>
                <w:caps/>
                <w:sz w:val="18"/>
                <w:szCs w:val="18"/>
              </w:rPr>
            </w:pPr>
          </w:p>
        </w:tc>
      </w:tr>
      <w:tr w:rsidR="005857E7" w:rsidRPr="00216DF1" w14:paraId="17B7787D" w14:textId="77777777" w:rsidTr="00910B2C">
        <w:trPr>
          <w:jc w:val="center"/>
        </w:trPr>
        <w:tc>
          <w:tcPr>
            <w:tcW w:w="4945" w:type="dxa"/>
            <w:vAlign w:val="bottom"/>
          </w:tcPr>
          <w:p w14:paraId="034D4554" w14:textId="1929B6D5"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Purchase of property and equipment</w:t>
            </w:r>
          </w:p>
        </w:tc>
        <w:tc>
          <w:tcPr>
            <w:tcW w:w="1170" w:type="dxa"/>
            <w:vAlign w:val="bottom"/>
          </w:tcPr>
          <w:p w14:paraId="46694B8E" w14:textId="3314D652"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13,033</w:t>
            </w:r>
          </w:p>
        </w:tc>
        <w:tc>
          <w:tcPr>
            <w:tcW w:w="1260" w:type="dxa"/>
            <w:vAlign w:val="bottom"/>
          </w:tcPr>
          <w:p w14:paraId="50846E97" w14:textId="54BBDBB4"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47,931</w:t>
            </w:r>
          </w:p>
        </w:tc>
        <w:tc>
          <w:tcPr>
            <w:tcW w:w="1573" w:type="dxa"/>
            <w:vAlign w:val="bottom"/>
          </w:tcPr>
          <w:p w14:paraId="48B66117" w14:textId="01660815"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14,640</w:t>
            </w:r>
          </w:p>
        </w:tc>
      </w:tr>
      <w:tr w:rsidR="005857E7" w:rsidRPr="00216DF1" w14:paraId="0AB74C2B" w14:textId="77777777" w:rsidTr="00910B2C">
        <w:trPr>
          <w:jc w:val="center"/>
        </w:trPr>
        <w:tc>
          <w:tcPr>
            <w:tcW w:w="4945" w:type="dxa"/>
            <w:vAlign w:val="bottom"/>
          </w:tcPr>
          <w:p w14:paraId="749611AC" w14:textId="14636F36"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Payment for acquisition of intangible assets</w:t>
            </w:r>
          </w:p>
        </w:tc>
        <w:tc>
          <w:tcPr>
            <w:tcW w:w="1170" w:type="dxa"/>
            <w:vAlign w:val="bottom"/>
          </w:tcPr>
          <w:p w14:paraId="3C30F184" w14:textId="45AE347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3CAE1C83" w14:textId="4720C9B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587B3BF0" w14:textId="2C63B922"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400</w:t>
            </w:r>
          </w:p>
        </w:tc>
      </w:tr>
      <w:tr w:rsidR="005857E7" w:rsidRPr="00216DF1" w14:paraId="568291F3" w14:textId="77777777" w:rsidTr="00910B2C">
        <w:trPr>
          <w:jc w:val="center"/>
        </w:trPr>
        <w:tc>
          <w:tcPr>
            <w:tcW w:w="4945" w:type="dxa"/>
            <w:vAlign w:val="bottom"/>
          </w:tcPr>
          <w:p w14:paraId="34F1C944" w14:textId="5E72139F"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(Increases) decreases in restricted cash</w:t>
            </w:r>
          </w:p>
        </w:tc>
        <w:tc>
          <w:tcPr>
            <w:tcW w:w="1170" w:type="dxa"/>
            <w:vAlign w:val="bottom"/>
          </w:tcPr>
          <w:p w14:paraId="3AC2FFA8" w14:textId="19F0A54A"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34,758</w:t>
            </w:r>
          </w:p>
        </w:tc>
        <w:tc>
          <w:tcPr>
            <w:tcW w:w="1260" w:type="dxa"/>
            <w:vAlign w:val="bottom"/>
          </w:tcPr>
          <w:p w14:paraId="65D6B495" w14:textId="75FBFDC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40,000 </w:t>
            </w:r>
          </w:p>
        </w:tc>
        <w:tc>
          <w:tcPr>
            <w:tcW w:w="1573" w:type="dxa"/>
            <w:vAlign w:val="bottom"/>
          </w:tcPr>
          <w:p w14:paraId="787FB653" w14:textId="1D388D33"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3,402</w:t>
            </w:r>
          </w:p>
        </w:tc>
      </w:tr>
      <w:tr w:rsidR="005857E7" w:rsidRPr="00216DF1" w14:paraId="07CE2975" w14:textId="77777777" w:rsidTr="00910B2C">
        <w:trPr>
          <w:jc w:val="center"/>
        </w:trPr>
        <w:tc>
          <w:tcPr>
            <w:tcW w:w="4945" w:type="dxa"/>
            <w:vAlign w:val="bottom"/>
          </w:tcPr>
          <w:p w14:paraId="6A260498" w14:textId="214B0689"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Business acquisitions (net of cash acquired)</w:t>
            </w:r>
          </w:p>
        </w:tc>
        <w:tc>
          <w:tcPr>
            <w:tcW w:w="1170" w:type="dxa"/>
            <w:tcBorders>
              <w:bottom w:val="single" w:sz="4" w:space="0" w:color="auto"/>
            </w:tcBorders>
            <w:vAlign w:val="bottom"/>
          </w:tcPr>
          <w:p w14:paraId="4F8B3BF2" w14:textId="56467994"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tcBorders>
              <w:bottom w:val="single" w:sz="4" w:space="0" w:color="auto"/>
            </w:tcBorders>
            <w:vAlign w:val="bottom"/>
          </w:tcPr>
          <w:p w14:paraId="2B878F01" w14:textId="1D8DA6BC" w:rsidR="005857E7" w:rsidRPr="00E06166" w:rsidRDefault="005857E7" w:rsidP="00C63CA6">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2,872</w:t>
            </w:r>
          </w:p>
        </w:tc>
        <w:tc>
          <w:tcPr>
            <w:tcW w:w="1573" w:type="dxa"/>
            <w:vAlign w:val="bottom"/>
          </w:tcPr>
          <w:p w14:paraId="4B6BF621" w14:textId="09AFCE0A"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71 </w:t>
            </w:r>
          </w:p>
        </w:tc>
      </w:tr>
      <w:tr w:rsidR="00910B2C" w:rsidRPr="00216DF1" w14:paraId="34AD9D2D" w14:textId="77777777" w:rsidTr="00910B2C">
        <w:trPr>
          <w:jc w:val="center"/>
        </w:trPr>
        <w:tc>
          <w:tcPr>
            <w:tcW w:w="8948" w:type="dxa"/>
            <w:gridSpan w:val="4"/>
            <w:vAlign w:val="bottom"/>
          </w:tcPr>
          <w:p w14:paraId="56090FBD" w14:textId="77777777" w:rsidR="00910B2C" w:rsidRPr="00E06166" w:rsidRDefault="00910B2C" w:rsidP="00C63CA6">
            <w:pPr>
              <w:jc w:val="right"/>
              <w:rPr>
                <w:rFonts w:ascii="Arial" w:hAnsi="Arial" w:cs="Arial"/>
                <w:b/>
                <w:caps/>
                <w:sz w:val="18"/>
                <w:szCs w:val="18"/>
              </w:rPr>
            </w:pPr>
          </w:p>
        </w:tc>
      </w:tr>
      <w:tr w:rsidR="005857E7" w:rsidRPr="00216DF1" w14:paraId="585C56F5" w14:textId="77777777" w:rsidTr="00910B2C">
        <w:trPr>
          <w:jc w:val="center"/>
        </w:trPr>
        <w:tc>
          <w:tcPr>
            <w:tcW w:w="4945" w:type="dxa"/>
            <w:vAlign w:val="bottom"/>
          </w:tcPr>
          <w:p w14:paraId="0373A72F" w14:textId="387FFA93"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Net cash used in investing activities</w:t>
            </w:r>
          </w:p>
        </w:tc>
        <w:tc>
          <w:tcPr>
            <w:tcW w:w="1170" w:type="dxa"/>
            <w:tcBorders>
              <w:bottom w:val="single" w:sz="4" w:space="0" w:color="auto"/>
            </w:tcBorders>
            <w:vAlign w:val="bottom"/>
          </w:tcPr>
          <w:p w14:paraId="06E175C4" w14:textId="2E8C17F4"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47,791</w:t>
            </w:r>
          </w:p>
        </w:tc>
        <w:tc>
          <w:tcPr>
            <w:tcW w:w="1260" w:type="dxa"/>
            <w:tcBorders>
              <w:bottom w:val="single" w:sz="4" w:space="0" w:color="auto"/>
            </w:tcBorders>
            <w:vAlign w:val="bottom"/>
          </w:tcPr>
          <w:p w14:paraId="126FA2D1" w14:textId="71131085"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10,803</w:t>
            </w:r>
          </w:p>
        </w:tc>
        <w:tc>
          <w:tcPr>
            <w:tcW w:w="1573" w:type="dxa"/>
            <w:vAlign w:val="bottom"/>
          </w:tcPr>
          <w:p w14:paraId="47D88468" w14:textId="237DAE23"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18,371</w:t>
            </w:r>
          </w:p>
        </w:tc>
      </w:tr>
      <w:tr w:rsidR="00910B2C" w:rsidRPr="00216DF1" w14:paraId="12B218AC" w14:textId="77777777" w:rsidTr="00910B2C">
        <w:trPr>
          <w:jc w:val="center"/>
        </w:trPr>
        <w:tc>
          <w:tcPr>
            <w:tcW w:w="8948" w:type="dxa"/>
            <w:gridSpan w:val="4"/>
            <w:vAlign w:val="bottom"/>
          </w:tcPr>
          <w:p w14:paraId="4D9CC804" w14:textId="77777777" w:rsidR="00910B2C" w:rsidRPr="00E06166" w:rsidRDefault="00910B2C" w:rsidP="00C63CA6">
            <w:pPr>
              <w:jc w:val="right"/>
              <w:rPr>
                <w:rFonts w:ascii="Arial" w:hAnsi="Arial" w:cs="Arial"/>
                <w:b/>
                <w:caps/>
                <w:sz w:val="18"/>
                <w:szCs w:val="18"/>
              </w:rPr>
            </w:pPr>
          </w:p>
        </w:tc>
      </w:tr>
      <w:tr w:rsidR="005857E7" w:rsidRPr="00216DF1" w14:paraId="53855D2A" w14:textId="77777777" w:rsidTr="00910B2C">
        <w:trPr>
          <w:jc w:val="center"/>
        </w:trPr>
        <w:tc>
          <w:tcPr>
            <w:tcW w:w="4945" w:type="dxa"/>
            <w:vAlign w:val="bottom"/>
          </w:tcPr>
          <w:p w14:paraId="55694271" w14:textId="31513FB9"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Net increase (decrease) in cash before financing activities</w:t>
            </w:r>
          </w:p>
        </w:tc>
        <w:tc>
          <w:tcPr>
            <w:tcW w:w="1170" w:type="dxa"/>
            <w:tcBorders>
              <w:bottom w:val="single" w:sz="4" w:space="0" w:color="auto"/>
            </w:tcBorders>
            <w:vAlign w:val="bottom"/>
          </w:tcPr>
          <w:p w14:paraId="4226DF96" w14:textId="18011F6D"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90,716</w:t>
            </w:r>
          </w:p>
        </w:tc>
        <w:tc>
          <w:tcPr>
            <w:tcW w:w="1260" w:type="dxa"/>
            <w:tcBorders>
              <w:bottom w:val="single" w:sz="4" w:space="0" w:color="auto"/>
            </w:tcBorders>
            <w:vAlign w:val="bottom"/>
          </w:tcPr>
          <w:p w14:paraId="685C64F7" w14:textId="141A8B08"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71,380</w:t>
            </w:r>
          </w:p>
        </w:tc>
        <w:tc>
          <w:tcPr>
            <w:tcW w:w="1573" w:type="dxa"/>
            <w:vAlign w:val="bottom"/>
          </w:tcPr>
          <w:p w14:paraId="2A4927B7" w14:textId="16632B09"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69,104</w:t>
            </w:r>
          </w:p>
        </w:tc>
      </w:tr>
      <w:tr w:rsidR="00910B2C" w:rsidRPr="00216DF1" w14:paraId="22BF8F73" w14:textId="77777777" w:rsidTr="00910B2C">
        <w:trPr>
          <w:jc w:val="center"/>
        </w:trPr>
        <w:tc>
          <w:tcPr>
            <w:tcW w:w="8948" w:type="dxa"/>
            <w:gridSpan w:val="4"/>
            <w:vAlign w:val="bottom"/>
          </w:tcPr>
          <w:p w14:paraId="7365C83C" w14:textId="77777777" w:rsidR="00910B2C" w:rsidRPr="00E06166" w:rsidRDefault="00910B2C" w:rsidP="00C63CA6">
            <w:pPr>
              <w:jc w:val="right"/>
              <w:rPr>
                <w:rFonts w:ascii="Arial" w:hAnsi="Arial" w:cs="Arial"/>
                <w:b/>
                <w:caps/>
                <w:sz w:val="18"/>
                <w:szCs w:val="18"/>
              </w:rPr>
            </w:pPr>
          </w:p>
        </w:tc>
      </w:tr>
      <w:tr w:rsidR="00910B2C" w:rsidRPr="00216DF1" w14:paraId="5ED0D591" w14:textId="77777777" w:rsidTr="00571C7B">
        <w:trPr>
          <w:jc w:val="center"/>
        </w:trPr>
        <w:tc>
          <w:tcPr>
            <w:tcW w:w="4945" w:type="dxa"/>
            <w:vAlign w:val="bottom"/>
          </w:tcPr>
          <w:p w14:paraId="29EEE6C0" w14:textId="3FACA870" w:rsidR="00910B2C" w:rsidRPr="00E06166" w:rsidRDefault="00910B2C" w:rsidP="005857E7">
            <w:pPr>
              <w:suppressAutoHyphens/>
              <w:rPr>
                <w:rFonts w:ascii="Arial" w:hAnsi="Arial" w:cs="Arial"/>
                <w:b/>
                <w:caps/>
                <w:sz w:val="18"/>
                <w:szCs w:val="18"/>
              </w:rPr>
            </w:pPr>
            <w:r w:rsidRPr="00E06166">
              <w:rPr>
                <w:rFonts w:ascii="Arial" w:hAnsi="Arial" w:cs="Arial"/>
                <w:b/>
                <w:bCs/>
                <w:color w:val="000000"/>
                <w:sz w:val="18"/>
                <w:szCs w:val="18"/>
              </w:rPr>
              <w:t>Cash flows from financing activities:</w:t>
            </w:r>
          </w:p>
        </w:tc>
        <w:tc>
          <w:tcPr>
            <w:tcW w:w="4003" w:type="dxa"/>
            <w:gridSpan w:val="3"/>
            <w:vAlign w:val="bottom"/>
          </w:tcPr>
          <w:p w14:paraId="07B5A6E8" w14:textId="77777777" w:rsidR="00910B2C" w:rsidRPr="00E06166" w:rsidRDefault="00910B2C" w:rsidP="00C63CA6">
            <w:pPr>
              <w:jc w:val="right"/>
              <w:rPr>
                <w:rFonts w:ascii="Arial" w:hAnsi="Arial" w:cs="Arial"/>
                <w:b/>
                <w:caps/>
                <w:sz w:val="18"/>
                <w:szCs w:val="18"/>
              </w:rPr>
            </w:pPr>
          </w:p>
        </w:tc>
      </w:tr>
      <w:tr w:rsidR="005857E7" w:rsidRPr="00216DF1" w14:paraId="56C858C8" w14:textId="77777777" w:rsidTr="00910B2C">
        <w:trPr>
          <w:jc w:val="center"/>
        </w:trPr>
        <w:tc>
          <w:tcPr>
            <w:tcW w:w="4945" w:type="dxa"/>
            <w:vAlign w:val="bottom"/>
          </w:tcPr>
          <w:p w14:paraId="0C9DF9DD" w14:textId="5DC6B2B1"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Proceeds from issuance of preferred stock, net</w:t>
            </w:r>
          </w:p>
        </w:tc>
        <w:tc>
          <w:tcPr>
            <w:tcW w:w="1170" w:type="dxa"/>
            <w:vAlign w:val="bottom"/>
          </w:tcPr>
          <w:p w14:paraId="23875320" w14:textId="2AC2209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221,754 </w:t>
            </w:r>
          </w:p>
        </w:tc>
        <w:tc>
          <w:tcPr>
            <w:tcW w:w="1260" w:type="dxa"/>
            <w:vAlign w:val="bottom"/>
          </w:tcPr>
          <w:p w14:paraId="198CC32D" w14:textId="746A31F3"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 </w:t>
            </w:r>
          </w:p>
        </w:tc>
        <w:tc>
          <w:tcPr>
            <w:tcW w:w="1573" w:type="dxa"/>
            <w:vAlign w:val="bottom"/>
          </w:tcPr>
          <w:p w14:paraId="4E02A6DD" w14:textId="2CFD8B36"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5857E7" w:rsidRPr="00216DF1" w14:paraId="042AD34C" w14:textId="77777777" w:rsidTr="00910B2C">
        <w:trPr>
          <w:jc w:val="center"/>
        </w:trPr>
        <w:tc>
          <w:tcPr>
            <w:tcW w:w="4945" w:type="dxa"/>
            <w:vAlign w:val="bottom"/>
          </w:tcPr>
          <w:p w14:paraId="5F02CB18" w14:textId="15D254A9"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Principal payments on capital lease obligation</w:t>
            </w:r>
          </w:p>
        </w:tc>
        <w:tc>
          <w:tcPr>
            <w:tcW w:w="1170" w:type="dxa"/>
            <w:vAlign w:val="bottom"/>
          </w:tcPr>
          <w:p w14:paraId="09363AC7" w14:textId="647F51DE"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190</w:t>
            </w:r>
          </w:p>
        </w:tc>
        <w:tc>
          <w:tcPr>
            <w:tcW w:w="1260" w:type="dxa"/>
            <w:vAlign w:val="bottom"/>
          </w:tcPr>
          <w:p w14:paraId="00799CB8" w14:textId="3554C44D"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7D7B7455" w14:textId="42691352"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5857E7" w:rsidRPr="00216DF1" w14:paraId="6EE799ED" w14:textId="77777777" w:rsidTr="00910B2C">
        <w:trPr>
          <w:jc w:val="center"/>
        </w:trPr>
        <w:tc>
          <w:tcPr>
            <w:tcW w:w="4945" w:type="dxa"/>
            <w:vAlign w:val="bottom"/>
          </w:tcPr>
          <w:p w14:paraId="79F8CC2B" w14:textId="54170708"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Proceeds from debt</w:t>
            </w:r>
          </w:p>
        </w:tc>
        <w:tc>
          <w:tcPr>
            <w:tcW w:w="1170" w:type="dxa"/>
            <w:vAlign w:val="bottom"/>
          </w:tcPr>
          <w:p w14:paraId="58BD8B59" w14:textId="12759A5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vAlign w:val="bottom"/>
          </w:tcPr>
          <w:p w14:paraId="7A97CDBD" w14:textId="44AFE788"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614D55F6" w14:textId="0AE2616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30,000 </w:t>
            </w:r>
          </w:p>
        </w:tc>
      </w:tr>
      <w:tr w:rsidR="005857E7" w:rsidRPr="00216DF1" w14:paraId="1123107F" w14:textId="77777777" w:rsidTr="00910B2C">
        <w:trPr>
          <w:jc w:val="center"/>
        </w:trPr>
        <w:tc>
          <w:tcPr>
            <w:tcW w:w="4945" w:type="dxa"/>
            <w:vAlign w:val="bottom"/>
          </w:tcPr>
          <w:p w14:paraId="460917F4" w14:textId="29C07C8C"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Proceeds from the exercise of stock options</w:t>
            </w:r>
          </w:p>
        </w:tc>
        <w:tc>
          <w:tcPr>
            <w:tcW w:w="1170" w:type="dxa"/>
            <w:vAlign w:val="bottom"/>
          </w:tcPr>
          <w:p w14:paraId="65E8B30C" w14:textId="5876DA8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5,616 </w:t>
            </w:r>
          </w:p>
        </w:tc>
        <w:tc>
          <w:tcPr>
            <w:tcW w:w="1260" w:type="dxa"/>
            <w:vAlign w:val="bottom"/>
          </w:tcPr>
          <w:p w14:paraId="2B29B12C" w14:textId="62AB4F4D"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18,906 </w:t>
            </w:r>
          </w:p>
        </w:tc>
        <w:tc>
          <w:tcPr>
            <w:tcW w:w="1573" w:type="dxa"/>
            <w:vAlign w:val="bottom"/>
          </w:tcPr>
          <w:p w14:paraId="0B0D1D20" w14:textId="7922C677"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11,277 </w:t>
            </w:r>
          </w:p>
        </w:tc>
      </w:tr>
      <w:tr w:rsidR="005857E7" w:rsidRPr="00216DF1" w14:paraId="156A0416" w14:textId="77777777" w:rsidTr="00910B2C">
        <w:trPr>
          <w:jc w:val="center"/>
        </w:trPr>
        <w:tc>
          <w:tcPr>
            <w:tcW w:w="4945" w:type="dxa"/>
            <w:vAlign w:val="bottom"/>
          </w:tcPr>
          <w:p w14:paraId="093C90A3" w14:textId="4624C994"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Excess tax benefit from share-based payment award</w:t>
            </w:r>
          </w:p>
        </w:tc>
        <w:tc>
          <w:tcPr>
            <w:tcW w:w="1170" w:type="dxa"/>
            <w:tcBorders>
              <w:bottom w:val="single" w:sz="4" w:space="0" w:color="auto"/>
            </w:tcBorders>
            <w:vAlign w:val="bottom"/>
          </w:tcPr>
          <w:p w14:paraId="73856F0A" w14:textId="0C560078"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260" w:type="dxa"/>
            <w:tcBorders>
              <w:bottom w:val="single" w:sz="4" w:space="0" w:color="auto"/>
            </w:tcBorders>
            <w:vAlign w:val="bottom"/>
          </w:tcPr>
          <w:p w14:paraId="6101CAD1" w14:textId="5A5CBCEE"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c>
          <w:tcPr>
            <w:tcW w:w="1573" w:type="dxa"/>
            <w:vAlign w:val="bottom"/>
          </w:tcPr>
          <w:p w14:paraId="3D26D299" w14:textId="5F2AD1C7"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w:t>
            </w:r>
          </w:p>
        </w:tc>
      </w:tr>
      <w:tr w:rsidR="00910B2C" w:rsidRPr="00216DF1" w14:paraId="7A04E04C" w14:textId="77777777" w:rsidTr="00910B2C">
        <w:trPr>
          <w:jc w:val="center"/>
        </w:trPr>
        <w:tc>
          <w:tcPr>
            <w:tcW w:w="8948" w:type="dxa"/>
            <w:gridSpan w:val="4"/>
            <w:vAlign w:val="bottom"/>
          </w:tcPr>
          <w:p w14:paraId="01A6E0A6" w14:textId="77777777" w:rsidR="00910B2C" w:rsidRPr="00E06166" w:rsidRDefault="00910B2C" w:rsidP="00C63CA6">
            <w:pPr>
              <w:jc w:val="right"/>
              <w:rPr>
                <w:rFonts w:ascii="Arial" w:hAnsi="Arial" w:cs="Arial"/>
                <w:b/>
                <w:caps/>
                <w:sz w:val="18"/>
                <w:szCs w:val="18"/>
              </w:rPr>
            </w:pPr>
          </w:p>
        </w:tc>
      </w:tr>
      <w:tr w:rsidR="005857E7" w:rsidRPr="00216DF1" w14:paraId="1EF7BD72" w14:textId="77777777" w:rsidTr="00910B2C">
        <w:trPr>
          <w:jc w:val="center"/>
        </w:trPr>
        <w:tc>
          <w:tcPr>
            <w:tcW w:w="4945" w:type="dxa"/>
            <w:vAlign w:val="bottom"/>
          </w:tcPr>
          <w:p w14:paraId="281DB2F5" w14:textId="08BEAC78"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Net cash provided by financing activities</w:t>
            </w:r>
          </w:p>
        </w:tc>
        <w:tc>
          <w:tcPr>
            <w:tcW w:w="1170" w:type="dxa"/>
            <w:tcBorders>
              <w:bottom w:val="single" w:sz="4" w:space="0" w:color="auto"/>
            </w:tcBorders>
            <w:vAlign w:val="bottom"/>
          </w:tcPr>
          <w:p w14:paraId="16671CE0" w14:textId="15EB1DA9"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227,180 </w:t>
            </w:r>
          </w:p>
        </w:tc>
        <w:tc>
          <w:tcPr>
            <w:tcW w:w="1260" w:type="dxa"/>
            <w:tcBorders>
              <w:bottom w:val="single" w:sz="4" w:space="0" w:color="auto"/>
            </w:tcBorders>
            <w:vAlign w:val="bottom"/>
          </w:tcPr>
          <w:p w14:paraId="0CCB75E0" w14:textId="77DD9A5B"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18,907 </w:t>
            </w:r>
          </w:p>
        </w:tc>
        <w:tc>
          <w:tcPr>
            <w:tcW w:w="1573" w:type="dxa"/>
            <w:vAlign w:val="bottom"/>
          </w:tcPr>
          <w:p w14:paraId="64F4D0B6" w14:textId="06E50EC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41,277 </w:t>
            </w:r>
          </w:p>
        </w:tc>
      </w:tr>
      <w:tr w:rsidR="00910B2C" w:rsidRPr="00216DF1" w14:paraId="21DA62FA" w14:textId="77777777" w:rsidTr="00910B2C">
        <w:trPr>
          <w:jc w:val="center"/>
        </w:trPr>
        <w:tc>
          <w:tcPr>
            <w:tcW w:w="8948" w:type="dxa"/>
            <w:gridSpan w:val="4"/>
            <w:vAlign w:val="bottom"/>
          </w:tcPr>
          <w:p w14:paraId="234ED1FC" w14:textId="77777777" w:rsidR="00910B2C" w:rsidRPr="00E06166" w:rsidRDefault="00910B2C" w:rsidP="00C63CA6">
            <w:pPr>
              <w:jc w:val="right"/>
              <w:rPr>
                <w:rFonts w:ascii="Arial" w:hAnsi="Arial" w:cs="Arial"/>
                <w:b/>
                <w:caps/>
                <w:sz w:val="18"/>
                <w:szCs w:val="18"/>
              </w:rPr>
            </w:pPr>
          </w:p>
        </w:tc>
      </w:tr>
      <w:tr w:rsidR="005857E7" w:rsidRPr="00216DF1" w14:paraId="6F672AAB" w14:textId="77777777" w:rsidTr="00910B2C">
        <w:trPr>
          <w:jc w:val="center"/>
        </w:trPr>
        <w:tc>
          <w:tcPr>
            <w:tcW w:w="4945" w:type="dxa"/>
            <w:vAlign w:val="bottom"/>
          </w:tcPr>
          <w:p w14:paraId="5213CDA9" w14:textId="2BEC6B7E"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Effect of foreign exchange rate on cash and cash equiv</w:t>
            </w:r>
            <w:r w:rsidRPr="00216DF1">
              <w:rPr>
                <w:rFonts w:ascii="Arial" w:hAnsi="Arial" w:cs="Arial"/>
                <w:color w:val="000000"/>
                <w:sz w:val="18"/>
                <w:szCs w:val="18"/>
              </w:rPr>
              <w:t>al</w:t>
            </w:r>
            <w:r w:rsidRPr="00E06166">
              <w:rPr>
                <w:rFonts w:ascii="Arial" w:hAnsi="Arial" w:cs="Arial"/>
                <w:color w:val="000000"/>
                <w:sz w:val="18"/>
                <w:szCs w:val="18"/>
              </w:rPr>
              <w:t>ents</w:t>
            </w:r>
          </w:p>
        </w:tc>
        <w:tc>
          <w:tcPr>
            <w:tcW w:w="1170" w:type="dxa"/>
            <w:tcBorders>
              <w:bottom w:val="single" w:sz="4" w:space="0" w:color="auto"/>
            </w:tcBorders>
            <w:vAlign w:val="bottom"/>
          </w:tcPr>
          <w:p w14:paraId="5CC5B91D" w14:textId="07939024"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4</w:t>
            </w:r>
          </w:p>
        </w:tc>
        <w:tc>
          <w:tcPr>
            <w:tcW w:w="1260" w:type="dxa"/>
            <w:tcBorders>
              <w:bottom w:val="single" w:sz="4" w:space="0" w:color="auto"/>
            </w:tcBorders>
            <w:vAlign w:val="bottom"/>
          </w:tcPr>
          <w:p w14:paraId="285B7CE1" w14:textId="7750C026"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760</w:t>
            </w:r>
          </w:p>
        </w:tc>
        <w:tc>
          <w:tcPr>
            <w:tcW w:w="1573" w:type="dxa"/>
            <w:vAlign w:val="bottom"/>
          </w:tcPr>
          <w:p w14:paraId="227B4DDF" w14:textId="5261E2B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214 </w:t>
            </w:r>
          </w:p>
        </w:tc>
      </w:tr>
      <w:tr w:rsidR="00910B2C" w:rsidRPr="00216DF1" w14:paraId="41ECB9BB" w14:textId="77777777" w:rsidTr="00910B2C">
        <w:trPr>
          <w:jc w:val="center"/>
        </w:trPr>
        <w:tc>
          <w:tcPr>
            <w:tcW w:w="8948" w:type="dxa"/>
            <w:gridSpan w:val="4"/>
            <w:vAlign w:val="bottom"/>
          </w:tcPr>
          <w:p w14:paraId="55DE082E" w14:textId="77777777" w:rsidR="00910B2C" w:rsidRPr="00E06166" w:rsidRDefault="00910B2C" w:rsidP="00C63CA6">
            <w:pPr>
              <w:jc w:val="right"/>
              <w:rPr>
                <w:rFonts w:ascii="Arial" w:hAnsi="Arial" w:cs="Arial"/>
                <w:b/>
                <w:caps/>
                <w:sz w:val="18"/>
                <w:szCs w:val="18"/>
              </w:rPr>
            </w:pPr>
          </w:p>
        </w:tc>
      </w:tr>
      <w:tr w:rsidR="005857E7" w:rsidRPr="00216DF1" w14:paraId="5B43038E" w14:textId="77777777" w:rsidTr="00910B2C">
        <w:trPr>
          <w:jc w:val="center"/>
        </w:trPr>
        <w:tc>
          <w:tcPr>
            <w:tcW w:w="4945" w:type="dxa"/>
            <w:vAlign w:val="bottom"/>
          </w:tcPr>
          <w:p w14:paraId="319E1FCA" w14:textId="104493AE"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Net increase (decrease) in cash and cash equivalents</w:t>
            </w:r>
          </w:p>
        </w:tc>
        <w:tc>
          <w:tcPr>
            <w:tcW w:w="1170" w:type="dxa"/>
            <w:vAlign w:val="bottom"/>
          </w:tcPr>
          <w:p w14:paraId="1A364E98" w14:textId="31E228F8"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136,460 </w:t>
            </w:r>
          </w:p>
        </w:tc>
        <w:tc>
          <w:tcPr>
            <w:tcW w:w="1260" w:type="dxa"/>
            <w:vAlign w:val="bottom"/>
          </w:tcPr>
          <w:p w14:paraId="3071D843" w14:textId="40796A5B"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53,233</w:t>
            </w:r>
          </w:p>
        </w:tc>
        <w:tc>
          <w:tcPr>
            <w:tcW w:w="1573" w:type="dxa"/>
            <w:vAlign w:val="bottom"/>
          </w:tcPr>
          <w:p w14:paraId="16DA9997" w14:textId="3C9E3A47" w:rsidR="005857E7" w:rsidRPr="00E06166" w:rsidRDefault="005857E7" w:rsidP="00566139">
            <w:pPr>
              <w:jc w:val="right"/>
              <w:rPr>
                <w:rFonts w:ascii="Arial" w:hAnsi="Arial" w:cs="Arial"/>
                <w:b/>
                <w:caps/>
                <w:sz w:val="18"/>
                <w:szCs w:val="18"/>
              </w:rPr>
            </w:pPr>
            <w:r w:rsidRPr="00216DF1">
              <w:rPr>
                <w:rFonts w:ascii="Arial" w:hAnsi="Arial" w:cs="Arial"/>
                <w:color w:val="000000"/>
                <w:sz w:val="18"/>
                <w:szCs w:val="18"/>
              </w:rPr>
              <w:t>−</w:t>
            </w:r>
            <w:r w:rsidRPr="00E06166">
              <w:rPr>
                <w:rFonts w:ascii="Arial" w:hAnsi="Arial" w:cs="Arial"/>
                <w:color w:val="000000"/>
                <w:sz w:val="18"/>
                <w:szCs w:val="18"/>
              </w:rPr>
              <w:t>27,613</w:t>
            </w:r>
          </w:p>
        </w:tc>
      </w:tr>
      <w:tr w:rsidR="005857E7" w:rsidRPr="00216DF1" w14:paraId="2E78979C" w14:textId="77777777" w:rsidTr="00910B2C">
        <w:trPr>
          <w:jc w:val="center"/>
        </w:trPr>
        <w:tc>
          <w:tcPr>
            <w:tcW w:w="4945" w:type="dxa"/>
            <w:vAlign w:val="bottom"/>
          </w:tcPr>
          <w:p w14:paraId="34EC464A" w14:textId="46C86B23"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Cash and cash equivalents, beginning of period</w:t>
            </w:r>
          </w:p>
        </w:tc>
        <w:tc>
          <w:tcPr>
            <w:tcW w:w="1170" w:type="dxa"/>
            <w:tcBorders>
              <w:bottom w:val="single" w:sz="4" w:space="0" w:color="auto"/>
            </w:tcBorders>
            <w:vAlign w:val="bottom"/>
          </w:tcPr>
          <w:p w14:paraId="67514758" w14:textId="11C309D7"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82,949 </w:t>
            </w:r>
          </w:p>
        </w:tc>
        <w:tc>
          <w:tcPr>
            <w:tcW w:w="1260" w:type="dxa"/>
            <w:tcBorders>
              <w:bottom w:val="single" w:sz="4" w:space="0" w:color="auto"/>
            </w:tcBorders>
            <w:vAlign w:val="bottom"/>
          </w:tcPr>
          <w:p w14:paraId="342AD93B" w14:textId="025D34B5"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219,409 </w:t>
            </w:r>
          </w:p>
        </w:tc>
        <w:tc>
          <w:tcPr>
            <w:tcW w:w="1573" w:type="dxa"/>
            <w:vAlign w:val="bottom"/>
          </w:tcPr>
          <w:p w14:paraId="263DDDF4" w14:textId="572972DA"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166,176 </w:t>
            </w:r>
          </w:p>
        </w:tc>
      </w:tr>
      <w:tr w:rsidR="00910B2C" w:rsidRPr="00216DF1" w14:paraId="31EDD1C1" w14:textId="77777777" w:rsidTr="00910B2C">
        <w:trPr>
          <w:trHeight w:val="125"/>
          <w:jc w:val="center"/>
        </w:trPr>
        <w:tc>
          <w:tcPr>
            <w:tcW w:w="8948" w:type="dxa"/>
            <w:gridSpan w:val="4"/>
            <w:vAlign w:val="bottom"/>
          </w:tcPr>
          <w:p w14:paraId="0AE9444C" w14:textId="77777777" w:rsidR="00910B2C" w:rsidRPr="00E06166" w:rsidRDefault="00910B2C" w:rsidP="00C63CA6">
            <w:pPr>
              <w:jc w:val="right"/>
              <w:rPr>
                <w:rFonts w:ascii="Arial" w:hAnsi="Arial" w:cs="Arial"/>
                <w:b/>
                <w:caps/>
                <w:sz w:val="18"/>
                <w:szCs w:val="18"/>
              </w:rPr>
            </w:pPr>
          </w:p>
        </w:tc>
      </w:tr>
      <w:tr w:rsidR="005857E7" w:rsidRPr="00216DF1" w14:paraId="15B28B25" w14:textId="77777777" w:rsidTr="00910B2C">
        <w:trPr>
          <w:jc w:val="center"/>
        </w:trPr>
        <w:tc>
          <w:tcPr>
            <w:tcW w:w="4945" w:type="dxa"/>
            <w:vAlign w:val="bottom"/>
          </w:tcPr>
          <w:p w14:paraId="0B94B128" w14:textId="6C27E8AA" w:rsidR="005857E7" w:rsidRPr="00E06166" w:rsidRDefault="005857E7" w:rsidP="005857E7">
            <w:pPr>
              <w:suppressAutoHyphens/>
              <w:rPr>
                <w:rFonts w:ascii="Arial" w:hAnsi="Arial" w:cs="Arial"/>
                <w:b/>
                <w:caps/>
                <w:sz w:val="18"/>
                <w:szCs w:val="18"/>
              </w:rPr>
            </w:pPr>
            <w:r w:rsidRPr="00E06166">
              <w:rPr>
                <w:rFonts w:ascii="Arial" w:hAnsi="Arial" w:cs="Arial"/>
                <w:color w:val="000000"/>
                <w:sz w:val="18"/>
                <w:szCs w:val="18"/>
              </w:rPr>
              <w:t>Cash and cash equivalents, end of period</w:t>
            </w:r>
          </w:p>
        </w:tc>
        <w:tc>
          <w:tcPr>
            <w:tcW w:w="1170" w:type="dxa"/>
            <w:vAlign w:val="bottom"/>
          </w:tcPr>
          <w:p w14:paraId="625D0F6A" w14:textId="5215A8EF"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219,409 </w:t>
            </w:r>
          </w:p>
        </w:tc>
        <w:tc>
          <w:tcPr>
            <w:tcW w:w="1260" w:type="dxa"/>
            <w:vAlign w:val="bottom"/>
          </w:tcPr>
          <w:p w14:paraId="27254514" w14:textId="23FEB750"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166,176 </w:t>
            </w:r>
          </w:p>
        </w:tc>
        <w:tc>
          <w:tcPr>
            <w:tcW w:w="1573" w:type="dxa"/>
            <w:vAlign w:val="bottom"/>
          </w:tcPr>
          <w:p w14:paraId="0226630D" w14:textId="7699FB92" w:rsidR="005857E7" w:rsidRPr="00E06166" w:rsidRDefault="005857E7" w:rsidP="00C63CA6">
            <w:pPr>
              <w:jc w:val="right"/>
              <w:rPr>
                <w:rFonts w:ascii="Arial" w:hAnsi="Arial" w:cs="Arial"/>
                <w:b/>
                <w:caps/>
                <w:sz w:val="18"/>
                <w:szCs w:val="18"/>
              </w:rPr>
            </w:pPr>
            <w:r w:rsidRPr="00E06166">
              <w:rPr>
                <w:rFonts w:ascii="Arial" w:hAnsi="Arial" w:cs="Arial"/>
                <w:color w:val="000000"/>
                <w:sz w:val="18"/>
                <w:szCs w:val="18"/>
              </w:rPr>
              <w:t xml:space="preserve">138,563 </w:t>
            </w:r>
          </w:p>
        </w:tc>
      </w:tr>
    </w:tbl>
    <w:p w14:paraId="05184D7A" w14:textId="77777777" w:rsidR="00910B2C" w:rsidRDefault="00910B2C" w:rsidP="00E06166">
      <w:pPr>
        <w:pStyle w:val="Footnote"/>
      </w:pPr>
    </w:p>
    <w:p w14:paraId="58E7AD52" w14:textId="3C0190E8" w:rsidR="00C548ED" w:rsidRPr="00E06166" w:rsidRDefault="00C548ED" w:rsidP="00E06166">
      <w:pPr>
        <w:pStyle w:val="Footnote"/>
      </w:pPr>
      <w:r w:rsidRPr="00E06166">
        <w:t xml:space="preserve">Source: </w:t>
      </w:r>
      <w:r w:rsidR="00A80F0C" w:rsidRPr="00E06166">
        <w:t>United States Securities and Exchange Commission, “</w:t>
      </w:r>
      <w:r w:rsidRPr="00E06166">
        <w:t>Square, Inc. Form S-1,</w:t>
      </w:r>
      <w:r w:rsidR="00A80F0C" w:rsidRPr="00E06166">
        <w:t>”</w:t>
      </w:r>
      <w:r w:rsidRPr="00E06166">
        <w:t xml:space="preserve"> accessed May 22, 2017, </w:t>
      </w:r>
      <w:r w:rsidR="009B3846" w:rsidRPr="00E06166">
        <w:t>www.sec.gov/Archives/edgar/data/1512673/000119312515343733/d937622ds1.htm#fin937622_30</w:t>
      </w:r>
      <w:r w:rsidR="00A80F0C" w:rsidRPr="00E06166">
        <w:t>.</w:t>
      </w:r>
    </w:p>
    <w:p w14:paraId="6DEC4605" w14:textId="20FC3C40" w:rsidR="004A5002" w:rsidRPr="005E53EB" w:rsidRDefault="004A5002" w:rsidP="00E06166">
      <w:pPr>
        <w:pStyle w:val="ExhibitHeading"/>
      </w:pPr>
      <w:r w:rsidRPr="005E53EB">
        <w:lastRenderedPageBreak/>
        <w:t>Exhibit 5: Summary of Key Terms for Square, Inc. Series E Preferred Stock</w:t>
      </w:r>
    </w:p>
    <w:p w14:paraId="6F89E0E9" w14:textId="77777777" w:rsidR="004A5002" w:rsidRPr="00216DF1" w:rsidRDefault="004A5002" w:rsidP="00A700D8">
      <w:pPr>
        <w:pStyle w:val="BodyText"/>
        <w:tabs>
          <w:tab w:val="left" w:pos="270"/>
          <w:tab w:val="left" w:pos="3690"/>
        </w:tabs>
        <w:spacing w:after="0"/>
        <w:rPr>
          <w:b/>
          <w:sz w:val="22"/>
          <w:szCs w:val="22"/>
        </w:rPr>
      </w:pPr>
    </w:p>
    <w:p w14:paraId="17862D1A" w14:textId="77777777" w:rsidR="004A5002" w:rsidRPr="00E06166" w:rsidRDefault="004A5002" w:rsidP="00A700D8">
      <w:pPr>
        <w:pStyle w:val="BodyText"/>
        <w:tabs>
          <w:tab w:val="left" w:pos="270"/>
          <w:tab w:val="left" w:pos="3690"/>
        </w:tabs>
        <w:spacing w:after="0"/>
        <w:ind w:left="3690" w:hanging="3690"/>
        <w:rPr>
          <w:rFonts w:ascii="Arial" w:hAnsi="Arial" w:cs="Arial"/>
          <w:b/>
        </w:rPr>
      </w:pPr>
      <w:r w:rsidRPr="00E06166">
        <w:rPr>
          <w:rFonts w:ascii="Arial" w:hAnsi="Arial" w:cs="Arial"/>
          <w:b/>
        </w:rPr>
        <w:t xml:space="preserve">I. </w:t>
      </w:r>
      <w:r w:rsidRPr="00E06166">
        <w:rPr>
          <w:rFonts w:ascii="Arial" w:hAnsi="Arial" w:cs="Arial"/>
          <w:b/>
        </w:rPr>
        <w:tab/>
        <w:t>SUMMARY</w:t>
      </w:r>
    </w:p>
    <w:p w14:paraId="5255AD1F" w14:textId="01727AFF" w:rsidR="004A5002" w:rsidRPr="00E06166" w:rsidRDefault="004A5002" w:rsidP="000D5774">
      <w:pPr>
        <w:pStyle w:val="BodyText"/>
        <w:tabs>
          <w:tab w:val="left" w:pos="270"/>
          <w:tab w:val="left" w:pos="3060"/>
        </w:tabs>
        <w:spacing w:before="120" w:after="40"/>
        <w:ind w:left="3686" w:hanging="3686"/>
        <w:rPr>
          <w:rFonts w:ascii="Arial" w:hAnsi="Arial" w:cs="Arial"/>
        </w:rPr>
      </w:pPr>
      <w:r w:rsidRPr="00E06166">
        <w:rPr>
          <w:rFonts w:ascii="Arial" w:hAnsi="Arial" w:cs="Arial"/>
          <w:b/>
        </w:rPr>
        <w:tab/>
        <w:t>Issuer:</w:t>
      </w:r>
      <w:r w:rsidRPr="00E06166">
        <w:rPr>
          <w:rFonts w:ascii="Arial" w:hAnsi="Arial" w:cs="Arial"/>
        </w:rPr>
        <w:tab/>
        <w:t>Square, Inc. (the “</w:t>
      </w:r>
      <w:r w:rsidRPr="00E06166">
        <w:rPr>
          <w:rFonts w:ascii="Arial" w:hAnsi="Arial" w:cs="Arial"/>
          <w:b/>
          <w:u w:val="single"/>
        </w:rPr>
        <w:t>Company</w:t>
      </w:r>
      <w:r w:rsidRPr="00E06166">
        <w:rPr>
          <w:rFonts w:ascii="Arial" w:hAnsi="Arial" w:cs="Arial"/>
        </w:rPr>
        <w:t>”)</w:t>
      </w:r>
      <w:r w:rsidRPr="00E06166">
        <w:rPr>
          <w:rFonts w:ascii="Arial" w:hAnsi="Arial" w:cs="Arial"/>
        </w:rPr>
        <w:tab/>
      </w:r>
    </w:p>
    <w:p w14:paraId="02D088C9" w14:textId="1FE52E8D" w:rsidR="004A5002" w:rsidRPr="00E06166" w:rsidRDefault="004A5002" w:rsidP="000D5774">
      <w:pPr>
        <w:pStyle w:val="BodyText"/>
        <w:tabs>
          <w:tab w:val="left" w:pos="270"/>
          <w:tab w:val="left" w:pos="3060"/>
        </w:tabs>
        <w:spacing w:after="40"/>
        <w:ind w:left="3690" w:hanging="3690"/>
        <w:rPr>
          <w:rFonts w:ascii="Arial" w:hAnsi="Arial" w:cs="Arial"/>
        </w:rPr>
      </w:pPr>
      <w:r w:rsidRPr="00E06166">
        <w:rPr>
          <w:rFonts w:ascii="Arial" w:hAnsi="Arial" w:cs="Arial"/>
        </w:rPr>
        <w:tab/>
      </w:r>
      <w:r w:rsidRPr="00E06166">
        <w:rPr>
          <w:rFonts w:ascii="Arial" w:hAnsi="Arial" w:cs="Arial"/>
          <w:b/>
        </w:rPr>
        <w:t>Total Amount of Financing:</w:t>
      </w:r>
      <w:r w:rsidRPr="00E06166">
        <w:rPr>
          <w:rFonts w:ascii="Arial" w:hAnsi="Arial" w:cs="Arial"/>
        </w:rPr>
        <w:tab/>
        <w:t>$150,000,000</w:t>
      </w:r>
    </w:p>
    <w:p w14:paraId="75679E0B" w14:textId="3637AD9E" w:rsidR="004A5002" w:rsidRPr="00E06166" w:rsidRDefault="004A5002" w:rsidP="000D5774">
      <w:pPr>
        <w:pStyle w:val="BodyText"/>
        <w:tabs>
          <w:tab w:val="left" w:pos="270"/>
          <w:tab w:val="left" w:pos="3060"/>
        </w:tabs>
        <w:spacing w:after="40"/>
        <w:ind w:left="3690" w:hanging="3690"/>
        <w:rPr>
          <w:rFonts w:ascii="Arial" w:hAnsi="Arial" w:cs="Arial"/>
        </w:rPr>
      </w:pPr>
      <w:r w:rsidRPr="00E06166">
        <w:rPr>
          <w:rFonts w:ascii="Arial" w:hAnsi="Arial" w:cs="Arial"/>
          <w:b/>
        </w:rPr>
        <w:tab/>
        <w:t>Security:</w:t>
      </w:r>
      <w:r w:rsidRPr="00E06166">
        <w:rPr>
          <w:rFonts w:ascii="Arial" w:hAnsi="Arial" w:cs="Arial"/>
        </w:rPr>
        <w:tab/>
        <w:t xml:space="preserve">Series E Preferred Stock </w:t>
      </w:r>
    </w:p>
    <w:p w14:paraId="2A84E3DD" w14:textId="21499794" w:rsidR="004A5002" w:rsidRPr="00E06166" w:rsidRDefault="004A5002" w:rsidP="000D5774">
      <w:pPr>
        <w:pStyle w:val="BodyText"/>
        <w:tabs>
          <w:tab w:val="left" w:pos="270"/>
          <w:tab w:val="left" w:pos="3060"/>
        </w:tabs>
        <w:spacing w:after="40"/>
        <w:ind w:left="3690" w:hanging="3690"/>
        <w:rPr>
          <w:rFonts w:ascii="Arial" w:hAnsi="Arial" w:cs="Arial"/>
        </w:rPr>
      </w:pPr>
      <w:r w:rsidRPr="00E06166">
        <w:rPr>
          <w:rFonts w:ascii="Arial" w:hAnsi="Arial" w:cs="Arial"/>
          <w:b/>
        </w:rPr>
        <w:tab/>
        <w:t>Number of Shares Offered:</w:t>
      </w:r>
      <w:r w:rsidRPr="00E06166">
        <w:rPr>
          <w:rFonts w:ascii="Arial" w:hAnsi="Arial" w:cs="Arial"/>
        </w:rPr>
        <w:tab/>
        <w:t>9,700,289</w:t>
      </w:r>
    </w:p>
    <w:p w14:paraId="273D1EEA" w14:textId="49CDFB16" w:rsidR="004A5002" w:rsidRPr="00E06166" w:rsidRDefault="004A5002" w:rsidP="000D5774">
      <w:pPr>
        <w:pStyle w:val="BodyText"/>
        <w:tabs>
          <w:tab w:val="left" w:pos="270"/>
          <w:tab w:val="left" w:pos="3060"/>
        </w:tabs>
        <w:spacing w:after="40"/>
        <w:ind w:left="3690" w:hanging="3690"/>
        <w:rPr>
          <w:rFonts w:ascii="Arial" w:hAnsi="Arial" w:cs="Arial"/>
        </w:rPr>
      </w:pPr>
      <w:r w:rsidRPr="00E06166">
        <w:rPr>
          <w:rFonts w:ascii="Arial" w:hAnsi="Arial" w:cs="Arial"/>
          <w:b/>
        </w:rPr>
        <w:tab/>
        <w:t>Price per share:</w:t>
      </w:r>
      <w:r w:rsidRPr="00E06166">
        <w:rPr>
          <w:rFonts w:ascii="Arial" w:hAnsi="Arial" w:cs="Arial"/>
        </w:rPr>
        <w:tab/>
        <w:t xml:space="preserve">$15.46345 </w:t>
      </w:r>
    </w:p>
    <w:p w14:paraId="282BAD13" w14:textId="77777777" w:rsidR="004A5002" w:rsidRPr="00216DF1" w:rsidRDefault="004A5002" w:rsidP="00A700D8">
      <w:pPr>
        <w:pStyle w:val="BodyText"/>
        <w:tabs>
          <w:tab w:val="left" w:pos="270"/>
          <w:tab w:val="left" w:pos="3690"/>
        </w:tabs>
        <w:spacing w:after="0"/>
        <w:ind w:left="3690" w:hanging="3690"/>
        <w:rPr>
          <w:rFonts w:ascii="Arial" w:hAnsi="Arial" w:cs="Arial"/>
          <w:sz w:val="18"/>
          <w:szCs w:val="18"/>
        </w:rPr>
      </w:pPr>
    </w:p>
    <w:p w14:paraId="45117DC9" w14:textId="77777777" w:rsidR="000D375E" w:rsidRDefault="004A5002" w:rsidP="000D375E">
      <w:pPr>
        <w:pStyle w:val="BodyText"/>
        <w:tabs>
          <w:tab w:val="left" w:pos="270"/>
          <w:tab w:val="left" w:pos="3690"/>
        </w:tabs>
        <w:spacing w:after="0"/>
        <w:ind w:left="3690" w:hanging="3690"/>
        <w:rPr>
          <w:rFonts w:ascii="Arial" w:hAnsi="Arial" w:cs="Arial"/>
          <w:b/>
        </w:rPr>
      </w:pPr>
      <w:r w:rsidRPr="00E06166">
        <w:rPr>
          <w:rFonts w:ascii="Arial" w:hAnsi="Arial" w:cs="Arial"/>
          <w:b/>
        </w:rPr>
        <w:t>II.</w:t>
      </w:r>
      <w:r w:rsidRPr="00E06166">
        <w:rPr>
          <w:rFonts w:ascii="Arial" w:hAnsi="Arial" w:cs="Arial"/>
          <w:b/>
        </w:rPr>
        <w:tab/>
        <w:t>TERMS OF THE SERIES E PREFERRED</w:t>
      </w:r>
      <w:r w:rsidR="007C39F7" w:rsidRPr="00E06166">
        <w:rPr>
          <w:rFonts w:ascii="Arial" w:hAnsi="Arial" w:cs="Arial"/>
          <w:b/>
        </w:rPr>
        <w:t xml:space="preserve"> STOCK</w:t>
      </w:r>
    </w:p>
    <w:p w14:paraId="431F3544" w14:textId="77777777" w:rsidR="000D375E" w:rsidRDefault="000D375E" w:rsidP="000D375E">
      <w:pPr>
        <w:pStyle w:val="BodyText"/>
        <w:tabs>
          <w:tab w:val="left" w:pos="270"/>
          <w:tab w:val="left" w:pos="3690"/>
        </w:tabs>
        <w:spacing w:after="0"/>
        <w:ind w:left="3690" w:hanging="3690"/>
        <w:rPr>
          <w:rFonts w:ascii="Arial" w:hAnsi="Arial" w:cs="Arial"/>
          <w:b/>
        </w:rPr>
      </w:pPr>
    </w:p>
    <w:p w14:paraId="716457A4" w14:textId="4B136BE6" w:rsidR="009E7197" w:rsidRPr="00E06166" w:rsidRDefault="004A5002" w:rsidP="000D375E">
      <w:pPr>
        <w:pStyle w:val="BodyText"/>
        <w:tabs>
          <w:tab w:val="left" w:pos="270"/>
          <w:tab w:val="left" w:pos="3690"/>
        </w:tabs>
        <w:spacing w:after="0"/>
        <w:ind w:left="3690" w:hanging="3690"/>
        <w:rPr>
          <w:rFonts w:ascii="Arial" w:hAnsi="Arial" w:cs="Arial"/>
          <w:b/>
        </w:rPr>
      </w:pPr>
      <w:r w:rsidRPr="00E06166">
        <w:rPr>
          <w:rFonts w:ascii="Arial" w:hAnsi="Arial" w:cs="Arial"/>
          <w:b/>
        </w:rPr>
        <w:t>Conversion</w:t>
      </w:r>
      <w:r w:rsidRPr="00E06166">
        <w:rPr>
          <w:rFonts w:ascii="Arial" w:hAnsi="Arial" w:cs="Arial"/>
          <w:b/>
        </w:rPr>
        <w:tab/>
      </w:r>
    </w:p>
    <w:p w14:paraId="76BA6967" w14:textId="313121FF" w:rsidR="00177D55" w:rsidRDefault="009E7197" w:rsidP="00E06166">
      <w:pPr>
        <w:pStyle w:val="BodyText"/>
        <w:tabs>
          <w:tab w:val="left" w:pos="270"/>
          <w:tab w:val="left" w:pos="3690"/>
        </w:tabs>
        <w:ind w:left="990" w:hanging="270"/>
        <w:jc w:val="both"/>
        <w:rPr>
          <w:rFonts w:ascii="Arial" w:hAnsi="Arial" w:cs="Arial"/>
        </w:rPr>
      </w:pPr>
      <w:r w:rsidRPr="00E06166">
        <w:rPr>
          <w:rFonts w:ascii="Arial" w:hAnsi="Arial" w:cs="Arial"/>
        </w:rPr>
        <w:tab/>
      </w:r>
      <w:r w:rsidR="00F961DE">
        <w:rPr>
          <w:rFonts w:ascii="Arial" w:hAnsi="Arial" w:cs="Arial"/>
        </w:rPr>
        <w:t xml:space="preserve">At the discretion of the </w:t>
      </w:r>
      <w:r w:rsidR="008453B0">
        <w:rPr>
          <w:rFonts w:ascii="Arial" w:hAnsi="Arial" w:cs="Arial"/>
        </w:rPr>
        <w:t>stock</w:t>
      </w:r>
      <w:r w:rsidR="00AE1381">
        <w:rPr>
          <w:rFonts w:ascii="Arial" w:hAnsi="Arial" w:cs="Arial"/>
        </w:rPr>
        <w:t>holder, each share of Series E</w:t>
      </w:r>
      <w:r w:rsidR="00F961DE">
        <w:rPr>
          <w:rFonts w:ascii="Arial" w:hAnsi="Arial" w:cs="Arial"/>
        </w:rPr>
        <w:t xml:space="preserve"> p</w:t>
      </w:r>
      <w:r w:rsidR="00177D55">
        <w:rPr>
          <w:rFonts w:ascii="Arial" w:hAnsi="Arial" w:cs="Arial"/>
        </w:rPr>
        <w:t xml:space="preserve">referred </w:t>
      </w:r>
      <w:r w:rsidR="00F961DE">
        <w:rPr>
          <w:rFonts w:ascii="Arial" w:hAnsi="Arial" w:cs="Arial"/>
        </w:rPr>
        <w:t>stock</w:t>
      </w:r>
      <w:r w:rsidR="00177D55">
        <w:rPr>
          <w:rFonts w:ascii="Arial" w:hAnsi="Arial" w:cs="Arial"/>
        </w:rPr>
        <w:t xml:space="preserve"> is convertible </w:t>
      </w:r>
      <w:r w:rsidR="00530DD8">
        <w:rPr>
          <w:rFonts w:ascii="Arial" w:hAnsi="Arial" w:cs="Arial"/>
        </w:rPr>
        <w:t>into one share of common stock.</w:t>
      </w:r>
      <w:r w:rsidR="00A856C0">
        <w:rPr>
          <w:rFonts w:ascii="Arial" w:hAnsi="Arial" w:cs="Arial"/>
        </w:rPr>
        <w:t xml:space="preserve"> </w:t>
      </w:r>
      <w:r w:rsidR="00530DD8">
        <w:rPr>
          <w:rFonts w:ascii="Arial" w:hAnsi="Arial" w:cs="Arial"/>
        </w:rPr>
        <w:t xml:space="preserve">The </w:t>
      </w:r>
      <w:r w:rsidR="00F332B6">
        <w:rPr>
          <w:rFonts w:ascii="Arial" w:hAnsi="Arial" w:cs="Arial"/>
        </w:rPr>
        <w:t xml:space="preserve">shares will </w:t>
      </w:r>
      <w:r w:rsidR="00530DD8">
        <w:rPr>
          <w:rFonts w:ascii="Arial" w:hAnsi="Arial" w:cs="Arial"/>
        </w:rPr>
        <w:t xml:space="preserve">automatically </w:t>
      </w:r>
      <w:r w:rsidR="00F332B6">
        <w:rPr>
          <w:rFonts w:ascii="Arial" w:hAnsi="Arial" w:cs="Arial"/>
        </w:rPr>
        <w:t xml:space="preserve">be </w:t>
      </w:r>
      <w:r w:rsidR="00530DD8">
        <w:rPr>
          <w:rFonts w:ascii="Arial" w:hAnsi="Arial" w:cs="Arial"/>
        </w:rPr>
        <w:t>conve</w:t>
      </w:r>
      <w:r w:rsidR="00F961DE">
        <w:rPr>
          <w:rFonts w:ascii="Arial" w:hAnsi="Arial" w:cs="Arial"/>
        </w:rPr>
        <w:t>rted into common stock if the Company</w:t>
      </w:r>
      <w:r w:rsidR="00530DD8">
        <w:rPr>
          <w:rFonts w:ascii="Arial" w:hAnsi="Arial" w:cs="Arial"/>
        </w:rPr>
        <w:t xml:space="preserve"> e</w:t>
      </w:r>
      <w:r w:rsidR="00F961DE">
        <w:rPr>
          <w:rFonts w:ascii="Arial" w:hAnsi="Arial" w:cs="Arial"/>
        </w:rPr>
        <w:t xml:space="preserve">ither undertakes an </w:t>
      </w:r>
      <w:r w:rsidR="00530DD8">
        <w:rPr>
          <w:rFonts w:ascii="Arial" w:hAnsi="Arial" w:cs="Arial"/>
        </w:rPr>
        <w:t xml:space="preserve">initial public </w:t>
      </w:r>
      <w:r w:rsidR="00F961DE">
        <w:rPr>
          <w:rFonts w:ascii="Arial" w:hAnsi="Arial" w:cs="Arial"/>
        </w:rPr>
        <w:t xml:space="preserve">stock </w:t>
      </w:r>
      <w:r w:rsidR="00530DD8">
        <w:rPr>
          <w:rFonts w:ascii="Arial" w:hAnsi="Arial" w:cs="Arial"/>
        </w:rPr>
        <w:t xml:space="preserve">offering </w:t>
      </w:r>
      <w:r w:rsidR="00F961DE">
        <w:rPr>
          <w:rFonts w:ascii="Arial" w:hAnsi="Arial" w:cs="Arial"/>
        </w:rPr>
        <w:t xml:space="preserve">of at least $50 million </w:t>
      </w:r>
      <w:r w:rsidR="00530DD8">
        <w:rPr>
          <w:rFonts w:ascii="Arial" w:hAnsi="Arial" w:cs="Arial"/>
        </w:rPr>
        <w:t xml:space="preserve">or if </w:t>
      </w:r>
      <w:r w:rsidR="00530DD8" w:rsidRPr="00E06166">
        <w:rPr>
          <w:rFonts w:ascii="Arial" w:hAnsi="Arial" w:cs="Arial"/>
        </w:rPr>
        <w:t xml:space="preserve">the holders of a majority of the then-outstanding </w:t>
      </w:r>
      <w:r w:rsidR="00F961DE" w:rsidRPr="00E06166">
        <w:rPr>
          <w:rFonts w:ascii="Arial" w:hAnsi="Arial" w:cs="Arial"/>
        </w:rPr>
        <w:t xml:space="preserve">Series E preferred stock </w:t>
      </w:r>
      <w:r w:rsidR="00530DD8" w:rsidRPr="00E06166">
        <w:rPr>
          <w:rFonts w:ascii="Arial" w:hAnsi="Arial" w:cs="Arial"/>
        </w:rPr>
        <w:t>shares of Series E preferred stock</w:t>
      </w:r>
      <w:r w:rsidR="00F961DE">
        <w:rPr>
          <w:rFonts w:ascii="Arial" w:hAnsi="Arial" w:cs="Arial"/>
        </w:rPr>
        <w:t xml:space="preserve"> vote for a mandatory conversion.</w:t>
      </w:r>
    </w:p>
    <w:p w14:paraId="11DFC12E" w14:textId="4202A56F" w:rsidR="007E39FA" w:rsidRPr="00E06166" w:rsidRDefault="00177D55" w:rsidP="00E06166">
      <w:pPr>
        <w:pStyle w:val="BodyText"/>
        <w:tabs>
          <w:tab w:val="left" w:pos="270"/>
          <w:tab w:val="left" w:pos="3690"/>
        </w:tabs>
        <w:ind w:left="990" w:hanging="270"/>
        <w:jc w:val="both"/>
        <w:rPr>
          <w:rFonts w:ascii="Arial" w:hAnsi="Arial" w:cs="Arial"/>
        </w:rPr>
      </w:pPr>
      <w:r>
        <w:rPr>
          <w:rFonts w:ascii="Arial" w:hAnsi="Arial" w:cs="Arial"/>
        </w:rPr>
        <w:tab/>
      </w:r>
      <w:r w:rsidR="003A7749">
        <w:rPr>
          <w:rFonts w:ascii="Arial" w:hAnsi="Arial" w:cs="Arial"/>
        </w:rPr>
        <w:t xml:space="preserve">The Series E preferred stock can initially be converted </w:t>
      </w:r>
      <w:r w:rsidR="00461A99">
        <w:rPr>
          <w:rFonts w:ascii="Arial" w:hAnsi="Arial" w:cs="Arial"/>
        </w:rPr>
        <w:t>at a price of $15.46345.</w:t>
      </w:r>
      <w:r w:rsidR="00A856C0">
        <w:rPr>
          <w:rFonts w:ascii="Arial" w:hAnsi="Arial" w:cs="Arial"/>
        </w:rPr>
        <w:t xml:space="preserve"> </w:t>
      </w:r>
      <w:r w:rsidR="00461A99">
        <w:rPr>
          <w:rFonts w:ascii="Arial" w:hAnsi="Arial" w:cs="Arial"/>
        </w:rPr>
        <w:t xml:space="preserve">If the Company issues </w:t>
      </w:r>
      <w:r w:rsidR="003D4D92">
        <w:rPr>
          <w:rFonts w:ascii="Arial" w:hAnsi="Arial" w:cs="Arial"/>
        </w:rPr>
        <w:t xml:space="preserve">new </w:t>
      </w:r>
      <w:r w:rsidR="00DA36B7">
        <w:rPr>
          <w:rFonts w:ascii="Arial" w:hAnsi="Arial" w:cs="Arial"/>
        </w:rPr>
        <w:t>non-public</w:t>
      </w:r>
      <w:r w:rsidR="00A07FD5">
        <w:rPr>
          <w:rFonts w:ascii="Arial" w:hAnsi="Arial" w:cs="Arial"/>
        </w:rPr>
        <w:t xml:space="preserve"> </w:t>
      </w:r>
      <w:r w:rsidR="00C77C38">
        <w:rPr>
          <w:rFonts w:ascii="Arial" w:hAnsi="Arial" w:cs="Arial"/>
        </w:rPr>
        <w:t>shares at a price</w:t>
      </w:r>
      <w:r w:rsidR="003D4D92">
        <w:rPr>
          <w:rFonts w:ascii="Arial" w:hAnsi="Arial" w:cs="Arial"/>
        </w:rPr>
        <w:t xml:space="preserve"> below </w:t>
      </w:r>
      <w:r w:rsidR="00C77C38">
        <w:rPr>
          <w:rFonts w:ascii="Arial" w:hAnsi="Arial" w:cs="Arial"/>
        </w:rPr>
        <w:t>$15.46345</w:t>
      </w:r>
      <w:r w:rsidR="003D4D92">
        <w:rPr>
          <w:rFonts w:ascii="Arial" w:hAnsi="Arial" w:cs="Arial"/>
        </w:rPr>
        <w:t xml:space="preserve">, then </w:t>
      </w:r>
      <w:r w:rsidR="00DA36B7" w:rsidRPr="00DA36B7">
        <w:rPr>
          <w:rFonts w:ascii="Arial" w:hAnsi="Arial" w:cs="Arial"/>
        </w:rPr>
        <w:t xml:space="preserve">the conversion price </w:t>
      </w:r>
      <w:r w:rsidR="008453B0">
        <w:rPr>
          <w:rFonts w:ascii="Arial" w:hAnsi="Arial" w:cs="Arial"/>
        </w:rPr>
        <w:t>will</w:t>
      </w:r>
      <w:r w:rsidR="00DA36B7" w:rsidRPr="00DA36B7">
        <w:rPr>
          <w:rFonts w:ascii="Arial" w:hAnsi="Arial" w:cs="Arial"/>
        </w:rPr>
        <w:t xml:space="preserve"> be lowered to the ratio of the total value of issue proceeds measured prior to this offering divided by the total number of shares outstanding measured after this offering. </w:t>
      </w:r>
    </w:p>
    <w:p w14:paraId="4E9A43E8" w14:textId="36C207A8" w:rsidR="002C3D37" w:rsidRPr="000C017F" w:rsidRDefault="009E7197" w:rsidP="000D5774">
      <w:pPr>
        <w:pStyle w:val="BodyText"/>
        <w:widowControl w:val="0"/>
        <w:tabs>
          <w:tab w:val="left" w:pos="270"/>
          <w:tab w:val="left" w:pos="3690"/>
        </w:tabs>
        <w:autoSpaceDE w:val="0"/>
        <w:autoSpaceDN w:val="0"/>
        <w:adjustRightInd w:val="0"/>
        <w:ind w:left="990" w:hanging="270"/>
        <w:jc w:val="both"/>
        <w:rPr>
          <w:rFonts w:ascii="Arial" w:eastAsia="MS Mincho" w:hAnsi="Arial" w:cs="Arial"/>
          <w:lang w:eastAsia="ja-JP"/>
        </w:rPr>
      </w:pPr>
      <w:r w:rsidRPr="00E06166">
        <w:rPr>
          <w:rFonts w:ascii="Arial" w:hAnsi="Arial" w:cs="Arial"/>
        </w:rPr>
        <w:tab/>
      </w:r>
      <w:r w:rsidR="00DA36B7">
        <w:rPr>
          <w:rFonts w:ascii="Arial" w:hAnsi="Arial" w:cs="Arial"/>
        </w:rPr>
        <w:t xml:space="preserve">If the Company issues new public shares at a price below $15.46345, </w:t>
      </w:r>
      <w:r w:rsidR="00B17DE4">
        <w:rPr>
          <w:rFonts w:ascii="Arial" w:hAnsi="Arial" w:cs="Arial"/>
        </w:rPr>
        <w:t xml:space="preserve">the conversion price will be </w:t>
      </w:r>
      <w:r w:rsidR="00D942AB">
        <w:rPr>
          <w:rFonts w:ascii="Arial" w:hAnsi="Arial" w:cs="Arial"/>
        </w:rPr>
        <w:t>adjusted such that the Series E preferred shares are convertible into</w:t>
      </w:r>
      <w:r w:rsidR="000C017F" w:rsidRPr="000C017F">
        <w:rPr>
          <w:rFonts w:ascii="Arial" w:eastAsia="MS Mincho" w:hAnsi="Arial" w:cs="Arial"/>
          <w:lang w:eastAsia="ja-JP"/>
        </w:rPr>
        <w:t> </w:t>
      </w:r>
      <w:r w:rsidR="00D23BEF">
        <w:rPr>
          <w:rFonts w:ascii="Arial" w:eastAsia="MS Mincho" w:hAnsi="Arial" w:cs="Arial"/>
          <w:lang w:eastAsia="ja-JP"/>
        </w:rPr>
        <w:t xml:space="preserve">the original number of shares plus </w:t>
      </w:r>
      <w:r w:rsidR="000C017F" w:rsidRPr="000C017F">
        <w:rPr>
          <w:rFonts w:ascii="Arial" w:eastAsia="MS Mincho" w:hAnsi="Arial" w:cs="Arial"/>
          <w:lang w:eastAsia="ja-JP"/>
        </w:rPr>
        <w:t xml:space="preserve">an additional number of </w:t>
      </w:r>
      <w:r w:rsidR="00D23BEF">
        <w:rPr>
          <w:rFonts w:ascii="Arial" w:eastAsia="MS Mincho" w:hAnsi="Arial" w:cs="Arial"/>
          <w:lang w:eastAsia="ja-JP"/>
        </w:rPr>
        <w:t xml:space="preserve">shares </w:t>
      </w:r>
      <w:r w:rsidR="000C017F" w:rsidRPr="000C017F">
        <w:rPr>
          <w:rFonts w:ascii="Arial" w:eastAsia="MS Mincho" w:hAnsi="Arial" w:cs="Arial"/>
          <w:lang w:eastAsia="ja-JP"/>
        </w:rPr>
        <w:t xml:space="preserve">equal to the difference between $18.55614 and the </w:t>
      </w:r>
      <w:r w:rsidR="00D23BEF">
        <w:rPr>
          <w:rFonts w:ascii="Arial" w:eastAsia="MS Mincho" w:hAnsi="Arial" w:cs="Arial"/>
          <w:lang w:eastAsia="ja-JP"/>
        </w:rPr>
        <w:t>issue</w:t>
      </w:r>
      <w:r w:rsidR="000C017F" w:rsidRPr="000C017F">
        <w:rPr>
          <w:rFonts w:ascii="Arial" w:eastAsia="MS Mincho" w:hAnsi="Arial" w:cs="Arial"/>
          <w:lang w:eastAsia="ja-JP"/>
        </w:rPr>
        <w:t xml:space="preserve"> price</w:t>
      </w:r>
      <w:r w:rsidR="00D23BEF">
        <w:rPr>
          <w:rFonts w:ascii="Arial" w:eastAsia="MS Mincho" w:hAnsi="Arial" w:cs="Arial"/>
          <w:lang w:eastAsia="ja-JP"/>
        </w:rPr>
        <w:t>,</w:t>
      </w:r>
      <w:r w:rsidR="000C017F" w:rsidRPr="000C017F">
        <w:rPr>
          <w:rFonts w:ascii="Arial" w:eastAsia="MS Mincho" w:hAnsi="Arial" w:cs="Arial"/>
          <w:lang w:eastAsia="ja-JP"/>
        </w:rPr>
        <w:t xml:space="preserve"> divided by the </w:t>
      </w:r>
      <w:r w:rsidR="00D23BEF">
        <w:rPr>
          <w:rFonts w:ascii="Arial" w:eastAsia="MS Mincho" w:hAnsi="Arial" w:cs="Arial"/>
          <w:lang w:eastAsia="ja-JP"/>
        </w:rPr>
        <w:t>issue</w:t>
      </w:r>
      <w:r w:rsidR="000C017F" w:rsidRPr="000C017F">
        <w:rPr>
          <w:rFonts w:ascii="Arial" w:eastAsia="MS Mincho" w:hAnsi="Arial" w:cs="Arial"/>
          <w:lang w:eastAsia="ja-JP"/>
        </w:rPr>
        <w:t xml:space="preserve"> price.</w:t>
      </w:r>
    </w:p>
    <w:p w14:paraId="255E97D5" w14:textId="26BD4522" w:rsidR="009E7197" w:rsidRPr="00E06166" w:rsidRDefault="004A5002" w:rsidP="00571C7B">
      <w:pPr>
        <w:pStyle w:val="BodyText"/>
        <w:tabs>
          <w:tab w:val="left" w:pos="270"/>
          <w:tab w:val="left" w:pos="3690"/>
        </w:tabs>
        <w:spacing w:after="60"/>
        <w:ind w:left="3067" w:hanging="3067"/>
        <w:jc w:val="both"/>
        <w:rPr>
          <w:rFonts w:ascii="Arial" w:hAnsi="Arial" w:cs="Arial"/>
          <w:b/>
        </w:rPr>
      </w:pPr>
      <w:r w:rsidRPr="00E06166">
        <w:rPr>
          <w:rFonts w:ascii="Arial" w:hAnsi="Arial" w:cs="Arial"/>
          <w:b/>
        </w:rPr>
        <w:t>Voting</w:t>
      </w:r>
      <w:r w:rsidRPr="00E06166">
        <w:rPr>
          <w:rFonts w:ascii="Arial" w:hAnsi="Arial" w:cs="Arial"/>
          <w:b/>
        </w:rPr>
        <w:tab/>
      </w:r>
    </w:p>
    <w:p w14:paraId="38CA56A3" w14:textId="148CFC5E" w:rsidR="004E1950" w:rsidRDefault="009E7197" w:rsidP="00571C7B">
      <w:pPr>
        <w:pStyle w:val="BodyText"/>
        <w:tabs>
          <w:tab w:val="left" w:pos="270"/>
          <w:tab w:val="left" w:pos="3690"/>
        </w:tabs>
        <w:ind w:left="990" w:hanging="270"/>
        <w:jc w:val="both"/>
        <w:rPr>
          <w:rFonts w:ascii="Arial" w:eastAsia="MS Mincho" w:hAnsi="Arial" w:cs="Arial"/>
          <w:lang w:eastAsia="ja-JP"/>
        </w:rPr>
      </w:pPr>
      <w:r w:rsidRPr="00E06166">
        <w:rPr>
          <w:rFonts w:ascii="Arial" w:eastAsia="MS Mincho" w:hAnsi="Arial" w:cs="Arial"/>
          <w:lang w:eastAsia="ja-JP"/>
        </w:rPr>
        <w:tab/>
      </w:r>
      <w:r w:rsidR="000C017F">
        <w:rPr>
          <w:rFonts w:ascii="Arial" w:eastAsia="MS Mincho" w:hAnsi="Arial" w:cs="Arial"/>
          <w:lang w:eastAsia="ja-JP"/>
        </w:rPr>
        <w:t>Series E preferred stockholders possess a number of votes equal to the number of common stock shares that their shares are conve</w:t>
      </w:r>
      <w:r w:rsidR="00D23BEF">
        <w:rPr>
          <w:rFonts w:ascii="Arial" w:eastAsia="MS Mincho" w:hAnsi="Arial" w:cs="Arial"/>
          <w:lang w:eastAsia="ja-JP"/>
        </w:rPr>
        <w:t>rtible into.</w:t>
      </w:r>
    </w:p>
    <w:p w14:paraId="110A7CBE" w14:textId="4479EDCB" w:rsidR="007C39F7" w:rsidRPr="00E06166" w:rsidRDefault="00FB7698" w:rsidP="000D5774">
      <w:pPr>
        <w:pStyle w:val="BodyText"/>
        <w:tabs>
          <w:tab w:val="left" w:pos="270"/>
          <w:tab w:val="left" w:pos="3690"/>
        </w:tabs>
        <w:spacing w:before="120" w:after="60"/>
        <w:ind w:left="990"/>
        <w:jc w:val="both"/>
        <w:rPr>
          <w:rFonts w:ascii="Arial" w:hAnsi="Arial" w:cs="Arial"/>
        </w:rPr>
      </w:pPr>
      <w:r>
        <w:rPr>
          <w:rFonts w:ascii="Arial" w:eastAsia="MS Mincho" w:hAnsi="Arial" w:cs="Arial"/>
          <w:lang w:eastAsia="ja-JP"/>
        </w:rPr>
        <w:t xml:space="preserve">At each </w:t>
      </w:r>
      <w:r w:rsidR="002C3D37">
        <w:rPr>
          <w:rFonts w:ascii="Arial" w:eastAsia="MS Mincho" w:hAnsi="Arial" w:cs="Arial"/>
          <w:lang w:eastAsia="ja-JP"/>
        </w:rPr>
        <w:t>election of</w:t>
      </w:r>
      <w:r w:rsidR="00E23494">
        <w:rPr>
          <w:rFonts w:ascii="Arial" w:eastAsia="MS Mincho" w:hAnsi="Arial" w:cs="Arial"/>
          <w:lang w:eastAsia="ja-JP"/>
        </w:rPr>
        <w:t xml:space="preserve"> the Board of Directors: Common Stockholders will elect four members; Series B Preferred Stockholders will elect one member; Series C Preferred Stockholders will elect one member; </w:t>
      </w:r>
      <w:r w:rsidR="002C3D37">
        <w:rPr>
          <w:rFonts w:ascii="Arial" w:eastAsia="MS Mincho" w:hAnsi="Arial" w:cs="Arial"/>
          <w:lang w:eastAsia="ja-JP"/>
        </w:rPr>
        <w:t>and all shareholders, on</w:t>
      </w:r>
      <w:r w:rsidR="002C3D37" w:rsidRPr="00E06166">
        <w:rPr>
          <w:rFonts w:ascii="Arial" w:eastAsia="MS Mincho" w:hAnsi="Arial" w:cs="Arial"/>
          <w:lang w:eastAsia="ja-JP"/>
        </w:rPr>
        <w:t xml:space="preserve"> an as-converted basis, </w:t>
      </w:r>
      <w:r w:rsidR="002C3D37">
        <w:rPr>
          <w:rFonts w:ascii="Arial" w:eastAsia="MS Mincho" w:hAnsi="Arial" w:cs="Arial"/>
          <w:lang w:eastAsia="ja-JP"/>
        </w:rPr>
        <w:t>will</w:t>
      </w:r>
      <w:r w:rsidR="002C3D37" w:rsidRPr="00E06166">
        <w:rPr>
          <w:rFonts w:ascii="Arial" w:eastAsia="MS Mincho" w:hAnsi="Arial" w:cs="Arial"/>
          <w:lang w:eastAsia="ja-JP"/>
        </w:rPr>
        <w:t xml:space="preserve"> elect the remaining members.</w:t>
      </w:r>
    </w:p>
    <w:p w14:paraId="7EF05692" w14:textId="52E7F889" w:rsidR="002C3D37" w:rsidRDefault="004A5002" w:rsidP="000D5774">
      <w:pPr>
        <w:pStyle w:val="BodyText"/>
        <w:tabs>
          <w:tab w:val="left" w:pos="270"/>
          <w:tab w:val="left" w:pos="3690"/>
        </w:tabs>
        <w:spacing w:before="120" w:after="60"/>
        <w:jc w:val="both"/>
        <w:rPr>
          <w:rFonts w:ascii="Arial" w:hAnsi="Arial" w:cs="Arial"/>
        </w:rPr>
      </w:pPr>
      <w:r w:rsidRPr="00E06166">
        <w:rPr>
          <w:rFonts w:ascii="Arial" w:hAnsi="Arial" w:cs="Arial"/>
          <w:b/>
        </w:rPr>
        <w:t>Liquidation Preference</w:t>
      </w:r>
      <w:r w:rsidRPr="00E06166">
        <w:rPr>
          <w:rFonts w:ascii="Arial" w:hAnsi="Arial" w:cs="Arial"/>
          <w:b/>
        </w:rPr>
        <w:tab/>
      </w:r>
    </w:p>
    <w:p w14:paraId="6BA2C52A" w14:textId="7A9163DE" w:rsidR="002C3D37" w:rsidRDefault="002C3D37" w:rsidP="00E06166">
      <w:pPr>
        <w:pStyle w:val="BodyText"/>
        <w:tabs>
          <w:tab w:val="left" w:pos="270"/>
          <w:tab w:val="left" w:pos="3690"/>
        </w:tabs>
        <w:ind w:left="990" w:hanging="270"/>
        <w:jc w:val="both"/>
        <w:rPr>
          <w:rFonts w:ascii="Arial" w:hAnsi="Arial" w:cs="Arial"/>
        </w:rPr>
      </w:pPr>
      <w:r>
        <w:rPr>
          <w:rFonts w:ascii="Arial" w:hAnsi="Arial" w:cs="Arial"/>
        </w:rPr>
        <w:tab/>
        <w:t xml:space="preserve">If the Company is liquidated or </w:t>
      </w:r>
      <w:r w:rsidR="008E6855">
        <w:rPr>
          <w:rFonts w:ascii="Arial" w:hAnsi="Arial" w:cs="Arial"/>
        </w:rPr>
        <w:t xml:space="preserve">wound </w:t>
      </w:r>
      <w:r>
        <w:rPr>
          <w:rFonts w:ascii="Arial" w:hAnsi="Arial" w:cs="Arial"/>
        </w:rPr>
        <w:t xml:space="preserve">up, the Series E preferred shareholders will be entitled to receive </w:t>
      </w:r>
      <w:r w:rsidRPr="002C3D37">
        <w:rPr>
          <w:rFonts w:ascii="Arial" w:hAnsi="Arial" w:cs="Arial"/>
        </w:rPr>
        <w:t>$15.46345 per share</w:t>
      </w:r>
      <w:r>
        <w:rPr>
          <w:rFonts w:ascii="Arial" w:hAnsi="Arial" w:cs="Arial"/>
        </w:rPr>
        <w:t xml:space="preserve"> prior to any distributions to common stockholders and other preferred stockholders. Following the payment to the Series E preferred shareholders</w:t>
      </w:r>
      <w:r w:rsidRPr="00E06166">
        <w:rPr>
          <w:rFonts w:ascii="Arial" w:hAnsi="Arial" w:cs="Arial"/>
        </w:rPr>
        <w:t xml:space="preserve">, </w:t>
      </w:r>
      <w:r>
        <w:rPr>
          <w:rFonts w:ascii="Arial" w:hAnsi="Arial" w:cs="Arial"/>
        </w:rPr>
        <w:t>the other</w:t>
      </w:r>
      <w:r w:rsidRPr="00E06166">
        <w:rPr>
          <w:rFonts w:ascii="Arial" w:hAnsi="Arial" w:cs="Arial"/>
        </w:rPr>
        <w:t xml:space="preserve"> convertible preferred stock</w:t>
      </w:r>
      <w:r w:rsidR="00597CBE">
        <w:rPr>
          <w:rFonts w:ascii="Arial" w:hAnsi="Arial" w:cs="Arial"/>
        </w:rPr>
        <w:t>holders</w:t>
      </w:r>
      <w:r w:rsidRPr="00E06166">
        <w:rPr>
          <w:rFonts w:ascii="Arial" w:hAnsi="Arial" w:cs="Arial"/>
        </w:rPr>
        <w:t xml:space="preserve"> </w:t>
      </w:r>
      <w:r w:rsidR="00597CBE">
        <w:rPr>
          <w:rFonts w:ascii="Arial" w:hAnsi="Arial" w:cs="Arial"/>
        </w:rPr>
        <w:t>will be entitled to</w:t>
      </w:r>
      <w:r w:rsidRPr="00E06166">
        <w:rPr>
          <w:rFonts w:ascii="Arial" w:hAnsi="Arial" w:cs="Arial"/>
        </w:rPr>
        <w:t xml:space="preserve"> receive $0.21627 per share for Series A, $0.71977 per share for Series B-1, $0.95369 per share for Series B-2, $5.79817 per share for Series C, and $11.014 per share for Series D. </w:t>
      </w:r>
      <w:r w:rsidR="00597CBE">
        <w:rPr>
          <w:rFonts w:ascii="Arial" w:hAnsi="Arial" w:cs="Arial"/>
        </w:rPr>
        <w:t>The</w:t>
      </w:r>
      <w:r w:rsidRPr="00E06166">
        <w:rPr>
          <w:rFonts w:ascii="Arial" w:hAnsi="Arial" w:cs="Arial"/>
        </w:rPr>
        <w:t xml:space="preserve"> </w:t>
      </w:r>
      <w:r w:rsidR="00597CBE" w:rsidRPr="00E06166">
        <w:rPr>
          <w:rFonts w:ascii="Arial" w:hAnsi="Arial" w:cs="Arial"/>
        </w:rPr>
        <w:t>common stock</w:t>
      </w:r>
      <w:r w:rsidR="00597CBE">
        <w:rPr>
          <w:rFonts w:ascii="Arial" w:hAnsi="Arial" w:cs="Arial"/>
        </w:rPr>
        <w:t>holders will then receive the</w:t>
      </w:r>
      <w:r w:rsidR="00597CBE" w:rsidRPr="00E06166">
        <w:rPr>
          <w:rFonts w:ascii="Arial" w:hAnsi="Arial" w:cs="Arial"/>
        </w:rPr>
        <w:t xml:space="preserve"> </w:t>
      </w:r>
      <w:r w:rsidRPr="00E06166">
        <w:rPr>
          <w:rFonts w:ascii="Arial" w:hAnsi="Arial" w:cs="Arial"/>
        </w:rPr>
        <w:t>remaining</w:t>
      </w:r>
      <w:r w:rsidR="00597CBE">
        <w:rPr>
          <w:rFonts w:ascii="Arial" w:hAnsi="Arial" w:cs="Arial"/>
        </w:rPr>
        <w:t xml:space="preserve"> assets</w:t>
      </w:r>
      <w:r w:rsidRPr="00E06166">
        <w:rPr>
          <w:rFonts w:ascii="Arial" w:hAnsi="Arial" w:cs="Arial"/>
        </w:rPr>
        <w:t>.</w:t>
      </w:r>
    </w:p>
    <w:p w14:paraId="116ED7D0" w14:textId="4A282851" w:rsidR="009E7197" w:rsidRPr="00E06166" w:rsidRDefault="004A5002" w:rsidP="00597CBE">
      <w:pPr>
        <w:pStyle w:val="BodyText"/>
        <w:tabs>
          <w:tab w:val="left" w:pos="270"/>
          <w:tab w:val="left" w:pos="3690"/>
        </w:tabs>
        <w:spacing w:before="120" w:after="60"/>
        <w:ind w:left="3067" w:hanging="3067"/>
        <w:jc w:val="both"/>
        <w:rPr>
          <w:rFonts w:ascii="Arial" w:hAnsi="Arial" w:cs="Arial"/>
          <w:b/>
        </w:rPr>
      </w:pPr>
      <w:r w:rsidRPr="00E06166">
        <w:rPr>
          <w:rFonts w:ascii="Arial" w:hAnsi="Arial" w:cs="Arial"/>
          <w:b/>
        </w:rPr>
        <w:t>Common Stock</w:t>
      </w:r>
      <w:r w:rsidRPr="00E06166">
        <w:rPr>
          <w:rFonts w:ascii="Arial" w:hAnsi="Arial" w:cs="Arial"/>
          <w:b/>
        </w:rPr>
        <w:tab/>
      </w:r>
    </w:p>
    <w:p w14:paraId="27DCBF0D" w14:textId="29E02B96" w:rsidR="00405135" w:rsidRDefault="00EC039E" w:rsidP="00F65B6A">
      <w:pPr>
        <w:pStyle w:val="BodyText"/>
        <w:tabs>
          <w:tab w:val="left" w:pos="0"/>
          <w:tab w:val="left" w:pos="3690"/>
        </w:tabs>
        <w:ind w:left="990"/>
        <w:jc w:val="both"/>
        <w:rPr>
          <w:rFonts w:ascii="Arial" w:eastAsia="MS Mincho" w:hAnsi="Arial" w:cs="Arial"/>
          <w:lang w:eastAsia="ja-JP"/>
        </w:rPr>
      </w:pPr>
      <w:r>
        <w:rPr>
          <w:rFonts w:ascii="Arial" w:eastAsia="MS Mincho" w:hAnsi="Arial" w:cs="Arial"/>
          <w:lang w:eastAsia="ja-JP"/>
        </w:rPr>
        <w:t>C</w:t>
      </w:r>
      <w:r w:rsidR="00F65B6A">
        <w:rPr>
          <w:rFonts w:ascii="Arial" w:eastAsia="MS Mincho" w:hAnsi="Arial" w:cs="Arial"/>
          <w:lang w:eastAsia="ja-JP"/>
        </w:rPr>
        <w:t xml:space="preserve">ommon stock is subordinated to preferred stock in the payment of dividends or liquidation proceeds and </w:t>
      </w:r>
      <w:r w:rsidR="008453B0">
        <w:rPr>
          <w:rFonts w:ascii="Arial" w:eastAsia="MS Mincho" w:hAnsi="Arial" w:cs="Arial"/>
          <w:lang w:eastAsia="ja-JP"/>
        </w:rPr>
        <w:t xml:space="preserve">common stockholders </w:t>
      </w:r>
      <w:r w:rsidR="00F65B6A">
        <w:rPr>
          <w:rFonts w:ascii="Arial" w:eastAsia="MS Mincho" w:hAnsi="Arial" w:cs="Arial"/>
          <w:lang w:eastAsia="ja-JP"/>
        </w:rPr>
        <w:t>have no preemptive or subscriptions rights.</w:t>
      </w:r>
      <w:r w:rsidR="00405135">
        <w:rPr>
          <w:rFonts w:ascii="Arial" w:eastAsia="MS Mincho" w:hAnsi="Arial" w:cs="Arial"/>
          <w:lang w:eastAsia="ja-JP"/>
        </w:rPr>
        <w:t xml:space="preserve"> As of September 15, 2014, there were 370,000,000 common stock shares authorized and 252,758,922 fully diluted shared issued and outstanding.</w:t>
      </w:r>
    </w:p>
    <w:p w14:paraId="23FF5416" w14:textId="7F128EDD" w:rsidR="00CC5BA2" w:rsidRPr="00216DF1" w:rsidRDefault="00CC5BA2" w:rsidP="00E06166">
      <w:pPr>
        <w:pStyle w:val="Footnote"/>
      </w:pPr>
    </w:p>
    <w:p w14:paraId="76C3531F" w14:textId="02D6ED19" w:rsidR="009720D9" w:rsidRPr="00216DF1" w:rsidRDefault="00347632" w:rsidP="00E06166">
      <w:pPr>
        <w:pStyle w:val="Footnote"/>
        <w:rPr>
          <w:color w:val="000000" w:themeColor="text1"/>
        </w:rPr>
      </w:pPr>
      <w:r w:rsidRPr="00216DF1">
        <w:t xml:space="preserve">Source: </w:t>
      </w:r>
      <w:r w:rsidR="00A80F0C" w:rsidRPr="00216DF1">
        <w:t xml:space="preserve">United States Securities and Exchange Commission, “Square, Inc. Restated Certificate of Incorporation,” accessed May 22, 2017, </w:t>
      </w:r>
      <w:r w:rsidR="00A43D96" w:rsidRPr="00A43D96">
        <w:t>www.sec.gov/Archives/edgar/data/1512673/000119312515343733/d937622dex31.htm</w:t>
      </w:r>
      <w:r w:rsidR="00A43D96">
        <w:t xml:space="preserve">; </w:t>
      </w:r>
      <w:r w:rsidR="00A80F0C" w:rsidRPr="00216DF1">
        <w:t xml:space="preserve">United States Securities and Exchange Commission, “Square, Inc. Form S-1,” accessed May 22, 2017, </w:t>
      </w:r>
      <w:r w:rsidR="00A80F0C" w:rsidRPr="00FF031E">
        <w:t>www.sec.gov/Archives/edgar/data/1512673/000119312515343733/d937622ds1.htm</w:t>
      </w:r>
      <w:r w:rsidR="00A80F0C" w:rsidRPr="00216DF1">
        <w:t xml:space="preserve">. </w:t>
      </w:r>
    </w:p>
    <w:p w14:paraId="177C6A2E" w14:textId="651E0AFA" w:rsidR="00CB1C99" w:rsidRPr="00216DF1" w:rsidRDefault="0097609D" w:rsidP="003754B7">
      <w:pPr>
        <w:pStyle w:val="Casehead1"/>
      </w:pPr>
      <w:r w:rsidRPr="00216DF1">
        <w:br w:type="page"/>
      </w:r>
      <w:r w:rsidR="003754B7" w:rsidRPr="00216DF1">
        <w:lastRenderedPageBreak/>
        <w:t>ENDNOTES</w:t>
      </w:r>
    </w:p>
    <w:sectPr w:rsidR="00CB1C99" w:rsidRPr="00216DF1" w:rsidSect="008B03AE">
      <w:headerReference w:type="default" r:id="rId11"/>
      <w:endnotePr>
        <w:numFmt w:val="decimal"/>
      </w:endnotePr>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44F14" w14:textId="77777777" w:rsidR="00571C7B" w:rsidRDefault="00571C7B" w:rsidP="000E4C3B">
      <w:r>
        <w:separator/>
      </w:r>
    </w:p>
  </w:endnote>
  <w:endnote w:type="continuationSeparator" w:id="0">
    <w:p w14:paraId="5E8938F6" w14:textId="77777777" w:rsidR="00571C7B" w:rsidRDefault="00571C7B" w:rsidP="000E4C3B">
      <w:r>
        <w:continuationSeparator/>
      </w:r>
    </w:p>
  </w:endnote>
  <w:endnote w:id="1">
    <w:p w14:paraId="3AEAFA2F" w14:textId="212A7A01" w:rsidR="00571C7B" w:rsidRPr="003754B7" w:rsidRDefault="00571C7B" w:rsidP="00E06166">
      <w:pPr>
        <w:pStyle w:val="Footnote"/>
      </w:pPr>
      <w:r w:rsidRPr="003754B7">
        <w:rPr>
          <w:rStyle w:val="EndnoteReference"/>
        </w:rPr>
        <w:endnoteRef/>
      </w:r>
      <w:r w:rsidRPr="003754B7">
        <w:t xml:space="preserve"> This case has been written on the basis of published sources only. Consequently, the interpretation and perspectives presented in this case are not necessarily those of Square, Inc. or any investors or employees.</w:t>
      </w:r>
    </w:p>
  </w:endnote>
  <w:endnote w:id="2">
    <w:p w14:paraId="4547A379" w14:textId="4106BF9A" w:rsidR="00571C7B" w:rsidRPr="003754B7" w:rsidRDefault="00571C7B" w:rsidP="00E06166">
      <w:pPr>
        <w:pStyle w:val="Footnote"/>
      </w:pPr>
      <w:r w:rsidRPr="003754B7">
        <w:rPr>
          <w:rStyle w:val="EndnoteReference"/>
        </w:rPr>
        <w:endnoteRef/>
      </w:r>
      <w:r w:rsidRPr="003754B7">
        <w:t xml:space="preserve"> All currency amounts are in U.S. dollars</w:t>
      </w:r>
      <w:r>
        <w:t xml:space="preserve"> unless otherwise specified</w:t>
      </w:r>
      <w:r w:rsidRPr="003754B7">
        <w:t>.</w:t>
      </w:r>
    </w:p>
  </w:endnote>
  <w:endnote w:id="3">
    <w:p w14:paraId="3F68A7B2" w14:textId="309E0789" w:rsidR="00571C7B" w:rsidRPr="00984250" w:rsidRDefault="00571C7B" w:rsidP="00E06166">
      <w:pPr>
        <w:pStyle w:val="Footnote"/>
        <w:rPr>
          <w:spacing w:val="-8"/>
          <w:kern w:val="17"/>
        </w:rPr>
      </w:pPr>
      <w:r w:rsidRPr="00984250">
        <w:rPr>
          <w:rStyle w:val="EndnoteReference"/>
          <w:spacing w:val="-8"/>
          <w:kern w:val="17"/>
        </w:rPr>
        <w:endnoteRef/>
      </w:r>
      <w:r w:rsidRPr="00984250">
        <w:rPr>
          <w:spacing w:val="-8"/>
          <w:kern w:val="17"/>
        </w:rPr>
        <w:t xml:space="preserve"> “</w:t>
      </w:r>
      <w:r w:rsidRPr="00517CBD">
        <w:rPr>
          <w:spacing w:val="-8"/>
          <w:kern w:val="17"/>
        </w:rPr>
        <w:t>Square Overview,” Crunchbase, accessed May 22, 2017</w:t>
      </w:r>
      <w:r w:rsidRPr="00517CBD">
        <w:rPr>
          <w:color w:val="000000" w:themeColor="text1"/>
          <w:spacing w:val="-8"/>
          <w:kern w:val="17"/>
        </w:rPr>
        <w:t xml:space="preserve">, </w:t>
      </w:r>
      <w:r w:rsidRPr="00517CBD">
        <w:rPr>
          <w:spacing w:val="-8"/>
          <w:kern w:val="17"/>
        </w:rPr>
        <w:t>www.crunchbase.com/funding-round/c59de6486d4c17f356e93ced97d2c0d1.</w:t>
      </w:r>
    </w:p>
  </w:endnote>
  <w:endnote w:id="4">
    <w:p w14:paraId="6AD3DC99" w14:textId="447D43D4" w:rsidR="00571C7B" w:rsidRPr="003754B7" w:rsidRDefault="00571C7B" w:rsidP="00E06166">
      <w:pPr>
        <w:pStyle w:val="Footnote"/>
      </w:pPr>
      <w:r w:rsidRPr="003754B7">
        <w:rPr>
          <w:rStyle w:val="EndnoteReference"/>
        </w:rPr>
        <w:endnoteRef/>
      </w:r>
      <w:r w:rsidRPr="003754B7">
        <w:t xml:space="preserve"> Andrew Metrick and Ayako Yasada, </w:t>
      </w:r>
      <w:r>
        <w:t>“</w:t>
      </w:r>
      <w:r w:rsidRPr="003754B7">
        <w:t>The Economics of Private Equity Funds,</w:t>
      </w:r>
      <w:r>
        <w:t>”</w:t>
      </w:r>
      <w:r w:rsidRPr="003754B7">
        <w:t xml:space="preserve"> </w:t>
      </w:r>
      <w:r w:rsidRPr="00E06166">
        <w:rPr>
          <w:i/>
        </w:rPr>
        <w:t>Review of Financial Studies</w:t>
      </w:r>
      <w:r w:rsidRPr="003754B7">
        <w:t xml:space="preserve"> 23</w:t>
      </w:r>
      <w:r>
        <w:t>, no. 6</w:t>
      </w:r>
      <w:r w:rsidRPr="003754B7">
        <w:t xml:space="preserve"> </w:t>
      </w:r>
      <w:r>
        <w:t>(</w:t>
      </w:r>
      <w:r w:rsidRPr="003754B7">
        <w:t>2010</w:t>
      </w:r>
      <w:r>
        <w:t>):</w:t>
      </w:r>
      <w:r w:rsidRPr="003754B7">
        <w:t xml:space="preserve"> 2303</w:t>
      </w:r>
      <w:r>
        <w:t>–</w:t>
      </w:r>
      <w:r w:rsidRPr="003754B7">
        <w:t>2341.</w:t>
      </w:r>
    </w:p>
  </w:endnote>
  <w:endnote w:id="5">
    <w:p w14:paraId="18661F20" w14:textId="36B145F8" w:rsidR="00571C7B" w:rsidRPr="003754B7" w:rsidRDefault="00571C7B" w:rsidP="00E06166">
      <w:pPr>
        <w:pStyle w:val="Footnote"/>
      </w:pPr>
      <w:r w:rsidRPr="003754B7">
        <w:rPr>
          <w:rStyle w:val="EndnoteReference"/>
        </w:rPr>
        <w:endnoteRef/>
      </w:r>
      <w:r w:rsidRPr="003754B7">
        <w:t xml:space="preserve"> Alex Wilhelm, “Before $100 Million Raise, Square Was in Talks with Apple,” </w:t>
      </w:r>
      <w:r>
        <w:t xml:space="preserve">TechCrunch, September 12, 2014, </w:t>
      </w:r>
      <w:r w:rsidRPr="003754B7">
        <w:t>accessed May 20, 2017, https://techcrunch.com/2014/09/12/payments-startup-square-raises-100-million-more</w:t>
      </w:r>
      <w:r>
        <w:t>.</w:t>
      </w:r>
    </w:p>
  </w:endnote>
  <w:endnote w:id="6">
    <w:p w14:paraId="46EF7229" w14:textId="563A94A7" w:rsidR="00571C7B" w:rsidRPr="00984250" w:rsidRDefault="00571C7B" w:rsidP="00E06166">
      <w:pPr>
        <w:pStyle w:val="Footnote"/>
        <w:rPr>
          <w:spacing w:val="-2"/>
          <w:kern w:val="17"/>
        </w:rPr>
      </w:pPr>
      <w:r w:rsidRPr="00984250">
        <w:rPr>
          <w:rStyle w:val="EndnoteReference"/>
          <w:spacing w:val="-2"/>
          <w:kern w:val="17"/>
        </w:rPr>
        <w:endnoteRef/>
      </w:r>
      <w:r w:rsidRPr="00984250">
        <w:rPr>
          <w:spacing w:val="-2"/>
          <w:kern w:val="17"/>
        </w:rPr>
        <w:t xml:space="preserve"> Jason Del Ray, “</w:t>
      </w:r>
      <w:r w:rsidRPr="00984250">
        <w:rPr>
          <w:bCs/>
          <w:spacing w:val="-2"/>
          <w:kern w:val="17"/>
        </w:rPr>
        <w:t>Inside Square's Acquisition and IPO Hopes and Its Huge Challenges Ahead,” Recode, April 9, 2014, accessed May 20, 2017, www.recode.net/2014/4/9/11625396/a-sale-or-ipo-or-more-funding-heres-what-might-be-next-for-square.</w:t>
      </w:r>
    </w:p>
  </w:endnote>
  <w:endnote w:id="7">
    <w:p w14:paraId="4F6C8F24" w14:textId="2065BCB6" w:rsidR="00571C7B" w:rsidRPr="003754B7" w:rsidRDefault="00571C7B" w:rsidP="00E06166">
      <w:pPr>
        <w:pStyle w:val="Footnote"/>
      </w:pPr>
      <w:r w:rsidRPr="003754B7">
        <w:rPr>
          <w:rStyle w:val="EndnoteReference"/>
        </w:rPr>
        <w:endnoteRef/>
      </w:r>
      <w:r w:rsidRPr="003754B7">
        <w:t xml:space="preserve"> Ibid.</w:t>
      </w:r>
    </w:p>
  </w:endnote>
  <w:endnote w:id="8">
    <w:p w14:paraId="5CD85C06" w14:textId="391E33A2" w:rsidR="00571C7B" w:rsidRPr="003754B7" w:rsidRDefault="00571C7B" w:rsidP="00E06166">
      <w:pPr>
        <w:pStyle w:val="Footnote"/>
      </w:pPr>
      <w:r w:rsidRPr="003754B7">
        <w:rPr>
          <w:rStyle w:val="EndnoteReference"/>
        </w:rPr>
        <w:endnoteRef/>
      </w:r>
      <w:r w:rsidRPr="003754B7">
        <w:t xml:space="preserve"> </w:t>
      </w:r>
      <w:r>
        <w:t>“</w:t>
      </w:r>
      <w:r w:rsidRPr="003754B7">
        <w:t>Square</w:t>
      </w:r>
      <w:r>
        <w:t>: October 3, 2014 Funding Round, Series E</w:t>
      </w:r>
      <w:r w:rsidRPr="003754B7">
        <w:t>,</w:t>
      </w:r>
      <w:r>
        <w:t>”</w:t>
      </w:r>
      <w:r w:rsidRPr="003754B7">
        <w:t xml:space="preserve"> Crunchbase</w:t>
      </w:r>
      <w:r>
        <w:t>,</w:t>
      </w:r>
      <w:r w:rsidRPr="003754B7">
        <w:rPr>
          <w:bCs/>
        </w:rPr>
        <w:t xml:space="preserve"> accessed May 20, 2017,</w:t>
      </w:r>
      <w:r w:rsidRPr="003754B7">
        <w:t xml:space="preserve"> www.crunchbase.com/funding-round/2346cba02aa9411c1681f05c9c33a8a1</w:t>
      </w:r>
      <w:r>
        <w:t>.</w:t>
      </w:r>
    </w:p>
  </w:endnote>
  <w:endnote w:id="9">
    <w:p w14:paraId="300D8105" w14:textId="49D5FA8F" w:rsidR="00571C7B" w:rsidRPr="003754B7" w:rsidRDefault="00571C7B" w:rsidP="00E06166">
      <w:pPr>
        <w:pStyle w:val="Footnote"/>
      </w:pPr>
      <w:r w:rsidRPr="003754B7">
        <w:rPr>
          <w:rStyle w:val="EndnoteReference"/>
        </w:rPr>
        <w:endnoteRef/>
      </w:r>
      <w:r w:rsidRPr="003754B7">
        <w:t xml:space="preserve"> Aileen Lee, “Welcome to the Unicorn Club</w:t>
      </w:r>
      <w:r>
        <w:t>: Learning from Billion-Dollar Startups</w:t>
      </w:r>
      <w:r w:rsidRPr="003754B7">
        <w:t xml:space="preserve">,” </w:t>
      </w:r>
      <w:r>
        <w:t xml:space="preserve">TechCrunch, November 2, 2013, </w:t>
      </w:r>
      <w:r w:rsidRPr="003754B7">
        <w:t>accessed May 20, 2017, techcrunch.com/2013/11/02/welcome-to-the-unicorn-club</w:t>
      </w:r>
      <w:r>
        <w:t>.</w:t>
      </w:r>
    </w:p>
  </w:endnote>
  <w:endnote w:id="10">
    <w:p w14:paraId="1F029E94" w14:textId="30FA1405" w:rsidR="00571C7B" w:rsidRPr="003754B7" w:rsidRDefault="00571C7B" w:rsidP="00E06166">
      <w:pPr>
        <w:pStyle w:val="Footnote"/>
      </w:pPr>
      <w:r w:rsidRPr="003754B7">
        <w:rPr>
          <w:rStyle w:val="EndnoteReference"/>
        </w:rPr>
        <w:endnoteRef/>
      </w:r>
      <w:r w:rsidRPr="003754B7">
        <w:t xml:space="preserve"> “The Increasingly Crowded Unicorn Club in One Infographic,” CB Insights, </w:t>
      </w:r>
      <w:r>
        <w:t xml:space="preserve">January 31, 2017, </w:t>
      </w:r>
      <w:r w:rsidRPr="003754B7">
        <w:t>accessed May 21, 2017, www.cbinsights.com/blog/increasingly-crowded-unicorn-club</w:t>
      </w:r>
      <w:r>
        <w:t>.</w:t>
      </w:r>
    </w:p>
  </w:endnote>
  <w:endnote w:id="11">
    <w:p w14:paraId="62CEFA33" w14:textId="04DED604" w:rsidR="00571C7B" w:rsidRPr="003754B7" w:rsidRDefault="00571C7B" w:rsidP="00E06166">
      <w:pPr>
        <w:pStyle w:val="Footnote"/>
      </w:pPr>
      <w:r w:rsidRPr="003754B7">
        <w:rPr>
          <w:rStyle w:val="EndnoteReference"/>
        </w:rPr>
        <w:endnoteRef/>
      </w:r>
      <w:r w:rsidRPr="003754B7">
        <w:t xml:space="preserve"> Scott Austin, Chris Canipe</w:t>
      </w:r>
      <w:r>
        <w:t>,</w:t>
      </w:r>
      <w:r w:rsidRPr="003754B7">
        <w:t xml:space="preserve"> and Sarah Slobin, “The Billion Dollar Startup Club,” </w:t>
      </w:r>
      <w:r w:rsidRPr="00E06166">
        <w:rPr>
          <w:i/>
        </w:rPr>
        <w:t>Wall Street Journal</w:t>
      </w:r>
      <w:r>
        <w:t xml:space="preserve">, February 18, 2015, </w:t>
      </w:r>
      <w:r w:rsidRPr="003754B7">
        <w:t xml:space="preserve">accessed May 21, 2017, </w:t>
      </w:r>
      <w:r w:rsidRPr="003754B7">
        <w:rPr>
          <w:bCs/>
          <w:color w:val="000000" w:themeColor="text1"/>
        </w:rPr>
        <w:t>http://graphics.wsj.com/billion-dollar-club</w:t>
      </w:r>
      <w:r>
        <w:rPr>
          <w:bCs/>
          <w:color w:val="000000" w:themeColor="text1"/>
        </w:rPr>
        <w:t>.</w:t>
      </w:r>
    </w:p>
  </w:endnote>
  <w:endnote w:id="12">
    <w:p w14:paraId="302A5BFA" w14:textId="6ABF6CEE" w:rsidR="00571C7B" w:rsidRPr="003754B7" w:rsidRDefault="00571C7B" w:rsidP="00E06166">
      <w:pPr>
        <w:pStyle w:val="Footnote"/>
        <w:rPr>
          <w:bCs/>
        </w:rPr>
      </w:pPr>
      <w:r w:rsidRPr="003754B7">
        <w:rPr>
          <w:rStyle w:val="EndnoteReference"/>
        </w:rPr>
        <w:endnoteRef/>
      </w:r>
      <w:r w:rsidRPr="003754B7">
        <w:t xml:space="preserve"> Douglas MacMillan, “</w:t>
      </w:r>
      <w:r w:rsidRPr="003754B7">
        <w:rPr>
          <w:bCs/>
        </w:rPr>
        <w:t>Andreessen: Bubble Believers 'Don't Know What They're Talking About,</w:t>
      </w:r>
      <w:r>
        <w:rPr>
          <w:bCs/>
        </w:rPr>
        <w:t>’</w:t>
      </w:r>
      <w:r w:rsidRPr="003754B7">
        <w:rPr>
          <w:bCs/>
        </w:rPr>
        <w:t xml:space="preserve">” </w:t>
      </w:r>
      <w:r w:rsidRPr="00E06166">
        <w:rPr>
          <w:bCs/>
          <w:i/>
        </w:rPr>
        <w:t>Wall Street Journal</w:t>
      </w:r>
      <w:r>
        <w:rPr>
          <w:bCs/>
        </w:rPr>
        <w:t xml:space="preserve">, January 3, 2014, accessed August 26, 2017, </w:t>
      </w:r>
      <w:r w:rsidRPr="003754B7">
        <w:rPr>
          <w:bCs/>
        </w:rPr>
        <w:t>www.wsj.com/articles/andreessen-bubble-believers-8216don8217t-know-what-they8217re-talking-about8217-1388771427</w:t>
      </w:r>
      <w:r>
        <w:rPr>
          <w:bCs/>
        </w:rPr>
        <w:t>.</w:t>
      </w:r>
    </w:p>
  </w:endnote>
  <w:endnote w:id="13">
    <w:p w14:paraId="10F8D610" w14:textId="4CC2DB46" w:rsidR="00571C7B" w:rsidRPr="003754B7" w:rsidRDefault="00571C7B" w:rsidP="00E06166">
      <w:pPr>
        <w:pStyle w:val="Footnote"/>
      </w:pPr>
      <w:r w:rsidRPr="003754B7">
        <w:rPr>
          <w:rStyle w:val="EndnoteReference"/>
        </w:rPr>
        <w:endnoteRef/>
      </w:r>
      <w:r w:rsidRPr="003754B7">
        <w:t xml:space="preserve"> Marc Andreesen, “Why Software is Eating the World,” </w:t>
      </w:r>
      <w:r w:rsidRPr="00E06166">
        <w:rPr>
          <w:i/>
        </w:rPr>
        <w:t>Wall Street Journal</w:t>
      </w:r>
      <w:r>
        <w:t xml:space="preserve">, August 20, 2011, </w:t>
      </w:r>
      <w:r w:rsidRPr="003754B7">
        <w:t xml:space="preserve">accessed May 24, 2017, </w:t>
      </w:r>
      <w:r w:rsidRPr="008953E2">
        <w:t>www.wsj.com/articles/SB10001424053111903480904576512250915629460</w:t>
      </w:r>
      <w:r>
        <w:t>.</w:t>
      </w:r>
    </w:p>
  </w:endnote>
  <w:endnote w:id="14">
    <w:p w14:paraId="270ECD41" w14:textId="6A62ED16" w:rsidR="00571C7B" w:rsidRPr="00984250" w:rsidRDefault="00571C7B" w:rsidP="00E06166">
      <w:pPr>
        <w:pStyle w:val="Footnote"/>
        <w:rPr>
          <w:spacing w:val="-4"/>
          <w:kern w:val="17"/>
        </w:rPr>
      </w:pPr>
      <w:r w:rsidRPr="00984250">
        <w:rPr>
          <w:rStyle w:val="EndnoteReference"/>
          <w:spacing w:val="-4"/>
          <w:kern w:val="17"/>
        </w:rPr>
        <w:endnoteRef/>
      </w:r>
      <w:r w:rsidRPr="00984250">
        <w:rPr>
          <w:spacing w:val="-4"/>
          <w:kern w:val="17"/>
        </w:rPr>
        <w:t xml:space="preserve"> Eugene Kim, “Marc Andreessen Says The '90s Dot-Com Bubble Startups Were 'All Right but Just Early,'” Business Insider, October 28, 2014, accessed May 21 2017, www.businessinsider.com/marc-andreessen-on-90s-dot-com-bubble-startups-2014-10.</w:t>
      </w:r>
    </w:p>
  </w:endnote>
  <w:endnote w:id="15">
    <w:p w14:paraId="3BFD5DC4" w14:textId="6D151DD2" w:rsidR="00571C7B" w:rsidRPr="003754B7" w:rsidRDefault="00571C7B" w:rsidP="00E06166">
      <w:pPr>
        <w:pStyle w:val="Footnote"/>
        <w:rPr>
          <w:bCs/>
        </w:rPr>
      </w:pPr>
      <w:r w:rsidRPr="003754B7">
        <w:rPr>
          <w:rStyle w:val="EndnoteReference"/>
        </w:rPr>
        <w:endnoteRef/>
      </w:r>
      <w:r w:rsidRPr="003754B7">
        <w:t xml:space="preserve"> MacMillan, </w:t>
      </w:r>
      <w:r>
        <w:t>op. cit.</w:t>
      </w:r>
    </w:p>
  </w:endnote>
  <w:endnote w:id="16">
    <w:p w14:paraId="61075124" w14:textId="5E25F461" w:rsidR="00571C7B" w:rsidRPr="003754B7" w:rsidRDefault="00571C7B" w:rsidP="00E06166">
      <w:pPr>
        <w:pStyle w:val="Footnote"/>
      </w:pPr>
      <w:r w:rsidRPr="003754B7">
        <w:rPr>
          <w:rStyle w:val="EndnoteReference"/>
        </w:rPr>
        <w:endnoteRef/>
      </w:r>
      <w:r w:rsidRPr="003754B7">
        <w:t xml:space="preserve"> Ari Levy, “What is Square—or any Start-Up—Really Worth?,” </w:t>
      </w:r>
      <w:r>
        <w:t xml:space="preserve">CNBC, November 13, 2015, </w:t>
      </w:r>
      <w:r w:rsidRPr="003754B7">
        <w:t>accessed May 21, 2017, www.cnbc.com/2015/11/13/square-what-its-really-worth.html</w:t>
      </w:r>
      <w:r>
        <w:t>.</w:t>
      </w:r>
    </w:p>
  </w:endnote>
  <w:endnote w:id="17">
    <w:p w14:paraId="0A45011E" w14:textId="711D0713" w:rsidR="00571C7B" w:rsidRPr="003754B7" w:rsidRDefault="00571C7B" w:rsidP="00E06166">
      <w:pPr>
        <w:pStyle w:val="Footnote"/>
      </w:pPr>
      <w:r w:rsidRPr="003754B7">
        <w:rPr>
          <w:rStyle w:val="EndnoteReference"/>
        </w:rPr>
        <w:endnoteRef/>
      </w:r>
      <w:r w:rsidRPr="003754B7">
        <w:t xml:space="preserve"> Ibid.</w:t>
      </w:r>
    </w:p>
  </w:endnote>
  <w:endnote w:id="18">
    <w:p w14:paraId="3B753B0B" w14:textId="4BFB0127" w:rsidR="00571C7B" w:rsidRPr="003754B7" w:rsidRDefault="00571C7B" w:rsidP="00E06166">
      <w:pPr>
        <w:pStyle w:val="Footnote"/>
      </w:pPr>
      <w:r w:rsidRPr="00E06166">
        <w:rPr>
          <w:vertAlign w:val="superscript"/>
        </w:rPr>
        <w:t>18</w:t>
      </w:r>
      <w:r>
        <w:t xml:space="preserve"> United States Securities and Exchange Commission, “</w:t>
      </w:r>
      <w:r w:rsidRPr="003754B7">
        <w:t>Square, Inc. Form S-1,</w:t>
      </w:r>
      <w:r>
        <w:t>”</w:t>
      </w:r>
      <w:r w:rsidRPr="003754B7">
        <w:t xml:space="preserve"> accessed May 22, 2017, www.sec.gov/Archives/edgar/data/1512673/000119312515343733/d937622ds1.htm#toc937622_1</w:t>
      </w:r>
      <w:r>
        <w:t>.</w:t>
      </w:r>
    </w:p>
  </w:endnote>
  <w:endnote w:id="19">
    <w:p w14:paraId="124745A5" w14:textId="702E4AF8" w:rsidR="00571C7B" w:rsidRPr="003754B7" w:rsidRDefault="00571C7B" w:rsidP="00E06166">
      <w:pPr>
        <w:pStyle w:val="Footnote"/>
      </w:pPr>
      <w:r w:rsidRPr="003754B7">
        <w:rPr>
          <w:rStyle w:val="EndnoteReference"/>
        </w:rPr>
        <w:endnoteRef/>
      </w:r>
      <w:r w:rsidRPr="003754B7">
        <w:t xml:space="preserve"> Sean Sposito, “</w:t>
      </w:r>
      <w:r w:rsidRPr="003754B7">
        <w:rPr>
          <w:bCs/>
        </w:rPr>
        <w:t xml:space="preserve">Square Takes Aim at Payment Incumbents with New Register App,” </w:t>
      </w:r>
      <w:r w:rsidRPr="00E06166">
        <w:rPr>
          <w:bCs/>
          <w:i/>
        </w:rPr>
        <w:t>American Banker</w:t>
      </w:r>
      <w:r>
        <w:rPr>
          <w:bCs/>
        </w:rPr>
        <w:t xml:space="preserve">, March 5, 2012, </w:t>
      </w:r>
      <w:r w:rsidRPr="003754B7">
        <w:rPr>
          <w:bCs/>
        </w:rPr>
        <w:t>accessed May 22, 2017</w:t>
      </w:r>
      <w:r>
        <w:rPr>
          <w:bCs/>
        </w:rPr>
        <w:t>,</w:t>
      </w:r>
      <w:r>
        <w:t xml:space="preserve"> </w:t>
      </w:r>
      <w:r w:rsidRPr="003754B7">
        <w:t>www.americanbanker.com/news/square-takes-aim-at-payment-incumbents-with-new-register-app</w:t>
      </w:r>
      <w:r>
        <w:t>.</w:t>
      </w:r>
    </w:p>
  </w:endnote>
  <w:endnote w:id="20">
    <w:p w14:paraId="173560E6" w14:textId="6029B0F3" w:rsidR="00571C7B" w:rsidRPr="003754B7" w:rsidRDefault="00571C7B" w:rsidP="00E06166">
      <w:pPr>
        <w:pStyle w:val="Footnote"/>
      </w:pPr>
      <w:r w:rsidRPr="003754B7">
        <w:rPr>
          <w:rStyle w:val="EndnoteReference"/>
        </w:rPr>
        <w:endnoteRef/>
      </w:r>
      <w:r w:rsidRPr="003754B7">
        <w:t xml:space="preserve"> </w:t>
      </w:r>
      <w:r w:rsidRPr="00F8594B">
        <w:t>United States Securities and Exchange Commission, “Square, Inc. Form S-1,” accessed May 22, 2017, www.sec.gov/Archives/edgar/data/1512673/000119312515343733/d937622ds1.htm#toc937622_1.</w:t>
      </w:r>
    </w:p>
  </w:endnote>
  <w:endnote w:id="21">
    <w:p w14:paraId="163B666E" w14:textId="69DA60C1" w:rsidR="00571C7B" w:rsidRPr="003754B7" w:rsidRDefault="00571C7B" w:rsidP="00E06166">
      <w:pPr>
        <w:pStyle w:val="Footnote"/>
      </w:pPr>
      <w:r w:rsidRPr="003754B7">
        <w:rPr>
          <w:rStyle w:val="EndnoteReference"/>
        </w:rPr>
        <w:endnoteRef/>
      </w:r>
      <w:r w:rsidRPr="003754B7">
        <w:t xml:space="preserve"> Ibid.</w:t>
      </w:r>
    </w:p>
  </w:endnote>
  <w:endnote w:id="22">
    <w:p w14:paraId="71C084F3" w14:textId="3A7636AA" w:rsidR="00571C7B" w:rsidRPr="003754B7" w:rsidRDefault="00571C7B" w:rsidP="00E06166">
      <w:pPr>
        <w:pStyle w:val="Footnote"/>
      </w:pPr>
      <w:r w:rsidRPr="003754B7">
        <w:rPr>
          <w:rStyle w:val="EndnoteReference"/>
        </w:rPr>
        <w:endnoteRef/>
      </w:r>
      <w:r w:rsidRPr="003754B7">
        <w:t xml:space="preserve"> </w:t>
      </w:r>
      <w:r>
        <w:t>Ibid.</w:t>
      </w:r>
    </w:p>
  </w:endnote>
  <w:endnote w:id="23">
    <w:p w14:paraId="21D4B132" w14:textId="7509816F" w:rsidR="00571C7B" w:rsidRPr="003754B7" w:rsidRDefault="00571C7B" w:rsidP="00E06166">
      <w:pPr>
        <w:pStyle w:val="Footnote"/>
      </w:pPr>
      <w:r w:rsidRPr="003754B7">
        <w:rPr>
          <w:rStyle w:val="EndnoteReference"/>
        </w:rPr>
        <w:endnoteRef/>
      </w:r>
      <w:r w:rsidRPr="003754B7">
        <w:t xml:space="preserve"> Ibid.</w:t>
      </w:r>
    </w:p>
  </w:endnote>
  <w:endnote w:id="24">
    <w:p w14:paraId="3183ECC6" w14:textId="0336C946" w:rsidR="00571C7B" w:rsidRPr="003754B7" w:rsidRDefault="00571C7B" w:rsidP="00E06166">
      <w:pPr>
        <w:pStyle w:val="Footnote"/>
      </w:pPr>
      <w:r w:rsidRPr="003754B7">
        <w:rPr>
          <w:rStyle w:val="EndnoteReference"/>
        </w:rPr>
        <w:endnoteRef/>
      </w:r>
      <w:r w:rsidRPr="003754B7">
        <w:t xml:space="preserve"> Ibid.</w:t>
      </w:r>
    </w:p>
  </w:endnote>
  <w:endnote w:id="25">
    <w:p w14:paraId="6E1B15DD" w14:textId="59914D35" w:rsidR="00571C7B" w:rsidRPr="003754B7" w:rsidRDefault="00571C7B" w:rsidP="00E06166">
      <w:pPr>
        <w:pStyle w:val="Footnote"/>
      </w:pPr>
      <w:r w:rsidRPr="003754B7">
        <w:rPr>
          <w:rStyle w:val="EndnoteReference"/>
        </w:rPr>
        <w:endnoteRef/>
      </w:r>
      <w:r w:rsidRPr="003754B7">
        <w:t xml:space="preserve"> Austin Carr, “Back to Square One,” </w:t>
      </w:r>
      <w:r w:rsidRPr="00E06166">
        <w:rPr>
          <w:i/>
        </w:rPr>
        <w:t>Fast Company</w:t>
      </w:r>
      <w:r>
        <w:t xml:space="preserve">, August 11, 2014, </w:t>
      </w:r>
      <w:r w:rsidRPr="003754B7">
        <w:t>accessed May 22, 2017, www.fastcompany.com/3033412/back-to-square-one</w:t>
      </w:r>
      <w:r>
        <w:t>.</w:t>
      </w:r>
    </w:p>
  </w:endnote>
  <w:endnote w:id="26">
    <w:p w14:paraId="5BE47BB7" w14:textId="78382D34" w:rsidR="00571C7B" w:rsidRPr="003754B7" w:rsidRDefault="00571C7B" w:rsidP="00E06166">
      <w:pPr>
        <w:pStyle w:val="Footnote"/>
      </w:pPr>
      <w:r w:rsidRPr="003754B7">
        <w:rPr>
          <w:rStyle w:val="EndnoteReference"/>
        </w:rPr>
        <w:endnoteRef/>
      </w:r>
      <w:r w:rsidRPr="003754B7">
        <w:t xml:space="preserve"> Ibid.</w:t>
      </w:r>
    </w:p>
  </w:endnote>
  <w:endnote w:id="27">
    <w:p w14:paraId="75733FD8" w14:textId="3AFEEE1A" w:rsidR="00571C7B" w:rsidRPr="003754B7" w:rsidRDefault="00571C7B" w:rsidP="00E06166">
      <w:pPr>
        <w:pStyle w:val="Footnote"/>
      </w:pPr>
      <w:r w:rsidRPr="003754B7">
        <w:rPr>
          <w:rStyle w:val="EndnoteReference"/>
        </w:rPr>
        <w:endnoteRef/>
      </w:r>
      <w:r w:rsidRPr="003754B7">
        <w:t xml:space="preserve"> Marcus Wohlson, “Amazon Takes Shopping Offline with a New Mobile Credit Card Reader,” </w:t>
      </w:r>
      <w:r w:rsidRPr="00E06166">
        <w:rPr>
          <w:i/>
        </w:rPr>
        <w:t>Wired</w:t>
      </w:r>
      <w:r>
        <w:t xml:space="preserve">, August 13, 2014, </w:t>
      </w:r>
      <w:r w:rsidRPr="003754B7">
        <w:t>accessed May 21,</w:t>
      </w:r>
      <w:r>
        <w:t xml:space="preserve"> 2017,</w:t>
      </w:r>
      <w:r w:rsidRPr="003754B7">
        <w:t xml:space="preserve"> www.wired.com/2014/08/amazon-mobile-credit-card-reader</w:t>
      </w:r>
      <w:r>
        <w:t>.</w:t>
      </w:r>
    </w:p>
  </w:endnote>
  <w:endnote w:id="28">
    <w:p w14:paraId="1F7E858A" w14:textId="1ED9AEB7" w:rsidR="00571C7B" w:rsidRPr="003754B7" w:rsidRDefault="00571C7B" w:rsidP="00E06166">
      <w:pPr>
        <w:pStyle w:val="Footnote"/>
      </w:pPr>
      <w:r w:rsidRPr="003754B7">
        <w:rPr>
          <w:rStyle w:val="EndnoteReference"/>
        </w:rPr>
        <w:endnoteRef/>
      </w:r>
      <w:r w:rsidRPr="003754B7">
        <w:t xml:space="preserve"> Carr, </w:t>
      </w:r>
      <w:r>
        <w:t>op. cit.</w:t>
      </w:r>
    </w:p>
  </w:endnote>
  <w:endnote w:id="29">
    <w:p w14:paraId="163EDEBC" w14:textId="20105715" w:rsidR="00571C7B" w:rsidRPr="003754B7" w:rsidRDefault="00571C7B" w:rsidP="00E06166">
      <w:pPr>
        <w:pStyle w:val="Footnote"/>
      </w:pPr>
      <w:r w:rsidRPr="003754B7">
        <w:rPr>
          <w:rStyle w:val="EndnoteReference"/>
        </w:rPr>
        <w:endnoteRef/>
      </w:r>
      <w:r w:rsidRPr="003754B7">
        <w:t xml:space="preserve"> </w:t>
      </w:r>
      <w:r w:rsidRPr="00F8594B">
        <w:t>United States Securities and Exchange Commission, “</w:t>
      </w:r>
      <w:r w:rsidRPr="003754B7">
        <w:t>Square, Inc. Form S-1,</w:t>
      </w:r>
      <w:r>
        <w:t>”</w:t>
      </w:r>
      <w:r w:rsidRPr="003754B7">
        <w:t xml:space="preserve"> </w:t>
      </w:r>
      <w:r>
        <w:t>op. cit.</w:t>
      </w:r>
    </w:p>
  </w:endnote>
  <w:endnote w:id="30">
    <w:p w14:paraId="6DD32972" w14:textId="73091F98" w:rsidR="00571C7B" w:rsidRPr="003754B7" w:rsidRDefault="00571C7B" w:rsidP="00E06166">
      <w:pPr>
        <w:pStyle w:val="Footnote"/>
      </w:pPr>
      <w:r w:rsidRPr="003754B7">
        <w:rPr>
          <w:rStyle w:val="EndnoteReference"/>
        </w:rPr>
        <w:endnoteRef/>
      </w:r>
      <w:r w:rsidRPr="003754B7">
        <w:t xml:space="preserve"> Carr, </w:t>
      </w:r>
      <w:r>
        <w:t>op. cit.</w:t>
      </w:r>
    </w:p>
  </w:endnote>
  <w:endnote w:id="31">
    <w:p w14:paraId="32F711ED" w14:textId="61012566" w:rsidR="00571C7B" w:rsidRPr="003754B7" w:rsidRDefault="00571C7B" w:rsidP="00E06166">
      <w:pPr>
        <w:pStyle w:val="Footnote"/>
      </w:pPr>
      <w:r w:rsidRPr="003754B7">
        <w:rPr>
          <w:rStyle w:val="EndnoteReference"/>
        </w:rPr>
        <w:endnoteRef/>
      </w:r>
      <w:r w:rsidRPr="003754B7">
        <w:t xml:space="preserve"> Max Nisen, “Square’s Search </w:t>
      </w:r>
      <w:r>
        <w:t>f</w:t>
      </w:r>
      <w:r w:rsidRPr="003754B7">
        <w:t xml:space="preserve">or </w:t>
      </w:r>
      <w:r>
        <w:t>a</w:t>
      </w:r>
      <w:r w:rsidRPr="003754B7">
        <w:t xml:space="preserve"> Viable Business Model Just Got More Desperate, Thanks </w:t>
      </w:r>
      <w:r>
        <w:t>t</w:t>
      </w:r>
      <w:r w:rsidRPr="003754B7">
        <w:t xml:space="preserve">o Amazon,” </w:t>
      </w:r>
      <w:r>
        <w:t xml:space="preserve">Quartz, August 13, 2014, </w:t>
      </w:r>
      <w:r w:rsidRPr="003754B7">
        <w:t>accessed May 23, 2017, qz.com/248572/squares-search-for-a-viable-business-model-just-got-more-desperate-thanks-to-amazon</w:t>
      </w:r>
      <w:r>
        <w:t>.</w:t>
      </w:r>
    </w:p>
  </w:endnote>
  <w:endnote w:id="32">
    <w:p w14:paraId="547497C6" w14:textId="59290D76" w:rsidR="00571C7B" w:rsidRPr="003754B7" w:rsidRDefault="00571C7B" w:rsidP="00E06166">
      <w:pPr>
        <w:pStyle w:val="Footnote"/>
      </w:pPr>
      <w:r w:rsidRPr="003754B7">
        <w:rPr>
          <w:rStyle w:val="EndnoteReference"/>
        </w:rPr>
        <w:endnoteRef/>
      </w:r>
      <w:r w:rsidRPr="003754B7">
        <w:t xml:space="preserve"> Ibid.</w:t>
      </w:r>
    </w:p>
  </w:endnote>
  <w:endnote w:id="33">
    <w:p w14:paraId="6E6A7A38" w14:textId="04049E9D" w:rsidR="00571C7B" w:rsidRPr="003754B7" w:rsidRDefault="00571C7B" w:rsidP="00E06166">
      <w:pPr>
        <w:pStyle w:val="Footnote"/>
      </w:pPr>
      <w:r w:rsidRPr="003754B7">
        <w:rPr>
          <w:rStyle w:val="EndnoteReference"/>
        </w:rPr>
        <w:endnoteRef/>
      </w:r>
      <w:r w:rsidRPr="003754B7">
        <w:t xml:space="preserve"> Fred Wilson, “The Valuation Trap,” </w:t>
      </w:r>
      <w:r>
        <w:t xml:space="preserve">AVC (blog), </w:t>
      </w:r>
      <w:r w:rsidRPr="00A76B11">
        <w:t>May 4, 2014</w:t>
      </w:r>
      <w:r>
        <w:t xml:space="preserve">, </w:t>
      </w:r>
      <w:r w:rsidRPr="003754B7">
        <w:t>accessed May 25, 2017, avc.com/2014/05/the-valuation-trap</w:t>
      </w:r>
      <w:r>
        <w:t>.</w:t>
      </w:r>
    </w:p>
  </w:endnote>
  <w:endnote w:id="34">
    <w:p w14:paraId="05DFA431" w14:textId="77777777" w:rsidR="00571C7B" w:rsidRPr="003754B7" w:rsidRDefault="00571C7B" w:rsidP="00E06166">
      <w:pPr>
        <w:pStyle w:val="Footnote"/>
      </w:pPr>
      <w:r w:rsidRPr="003754B7">
        <w:rPr>
          <w:rStyle w:val="EndnoteReference"/>
        </w:rPr>
        <w:endnoteRef/>
      </w:r>
      <w:r w:rsidRPr="003754B7">
        <w:t xml:space="preserve"> Ibid.</w:t>
      </w:r>
    </w:p>
  </w:endnote>
  <w:endnote w:id="35">
    <w:p w14:paraId="0D0770A9" w14:textId="4045975F" w:rsidR="00571C7B" w:rsidRPr="003754B7" w:rsidRDefault="00571C7B" w:rsidP="00E06166">
      <w:pPr>
        <w:pStyle w:val="Footnote"/>
      </w:pPr>
      <w:r w:rsidRPr="003754B7">
        <w:rPr>
          <w:rStyle w:val="EndnoteReference"/>
        </w:rPr>
        <w:endnoteRef/>
      </w:r>
      <w:r w:rsidRPr="003754B7">
        <w:t xml:space="preserve"> Miguel Helft, “Square’s </w:t>
      </w:r>
      <w:r>
        <w:t>S</w:t>
      </w:r>
      <w:r w:rsidRPr="003754B7">
        <w:t xml:space="preserve">tatus? It’s </w:t>
      </w:r>
      <w:r>
        <w:t>C</w:t>
      </w:r>
      <w:r w:rsidRPr="003754B7">
        <w:t xml:space="preserve">omplicated,” </w:t>
      </w:r>
      <w:r w:rsidRPr="00E06166">
        <w:rPr>
          <w:i/>
        </w:rPr>
        <w:t>Fortune</w:t>
      </w:r>
      <w:r>
        <w:t xml:space="preserve">, May 14, 2014, </w:t>
      </w:r>
      <w:r w:rsidRPr="003754B7">
        <w:t>accessed May 24, 2017, fortune.com/2014/05/14/squares-status-its-complicated</w:t>
      </w:r>
      <w:r>
        <w:t>.</w:t>
      </w:r>
    </w:p>
  </w:endnote>
  <w:endnote w:id="36">
    <w:p w14:paraId="3B7EA61B" w14:textId="4569FAE7" w:rsidR="00571C7B" w:rsidRPr="003754B7" w:rsidRDefault="00571C7B" w:rsidP="00E06166">
      <w:pPr>
        <w:pStyle w:val="Footnote"/>
      </w:pPr>
      <w:r w:rsidRPr="003754B7">
        <w:rPr>
          <w:rStyle w:val="EndnoteReference"/>
        </w:rPr>
        <w:endnoteRef/>
      </w:r>
      <w:r w:rsidRPr="003754B7">
        <w:t xml:space="preserve"> Ibid.</w:t>
      </w:r>
    </w:p>
  </w:endnote>
  <w:endnote w:id="37">
    <w:p w14:paraId="13018BCB" w14:textId="25AF7640" w:rsidR="00571C7B" w:rsidRPr="003754B7" w:rsidRDefault="00571C7B" w:rsidP="00E06166">
      <w:pPr>
        <w:pStyle w:val="Footnote"/>
      </w:pPr>
      <w:r w:rsidRPr="003754B7">
        <w:rPr>
          <w:rStyle w:val="EndnoteReference"/>
        </w:rPr>
        <w:endnoteRef/>
      </w:r>
      <w:r w:rsidRPr="003754B7">
        <w:t xml:space="preserve"> Ibid.</w:t>
      </w:r>
    </w:p>
  </w:endnote>
  <w:endnote w:id="38">
    <w:p w14:paraId="0A958492" w14:textId="63AAB922" w:rsidR="00571C7B" w:rsidRPr="003754B7" w:rsidRDefault="00571C7B" w:rsidP="00E06166">
      <w:pPr>
        <w:pStyle w:val="Footnote"/>
      </w:pPr>
      <w:r w:rsidRPr="003754B7">
        <w:rPr>
          <w:rStyle w:val="EndnoteReference"/>
        </w:rPr>
        <w:endnoteRef/>
      </w:r>
      <w:r w:rsidRPr="003754B7">
        <w:t xml:space="preserve"> </w:t>
      </w:r>
      <w:r>
        <w:t>United States Securities and Exchange Commission, “</w:t>
      </w:r>
      <w:r w:rsidRPr="003754B7">
        <w:t>Square, Inc. Restated Certificate of Incorporation,</w:t>
      </w:r>
      <w:r>
        <w:t>”</w:t>
      </w:r>
      <w:r w:rsidRPr="003754B7">
        <w:t xml:space="preserve"> accessed May 22, 2017, www.sec.gov/Archives/edgar/data/1512673/000119312515343733/d937622dex31.htm, and Square, Inc. Form S-1, accessed May 22, 2017</w:t>
      </w:r>
      <w:r w:rsidRPr="003754B7">
        <w:rPr>
          <w:color w:val="000000" w:themeColor="text1"/>
        </w:rPr>
        <w:t>, www.sec.gov/Archives/edgar/data/1512673/000119312515343733/d937622ds1.htm</w:t>
      </w:r>
      <w:r>
        <w:rPr>
          <w:color w:val="000000" w:themeColor="text1"/>
        </w:rPr>
        <w:t>.</w:t>
      </w:r>
    </w:p>
  </w:endnote>
  <w:endnote w:id="39">
    <w:p w14:paraId="4F5273F8" w14:textId="08ABACA1" w:rsidR="00571C7B" w:rsidRPr="003754B7" w:rsidRDefault="00571C7B" w:rsidP="00E06166">
      <w:pPr>
        <w:pStyle w:val="Footnote"/>
      </w:pPr>
      <w:r w:rsidRPr="003754B7">
        <w:rPr>
          <w:rStyle w:val="EndnoteReference"/>
        </w:rPr>
        <w:endnoteRef/>
      </w:r>
      <w:r w:rsidRPr="003754B7">
        <w:t xml:space="preserve"> </w:t>
      </w:r>
      <w:r>
        <w:t>Ibid.</w:t>
      </w:r>
    </w:p>
  </w:endnote>
  <w:endnote w:id="40">
    <w:p w14:paraId="586B9AD2" w14:textId="6CD22324" w:rsidR="00571C7B" w:rsidRPr="003754B7" w:rsidRDefault="00571C7B" w:rsidP="00E06166">
      <w:pPr>
        <w:pStyle w:val="Footnote"/>
      </w:pPr>
      <w:r w:rsidRPr="003754B7">
        <w:rPr>
          <w:rStyle w:val="EndnoteReference"/>
        </w:rPr>
        <w:endnoteRef/>
      </w:r>
      <w:r w:rsidRPr="003754B7">
        <w:t xml:space="preserve"> Ibid.</w:t>
      </w:r>
    </w:p>
  </w:endnote>
  <w:endnote w:id="41">
    <w:p w14:paraId="21AE21CB" w14:textId="6D9BBA4A" w:rsidR="00571C7B" w:rsidRPr="003754B7" w:rsidRDefault="00571C7B" w:rsidP="00E06166">
      <w:pPr>
        <w:pStyle w:val="Footnote"/>
      </w:pPr>
      <w:r w:rsidRPr="003754B7">
        <w:rPr>
          <w:rStyle w:val="EndnoteReference"/>
        </w:rPr>
        <w:endnoteRef/>
      </w:r>
      <w:r w:rsidRPr="003754B7">
        <w:t xml:space="preserve"> Ibid.</w:t>
      </w:r>
    </w:p>
  </w:endnote>
  <w:endnote w:id="42">
    <w:p w14:paraId="43EB69B4" w14:textId="4CDEC487" w:rsidR="00571C7B" w:rsidRPr="003754B7" w:rsidRDefault="00571C7B" w:rsidP="00E06166">
      <w:pPr>
        <w:pStyle w:val="Footnote"/>
      </w:pPr>
      <w:r w:rsidRPr="003754B7">
        <w:rPr>
          <w:rStyle w:val="EndnoteReference"/>
        </w:rPr>
        <w:endnoteRef/>
      </w:r>
      <w:r w:rsidRPr="003754B7">
        <w:t xml:space="preserve"> Ibid.</w:t>
      </w:r>
    </w:p>
  </w:endnote>
  <w:endnote w:id="43">
    <w:p w14:paraId="5223527C" w14:textId="3EFD9ACA" w:rsidR="00571C7B" w:rsidRPr="003754B7" w:rsidRDefault="00571C7B" w:rsidP="00E06166">
      <w:pPr>
        <w:pStyle w:val="Footnote"/>
      </w:pPr>
      <w:r w:rsidRPr="003754B7">
        <w:rPr>
          <w:rStyle w:val="EndnoteReference"/>
        </w:rPr>
        <w:endnoteRef/>
      </w:r>
      <w:r w:rsidRPr="003754B7">
        <w:t xml:space="preserve"> Barry Kramer and Michael Patrick</w:t>
      </w:r>
      <w:r>
        <w:t>,</w:t>
      </w:r>
      <w:r w:rsidRPr="003754B7">
        <w:t xml:space="preserve"> </w:t>
      </w:r>
      <w:r w:rsidRPr="00E06166">
        <w:rPr>
          <w:i/>
        </w:rPr>
        <w:t>Trends in Terms of Venture Financings in Silicon Valley: Silicon Valley Venture Capital Survey, First Quarter 2014</w:t>
      </w:r>
      <w:r w:rsidRPr="003754B7">
        <w:t xml:space="preserve"> </w:t>
      </w:r>
      <w:r>
        <w:t xml:space="preserve">(Mountain View, CA: Fenwick &amp; West LLP, 2014), </w:t>
      </w:r>
      <w:r w:rsidRPr="003754B7">
        <w:t>accessed May 24, 2017, www.fenwick.com/FenwickDocuments/Silicon_Valley_Venture_Survey_-_First_Quarter_2014.pdf</w:t>
      </w:r>
      <w:r>
        <w:t>.</w:t>
      </w:r>
    </w:p>
  </w:endnote>
  <w:endnote w:id="44">
    <w:p w14:paraId="2D879B21" w14:textId="496CC41F" w:rsidR="00571C7B" w:rsidRPr="003754B7" w:rsidRDefault="00571C7B" w:rsidP="00E06166">
      <w:pPr>
        <w:pStyle w:val="Footnote"/>
      </w:pPr>
      <w:r w:rsidRPr="003754B7">
        <w:rPr>
          <w:rStyle w:val="EndnoteReference"/>
        </w:rPr>
        <w:endnoteRef/>
      </w:r>
      <w:r w:rsidRPr="003754B7">
        <w:t xml:space="preserve"> </w:t>
      </w:r>
      <w:r w:rsidRPr="00A76B11">
        <w:t xml:space="preserve">United States Securities and Exchange Commission, “Square, Inc. Restated Certificate of Incorporation,” </w:t>
      </w:r>
      <w:r>
        <w:t>op. cit.</w:t>
      </w:r>
    </w:p>
  </w:endnote>
  <w:endnote w:id="45">
    <w:p w14:paraId="59E69E6A" w14:textId="12774273" w:rsidR="00571C7B" w:rsidRPr="003754B7" w:rsidRDefault="00571C7B" w:rsidP="00E06166">
      <w:pPr>
        <w:pStyle w:val="Footnote"/>
      </w:pPr>
      <w:r w:rsidRPr="003754B7">
        <w:rPr>
          <w:rStyle w:val="EndnoteReference"/>
        </w:rPr>
        <w:endnoteRef/>
      </w:r>
      <w:r w:rsidRPr="003754B7">
        <w:t xml:space="preserve"> </w:t>
      </w:r>
      <w:r w:rsidRPr="00A76B11">
        <w:t>“Square: October 3, 2014 Funding Round, Series E,” Crunchbase, accessed May 20, 2017, www.crunchbase.com/funding-round/2346cba02aa9411c1681f05c9c33a8a1.</w:t>
      </w:r>
    </w:p>
  </w:endnote>
  <w:endnote w:id="46">
    <w:p w14:paraId="7F486FDA" w14:textId="772ED411" w:rsidR="00571C7B" w:rsidRPr="003754B7" w:rsidRDefault="00571C7B" w:rsidP="00E06166">
      <w:pPr>
        <w:pStyle w:val="Footnote"/>
      </w:pPr>
      <w:r w:rsidRPr="003754B7">
        <w:rPr>
          <w:rStyle w:val="EndnoteReference"/>
        </w:rPr>
        <w:endnoteRef/>
      </w:r>
      <w:r w:rsidRPr="003754B7">
        <w:t xml:space="preserve"> </w:t>
      </w:r>
      <w:r>
        <w:t xml:space="preserve">Ryan Mac and </w:t>
      </w:r>
      <w:r w:rsidRPr="003754B7">
        <w:t xml:space="preserve">Alex Conrad, “Square </w:t>
      </w:r>
      <w:r>
        <w:t>t</w:t>
      </w:r>
      <w:r w:rsidRPr="003754B7">
        <w:t xml:space="preserve">o Raise Fresh $100 Million </w:t>
      </w:r>
      <w:r>
        <w:t>a</w:t>
      </w:r>
      <w:r w:rsidRPr="003754B7">
        <w:t xml:space="preserve">t </w:t>
      </w:r>
      <w:r>
        <w:t>a</w:t>
      </w:r>
      <w:r w:rsidRPr="003754B7">
        <w:t xml:space="preserve"> $6 Billion Valuation,” </w:t>
      </w:r>
      <w:r w:rsidRPr="00E06166">
        <w:rPr>
          <w:i/>
        </w:rPr>
        <w:t>Forbes</w:t>
      </w:r>
      <w:r>
        <w:t xml:space="preserve">, September 12, 2014, accessed September 28, 2017, </w:t>
      </w:r>
      <w:r w:rsidRPr="003754B7">
        <w:t>www.forbes.com/sites/alexkonrad/2014/09/12/square-to-raise-100-million-at-a-6-billion-valuation/#791bcbda7103</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17D0A" w14:textId="77777777" w:rsidR="00571C7B" w:rsidRDefault="00571C7B" w:rsidP="000E4C3B">
      <w:r>
        <w:separator/>
      </w:r>
    </w:p>
  </w:footnote>
  <w:footnote w:type="continuationSeparator" w:id="0">
    <w:p w14:paraId="48779703" w14:textId="77777777" w:rsidR="00571C7B" w:rsidRDefault="00571C7B" w:rsidP="000E4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9393" w14:textId="1226C24E" w:rsidR="00571C7B" w:rsidRPr="008B03AE" w:rsidRDefault="00571C7B" w:rsidP="0063174F">
    <w:pPr>
      <w:pBdr>
        <w:bottom w:val="single" w:sz="18" w:space="1" w:color="auto"/>
      </w:pBdr>
      <w:tabs>
        <w:tab w:val="left" w:pos="-1440"/>
        <w:tab w:val="left" w:pos="-720"/>
        <w:tab w:val="right" w:pos="9360"/>
        <w:tab w:val="right" w:pos="10800"/>
      </w:tabs>
      <w:rPr>
        <w:rFonts w:ascii="Arial" w:hAnsi="Arial"/>
      </w:rPr>
    </w:pPr>
    <w:r w:rsidRPr="008B03AE">
      <w:rPr>
        <w:rFonts w:ascii="Arial" w:hAnsi="Arial"/>
        <w:b/>
      </w:rPr>
      <w:t xml:space="preserve">Page </w:t>
    </w:r>
    <w:r w:rsidRPr="008B03AE">
      <w:rPr>
        <w:rFonts w:ascii="Arial" w:hAnsi="Arial"/>
        <w:b/>
      </w:rPr>
      <w:fldChar w:fldCharType="begin"/>
    </w:r>
    <w:r w:rsidRPr="008B03AE">
      <w:rPr>
        <w:rFonts w:ascii="Arial" w:hAnsi="Arial"/>
        <w:b/>
      </w:rPr>
      <w:instrText>PAGE</w:instrText>
    </w:r>
    <w:r w:rsidRPr="008B03AE">
      <w:rPr>
        <w:rFonts w:ascii="Arial" w:hAnsi="Arial"/>
        <w:b/>
      </w:rPr>
      <w:fldChar w:fldCharType="separate"/>
    </w:r>
    <w:r w:rsidR="00CB27AF">
      <w:rPr>
        <w:rFonts w:ascii="Arial" w:hAnsi="Arial"/>
        <w:b/>
        <w:noProof/>
      </w:rPr>
      <w:t>11</w:t>
    </w:r>
    <w:r w:rsidRPr="008B03AE">
      <w:rPr>
        <w:rFonts w:ascii="Arial" w:hAnsi="Arial"/>
        <w:b/>
      </w:rPr>
      <w:fldChar w:fldCharType="end"/>
    </w:r>
    <w:r w:rsidRPr="008B03AE">
      <w:rPr>
        <w:rFonts w:ascii="Arial" w:hAnsi="Arial"/>
        <w:b/>
      </w:rPr>
      <w:tab/>
    </w:r>
    <w:r>
      <w:rPr>
        <w:rFonts w:ascii="Arial" w:hAnsi="Arial"/>
        <w:b/>
      </w:rPr>
      <w:t>9B17N021</w:t>
    </w:r>
  </w:p>
  <w:p w14:paraId="521698D3" w14:textId="77777777" w:rsidR="00571C7B" w:rsidRDefault="00571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A8E3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84B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E2CE3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5BAA62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1BC3B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47C06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9082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A81E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53018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F077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BE6FC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F07FBE"/>
    <w:multiLevelType w:val="hybridMultilevel"/>
    <w:tmpl w:val="CCAC7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3B"/>
    <w:rsid w:val="00006F72"/>
    <w:rsid w:val="00010F8E"/>
    <w:rsid w:val="00014063"/>
    <w:rsid w:val="00017E9B"/>
    <w:rsid w:val="00023301"/>
    <w:rsid w:val="00027810"/>
    <w:rsid w:val="0003595C"/>
    <w:rsid w:val="00037A7E"/>
    <w:rsid w:val="000433B7"/>
    <w:rsid w:val="00043CE9"/>
    <w:rsid w:val="00052F3E"/>
    <w:rsid w:val="0005373B"/>
    <w:rsid w:val="00053C7A"/>
    <w:rsid w:val="00054B2C"/>
    <w:rsid w:val="00055064"/>
    <w:rsid w:val="00056211"/>
    <w:rsid w:val="00056BE8"/>
    <w:rsid w:val="000637F9"/>
    <w:rsid w:val="00071070"/>
    <w:rsid w:val="0007376B"/>
    <w:rsid w:val="00074D70"/>
    <w:rsid w:val="000763BF"/>
    <w:rsid w:val="000777F5"/>
    <w:rsid w:val="00080E71"/>
    <w:rsid w:val="00084B76"/>
    <w:rsid w:val="00084E4A"/>
    <w:rsid w:val="00087E68"/>
    <w:rsid w:val="00090305"/>
    <w:rsid w:val="000939CC"/>
    <w:rsid w:val="0009549C"/>
    <w:rsid w:val="000A0A61"/>
    <w:rsid w:val="000A3D4F"/>
    <w:rsid w:val="000A510B"/>
    <w:rsid w:val="000B01E2"/>
    <w:rsid w:val="000B0E75"/>
    <w:rsid w:val="000B7651"/>
    <w:rsid w:val="000C017F"/>
    <w:rsid w:val="000C2132"/>
    <w:rsid w:val="000C21EF"/>
    <w:rsid w:val="000C478E"/>
    <w:rsid w:val="000C5A20"/>
    <w:rsid w:val="000C7BE4"/>
    <w:rsid w:val="000D375E"/>
    <w:rsid w:val="000D5774"/>
    <w:rsid w:val="000D5B38"/>
    <w:rsid w:val="000D6002"/>
    <w:rsid w:val="000E13D0"/>
    <w:rsid w:val="000E4C3B"/>
    <w:rsid w:val="000E5E2E"/>
    <w:rsid w:val="000E6123"/>
    <w:rsid w:val="000F0A56"/>
    <w:rsid w:val="000F1A6A"/>
    <w:rsid w:val="000F24C3"/>
    <w:rsid w:val="000F2ED8"/>
    <w:rsid w:val="000F4E1F"/>
    <w:rsid w:val="000F67CF"/>
    <w:rsid w:val="001006E5"/>
    <w:rsid w:val="00102900"/>
    <w:rsid w:val="001030D7"/>
    <w:rsid w:val="001071A2"/>
    <w:rsid w:val="00112D87"/>
    <w:rsid w:val="00114627"/>
    <w:rsid w:val="00116417"/>
    <w:rsid w:val="00117752"/>
    <w:rsid w:val="001351E2"/>
    <w:rsid w:val="00135AD1"/>
    <w:rsid w:val="001443B9"/>
    <w:rsid w:val="00144485"/>
    <w:rsid w:val="0014532C"/>
    <w:rsid w:val="0015718E"/>
    <w:rsid w:val="001605BC"/>
    <w:rsid w:val="00166710"/>
    <w:rsid w:val="00166998"/>
    <w:rsid w:val="001723AF"/>
    <w:rsid w:val="00177667"/>
    <w:rsid w:val="00177D55"/>
    <w:rsid w:val="00181977"/>
    <w:rsid w:val="001874AB"/>
    <w:rsid w:val="0019046E"/>
    <w:rsid w:val="00191CD1"/>
    <w:rsid w:val="001953B1"/>
    <w:rsid w:val="00196C81"/>
    <w:rsid w:val="00197233"/>
    <w:rsid w:val="001A1F86"/>
    <w:rsid w:val="001A534A"/>
    <w:rsid w:val="001A56A6"/>
    <w:rsid w:val="001A70CA"/>
    <w:rsid w:val="001B0761"/>
    <w:rsid w:val="001B4D9F"/>
    <w:rsid w:val="001B7DBA"/>
    <w:rsid w:val="001C71E9"/>
    <w:rsid w:val="001C7398"/>
    <w:rsid w:val="001D0CA0"/>
    <w:rsid w:val="001D1012"/>
    <w:rsid w:val="001D52EF"/>
    <w:rsid w:val="00201E7D"/>
    <w:rsid w:val="002074A5"/>
    <w:rsid w:val="0021020D"/>
    <w:rsid w:val="00210C3E"/>
    <w:rsid w:val="002154E9"/>
    <w:rsid w:val="002157E4"/>
    <w:rsid w:val="00216DF1"/>
    <w:rsid w:val="00225EF3"/>
    <w:rsid w:val="0023118F"/>
    <w:rsid w:val="00234D0D"/>
    <w:rsid w:val="00235118"/>
    <w:rsid w:val="00246D72"/>
    <w:rsid w:val="00247045"/>
    <w:rsid w:val="002474FF"/>
    <w:rsid w:val="00254E8C"/>
    <w:rsid w:val="0025593D"/>
    <w:rsid w:val="002605CF"/>
    <w:rsid w:val="00265FD1"/>
    <w:rsid w:val="00273E1E"/>
    <w:rsid w:val="0027729F"/>
    <w:rsid w:val="00282462"/>
    <w:rsid w:val="00283701"/>
    <w:rsid w:val="00284A32"/>
    <w:rsid w:val="00285C70"/>
    <w:rsid w:val="0029036E"/>
    <w:rsid w:val="002939FC"/>
    <w:rsid w:val="002A0189"/>
    <w:rsid w:val="002A377F"/>
    <w:rsid w:val="002C2C28"/>
    <w:rsid w:val="002C3D37"/>
    <w:rsid w:val="002C4B8A"/>
    <w:rsid w:val="002C7423"/>
    <w:rsid w:val="002D269B"/>
    <w:rsid w:val="002D27C8"/>
    <w:rsid w:val="002D370D"/>
    <w:rsid w:val="002D7D4C"/>
    <w:rsid w:val="002E144B"/>
    <w:rsid w:val="002E19B0"/>
    <w:rsid w:val="002E64C1"/>
    <w:rsid w:val="002F07B2"/>
    <w:rsid w:val="0030242B"/>
    <w:rsid w:val="003105A9"/>
    <w:rsid w:val="003149BA"/>
    <w:rsid w:val="00316751"/>
    <w:rsid w:val="00317285"/>
    <w:rsid w:val="00322B5A"/>
    <w:rsid w:val="00323109"/>
    <w:rsid w:val="00326B8A"/>
    <w:rsid w:val="003449E6"/>
    <w:rsid w:val="0034558F"/>
    <w:rsid w:val="00347632"/>
    <w:rsid w:val="00352512"/>
    <w:rsid w:val="00354106"/>
    <w:rsid w:val="0037471D"/>
    <w:rsid w:val="003754B7"/>
    <w:rsid w:val="00375BA0"/>
    <w:rsid w:val="003841D4"/>
    <w:rsid w:val="0038452A"/>
    <w:rsid w:val="00387824"/>
    <w:rsid w:val="00390B6E"/>
    <w:rsid w:val="00395097"/>
    <w:rsid w:val="003A32DC"/>
    <w:rsid w:val="003A7749"/>
    <w:rsid w:val="003C6570"/>
    <w:rsid w:val="003D1235"/>
    <w:rsid w:val="003D270F"/>
    <w:rsid w:val="003D2D67"/>
    <w:rsid w:val="003D4D92"/>
    <w:rsid w:val="003E20D8"/>
    <w:rsid w:val="003E23C2"/>
    <w:rsid w:val="003E7701"/>
    <w:rsid w:val="003F13B1"/>
    <w:rsid w:val="00405135"/>
    <w:rsid w:val="00405872"/>
    <w:rsid w:val="00407D57"/>
    <w:rsid w:val="00410EB2"/>
    <w:rsid w:val="004116CA"/>
    <w:rsid w:val="00415E14"/>
    <w:rsid w:val="004237BE"/>
    <w:rsid w:val="00426B00"/>
    <w:rsid w:val="00440902"/>
    <w:rsid w:val="00441114"/>
    <w:rsid w:val="00442A89"/>
    <w:rsid w:val="0044586F"/>
    <w:rsid w:val="00446238"/>
    <w:rsid w:val="004477CC"/>
    <w:rsid w:val="00451B12"/>
    <w:rsid w:val="0045435F"/>
    <w:rsid w:val="00456784"/>
    <w:rsid w:val="004619CB"/>
    <w:rsid w:val="00461A99"/>
    <w:rsid w:val="0047457D"/>
    <w:rsid w:val="00474C1A"/>
    <w:rsid w:val="0047581C"/>
    <w:rsid w:val="00477D90"/>
    <w:rsid w:val="00481BD5"/>
    <w:rsid w:val="00484292"/>
    <w:rsid w:val="004847BE"/>
    <w:rsid w:val="004913DD"/>
    <w:rsid w:val="004916AE"/>
    <w:rsid w:val="00496613"/>
    <w:rsid w:val="004A1E3E"/>
    <w:rsid w:val="004A27E0"/>
    <w:rsid w:val="004A27E5"/>
    <w:rsid w:val="004A5002"/>
    <w:rsid w:val="004B1F30"/>
    <w:rsid w:val="004B4B1F"/>
    <w:rsid w:val="004B5176"/>
    <w:rsid w:val="004C1349"/>
    <w:rsid w:val="004C1B4D"/>
    <w:rsid w:val="004C4A92"/>
    <w:rsid w:val="004C61B0"/>
    <w:rsid w:val="004C739E"/>
    <w:rsid w:val="004D36A6"/>
    <w:rsid w:val="004E1392"/>
    <w:rsid w:val="004E1950"/>
    <w:rsid w:val="004E1EB0"/>
    <w:rsid w:val="004E4223"/>
    <w:rsid w:val="004E4C4E"/>
    <w:rsid w:val="004E52AC"/>
    <w:rsid w:val="004E5504"/>
    <w:rsid w:val="004F17C4"/>
    <w:rsid w:val="004F3E6D"/>
    <w:rsid w:val="00513472"/>
    <w:rsid w:val="00514254"/>
    <w:rsid w:val="00516F34"/>
    <w:rsid w:val="00517CBD"/>
    <w:rsid w:val="00523844"/>
    <w:rsid w:val="00530DD8"/>
    <w:rsid w:val="005371BF"/>
    <w:rsid w:val="0054019E"/>
    <w:rsid w:val="00541AEC"/>
    <w:rsid w:val="00541EBF"/>
    <w:rsid w:val="00541F90"/>
    <w:rsid w:val="005424B9"/>
    <w:rsid w:val="005460BD"/>
    <w:rsid w:val="00547A77"/>
    <w:rsid w:val="00555DE0"/>
    <w:rsid w:val="0056116B"/>
    <w:rsid w:val="0056196F"/>
    <w:rsid w:val="00562EEC"/>
    <w:rsid w:val="005638D6"/>
    <w:rsid w:val="005642A5"/>
    <w:rsid w:val="00565ED0"/>
    <w:rsid w:val="00566139"/>
    <w:rsid w:val="00571C7B"/>
    <w:rsid w:val="00572F75"/>
    <w:rsid w:val="00581219"/>
    <w:rsid w:val="00581948"/>
    <w:rsid w:val="00582D49"/>
    <w:rsid w:val="005857E7"/>
    <w:rsid w:val="00590E13"/>
    <w:rsid w:val="00597CBE"/>
    <w:rsid w:val="005A4FF7"/>
    <w:rsid w:val="005B05EE"/>
    <w:rsid w:val="005B34AF"/>
    <w:rsid w:val="005B486D"/>
    <w:rsid w:val="005B6CB1"/>
    <w:rsid w:val="005C5E08"/>
    <w:rsid w:val="005D39B6"/>
    <w:rsid w:val="005D60A3"/>
    <w:rsid w:val="005D702E"/>
    <w:rsid w:val="005E0513"/>
    <w:rsid w:val="005E35A6"/>
    <w:rsid w:val="005E53EB"/>
    <w:rsid w:val="005E7F3A"/>
    <w:rsid w:val="005F244A"/>
    <w:rsid w:val="005F244E"/>
    <w:rsid w:val="005F61D9"/>
    <w:rsid w:val="006020E1"/>
    <w:rsid w:val="00606402"/>
    <w:rsid w:val="006129C9"/>
    <w:rsid w:val="0061605A"/>
    <w:rsid w:val="006164E0"/>
    <w:rsid w:val="006211F3"/>
    <w:rsid w:val="00625EBD"/>
    <w:rsid w:val="006268B5"/>
    <w:rsid w:val="00627BB3"/>
    <w:rsid w:val="006313DE"/>
    <w:rsid w:val="0063174F"/>
    <w:rsid w:val="00632A19"/>
    <w:rsid w:val="00636932"/>
    <w:rsid w:val="006410BA"/>
    <w:rsid w:val="00646E92"/>
    <w:rsid w:val="00647B54"/>
    <w:rsid w:val="00651A8B"/>
    <w:rsid w:val="00651CEE"/>
    <w:rsid w:val="006529D0"/>
    <w:rsid w:val="00654E88"/>
    <w:rsid w:val="00663CFA"/>
    <w:rsid w:val="0067001B"/>
    <w:rsid w:val="006703F8"/>
    <w:rsid w:val="00672718"/>
    <w:rsid w:val="00674FCC"/>
    <w:rsid w:val="00682740"/>
    <w:rsid w:val="00682890"/>
    <w:rsid w:val="00685DCD"/>
    <w:rsid w:val="006867D6"/>
    <w:rsid w:val="00687452"/>
    <w:rsid w:val="0069464C"/>
    <w:rsid w:val="00694BCD"/>
    <w:rsid w:val="006964CE"/>
    <w:rsid w:val="006A11C0"/>
    <w:rsid w:val="006A4DBF"/>
    <w:rsid w:val="006A59C0"/>
    <w:rsid w:val="006B4581"/>
    <w:rsid w:val="006B7FDA"/>
    <w:rsid w:val="006C4F1F"/>
    <w:rsid w:val="006C67C0"/>
    <w:rsid w:val="006D41FB"/>
    <w:rsid w:val="006D4EBE"/>
    <w:rsid w:val="006D7173"/>
    <w:rsid w:val="006E52C6"/>
    <w:rsid w:val="006F452F"/>
    <w:rsid w:val="006F4C28"/>
    <w:rsid w:val="006F6159"/>
    <w:rsid w:val="007013D8"/>
    <w:rsid w:val="00702ECC"/>
    <w:rsid w:val="00703114"/>
    <w:rsid w:val="00712A90"/>
    <w:rsid w:val="0072073F"/>
    <w:rsid w:val="00721D91"/>
    <w:rsid w:val="00730BCD"/>
    <w:rsid w:val="00733DEB"/>
    <w:rsid w:val="007358D2"/>
    <w:rsid w:val="0073764E"/>
    <w:rsid w:val="00737834"/>
    <w:rsid w:val="00743D62"/>
    <w:rsid w:val="00744DA7"/>
    <w:rsid w:val="007451B4"/>
    <w:rsid w:val="007465C5"/>
    <w:rsid w:val="0075273F"/>
    <w:rsid w:val="007532CC"/>
    <w:rsid w:val="00753AF2"/>
    <w:rsid w:val="00760C92"/>
    <w:rsid w:val="00760E09"/>
    <w:rsid w:val="00761011"/>
    <w:rsid w:val="00772315"/>
    <w:rsid w:val="00772EAE"/>
    <w:rsid w:val="0077326C"/>
    <w:rsid w:val="00773915"/>
    <w:rsid w:val="007778D4"/>
    <w:rsid w:val="0078124F"/>
    <w:rsid w:val="00781FFC"/>
    <w:rsid w:val="00782C29"/>
    <w:rsid w:val="00786501"/>
    <w:rsid w:val="007A7AA9"/>
    <w:rsid w:val="007C26CA"/>
    <w:rsid w:val="007C39F7"/>
    <w:rsid w:val="007C4846"/>
    <w:rsid w:val="007C596A"/>
    <w:rsid w:val="007D1290"/>
    <w:rsid w:val="007D200D"/>
    <w:rsid w:val="007D2F08"/>
    <w:rsid w:val="007D57CB"/>
    <w:rsid w:val="007E252D"/>
    <w:rsid w:val="007E39FA"/>
    <w:rsid w:val="007E4D4D"/>
    <w:rsid w:val="00802D08"/>
    <w:rsid w:val="00803107"/>
    <w:rsid w:val="00805293"/>
    <w:rsid w:val="008113D6"/>
    <w:rsid w:val="0082375A"/>
    <w:rsid w:val="00827354"/>
    <w:rsid w:val="008276A2"/>
    <w:rsid w:val="00834F4A"/>
    <w:rsid w:val="00840B65"/>
    <w:rsid w:val="008453B0"/>
    <w:rsid w:val="00846643"/>
    <w:rsid w:val="00847903"/>
    <w:rsid w:val="00852652"/>
    <w:rsid w:val="00852677"/>
    <w:rsid w:val="00856CDB"/>
    <w:rsid w:val="00860905"/>
    <w:rsid w:val="00864FB4"/>
    <w:rsid w:val="008655B6"/>
    <w:rsid w:val="008658E6"/>
    <w:rsid w:val="00870AAB"/>
    <w:rsid w:val="00872024"/>
    <w:rsid w:val="00883E06"/>
    <w:rsid w:val="0088566C"/>
    <w:rsid w:val="008864CC"/>
    <w:rsid w:val="008864D9"/>
    <w:rsid w:val="00890DFA"/>
    <w:rsid w:val="008912E7"/>
    <w:rsid w:val="008933D5"/>
    <w:rsid w:val="008953E2"/>
    <w:rsid w:val="008A132F"/>
    <w:rsid w:val="008A3129"/>
    <w:rsid w:val="008A31A6"/>
    <w:rsid w:val="008A5F67"/>
    <w:rsid w:val="008B03AE"/>
    <w:rsid w:val="008B113C"/>
    <w:rsid w:val="008B495E"/>
    <w:rsid w:val="008C22E7"/>
    <w:rsid w:val="008C3DE1"/>
    <w:rsid w:val="008C7F2D"/>
    <w:rsid w:val="008D20F6"/>
    <w:rsid w:val="008D3E03"/>
    <w:rsid w:val="008D65D5"/>
    <w:rsid w:val="008E125A"/>
    <w:rsid w:val="008E146F"/>
    <w:rsid w:val="008E4A51"/>
    <w:rsid w:val="008E6855"/>
    <w:rsid w:val="008E7165"/>
    <w:rsid w:val="008F3473"/>
    <w:rsid w:val="008F6F6A"/>
    <w:rsid w:val="0090408F"/>
    <w:rsid w:val="009056D5"/>
    <w:rsid w:val="0090653D"/>
    <w:rsid w:val="00906605"/>
    <w:rsid w:val="00907277"/>
    <w:rsid w:val="009078E4"/>
    <w:rsid w:val="00910B2C"/>
    <w:rsid w:val="00917E5C"/>
    <w:rsid w:val="00921155"/>
    <w:rsid w:val="00923B7F"/>
    <w:rsid w:val="00924DE6"/>
    <w:rsid w:val="00925A61"/>
    <w:rsid w:val="0093004B"/>
    <w:rsid w:val="00942651"/>
    <w:rsid w:val="00947824"/>
    <w:rsid w:val="00947835"/>
    <w:rsid w:val="0095126B"/>
    <w:rsid w:val="009609EF"/>
    <w:rsid w:val="00961DF8"/>
    <w:rsid w:val="00964DED"/>
    <w:rsid w:val="009720D9"/>
    <w:rsid w:val="0097609D"/>
    <w:rsid w:val="00984250"/>
    <w:rsid w:val="00984501"/>
    <w:rsid w:val="00985EA9"/>
    <w:rsid w:val="00993F6A"/>
    <w:rsid w:val="009A4156"/>
    <w:rsid w:val="009A4E6A"/>
    <w:rsid w:val="009A6C96"/>
    <w:rsid w:val="009B2C52"/>
    <w:rsid w:val="009B3846"/>
    <w:rsid w:val="009C5033"/>
    <w:rsid w:val="009C547A"/>
    <w:rsid w:val="009D37ED"/>
    <w:rsid w:val="009D3FBB"/>
    <w:rsid w:val="009D6D83"/>
    <w:rsid w:val="009E31ED"/>
    <w:rsid w:val="009E7197"/>
    <w:rsid w:val="009E71D2"/>
    <w:rsid w:val="009F0F34"/>
    <w:rsid w:val="009F115A"/>
    <w:rsid w:val="009F3BF5"/>
    <w:rsid w:val="009F4208"/>
    <w:rsid w:val="009F6544"/>
    <w:rsid w:val="00A01D3A"/>
    <w:rsid w:val="00A02533"/>
    <w:rsid w:val="00A0477E"/>
    <w:rsid w:val="00A07090"/>
    <w:rsid w:val="00A07ADB"/>
    <w:rsid w:val="00A07FD5"/>
    <w:rsid w:val="00A119F2"/>
    <w:rsid w:val="00A16387"/>
    <w:rsid w:val="00A332A6"/>
    <w:rsid w:val="00A407EB"/>
    <w:rsid w:val="00A41E82"/>
    <w:rsid w:val="00A42BEB"/>
    <w:rsid w:val="00A43D96"/>
    <w:rsid w:val="00A46903"/>
    <w:rsid w:val="00A56A11"/>
    <w:rsid w:val="00A56DB0"/>
    <w:rsid w:val="00A57971"/>
    <w:rsid w:val="00A6076B"/>
    <w:rsid w:val="00A700D8"/>
    <w:rsid w:val="00A7045E"/>
    <w:rsid w:val="00A76B11"/>
    <w:rsid w:val="00A80F0C"/>
    <w:rsid w:val="00A82476"/>
    <w:rsid w:val="00A856C0"/>
    <w:rsid w:val="00A85AAD"/>
    <w:rsid w:val="00A8721C"/>
    <w:rsid w:val="00AA1DDC"/>
    <w:rsid w:val="00AB080A"/>
    <w:rsid w:val="00AB3E3A"/>
    <w:rsid w:val="00AB554D"/>
    <w:rsid w:val="00AB67A4"/>
    <w:rsid w:val="00AC29DB"/>
    <w:rsid w:val="00AC4702"/>
    <w:rsid w:val="00AC6841"/>
    <w:rsid w:val="00AD0EA7"/>
    <w:rsid w:val="00AD14AA"/>
    <w:rsid w:val="00AD4F36"/>
    <w:rsid w:val="00AD60C7"/>
    <w:rsid w:val="00AD6EB9"/>
    <w:rsid w:val="00AE072B"/>
    <w:rsid w:val="00AE1381"/>
    <w:rsid w:val="00AE247D"/>
    <w:rsid w:val="00AF1CA5"/>
    <w:rsid w:val="00B0770E"/>
    <w:rsid w:val="00B1154F"/>
    <w:rsid w:val="00B117AF"/>
    <w:rsid w:val="00B16980"/>
    <w:rsid w:val="00B176B3"/>
    <w:rsid w:val="00B17DE4"/>
    <w:rsid w:val="00B216D9"/>
    <w:rsid w:val="00B22E56"/>
    <w:rsid w:val="00B232A2"/>
    <w:rsid w:val="00B25B86"/>
    <w:rsid w:val="00B472CF"/>
    <w:rsid w:val="00B50454"/>
    <w:rsid w:val="00B50A7B"/>
    <w:rsid w:val="00B525C7"/>
    <w:rsid w:val="00B54A57"/>
    <w:rsid w:val="00B65F96"/>
    <w:rsid w:val="00B77AB7"/>
    <w:rsid w:val="00B862F1"/>
    <w:rsid w:val="00B96057"/>
    <w:rsid w:val="00BA22C1"/>
    <w:rsid w:val="00BA4F42"/>
    <w:rsid w:val="00BB0E69"/>
    <w:rsid w:val="00BB2BE8"/>
    <w:rsid w:val="00BB4345"/>
    <w:rsid w:val="00BB4F75"/>
    <w:rsid w:val="00BC49BD"/>
    <w:rsid w:val="00BC5045"/>
    <w:rsid w:val="00BC5A7C"/>
    <w:rsid w:val="00BC5CEF"/>
    <w:rsid w:val="00BD374D"/>
    <w:rsid w:val="00BE0F19"/>
    <w:rsid w:val="00BE2322"/>
    <w:rsid w:val="00BF01BF"/>
    <w:rsid w:val="00BF5E5B"/>
    <w:rsid w:val="00BF7B99"/>
    <w:rsid w:val="00C04888"/>
    <w:rsid w:val="00C11BBC"/>
    <w:rsid w:val="00C1402D"/>
    <w:rsid w:val="00C279E9"/>
    <w:rsid w:val="00C32A4E"/>
    <w:rsid w:val="00C3660C"/>
    <w:rsid w:val="00C37AA2"/>
    <w:rsid w:val="00C42949"/>
    <w:rsid w:val="00C4693F"/>
    <w:rsid w:val="00C548ED"/>
    <w:rsid w:val="00C54B32"/>
    <w:rsid w:val="00C55F6F"/>
    <w:rsid w:val="00C57125"/>
    <w:rsid w:val="00C57E89"/>
    <w:rsid w:val="00C611A1"/>
    <w:rsid w:val="00C63CA6"/>
    <w:rsid w:val="00C66A9C"/>
    <w:rsid w:val="00C7360D"/>
    <w:rsid w:val="00C77C38"/>
    <w:rsid w:val="00C911A1"/>
    <w:rsid w:val="00C92793"/>
    <w:rsid w:val="00CA1ED2"/>
    <w:rsid w:val="00CA3D66"/>
    <w:rsid w:val="00CA7589"/>
    <w:rsid w:val="00CA7EDE"/>
    <w:rsid w:val="00CB1C99"/>
    <w:rsid w:val="00CB26D5"/>
    <w:rsid w:val="00CB27AF"/>
    <w:rsid w:val="00CB28C4"/>
    <w:rsid w:val="00CB5C49"/>
    <w:rsid w:val="00CC23F2"/>
    <w:rsid w:val="00CC418B"/>
    <w:rsid w:val="00CC5BA2"/>
    <w:rsid w:val="00CC6690"/>
    <w:rsid w:val="00CD2E4C"/>
    <w:rsid w:val="00CD2FB3"/>
    <w:rsid w:val="00CD4188"/>
    <w:rsid w:val="00CD5097"/>
    <w:rsid w:val="00CD5F13"/>
    <w:rsid w:val="00CE0B84"/>
    <w:rsid w:val="00CE2AE6"/>
    <w:rsid w:val="00CE7105"/>
    <w:rsid w:val="00CE7552"/>
    <w:rsid w:val="00CF093B"/>
    <w:rsid w:val="00CF1A37"/>
    <w:rsid w:val="00CF1C23"/>
    <w:rsid w:val="00CF2B7A"/>
    <w:rsid w:val="00CF2C8F"/>
    <w:rsid w:val="00CF61F3"/>
    <w:rsid w:val="00D00A63"/>
    <w:rsid w:val="00D021AE"/>
    <w:rsid w:val="00D038C4"/>
    <w:rsid w:val="00D04D0F"/>
    <w:rsid w:val="00D05C47"/>
    <w:rsid w:val="00D07156"/>
    <w:rsid w:val="00D22DF5"/>
    <w:rsid w:val="00D23BEF"/>
    <w:rsid w:val="00D248E4"/>
    <w:rsid w:val="00D24DC4"/>
    <w:rsid w:val="00D24E12"/>
    <w:rsid w:val="00D25C95"/>
    <w:rsid w:val="00D317E1"/>
    <w:rsid w:val="00D35320"/>
    <w:rsid w:val="00D35A8B"/>
    <w:rsid w:val="00D42950"/>
    <w:rsid w:val="00D45028"/>
    <w:rsid w:val="00D510E8"/>
    <w:rsid w:val="00D54756"/>
    <w:rsid w:val="00D61DB6"/>
    <w:rsid w:val="00D63C5D"/>
    <w:rsid w:val="00D66813"/>
    <w:rsid w:val="00D71492"/>
    <w:rsid w:val="00D717DA"/>
    <w:rsid w:val="00D7349C"/>
    <w:rsid w:val="00D75518"/>
    <w:rsid w:val="00D7556E"/>
    <w:rsid w:val="00D75D35"/>
    <w:rsid w:val="00D76744"/>
    <w:rsid w:val="00D92C12"/>
    <w:rsid w:val="00D942AB"/>
    <w:rsid w:val="00DA0E07"/>
    <w:rsid w:val="00DA2647"/>
    <w:rsid w:val="00DA36B7"/>
    <w:rsid w:val="00DB69A6"/>
    <w:rsid w:val="00DC149A"/>
    <w:rsid w:val="00DC3AE8"/>
    <w:rsid w:val="00DC69C3"/>
    <w:rsid w:val="00DD24F9"/>
    <w:rsid w:val="00DD4EAC"/>
    <w:rsid w:val="00DD6C7B"/>
    <w:rsid w:val="00DE1183"/>
    <w:rsid w:val="00DF2241"/>
    <w:rsid w:val="00E057E5"/>
    <w:rsid w:val="00E06166"/>
    <w:rsid w:val="00E13696"/>
    <w:rsid w:val="00E1497C"/>
    <w:rsid w:val="00E162CA"/>
    <w:rsid w:val="00E20E07"/>
    <w:rsid w:val="00E23494"/>
    <w:rsid w:val="00E2479D"/>
    <w:rsid w:val="00E2504E"/>
    <w:rsid w:val="00E26A88"/>
    <w:rsid w:val="00E36105"/>
    <w:rsid w:val="00E41293"/>
    <w:rsid w:val="00E42FD9"/>
    <w:rsid w:val="00E43830"/>
    <w:rsid w:val="00E43BD8"/>
    <w:rsid w:val="00E45217"/>
    <w:rsid w:val="00E51893"/>
    <w:rsid w:val="00E54E6C"/>
    <w:rsid w:val="00E60120"/>
    <w:rsid w:val="00E615C6"/>
    <w:rsid w:val="00E61FED"/>
    <w:rsid w:val="00E6611D"/>
    <w:rsid w:val="00E728FA"/>
    <w:rsid w:val="00E74F65"/>
    <w:rsid w:val="00E92875"/>
    <w:rsid w:val="00E934CE"/>
    <w:rsid w:val="00E94677"/>
    <w:rsid w:val="00EA05A3"/>
    <w:rsid w:val="00EA070D"/>
    <w:rsid w:val="00EA1A67"/>
    <w:rsid w:val="00EA6ADC"/>
    <w:rsid w:val="00EA7A72"/>
    <w:rsid w:val="00EB294A"/>
    <w:rsid w:val="00EB5DE2"/>
    <w:rsid w:val="00EC039E"/>
    <w:rsid w:val="00EC0FF7"/>
    <w:rsid w:val="00ED2ED9"/>
    <w:rsid w:val="00ED4BC6"/>
    <w:rsid w:val="00ED6BD7"/>
    <w:rsid w:val="00EE1584"/>
    <w:rsid w:val="00EE2DCC"/>
    <w:rsid w:val="00EE3B0A"/>
    <w:rsid w:val="00EE6889"/>
    <w:rsid w:val="00F029B0"/>
    <w:rsid w:val="00F02AB3"/>
    <w:rsid w:val="00F1137F"/>
    <w:rsid w:val="00F17EB5"/>
    <w:rsid w:val="00F20FD0"/>
    <w:rsid w:val="00F214D7"/>
    <w:rsid w:val="00F2209E"/>
    <w:rsid w:val="00F27AE0"/>
    <w:rsid w:val="00F332B6"/>
    <w:rsid w:val="00F37126"/>
    <w:rsid w:val="00F40593"/>
    <w:rsid w:val="00F42C9F"/>
    <w:rsid w:val="00F43FA4"/>
    <w:rsid w:val="00F44025"/>
    <w:rsid w:val="00F44957"/>
    <w:rsid w:val="00F45A17"/>
    <w:rsid w:val="00F45BD0"/>
    <w:rsid w:val="00F501B2"/>
    <w:rsid w:val="00F54300"/>
    <w:rsid w:val="00F57CE1"/>
    <w:rsid w:val="00F616E5"/>
    <w:rsid w:val="00F65B6A"/>
    <w:rsid w:val="00F76356"/>
    <w:rsid w:val="00F82280"/>
    <w:rsid w:val="00F8594B"/>
    <w:rsid w:val="00F92A2F"/>
    <w:rsid w:val="00F93E35"/>
    <w:rsid w:val="00F94C02"/>
    <w:rsid w:val="00F961DE"/>
    <w:rsid w:val="00FA0310"/>
    <w:rsid w:val="00FA32F9"/>
    <w:rsid w:val="00FA3ADF"/>
    <w:rsid w:val="00FA40F0"/>
    <w:rsid w:val="00FA7D99"/>
    <w:rsid w:val="00FB7698"/>
    <w:rsid w:val="00FB7ECA"/>
    <w:rsid w:val="00FC0DE1"/>
    <w:rsid w:val="00FC1916"/>
    <w:rsid w:val="00FC1DFF"/>
    <w:rsid w:val="00FC5077"/>
    <w:rsid w:val="00FD579B"/>
    <w:rsid w:val="00FD773E"/>
    <w:rsid w:val="00FE1978"/>
    <w:rsid w:val="00FE297F"/>
    <w:rsid w:val="00FE36A9"/>
    <w:rsid w:val="00FE4C76"/>
    <w:rsid w:val="00FF031E"/>
    <w:rsid w:val="00FF1A74"/>
    <w:rsid w:val="00FF3B89"/>
    <w:rsid w:val="00FF4D29"/>
    <w:rsid w:val="00FF6C83"/>
    <w:rsid w:val="00FF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C51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457D"/>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4847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seTitle">
    <w:name w:val="Case Title"/>
    <w:basedOn w:val="MainTitle"/>
    <w:link w:val="CaseTitleChar"/>
    <w:qFormat/>
    <w:rsid w:val="00415E14"/>
  </w:style>
  <w:style w:type="character" w:customStyle="1" w:styleId="CaseTitleChar">
    <w:name w:val="Case Title Char"/>
    <w:basedOn w:val="MainTitleChar"/>
    <w:link w:val="CaseTitle"/>
    <w:rsid w:val="00415E14"/>
    <w:rPr>
      <w:rFonts w:ascii="Arial" w:hAnsi="Arial" w:cs="Arial"/>
      <w:b/>
      <w:bCs/>
      <w:caps/>
      <w:color w:val="000000"/>
      <w:sz w:val="28"/>
      <w:szCs w:val="28"/>
    </w:rPr>
  </w:style>
  <w:style w:type="paragraph" w:customStyle="1" w:styleId="ProductNumber">
    <w:name w:val="Product Number"/>
    <w:basedOn w:val="Normal"/>
    <w:link w:val="ProductNumberChar"/>
    <w:qFormat/>
    <w:rsid w:val="00415E14"/>
    <w:pPr>
      <w:jc w:val="right"/>
    </w:pPr>
    <w:rPr>
      <w:rFonts w:ascii="Arial" w:hAnsi="Arial"/>
      <w:b/>
      <w:caps/>
      <w:sz w:val="24"/>
    </w:rPr>
  </w:style>
  <w:style w:type="character" w:customStyle="1" w:styleId="ProductNumberChar">
    <w:name w:val="Product Number Char"/>
    <w:basedOn w:val="DefaultParagraphFont"/>
    <w:link w:val="ProductNumber"/>
    <w:rsid w:val="00415E14"/>
    <w:rPr>
      <w:rFonts w:ascii="Arial" w:eastAsia="Times New Roman" w:hAnsi="Arial" w:cs="Times New Roman"/>
      <w:b/>
      <w:caps/>
      <w:szCs w:val="20"/>
    </w:rPr>
  </w:style>
  <w:style w:type="paragraph" w:customStyle="1" w:styleId="StyleCopyrightStatementAfter0ptBottomSinglesolidline1">
    <w:name w:val="Style CopyrightStatement + After:  0 pt Bottom: (Single solid line...1"/>
    <w:basedOn w:val="CopyrightStatement"/>
    <w:rsid w:val="00415E14"/>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415E14"/>
    <w:pPr>
      <w:pBdr>
        <w:top w:val="none" w:sz="0" w:space="0" w:color="auto"/>
      </w:pBdr>
    </w:pPr>
  </w:style>
  <w:style w:type="paragraph" w:styleId="EndnoteText">
    <w:name w:val="endnote text"/>
    <w:basedOn w:val="Normal"/>
    <w:link w:val="EndnoteTextChar"/>
    <w:uiPriority w:val="99"/>
    <w:unhideWhenUsed/>
    <w:rsid w:val="00415E14"/>
  </w:style>
  <w:style w:type="character" w:customStyle="1" w:styleId="EndnoteTextChar">
    <w:name w:val="Endnote Text Char"/>
    <w:basedOn w:val="DefaultParagraphFont"/>
    <w:link w:val="EndnoteText"/>
    <w:uiPriority w:val="99"/>
    <w:rsid w:val="00415E14"/>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415E14"/>
    <w:rPr>
      <w:vertAlign w:val="superscript"/>
    </w:rPr>
  </w:style>
  <w:style w:type="paragraph" w:customStyle="1" w:styleId="BodyTextMain">
    <w:name w:val="Body Text Main"/>
    <w:basedOn w:val="Normal"/>
    <w:link w:val="BodyTextMainChar"/>
    <w:qFormat/>
    <w:rsid w:val="001351E2"/>
    <w:pPr>
      <w:suppressAutoHyphens/>
      <w:jc w:val="both"/>
    </w:pPr>
    <w:rPr>
      <w:sz w:val="22"/>
      <w:szCs w:val="22"/>
    </w:rPr>
  </w:style>
  <w:style w:type="character" w:customStyle="1" w:styleId="BodyTextMainChar">
    <w:name w:val="Body Text Main Char"/>
    <w:basedOn w:val="DefaultParagraphFont"/>
    <w:link w:val="BodyTextMain"/>
    <w:rsid w:val="001351E2"/>
    <w:rPr>
      <w:rFonts w:ascii="Times New Roman" w:eastAsia="Times New Roman" w:hAnsi="Times New Roman" w:cs="Times New Roman"/>
      <w:sz w:val="22"/>
      <w:szCs w:val="22"/>
    </w:rPr>
  </w:style>
  <w:style w:type="paragraph" w:styleId="FootnoteText">
    <w:name w:val="footnote text"/>
    <w:basedOn w:val="Normal"/>
    <w:link w:val="FootnoteTextChar"/>
    <w:uiPriority w:val="99"/>
    <w:unhideWhenUsed/>
    <w:rsid w:val="00415E14"/>
  </w:style>
  <w:style w:type="character" w:customStyle="1" w:styleId="FootnoteTextChar">
    <w:name w:val="Footnote Text Char"/>
    <w:basedOn w:val="DefaultParagraphFont"/>
    <w:link w:val="FootnoteText"/>
    <w:uiPriority w:val="99"/>
    <w:rsid w:val="00415E14"/>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15E14"/>
    <w:rPr>
      <w:vertAlign w:val="superscript"/>
    </w:rPr>
  </w:style>
  <w:style w:type="paragraph" w:customStyle="1" w:styleId="Casehead1">
    <w:name w:val="Casehead 1"/>
    <w:basedOn w:val="BodyTextMain"/>
    <w:link w:val="Casehead1Char"/>
    <w:qFormat/>
    <w:rsid w:val="00415E14"/>
    <w:rPr>
      <w:rFonts w:ascii="Arial" w:hAnsi="Arial" w:cs="Arial"/>
      <w:b/>
      <w:caps/>
      <w:sz w:val="20"/>
      <w:szCs w:val="20"/>
    </w:rPr>
  </w:style>
  <w:style w:type="character" w:customStyle="1" w:styleId="Casehead1Char">
    <w:name w:val="Casehead 1 Char"/>
    <w:basedOn w:val="BodyTextMainChar"/>
    <w:link w:val="Casehead1"/>
    <w:rsid w:val="00415E14"/>
    <w:rPr>
      <w:rFonts w:ascii="Arial" w:eastAsia="Times New Roman" w:hAnsi="Arial" w:cs="Arial"/>
      <w:b/>
      <w:caps/>
      <w:sz w:val="20"/>
      <w:szCs w:val="20"/>
    </w:rPr>
  </w:style>
  <w:style w:type="character" w:styleId="Hyperlink">
    <w:name w:val="Hyperlink"/>
    <w:basedOn w:val="DefaultParagraphFont"/>
    <w:uiPriority w:val="99"/>
    <w:unhideWhenUsed/>
    <w:rsid w:val="00415E14"/>
    <w:rPr>
      <w:color w:val="0563C1" w:themeColor="hyperlink"/>
      <w:u w:val="single"/>
    </w:rPr>
  </w:style>
  <w:style w:type="character" w:customStyle="1" w:styleId="Heading1Char">
    <w:name w:val="Heading 1 Char"/>
    <w:basedOn w:val="DefaultParagraphFont"/>
    <w:link w:val="Heading1"/>
    <w:uiPriority w:val="9"/>
    <w:rsid w:val="004847BE"/>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02AB3"/>
    <w:rPr>
      <w:color w:val="954F72" w:themeColor="followedHyperlink"/>
      <w:u w:val="single"/>
    </w:rPr>
  </w:style>
  <w:style w:type="paragraph" w:styleId="BodyText">
    <w:name w:val="Body Text"/>
    <w:basedOn w:val="Normal"/>
    <w:link w:val="BodyTextChar"/>
    <w:unhideWhenUsed/>
    <w:rsid w:val="00415E14"/>
    <w:pPr>
      <w:spacing w:after="120"/>
    </w:pPr>
  </w:style>
  <w:style w:type="character" w:customStyle="1" w:styleId="BodyTextChar">
    <w:name w:val="Body Text Char"/>
    <w:basedOn w:val="DefaultParagraphFont"/>
    <w:link w:val="BodyText"/>
    <w:rsid w:val="00415E1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15E14"/>
    <w:rPr>
      <w:rFonts w:ascii="Tahoma" w:hAnsi="Tahoma" w:cs="Tahoma"/>
      <w:sz w:val="16"/>
      <w:szCs w:val="16"/>
    </w:rPr>
  </w:style>
  <w:style w:type="character" w:customStyle="1" w:styleId="BalloonTextChar">
    <w:name w:val="Balloon Text Char"/>
    <w:basedOn w:val="DefaultParagraphFont"/>
    <w:link w:val="BalloonText"/>
    <w:uiPriority w:val="99"/>
    <w:semiHidden/>
    <w:rsid w:val="00415E14"/>
    <w:rPr>
      <w:rFonts w:ascii="Tahoma" w:eastAsia="Times New Roman" w:hAnsi="Tahoma" w:cs="Tahoma"/>
      <w:sz w:val="16"/>
      <w:szCs w:val="16"/>
    </w:rPr>
  </w:style>
  <w:style w:type="table" w:styleId="TableGrid">
    <w:name w:val="Table Grid"/>
    <w:basedOn w:val="TableNormal"/>
    <w:uiPriority w:val="99"/>
    <w:rsid w:val="00415E14"/>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E14"/>
    <w:pPr>
      <w:tabs>
        <w:tab w:val="center" w:pos="4680"/>
        <w:tab w:val="right" w:pos="9360"/>
      </w:tabs>
    </w:pPr>
  </w:style>
  <w:style w:type="character" w:customStyle="1" w:styleId="HeaderChar">
    <w:name w:val="Header Char"/>
    <w:basedOn w:val="DefaultParagraphFont"/>
    <w:link w:val="Header"/>
    <w:uiPriority w:val="99"/>
    <w:rsid w:val="00415E1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15E14"/>
    <w:pPr>
      <w:tabs>
        <w:tab w:val="center" w:pos="4680"/>
        <w:tab w:val="right" w:pos="9360"/>
      </w:tabs>
    </w:pPr>
  </w:style>
  <w:style w:type="character" w:customStyle="1" w:styleId="FooterChar">
    <w:name w:val="Footer Char"/>
    <w:basedOn w:val="DefaultParagraphFont"/>
    <w:link w:val="Footer"/>
    <w:uiPriority w:val="99"/>
    <w:rsid w:val="00415E14"/>
    <w:rPr>
      <w:rFonts w:ascii="Times New Roman" w:eastAsia="Times New Roman" w:hAnsi="Times New Roman" w:cs="Times New Roman"/>
      <w:sz w:val="20"/>
      <w:szCs w:val="20"/>
    </w:rPr>
  </w:style>
  <w:style w:type="character" w:styleId="CommentReference">
    <w:name w:val="annotation reference"/>
    <w:uiPriority w:val="99"/>
    <w:semiHidden/>
    <w:unhideWhenUsed/>
    <w:rsid w:val="00415E14"/>
    <w:rPr>
      <w:sz w:val="16"/>
      <w:szCs w:val="16"/>
    </w:rPr>
  </w:style>
  <w:style w:type="paragraph" w:styleId="CommentText">
    <w:name w:val="annotation text"/>
    <w:basedOn w:val="Normal"/>
    <w:link w:val="CommentTextChar"/>
    <w:unhideWhenUsed/>
    <w:rsid w:val="00415E14"/>
  </w:style>
  <w:style w:type="character" w:customStyle="1" w:styleId="CommentTextChar">
    <w:name w:val="Comment Text Char"/>
    <w:basedOn w:val="DefaultParagraphFont"/>
    <w:link w:val="CommentText"/>
    <w:rsid w:val="00415E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5E14"/>
    <w:rPr>
      <w:b/>
      <w:bCs/>
    </w:rPr>
  </w:style>
  <w:style w:type="character" w:customStyle="1" w:styleId="CommentSubjectChar">
    <w:name w:val="Comment Subject Char"/>
    <w:basedOn w:val="CommentTextChar"/>
    <w:link w:val="CommentSubject"/>
    <w:uiPriority w:val="99"/>
    <w:semiHidden/>
    <w:rsid w:val="00415E14"/>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15E14"/>
  </w:style>
  <w:style w:type="character" w:customStyle="1" w:styleId="apple-style-span">
    <w:name w:val="apple-style-span"/>
    <w:basedOn w:val="DefaultParagraphFont"/>
    <w:rsid w:val="00415E14"/>
    <w:rPr>
      <w:rFonts w:ascii="Times New Roman" w:hAnsi="Times New Roman"/>
      <w:caps w:val="0"/>
      <w:smallCaps w:val="0"/>
      <w:strike w:val="0"/>
      <w:dstrike w:val="0"/>
      <w:vanish w:val="0"/>
      <w:sz w:val="22"/>
      <w:vertAlign w:val="baseline"/>
    </w:rPr>
  </w:style>
  <w:style w:type="paragraph" w:customStyle="1" w:styleId="MainTitle">
    <w:name w:val="MainTitle"/>
    <w:basedOn w:val="Normal"/>
    <w:link w:val="MainTitleChar"/>
    <w:uiPriority w:val="99"/>
    <w:rsid w:val="00415E14"/>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415E14"/>
    <w:rPr>
      <w:rFonts w:ascii="Arial" w:hAnsi="Arial" w:cs="Arial"/>
      <w:b/>
      <w:bCs/>
      <w:caps/>
      <w:color w:val="000000"/>
      <w:sz w:val="28"/>
      <w:szCs w:val="28"/>
    </w:rPr>
  </w:style>
  <w:style w:type="paragraph" w:customStyle="1" w:styleId="Casehead2">
    <w:name w:val="Casehead 2"/>
    <w:basedOn w:val="Casehead1"/>
    <w:link w:val="Casehead2Char"/>
    <w:qFormat/>
    <w:rsid w:val="00415E14"/>
    <w:rPr>
      <w:caps w:val="0"/>
    </w:rPr>
  </w:style>
  <w:style w:type="character" w:customStyle="1" w:styleId="Casehead2Char">
    <w:name w:val="Casehead 2 Char"/>
    <w:basedOn w:val="Casehead1Char"/>
    <w:link w:val="Casehead2"/>
    <w:rsid w:val="00415E14"/>
    <w:rPr>
      <w:rFonts w:ascii="Arial" w:eastAsia="Times New Roman" w:hAnsi="Arial" w:cs="Arial"/>
      <w:b/>
      <w:caps w:val="0"/>
      <w:sz w:val="20"/>
      <w:szCs w:val="20"/>
    </w:rPr>
  </w:style>
  <w:style w:type="paragraph" w:customStyle="1" w:styleId="Casehead3">
    <w:name w:val="Casehead 3"/>
    <w:basedOn w:val="Casehead2"/>
    <w:link w:val="Casehead3Char"/>
    <w:qFormat/>
    <w:rsid w:val="00415E14"/>
    <w:rPr>
      <w:rFonts w:ascii="Times New Roman" w:hAnsi="Times New Roman" w:cs="Times New Roman"/>
      <w:b w:val="0"/>
      <w:sz w:val="22"/>
      <w:szCs w:val="22"/>
      <w:u w:val="single"/>
    </w:rPr>
  </w:style>
  <w:style w:type="character" w:customStyle="1" w:styleId="Casehead3Char">
    <w:name w:val="Casehead 3 Char"/>
    <w:basedOn w:val="Casehead2Char"/>
    <w:link w:val="Casehead3"/>
    <w:rsid w:val="00415E14"/>
    <w:rPr>
      <w:rFonts w:ascii="Times New Roman" w:eastAsia="Times New Roman" w:hAnsi="Times New Roman" w:cs="Times New Roman"/>
      <w:b w:val="0"/>
      <w:caps w:val="0"/>
      <w:sz w:val="22"/>
      <w:szCs w:val="22"/>
      <w:u w:val="single"/>
    </w:rPr>
  </w:style>
  <w:style w:type="paragraph" w:customStyle="1" w:styleId="Casehead4">
    <w:name w:val="Casehead 4"/>
    <w:basedOn w:val="Casehead3"/>
    <w:link w:val="Casehead4Char"/>
    <w:qFormat/>
    <w:rsid w:val="00415E14"/>
    <w:rPr>
      <w:i/>
    </w:rPr>
  </w:style>
  <w:style w:type="character" w:customStyle="1" w:styleId="Casehead4Char">
    <w:name w:val="Casehead 4 Char"/>
    <w:basedOn w:val="Casehead3Char"/>
    <w:link w:val="Casehead4"/>
    <w:rsid w:val="00415E14"/>
    <w:rPr>
      <w:rFonts w:ascii="Times New Roman" w:eastAsia="Times New Roman" w:hAnsi="Times New Roman" w:cs="Times New Roman"/>
      <w:b w:val="0"/>
      <w:i/>
      <w:caps w:val="0"/>
      <w:sz w:val="22"/>
      <w:szCs w:val="22"/>
      <w:u w:val="single"/>
    </w:rPr>
  </w:style>
  <w:style w:type="paragraph" w:customStyle="1" w:styleId="CopyrightStatement">
    <w:name w:val="CopyrightStatement"/>
    <w:basedOn w:val="Normal"/>
    <w:uiPriority w:val="99"/>
    <w:rsid w:val="00415E14"/>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character" w:styleId="Emphasis">
    <w:name w:val="Emphasis"/>
    <w:basedOn w:val="DefaultParagraphFont"/>
    <w:uiPriority w:val="99"/>
    <w:rsid w:val="00415E14"/>
    <w:rPr>
      <w:i/>
      <w:iCs/>
    </w:rPr>
  </w:style>
  <w:style w:type="paragraph" w:customStyle="1" w:styleId="ExhibitHeading">
    <w:name w:val="Exhibit Heading"/>
    <w:basedOn w:val="BodyTextMain"/>
    <w:link w:val="ExhibitHeadingChar"/>
    <w:qFormat/>
    <w:rsid w:val="00415E14"/>
    <w:pPr>
      <w:jc w:val="center"/>
    </w:pPr>
    <w:rPr>
      <w:rFonts w:ascii="Arial" w:hAnsi="Arial" w:cs="Arial"/>
      <w:b/>
      <w:caps/>
      <w:sz w:val="20"/>
      <w:szCs w:val="20"/>
    </w:rPr>
  </w:style>
  <w:style w:type="character" w:customStyle="1" w:styleId="ExhibitHeadingChar">
    <w:name w:val="Exhibit Heading Char"/>
    <w:basedOn w:val="BodyTextMainChar"/>
    <w:link w:val="ExhibitHeading"/>
    <w:rsid w:val="00415E14"/>
    <w:rPr>
      <w:rFonts w:ascii="Arial" w:eastAsia="Times New Roman" w:hAnsi="Arial" w:cs="Arial"/>
      <w:b/>
      <w:caps/>
      <w:sz w:val="20"/>
      <w:szCs w:val="20"/>
    </w:rPr>
  </w:style>
  <w:style w:type="paragraph" w:customStyle="1" w:styleId="ExhibitNumber">
    <w:name w:val="Exhibit Number"/>
    <w:basedOn w:val="BodyTextMain"/>
    <w:link w:val="ExhibitNumberChar"/>
    <w:qFormat/>
    <w:rsid w:val="00415E14"/>
    <w:pPr>
      <w:jc w:val="center"/>
    </w:pPr>
    <w:rPr>
      <w:rFonts w:ascii="Arial" w:hAnsi="Arial" w:cs="Arial"/>
      <w:b/>
      <w:sz w:val="20"/>
      <w:szCs w:val="20"/>
    </w:rPr>
  </w:style>
  <w:style w:type="character" w:customStyle="1" w:styleId="ExhibitNumberChar">
    <w:name w:val="Exhibit Number Char"/>
    <w:basedOn w:val="BodyTextMainChar"/>
    <w:link w:val="ExhibitNumber"/>
    <w:rsid w:val="00415E14"/>
    <w:rPr>
      <w:rFonts w:ascii="Arial" w:eastAsia="Times New Roman" w:hAnsi="Arial" w:cs="Arial"/>
      <w:b/>
      <w:sz w:val="20"/>
      <w:szCs w:val="20"/>
    </w:rPr>
  </w:style>
  <w:style w:type="paragraph" w:customStyle="1" w:styleId="ExhibitText">
    <w:name w:val="Exhibit Text"/>
    <w:basedOn w:val="BodyTextMain"/>
    <w:link w:val="ExhibitTextChar"/>
    <w:qFormat/>
    <w:rsid w:val="00415E14"/>
    <w:rPr>
      <w:rFonts w:ascii="Arial" w:hAnsi="Arial" w:cs="Arial"/>
      <w:sz w:val="20"/>
      <w:szCs w:val="20"/>
    </w:rPr>
  </w:style>
  <w:style w:type="character" w:customStyle="1" w:styleId="ExhibitTextChar">
    <w:name w:val="Exhibit Text Char"/>
    <w:basedOn w:val="BodyTextMainChar"/>
    <w:link w:val="ExhibitText"/>
    <w:rsid w:val="00415E14"/>
    <w:rPr>
      <w:rFonts w:ascii="Arial" w:eastAsia="Times New Roman" w:hAnsi="Arial" w:cs="Arial"/>
      <w:sz w:val="20"/>
      <w:szCs w:val="20"/>
    </w:rPr>
  </w:style>
  <w:style w:type="paragraph" w:customStyle="1" w:styleId="Footnote">
    <w:name w:val="Footnote"/>
    <w:basedOn w:val="FootnoteText"/>
    <w:link w:val="FootnoteChar"/>
    <w:qFormat/>
    <w:rsid w:val="00CA7EDE"/>
    <w:pPr>
      <w:suppressAutoHyphens/>
      <w:jc w:val="both"/>
    </w:pPr>
    <w:rPr>
      <w:rFonts w:ascii="Arial" w:hAnsi="Arial" w:cs="Arial"/>
      <w:sz w:val="17"/>
      <w:szCs w:val="17"/>
    </w:rPr>
  </w:style>
  <w:style w:type="character" w:customStyle="1" w:styleId="FootnoteChar">
    <w:name w:val="Footnote Char"/>
    <w:basedOn w:val="FootnoteTextChar"/>
    <w:link w:val="Footnote"/>
    <w:rsid w:val="00CA7EDE"/>
    <w:rPr>
      <w:rFonts w:ascii="Arial" w:eastAsia="Times New Roman" w:hAnsi="Arial" w:cs="Arial"/>
      <w:sz w:val="17"/>
      <w:szCs w:val="17"/>
      <w:lang w:val="en-GB"/>
    </w:rPr>
  </w:style>
  <w:style w:type="paragraph" w:customStyle="1" w:styleId="FootnoteText1">
    <w:name w:val="Footnote Text1"/>
    <w:basedOn w:val="Normal"/>
    <w:next w:val="BodyText"/>
    <w:uiPriority w:val="99"/>
    <w:rsid w:val="00415E14"/>
    <w:pPr>
      <w:tabs>
        <w:tab w:val="left" w:pos="-1440"/>
        <w:tab w:val="left" w:pos="-720"/>
        <w:tab w:val="left" w:pos="1"/>
        <w:tab w:val="right" w:pos="9000"/>
      </w:tabs>
      <w:jc w:val="both"/>
    </w:pPr>
    <w:rPr>
      <w:rFonts w:ascii="Arial" w:hAnsi="Arial" w:cs="Arial"/>
      <w:i/>
      <w:iCs/>
      <w:sz w:val="17"/>
      <w:szCs w:val="17"/>
    </w:rPr>
  </w:style>
  <w:style w:type="paragraph" w:customStyle="1" w:styleId="IveyQuotes">
    <w:name w:val="Ivey Quotes"/>
    <w:basedOn w:val="Normal"/>
    <w:link w:val="IveyQuotesChar"/>
    <w:qFormat/>
    <w:rsid w:val="00415E14"/>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15E14"/>
    <w:rPr>
      <w:rFonts w:ascii="Times New Roman" w:eastAsia="Times New Roman" w:hAnsi="Times New Roman" w:cs="Times New Roman"/>
      <w:sz w:val="22"/>
      <w:szCs w:val="20"/>
      <w:lang w:val="en-GB"/>
    </w:rPr>
  </w:style>
  <w:style w:type="paragraph" w:styleId="ListParagraph">
    <w:name w:val="List Paragraph"/>
    <w:basedOn w:val="Normal"/>
    <w:uiPriority w:val="34"/>
    <w:qFormat/>
    <w:rsid w:val="00415E14"/>
    <w:pPr>
      <w:ind w:left="720"/>
      <w:contextualSpacing/>
      <w:jc w:val="both"/>
    </w:pPr>
    <w:rPr>
      <w:rFonts w:eastAsia="Calibri"/>
      <w:sz w:val="22"/>
      <w:szCs w:val="22"/>
    </w:rPr>
  </w:style>
  <w:style w:type="numbering" w:customStyle="1" w:styleId="NoList1">
    <w:name w:val="No List1"/>
    <w:next w:val="NoList"/>
    <w:uiPriority w:val="99"/>
    <w:semiHidden/>
    <w:unhideWhenUsed/>
    <w:rsid w:val="00415E14"/>
  </w:style>
  <w:style w:type="paragraph" w:styleId="NormalWeb">
    <w:name w:val="Normal (Web)"/>
    <w:basedOn w:val="Normal"/>
    <w:uiPriority w:val="99"/>
    <w:semiHidden/>
    <w:rsid w:val="00415E14"/>
    <w:pPr>
      <w:spacing w:before="100" w:beforeAutospacing="1" w:after="100" w:afterAutospacing="1"/>
    </w:pPr>
    <w:rPr>
      <w:rFonts w:ascii="PMingLiU" w:eastAsiaTheme="minorEastAsia" w:hAnsi="PMingLiU" w:cs="PMingLiU"/>
      <w:sz w:val="24"/>
      <w:szCs w:val="24"/>
      <w:lang w:eastAsia="zh-TW"/>
    </w:rPr>
  </w:style>
  <w:style w:type="paragraph" w:styleId="PlainText">
    <w:name w:val="Plain Text"/>
    <w:basedOn w:val="Normal"/>
    <w:link w:val="PlainTextChar"/>
    <w:uiPriority w:val="99"/>
    <w:rsid w:val="00415E14"/>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15E14"/>
    <w:rPr>
      <w:rFonts w:ascii="Consolas" w:eastAsiaTheme="minorEastAsia" w:hAnsi="Consolas" w:cs="Consolas"/>
      <w:sz w:val="21"/>
      <w:szCs w:val="21"/>
      <w:lang w:eastAsia="zh-CN"/>
    </w:rPr>
  </w:style>
  <w:style w:type="paragraph" w:customStyle="1" w:styleId="Quotation3Lines">
    <w:name w:val="Quotation (3+ Lines)"/>
    <w:basedOn w:val="BodyTextMain"/>
    <w:link w:val="Quotation3LinesChar"/>
    <w:rsid w:val="00415E14"/>
    <w:pPr>
      <w:ind w:left="720" w:right="720"/>
    </w:pPr>
  </w:style>
  <w:style w:type="character" w:customStyle="1" w:styleId="Quotation3LinesChar">
    <w:name w:val="Quotation (3+ Lines) Char"/>
    <w:basedOn w:val="BodyTextMainChar"/>
    <w:link w:val="Quotation3Lines"/>
    <w:rsid w:val="00415E14"/>
    <w:rPr>
      <w:rFonts w:ascii="Times New Roman" w:eastAsia="Times New Roman" w:hAnsi="Times New Roman" w:cs="Times New Roman"/>
      <w:sz w:val="22"/>
      <w:szCs w:val="22"/>
    </w:rPr>
  </w:style>
  <w:style w:type="character" w:styleId="Strong">
    <w:name w:val="Strong"/>
    <w:basedOn w:val="DefaultParagraphFont"/>
    <w:uiPriority w:val="99"/>
    <w:rsid w:val="00415E14"/>
    <w:rPr>
      <w:b/>
      <w:bCs/>
    </w:rPr>
  </w:style>
  <w:style w:type="paragraph" w:customStyle="1" w:styleId="StyleCopyrightStatementAfter0ptBottomSinglesolidline">
    <w:name w:val="Style CopyrightStatement + After:  0 pt Bottom: (Single solid line..."/>
    <w:basedOn w:val="CopyrightStatement"/>
    <w:rsid w:val="00415E14"/>
    <w:pPr>
      <w:pBdr>
        <w:bottom w:val="single" w:sz="8" w:space="1" w:color="auto"/>
      </w:pBdr>
      <w:spacing w:after="0" w:line="240" w:lineRule="auto"/>
    </w:pPr>
    <w:rPr>
      <w:rFonts w:eastAsia="Times New Roman" w:cs="Times New Roman"/>
      <w:szCs w:val="20"/>
    </w:rPr>
  </w:style>
  <w:style w:type="paragraph" w:customStyle="1" w:styleId="TeachingNoteTitle">
    <w:name w:val="Teaching Note Title"/>
    <w:basedOn w:val="CaseTitle"/>
    <w:link w:val="TeachingNoteTitleChar"/>
    <w:qFormat/>
    <w:rsid w:val="00415E14"/>
    <w:pPr>
      <w:jc w:val="center"/>
    </w:pPr>
  </w:style>
  <w:style w:type="character" w:customStyle="1" w:styleId="TeachingNoteTitleChar">
    <w:name w:val="Teaching Note Title Char"/>
    <w:basedOn w:val="CaseTitleChar"/>
    <w:link w:val="TeachingNoteTitle"/>
    <w:rsid w:val="00415E14"/>
    <w:rPr>
      <w:rFonts w:ascii="Arial" w:hAnsi="Arial" w:cs="Arial"/>
      <w:b/>
      <w:bCs/>
      <w:caps/>
      <w:color w:val="000000"/>
      <w:sz w:val="28"/>
      <w:szCs w:val="28"/>
    </w:rPr>
  </w:style>
  <w:style w:type="character" w:customStyle="1" w:styleId="Title1">
    <w:name w:val="Title1"/>
    <w:basedOn w:val="DefaultParagraphFont"/>
    <w:uiPriority w:val="99"/>
    <w:rsid w:val="00415E14"/>
  </w:style>
  <w:style w:type="paragraph" w:styleId="Revision">
    <w:name w:val="Revision"/>
    <w:hidden/>
    <w:uiPriority w:val="99"/>
    <w:semiHidden/>
    <w:rsid w:val="00B472CF"/>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A856C0"/>
    <w:rPr>
      <w:sz w:val="24"/>
      <w:szCs w:val="24"/>
    </w:rPr>
  </w:style>
  <w:style w:type="character" w:customStyle="1" w:styleId="DocumentMapChar">
    <w:name w:val="Document Map Char"/>
    <w:basedOn w:val="DefaultParagraphFont"/>
    <w:link w:val="DocumentMap"/>
    <w:uiPriority w:val="99"/>
    <w:semiHidden/>
    <w:rsid w:val="00A856C0"/>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3971">
      <w:bodyDiv w:val="1"/>
      <w:marLeft w:val="0"/>
      <w:marRight w:val="0"/>
      <w:marTop w:val="0"/>
      <w:marBottom w:val="0"/>
      <w:divBdr>
        <w:top w:val="none" w:sz="0" w:space="0" w:color="auto"/>
        <w:left w:val="none" w:sz="0" w:space="0" w:color="auto"/>
        <w:bottom w:val="none" w:sz="0" w:space="0" w:color="auto"/>
        <w:right w:val="none" w:sz="0" w:space="0" w:color="auto"/>
      </w:divBdr>
    </w:div>
    <w:div w:id="25563511">
      <w:bodyDiv w:val="1"/>
      <w:marLeft w:val="0"/>
      <w:marRight w:val="0"/>
      <w:marTop w:val="0"/>
      <w:marBottom w:val="0"/>
      <w:divBdr>
        <w:top w:val="none" w:sz="0" w:space="0" w:color="auto"/>
        <w:left w:val="none" w:sz="0" w:space="0" w:color="auto"/>
        <w:bottom w:val="none" w:sz="0" w:space="0" w:color="auto"/>
        <w:right w:val="none" w:sz="0" w:space="0" w:color="auto"/>
      </w:divBdr>
    </w:div>
    <w:div w:id="43985483">
      <w:bodyDiv w:val="1"/>
      <w:marLeft w:val="0"/>
      <w:marRight w:val="0"/>
      <w:marTop w:val="0"/>
      <w:marBottom w:val="0"/>
      <w:divBdr>
        <w:top w:val="none" w:sz="0" w:space="0" w:color="auto"/>
        <w:left w:val="none" w:sz="0" w:space="0" w:color="auto"/>
        <w:bottom w:val="none" w:sz="0" w:space="0" w:color="auto"/>
        <w:right w:val="none" w:sz="0" w:space="0" w:color="auto"/>
      </w:divBdr>
    </w:div>
    <w:div w:id="151289781">
      <w:bodyDiv w:val="1"/>
      <w:marLeft w:val="0"/>
      <w:marRight w:val="0"/>
      <w:marTop w:val="0"/>
      <w:marBottom w:val="0"/>
      <w:divBdr>
        <w:top w:val="none" w:sz="0" w:space="0" w:color="auto"/>
        <w:left w:val="none" w:sz="0" w:space="0" w:color="auto"/>
        <w:bottom w:val="none" w:sz="0" w:space="0" w:color="auto"/>
        <w:right w:val="none" w:sz="0" w:space="0" w:color="auto"/>
      </w:divBdr>
    </w:div>
    <w:div w:id="186598116">
      <w:bodyDiv w:val="1"/>
      <w:marLeft w:val="0"/>
      <w:marRight w:val="0"/>
      <w:marTop w:val="0"/>
      <w:marBottom w:val="0"/>
      <w:divBdr>
        <w:top w:val="none" w:sz="0" w:space="0" w:color="auto"/>
        <w:left w:val="none" w:sz="0" w:space="0" w:color="auto"/>
        <w:bottom w:val="none" w:sz="0" w:space="0" w:color="auto"/>
        <w:right w:val="none" w:sz="0" w:space="0" w:color="auto"/>
      </w:divBdr>
    </w:div>
    <w:div w:id="243806259">
      <w:bodyDiv w:val="1"/>
      <w:marLeft w:val="0"/>
      <w:marRight w:val="0"/>
      <w:marTop w:val="0"/>
      <w:marBottom w:val="0"/>
      <w:divBdr>
        <w:top w:val="none" w:sz="0" w:space="0" w:color="auto"/>
        <w:left w:val="none" w:sz="0" w:space="0" w:color="auto"/>
        <w:bottom w:val="none" w:sz="0" w:space="0" w:color="auto"/>
        <w:right w:val="none" w:sz="0" w:space="0" w:color="auto"/>
      </w:divBdr>
    </w:div>
    <w:div w:id="295765939">
      <w:bodyDiv w:val="1"/>
      <w:marLeft w:val="0"/>
      <w:marRight w:val="0"/>
      <w:marTop w:val="0"/>
      <w:marBottom w:val="0"/>
      <w:divBdr>
        <w:top w:val="none" w:sz="0" w:space="0" w:color="auto"/>
        <w:left w:val="none" w:sz="0" w:space="0" w:color="auto"/>
        <w:bottom w:val="none" w:sz="0" w:space="0" w:color="auto"/>
        <w:right w:val="none" w:sz="0" w:space="0" w:color="auto"/>
      </w:divBdr>
    </w:div>
    <w:div w:id="481507972">
      <w:bodyDiv w:val="1"/>
      <w:marLeft w:val="0"/>
      <w:marRight w:val="0"/>
      <w:marTop w:val="0"/>
      <w:marBottom w:val="0"/>
      <w:divBdr>
        <w:top w:val="none" w:sz="0" w:space="0" w:color="auto"/>
        <w:left w:val="none" w:sz="0" w:space="0" w:color="auto"/>
        <w:bottom w:val="none" w:sz="0" w:space="0" w:color="auto"/>
        <w:right w:val="none" w:sz="0" w:space="0" w:color="auto"/>
      </w:divBdr>
      <w:divsChild>
        <w:div w:id="794524645">
          <w:marLeft w:val="0"/>
          <w:marRight w:val="0"/>
          <w:marTop w:val="0"/>
          <w:marBottom w:val="0"/>
          <w:divBdr>
            <w:top w:val="none" w:sz="0" w:space="0" w:color="auto"/>
            <w:left w:val="none" w:sz="0" w:space="0" w:color="auto"/>
            <w:bottom w:val="none" w:sz="0" w:space="0" w:color="auto"/>
            <w:right w:val="none" w:sz="0" w:space="0" w:color="auto"/>
          </w:divBdr>
          <w:divsChild>
            <w:div w:id="1904563440">
              <w:marLeft w:val="0"/>
              <w:marRight w:val="0"/>
              <w:marTop w:val="0"/>
              <w:marBottom w:val="0"/>
              <w:divBdr>
                <w:top w:val="none" w:sz="0" w:space="0" w:color="auto"/>
                <w:left w:val="none" w:sz="0" w:space="0" w:color="auto"/>
                <w:bottom w:val="none" w:sz="0" w:space="0" w:color="auto"/>
                <w:right w:val="none" w:sz="0" w:space="0" w:color="auto"/>
              </w:divBdr>
              <w:divsChild>
                <w:div w:id="436412111">
                  <w:marLeft w:val="0"/>
                  <w:marRight w:val="0"/>
                  <w:marTop w:val="0"/>
                  <w:marBottom w:val="0"/>
                  <w:divBdr>
                    <w:top w:val="none" w:sz="0" w:space="0" w:color="auto"/>
                    <w:left w:val="none" w:sz="0" w:space="0" w:color="auto"/>
                    <w:bottom w:val="none" w:sz="0" w:space="0" w:color="auto"/>
                    <w:right w:val="none" w:sz="0" w:space="0" w:color="auto"/>
                  </w:divBdr>
                  <w:divsChild>
                    <w:div w:id="14264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49666">
      <w:bodyDiv w:val="1"/>
      <w:marLeft w:val="0"/>
      <w:marRight w:val="0"/>
      <w:marTop w:val="0"/>
      <w:marBottom w:val="0"/>
      <w:divBdr>
        <w:top w:val="none" w:sz="0" w:space="0" w:color="auto"/>
        <w:left w:val="none" w:sz="0" w:space="0" w:color="auto"/>
        <w:bottom w:val="none" w:sz="0" w:space="0" w:color="auto"/>
        <w:right w:val="none" w:sz="0" w:space="0" w:color="auto"/>
      </w:divBdr>
    </w:div>
    <w:div w:id="517891249">
      <w:bodyDiv w:val="1"/>
      <w:marLeft w:val="0"/>
      <w:marRight w:val="0"/>
      <w:marTop w:val="0"/>
      <w:marBottom w:val="0"/>
      <w:divBdr>
        <w:top w:val="none" w:sz="0" w:space="0" w:color="auto"/>
        <w:left w:val="none" w:sz="0" w:space="0" w:color="auto"/>
        <w:bottom w:val="none" w:sz="0" w:space="0" w:color="auto"/>
        <w:right w:val="none" w:sz="0" w:space="0" w:color="auto"/>
      </w:divBdr>
    </w:div>
    <w:div w:id="520629223">
      <w:bodyDiv w:val="1"/>
      <w:marLeft w:val="0"/>
      <w:marRight w:val="0"/>
      <w:marTop w:val="0"/>
      <w:marBottom w:val="0"/>
      <w:divBdr>
        <w:top w:val="none" w:sz="0" w:space="0" w:color="auto"/>
        <w:left w:val="none" w:sz="0" w:space="0" w:color="auto"/>
        <w:bottom w:val="none" w:sz="0" w:space="0" w:color="auto"/>
        <w:right w:val="none" w:sz="0" w:space="0" w:color="auto"/>
      </w:divBdr>
    </w:div>
    <w:div w:id="551888745">
      <w:bodyDiv w:val="1"/>
      <w:marLeft w:val="0"/>
      <w:marRight w:val="0"/>
      <w:marTop w:val="0"/>
      <w:marBottom w:val="0"/>
      <w:divBdr>
        <w:top w:val="none" w:sz="0" w:space="0" w:color="auto"/>
        <w:left w:val="none" w:sz="0" w:space="0" w:color="auto"/>
        <w:bottom w:val="none" w:sz="0" w:space="0" w:color="auto"/>
        <w:right w:val="none" w:sz="0" w:space="0" w:color="auto"/>
      </w:divBdr>
    </w:div>
    <w:div w:id="556622581">
      <w:bodyDiv w:val="1"/>
      <w:marLeft w:val="0"/>
      <w:marRight w:val="0"/>
      <w:marTop w:val="0"/>
      <w:marBottom w:val="0"/>
      <w:divBdr>
        <w:top w:val="none" w:sz="0" w:space="0" w:color="auto"/>
        <w:left w:val="none" w:sz="0" w:space="0" w:color="auto"/>
        <w:bottom w:val="none" w:sz="0" w:space="0" w:color="auto"/>
        <w:right w:val="none" w:sz="0" w:space="0" w:color="auto"/>
      </w:divBdr>
    </w:div>
    <w:div w:id="631062593">
      <w:bodyDiv w:val="1"/>
      <w:marLeft w:val="0"/>
      <w:marRight w:val="0"/>
      <w:marTop w:val="0"/>
      <w:marBottom w:val="0"/>
      <w:divBdr>
        <w:top w:val="none" w:sz="0" w:space="0" w:color="auto"/>
        <w:left w:val="none" w:sz="0" w:space="0" w:color="auto"/>
        <w:bottom w:val="none" w:sz="0" w:space="0" w:color="auto"/>
        <w:right w:val="none" w:sz="0" w:space="0" w:color="auto"/>
      </w:divBdr>
    </w:div>
    <w:div w:id="632561995">
      <w:bodyDiv w:val="1"/>
      <w:marLeft w:val="0"/>
      <w:marRight w:val="0"/>
      <w:marTop w:val="0"/>
      <w:marBottom w:val="0"/>
      <w:divBdr>
        <w:top w:val="none" w:sz="0" w:space="0" w:color="auto"/>
        <w:left w:val="none" w:sz="0" w:space="0" w:color="auto"/>
        <w:bottom w:val="none" w:sz="0" w:space="0" w:color="auto"/>
        <w:right w:val="none" w:sz="0" w:space="0" w:color="auto"/>
      </w:divBdr>
    </w:div>
    <w:div w:id="679431479">
      <w:bodyDiv w:val="1"/>
      <w:marLeft w:val="0"/>
      <w:marRight w:val="0"/>
      <w:marTop w:val="0"/>
      <w:marBottom w:val="0"/>
      <w:divBdr>
        <w:top w:val="none" w:sz="0" w:space="0" w:color="auto"/>
        <w:left w:val="none" w:sz="0" w:space="0" w:color="auto"/>
        <w:bottom w:val="none" w:sz="0" w:space="0" w:color="auto"/>
        <w:right w:val="none" w:sz="0" w:space="0" w:color="auto"/>
      </w:divBdr>
    </w:div>
    <w:div w:id="686911611">
      <w:bodyDiv w:val="1"/>
      <w:marLeft w:val="0"/>
      <w:marRight w:val="0"/>
      <w:marTop w:val="0"/>
      <w:marBottom w:val="0"/>
      <w:divBdr>
        <w:top w:val="none" w:sz="0" w:space="0" w:color="auto"/>
        <w:left w:val="none" w:sz="0" w:space="0" w:color="auto"/>
        <w:bottom w:val="none" w:sz="0" w:space="0" w:color="auto"/>
        <w:right w:val="none" w:sz="0" w:space="0" w:color="auto"/>
      </w:divBdr>
    </w:div>
    <w:div w:id="724260192">
      <w:bodyDiv w:val="1"/>
      <w:marLeft w:val="0"/>
      <w:marRight w:val="0"/>
      <w:marTop w:val="0"/>
      <w:marBottom w:val="0"/>
      <w:divBdr>
        <w:top w:val="none" w:sz="0" w:space="0" w:color="auto"/>
        <w:left w:val="none" w:sz="0" w:space="0" w:color="auto"/>
        <w:bottom w:val="none" w:sz="0" w:space="0" w:color="auto"/>
        <w:right w:val="none" w:sz="0" w:space="0" w:color="auto"/>
      </w:divBdr>
    </w:div>
    <w:div w:id="724842033">
      <w:bodyDiv w:val="1"/>
      <w:marLeft w:val="0"/>
      <w:marRight w:val="0"/>
      <w:marTop w:val="0"/>
      <w:marBottom w:val="0"/>
      <w:divBdr>
        <w:top w:val="none" w:sz="0" w:space="0" w:color="auto"/>
        <w:left w:val="none" w:sz="0" w:space="0" w:color="auto"/>
        <w:bottom w:val="none" w:sz="0" w:space="0" w:color="auto"/>
        <w:right w:val="none" w:sz="0" w:space="0" w:color="auto"/>
      </w:divBdr>
    </w:div>
    <w:div w:id="758139202">
      <w:bodyDiv w:val="1"/>
      <w:marLeft w:val="0"/>
      <w:marRight w:val="0"/>
      <w:marTop w:val="0"/>
      <w:marBottom w:val="0"/>
      <w:divBdr>
        <w:top w:val="none" w:sz="0" w:space="0" w:color="auto"/>
        <w:left w:val="none" w:sz="0" w:space="0" w:color="auto"/>
        <w:bottom w:val="none" w:sz="0" w:space="0" w:color="auto"/>
        <w:right w:val="none" w:sz="0" w:space="0" w:color="auto"/>
      </w:divBdr>
    </w:div>
    <w:div w:id="770509162">
      <w:bodyDiv w:val="1"/>
      <w:marLeft w:val="0"/>
      <w:marRight w:val="0"/>
      <w:marTop w:val="0"/>
      <w:marBottom w:val="0"/>
      <w:divBdr>
        <w:top w:val="none" w:sz="0" w:space="0" w:color="auto"/>
        <w:left w:val="none" w:sz="0" w:space="0" w:color="auto"/>
        <w:bottom w:val="none" w:sz="0" w:space="0" w:color="auto"/>
        <w:right w:val="none" w:sz="0" w:space="0" w:color="auto"/>
      </w:divBdr>
    </w:div>
    <w:div w:id="929309696">
      <w:bodyDiv w:val="1"/>
      <w:marLeft w:val="0"/>
      <w:marRight w:val="0"/>
      <w:marTop w:val="0"/>
      <w:marBottom w:val="0"/>
      <w:divBdr>
        <w:top w:val="none" w:sz="0" w:space="0" w:color="auto"/>
        <w:left w:val="none" w:sz="0" w:space="0" w:color="auto"/>
        <w:bottom w:val="none" w:sz="0" w:space="0" w:color="auto"/>
        <w:right w:val="none" w:sz="0" w:space="0" w:color="auto"/>
      </w:divBdr>
    </w:div>
    <w:div w:id="981810373">
      <w:bodyDiv w:val="1"/>
      <w:marLeft w:val="0"/>
      <w:marRight w:val="0"/>
      <w:marTop w:val="0"/>
      <w:marBottom w:val="0"/>
      <w:divBdr>
        <w:top w:val="none" w:sz="0" w:space="0" w:color="auto"/>
        <w:left w:val="none" w:sz="0" w:space="0" w:color="auto"/>
        <w:bottom w:val="none" w:sz="0" w:space="0" w:color="auto"/>
        <w:right w:val="none" w:sz="0" w:space="0" w:color="auto"/>
      </w:divBdr>
    </w:div>
    <w:div w:id="1092359959">
      <w:bodyDiv w:val="1"/>
      <w:marLeft w:val="0"/>
      <w:marRight w:val="0"/>
      <w:marTop w:val="0"/>
      <w:marBottom w:val="0"/>
      <w:divBdr>
        <w:top w:val="none" w:sz="0" w:space="0" w:color="auto"/>
        <w:left w:val="none" w:sz="0" w:space="0" w:color="auto"/>
        <w:bottom w:val="none" w:sz="0" w:space="0" w:color="auto"/>
        <w:right w:val="none" w:sz="0" w:space="0" w:color="auto"/>
      </w:divBdr>
    </w:div>
    <w:div w:id="1170559843">
      <w:bodyDiv w:val="1"/>
      <w:marLeft w:val="0"/>
      <w:marRight w:val="0"/>
      <w:marTop w:val="0"/>
      <w:marBottom w:val="0"/>
      <w:divBdr>
        <w:top w:val="none" w:sz="0" w:space="0" w:color="auto"/>
        <w:left w:val="none" w:sz="0" w:space="0" w:color="auto"/>
        <w:bottom w:val="none" w:sz="0" w:space="0" w:color="auto"/>
        <w:right w:val="none" w:sz="0" w:space="0" w:color="auto"/>
      </w:divBdr>
    </w:div>
    <w:div w:id="1270354132">
      <w:bodyDiv w:val="1"/>
      <w:marLeft w:val="0"/>
      <w:marRight w:val="0"/>
      <w:marTop w:val="0"/>
      <w:marBottom w:val="0"/>
      <w:divBdr>
        <w:top w:val="none" w:sz="0" w:space="0" w:color="auto"/>
        <w:left w:val="none" w:sz="0" w:space="0" w:color="auto"/>
        <w:bottom w:val="none" w:sz="0" w:space="0" w:color="auto"/>
        <w:right w:val="none" w:sz="0" w:space="0" w:color="auto"/>
      </w:divBdr>
    </w:div>
    <w:div w:id="1276332769">
      <w:bodyDiv w:val="1"/>
      <w:marLeft w:val="0"/>
      <w:marRight w:val="0"/>
      <w:marTop w:val="0"/>
      <w:marBottom w:val="0"/>
      <w:divBdr>
        <w:top w:val="none" w:sz="0" w:space="0" w:color="auto"/>
        <w:left w:val="none" w:sz="0" w:space="0" w:color="auto"/>
        <w:bottom w:val="none" w:sz="0" w:space="0" w:color="auto"/>
        <w:right w:val="none" w:sz="0" w:space="0" w:color="auto"/>
      </w:divBdr>
    </w:div>
    <w:div w:id="1314870932">
      <w:bodyDiv w:val="1"/>
      <w:marLeft w:val="0"/>
      <w:marRight w:val="0"/>
      <w:marTop w:val="0"/>
      <w:marBottom w:val="0"/>
      <w:divBdr>
        <w:top w:val="none" w:sz="0" w:space="0" w:color="auto"/>
        <w:left w:val="none" w:sz="0" w:space="0" w:color="auto"/>
        <w:bottom w:val="none" w:sz="0" w:space="0" w:color="auto"/>
        <w:right w:val="none" w:sz="0" w:space="0" w:color="auto"/>
      </w:divBdr>
    </w:div>
    <w:div w:id="1379009937">
      <w:bodyDiv w:val="1"/>
      <w:marLeft w:val="0"/>
      <w:marRight w:val="0"/>
      <w:marTop w:val="0"/>
      <w:marBottom w:val="0"/>
      <w:divBdr>
        <w:top w:val="none" w:sz="0" w:space="0" w:color="auto"/>
        <w:left w:val="none" w:sz="0" w:space="0" w:color="auto"/>
        <w:bottom w:val="none" w:sz="0" w:space="0" w:color="auto"/>
        <w:right w:val="none" w:sz="0" w:space="0" w:color="auto"/>
      </w:divBdr>
    </w:div>
    <w:div w:id="1387073476">
      <w:bodyDiv w:val="1"/>
      <w:marLeft w:val="0"/>
      <w:marRight w:val="0"/>
      <w:marTop w:val="0"/>
      <w:marBottom w:val="0"/>
      <w:divBdr>
        <w:top w:val="none" w:sz="0" w:space="0" w:color="auto"/>
        <w:left w:val="none" w:sz="0" w:space="0" w:color="auto"/>
        <w:bottom w:val="none" w:sz="0" w:space="0" w:color="auto"/>
        <w:right w:val="none" w:sz="0" w:space="0" w:color="auto"/>
      </w:divBdr>
    </w:div>
    <w:div w:id="1409691969">
      <w:bodyDiv w:val="1"/>
      <w:marLeft w:val="0"/>
      <w:marRight w:val="0"/>
      <w:marTop w:val="0"/>
      <w:marBottom w:val="0"/>
      <w:divBdr>
        <w:top w:val="none" w:sz="0" w:space="0" w:color="auto"/>
        <w:left w:val="none" w:sz="0" w:space="0" w:color="auto"/>
        <w:bottom w:val="none" w:sz="0" w:space="0" w:color="auto"/>
        <w:right w:val="none" w:sz="0" w:space="0" w:color="auto"/>
      </w:divBdr>
    </w:div>
    <w:div w:id="1430472158">
      <w:bodyDiv w:val="1"/>
      <w:marLeft w:val="0"/>
      <w:marRight w:val="0"/>
      <w:marTop w:val="0"/>
      <w:marBottom w:val="0"/>
      <w:divBdr>
        <w:top w:val="none" w:sz="0" w:space="0" w:color="auto"/>
        <w:left w:val="none" w:sz="0" w:space="0" w:color="auto"/>
        <w:bottom w:val="none" w:sz="0" w:space="0" w:color="auto"/>
        <w:right w:val="none" w:sz="0" w:space="0" w:color="auto"/>
      </w:divBdr>
    </w:div>
    <w:div w:id="1485587757">
      <w:bodyDiv w:val="1"/>
      <w:marLeft w:val="0"/>
      <w:marRight w:val="0"/>
      <w:marTop w:val="0"/>
      <w:marBottom w:val="0"/>
      <w:divBdr>
        <w:top w:val="none" w:sz="0" w:space="0" w:color="auto"/>
        <w:left w:val="none" w:sz="0" w:space="0" w:color="auto"/>
        <w:bottom w:val="none" w:sz="0" w:space="0" w:color="auto"/>
        <w:right w:val="none" w:sz="0" w:space="0" w:color="auto"/>
      </w:divBdr>
    </w:div>
    <w:div w:id="1541473937">
      <w:bodyDiv w:val="1"/>
      <w:marLeft w:val="0"/>
      <w:marRight w:val="0"/>
      <w:marTop w:val="0"/>
      <w:marBottom w:val="0"/>
      <w:divBdr>
        <w:top w:val="none" w:sz="0" w:space="0" w:color="auto"/>
        <w:left w:val="none" w:sz="0" w:space="0" w:color="auto"/>
        <w:bottom w:val="none" w:sz="0" w:space="0" w:color="auto"/>
        <w:right w:val="none" w:sz="0" w:space="0" w:color="auto"/>
      </w:divBdr>
    </w:div>
    <w:div w:id="1600605790">
      <w:bodyDiv w:val="1"/>
      <w:marLeft w:val="0"/>
      <w:marRight w:val="0"/>
      <w:marTop w:val="0"/>
      <w:marBottom w:val="0"/>
      <w:divBdr>
        <w:top w:val="none" w:sz="0" w:space="0" w:color="auto"/>
        <w:left w:val="none" w:sz="0" w:space="0" w:color="auto"/>
        <w:bottom w:val="none" w:sz="0" w:space="0" w:color="auto"/>
        <w:right w:val="none" w:sz="0" w:space="0" w:color="auto"/>
      </w:divBdr>
    </w:div>
    <w:div w:id="1645625647">
      <w:bodyDiv w:val="1"/>
      <w:marLeft w:val="0"/>
      <w:marRight w:val="0"/>
      <w:marTop w:val="0"/>
      <w:marBottom w:val="0"/>
      <w:divBdr>
        <w:top w:val="none" w:sz="0" w:space="0" w:color="auto"/>
        <w:left w:val="none" w:sz="0" w:space="0" w:color="auto"/>
        <w:bottom w:val="none" w:sz="0" w:space="0" w:color="auto"/>
        <w:right w:val="none" w:sz="0" w:space="0" w:color="auto"/>
      </w:divBdr>
    </w:div>
    <w:div w:id="1702633090">
      <w:bodyDiv w:val="1"/>
      <w:marLeft w:val="0"/>
      <w:marRight w:val="0"/>
      <w:marTop w:val="0"/>
      <w:marBottom w:val="0"/>
      <w:divBdr>
        <w:top w:val="none" w:sz="0" w:space="0" w:color="auto"/>
        <w:left w:val="none" w:sz="0" w:space="0" w:color="auto"/>
        <w:bottom w:val="none" w:sz="0" w:space="0" w:color="auto"/>
        <w:right w:val="none" w:sz="0" w:space="0" w:color="auto"/>
      </w:divBdr>
    </w:div>
    <w:div w:id="1749383305">
      <w:bodyDiv w:val="1"/>
      <w:marLeft w:val="0"/>
      <w:marRight w:val="0"/>
      <w:marTop w:val="0"/>
      <w:marBottom w:val="0"/>
      <w:divBdr>
        <w:top w:val="none" w:sz="0" w:space="0" w:color="auto"/>
        <w:left w:val="none" w:sz="0" w:space="0" w:color="auto"/>
        <w:bottom w:val="none" w:sz="0" w:space="0" w:color="auto"/>
        <w:right w:val="none" w:sz="0" w:space="0" w:color="auto"/>
      </w:divBdr>
    </w:div>
    <w:div w:id="1825316302">
      <w:bodyDiv w:val="1"/>
      <w:marLeft w:val="0"/>
      <w:marRight w:val="0"/>
      <w:marTop w:val="0"/>
      <w:marBottom w:val="0"/>
      <w:divBdr>
        <w:top w:val="none" w:sz="0" w:space="0" w:color="auto"/>
        <w:left w:val="none" w:sz="0" w:space="0" w:color="auto"/>
        <w:bottom w:val="none" w:sz="0" w:space="0" w:color="auto"/>
        <w:right w:val="none" w:sz="0" w:space="0" w:color="auto"/>
      </w:divBdr>
    </w:div>
    <w:div w:id="1885291187">
      <w:bodyDiv w:val="1"/>
      <w:marLeft w:val="0"/>
      <w:marRight w:val="0"/>
      <w:marTop w:val="0"/>
      <w:marBottom w:val="0"/>
      <w:divBdr>
        <w:top w:val="none" w:sz="0" w:space="0" w:color="auto"/>
        <w:left w:val="none" w:sz="0" w:space="0" w:color="auto"/>
        <w:bottom w:val="none" w:sz="0" w:space="0" w:color="auto"/>
        <w:right w:val="none" w:sz="0" w:space="0" w:color="auto"/>
      </w:divBdr>
    </w:div>
    <w:div w:id="1927954672">
      <w:bodyDiv w:val="1"/>
      <w:marLeft w:val="0"/>
      <w:marRight w:val="0"/>
      <w:marTop w:val="0"/>
      <w:marBottom w:val="0"/>
      <w:divBdr>
        <w:top w:val="none" w:sz="0" w:space="0" w:color="auto"/>
        <w:left w:val="none" w:sz="0" w:space="0" w:color="auto"/>
        <w:bottom w:val="none" w:sz="0" w:space="0" w:color="auto"/>
        <w:right w:val="none" w:sz="0" w:space="0" w:color="auto"/>
      </w:divBdr>
    </w:div>
    <w:div w:id="1939558675">
      <w:bodyDiv w:val="1"/>
      <w:marLeft w:val="0"/>
      <w:marRight w:val="0"/>
      <w:marTop w:val="0"/>
      <w:marBottom w:val="0"/>
      <w:divBdr>
        <w:top w:val="none" w:sz="0" w:space="0" w:color="auto"/>
        <w:left w:val="none" w:sz="0" w:space="0" w:color="auto"/>
        <w:bottom w:val="none" w:sz="0" w:space="0" w:color="auto"/>
        <w:right w:val="none" w:sz="0" w:space="0" w:color="auto"/>
      </w:divBdr>
    </w:div>
    <w:div w:id="2039044911">
      <w:bodyDiv w:val="1"/>
      <w:marLeft w:val="0"/>
      <w:marRight w:val="0"/>
      <w:marTop w:val="0"/>
      <w:marBottom w:val="0"/>
      <w:divBdr>
        <w:top w:val="none" w:sz="0" w:space="0" w:color="auto"/>
        <w:left w:val="none" w:sz="0" w:space="0" w:color="auto"/>
        <w:bottom w:val="none" w:sz="0" w:space="0" w:color="auto"/>
        <w:right w:val="none" w:sz="0" w:space="0" w:color="auto"/>
      </w:divBdr>
    </w:div>
    <w:div w:id="2114545515">
      <w:bodyDiv w:val="1"/>
      <w:marLeft w:val="0"/>
      <w:marRight w:val="0"/>
      <w:marTop w:val="0"/>
      <w:marBottom w:val="0"/>
      <w:divBdr>
        <w:top w:val="none" w:sz="0" w:space="0" w:color="auto"/>
        <w:left w:val="none" w:sz="0" w:space="0" w:color="auto"/>
        <w:bottom w:val="none" w:sz="0" w:space="0" w:color="auto"/>
        <w:right w:val="none" w:sz="0" w:space="0" w:color="auto"/>
      </w:divBdr>
    </w:div>
    <w:div w:id="2134134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795DD1-83CB-4EBD-913E-1DD992C431B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6436D15-64A1-48CD-A90E-93F8A587675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D2752D-0C56-4189-B3D8-81E9427F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Simonson</dc:creator>
  <cp:keywords/>
  <dc:description/>
  <cp:lastModifiedBy>Martinali, Sara</cp:lastModifiedBy>
  <cp:revision>9</cp:revision>
  <cp:lastPrinted>2017-09-15T17:40:00Z</cp:lastPrinted>
  <dcterms:created xsi:type="dcterms:W3CDTF">2017-10-05T14:01:00Z</dcterms:created>
  <dcterms:modified xsi:type="dcterms:W3CDTF">2019-04-11T15:06:00Z</dcterms:modified>
</cp:coreProperties>
</file>