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B6B6C" w14:textId="0E5A511A" w:rsidR="00413FA2" w:rsidRPr="00DF75A6" w:rsidRDefault="003226F9" w:rsidP="00413FA2">
      <w:pPr>
        <w:pBdr>
          <w:bottom w:val="single" w:sz="18" w:space="1" w:color="auto"/>
        </w:pBdr>
        <w:tabs>
          <w:tab w:val="left" w:pos="-1440"/>
          <w:tab w:val="left" w:pos="-720"/>
          <w:tab w:val="left" w:pos="1"/>
        </w:tabs>
        <w:jc w:val="both"/>
        <w:rPr>
          <w:rFonts w:ascii="Arial" w:hAnsi="Arial"/>
          <w:b/>
          <w:sz w:val="24"/>
          <w:lang w:val="en-GB"/>
        </w:rPr>
      </w:pPr>
      <w:r w:rsidRPr="003226F9">
        <w:rPr>
          <w:rFonts w:ascii="Arial" w:hAnsi="Arial"/>
          <w:b/>
          <w:noProof/>
          <w:sz w:val="24"/>
        </w:rPr>
        <w:drawing>
          <wp:inline distT="0" distB="0" distL="0" distR="0" wp14:anchorId="6583F02E" wp14:editId="11A1FC5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D04E6F3" w14:textId="411A92A0" w:rsidR="00413FA2" w:rsidRPr="00DF75A6" w:rsidRDefault="00414E3B" w:rsidP="00413FA2">
      <w:pPr>
        <w:pStyle w:val="ProductNumber"/>
        <w:rPr>
          <w:lang w:val="en-GB"/>
        </w:rPr>
      </w:pPr>
      <w:r>
        <w:rPr>
          <w:lang w:val="en-GB"/>
        </w:rPr>
        <w:t>9B18A012</w:t>
      </w:r>
    </w:p>
    <w:p w14:paraId="301CD484" w14:textId="77777777" w:rsidR="00413FA2" w:rsidRPr="00DF75A6" w:rsidRDefault="00413FA2" w:rsidP="00413FA2">
      <w:pPr>
        <w:jc w:val="right"/>
        <w:rPr>
          <w:rFonts w:ascii="Arial" w:hAnsi="Arial"/>
          <w:b/>
          <w:sz w:val="28"/>
          <w:szCs w:val="28"/>
          <w:lang w:val="en-GB"/>
        </w:rPr>
      </w:pPr>
    </w:p>
    <w:p w14:paraId="5D11966E" w14:textId="77777777" w:rsidR="00413FA2" w:rsidRPr="00DF75A6" w:rsidRDefault="00413FA2" w:rsidP="00EB0DD8">
      <w:pPr>
        <w:jc w:val="center"/>
        <w:rPr>
          <w:rFonts w:ascii="Arial" w:hAnsi="Arial"/>
          <w:b/>
          <w:sz w:val="28"/>
          <w:szCs w:val="28"/>
          <w:lang w:val="en-GB"/>
        </w:rPr>
      </w:pPr>
    </w:p>
    <w:p w14:paraId="06C4E8EF" w14:textId="0B27A708" w:rsidR="00413FA2" w:rsidRPr="00DF75A6" w:rsidRDefault="00413FA2" w:rsidP="00413FA2">
      <w:pPr>
        <w:pStyle w:val="CaseTitle"/>
        <w:spacing w:after="0" w:line="240" w:lineRule="auto"/>
        <w:rPr>
          <w:sz w:val="20"/>
          <w:szCs w:val="20"/>
          <w:lang w:val="en-GB"/>
        </w:rPr>
      </w:pPr>
      <w:r w:rsidRPr="00DF75A6">
        <w:rPr>
          <w:rFonts w:eastAsia="Times New Roman"/>
          <w:szCs w:val="20"/>
          <w:lang w:val="en-GB"/>
        </w:rPr>
        <w:t>Seijing Motor Corporation: Reposition or extend the pickup brand</w:t>
      </w:r>
    </w:p>
    <w:p w14:paraId="4B28CCAD" w14:textId="77777777" w:rsidR="00413FA2" w:rsidRPr="00DF75A6" w:rsidRDefault="00413FA2" w:rsidP="00413FA2">
      <w:pPr>
        <w:pStyle w:val="CaseTitle"/>
        <w:spacing w:after="0" w:line="240" w:lineRule="auto"/>
        <w:rPr>
          <w:sz w:val="20"/>
          <w:szCs w:val="20"/>
          <w:lang w:val="en-GB"/>
        </w:rPr>
      </w:pPr>
    </w:p>
    <w:p w14:paraId="7740D6FF" w14:textId="77777777" w:rsidR="00413FA2" w:rsidRPr="00DF75A6" w:rsidRDefault="00413FA2" w:rsidP="00413FA2">
      <w:pPr>
        <w:pStyle w:val="CaseTitle"/>
        <w:spacing w:after="0" w:line="240" w:lineRule="auto"/>
        <w:rPr>
          <w:sz w:val="20"/>
          <w:szCs w:val="20"/>
          <w:lang w:val="en-GB"/>
        </w:rPr>
      </w:pPr>
    </w:p>
    <w:p w14:paraId="0D84DFCA" w14:textId="77777777" w:rsidR="00413FA2" w:rsidRPr="00DF75A6" w:rsidRDefault="00413FA2" w:rsidP="00413FA2">
      <w:pPr>
        <w:pStyle w:val="StyleCopyrightStatementAfter0ptBottomSinglesolidline1"/>
        <w:rPr>
          <w:lang w:val="en-GB"/>
        </w:rPr>
      </w:pPr>
      <w:r w:rsidRPr="00DF75A6">
        <w:rPr>
          <w:lang w:val="en-GB"/>
        </w:rPr>
        <w:t xml:space="preserve">Ashita Aggarwal, </w:t>
      </w:r>
      <w:proofErr w:type="spellStart"/>
      <w:r w:rsidRPr="00DF75A6">
        <w:rPr>
          <w:lang w:val="en-GB"/>
        </w:rPr>
        <w:t>Shriram</w:t>
      </w:r>
      <w:proofErr w:type="spellEnd"/>
      <w:r w:rsidRPr="00DF75A6">
        <w:rPr>
          <w:lang w:val="en-GB"/>
        </w:rPr>
        <w:t xml:space="preserve"> </w:t>
      </w:r>
      <w:proofErr w:type="spellStart"/>
      <w:r w:rsidRPr="00DF75A6">
        <w:rPr>
          <w:lang w:val="en-GB"/>
        </w:rPr>
        <w:t>Iyer</w:t>
      </w:r>
      <w:proofErr w:type="spellEnd"/>
      <w:r w:rsidRPr="00DF75A6">
        <w:rPr>
          <w:lang w:val="en-GB"/>
        </w:rPr>
        <w:t xml:space="preserve">, and </w:t>
      </w:r>
      <w:proofErr w:type="spellStart"/>
      <w:r w:rsidRPr="00DF75A6">
        <w:rPr>
          <w:lang w:val="en-GB"/>
        </w:rPr>
        <w:t>Projesh</w:t>
      </w:r>
      <w:proofErr w:type="spellEnd"/>
      <w:r w:rsidRPr="00DF75A6">
        <w:rPr>
          <w:lang w:val="en-GB"/>
        </w:rPr>
        <w:t xml:space="preserve"> </w:t>
      </w:r>
      <w:proofErr w:type="spellStart"/>
      <w:r w:rsidRPr="00DF75A6">
        <w:rPr>
          <w:lang w:val="en-GB"/>
        </w:rPr>
        <w:t>Kar</w:t>
      </w:r>
      <w:proofErr w:type="spellEnd"/>
      <w:r w:rsidRPr="00DF75A6">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86C354A" w14:textId="77777777" w:rsidR="003B33F9" w:rsidRDefault="003B33F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03D96B5" w14:textId="77777777" w:rsidR="003226F9" w:rsidRPr="00E23AB7" w:rsidRDefault="003226F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5CB7054" w14:textId="77777777" w:rsidR="003226F9" w:rsidRPr="00E23AB7" w:rsidRDefault="003226F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D279D29" w14:textId="0BB52320" w:rsidR="00413FA2" w:rsidRPr="003226F9" w:rsidRDefault="003226F9" w:rsidP="00413FA2">
      <w:pPr>
        <w:pStyle w:val="StyleStyleCopyrightStatementAfter0ptBottomSinglesolid"/>
        <w:rPr>
          <w:rFonts w:cs="Arial"/>
          <w:szCs w:val="16"/>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413FA2" w:rsidRPr="00DF75A6">
        <w:rPr>
          <w:rFonts w:cs="Arial"/>
          <w:szCs w:val="16"/>
          <w:lang w:val="en-GB"/>
        </w:rPr>
        <w:tab/>
      </w:r>
      <w:r w:rsidR="005C7BCC">
        <w:rPr>
          <w:lang w:val="en-GB"/>
        </w:rPr>
        <w:t>Version: 2018-03</w:t>
      </w:r>
      <w:r w:rsidR="001D28FC" w:rsidRPr="00DF75A6">
        <w:rPr>
          <w:lang w:val="en-GB"/>
        </w:rPr>
        <w:t>-</w:t>
      </w:r>
      <w:r w:rsidR="005C7BCC">
        <w:rPr>
          <w:lang w:val="en-GB"/>
        </w:rPr>
        <w:t>02</w:t>
      </w:r>
    </w:p>
    <w:p w14:paraId="23C51BD1" w14:textId="77777777" w:rsidR="00413FA2" w:rsidRPr="00DF75A6" w:rsidRDefault="00413FA2" w:rsidP="00413FA2">
      <w:pPr>
        <w:pStyle w:val="StyleCopyrightStatementAfter0ptBottomSinglesolidline1"/>
        <w:rPr>
          <w:rFonts w:ascii="Times New Roman" w:hAnsi="Times New Roman"/>
          <w:sz w:val="20"/>
          <w:lang w:val="en-GB"/>
        </w:rPr>
      </w:pPr>
    </w:p>
    <w:p w14:paraId="4253489B" w14:textId="77777777" w:rsidR="00013360" w:rsidRPr="00520D2D" w:rsidRDefault="00013360" w:rsidP="00013360">
      <w:pPr>
        <w:pStyle w:val="CaseTitle"/>
        <w:spacing w:after="0" w:line="240" w:lineRule="auto"/>
        <w:rPr>
          <w:rFonts w:ascii="Times New Roman" w:hAnsi="Times New Roman" w:cs="Times New Roman"/>
          <w:b w:val="0"/>
          <w:sz w:val="20"/>
          <w:szCs w:val="20"/>
          <w:lang w:val="en-GB"/>
        </w:rPr>
      </w:pPr>
    </w:p>
    <w:p w14:paraId="101542AB" w14:textId="65B3E47C" w:rsidR="00343DB5" w:rsidRPr="003226F9" w:rsidRDefault="00343DB5" w:rsidP="00343DB5">
      <w:pPr>
        <w:jc w:val="both"/>
        <w:rPr>
          <w:rFonts w:eastAsia="Calibri"/>
          <w:spacing w:val="-2"/>
          <w:kern w:val="22"/>
          <w:sz w:val="22"/>
          <w:szCs w:val="22"/>
          <w:lang w:val="en-GB"/>
        </w:rPr>
      </w:pPr>
      <w:proofErr w:type="spellStart"/>
      <w:r w:rsidRPr="003226F9">
        <w:rPr>
          <w:rFonts w:eastAsia="Calibri"/>
          <w:spacing w:val="-2"/>
          <w:kern w:val="22"/>
          <w:sz w:val="22"/>
          <w:szCs w:val="22"/>
          <w:lang w:val="en-GB"/>
        </w:rPr>
        <w:t>Shailesh</w:t>
      </w:r>
      <w:proofErr w:type="spellEnd"/>
      <w:r w:rsidRPr="003226F9">
        <w:rPr>
          <w:rFonts w:eastAsia="Calibri"/>
          <w:spacing w:val="-2"/>
          <w:kern w:val="22"/>
          <w:sz w:val="22"/>
          <w:szCs w:val="22"/>
          <w:lang w:val="en-GB"/>
        </w:rPr>
        <w:t xml:space="preserve"> </w:t>
      </w:r>
      <w:proofErr w:type="spellStart"/>
      <w:r w:rsidRPr="003226F9">
        <w:rPr>
          <w:rFonts w:eastAsia="Calibri"/>
          <w:spacing w:val="-2"/>
          <w:kern w:val="22"/>
          <w:sz w:val="22"/>
          <w:szCs w:val="22"/>
          <w:lang w:val="en-GB"/>
        </w:rPr>
        <w:t>Mehragan</w:t>
      </w:r>
      <w:proofErr w:type="spellEnd"/>
      <w:r w:rsidR="009B5DE1" w:rsidRPr="003226F9">
        <w:rPr>
          <w:rFonts w:eastAsia="Calibri"/>
          <w:spacing w:val="-2"/>
          <w:kern w:val="22"/>
          <w:sz w:val="22"/>
          <w:szCs w:val="22"/>
          <w:lang w:val="en-GB"/>
        </w:rPr>
        <w:t>,</w:t>
      </w:r>
      <w:r w:rsidRPr="003226F9">
        <w:rPr>
          <w:rFonts w:eastAsia="Calibri"/>
          <w:spacing w:val="-2"/>
          <w:kern w:val="22"/>
          <w:sz w:val="22"/>
          <w:szCs w:val="22"/>
          <w:lang w:val="en-GB"/>
        </w:rPr>
        <w:t xml:space="preserve"> </w:t>
      </w:r>
      <w:r w:rsidR="00474ED6" w:rsidRPr="003226F9">
        <w:rPr>
          <w:rFonts w:eastAsia="Calibri"/>
          <w:spacing w:val="-2"/>
          <w:kern w:val="22"/>
          <w:sz w:val="22"/>
          <w:szCs w:val="22"/>
          <w:lang w:val="en-GB"/>
        </w:rPr>
        <w:t xml:space="preserve">country head </w:t>
      </w:r>
      <w:r w:rsidRPr="003226F9">
        <w:rPr>
          <w:rFonts w:eastAsia="Calibri"/>
          <w:spacing w:val="-2"/>
          <w:kern w:val="22"/>
          <w:sz w:val="22"/>
          <w:szCs w:val="22"/>
          <w:lang w:val="en-GB"/>
        </w:rPr>
        <w:t xml:space="preserve">for </w:t>
      </w:r>
      <w:proofErr w:type="spellStart"/>
      <w:r w:rsidRPr="003226F9">
        <w:rPr>
          <w:rFonts w:eastAsia="Calibri"/>
          <w:spacing w:val="-2"/>
          <w:kern w:val="22"/>
          <w:sz w:val="22"/>
          <w:szCs w:val="22"/>
          <w:lang w:val="en-GB"/>
        </w:rPr>
        <w:t>Se</w:t>
      </w:r>
      <w:r w:rsidR="001B78F5" w:rsidRPr="003226F9">
        <w:rPr>
          <w:rFonts w:eastAsia="Calibri"/>
          <w:spacing w:val="-2"/>
          <w:kern w:val="22"/>
          <w:sz w:val="22"/>
          <w:szCs w:val="22"/>
          <w:lang w:val="en-GB"/>
        </w:rPr>
        <w:t>i</w:t>
      </w:r>
      <w:r w:rsidRPr="003226F9">
        <w:rPr>
          <w:rFonts w:eastAsia="Calibri"/>
          <w:spacing w:val="-2"/>
          <w:kern w:val="22"/>
          <w:sz w:val="22"/>
          <w:szCs w:val="22"/>
          <w:lang w:val="en-GB"/>
        </w:rPr>
        <w:t>jing</w:t>
      </w:r>
      <w:proofErr w:type="spellEnd"/>
      <w:r w:rsidRPr="003226F9">
        <w:rPr>
          <w:rFonts w:eastAsia="Calibri"/>
          <w:spacing w:val="-2"/>
          <w:kern w:val="22"/>
          <w:sz w:val="22"/>
          <w:szCs w:val="22"/>
          <w:lang w:val="en-GB"/>
        </w:rPr>
        <w:t xml:space="preserve"> Motor Corporation (SMC) in India, was looking at the </w:t>
      </w:r>
      <w:r w:rsidR="00420EEF" w:rsidRPr="003226F9">
        <w:rPr>
          <w:rFonts w:eastAsia="Calibri"/>
          <w:spacing w:val="-2"/>
          <w:kern w:val="22"/>
          <w:sz w:val="22"/>
          <w:szCs w:val="22"/>
          <w:lang w:val="en-GB"/>
        </w:rPr>
        <w:t xml:space="preserve">company’s commercial vehicle </w:t>
      </w:r>
      <w:r w:rsidRPr="003226F9">
        <w:rPr>
          <w:rFonts w:eastAsia="Calibri"/>
          <w:spacing w:val="-2"/>
          <w:kern w:val="22"/>
          <w:sz w:val="22"/>
          <w:szCs w:val="22"/>
          <w:lang w:val="en-GB"/>
        </w:rPr>
        <w:t>sales report for the financial year (FY) 2015</w:t>
      </w:r>
      <w:r w:rsidR="001D438F" w:rsidRPr="003226F9">
        <w:rPr>
          <w:rFonts w:eastAsia="Calibri"/>
          <w:spacing w:val="-2"/>
          <w:kern w:val="22"/>
          <w:sz w:val="22"/>
          <w:szCs w:val="22"/>
          <w:lang w:val="en-GB"/>
        </w:rPr>
        <w:t>–</w:t>
      </w:r>
      <w:r w:rsidRPr="003226F9">
        <w:rPr>
          <w:rFonts w:eastAsia="Calibri"/>
          <w:spacing w:val="-2"/>
          <w:kern w:val="22"/>
          <w:sz w:val="22"/>
          <w:szCs w:val="22"/>
          <w:lang w:val="en-GB"/>
        </w:rPr>
        <w:t xml:space="preserve">16. </w:t>
      </w:r>
      <w:proofErr w:type="spellStart"/>
      <w:r w:rsidRPr="003226F9">
        <w:rPr>
          <w:rFonts w:eastAsia="Calibri"/>
          <w:spacing w:val="-2"/>
          <w:kern w:val="22"/>
          <w:sz w:val="22"/>
          <w:szCs w:val="22"/>
          <w:lang w:val="en-GB"/>
        </w:rPr>
        <w:t>Mehragan</w:t>
      </w:r>
      <w:proofErr w:type="spellEnd"/>
      <w:r w:rsidRPr="003226F9">
        <w:rPr>
          <w:rFonts w:eastAsia="Calibri"/>
          <w:spacing w:val="-2"/>
          <w:kern w:val="22"/>
          <w:sz w:val="22"/>
          <w:szCs w:val="22"/>
          <w:lang w:val="en-GB"/>
        </w:rPr>
        <w:t xml:space="preserve"> was worried about the stagna</w:t>
      </w:r>
      <w:r w:rsidR="009B5DE1" w:rsidRPr="003226F9">
        <w:rPr>
          <w:rFonts w:eastAsia="Calibri"/>
          <w:spacing w:val="-2"/>
          <w:kern w:val="22"/>
          <w:sz w:val="22"/>
          <w:szCs w:val="22"/>
          <w:lang w:val="en-GB"/>
        </w:rPr>
        <w:t xml:space="preserve">nt sales of the </w:t>
      </w:r>
      <w:r w:rsidR="00420EEF" w:rsidRPr="003226F9">
        <w:rPr>
          <w:rFonts w:eastAsia="Calibri"/>
          <w:spacing w:val="-2"/>
          <w:kern w:val="22"/>
          <w:sz w:val="22"/>
          <w:szCs w:val="22"/>
          <w:lang w:val="en-GB"/>
        </w:rPr>
        <w:t xml:space="preserve">Supreme </w:t>
      </w:r>
      <w:r w:rsidR="009B5DE1" w:rsidRPr="003226F9">
        <w:rPr>
          <w:rFonts w:eastAsia="Calibri"/>
          <w:spacing w:val="-2"/>
          <w:kern w:val="22"/>
          <w:sz w:val="22"/>
          <w:szCs w:val="22"/>
          <w:lang w:val="en-GB"/>
        </w:rPr>
        <w:t>pickup. Despite sustained branding and</w:t>
      </w:r>
      <w:r w:rsidRPr="003226F9">
        <w:rPr>
          <w:rFonts w:eastAsia="Calibri"/>
          <w:spacing w:val="-2"/>
          <w:kern w:val="22"/>
          <w:sz w:val="22"/>
          <w:szCs w:val="22"/>
          <w:lang w:val="en-GB"/>
        </w:rPr>
        <w:t xml:space="preserve"> communication efforts, </w:t>
      </w:r>
      <w:r w:rsidR="00C03F09" w:rsidRPr="003226F9">
        <w:rPr>
          <w:rFonts w:eastAsia="Calibri"/>
          <w:spacing w:val="-2"/>
          <w:kern w:val="22"/>
          <w:sz w:val="22"/>
          <w:szCs w:val="22"/>
          <w:lang w:val="en-GB"/>
        </w:rPr>
        <w:t xml:space="preserve">the </w:t>
      </w:r>
      <w:r w:rsidRPr="003226F9">
        <w:rPr>
          <w:rFonts w:eastAsia="Calibri"/>
          <w:spacing w:val="-2"/>
          <w:kern w:val="22"/>
          <w:sz w:val="22"/>
          <w:szCs w:val="22"/>
          <w:lang w:val="en-GB"/>
        </w:rPr>
        <w:t xml:space="preserve">Supreme </w:t>
      </w:r>
      <w:r w:rsidR="00420EEF" w:rsidRPr="003226F9">
        <w:rPr>
          <w:rFonts w:eastAsia="Calibri"/>
          <w:spacing w:val="-2"/>
          <w:kern w:val="22"/>
          <w:sz w:val="22"/>
          <w:szCs w:val="22"/>
          <w:lang w:val="en-GB"/>
        </w:rPr>
        <w:t xml:space="preserve">brand had </w:t>
      </w:r>
      <w:r w:rsidRPr="003226F9">
        <w:rPr>
          <w:rFonts w:eastAsia="Calibri"/>
          <w:spacing w:val="-2"/>
          <w:kern w:val="22"/>
          <w:sz w:val="22"/>
          <w:szCs w:val="22"/>
          <w:lang w:val="en-GB"/>
        </w:rPr>
        <w:t>gain</w:t>
      </w:r>
      <w:r w:rsidR="00420EEF" w:rsidRPr="003226F9">
        <w:rPr>
          <w:rFonts w:eastAsia="Calibri"/>
          <w:spacing w:val="-2"/>
          <w:kern w:val="22"/>
          <w:sz w:val="22"/>
          <w:szCs w:val="22"/>
          <w:lang w:val="en-GB"/>
        </w:rPr>
        <w:t>ed</w:t>
      </w:r>
      <w:r w:rsidRPr="003226F9">
        <w:rPr>
          <w:rFonts w:eastAsia="Calibri"/>
          <w:spacing w:val="-2"/>
          <w:kern w:val="22"/>
          <w:sz w:val="22"/>
          <w:szCs w:val="22"/>
          <w:lang w:val="en-GB"/>
        </w:rPr>
        <w:t xml:space="preserve"> only a </w:t>
      </w:r>
      <w:r w:rsidR="00420EEF" w:rsidRPr="003226F9">
        <w:rPr>
          <w:rFonts w:eastAsia="Calibri"/>
          <w:spacing w:val="-2"/>
          <w:kern w:val="22"/>
          <w:sz w:val="22"/>
          <w:szCs w:val="22"/>
          <w:lang w:val="en-GB"/>
        </w:rPr>
        <w:t>single-</w:t>
      </w:r>
      <w:r w:rsidRPr="003226F9">
        <w:rPr>
          <w:rFonts w:eastAsia="Calibri"/>
          <w:spacing w:val="-2"/>
          <w:kern w:val="22"/>
          <w:sz w:val="22"/>
          <w:szCs w:val="22"/>
          <w:lang w:val="en-GB"/>
        </w:rPr>
        <w:t>digit market share. In FY2015</w:t>
      </w:r>
      <w:r w:rsidR="00C32B8D" w:rsidRPr="003226F9">
        <w:rPr>
          <w:rFonts w:eastAsia="Calibri"/>
          <w:spacing w:val="-2"/>
          <w:kern w:val="22"/>
          <w:sz w:val="22"/>
          <w:szCs w:val="22"/>
          <w:lang w:val="en-GB"/>
        </w:rPr>
        <w:t>–16</w:t>
      </w:r>
      <w:r w:rsidRPr="003226F9">
        <w:rPr>
          <w:rFonts w:eastAsia="Calibri"/>
          <w:spacing w:val="-2"/>
          <w:kern w:val="22"/>
          <w:sz w:val="22"/>
          <w:szCs w:val="22"/>
          <w:lang w:val="en-GB"/>
        </w:rPr>
        <w:t xml:space="preserve">, SMC had sold approximately 8,000 units of </w:t>
      </w:r>
      <w:r w:rsidR="00867438" w:rsidRPr="003226F9">
        <w:rPr>
          <w:rFonts w:eastAsia="Calibri"/>
          <w:spacing w:val="-2"/>
          <w:kern w:val="22"/>
          <w:sz w:val="22"/>
          <w:szCs w:val="22"/>
          <w:lang w:val="en-GB"/>
        </w:rPr>
        <w:t xml:space="preserve">the </w:t>
      </w:r>
      <w:r w:rsidRPr="003226F9">
        <w:rPr>
          <w:rFonts w:eastAsia="Calibri"/>
          <w:spacing w:val="-2"/>
          <w:kern w:val="22"/>
          <w:sz w:val="22"/>
          <w:szCs w:val="22"/>
          <w:lang w:val="en-GB"/>
        </w:rPr>
        <w:t>Supreme and approximately 1,000 units of its older offering</w:t>
      </w:r>
      <w:r w:rsidR="00867438" w:rsidRPr="003226F9">
        <w:rPr>
          <w:rFonts w:eastAsia="Calibri"/>
          <w:spacing w:val="-2"/>
          <w:kern w:val="22"/>
          <w:sz w:val="22"/>
          <w:szCs w:val="22"/>
          <w:lang w:val="en-GB"/>
        </w:rPr>
        <w:t>, the</w:t>
      </w:r>
      <w:r w:rsidRPr="003226F9">
        <w:rPr>
          <w:rFonts w:eastAsia="Calibri"/>
          <w:spacing w:val="-2"/>
          <w:kern w:val="22"/>
          <w:sz w:val="22"/>
          <w:szCs w:val="22"/>
          <w:lang w:val="en-GB"/>
        </w:rPr>
        <w:t xml:space="preserve"> 115</w:t>
      </w:r>
      <w:r w:rsidR="009B5DE1" w:rsidRPr="003226F9">
        <w:rPr>
          <w:rFonts w:eastAsia="Calibri"/>
          <w:spacing w:val="-2"/>
          <w:kern w:val="22"/>
          <w:sz w:val="22"/>
          <w:szCs w:val="22"/>
          <w:lang w:val="en-GB"/>
        </w:rPr>
        <w:t xml:space="preserve"> pickup and delivery </w:t>
      </w:r>
      <w:r w:rsidRPr="003226F9">
        <w:rPr>
          <w:rFonts w:eastAsia="Calibri"/>
          <w:spacing w:val="-2"/>
          <w:kern w:val="22"/>
          <w:sz w:val="22"/>
          <w:szCs w:val="22"/>
          <w:lang w:val="en-GB"/>
        </w:rPr>
        <w:t>vehicle</w:t>
      </w:r>
      <w:r w:rsidR="00C32B8D" w:rsidRPr="003226F9">
        <w:rPr>
          <w:rFonts w:eastAsia="Calibri"/>
          <w:spacing w:val="-2"/>
          <w:kern w:val="22"/>
          <w:sz w:val="22"/>
          <w:szCs w:val="22"/>
          <w:lang w:val="en-GB"/>
        </w:rPr>
        <w:t xml:space="preserve"> (115PD)</w:t>
      </w:r>
      <w:r w:rsidR="00867438" w:rsidRPr="003226F9">
        <w:rPr>
          <w:rFonts w:eastAsia="Calibri"/>
          <w:spacing w:val="-2"/>
          <w:kern w:val="22"/>
          <w:sz w:val="22"/>
          <w:szCs w:val="22"/>
          <w:lang w:val="en-GB"/>
        </w:rPr>
        <w:t>,</w:t>
      </w:r>
      <w:r w:rsidRPr="003226F9">
        <w:rPr>
          <w:rFonts w:eastAsia="Calibri"/>
          <w:spacing w:val="-2"/>
          <w:kern w:val="22"/>
          <w:sz w:val="22"/>
          <w:szCs w:val="22"/>
          <w:lang w:val="en-GB"/>
        </w:rPr>
        <w:t xml:space="preserve"> </w:t>
      </w:r>
      <w:r w:rsidR="00420EEF" w:rsidRPr="003226F9">
        <w:rPr>
          <w:rFonts w:eastAsia="Calibri"/>
          <w:spacing w:val="-2"/>
          <w:kern w:val="22"/>
          <w:sz w:val="22"/>
          <w:szCs w:val="22"/>
          <w:lang w:val="en-GB"/>
        </w:rPr>
        <w:t xml:space="preserve">whereas the competition had sold 78,890 units of its </w:t>
      </w:r>
      <w:r w:rsidRPr="003226F9">
        <w:rPr>
          <w:rFonts w:eastAsia="Calibri"/>
          <w:spacing w:val="-2"/>
          <w:kern w:val="22"/>
          <w:sz w:val="22"/>
          <w:szCs w:val="22"/>
          <w:lang w:val="en-GB"/>
        </w:rPr>
        <w:t xml:space="preserve">lead model. </w:t>
      </w:r>
      <w:r w:rsidR="00420EEF" w:rsidRPr="003226F9">
        <w:rPr>
          <w:rFonts w:eastAsia="Calibri"/>
          <w:spacing w:val="-2"/>
          <w:kern w:val="22"/>
          <w:sz w:val="22"/>
          <w:szCs w:val="22"/>
          <w:lang w:val="en-GB"/>
        </w:rPr>
        <w:t>Although the large-pickup segment was growing at a 6 per</w:t>
      </w:r>
      <w:r w:rsidR="00C32B8D" w:rsidRPr="003226F9">
        <w:rPr>
          <w:rFonts w:eastAsia="Calibri"/>
          <w:spacing w:val="-2"/>
          <w:kern w:val="22"/>
          <w:sz w:val="22"/>
          <w:szCs w:val="22"/>
          <w:lang w:val="en-GB"/>
        </w:rPr>
        <w:t xml:space="preserve"> </w:t>
      </w:r>
      <w:r w:rsidR="00420EEF" w:rsidRPr="003226F9">
        <w:rPr>
          <w:rFonts w:eastAsia="Calibri"/>
          <w:spacing w:val="-2"/>
          <w:kern w:val="22"/>
          <w:sz w:val="22"/>
          <w:szCs w:val="22"/>
          <w:lang w:val="en-GB"/>
        </w:rPr>
        <w:t xml:space="preserve">cent compound annual growth rate (CAGR), SMC’s </w:t>
      </w:r>
      <w:r w:rsidRPr="003226F9">
        <w:rPr>
          <w:rFonts w:eastAsia="Calibri"/>
          <w:spacing w:val="-2"/>
          <w:kern w:val="22"/>
          <w:sz w:val="22"/>
          <w:szCs w:val="22"/>
          <w:lang w:val="en-GB"/>
        </w:rPr>
        <w:t xml:space="preserve">market share </w:t>
      </w:r>
      <w:r w:rsidR="00420EEF" w:rsidRPr="003226F9">
        <w:rPr>
          <w:rFonts w:eastAsia="Calibri"/>
          <w:spacing w:val="-2"/>
          <w:kern w:val="22"/>
          <w:sz w:val="22"/>
          <w:szCs w:val="22"/>
          <w:lang w:val="en-GB"/>
        </w:rPr>
        <w:t xml:space="preserve">in the segment </w:t>
      </w:r>
      <w:r w:rsidRPr="003226F9">
        <w:rPr>
          <w:rFonts w:eastAsia="Calibri"/>
          <w:spacing w:val="-2"/>
          <w:kern w:val="22"/>
          <w:sz w:val="22"/>
          <w:szCs w:val="22"/>
          <w:lang w:val="en-GB"/>
        </w:rPr>
        <w:t xml:space="preserve">had steadily </w:t>
      </w:r>
      <w:r w:rsidR="00420EEF" w:rsidRPr="003226F9">
        <w:rPr>
          <w:rFonts w:eastAsia="Calibri"/>
          <w:spacing w:val="-2"/>
          <w:kern w:val="22"/>
          <w:sz w:val="22"/>
          <w:szCs w:val="22"/>
          <w:lang w:val="en-GB"/>
        </w:rPr>
        <w:t xml:space="preserve">fallen, </w:t>
      </w:r>
      <w:r w:rsidR="009B5DE1" w:rsidRPr="003226F9">
        <w:rPr>
          <w:rFonts w:eastAsia="Calibri"/>
          <w:spacing w:val="-2"/>
          <w:kern w:val="22"/>
          <w:sz w:val="22"/>
          <w:szCs w:val="22"/>
          <w:lang w:val="en-GB"/>
        </w:rPr>
        <w:t>from 40 per</w:t>
      </w:r>
      <w:r w:rsidR="00420EEF" w:rsidRPr="003226F9">
        <w:rPr>
          <w:rFonts w:eastAsia="Calibri"/>
          <w:spacing w:val="-2"/>
          <w:kern w:val="22"/>
          <w:sz w:val="22"/>
          <w:szCs w:val="22"/>
          <w:lang w:val="en-GB"/>
        </w:rPr>
        <w:t xml:space="preserve"> </w:t>
      </w:r>
      <w:r w:rsidR="009B5DE1" w:rsidRPr="003226F9">
        <w:rPr>
          <w:rFonts w:eastAsia="Calibri"/>
          <w:spacing w:val="-2"/>
          <w:kern w:val="22"/>
          <w:sz w:val="22"/>
          <w:szCs w:val="22"/>
          <w:lang w:val="en-GB"/>
        </w:rPr>
        <w:t>cent in 2005 to 10 per</w:t>
      </w:r>
      <w:r w:rsidR="00420EEF" w:rsidRPr="003226F9">
        <w:rPr>
          <w:rFonts w:eastAsia="Calibri"/>
          <w:spacing w:val="-2"/>
          <w:kern w:val="22"/>
          <w:sz w:val="22"/>
          <w:szCs w:val="22"/>
          <w:lang w:val="en-GB"/>
        </w:rPr>
        <w:t xml:space="preserve"> </w:t>
      </w:r>
      <w:r w:rsidR="009B5DE1" w:rsidRPr="003226F9">
        <w:rPr>
          <w:rFonts w:eastAsia="Calibri"/>
          <w:spacing w:val="-2"/>
          <w:kern w:val="22"/>
          <w:sz w:val="22"/>
          <w:szCs w:val="22"/>
          <w:lang w:val="en-GB"/>
        </w:rPr>
        <w:t>cent in 20</w:t>
      </w:r>
      <w:r w:rsidRPr="003226F9">
        <w:rPr>
          <w:rFonts w:eastAsia="Calibri"/>
          <w:spacing w:val="-2"/>
          <w:kern w:val="22"/>
          <w:sz w:val="22"/>
          <w:szCs w:val="22"/>
          <w:lang w:val="en-GB"/>
        </w:rPr>
        <w:t>15</w:t>
      </w:r>
      <w:r w:rsidR="009B5DE1" w:rsidRPr="003226F9">
        <w:rPr>
          <w:rFonts w:eastAsia="Calibri"/>
          <w:spacing w:val="-2"/>
          <w:kern w:val="22"/>
          <w:sz w:val="22"/>
          <w:szCs w:val="22"/>
          <w:lang w:val="en-GB"/>
        </w:rPr>
        <w:t>.</w:t>
      </w:r>
      <w:r w:rsidRPr="003226F9">
        <w:rPr>
          <w:rFonts w:eastAsia="Calibri"/>
          <w:spacing w:val="-2"/>
          <w:kern w:val="22"/>
          <w:sz w:val="22"/>
          <w:szCs w:val="22"/>
          <w:lang w:val="en-GB"/>
        </w:rPr>
        <w:t xml:space="preserve"> </w:t>
      </w:r>
      <w:r w:rsidR="00420EEF" w:rsidRPr="003226F9">
        <w:rPr>
          <w:rFonts w:eastAsia="Calibri"/>
          <w:spacing w:val="-2"/>
          <w:kern w:val="22"/>
          <w:sz w:val="22"/>
          <w:szCs w:val="22"/>
          <w:lang w:val="en-GB"/>
        </w:rPr>
        <w:t>A</w:t>
      </w:r>
      <w:r w:rsidRPr="003226F9">
        <w:rPr>
          <w:rFonts w:eastAsia="Calibri"/>
          <w:spacing w:val="-2"/>
          <w:kern w:val="22"/>
          <w:sz w:val="22"/>
          <w:szCs w:val="22"/>
          <w:lang w:val="en-GB"/>
        </w:rPr>
        <w:t xml:space="preserve">fter </w:t>
      </w:r>
      <w:r w:rsidR="00867438" w:rsidRPr="003226F9">
        <w:rPr>
          <w:rFonts w:eastAsia="Calibri"/>
          <w:spacing w:val="-2"/>
          <w:kern w:val="22"/>
          <w:sz w:val="22"/>
          <w:szCs w:val="22"/>
          <w:lang w:val="en-GB"/>
        </w:rPr>
        <w:t>over a</w:t>
      </w:r>
      <w:r w:rsidRPr="003226F9">
        <w:rPr>
          <w:rFonts w:eastAsia="Calibri"/>
          <w:spacing w:val="-2"/>
          <w:kern w:val="22"/>
          <w:sz w:val="22"/>
          <w:szCs w:val="22"/>
          <w:lang w:val="en-GB"/>
        </w:rPr>
        <w:t xml:space="preserve"> decade of sustained effort and product innovation, the brand </w:t>
      </w:r>
      <w:r w:rsidR="00420EEF" w:rsidRPr="003226F9">
        <w:rPr>
          <w:rFonts w:eastAsia="Calibri"/>
          <w:spacing w:val="-2"/>
          <w:kern w:val="22"/>
          <w:sz w:val="22"/>
          <w:szCs w:val="22"/>
          <w:lang w:val="en-GB"/>
        </w:rPr>
        <w:t xml:space="preserve">had </w:t>
      </w:r>
      <w:r w:rsidRPr="003226F9">
        <w:rPr>
          <w:rFonts w:eastAsia="Calibri"/>
          <w:spacing w:val="-2"/>
          <w:kern w:val="22"/>
          <w:sz w:val="22"/>
          <w:szCs w:val="22"/>
          <w:lang w:val="en-GB"/>
        </w:rPr>
        <w:t xml:space="preserve">not </w:t>
      </w:r>
      <w:r w:rsidR="00420EEF" w:rsidRPr="003226F9">
        <w:rPr>
          <w:rFonts w:eastAsia="Calibri"/>
          <w:spacing w:val="-2"/>
          <w:kern w:val="22"/>
          <w:sz w:val="22"/>
          <w:szCs w:val="22"/>
          <w:lang w:val="en-GB"/>
        </w:rPr>
        <w:t xml:space="preserve">been </w:t>
      </w:r>
      <w:r w:rsidRPr="003226F9">
        <w:rPr>
          <w:rFonts w:eastAsia="Calibri"/>
          <w:spacing w:val="-2"/>
          <w:kern w:val="22"/>
          <w:sz w:val="22"/>
          <w:szCs w:val="22"/>
          <w:lang w:val="en-GB"/>
        </w:rPr>
        <w:t>able to find its feet in the market. SMC</w:t>
      </w:r>
      <w:r w:rsidR="00420EEF" w:rsidRPr="003226F9">
        <w:rPr>
          <w:rFonts w:eastAsia="Calibri"/>
          <w:spacing w:val="-2"/>
          <w:kern w:val="22"/>
          <w:sz w:val="22"/>
          <w:szCs w:val="22"/>
          <w:lang w:val="en-GB"/>
        </w:rPr>
        <w:t>’</w:t>
      </w:r>
      <w:r w:rsidRPr="003226F9">
        <w:rPr>
          <w:rFonts w:eastAsia="Calibri"/>
          <w:spacing w:val="-2"/>
          <w:kern w:val="22"/>
          <w:sz w:val="22"/>
          <w:szCs w:val="22"/>
          <w:lang w:val="en-GB"/>
        </w:rPr>
        <w:t xml:space="preserve">s Supreme was competing with </w:t>
      </w:r>
      <w:proofErr w:type="spellStart"/>
      <w:r w:rsidRPr="003226F9">
        <w:rPr>
          <w:rFonts w:eastAsia="Calibri"/>
          <w:spacing w:val="-2"/>
          <w:kern w:val="22"/>
          <w:sz w:val="22"/>
          <w:szCs w:val="22"/>
          <w:lang w:val="en-GB"/>
        </w:rPr>
        <w:t>Equis</w:t>
      </w:r>
      <w:r w:rsidR="00420EEF" w:rsidRPr="003226F9">
        <w:rPr>
          <w:rFonts w:eastAsia="Calibri"/>
          <w:spacing w:val="-2"/>
          <w:kern w:val="22"/>
          <w:sz w:val="22"/>
          <w:szCs w:val="22"/>
          <w:lang w:val="en-GB"/>
        </w:rPr>
        <w:t>’s</w:t>
      </w:r>
      <w:proofErr w:type="spellEnd"/>
      <w:r w:rsidRPr="003226F9">
        <w:rPr>
          <w:rFonts w:eastAsia="Calibri"/>
          <w:spacing w:val="-2"/>
          <w:kern w:val="22"/>
          <w:sz w:val="22"/>
          <w:szCs w:val="22"/>
          <w:lang w:val="en-GB"/>
        </w:rPr>
        <w:t xml:space="preserve"> Pluto</w:t>
      </w:r>
      <w:r w:rsidR="009B5DE1" w:rsidRPr="003226F9">
        <w:rPr>
          <w:rFonts w:eastAsia="Calibri"/>
          <w:spacing w:val="-2"/>
          <w:kern w:val="22"/>
          <w:sz w:val="22"/>
          <w:szCs w:val="22"/>
          <w:lang w:val="en-GB"/>
        </w:rPr>
        <w:t>,</w:t>
      </w:r>
      <w:r w:rsidRPr="003226F9">
        <w:rPr>
          <w:rFonts w:eastAsia="Calibri"/>
          <w:spacing w:val="-2"/>
          <w:kern w:val="22"/>
          <w:sz w:val="22"/>
          <w:szCs w:val="22"/>
          <w:lang w:val="en-GB"/>
        </w:rPr>
        <w:t xml:space="preserve"> the </w:t>
      </w:r>
      <w:r w:rsidR="00833946" w:rsidRPr="003226F9">
        <w:rPr>
          <w:rFonts w:eastAsia="Calibri"/>
          <w:spacing w:val="-2"/>
          <w:kern w:val="22"/>
          <w:sz w:val="22"/>
          <w:szCs w:val="22"/>
          <w:lang w:val="en-GB"/>
        </w:rPr>
        <w:t xml:space="preserve">market-leading </w:t>
      </w:r>
      <w:r w:rsidRPr="003226F9">
        <w:rPr>
          <w:rFonts w:eastAsia="Calibri"/>
          <w:spacing w:val="-2"/>
          <w:kern w:val="22"/>
          <w:sz w:val="22"/>
          <w:szCs w:val="22"/>
          <w:lang w:val="en-GB"/>
        </w:rPr>
        <w:t>pickup. Consumers in this segment sought to minimize the total cost of ownership</w:t>
      </w:r>
      <w:r w:rsidR="00833946" w:rsidRPr="003226F9">
        <w:rPr>
          <w:rFonts w:eastAsia="Calibri"/>
          <w:spacing w:val="-2"/>
          <w:kern w:val="22"/>
          <w:sz w:val="22"/>
          <w:szCs w:val="22"/>
          <w:lang w:val="en-GB"/>
        </w:rPr>
        <w:t>, and t</w:t>
      </w:r>
      <w:r w:rsidRPr="003226F9">
        <w:rPr>
          <w:rFonts w:eastAsia="Calibri"/>
          <w:spacing w:val="-2"/>
          <w:kern w:val="22"/>
          <w:sz w:val="22"/>
          <w:szCs w:val="22"/>
          <w:lang w:val="en-GB"/>
        </w:rPr>
        <w:t xml:space="preserve">hey felt that </w:t>
      </w:r>
      <w:r w:rsidR="001D438F" w:rsidRPr="003226F9">
        <w:rPr>
          <w:rFonts w:eastAsia="Calibri"/>
          <w:spacing w:val="-2"/>
          <w:kern w:val="22"/>
          <w:sz w:val="22"/>
          <w:szCs w:val="22"/>
          <w:lang w:val="en-GB"/>
        </w:rPr>
        <w:t xml:space="preserve">the </w:t>
      </w:r>
      <w:r w:rsidRPr="003226F9">
        <w:rPr>
          <w:rFonts w:eastAsia="Calibri"/>
          <w:spacing w:val="-2"/>
          <w:kern w:val="22"/>
          <w:sz w:val="22"/>
          <w:szCs w:val="22"/>
          <w:lang w:val="en-GB"/>
        </w:rPr>
        <w:t xml:space="preserve">Pluto suited their requirements better than </w:t>
      </w:r>
      <w:r w:rsidR="001D438F" w:rsidRPr="003226F9">
        <w:rPr>
          <w:rFonts w:eastAsia="Calibri"/>
          <w:spacing w:val="-2"/>
          <w:kern w:val="22"/>
          <w:sz w:val="22"/>
          <w:szCs w:val="22"/>
          <w:lang w:val="en-GB"/>
        </w:rPr>
        <w:t xml:space="preserve">the </w:t>
      </w:r>
      <w:r w:rsidRPr="003226F9">
        <w:rPr>
          <w:rFonts w:eastAsia="Calibri"/>
          <w:spacing w:val="-2"/>
          <w:kern w:val="22"/>
          <w:sz w:val="22"/>
          <w:szCs w:val="22"/>
          <w:lang w:val="en-GB"/>
        </w:rPr>
        <w:t>Supreme.</w:t>
      </w:r>
    </w:p>
    <w:p w14:paraId="1AAB643A" w14:textId="77777777" w:rsidR="00343DB5" w:rsidRPr="00DF75A6" w:rsidRDefault="00343DB5" w:rsidP="00343DB5">
      <w:pPr>
        <w:jc w:val="both"/>
        <w:rPr>
          <w:rFonts w:eastAsia="Calibri"/>
          <w:sz w:val="22"/>
          <w:szCs w:val="22"/>
          <w:lang w:val="en-GB"/>
        </w:rPr>
      </w:pPr>
    </w:p>
    <w:p w14:paraId="3C30D133" w14:textId="1B52E722" w:rsidR="00343DB5" w:rsidRPr="00DF75A6" w:rsidRDefault="00723A83" w:rsidP="00343DB5">
      <w:pPr>
        <w:jc w:val="both"/>
        <w:rPr>
          <w:rFonts w:eastAsia="Calibri"/>
          <w:sz w:val="22"/>
          <w:szCs w:val="22"/>
          <w:lang w:val="en-GB"/>
        </w:rPr>
      </w:pPr>
      <w:r>
        <w:rPr>
          <w:rFonts w:eastAsia="Calibri"/>
          <w:sz w:val="22"/>
          <w:szCs w:val="22"/>
          <w:lang w:val="en-GB"/>
        </w:rPr>
        <w:t>It was January of 2016 and</w:t>
      </w:r>
      <w:r w:rsidR="00582CA1">
        <w:rPr>
          <w:rFonts w:eastAsia="Calibri"/>
          <w:sz w:val="22"/>
          <w:szCs w:val="22"/>
          <w:lang w:val="en-GB"/>
        </w:rPr>
        <w:t>,</w:t>
      </w:r>
      <w:r>
        <w:rPr>
          <w:rFonts w:eastAsia="Calibri"/>
          <w:sz w:val="22"/>
          <w:szCs w:val="22"/>
          <w:lang w:val="en-GB"/>
        </w:rPr>
        <w:t xml:space="preserve"> </w:t>
      </w:r>
      <w:r w:rsidR="0091522C">
        <w:rPr>
          <w:rFonts w:eastAsia="Calibri"/>
          <w:sz w:val="22"/>
          <w:szCs w:val="22"/>
          <w:lang w:val="en-GB"/>
        </w:rPr>
        <w:t>w</w:t>
      </w:r>
      <w:r w:rsidR="00833946" w:rsidRPr="00DF75A6">
        <w:rPr>
          <w:rFonts w:eastAsia="Calibri"/>
          <w:sz w:val="22"/>
          <w:szCs w:val="22"/>
          <w:lang w:val="en-GB"/>
        </w:rPr>
        <w:t xml:space="preserve">orried about </w:t>
      </w:r>
      <w:r w:rsidR="006D4FDD" w:rsidRPr="00DF75A6">
        <w:rPr>
          <w:rFonts w:eastAsia="Calibri"/>
          <w:sz w:val="22"/>
          <w:szCs w:val="22"/>
          <w:lang w:val="en-GB"/>
        </w:rPr>
        <w:t xml:space="preserve">the </w:t>
      </w:r>
      <w:r w:rsidR="00833946" w:rsidRPr="00DF75A6">
        <w:rPr>
          <w:rFonts w:eastAsia="Calibri"/>
          <w:sz w:val="22"/>
          <w:szCs w:val="22"/>
          <w:lang w:val="en-GB"/>
        </w:rPr>
        <w:t xml:space="preserve">falling sales numbers, </w:t>
      </w:r>
      <w:proofErr w:type="spellStart"/>
      <w:r w:rsidR="00343DB5" w:rsidRPr="00DF75A6">
        <w:rPr>
          <w:rFonts w:eastAsia="Calibri"/>
          <w:sz w:val="22"/>
          <w:szCs w:val="22"/>
          <w:lang w:val="en-GB"/>
        </w:rPr>
        <w:t>Mehragan</w:t>
      </w:r>
      <w:proofErr w:type="spellEnd"/>
      <w:r w:rsidR="00343DB5" w:rsidRPr="00DF75A6">
        <w:rPr>
          <w:rFonts w:eastAsia="Calibri"/>
          <w:sz w:val="22"/>
          <w:szCs w:val="22"/>
          <w:lang w:val="en-GB"/>
        </w:rPr>
        <w:t xml:space="preserve"> called on his </w:t>
      </w:r>
      <w:r w:rsidR="00833946" w:rsidRPr="00DF75A6">
        <w:rPr>
          <w:rFonts w:eastAsia="Calibri"/>
          <w:sz w:val="22"/>
          <w:szCs w:val="22"/>
          <w:lang w:val="en-GB"/>
        </w:rPr>
        <w:t>marketing head</w:t>
      </w:r>
      <w:r w:rsidR="001D438F" w:rsidRPr="00DF75A6">
        <w:rPr>
          <w:rFonts w:eastAsia="Calibri"/>
          <w:sz w:val="22"/>
          <w:szCs w:val="22"/>
          <w:lang w:val="en-GB"/>
        </w:rPr>
        <w:t xml:space="preserve">, </w:t>
      </w:r>
      <w:proofErr w:type="spellStart"/>
      <w:r w:rsidR="00343DB5" w:rsidRPr="00DF75A6">
        <w:rPr>
          <w:rFonts w:eastAsia="Calibri"/>
          <w:sz w:val="22"/>
          <w:szCs w:val="22"/>
          <w:lang w:val="en-GB"/>
        </w:rPr>
        <w:t>Vijaay</w:t>
      </w:r>
      <w:proofErr w:type="spellEnd"/>
      <w:r w:rsidR="00343DB5" w:rsidRPr="00DF75A6">
        <w:rPr>
          <w:rFonts w:eastAsia="Calibri"/>
          <w:sz w:val="22"/>
          <w:szCs w:val="22"/>
          <w:lang w:val="en-GB"/>
        </w:rPr>
        <w:t xml:space="preserve"> Seth</w:t>
      </w:r>
      <w:r w:rsidR="009B5DE1" w:rsidRPr="00DF75A6">
        <w:rPr>
          <w:rFonts w:eastAsia="Calibri"/>
          <w:sz w:val="22"/>
          <w:szCs w:val="22"/>
          <w:lang w:val="en-GB"/>
        </w:rPr>
        <w:t>,</w:t>
      </w:r>
      <w:r w:rsidR="00343DB5" w:rsidRPr="00DF75A6">
        <w:rPr>
          <w:rFonts w:eastAsia="Calibri"/>
          <w:sz w:val="22"/>
          <w:szCs w:val="22"/>
          <w:lang w:val="en-GB"/>
        </w:rPr>
        <w:t xml:space="preserve"> to discuss the </w:t>
      </w:r>
      <w:proofErr w:type="spellStart"/>
      <w:r w:rsidR="00833946" w:rsidRPr="00DF75A6">
        <w:rPr>
          <w:rFonts w:eastAsia="Calibri"/>
          <w:sz w:val="22"/>
          <w:szCs w:val="22"/>
          <w:lang w:val="en-GB"/>
        </w:rPr>
        <w:t>Supreme’s</w:t>
      </w:r>
      <w:proofErr w:type="spellEnd"/>
      <w:r w:rsidR="00833946" w:rsidRPr="00DF75A6">
        <w:rPr>
          <w:rFonts w:eastAsia="Calibri"/>
          <w:sz w:val="22"/>
          <w:szCs w:val="22"/>
          <w:lang w:val="en-GB"/>
        </w:rPr>
        <w:t xml:space="preserve"> </w:t>
      </w:r>
      <w:r w:rsidR="00343DB5" w:rsidRPr="00DF75A6">
        <w:rPr>
          <w:rFonts w:eastAsia="Calibri"/>
          <w:sz w:val="22"/>
          <w:szCs w:val="22"/>
          <w:lang w:val="en-GB"/>
        </w:rPr>
        <w:t>declining share and how they could pave the way for the</w:t>
      </w:r>
      <w:r w:rsidR="001D438F" w:rsidRPr="00DF75A6">
        <w:rPr>
          <w:rFonts w:eastAsia="Calibri"/>
          <w:sz w:val="22"/>
          <w:szCs w:val="22"/>
          <w:lang w:val="en-GB"/>
        </w:rPr>
        <w:t xml:space="preserve"> </w:t>
      </w:r>
      <w:r w:rsidR="00833946" w:rsidRPr="00DF75A6">
        <w:rPr>
          <w:rFonts w:eastAsia="Calibri"/>
          <w:sz w:val="22"/>
          <w:szCs w:val="22"/>
          <w:lang w:val="en-GB"/>
        </w:rPr>
        <w:t xml:space="preserve">brand’s </w:t>
      </w:r>
      <w:r w:rsidR="00343DB5" w:rsidRPr="00DF75A6">
        <w:rPr>
          <w:rFonts w:eastAsia="Calibri"/>
          <w:sz w:val="22"/>
          <w:szCs w:val="22"/>
          <w:lang w:val="en-GB"/>
        </w:rPr>
        <w:t xml:space="preserve">future growth. The team had been speaking with stakeholders over the past month to </w:t>
      </w:r>
      <w:r w:rsidR="00833946" w:rsidRPr="00DF75A6">
        <w:rPr>
          <w:rFonts w:eastAsia="Calibri"/>
          <w:sz w:val="22"/>
          <w:szCs w:val="22"/>
          <w:lang w:val="en-GB"/>
        </w:rPr>
        <w:t>understand</w:t>
      </w:r>
      <w:r w:rsidR="00343DB5" w:rsidRPr="00DF75A6">
        <w:rPr>
          <w:rFonts w:eastAsia="Calibri"/>
          <w:sz w:val="22"/>
          <w:szCs w:val="22"/>
          <w:lang w:val="en-GB"/>
        </w:rPr>
        <w:t xml:space="preserve"> what was going wrong and </w:t>
      </w:r>
      <w:r w:rsidR="00582CA1">
        <w:rPr>
          <w:rFonts w:eastAsia="Calibri"/>
          <w:sz w:val="22"/>
          <w:szCs w:val="22"/>
          <w:lang w:val="en-GB"/>
        </w:rPr>
        <w:t xml:space="preserve">to consider </w:t>
      </w:r>
      <w:r w:rsidR="00343DB5" w:rsidRPr="00DF75A6">
        <w:rPr>
          <w:rFonts w:eastAsia="Calibri"/>
          <w:sz w:val="22"/>
          <w:szCs w:val="22"/>
          <w:lang w:val="en-GB"/>
        </w:rPr>
        <w:t xml:space="preserve">how they could turn around the pickup business. A primary analysis indicated that </w:t>
      </w:r>
      <w:r w:rsidR="00833946" w:rsidRPr="00DF75A6">
        <w:rPr>
          <w:rFonts w:eastAsia="Calibri"/>
          <w:sz w:val="22"/>
          <w:szCs w:val="22"/>
          <w:lang w:val="en-GB"/>
        </w:rPr>
        <w:t xml:space="preserve">the company did not see a desire for </w:t>
      </w:r>
      <w:r w:rsidR="00867438" w:rsidRPr="00DF75A6">
        <w:rPr>
          <w:rFonts w:eastAsia="Calibri"/>
          <w:sz w:val="22"/>
          <w:szCs w:val="22"/>
          <w:lang w:val="en-GB"/>
        </w:rPr>
        <w:t xml:space="preserve">the </w:t>
      </w:r>
      <w:r w:rsidR="00343DB5" w:rsidRPr="00DF75A6">
        <w:rPr>
          <w:rFonts w:eastAsia="Calibri"/>
          <w:sz w:val="22"/>
          <w:szCs w:val="22"/>
          <w:lang w:val="en-GB"/>
        </w:rPr>
        <w:t>Supreme</w:t>
      </w:r>
      <w:r w:rsidR="00833946" w:rsidRPr="00DF75A6">
        <w:rPr>
          <w:rFonts w:eastAsia="Calibri"/>
          <w:sz w:val="22"/>
          <w:szCs w:val="22"/>
          <w:lang w:val="en-GB"/>
        </w:rPr>
        <w:t xml:space="preserve">. The pickup </w:t>
      </w:r>
      <w:r w:rsidR="00343DB5" w:rsidRPr="00DF75A6">
        <w:rPr>
          <w:rFonts w:eastAsia="Calibri"/>
          <w:sz w:val="22"/>
          <w:szCs w:val="22"/>
          <w:lang w:val="en-GB"/>
        </w:rPr>
        <w:t xml:space="preserve">needed to be repositioned </w:t>
      </w:r>
      <w:r w:rsidR="00833946" w:rsidRPr="00DF75A6">
        <w:rPr>
          <w:rFonts w:eastAsia="Calibri"/>
          <w:sz w:val="22"/>
          <w:szCs w:val="22"/>
          <w:lang w:val="en-GB"/>
        </w:rPr>
        <w:t xml:space="preserve">immediately </w:t>
      </w:r>
      <w:r w:rsidR="00343DB5" w:rsidRPr="00DF75A6">
        <w:rPr>
          <w:rFonts w:eastAsia="Calibri"/>
          <w:sz w:val="22"/>
          <w:szCs w:val="22"/>
          <w:lang w:val="en-GB"/>
        </w:rPr>
        <w:t>so that it appealed to customers</w:t>
      </w:r>
      <w:r w:rsidR="00833946" w:rsidRPr="00DF75A6">
        <w:rPr>
          <w:rFonts w:eastAsia="Calibri"/>
          <w:sz w:val="22"/>
          <w:szCs w:val="22"/>
          <w:lang w:val="en-GB"/>
        </w:rPr>
        <w:t xml:space="preserve">; otherwise, </w:t>
      </w:r>
      <w:r w:rsidR="00343DB5" w:rsidRPr="00DF75A6">
        <w:rPr>
          <w:rFonts w:eastAsia="Calibri"/>
          <w:sz w:val="22"/>
          <w:szCs w:val="22"/>
          <w:lang w:val="en-GB"/>
        </w:rPr>
        <w:t>it</w:t>
      </w:r>
      <w:r w:rsidR="00833946" w:rsidRPr="00DF75A6">
        <w:rPr>
          <w:rFonts w:eastAsia="Calibri"/>
          <w:sz w:val="22"/>
          <w:szCs w:val="22"/>
          <w:lang w:val="en-GB"/>
        </w:rPr>
        <w:t>s</w:t>
      </w:r>
      <w:r w:rsidR="00343DB5" w:rsidRPr="00DF75A6">
        <w:rPr>
          <w:rFonts w:eastAsia="Calibri"/>
          <w:sz w:val="22"/>
          <w:szCs w:val="22"/>
          <w:lang w:val="en-GB"/>
        </w:rPr>
        <w:t xml:space="preserve"> </w:t>
      </w:r>
      <w:r w:rsidR="00833946" w:rsidRPr="00DF75A6">
        <w:rPr>
          <w:rFonts w:eastAsia="Calibri"/>
          <w:sz w:val="22"/>
          <w:szCs w:val="22"/>
          <w:lang w:val="en-GB"/>
        </w:rPr>
        <w:t xml:space="preserve">market share </w:t>
      </w:r>
      <w:r w:rsidR="00343DB5" w:rsidRPr="00DF75A6">
        <w:rPr>
          <w:rFonts w:eastAsia="Calibri"/>
          <w:sz w:val="22"/>
          <w:szCs w:val="22"/>
          <w:lang w:val="en-GB"/>
        </w:rPr>
        <w:t xml:space="preserve">would </w:t>
      </w:r>
      <w:r w:rsidR="00833946" w:rsidRPr="00DF75A6">
        <w:rPr>
          <w:rFonts w:eastAsia="Calibri"/>
          <w:sz w:val="22"/>
          <w:szCs w:val="22"/>
          <w:lang w:val="en-GB"/>
        </w:rPr>
        <w:t xml:space="preserve">erode even </w:t>
      </w:r>
      <w:r w:rsidR="00343DB5" w:rsidRPr="00DF75A6">
        <w:rPr>
          <w:rFonts w:eastAsia="Calibri"/>
          <w:sz w:val="22"/>
          <w:szCs w:val="22"/>
          <w:lang w:val="en-GB"/>
        </w:rPr>
        <w:t xml:space="preserve">further. </w:t>
      </w:r>
    </w:p>
    <w:p w14:paraId="37D659FC" w14:textId="77777777" w:rsidR="00343DB5" w:rsidRPr="00DF75A6" w:rsidRDefault="00343DB5" w:rsidP="00343DB5">
      <w:pPr>
        <w:jc w:val="both"/>
        <w:rPr>
          <w:rFonts w:eastAsia="Calibri"/>
          <w:sz w:val="22"/>
          <w:szCs w:val="22"/>
          <w:lang w:val="en-GB"/>
        </w:rPr>
      </w:pPr>
    </w:p>
    <w:p w14:paraId="3546E4D3" w14:textId="77777777" w:rsidR="00E819D3" w:rsidRPr="00DF75A6" w:rsidRDefault="00E819D3" w:rsidP="00343DB5">
      <w:pPr>
        <w:jc w:val="both"/>
        <w:rPr>
          <w:rFonts w:eastAsia="Calibri"/>
          <w:sz w:val="22"/>
          <w:szCs w:val="22"/>
          <w:lang w:val="en-GB"/>
        </w:rPr>
      </w:pPr>
    </w:p>
    <w:p w14:paraId="7BC5490B" w14:textId="77777777" w:rsidR="00343DB5" w:rsidRPr="00DF75A6" w:rsidRDefault="001D438F" w:rsidP="00CE5DD0">
      <w:pPr>
        <w:pStyle w:val="Casehead1"/>
        <w:outlineLvl w:val="0"/>
        <w:rPr>
          <w:rFonts w:eastAsia="Calibri"/>
          <w:lang w:val="en-GB"/>
        </w:rPr>
      </w:pPr>
      <w:r w:rsidRPr="00DF75A6">
        <w:rPr>
          <w:rFonts w:eastAsia="Calibri"/>
          <w:lang w:val="en-GB"/>
        </w:rPr>
        <w:t xml:space="preserve">THE </w:t>
      </w:r>
      <w:r w:rsidR="00E819D3" w:rsidRPr="00DF75A6">
        <w:rPr>
          <w:rFonts w:eastAsia="Calibri"/>
          <w:lang w:val="en-GB"/>
        </w:rPr>
        <w:t>Pickup market in India</w:t>
      </w:r>
    </w:p>
    <w:p w14:paraId="5A901565" w14:textId="77777777" w:rsidR="00E819D3" w:rsidRPr="00DF75A6" w:rsidRDefault="00E819D3" w:rsidP="00E819D3">
      <w:pPr>
        <w:pStyle w:val="BodyTextMain"/>
        <w:rPr>
          <w:rFonts w:eastAsia="Calibri"/>
          <w:lang w:val="en-GB"/>
        </w:rPr>
      </w:pPr>
    </w:p>
    <w:p w14:paraId="64919AD5" w14:textId="41514F19" w:rsidR="00343DB5" w:rsidRPr="00BD0EBB" w:rsidRDefault="00833946" w:rsidP="00343DB5">
      <w:pPr>
        <w:jc w:val="both"/>
        <w:rPr>
          <w:rFonts w:eastAsia="Calibri"/>
          <w:kern w:val="2"/>
          <w:sz w:val="22"/>
          <w:szCs w:val="22"/>
          <w:lang w:val="en-GB"/>
        </w:rPr>
      </w:pPr>
      <w:r w:rsidRPr="00BD0EBB">
        <w:rPr>
          <w:rFonts w:eastAsia="Calibri"/>
          <w:kern w:val="2"/>
          <w:sz w:val="22"/>
          <w:szCs w:val="22"/>
          <w:lang w:val="en-GB"/>
        </w:rPr>
        <w:t xml:space="preserve">A pickup was a light-duty truck with an enclosed cab and an open cargo area with low sides and tailgate. </w:t>
      </w:r>
      <w:r w:rsidR="00BA1033" w:rsidRPr="00BD0EBB">
        <w:rPr>
          <w:rFonts w:eastAsia="Calibri"/>
          <w:kern w:val="2"/>
          <w:sz w:val="22"/>
          <w:szCs w:val="22"/>
          <w:lang w:val="en-GB"/>
        </w:rPr>
        <w:t>Commercial vehicles we</w:t>
      </w:r>
      <w:r w:rsidR="00343DB5" w:rsidRPr="00BD0EBB">
        <w:rPr>
          <w:rFonts w:eastAsia="Calibri"/>
          <w:kern w:val="2"/>
          <w:sz w:val="22"/>
          <w:szCs w:val="22"/>
          <w:lang w:val="en-GB"/>
        </w:rPr>
        <w:t xml:space="preserve">re classified based on </w:t>
      </w:r>
      <w:r w:rsidR="001D438F" w:rsidRPr="00BD0EBB">
        <w:rPr>
          <w:rFonts w:eastAsia="Calibri"/>
          <w:kern w:val="2"/>
          <w:sz w:val="22"/>
          <w:szCs w:val="22"/>
          <w:lang w:val="en-GB"/>
        </w:rPr>
        <w:t xml:space="preserve">gross vehicle weight </w:t>
      </w:r>
      <w:r w:rsidR="00BA1033" w:rsidRPr="00BD0EBB">
        <w:rPr>
          <w:rFonts w:eastAsia="Calibri"/>
          <w:kern w:val="2"/>
          <w:sz w:val="22"/>
          <w:szCs w:val="22"/>
          <w:lang w:val="en-GB"/>
        </w:rPr>
        <w:t xml:space="preserve">(GVW). Pickup </w:t>
      </w:r>
      <w:r w:rsidR="001D438F" w:rsidRPr="00BD0EBB">
        <w:rPr>
          <w:rFonts w:eastAsia="Calibri"/>
          <w:kern w:val="2"/>
          <w:sz w:val="22"/>
          <w:szCs w:val="22"/>
          <w:lang w:val="en-GB"/>
        </w:rPr>
        <w:t>t</w:t>
      </w:r>
      <w:r w:rsidR="00BA1033" w:rsidRPr="00BD0EBB">
        <w:rPr>
          <w:rFonts w:eastAsia="Calibri"/>
          <w:kern w:val="2"/>
          <w:sz w:val="22"/>
          <w:szCs w:val="22"/>
          <w:lang w:val="en-GB"/>
        </w:rPr>
        <w:t>rucks</w:t>
      </w:r>
      <w:r w:rsidRPr="00BD0EBB">
        <w:rPr>
          <w:rFonts w:eastAsia="Calibri"/>
          <w:kern w:val="2"/>
          <w:sz w:val="22"/>
          <w:szCs w:val="22"/>
          <w:lang w:val="en-GB"/>
        </w:rPr>
        <w:t>,</w:t>
      </w:r>
      <w:r w:rsidR="00BA1033" w:rsidRPr="00BD0EBB">
        <w:rPr>
          <w:rFonts w:eastAsia="Calibri"/>
          <w:kern w:val="2"/>
          <w:sz w:val="22"/>
          <w:szCs w:val="22"/>
          <w:lang w:val="en-GB"/>
        </w:rPr>
        <w:t xml:space="preserve"> commercial vehicles with </w:t>
      </w:r>
      <w:r w:rsidRPr="00BD0EBB">
        <w:rPr>
          <w:rFonts w:eastAsia="Calibri"/>
          <w:kern w:val="2"/>
          <w:sz w:val="22"/>
          <w:szCs w:val="22"/>
          <w:lang w:val="en-GB"/>
        </w:rPr>
        <w:t xml:space="preserve">GVW of </w:t>
      </w:r>
      <w:r w:rsidR="00BA1033" w:rsidRPr="00BD0EBB">
        <w:rPr>
          <w:rFonts w:eastAsia="Calibri"/>
          <w:kern w:val="2"/>
          <w:sz w:val="22"/>
          <w:szCs w:val="22"/>
          <w:lang w:val="en-GB"/>
        </w:rPr>
        <w:t>2</w:t>
      </w:r>
      <w:r w:rsidRPr="00BD0EBB">
        <w:rPr>
          <w:rFonts w:eastAsia="Calibri"/>
          <w:kern w:val="2"/>
          <w:sz w:val="22"/>
          <w:szCs w:val="22"/>
          <w:lang w:val="en-GB"/>
        </w:rPr>
        <w:t>.0</w:t>
      </w:r>
      <w:r w:rsidR="001D438F" w:rsidRPr="00BD0EBB">
        <w:rPr>
          <w:rFonts w:eastAsia="Calibri"/>
          <w:kern w:val="2"/>
          <w:sz w:val="22"/>
          <w:szCs w:val="22"/>
          <w:lang w:val="en-GB"/>
        </w:rPr>
        <w:t>–</w:t>
      </w:r>
      <w:r w:rsidR="00BA1033" w:rsidRPr="00BD0EBB">
        <w:rPr>
          <w:rFonts w:eastAsia="Calibri"/>
          <w:kern w:val="2"/>
          <w:sz w:val="22"/>
          <w:szCs w:val="22"/>
          <w:lang w:val="en-GB"/>
        </w:rPr>
        <w:t>3.5 t</w:t>
      </w:r>
      <w:r w:rsidR="00343DB5" w:rsidRPr="00BD0EBB">
        <w:rPr>
          <w:rFonts w:eastAsia="Calibri"/>
          <w:kern w:val="2"/>
          <w:sz w:val="22"/>
          <w:szCs w:val="22"/>
          <w:lang w:val="en-GB"/>
        </w:rPr>
        <w:t>on</w:t>
      </w:r>
      <w:r w:rsidRPr="00BD0EBB">
        <w:rPr>
          <w:rFonts w:eastAsia="Calibri"/>
          <w:kern w:val="2"/>
          <w:sz w:val="22"/>
          <w:szCs w:val="22"/>
          <w:lang w:val="en-GB"/>
        </w:rPr>
        <w:t>s, were</w:t>
      </w:r>
      <w:r w:rsidR="00343DB5" w:rsidRPr="00BD0EBB">
        <w:rPr>
          <w:rFonts w:eastAsia="Calibri"/>
          <w:kern w:val="2"/>
          <w:sz w:val="22"/>
          <w:szCs w:val="22"/>
          <w:lang w:val="en-GB"/>
        </w:rPr>
        <w:t xml:space="preserve"> sandwiched between small commercial vehicle</w:t>
      </w:r>
      <w:r w:rsidR="00BA1033" w:rsidRPr="00BD0EBB">
        <w:rPr>
          <w:rFonts w:eastAsia="Calibri"/>
          <w:kern w:val="2"/>
          <w:sz w:val="22"/>
          <w:szCs w:val="22"/>
          <w:lang w:val="en-GB"/>
        </w:rPr>
        <w:t xml:space="preserve">s (SCV) with </w:t>
      </w:r>
      <w:r w:rsidRPr="00BD0EBB">
        <w:rPr>
          <w:rFonts w:eastAsia="Calibri"/>
          <w:kern w:val="2"/>
          <w:sz w:val="22"/>
          <w:szCs w:val="22"/>
          <w:lang w:val="en-GB"/>
        </w:rPr>
        <w:t xml:space="preserve">GVW of </w:t>
      </w:r>
      <w:r w:rsidR="00BA1033" w:rsidRPr="00BD0EBB">
        <w:rPr>
          <w:rFonts w:eastAsia="Calibri"/>
          <w:kern w:val="2"/>
          <w:sz w:val="22"/>
          <w:szCs w:val="22"/>
          <w:lang w:val="en-GB"/>
        </w:rPr>
        <w:t>&lt;</w:t>
      </w:r>
      <w:r w:rsidRPr="00BD0EBB">
        <w:rPr>
          <w:rFonts w:eastAsia="Calibri"/>
          <w:kern w:val="2"/>
          <w:sz w:val="22"/>
          <w:szCs w:val="22"/>
          <w:lang w:val="en-GB"/>
        </w:rPr>
        <w:t xml:space="preserve"> </w:t>
      </w:r>
      <w:r w:rsidR="00BA1033" w:rsidRPr="00BD0EBB">
        <w:rPr>
          <w:rFonts w:eastAsia="Calibri"/>
          <w:kern w:val="2"/>
          <w:sz w:val="22"/>
          <w:szCs w:val="22"/>
          <w:lang w:val="en-GB"/>
        </w:rPr>
        <w:t>2</w:t>
      </w:r>
      <w:r w:rsidRPr="00BD0EBB">
        <w:rPr>
          <w:rFonts w:eastAsia="Calibri"/>
          <w:kern w:val="2"/>
          <w:sz w:val="22"/>
          <w:szCs w:val="22"/>
          <w:lang w:val="en-GB"/>
        </w:rPr>
        <w:t>.0</w:t>
      </w:r>
      <w:r w:rsidR="00BA1033" w:rsidRPr="00BD0EBB">
        <w:rPr>
          <w:rFonts w:eastAsia="Calibri"/>
          <w:kern w:val="2"/>
          <w:sz w:val="22"/>
          <w:szCs w:val="22"/>
          <w:lang w:val="en-GB"/>
        </w:rPr>
        <w:t xml:space="preserve"> ton</w:t>
      </w:r>
      <w:r w:rsidRPr="00BD0EBB">
        <w:rPr>
          <w:rFonts w:eastAsia="Calibri"/>
          <w:kern w:val="2"/>
          <w:sz w:val="22"/>
          <w:szCs w:val="22"/>
          <w:lang w:val="en-GB"/>
        </w:rPr>
        <w:t xml:space="preserve">s, which were </w:t>
      </w:r>
      <w:r w:rsidR="00343DB5" w:rsidRPr="00BD0EBB">
        <w:rPr>
          <w:rFonts w:eastAsia="Calibri"/>
          <w:kern w:val="2"/>
          <w:sz w:val="22"/>
          <w:szCs w:val="22"/>
          <w:lang w:val="en-GB"/>
        </w:rPr>
        <w:t>price</w:t>
      </w:r>
      <w:r w:rsidRPr="00BD0EBB">
        <w:rPr>
          <w:rFonts w:eastAsia="Calibri"/>
          <w:kern w:val="2"/>
          <w:sz w:val="22"/>
          <w:szCs w:val="22"/>
          <w:lang w:val="en-GB"/>
        </w:rPr>
        <w:t xml:space="preserve">d at </w:t>
      </w:r>
      <w:r w:rsidR="00343DB5" w:rsidRPr="00BD0EBB">
        <w:rPr>
          <w:rFonts w:eastAsia="Calibri"/>
          <w:kern w:val="2"/>
          <w:sz w:val="22"/>
          <w:szCs w:val="22"/>
          <w:lang w:val="en-GB"/>
        </w:rPr>
        <w:t xml:space="preserve">less than </w:t>
      </w:r>
      <w:r w:rsidRPr="00BD0EBB">
        <w:rPr>
          <w:rFonts w:ascii="Arial" w:eastAsia="Calibri" w:hAnsi="Arial" w:cs="Arial"/>
          <w:kern w:val="2"/>
          <w:lang w:val="en-GB"/>
        </w:rPr>
        <w:t>₹</w:t>
      </w:r>
      <w:r w:rsidR="00F64DCA" w:rsidRPr="00BD0EBB">
        <w:rPr>
          <w:rFonts w:eastAsia="Calibri"/>
          <w:kern w:val="2"/>
          <w:sz w:val="22"/>
          <w:szCs w:val="22"/>
          <w:lang w:val="en-GB"/>
        </w:rPr>
        <w:t>500,000</w:t>
      </w:r>
      <w:r w:rsidRPr="00BD0EBB">
        <w:rPr>
          <w:rFonts w:eastAsia="Calibri"/>
          <w:kern w:val="2"/>
          <w:sz w:val="22"/>
          <w:szCs w:val="22"/>
          <w:lang w:val="en-GB"/>
        </w:rPr>
        <w:t>,</w:t>
      </w:r>
      <w:r w:rsidRPr="00BD0EBB">
        <w:rPr>
          <w:rStyle w:val="FootnoteReference"/>
          <w:rFonts w:eastAsia="Calibri"/>
          <w:kern w:val="2"/>
          <w:sz w:val="22"/>
          <w:szCs w:val="22"/>
          <w:lang w:val="en-GB"/>
        </w:rPr>
        <w:footnoteReference w:id="1"/>
      </w:r>
      <w:r w:rsidR="00343DB5" w:rsidRPr="00BD0EBB">
        <w:rPr>
          <w:rFonts w:eastAsia="Calibri"/>
          <w:kern w:val="2"/>
          <w:sz w:val="22"/>
          <w:szCs w:val="22"/>
          <w:lang w:val="en-GB"/>
        </w:rPr>
        <w:t xml:space="preserve"> and light commercial vehicles (LCV) with </w:t>
      </w:r>
      <w:r w:rsidRPr="00BD0EBB">
        <w:rPr>
          <w:rFonts w:eastAsia="Calibri"/>
          <w:kern w:val="2"/>
          <w:sz w:val="22"/>
          <w:szCs w:val="22"/>
          <w:lang w:val="en-GB"/>
        </w:rPr>
        <w:t xml:space="preserve">GVW of </w:t>
      </w:r>
      <w:r w:rsidR="00343DB5" w:rsidRPr="00BD0EBB">
        <w:rPr>
          <w:rFonts w:eastAsia="Calibri"/>
          <w:kern w:val="2"/>
          <w:sz w:val="22"/>
          <w:szCs w:val="22"/>
          <w:lang w:val="en-GB"/>
        </w:rPr>
        <w:t>&gt;</w:t>
      </w:r>
      <w:r w:rsidRPr="00BD0EBB">
        <w:rPr>
          <w:rFonts w:eastAsia="Calibri"/>
          <w:kern w:val="2"/>
          <w:sz w:val="22"/>
          <w:szCs w:val="22"/>
          <w:lang w:val="en-GB"/>
        </w:rPr>
        <w:t xml:space="preserve"> </w:t>
      </w:r>
      <w:r w:rsidR="00343DB5" w:rsidRPr="00BD0EBB">
        <w:rPr>
          <w:rFonts w:eastAsia="Calibri"/>
          <w:kern w:val="2"/>
          <w:sz w:val="22"/>
          <w:szCs w:val="22"/>
          <w:lang w:val="en-GB"/>
        </w:rPr>
        <w:t>3.5 ton</w:t>
      </w:r>
      <w:r w:rsidRPr="00BD0EBB">
        <w:rPr>
          <w:rFonts w:eastAsia="Calibri"/>
          <w:kern w:val="2"/>
          <w:sz w:val="22"/>
          <w:szCs w:val="22"/>
          <w:lang w:val="en-GB"/>
        </w:rPr>
        <w:t xml:space="preserve">s, which were </w:t>
      </w:r>
      <w:r w:rsidR="00343DB5" w:rsidRPr="00BD0EBB">
        <w:rPr>
          <w:rFonts w:eastAsia="Calibri"/>
          <w:kern w:val="2"/>
          <w:sz w:val="22"/>
          <w:szCs w:val="22"/>
          <w:lang w:val="en-GB"/>
        </w:rPr>
        <w:t>price</w:t>
      </w:r>
      <w:r w:rsidRPr="00BD0EBB">
        <w:rPr>
          <w:rFonts w:eastAsia="Calibri"/>
          <w:kern w:val="2"/>
          <w:sz w:val="22"/>
          <w:szCs w:val="22"/>
          <w:lang w:val="en-GB"/>
        </w:rPr>
        <w:t>d</w:t>
      </w:r>
      <w:r w:rsidR="00343DB5" w:rsidRPr="00BD0EBB">
        <w:rPr>
          <w:rFonts w:eastAsia="Calibri"/>
          <w:kern w:val="2"/>
          <w:sz w:val="22"/>
          <w:szCs w:val="22"/>
          <w:lang w:val="en-GB"/>
        </w:rPr>
        <w:t xml:space="preserve"> </w:t>
      </w:r>
      <w:r w:rsidRPr="00BD0EBB">
        <w:rPr>
          <w:rFonts w:eastAsia="Calibri"/>
          <w:kern w:val="2"/>
          <w:sz w:val="22"/>
          <w:szCs w:val="22"/>
          <w:lang w:val="en-GB"/>
        </w:rPr>
        <w:t xml:space="preserve">at </w:t>
      </w:r>
      <w:r w:rsidR="00343DB5" w:rsidRPr="00BD0EBB">
        <w:rPr>
          <w:rFonts w:eastAsia="Calibri"/>
          <w:kern w:val="2"/>
          <w:sz w:val="22"/>
          <w:szCs w:val="22"/>
          <w:lang w:val="en-GB"/>
        </w:rPr>
        <w:t xml:space="preserve">more than </w:t>
      </w:r>
      <w:r w:rsidRPr="00BD0EBB">
        <w:rPr>
          <w:rFonts w:ascii="Arial" w:eastAsia="Calibri" w:hAnsi="Arial" w:cs="Arial"/>
          <w:kern w:val="2"/>
          <w:lang w:val="en-GB"/>
        </w:rPr>
        <w:t>₹</w:t>
      </w:r>
      <w:r w:rsidR="00F64DCA" w:rsidRPr="00BD0EBB">
        <w:rPr>
          <w:rFonts w:eastAsia="Calibri"/>
          <w:kern w:val="2"/>
          <w:sz w:val="22"/>
          <w:szCs w:val="22"/>
          <w:lang w:val="en-GB"/>
        </w:rPr>
        <w:t>800,000</w:t>
      </w:r>
      <w:r w:rsidR="00BA1033" w:rsidRPr="00BD0EBB">
        <w:rPr>
          <w:rFonts w:eastAsia="Calibri"/>
          <w:kern w:val="2"/>
          <w:sz w:val="22"/>
          <w:szCs w:val="22"/>
          <w:lang w:val="en-GB"/>
        </w:rPr>
        <w:t>. Pickup</w:t>
      </w:r>
      <w:r w:rsidR="001D438F" w:rsidRPr="00BD0EBB">
        <w:rPr>
          <w:rFonts w:eastAsia="Calibri"/>
          <w:kern w:val="2"/>
          <w:sz w:val="22"/>
          <w:szCs w:val="22"/>
          <w:lang w:val="en-GB"/>
        </w:rPr>
        <w:t>s</w:t>
      </w:r>
      <w:r w:rsidR="00BA1033" w:rsidRPr="00BD0EBB">
        <w:rPr>
          <w:rFonts w:eastAsia="Calibri"/>
          <w:kern w:val="2"/>
          <w:sz w:val="22"/>
          <w:szCs w:val="22"/>
          <w:lang w:val="en-GB"/>
        </w:rPr>
        <w:t xml:space="preserve"> had</w:t>
      </w:r>
      <w:r w:rsidR="00343DB5" w:rsidRPr="00BD0EBB">
        <w:rPr>
          <w:rFonts w:eastAsia="Calibri"/>
          <w:kern w:val="2"/>
          <w:sz w:val="22"/>
          <w:szCs w:val="22"/>
          <w:lang w:val="en-GB"/>
        </w:rPr>
        <w:t xml:space="preserve"> a payload range of 1</w:t>
      </w:r>
      <w:r w:rsidR="006D4FDD" w:rsidRPr="00BD0EBB">
        <w:rPr>
          <w:rFonts w:eastAsia="Calibri"/>
          <w:kern w:val="2"/>
          <w:sz w:val="22"/>
          <w:szCs w:val="22"/>
          <w:lang w:val="en-GB"/>
        </w:rPr>
        <w:t>.0</w:t>
      </w:r>
      <w:r w:rsidR="001D438F" w:rsidRPr="00BD0EBB">
        <w:rPr>
          <w:rFonts w:eastAsia="Calibri"/>
          <w:kern w:val="2"/>
          <w:sz w:val="22"/>
          <w:szCs w:val="22"/>
          <w:lang w:val="en-GB"/>
        </w:rPr>
        <w:t>–</w:t>
      </w:r>
      <w:r w:rsidR="00343DB5" w:rsidRPr="00BD0EBB">
        <w:rPr>
          <w:rFonts w:eastAsia="Calibri"/>
          <w:kern w:val="2"/>
          <w:sz w:val="22"/>
          <w:szCs w:val="22"/>
          <w:lang w:val="en-GB"/>
        </w:rPr>
        <w:t>1.5</w:t>
      </w:r>
      <w:r w:rsidR="00BA1033" w:rsidRPr="00BD0EBB">
        <w:rPr>
          <w:rFonts w:eastAsia="Calibri"/>
          <w:kern w:val="2"/>
          <w:sz w:val="22"/>
          <w:szCs w:val="22"/>
          <w:lang w:val="en-GB"/>
        </w:rPr>
        <w:t xml:space="preserve"> </w:t>
      </w:r>
      <w:r w:rsidR="00343DB5" w:rsidRPr="00BD0EBB">
        <w:rPr>
          <w:rFonts w:eastAsia="Calibri"/>
          <w:kern w:val="2"/>
          <w:sz w:val="22"/>
          <w:szCs w:val="22"/>
          <w:lang w:val="en-GB"/>
        </w:rPr>
        <w:t>tons</w:t>
      </w:r>
      <w:r w:rsidR="001D438F" w:rsidRPr="00BD0EBB">
        <w:rPr>
          <w:rFonts w:eastAsia="Calibri"/>
          <w:kern w:val="2"/>
          <w:sz w:val="22"/>
          <w:szCs w:val="22"/>
          <w:lang w:val="en-GB"/>
        </w:rPr>
        <w:t>,</w:t>
      </w:r>
      <w:r w:rsidR="00343DB5" w:rsidRPr="00BD0EBB">
        <w:rPr>
          <w:rFonts w:eastAsia="Calibri"/>
          <w:kern w:val="2"/>
          <w:sz w:val="22"/>
          <w:szCs w:val="22"/>
          <w:lang w:val="en-GB"/>
        </w:rPr>
        <w:t xml:space="preserve"> but market applications in India overloaded the vehicle by another ton or more (see Exhibit 1). </w:t>
      </w:r>
    </w:p>
    <w:p w14:paraId="40EDC0BC" w14:textId="77777777" w:rsidR="00343DB5" w:rsidRPr="00DF75A6" w:rsidRDefault="00343DB5" w:rsidP="00BD0EBB">
      <w:pPr>
        <w:pStyle w:val="BodyTextMain"/>
        <w:rPr>
          <w:rFonts w:eastAsia="Calibri"/>
          <w:lang w:val="en-GB"/>
        </w:rPr>
      </w:pPr>
    </w:p>
    <w:p w14:paraId="7C07C096" w14:textId="364D704E" w:rsidR="00343DB5" w:rsidRPr="00C259D7" w:rsidRDefault="001D438F" w:rsidP="00343DB5">
      <w:pPr>
        <w:jc w:val="both"/>
        <w:rPr>
          <w:rFonts w:eastAsia="Calibri"/>
          <w:spacing w:val="-2"/>
          <w:kern w:val="22"/>
          <w:sz w:val="22"/>
          <w:szCs w:val="22"/>
          <w:lang w:val="en-GB"/>
        </w:rPr>
      </w:pPr>
      <w:r w:rsidRPr="00C259D7">
        <w:rPr>
          <w:color w:val="000000"/>
          <w:spacing w:val="-2"/>
          <w:kern w:val="22"/>
          <w:sz w:val="22"/>
          <w:szCs w:val="22"/>
          <w:lang w:val="en-GB"/>
        </w:rPr>
        <w:lastRenderedPageBreak/>
        <w:t>The p</w:t>
      </w:r>
      <w:r w:rsidR="00BA1033" w:rsidRPr="00C259D7">
        <w:rPr>
          <w:color w:val="000000"/>
          <w:spacing w:val="-2"/>
          <w:kern w:val="22"/>
          <w:sz w:val="22"/>
          <w:szCs w:val="22"/>
          <w:lang w:val="en-GB"/>
        </w:rPr>
        <w:t>ick</w:t>
      </w:r>
      <w:r w:rsidR="00343DB5" w:rsidRPr="00C259D7">
        <w:rPr>
          <w:color w:val="000000"/>
          <w:spacing w:val="-2"/>
          <w:kern w:val="22"/>
          <w:sz w:val="22"/>
          <w:szCs w:val="22"/>
          <w:lang w:val="en-GB"/>
        </w:rPr>
        <w:t xml:space="preserve">up truck segment was one of the largest and fastest growing </w:t>
      </w:r>
      <w:r w:rsidR="00735B1F" w:rsidRPr="00C259D7">
        <w:rPr>
          <w:color w:val="000000"/>
          <w:spacing w:val="-2"/>
          <w:kern w:val="22"/>
          <w:sz w:val="22"/>
          <w:szCs w:val="22"/>
          <w:lang w:val="en-GB"/>
        </w:rPr>
        <w:t xml:space="preserve">commercial vehicle </w:t>
      </w:r>
      <w:r w:rsidR="00343DB5" w:rsidRPr="00C259D7">
        <w:rPr>
          <w:color w:val="000000"/>
          <w:spacing w:val="-2"/>
          <w:kern w:val="22"/>
          <w:sz w:val="22"/>
          <w:szCs w:val="22"/>
          <w:lang w:val="en-GB"/>
        </w:rPr>
        <w:t>segments</w:t>
      </w:r>
      <w:r w:rsidR="00BA1033" w:rsidRPr="00C259D7">
        <w:rPr>
          <w:color w:val="000000"/>
          <w:spacing w:val="-2"/>
          <w:kern w:val="22"/>
          <w:sz w:val="22"/>
          <w:szCs w:val="22"/>
          <w:lang w:val="en-GB"/>
        </w:rPr>
        <w:t xml:space="preserve">, accounting </w:t>
      </w:r>
      <w:r w:rsidRPr="00C259D7">
        <w:rPr>
          <w:color w:val="000000"/>
          <w:spacing w:val="-2"/>
          <w:kern w:val="22"/>
          <w:sz w:val="22"/>
          <w:szCs w:val="22"/>
          <w:lang w:val="en-GB"/>
        </w:rPr>
        <w:t xml:space="preserve">for </w:t>
      </w:r>
      <w:r w:rsidR="00BA1033" w:rsidRPr="00C259D7">
        <w:rPr>
          <w:color w:val="000000"/>
          <w:spacing w:val="-2"/>
          <w:kern w:val="22"/>
          <w:sz w:val="22"/>
          <w:szCs w:val="22"/>
          <w:lang w:val="en-GB"/>
        </w:rPr>
        <w:t>35 per</w:t>
      </w:r>
      <w:r w:rsidR="00735B1F" w:rsidRPr="00C259D7">
        <w:rPr>
          <w:color w:val="000000"/>
          <w:spacing w:val="-2"/>
          <w:kern w:val="22"/>
          <w:sz w:val="22"/>
          <w:szCs w:val="22"/>
          <w:lang w:val="en-GB"/>
        </w:rPr>
        <w:t xml:space="preserve"> </w:t>
      </w:r>
      <w:r w:rsidR="00BA1033" w:rsidRPr="00C259D7">
        <w:rPr>
          <w:color w:val="000000"/>
          <w:spacing w:val="-2"/>
          <w:kern w:val="22"/>
          <w:sz w:val="22"/>
          <w:szCs w:val="22"/>
          <w:lang w:val="en-GB"/>
        </w:rPr>
        <w:t>cent</w:t>
      </w:r>
      <w:r w:rsidR="00343DB5" w:rsidRPr="00C259D7">
        <w:rPr>
          <w:color w:val="000000"/>
          <w:spacing w:val="-2"/>
          <w:kern w:val="22"/>
          <w:sz w:val="22"/>
          <w:szCs w:val="22"/>
          <w:lang w:val="en-GB"/>
        </w:rPr>
        <w:t xml:space="preserve"> of the total commercial vehicle market. </w:t>
      </w:r>
      <w:r w:rsidR="00343DB5" w:rsidRPr="00C259D7">
        <w:rPr>
          <w:rFonts w:eastAsia="Calibri"/>
          <w:spacing w:val="-2"/>
          <w:kern w:val="22"/>
          <w:sz w:val="22"/>
          <w:szCs w:val="22"/>
          <w:lang w:val="en-GB"/>
        </w:rPr>
        <w:t xml:space="preserve">The </w:t>
      </w:r>
      <w:r w:rsidR="00735B1F" w:rsidRPr="00C259D7">
        <w:rPr>
          <w:rFonts w:eastAsia="Calibri"/>
          <w:spacing w:val="-2"/>
          <w:kern w:val="22"/>
          <w:sz w:val="22"/>
          <w:szCs w:val="22"/>
          <w:lang w:val="en-GB"/>
        </w:rPr>
        <w:t>small and large</w:t>
      </w:r>
      <w:r w:rsidR="001779F2" w:rsidRPr="00C259D7">
        <w:rPr>
          <w:rFonts w:eastAsia="Calibri"/>
          <w:spacing w:val="-2"/>
          <w:kern w:val="22"/>
          <w:sz w:val="22"/>
          <w:szCs w:val="22"/>
          <w:lang w:val="en-GB"/>
        </w:rPr>
        <w:t xml:space="preserve"> </w:t>
      </w:r>
      <w:r w:rsidR="00343DB5" w:rsidRPr="00C259D7">
        <w:rPr>
          <w:rFonts w:eastAsia="Calibri"/>
          <w:spacing w:val="-2"/>
          <w:kern w:val="22"/>
          <w:sz w:val="22"/>
          <w:szCs w:val="22"/>
          <w:lang w:val="en-GB"/>
        </w:rPr>
        <w:t xml:space="preserve">pickup </w:t>
      </w:r>
      <w:r w:rsidR="00BA1033" w:rsidRPr="00C259D7">
        <w:rPr>
          <w:rFonts w:eastAsia="Calibri"/>
          <w:spacing w:val="-2"/>
          <w:kern w:val="22"/>
          <w:sz w:val="22"/>
          <w:szCs w:val="22"/>
          <w:lang w:val="en-GB"/>
        </w:rPr>
        <w:t xml:space="preserve">market </w:t>
      </w:r>
      <w:r w:rsidR="00343DB5" w:rsidRPr="00C259D7">
        <w:rPr>
          <w:rFonts w:eastAsia="Calibri"/>
          <w:spacing w:val="-2"/>
          <w:kern w:val="22"/>
          <w:sz w:val="22"/>
          <w:szCs w:val="22"/>
          <w:lang w:val="en-GB"/>
        </w:rPr>
        <w:t>was a duopoly</w:t>
      </w:r>
      <w:r w:rsidRPr="00C259D7">
        <w:rPr>
          <w:rFonts w:eastAsia="Calibri"/>
          <w:spacing w:val="-2"/>
          <w:kern w:val="22"/>
          <w:sz w:val="22"/>
          <w:szCs w:val="22"/>
          <w:lang w:val="en-GB"/>
        </w:rPr>
        <w:t>,</w:t>
      </w:r>
      <w:r w:rsidR="00343DB5" w:rsidRPr="00C259D7">
        <w:rPr>
          <w:rFonts w:eastAsia="Calibri"/>
          <w:spacing w:val="-2"/>
          <w:kern w:val="22"/>
          <w:sz w:val="22"/>
          <w:szCs w:val="22"/>
          <w:lang w:val="en-GB"/>
        </w:rPr>
        <w:t xml:space="preserve"> with </w:t>
      </w:r>
      <w:r w:rsidRPr="00C259D7">
        <w:rPr>
          <w:rFonts w:eastAsia="Calibri"/>
          <w:spacing w:val="-2"/>
          <w:kern w:val="22"/>
          <w:sz w:val="22"/>
          <w:szCs w:val="22"/>
          <w:lang w:val="en-GB"/>
        </w:rPr>
        <w:t xml:space="preserve">the </w:t>
      </w:r>
      <w:proofErr w:type="spellStart"/>
      <w:r w:rsidR="00343DB5" w:rsidRPr="00C259D7">
        <w:rPr>
          <w:rFonts w:eastAsia="Calibri"/>
          <w:spacing w:val="-2"/>
          <w:kern w:val="22"/>
          <w:sz w:val="22"/>
          <w:szCs w:val="22"/>
          <w:lang w:val="en-GB"/>
        </w:rPr>
        <w:t>Equis</w:t>
      </w:r>
      <w:proofErr w:type="spellEnd"/>
      <w:r w:rsidR="00343DB5" w:rsidRPr="00C259D7">
        <w:rPr>
          <w:rFonts w:eastAsia="Calibri"/>
          <w:spacing w:val="-2"/>
          <w:kern w:val="22"/>
          <w:sz w:val="22"/>
          <w:szCs w:val="22"/>
          <w:lang w:val="en-GB"/>
        </w:rPr>
        <w:t xml:space="preserve"> Pluto pickup leading the market shar</w:t>
      </w:r>
      <w:r w:rsidR="00BA1033" w:rsidRPr="00C259D7">
        <w:rPr>
          <w:rFonts w:eastAsia="Calibri"/>
          <w:spacing w:val="-2"/>
          <w:kern w:val="22"/>
          <w:sz w:val="22"/>
          <w:szCs w:val="22"/>
          <w:lang w:val="en-GB"/>
        </w:rPr>
        <w:t>e</w:t>
      </w:r>
      <w:r w:rsidR="003D416E" w:rsidRPr="00C259D7">
        <w:rPr>
          <w:rFonts w:eastAsia="Calibri"/>
          <w:spacing w:val="-2"/>
          <w:kern w:val="22"/>
          <w:sz w:val="22"/>
          <w:szCs w:val="22"/>
          <w:lang w:val="en-GB"/>
        </w:rPr>
        <w:t xml:space="preserve">, and it had been </w:t>
      </w:r>
      <w:r w:rsidR="00BA1033" w:rsidRPr="00C259D7">
        <w:rPr>
          <w:rFonts w:eastAsia="Calibri"/>
          <w:spacing w:val="-2"/>
          <w:kern w:val="22"/>
          <w:sz w:val="22"/>
          <w:szCs w:val="22"/>
          <w:lang w:val="en-GB"/>
        </w:rPr>
        <w:t xml:space="preserve">growing at </w:t>
      </w:r>
      <w:r w:rsidR="003D416E" w:rsidRPr="00C259D7">
        <w:rPr>
          <w:rFonts w:eastAsia="Calibri"/>
          <w:spacing w:val="-2"/>
          <w:kern w:val="22"/>
          <w:sz w:val="22"/>
          <w:szCs w:val="22"/>
          <w:lang w:val="en-GB"/>
        </w:rPr>
        <w:t>a CAGR of 13 </w:t>
      </w:r>
      <w:r w:rsidR="00BA1033" w:rsidRPr="00C259D7">
        <w:rPr>
          <w:rFonts w:eastAsia="Calibri"/>
          <w:spacing w:val="-2"/>
          <w:kern w:val="22"/>
          <w:sz w:val="22"/>
          <w:szCs w:val="22"/>
          <w:lang w:val="en-GB"/>
        </w:rPr>
        <w:t>per</w:t>
      </w:r>
      <w:r w:rsidR="00735B1F" w:rsidRPr="00C259D7">
        <w:rPr>
          <w:rFonts w:eastAsia="Calibri"/>
          <w:spacing w:val="-2"/>
          <w:kern w:val="22"/>
          <w:sz w:val="22"/>
          <w:szCs w:val="22"/>
          <w:lang w:val="en-GB"/>
        </w:rPr>
        <w:t xml:space="preserve"> </w:t>
      </w:r>
      <w:r w:rsidR="00BA1033" w:rsidRPr="00C259D7">
        <w:rPr>
          <w:rFonts w:eastAsia="Calibri"/>
          <w:spacing w:val="-2"/>
          <w:kern w:val="22"/>
          <w:sz w:val="22"/>
          <w:szCs w:val="22"/>
          <w:lang w:val="en-GB"/>
        </w:rPr>
        <w:t>cent year over year</w:t>
      </w:r>
      <w:r w:rsidR="00343DB5" w:rsidRPr="00C259D7">
        <w:rPr>
          <w:rFonts w:eastAsia="Calibri"/>
          <w:spacing w:val="-2"/>
          <w:kern w:val="22"/>
          <w:sz w:val="22"/>
          <w:szCs w:val="22"/>
          <w:lang w:val="en-GB"/>
        </w:rPr>
        <w:t xml:space="preserve"> </w:t>
      </w:r>
      <w:r w:rsidR="003D416E" w:rsidRPr="00C259D7">
        <w:rPr>
          <w:rFonts w:eastAsia="Calibri"/>
          <w:spacing w:val="-2"/>
          <w:kern w:val="22"/>
          <w:sz w:val="22"/>
          <w:szCs w:val="22"/>
          <w:lang w:val="en-GB"/>
        </w:rPr>
        <w:t>between</w:t>
      </w:r>
      <w:r w:rsidR="00343DB5" w:rsidRPr="00C259D7">
        <w:rPr>
          <w:rFonts w:eastAsia="Calibri"/>
          <w:spacing w:val="-2"/>
          <w:kern w:val="22"/>
          <w:sz w:val="22"/>
          <w:szCs w:val="22"/>
          <w:lang w:val="en-GB"/>
        </w:rPr>
        <w:t xml:space="preserve"> 2008</w:t>
      </w:r>
      <w:r w:rsidR="003D416E" w:rsidRPr="00C259D7">
        <w:rPr>
          <w:rFonts w:eastAsia="Calibri"/>
          <w:spacing w:val="-2"/>
          <w:kern w:val="22"/>
          <w:sz w:val="22"/>
          <w:szCs w:val="22"/>
          <w:lang w:val="en-GB"/>
        </w:rPr>
        <w:t xml:space="preserve"> and </w:t>
      </w:r>
      <w:r w:rsidR="00735B1F" w:rsidRPr="00C259D7">
        <w:rPr>
          <w:rFonts w:eastAsia="Calibri"/>
          <w:spacing w:val="-2"/>
          <w:kern w:val="22"/>
          <w:sz w:val="22"/>
          <w:szCs w:val="22"/>
          <w:lang w:val="en-GB"/>
        </w:rPr>
        <w:t>20</w:t>
      </w:r>
      <w:r w:rsidR="00343DB5" w:rsidRPr="00C259D7">
        <w:rPr>
          <w:rFonts w:eastAsia="Calibri"/>
          <w:spacing w:val="-2"/>
          <w:kern w:val="22"/>
          <w:sz w:val="22"/>
          <w:szCs w:val="22"/>
          <w:lang w:val="en-GB"/>
        </w:rPr>
        <w:t xml:space="preserve">16. </w:t>
      </w:r>
      <w:r w:rsidRPr="00C259D7">
        <w:rPr>
          <w:rFonts w:eastAsia="Calibri"/>
          <w:spacing w:val="-2"/>
          <w:kern w:val="22"/>
          <w:sz w:val="22"/>
          <w:szCs w:val="22"/>
          <w:lang w:val="en-GB"/>
        </w:rPr>
        <w:t>Th</w:t>
      </w:r>
      <w:r w:rsidR="00867438" w:rsidRPr="00C259D7">
        <w:rPr>
          <w:rFonts w:eastAsia="Calibri"/>
          <w:spacing w:val="-2"/>
          <w:kern w:val="22"/>
          <w:sz w:val="22"/>
          <w:szCs w:val="22"/>
          <w:lang w:val="en-GB"/>
        </w:rPr>
        <w:t>e</w:t>
      </w:r>
      <w:r w:rsidRPr="00C259D7">
        <w:rPr>
          <w:rFonts w:eastAsia="Calibri"/>
          <w:spacing w:val="-2"/>
          <w:kern w:val="22"/>
          <w:sz w:val="22"/>
          <w:szCs w:val="22"/>
          <w:lang w:val="en-GB"/>
        </w:rPr>
        <w:t xml:space="preserve"> p</w:t>
      </w:r>
      <w:r w:rsidR="00343DB5" w:rsidRPr="00C259D7">
        <w:rPr>
          <w:rFonts w:eastAsia="Calibri"/>
          <w:spacing w:val="-2"/>
          <w:kern w:val="22"/>
          <w:sz w:val="22"/>
          <w:szCs w:val="22"/>
          <w:lang w:val="en-GB"/>
        </w:rPr>
        <w:t xml:space="preserve">ickup market had a </w:t>
      </w:r>
      <w:r w:rsidR="00BA1033" w:rsidRPr="00C259D7">
        <w:rPr>
          <w:rFonts w:eastAsia="Calibri"/>
          <w:spacing w:val="-2"/>
          <w:kern w:val="22"/>
          <w:sz w:val="22"/>
          <w:szCs w:val="22"/>
          <w:lang w:val="en-GB"/>
        </w:rPr>
        <w:t>total industry volume of approximately 180,000</w:t>
      </w:r>
      <w:r w:rsidR="00343DB5" w:rsidRPr="00C259D7">
        <w:rPr>
          <w:rFonts w:eastAsia="Calibri"/>
          <w:spacing w:val="-2"/>
          <w:kern w:val="22"/>
          <w:sz w:val="22"/>
          <w:szCs w:val="22"/>
          <w:lang w:val="en-GB"/>
        </w:rPr>
        <w:t xml:space="preserve"> units</w:t>
      </w:r>
      <w:r w:rsidR="003D416E" w:rsidRPr="00C259D7">
        <w:rPr>
          <w:rFonts w:eastAsia="Calibri"/>
          <w:spacing w:val="-2"/>
          <w:kern w:val="22"/>
          <w:sz w:val="22"/>
          <w:szCs w:val="22"/>
          <w:lang w:val="en-GB"/>
        </w:rPr>
        <w:t>,</w:t>
      </w:r>
      <w:r w:rsidR="00343DB5" w:rsidRPr="00C259D7">
        <w:rPr>
          <w:rFonts w:eastAsia="Calibri"/>
          <w:spacing w:val="-2"/>
          <w:kern w:val="22"/>
          <w:sz w:val="22"/>
          <w:szCs w:val="22"/>
          <w:lang w:val="en-GB"/>
        </w:rPr>
        <w:t xml:space="preserve"> overt</w:t>
      </w:r>
      <w:r w:rsidR="003D416E" w:rsidRPr="00C259D7">
        <w:rPr>
          <w:rFonts w:eastAsia="Calibri"/>
          <w:spacing w:val="-2"/>
          <w:kern w:val="22"/>
          <w:sz w:val="22"/>
          <w:szCs w:val="22"/>
          <w:lang w:val="en-GB"/>
        </w:rPr>
        <w:t>aking</w:t>
      </w:r>
      <w:r w:rsidR="00BA1033" w:rsidRPr="00C259D7">
        <w:rPr>
          <w:rFonts w:eastAsia="Calibri"/>
          <w:spacing w:val="-2"/>
          <w:kern w:val="22"/>
          <w:sz w:val="22"/>
          <w:szCs w:val="22"/>
          <w:lang w:val="en-GB"/>
        </w:rPr>
        <w:t xml:space="preserve"> </w:t>
      </w:r>
      <w:r w:rsidR="00343DB5" w:rsidRPr="00C259D7">
        <w:rPr>
          <w:rFonts w:eastAsia="Calibri"/>
          <w:spacing w:val="-2"/>
          <w:kern w:val="22"/>
          <w:sz w:val="22"/>
          <w:szCs w:val="22"/>
          <w:lang w:val="en-GB"/>
        </w:rPr>
        <w:t>SCV</w:t>
      </w:r>
      <w:r w:rsidR="003D416E" w:rsidRPr="00C259D7">
        <w:rPr>
          <w:rFonts w:eastAsia="Calibri"/>
          <w:spacing w:val="-2"/>
          <w:kern w:val="22"/>
          <w:sz w:val="22"/>
          <w:szCs w:val="22"/>
          <w:lang w:val="en-GB"/>
        </w:rPr>
        <w:t>s</w:t>
      </w:r>
      <w:r w:rsidRPr="00C259D7">
        <w:rPr>
          <w:rFonts w:eastAsia="Calibri"/>
          <w:spacing w:val="-2"/>
          <w:kern w:val="22"/>
          <w:sz w:val="22"/>
          <w:szCs w:val="22"/>
          <w:lang w:val="en-GB"/>
        </w:rPr>
        <w:t>,</w:t>
      </w:r>
      <w:r w:rsidR="00BA1033" w:rsidRPr="00C259D7">
        <w:rPr>
          <w:rFonts w:eastAsia="Calibri"/>
          <w:spacing w:val="-2"/>
          <w:kern w:val="22"/>
          <w:sz w:val="22"/>
          <w:szCs w:val="22"/>
          <w:lang w:val="en-GB"/>
        </w:rPr>
        <w:t xml:space="preserve"> </w:t>
      </w:r>
      <w:r w:rsidR="003D416E" w:rsidRPr="00C259D7">
        <w:rPr>
          <w:rFonts w:eastAsia="Calibri"/>
          <w:spacing w:val="-2"/>
          <w:kern w:val="22"/>
          <w:sz w:val="22"/>
          <w:szCs w:val="22"/>
          <w:lang w:val="en-GB"/>
        </w:rPr>
        <w:t xml:space="preserve">which had </w:t>
      </w:r>
      <w:r w:rsidR="00867438" w:rsidRPr="00C259D7">
        <w:rPr>
          <w:rFonts w:eastAsia="Calibri"/>
          <w:spacing w:val="-2"/>
          <w:kern w:val="22"/>
          <w:sz w:val="22"/>
          <w:szCs w:val="22"/>
          <w:lang w:val="en-GB"/>
        </w:rPr>
        <w:t xml:space="preserve">a </w:t>
      </w:r>
      <w:r w:rsidR="00BA1033" w:rsidRPr="00C259D7">
        <w:rPr>
          <w:rFonts w:eastAsia="Calibri"/>
          <w:spacing w:val="-2"/>
          <w:kern w:val="22"/>
          <w:sz w:val="22"/>
          <w:szCs w:val="22"/>
          <w:lang w:val="en-GB"/>
        </w:rPr>
        <w:t>total industry volume of approximately 167,000</w:t>
      </w:r>
      <w:r w:rsidR="00343DB5" w:rsidRPr="00C259D7">
        <w:rPr>
          <w:rFonts w:eastAsia="Calibri"/>
          <w:spacing w:val="-2"/>
          <w:kern w:val="22"/>
          <w:sz w:val="22"/>
          <w:szCs w:val="22"/>
          <w:lang w:val="en-GB"/>
        </w:rPr>
        <w:t xml:space="preserve"> units in FY</w:t>
      </w:r>
      <w:r w:rsidR="00BA1033" w:rsidRPr="00C259D7">
        <w:rPr>
          <w:rFonts w:eastAsia="Calibri"/>
          <w:spacing w:val="-2"/>
          <w:kern w:val="22"/>
          <w:sz w:val="22"/>
          <w:szCs w:val="22"/>
          <w:lang w:val="en-GB"/>
        </w:rPr>
        <w:t>2015</w:t>
      </w:r>
      <w:r w:rsidR="00C32B8D" w:rsidRPr="00C259D7">
        <w:rPr>
          <w:rFonts w:eastAsia="Calibri"/>
          <w:spacing w:val="-2"/>
          <w:kern w:val="22"/>
          <w:sz w:val="22"/>
          <w:szCs w:val="22"/>
          <w:lang w:val="en-GB"/>
        </w:rPr>
        <w:t>–16</w:t>
      </w:r>
      <w:r w:rsidR="00582CA1" w:rsidRPr="00C259D7">
        <w:rPr>
          <w:rFonts w:eastAsia="Calibri"/>
          <w:spacing w:val="-2"/>
          <w:kern w:val="22"/>
          <w:sz w:val="22"/>
          <w:szCs w:val="22"/>
          <w:lang w:val="en-GB"/>
        </w:rPr>
        <w:t>.</w:t>
      </w:r>
      <w:r w:rsidR="0000534A" w:rsidRPr="00C259D7">
        <w:rPr>
          <w:rStyle w:val="FootnoteReference"/>
          <w:rFonts w:eastAsia="Calibri"/>
          <w:spacing w:val="-2"/>
          <w:kern w:val="22"/>
          <w:sz w:val="22"/>
          <w:szCs w:val="22"/>
          <w:lang w:val="en-GB"/>
        </w:rPr>
        <w:footnoteReference w:id="2"/>
      </w:r>
      <w:r w:rsidR="00BA1033" w:rsidRPr="00C259D7">
        <w:rPr>
          <w:rFonts w:eastAsia="Calibri"/>
          <w:spacing w:val="-2"/>
          <w:kern w:val="22"/>
          <w:sz w:val="22"/>
          <w:szCs w:val="22"/>
          <w:lang w:val="en-GB"/>
        </w:rPr>
        <w:t xml:space="preserve"> SCVs</w:t>
      </w:r>
      <w:r w:rsidR="003D416E" w:rsidRPr="00C259D7">
        <w:rPr>
          <w:rFonts w:eastAsia="Calibri"/>
          <w:spacing w:val="-2"/>
          <w:kern w:val="22"/>
          <w:sz w:val="22"/>
          <w:szCs w:val="22"/>
          <w:lang w:val="en-GB"/>
        </w:rPr>
        <w:t xml:space="preserve">, </w:t>
      </w:r>
      <w:r w:rsidR="00BA1033" w:rsidRPr="00C259D7">
        <w:rPr>
          <w:rFonts w:eastAsia="Calibri"/>
          <w:spacing w:val="-2"/>
          <w:kern w:val="22"/>
          <w:sz w:val="22"/>
          <w:szCs w:val="22"/>
          <w:lang w:val="en-GB"/>
        </w:rPr>
        <w:t xml:space="preserve">also called </w:t>
      </w:r>
      <w:r w:rsidR="00343DB5" w:rsidRPr="00C259D7">
        <w:rPr>
          <w:rFonts w:eastAsia="Calibri"/>
          <w:spacing w:val="-2"/>
          <w:kern w:val="22"/>
          <w:sz w:val="22"/>
          <w:szCs w:val="22"/>
          <w:lang w:val="en-GB"/>
        </w:rPr>
        <w:t>mini</w:t>
      </w:r>
      <w:r w:rsidR="00867438" w:rsidRPr="00C259D7">
        <w:rPr>
          <w:rFonts w:eastAsia="Calibri"/>
          <w:spacing w:val="-2"/>
          <w:kern w:val="22"/>
          <w:sz w:val="22"/>
          <w:szCs w:val="22"/>
          <w:lang w:val="en-GB"/>
        </w:rPr>
        <w:t>-</w:t>
      </w:r>
      <w:r w:rsidR="00343DB5" w:rsidRPr="00C259D7">
        <w:rPr>
          <w:rFonts w:eastAsia="Calibri"/>
          <w:spacing w:val="-2"/>
          <w:kern w:val="22"/>
          <w:sz w:val="22"/>
          <w:szCs w:val="22"/>
          <w:lang w:val="en-GB"/>
        </w:rPr>
        <w:t>trucks</w:t>
      </w:r>
      <w:r w:rsidR="003D416E" w:rsidRPr="00C259D7">
        <w:rPr>
          <w:rFonts w:eastAsia="Calibri"/>
          <w:spacing w:val="-2"/>
          <w:kern w:val="22"/>
          <w:sz w:val="22"/>
          <w:szCs w:val="22"/>
          <w:lang w:val="en-GB"/>
        </w:rPr>
        <w:t xml:space="preserve">, </w:t>
      </w:r>
      <w:r w:rsidR="00343DB5" w:rsidRPr="00C259D7">
        <w:rPr>
          <w:rFonts w:eastAsia="Calibri"/>
          <w:spacing w:val="-2"/>
          <w:kern w:val="22"/>
          <w:sz w:val="22"/>
          <w:szCs w:val="22"/>
          <w:lang w:val="en-GB"/>
        </w:rPr>
        <w:t>were used for last mile connectivity</w:t>
      </w:r>
      <w:r w:rsidRPr="00C259D7">
        <w:rPr>
          <w:rFonts w:eastAsia="Calibri"/>
          <w:spacing w:val="-2"/>
          <w:kern w:val="22"/>
          <w:sz w:val="22"/>
          <w:szCs w:val="22"/>
          <w:lang w:val="en-GB"/>
        </w:rPr>
        <w:t>,</w:t>
      </w:r>
      <w:r w:rsidR="00343DB5" w:rsidRPr="00C259D7">
        <w:rPr>
          <w:rFonts w:eastAsia="Calibri"/>
          <w:spacing w:val="-2"/>
          <w:kern w:val="22"/>
          <w:sz w:val="22"/>
          <w:szCs w:val="22"/>
          <w:lang w:val="en-GB"/>
        </w:rPr>
        <w:t xml:space="preserve"> and their buyers were upgrading</w:t>
      </w:r>
      <w:r w:rsidR="00582CA1" w:rsidRPr="00C259D7">
        <w:rPr>
          <w:rFonts w:eastAsia="Calibri"/>
          <w:spacing w:val="-2"/>
          <w:kern w:val="22"/>
          <w:sz w:val="22"/>
          <w:szCs w:val="22"/>
          <w:lang w:val="en-GB"/>
        </w:rPr>
        <w:t xml:space="preserve"> </w:t>
      </w:r>
      <w:r w:rsidR="00343DB5" w:rsidRPr="00C259D7">
        <w:rPr>
          <w:rFonts w:eastAsia="Calibri"/>
          <w:spacing w:val="-2"/>
          <w:kern w:val="22"/>
          <w:sz w:val="22"/>
          <w:szCs w:val="22"/>
          <w:lang w:val="en-GB"/>
        </w:rPr>
        <w:t xml:space="preserve">to </w:t>
      </w:r>
      <w:r w:rsidR="00582CA1" w:rsidRPr="00C259D7">
        <w:rPr>
          <w:rFonts w:eastAsia="Calibri"/>
          <w:spacing w:val="-2"/>
          <w:kern w:val="22"/>
          <w:sz w:val="22"/>
          <w:szCs w:val="22"/>
          <w:lang w:val="en-GB"/>
        </w:rPr>
        <w:t xml:space="preserve">pickups that were </w:t>
      </w:r>
      <w:r w:rsidR="00343DB5" w:rsidRPr="00C259D7">
        <w:rPr>
          <w:rFonts w:eastAsia="Calibri"/>
          <w:spacing w:val="-2"/>
          <w:kern w:val="22"/>
          <w:sz w:val="22"/>
          <w:szCs w:val="22"/>
          <w:lang w:val="en-GB"/>
        </w:rPr>
        <w:t>more powerful</w:t>
      </w:r>
      <w:r w:rsidR="00582CA1" w:rsidRPr="00C259D7">
        <w:rPr>
          <w:rFonts w:eastAsia="Calibri"/>
          <w:spacing w:val="-2"/>
          <w:kern w:val="22"/>
          <w:sz w:val="22"/>
          <w:szCs w:val="22"/>
          <w:lang w:val="en-GB"/>
        </w:rPr>
        <w:t>,</w:t>
      </w:r>
      <w:r w:rsidR="00343DB5" w:rsidRPr="00C259D7">
        <w:rPr>
          <w:rFonts w:eastAsia="Calibri"/>
          <w:spacing w:val="-2"/>
          <w:kern w:val="22"/>
          <w:sz w:val="22"/>
          <w:szCs w:val="22"/>
          <w:lang w:val="en-GB"/>
        </w:rPr>
        <w:t xml:space="preserve"> steadily replac</w:t>
      </w:r>
      <w:r w:rsidRPr="00C259D7">
        <w:rPr>
          <w:rFonts w:eastAsia="Calibri"/>
          <w:spacing w:val="-2"/>
          <w:kern w:val="22"/>
          <w:sz w:val="22"/>
          <w:szCs w:val="22"/>
          <w:lang w:val="en-GB"/>
        </w:rPr>
        <w:t>ing</w:t>
      </w:r>
      <w:r w:rsidR="00343DB5" w:rsidRPr="00C259D7">
        <w:rPr>
          <w:rFonts w:eastAsia="Calibri"/>
          <w:spacing w:val="-2"/>
          <w:kern w:val="22"/>
          <w:sz w:val="22"/>
          <w:szCs w:val="22"/>
          <w:lang w:val="en-GB"/>
        </w:rPr>
        <w:t xml:space="preserve"> the once popular low-tonnage mini</w:t>
      </w:r>
      <w:r w:rsidR="00867438" w:rsidRPr="00C259D7">
        <w:rPr>
          <w:rFonts w:eastAsia="Calibri"/>
          <w:spacing w:val="-2"/>
          <w:kern w:val="22"/>
          <w:sz w:val="22"/>
          <w:szCs w:val="22"/>
          <w:lang w:val="en-GB"/>
        </w:rPr>
        <w:t>-</w:t>
      </w:r>
      <w:r w:rsidR="00343DB5" w:rsidRPr="00C259D7">
        <w:rPr>
          <w:rFonts w:eastAsia="Calibri"/>
          <w:spacing w:val="-2"/>
          <w:kern w:val="22"/>
          <w:sz w:val="22"/>
          <w:szCs w:val="22"/>
          <w:lang w:val="en-GB"/>
        </w:rPr>
        <w:t xml:space="preserve">trucks with premium versions. </w:t>
      </w:r>
      <w:r w:rsidR="003D416E" w:rsidRPr="00C259D7">
        <w:rPr>
          <w:rFonts w:eastAsia="Calibri"/>
          <w:spacing w:val="-2"/>
          <w:kern w:val="22"/>
          <w:sz w:val="22"/>
          <w:szCs w:val="22"/>
          <w:lang w:val="en-GB"/>
        </w:rPr>
        <w:t xml:space="preserve">Industry experts expected the </w:t>
      </w:r>
      <w:r w:rsidR="00343DB5" w:rsidRPr="00C259D7">
        <w:rPr>
          <w:rFonts w:eastAsia="Calibri"/>
          <w:spacing w:val="-2"/>
          <w:kern w:val="22"/>
          <w:sz w:val="22"/>
          <w:szCs w:val="22"/>
          <w:lang w:val="en-GB"/>
        </w:rPr>
        <w:t xml:space="preserve">pickup market to </w:t>
      </w:r>
      <w:r w:rsidR="003D416E" w:rsidRPr="00C259D7">
        <w:rPr>
          <w:rFonts w:eastAsia="Calibri"/>
          <w:spacing w:val="-2"/>
          <w:kern w:val="22"/>
          <w:sz w:val="22"/>
          <w:szCs w:val="22"/>
          <w:lang w:val="en-GB"/>
        </w:rPr>
        <w:t xml:space="preserve">have a fourfold increase </w:t>
      </w:r>
      <w:r w:rsidR="00343DB5" w:rsidRPr="00C259D7">
        <w:rPr>
          <w:rFonts w:eastAsia="Calibri"/>
          <w:spacing w:val="-2"/>
          <w:kern w:val="22"/>
          <w:sz w:val="22"/>
          <w:szCs w:val="22"/>
          <w:lang w:val="en-GB"/>
        </w:rPr>
        <w:t>by FY2022</w:t>
      </w:r>
      <w:r w:rsidRPr="00C259D7">
        <w:rPr>
          <w:rFonts w:eastAsia="Calibri"/>
          <w:spacing w:val="-2"/>
          <w:kern w:val="22"/>
          <w:sz w:val="22"/>
          <w:szCs w:val="22"/>
          <w:lang w:val="en-GB"/>
        </w:rPr>
        <w:t>–</w:t>
      </w:r>
      <w:r w:rsidR="00343DB5" w:rsidRPr="00C259D7">
        <w:rPr>
          <w:rFonts w:eastAsia="Calibri"/>
          <w:spacing w:val="-2"/>
          <w:kern w:val="22"/>
          <w:sz w:val="22"/>
          <w:szCs w:val="22"/>
          <w:lang w:val="en-GB"/>
        </w:rPr>
        <w:t>23</w:t>
      </w:r>
      <w:r w:rsidR="00582CA1" w:rsidRPr="00C259D7">
        <w:rPr>
          <w:rFonts w:eastAsia="Calibri"/>
          <w:spacing w:val="-2"/>
          <w:kern w:val="22"/>
          <w:sz w:val="22"/>
          <w:szCs w:val="22"/>
          <w:lang w:val="en-GB"/>
        </w:rPr>
        <w:t>.</w:t>
      </w:r>
    </w:p>
    <w:p w14:paraId="507447F5" w14:textId="77777777" w:rsidR="00343DB5" w:rsidRPr="00DF75A6" w:rsidRDefault="00343DB5" w:rsidP="00343DB5">
      <w:pPr>
        <w:jc w:val="both"/>
        <w:rPr>
          <w:color w:val="000000"/>
          <w:sz w:val="22"/>
          <w:szCs w:val="22"/>
          <w:lang w:val="en-GB"/>
        </w:rPr>
      </w:pPr>
    </w:p>
    <w:p w14:paraId="17F95973" w14:textId="2DDB261B" w:rsidR="00343DB5" w:rsidRPr="00A74000" w:rsidRDefault="00343DB5" w:rsidP="00A74000">
      <w:pPr>
        <w:jc w:val="both"/>
        <w:rPr>
          <w:rFonts w:eastAsia="Calibri"/>
          <w:color w:val="3B3A39"/>
          <w:sz w:val="22"/>
          <w:szCs w:val="22"/>
          <w:lang w:val="en-GB"/>
        </w:rPr>
      </w:pPr>
      <w:r w:rsidRPr="00A74000">
        <w:rPr>
          <w:rFonts w:eastAsia="Calibri"/>
          <w:color w:val="000000"/>
          <w:sz w:val="22"/>
          <w:szCs w:val="22"/>
          <w:lang w:val="en-GB"/>
        </w:rPr>
        <w:t>Pickup share</w:t>
      </w:r>
      <w:r w:rsidR="00BA1033" w:rsidRPr="00A74000">
        <w:rPr>
          <w:rFonts w:eastAsia="Calibri"/>
          <w:color w:val="000000"/>
          <w:sz w:val="22"/>
          <w:szCs w:val="22"/>
          <w:lang w:val="en-GB"/>
        </w:rPr>
        <w:t xml:space="preserve"> in India had increased from 12 per</w:t>
      </w:r>
      <w:r w:rsidR="003D416E" w:rsidRPr="00A74000">
        <w:rPr>
          <w:rFonts w:eastAsia="Calibri"/>
          <w:color w:val="000000"/>
          <w:sz w:val="22"/>
          <w:szCs w:val="22"/>
          <w:lang w:val="en-GB"/>
        </w:rPr>
        <w:t xml:space="preserve"> </w:t>
      </w:r>
      <w:r w:rsidR="00BA1033" w:rsidRPr="00A74000">
        <w:rPr>
          <w:rFonts w:eastAsia="Calibri"/>
          <w:color w:val="000000"/>
          <w:sz w:val="22"/>
          <w:szCs w:val="22"/>
          <w:lang w:val="en-GB"/>
        </w:rPr>
        <w:t>cent</w:t>
      </w:r>
      <w:r w:rsidRPr="00A74000">
        <w:rPr>
          <w:rFonts w:eastAsia="Calibri"/>
          <w:color w:val="000000"/>
          <w:sz w:val="22"/>
          <w:szCs w:val="22"/>
          <w:lang w:val="en-GB"/>
        </w:rPr>
        <w:t xml:space="preserve"> in FY</w:t>
      </w:r>
      <w:r w:rsidR="00BA1033" w:rsidRPr="00A74000">
        <w:rPr>
          <w:rFonts w:eastAsia="Calibri"/>
          <w:color w:val="000000"/>
          <w:sz w:val="22"/>
          <w:szCs w:val="22"/>
          <w:lang w:val="en-GB"/>
        </w:rPr>
        <w:t>2008</w:t>
      </w:r>
      <w:r w:rsidR="00C32B8D" w:rsidRPr="00A74000">
        <w:rPr>
          <w:rFonts w:eastAsia="Calibri"/>
          <w:color w:val="000000"/>
          <w:sz w:val="22"/>
          <w:szCs w:val="22"/>
          <w:lang w:val="en-GB"/>
        </w:rPr>
        <w:t>–09</w:t>
      </w:r>
      <w:r w:rsidR="00BA1033" w:rsidRPr="00A74000">
        <w:rPr>
          <w:rFonts w:eastAsia="Calibri"/>
          <w:color w:val="000000"/>
          <w:sz w:val="22"/>
          <w:szCs w:val="22"/>
          <w:lang w:val="en-GB"/>
        </w:rPr>
        <w:t xml:space="preserve"> to 26 per</w:t>
      </w:r>
      <w:r w:rsidR="003D416E" w:rsidRPr="00A74000">
        <w:rPr>
          <w:rFonts w:eastAsia="Calibri"/>
          <w:color w:val="000000"/>
          <w:sz w:val="22"/>
          <w:szCs w:val="22"/>
          <w:lang w:val="en-GB"/>
        </w:rPr>
        <w:t xml:space="preserve"> </w:t>
      </w:r>
      <w:r w:rsidR="00BA1033" w:rsidRPr="00A74000">
        <w:rPr>
          <w:rFonts w:eastAsia="Calibri"/>
          <w:color w:val="000000"/>
          <w:sz w:val="22"/>
          <w:szCs w:val="22"/>
          <w:lang w:val="en-GB"/>
        </w:rPr>
        <w:t>cent</w:t>
      </w:r>
      <w:r w:rsidRPr="00A74000">
        <w:rPr>
          <w:rFonts w:eastAsia="Calibri"/>
          <w:color w:val="000000"/>
          <w:sz w:val="22"/>
          <w:szCs w:val="22"/>
          <w:lang w:val="en-GB"/>
        </w:rPr>
        <w:t xml:space="preserve"> in FY</w:t>
      </w:r>
      <w:r w:rsidR="00BA1033" w:rsidRPr="00A74000">
        <w:rPr>
          <w:rFonts w:eastAsia="Calibri"/>
          <w:color w:val="000000"/>
          <w:sz w:val="22"/>
          <w:szCs w:val="22"/>
          <w:lang w:val="en-GB"/>
        </w:rPr>
        <w:t xml:space="preserve"> 20</w:t>
      </w:r>
      <w:r w:rsidRPr="00A74000">
        <w:rPr>
          <w:rFonts w:eastAsia="Calibri"/>
          <w:color w:val="000000"/>
          <w:sz w:val="22"/>
          <w:szCs w:val="22"/>
          <w:lang w:val="en-GB"/>
        </w:rPr>
        <w:t>16</w:t>
      </w:r>
      <w:r w:rsidR="00C32B8D" w:rsidRPr="00A74000">
        <w:rPr>
          <w:rFonts w:eastAsia="Calibri"/>
          <w:color w:val="000000"/>
          <w:sz w:val="22"/>
          <w:szCs w:val="22"/>
          <w:lang w:val="en-GB"/>
        </w:rPr>
        <w:t>–17</w:t>
      </w:r>
      <w:r w:rsidRPr="00A74000">
        <w:rPr>
          <w:rFonts w:eastAsia="Calibri"/>
          <w:color w:val="000000"/>
          <w:sz w:val="22"/>
          <w:szCs w:val="22"/>
          <w:lang w:val="en-GB"/>
        </w:rPr>
        <w:t xml:space="preserve">. </w:t>
      </w:r>
      <w:r w:rsidR="004806EA" w:rsidRPr="00A74000">
        <w:rPr>
          <w:rFonts w:eastAsia="Calibri"/>
          <w:color w:val="000000"/>
          <w:sz w:val="22"/>
          <w:szCs w:val="22"/>
          <w:lang w:val="en-GB"/>
        </w:rPr>
        <w:t>With i</w:t>
      </w:r>
      <w:r w:rsidRPr="00A74000">
        <w:rPr>
          <w:color w:val="000000"/>
          <w:sz w:val="22"/>
          <w:szCs w:val="22"/>
          <w:lang w:val="en-GB"/>
        </w:rPr>
        <w:t>ncreased urbanization and improving road conditions</w:t>
      </w:r>
      <w:r w:rsidR="004806EA" w:rsidRPr="00A74000">
        <w:rPr>
          <w:color w:val="000000"/>
          <w:sz w:val="22"/>
          <w:szCs w:val="22"/>
          <w:lang w:val="en-GB"/>
        </w:rPr>
        <w:t>,</w:t>
      </w:r>
      <w:r w:rsidRPr="00A74000">
        <w:rPr>
          <w:color w:val="000000"/>
          <w:sz w:val="22"/>
          <w:szCs w:val="22"/>
          <w:lang w:val="en-GB"/>
        </w:rPr>
        <w:t xml:space="preserve"> </w:t>
      </w:r>
      <w:r w:rsidR="004806EA" w:rsidRPr="00A74000">
        <w:rPr>
          <w:color w:val="000000"/>
          <w:sz w:val="22"/>
          <w:szCs w:val="22"/>
          <w:lang w:val="en-GB"/>
        </w:rPr>
        <w:t xml:space="preserve">consumer demand grew for pickups, which had </w:t>
      </w:r>
      <w:r w:rsidR="00D470D7" w:rsidRPr="00A74000">
        <w:rPr>
          <w:color w:val="000000"/>
          <w:sz w:val="22"/>
          <w:szCs w:val="22"/>
          <w:lang w:val="en-GB"/>
        </w:rPr>
        <w:t>a</w:t>
      </w:r>
      <w:r w:rsidRPr="00A74000">
        <w:rPr>
          <w:color w:val="000000"/>
          <w:sz w:val="22"/>
          <w:szCs w:val="22"/>
          <w:lang w:val="en-GB"/>
        </w:rPr>
        <w:t xml:space="preserve"> higher payload</w:t>
      </w:r>
      <w:r w:rsidR="00D470D7" w:rsidRPr="00A74000">
        <w:rPr>
          <w:color w:val="000000"/>
          <w:sz w:val="22"/>
          <w:szCs w:val="22"/>
          <w:lang w:val="en-GB"/>
        </w:rPr>
        <w:t xml:space="preserve"> than SCVs and offered </w:t>
      </w:r>
      <w:r w:rsidRPr="00A74000">
        <w:rPr>
          <w:color w:val="000000"/>
          <w:sz w:val="22"/>
          <w:szCs w:val="22"/>
          <w:lang w:val="en-GB"/>
        </w:rPr>
        <w:t>similar fuel economy and</w:t>
      </w:r>
      <w:r w:rsidR="00BA1033" w:rsidRPr="00A74000">
        <w:rPr>
          <w:color w:val="000000"/>
          <w:sz w:val="22"/>
          <w:szCs w:val="22"/>
          <w:lang w:val="en-GB"/>
        </w:rPr>
        <w:t xml:space="preserve"> price</w:t>
      </w:r>
      <w:r w:rsidRPr="00A74000">
        <w:rPr>
          <w:rFonts w:eastAsia="Calibri"/>
          <w:sz w:val="22"/>
          <w:szCs w:val="22"/>
          <w:lang w:val="en-GB"/>
        </w:rPr>
        <w:t xml:space="preserve">. </w:t>
      </w:r>
      <w:r w:rsidR="004806EA" w:rsidRPr="00A74000">
        <w:rPr>
          <w:color w:val="000000"/>
          <w:sz w:val="22"/>
          <w:szCs w:val="22"/>
          <w:lang w:val="en-GB"/>
        </w:rPr>
        <w:t xml:space="preserve">A </w:t>
      </w:r>
      <w:r w:rsidRPr="00A74000">
        <w:rPr>
          <w:color w:val="000000"/>
          <w:sz w:val="22"/>
          <w:szCs w:val="22"/>
          <w:lang w:val="en-GB"/>
        </w:rPr>
        <w:t>changing mar</w:t>
      </w:r>
      <w:bookmarkStart w:id="0" w:name="_GoBack"/>
      <w:bookmarkEnd w:id="0"/>
      <w:r w:rsidRPr="00A74000">
        <w:rPr>
          <w:color w:val="000000"/>
          <w:sz w:val="22"/>
          <w:szCs w:val="22"/>
          <w:lang w:val="en-GB"/>
        </w:rPr>
        <w:t>ket and consumer</w:t>
      </w:r>
      <w:r w:rsidRPr="00A74000">
        <w:rPr>
          <w:color w:val="000000"/>
          <w:sz w:val="22"/>
          <w:szCs w:val="22"/>
          <w:shd w:val="clear" w:color="auto" w:fill="FFFFFF"/>
          <w:lang w:val="en-GB"/>
        </w:rPr>
        <w:t xml:space="preserve"> </w:t>
      </w:r>
      <w:r w:rsidRPr="00A74000">
        <w:rPr>
          <w:color w:val="000000"/>
          <w:sz w:val="22"/>
          <w:szCs w:val="22"/>
          <w:lang w:val="en-GB"/>
        </w:rPr>
        <w:t>need fuel</w:t>
      </w:r>
      <w:r w:rsidR="00C71C77" w:rsidRPr="00A74000">
        <w:rPr>
          <w:color w:val="000000"/>
          <w:sz w:val="22"/>
          <w:szCs w:val="22"/>
          <w:lang w:val="en-GB"/>
        </w:rPr>
        <w:t>l</w:t>
      </w:r>
      <w:r w:rsidR="00D470D7" w:rsidRPr="00A74000">
        <w:rPr>
          <w:color w:val="000000"/>
          <w:sz w:val="22"/>
          <w:szCs w:val="22"/>
          <w:lang w:val="en-GB"/>
        </w:rPr>
        <w:t>ed</w:t>
      </w:r>
      <w:r w:rsidRPr="00A74000">
        <w:rPr>
          <w:color w:val="000000"/>
          <w:sz w:val="22"/>
          <w:szCs w:val="22"/>
          <w:lang w:val="en-GB"/>
        </w:rPr>
        <w:t xml:space="preserve"> the need </w:t>
      </w:r>
      <w:r w:rsidR="004806EA" w:rsidRPr="00A74000">
        <w:rPr>
          <w:color w:val="000000"/>
          <w:sz w:val="22"/>
          <w:szCs w:val="22"/>
          <w:lang w:val="en-GB"/>
        </w:rPr>
        <w:t>for</w:t>
      </w:r>
      <w:r w:rsidRPr="00A74000">
        <w:rPr>
          <w:color w:val="000000"/>
          <w:sz w:val="22"/>
          <w:szCs w:val="22"/>
          <w:lang w:val="en-GB"/>
        </w:rPr>
        <w:t xml:space="preserve"> more powerful vehicles. SMC saw the opportunity to grow in this segment and</w:t>
      </w:r>
      <w:r w:rsidRPr="00A74000">
        <w:rPr>
          <w:color w:val="000000"/>
          <w:sz w:val="22"/>
          <w:szCs w:val="22"/>
          <w:shd w:val="clear" w:color="auto" w:fill="000000" w:themeFill="text1"/>
          <w:lang w:val="en-GB"/>
        </w:rPr>
        <w:t xml:space="preserve"> </w:t>
      </w:r>
      <w:r w:rsidRPr="00A74000">
        <w:rPr>
          <w:color w:val="000000"/>
          <w:sz w:val="22"/>
          <w:szCs w:val="22"/>
          <w:lang w:val="en-GB"/>
        </w:rPr>
        <w:t>exten</w:t>
      </w:r>
      <w:r w:rsidR="004806EA" w:rsidRPr="00A74000">
        <w:rPr>
          <w:color w:val="000000"/>
          <w:sz w:val="22"/>
          <w:szCs w:val="22"/>
          <w:lang w:val="en-GB"/>
        </w:rPr>
        <w:t>ded its s</w:t>
      </w:r>
      <w:r w:rsidRPr="00A74000">
        <w:rPr>
          <w:color w:val="000000"/>
          <w:sz w:val="22"/>
          <w:szCs w:val="22"/>
          <w:lang w:val="en-GB"/>
        </w:rPr>
        <w:t>trong</w:t>
      </w:r>
      <w:r w:rsidR="004806EA" w:rsidRPr="00A74000">
        <w:rPr>
          <w:color w:val="000000"/>
          <w:sz w:val="22"/>
          <w:szCs w:val="22"/>
          <w:lang w:val="en-GB"/>
        </w:rPr>
        <w:t>,</w:t>
      </w:r>
      <w:r w:rsidRPr="00A74000">
        <w:rPr>
          <w:color w:val="000000"/>
          <w:sz w:val="22"/>
          <w:szCs w:val="22"/>
          <w:lang w:val="en-GB"/>
        </w:rPr>
        <w:t xml:space="preserve"> es</w:t>
      </w:r>
      <w:r w:rsidR="00BA1033" w:rsidRPr="00A74000">
        <w:rPr>
          <w:color w:val="000000"/>
          <w:sz w:val="22"/>
          <w:szCs w:val="22"/>
          <w:lang w:val="en-GB"/>
        </w:rPr>
        <w:t>tablished brands like</w:t>
      </w:r>
      <w:r w:rsidR="001D438F" w:rsidRPr="00A74000">
        <w:rPr>
          <w:color w:val="000000"/>
          <w:sz w:val="22"/>
          <w:szCs w:val="22"/>
          <w:lang w:val="en-GB"/>
        </w:rPr>
        <w:t xml:space="preserve"> the</w:t>
      </w:r>
      <w:r w:rsidR="00BA1033" w:rsidRPr="00A74000">
        <w:rPr>
          <w:color w:val="000000"/>
          <w:sz w:val="22"/>
          <w:szCs w:val="22"/>
          <w:lang w:val="en-GB"/>
        </w:rPr>
        <w:t xml:space="preserve"> SMC Eco,</w:t>
      </w:r>
      <w:r w:rsidRPr="00A74000">
        <w:rPr>
          <w:color w:val="000000"/>
          <w:sz w:val="22"/>
          <w:szCs w:val="22"/>
          <w:lang w:val="en-GB"/>
        </w:rPr>
        <w:t xml:space="preserve"> which was the market leader </w:t>
      </w:r>
      <w:r w:rsidR="00C32B8D" w:rsidRPr="00A74000">
        <w:rPr>
          <w:color w:val="000000"/>
          <w:sz w:val="22"/>
          <w:szCs w:val="22"/>
          <w:lang w:val="en-GB"/>
        </w:rPr>
        <w:t>and accounted for</w:t>
      </w:r>
      <w:r w:rsidR="00C32B8D" w:rsidRPr="00A74000">
        <w:rPr>
          <w:color w:val="000000"/>
          <w:sz w:val="22"/>
          <w:szCs w:val="22"/>
          <w:shd w:val="clear" w:color="auto" w:fill="000000" w:themeFill="text1"/>
          <w:lang w:val="en-GB"/>
        </w:rPr>
        <w:t xml:space="preserve"> </w:t>
      </w:r>
      <w:r w:rsidR="00C32B8D" w:rsidRPr="00A74000">
        <w:rPr>
          <w:color w:val="000000"/>
          <w:sz w:val="22"/>
          <w:szCs w:val="22"/>
          <w:lang w:val="en-GB"/>
        </w:rPr>
        <w:t xml:space="preserve">almost 98 per cent of sales </w:t>
      </w:r>
      <w:r w:rsidRPr="00A74000">
        <w:rPr>
          <w:color w:val="000000"/>
          <w:sz w:val="22"/>
          <w:szCs w:val="22"/>
          <w:lang w:val="en-GB"/>
        </w:rPr>
        <w:t xml:space="preserve">in </w:t>
      </w:r>
      <w:r w:rsidR="00867438" w:rsidRPr="00A74000">
        <w:rPr>
          <w:color w:val="000000"/>
          <w:sz w:val="22"/>
          <w:szCs w:val="22"/>
          <w:lang w:val="en-GB"/>
        </w:rPr>
        <w:t xml:space="preserve">the </w:t>
      </w:r>
      <w:r w:rsidR="004806EA" w:rsidRPr="00A74000">
        <w:rPr>
          <w:color w:val="000000"/>
          <w:sz w:val="22"/>
          <w:szCs w:val="22"/>
          <w:lang w:val="en-GB"/>
        </w:rPr>
        <w:t>price-</w:t>
      </w:r>
      <w:r w:rsidRPr="00A74000">
        <w:rPr>
          <w:color w:val="000000"/>
          <w:sz w:val="22"/>
          <w:szCs w:val="22"/>
          <w:lang w:val="en-GB"/>
        </w:rPr>
        <w:t>sensitive consumer segm</w:t>
      </w:r>
      <w:r w:rsidR="00BA1033" w:rsidRPr="00A74000">
        <w:rPr>
          <w:color w:val="000000"/>
          <w:sz w:val="22"/>
          <w:szCs w:val="22"/>
          <w:lang w:val="en-GB"/>
        </w:rPr>
        <w:t>ent</w:t>
      </w:r>
      <w:r w:rsidRPr="00A74000">
        <w:rPr>
          <w:color w:val="000000"/>
          <w:sz w:val="22"/>
          <w:szCs w:val="22"/>
          <w:lang w:val="en-GB"/>
        </w:rPr>
        <w:t>.</w:t>
      </w:r>
    </w:p>
    <w:p w14:paraId="53E94347" w14:textId="77777777" w:rsidR="00343DB5" w:rsidRPr="00A74000" w:rsidRDefault="00343DB5" w:rsidP="00A74000">
      <w:pPr>
        <w:jc w:val="both"/>
        <w:rPr>
          <w:rFonts w:eastAsia="Calibri"/>
          <w:color w:val="3B3A39"/>
          <w:sz w:val="22"/>
          <w:szCs w:val="22"/>
          <w:lang w:val="en-GB"/>
        </w:rPr>
      </w:pPr>
    </w:p>
    <w:p w14:paraId="36C6E4F8" w14:textId="335C5168" w:rsidR="00343DB5" w:rsidRPr="00A74000" w:rsidRDefault="00343DB5" w:rsidP="00A74000">
      <w:pPr>
        <w:jc w:val="both"/>
        <w:rPr>
          <w:rFonts w:eastAsia="Calibri"/>
          <w:sz w:val="22"/>
          <w:szCs w:val="22"/>
          <w:lang w:val="en-GB"/>
        </w:rPr>
      </w:pPr>
      <w:r w:rsidRPr="00A74000">
        <w:rPr>
          <w:rFonts w:eastAsia="Calibri"/>
          <w:sz w:val="22"/>
          <w:szCs w:val="22"/>
          <w:lang w:val="en-GB"/>
        </w:rPr>
        <w:t>The pickup market was further subdivided into two categor</w:t>
      </w:r>
      <w:r w:rsidR="00BA1033" w:rsidRPr="00A74000">
        <w:rPr>
          <w:rFonts w:eastAsia="Calibri"/>
          <w:sz w:val="22"/>
          <w:szCs w:val="22"/>
          <w:lang w:val="en-GB"/>
        </w:rPr>
        <w:t xml:space="preserve">ies: </w:t>
      </w:r>
      <w:r w:rsidR="001D438F" w:rsidRPr="00A74000">
        <w:rPr>
          <w:rFonts w:eastAsia="Calibri"/>
          <w:sz w:val="22"/>
          <w:szCs w:val="22"/>
          <w:lang w:val="en-GB"/>
        </w:rPr>
        <w:t xml:space="preserve">small pickups and large pickups </w:t>
      </w:r>
      <w:r w:rsidRPr="00A74000">
        <w:rPr>
          <w:rFonts w:eastAsia="Calibri"/>
          <w:sz w:val="22"/>
          <w:szCs w:val="22"/>
          <w:lang w:val="en-GB"/>
        </w:rPr>
        <w:t>(see Exhibit 2). Small pickups</w:t>
      </w:r>
      <w:r w:rsidR="00D470D7" w:rsidRPr="00A74000">
        <w:rPr>
          <w:rFonts w:eastAsia="Calibri"/>
          <w:sz w:val="22"/>
          <w:szCs w:val="22"/>
          <w:lang w:val="en-GB"/>
        </w:rPr>
        <w:t>, with their</w:t>
      </w:r>
      <w:r w:rsidRPr="00A74000">
        <w:rPr>
          <w:rFonts w:eastAsia="Calibri"/>
          <w:sz w:val="22"/>
          <w:szCs w:val="22"/>
          <w:lang w:val="en-GB"/>
        </w:rPr>
        <w:t xml:space="preserve"> </w:t>
      </w:r>
      <w:r w:rsidR="00D470D7" w:rsidRPr="00A74000">
        <w:rPr>
          <w:rFonts w:eastAsia="Calibri"/>
          <w:sz w:val="22"/>
          <w:szCs w:val="22"/>
          <w:lang w:val="en-GB"/>
        </w:rPr>
        <w:t xml:space="preserve">optimum payload and higher mileage, </w:t>
      </w:r>
      <w:r w:rsidRPr="00A74000">
        <w:rPr>
          <w:rFonts w:eastAsia="Calibri"/>
          <w:sz w:val="22"/>
          <w:szCs w:val="22"/>
          <w:lang w:val="en-GB"/>
        </w:rPr>
        <w:t xml:space="preserve">offered a value proposition of </w:t>
      </w:r>
      <w:r w:rsidR="00D470D7" w:rsidRPr="00A74000">
        <w:rPr>
          <w:rFonts w:eastAsia="Calibri"/>
          <w:sz w:val="22"/>
          <w:szCs w:val="22"/>
          <w:lang w:val="en-GB"/>
        </w:rPr>
        <w:t xml:space="preserve">the </w:t>
      </w:r>
      <w:r w:rsidRPr="00A74000">
        <w:rPr>
          <w:rFonts w:eastAsia="Calibri"/>
          <w:sz w:val="22"/>
          <w:szCs w:val="22"/>
          <w:lang w:val="en-GB"/>
        </w:rPr>
        <w:t xml:space="preserve">lowest total cost of ownership. Their narrow body width and low turning radius </w:t>
      </w:r>
      <w:r w:rsidR="001D438F" w:rsidRPr="00A74000">
        <w:rPr>
          <w:rFonts w:eastAsia="Calibri"/>
          <w:sz w:val="22"/>
          <w:szCs w:val="22"/>
          <w:lang w:val="en-GB"/>
        </w:rPr>
        <w:t>facilitated navigation</w:t>
      </w:r>
      <w:r w:rsidRPr="00A74000">
        <w:rPr>
          <w:rFonts w:eastAsia="Calibri"/>
          <w:sz w:val="22"/>
          <w:szCs w:val="22"/>
          <w:lang w:val="en-GB"/>
        </w:rPr>
        <w:t xml:space="preserve"> through narrow lanes. Large pickups promised higher earnings through higher overloading and faster turnaround time. They were known for superior performance due to </w:t>
      </w:r>
      <w:r w:rsidR="001D438F" w:rsidRPr="00A74000">
        <w:rPr>
          <w:rFonts w:eastAsia="Calibri"/>
          <w:sz w:val="22"/>
          <w:szCs w:val="22"/>
          <w:lang w:val="en-GB"/>
        </w:rPr>
        <w:t xml:space="preserve">their </w:t>
      </w:r>
      <w:r w:rsidRPr="00A74000">
        <w:rPr>
          <w:rFonts w:eastAsia="Calibri"/>
          <w:sz w:val="22"/>
          <w:szCs w:val="22"/>
          <w:lang w:val="en-GB"/>
        </w:rPr>
        <w:t>powerful engine</w:t>
      </w:r>
      <w:r w:rsidR="001D438F" w:rsidRPr="00A74000">
        <w:rPr>
          <w:rFonts w:eastAsia="Calibri"/>
          <w:sz w:val="22"/>
          <w:szCs w:val="22"/>
          <w:lang w:val="en-GB"/>
        </w:rPr>
        <w:t>s</w:t>
      </w:r>
      <w:r w:rsidRPr="00A74000">
        <w:rPr>
          <w:rFonts w:eastAsia="Calibri"/>
          <w:sz w:val="22"/>
          <w:szCs w:val="22"/>
          <w:lang w:val="en-GB"/>
        </w:rPr>
        <w:t>, traction</w:t>
      </w:r>
      <w:r w:rsidR="001D438F" w:rsidRPr="00A74000">
        <w:rPr>
          <w:rFonts w:eastAsia="Calibri"/>
          <w:sz w:val="22"/>
          <w:szCs w:val="22"/>
          <w:lang w:val="en-GB"/>
        </w:rPr>
        <w:t>,</w:t>
      </w:r>
      <w:r w:rsidRPr="00A74000">
        <w:rPr>
          <w:rFonts w:eastAsia="Calibri"/>
          <w:sz w:val="22"/>
          <w:szCs w:val="22"/>
          <w:lang w:val="en-GB"/>
        </w:rPr>
        <w:t xml:space="preserve"> and good loading space. </w:t>
      </w:r>
      <w:r w:rsidR="001D438F" w:rsidRPr="00A74000">
        <w:rPr>
          <w:rFonts w:eastAsia="Calibri"/>
          <w:sz w:val="22"/>
          <w:szCs w:val="22"/>
          <w:lang w:val="en-GB"/>
        </w:rPr>
        <w:t xml:space="preserve">Although </w:t>
      </w:r>
      <w:r w:rsidR="00C64AE2" w:rsidRPr="00A74000">
        <w:rPr>
          <w:rFonts w:eastAsia="Calibri"/>
          <w:sz w:val="22"/>
          <w:szCs w:val="22"/>
          <w:lang w:val="en-GB"/>
        </w:rPr>
        <w:t xml:space="preserve">the primary criteria for purchasing these vehicles were </w:t>
      </w:r>
      <w:r w:rsidRPr="00A74000">
        <w:rPr>
          <w:rFonts w:eastAsia="Calibri"/>
          <w:sz w:val="22"/>
          <w:szCs w:val="22"/>
          <w:lang w:val="en-GB"/>
        </w:rPr>
        <w:t xml:space="preserve">features </w:t>
      </w:r>
      <w:r w:rsidR="00C64AE2" w:rsidRPr="00A74000">
        <w:rPr>
          <w:rFonts w:eastAsia="Calibri"/>
          <w:sz w:val="22"/>
          <w:szCs w:val="22"/>
          <w:lang w:val="en-GB"/>
        </w:rPr>
        <w:t xml:space="preserve">relating to </w:t>
      </w:r>
      <w:r w:rsidRPr="00A74000">
        <w:rPr>
          <w:rFonts w:eastAsia="Calibri"/>
          <w:sz w:val="22"/>
          <w:szCs w:val="22"/>
          <w:lang w:val="en-GB"/>
        </w:rPr>
        <w:t>commercial use, consumers were starting to look at pickups as a lifestyle product</w:t>
      </w:r>
      <w:r w:rsidR="00C64AE2" w:rsidRPr="00A74000">
        <w:rPr>
          <w:rFonts w:eastAsia="Calibri"/>
          <w:sz w:val="22"/>
          <w:szCs w:val="22"/>
          <w:lang w:val="en-GB"/>
        </w:rPr>
        <w:t xml:space="preserve">. </w:t>
      </w:r>
      <w:r w:rsidRPr="00A74000">
        <w:rPr>
          <w:rFonts w:eastAsia="Calibri"/>
          <w:sz w:val="22"/>
          <w:szCs w:val="22"/>
          <w:lang w:val="en-GB"/>
        </w:rPr>
        <w:t>SCVs and pickups</w:t>
      </w:r>
      <w:r w:rsidR="001D438F" w:rsidRPr="00A74000">
        <w:rPr>
          <w:rFonts w:eastAsia="Calibri"/>
          <w:sz w:val="22"/>
          <w:szCs w:val="22"/>
          <w:lang w:val="en-GB"/>
        </w:rPr>
        <w:t>,</w:t>
      </w:r>
      <w:r w:rsidRPr="00A74000">
        <w:rPr>
          <w:rFonts w:eastAsia="Calibri"/>
          <w:sz w:val="22"/>
          <w:szCs w:val="22"/>
          <w:lang w:val="en-GB"/>
        </w:rPr>
        <w:t xml:space="preserve"> </w:t>
      </w:r>
      <w:r w:rsidR="00C64AE2" w:rsidRPr="00A74000">
        <w:rPr>
          <w:rFonts w:eastAsia="Calibri"/>
          <w:sz w:val="22"/>
          <w:szCs w:val="22"/>
          <w:lang w:val="en-GB"/>
        </w:rPr>
        <w:t xml:space="preserve">in particular, were being bought </w:t>
      </w:r>
      <w:r w:rsidRPr="00A74000">
        <w:rPr>
          <w:rFonts w:eastAsia="Calibri"/>
          <w:sz w:val="22"/>
          <w:szCs w:val="22"/>
          <w:lang w:val="en-GB"/>
        </w:rPr>
        <w:t xml:space="preserve">for </w:t>
      </w:r>
      <w:r w:rsidR="00CE5DD0" w:rsidRPr="00A74000">
        <w:rPr>
          <w:rFonts w:eastAsia="Calibri"/>
          <w:sz w:val="22"/>
          <w:szCs w:val="22"/>
          <w:lang w:val="en-GB"/>
        </w:rPr>
        <w:t>personal use</w:t>
      </w:r>
      <w:r w:rsidR="00C64AE2" w:rsidRPr="00A74000">
        <w:rPr>
          <w:rFonts w:eastAsia="Calibri"/>
          <w:sz w:val="22"/>
          <w:szCs w:val="22"/>
          <w:lang w:val="en-GB"/>
        </w:rPr>
        <w:t>, and t</w:t>
      </w:r>
      <w:r w:rsidR="00CE5DD0" w:rsidRPr="00A74000">
        <w:rPr>
          <w:rFonts w:eastAsia="Calibri"/>
          <w:sz w:val="22"/>
          <w:szCs w:val="22"/>
          <w:lang w:val="en-GB"/>
        </w:rPr>
        <w:t xml:space="preserve">he </w:t>
      </w:r>
      <w:r w:rsidR="00C64AE2" w:rsidRPr="00A74000">
        <w:rPr>
          <w:rFonts w:eastAsia="Calibri"/>
          <w:sz w:val="22"/>
          <w:szCs w:val="22"/>
          <w:lang w:val="en-GB"/>
        </w:rPr>
        <w:t xml:space="preserve">type and brand </w:t>
      </w:r>
      <w:r w:rsidR="00CE5DD0" w:rsidRPr="00A74000">
        <w:rPr>
          <w:rFonts w:eastAsia="Calibri"/>
          <w:sz w:val="22"/>
          <w:szCs w:val="22"/>
          <w:lang w:val="en-GB"/>
        </w:rPr>
        <w:t>of pick</w:t>
      </w:r>
      <w:r w:rsidRPr="00A74000">
        <w:rPr>
          <w:rFonts w:eastAsia="Calibri"/>
          <w:sz w:val="22"/>
          <w:szCs w:val="22"/>
          <w:lang w:val="en-GB"/>
        </w:rPr>
        <w:t xml:space="preserve">up </w:t>
      </w:r>
      <w:r w:rsidR="00C71C77" w:rsidRPr="00A74000">
        <w:rPr>
          <w:rFonts w:eastAsia="Calibri"/>
          <w:sz w:val="22"/>
          <w:szCs w:val="22"/>
          <w:lang w:val="en-GB"/>
        </w:rPr>
        <w:t>signalled</w:t>
      </w:r>
      <w:r w:rsidRPr="00A74000">
        <w:rPr>
          <w:rFonts w:eastAsia="Calibri"/>
          <w:sz w:val="22"/>
          <w:szCs w:val="22"/>
          <w:lang w:val="en-GB"/>
        </w:rPr>
        <w:t xml:space="preserve"> the social status of the </w:t>
      </w:r>
      <w:r w:rsidR="00C64AE2" w:rsidRPr="00A74000">
        <w:rPr>
          <w:rFonts w:eastAsia="Calibri"/>
          <w:sz w:val="22"/>
          <w:szCs w:val="22"/>
          <w:lang w:val="en-GB"/>
        </w:rPr>
        <w:t>owners</w:t>
      </w:r>
      <w:r w:rsidRPr="00A74000">
        <w:rPr>
          <w:rFonts w:eastAsia="Calibri"/>
          <w:sz w:val="22"/>
          <w:szCs w:val="22"/>
          <w:lang w:val="en-GB"/>
        </w:rPr>
        <w:t xml:space="preserve">. </w:t>
      </w:r>
    </w:p>
    <w:p w14:paraId="074AC056" w14:textId="77777777" w:rsidR="00343DB5" w:rsidRPr="00A74000" w:rsidRDefault="00343DB5" w:rsidP="00A74000">
      <w:pPr>
        <w:jc w:val="both"/>
        <w:rPr>
          <w:b/>
          <w:sz w:val="22"/>
          <w:szCs w:val="22"/>
          <w:lang w:val="en-GB"/>
        </w:rPr>
      </w:pPr>
    </w:p>
    <w:p w14:paraId="59C1463C" w14:textId="77777777" w:rsidR="00E819D3" w:rsidRPr="00A74000" w:rsidRDefault="00E819D3" w:rsidP="00A74000">
      <w:pPr>
        <w:jc w:val="both"/>
        <w:rPr>
          <w:b/>
          <w:sz w:val="22"/>
          <w:szCs w:val="22"/>
          <w:lang w:val="en-GB"/>
        </w:rPr>
      </w:pPr>
    </w:p>
    <w:p w14:paraId="66B03EF7" w14:textId="77777777" w:rsidR="00343DB5" w:rsidRPr="00A74000" w:rsidRDefault="00E819D3" w:rsidP="00A74000">
      <w:pPr>
        <w:pStyle w:val="Casehead1"/>
        <w:outlineLvl w:val="0"/>
        <w:rPr>
          <w:lang w:val="en-GB"/>
        </w:rPr>
      </w:pPr>
      <w:r w:rsidRPr="00A74000">
        <w:rPr>
          <w:lang w:val="en-GB"/>
        </w:rPr>
        <w:t>Competition</w:t>
      </w:r>
    </w:p>
    <w:p w14:paraId="126C7B66" w14:textId="77777777" w:rsidR="00E819D3" w:rsidRPr="00A74000" w:rsidRDefault="00E819D3" w:rsidP="00A74000">
      <w:pPr>
        <w:pStyle w:val="BodyTextMain"/>
        <w:rPr>
          <w:lang w:val="en-GB"/>
        </w:rPr>
      </w:pPr>
    </w:p>
    <w:p w14:paraId="66C6C095" w14:textId="437163AC" w:rsidR="00343DB5" w:rsidRPr="00A74000" w:rsidRDefault="00343DB5" w:rsidP="00A74000">
      <w:pPr>
        <w:jc w:val="both"/>
        <w:rPr>
          <w:rFonts w:eastAsia="Calibri"/>
          <w:color w:val="050505"/>
          <w:sz w:val="22"/>
          <w:szCs w:val="22"/>
          <w:lang w:val="en-GB"/>
        </w:rPr>
      </w:pPr>
      <w:r w:rsidRPr="00A74000">
        <w:rPr>
          <w:rFonts w:eastAsia="Calibri"/>
          <w:color w:val="050505"/>
          <w:sz w:val="22"/>
          <w:szCs w:val="22"/>
          <w:lang w:val="en-GB"/>
        </w:rPr>
        <w:t>In the mini-truck segment, which was seeing a lack of financing and overcapacity in the market, SMC remained the market leader</w:t>
      </w:r>
      <w:r w:rsidR="00C64AE2" w:rsidRPr="00A74000">
        <w:rPr>
          <w:rFonts w:eastAsia="Calibri"/>
          <w:color w:val="050505"/>
          <w:sz w:val="22"/>
          <w:szCs w:val="22"/>
          <w:lang w:val="en-GB"/>
        </w:rPr>
        <w:t>. It</w:t>
      </w:r>
      <w:r w:rsidRPr="00A74000">
        <w:rPr>
          <w:rFonts w:eastAsia="Calibri"/>
          <w:color w:val="050505"/>
          <w:sz w:val="22"/>
          <w:szCs w:val="22"/>
          <w:lang w:val="en-GB"/>
        </w:rPr>
        <w:t xml:space="preserve">s popular brands like Eco and Eco </w:t>
      </w:r>
      <w:r w:rsidR="00C64AE2" w:rsidRPr="00A74000">
        <w:rPr>
          <w:rFonts w:eastAsia="Calibri"/>
          <w:color w:val="050505"/>
          <w:sz w:val="22"/>
          <w:szCs w:val="22"/>
          <w:lang w:val="en-GB"/>
        </w:rPr>
        <w:t xml:space="preserve">Plus captured </w:t>
      </w:r>
      <w:r w:rsidR="001D438F" w:rsidRPr="00A74000">
        <w:rPr>
          <w:rFonts w:eastAsia="Calibri"/>
          <w:color w:val="050505"/>
          <w:sz w:val="22"/>
          <w:szCs w:val="22"/>
          <w:lang w:val="en-GB"/>
        </w:rPr>
        <w:t>a</w:t>
      </w:r>
      <w:r w:rsidR="00BA1033" w:rsidRPr="00A74000">
        <w:rPr>
          <w:rFonts w:eastAsia="Calibri"/>
          <w:color w:val="050505"/>
          <w:sz w:val="22"/>
          <w:szCs w:val="22"/>
          <w:lang w:val="en-GB"/>
        </w:rPr>
        <w:t xml:space="preserve"> market share of 75 per</w:t>
      </w:r>
      <w:r w:rsidR="00C64AE2" w:rsidRPr="00A74000">
        <w:rPr>
          <w:rFonts w:eastAsia="Calibri"/>
          <w:color w:val="050505"/>
          <w:sz w:val="22"/>
          <w:szCs w:val="22"/>
          <w:lang w:val="en-GB"/>
        </w:rPr>
        <w:t> </w:t>
      </w:r>
      <w:r w:rsidR="00BA1033" w:rsidRPr="00A74000">
        <w:rPr>
          <w:rFonts w:eastAsia="Calibri"/>
          <w:color w:val="050505"/>
          <w:sz w:val="22"/>
          <w:szCs w:val="22"/>
          <w:lang w:val="en-GB"/>
        </w:rPr>
        <w:t>cent</w:t>
      </w:r>
      <w:r w:rsidRPr="00A74000">
        <w:rPr>
          <w:rFonts w:eastAsia="Calibri"/>
          <w:color w:val="050505"/>
          <w:sz w:val="22"/>
          <w:szCs w:val="22"/>
          <w:lang w:val="en-GB"/>
        </w:rPr>
        <w:t xml:space="preserve">. </w:t>
      </w:r>
      <w:proofErr w:type="spellStart"/>
      <w:r w:rsidR="00C64AE2" w:rsidRPr="00A74000">
        <w:rPr>
          <w:rFonts w:eastAsia="Calibri"/>
          <w:sz w:val="22"/>
          <w:szCs w:val="22"/>
          <w:lang w:val="en-GB"/>
        </w:rPr>
        <w:t>Equis’s</w:t>
      </w:r>
      <w:proofErr w:type="spellEnd"/>
      <w:r w:rsidR="00C64AE2" w:rsidRPr="00A74000">
        <w:rPr>
          <w:rFonts w:eastAsia="Calibri"/>
          <w:sz w:val="22"/>
          <w:szCs w:val="22"/>
          <w:lang w:val="en-GB"/>
        </w:rPr>
        <w:t xml:space="preserve"> competing</w:t>
      </w:r>
      <w:r w:rsidRPr="00A74000">
        <w:rPr>
          <w:rFonts w:eastAsia="Calibri"/>
          <w:sz w:val="22"/>
          <w:szCs w:val="22"/>
          <w:lang w:val="en-GB"/>
        </w:rPr>
        <w:t xml:space="preserve"> </w:t>
      </w:r>
      <w:proofErr w:type="spellStart"/>
      <w:r w:rsidRPr="00A74000">
        <w:rPr>
          <w:rFonts w:eastAsia="Calibri"/>
          <w:sz w:val="22"/>
          <w:szCs w:val="22"/>
          <w:lang w:val="en-GB"/>
        </w:rPr>
        <w:t>Reco</w:t>
      </w:r>
      <w:proofErr w:type="spellEnd"/>
      <w:r w:rsidRPr="00A74000">
        <w:rPr>
          <w:rFonts w:eastAsia="Calibri"/>
          <w:sz w:val="22"/>
          <w:szCs w:val="22"/>
          <w:lang w:val="en-GB"/>
        </w:rPr>
        <w:t xml:space="preserve"> brand trailed the SMC Eco</w:t>
      </w:r>
      <w:r w:rsidR="00BA1033" w:rsidRPr="00A74000">
        <w:rPr>
          <w:rFonts w:eastAsia="Calibri"/>
          <w:sz w:val="22"/>
          <w:szCs w:val="22"/>
          <w:lang w:val="en-GB"/>
        </w:rPr>
        <w:t>.</w:t>
      </w:r>
    </w:p>
    <w:p w14:paraId="71D70DBC" w14:textId="77777777" w:rsidR="00343DB5" w:rsidRPr="00A74000" w:rsidRDefault="00343DB5" w:rsidP="00A74000">
      <w:pPr>
        <w:jc w:val="both"/>
        <w:rPr>
          <w:rFonts w:eastAsia="Calibri"/>
          <w:color w:val="050505"/>
          <w:sz w:val="22"/>
          <w:szCs w:val="22"/>
          <w:lang w:val="en-GB"/>
        </w:rPr>
      </w:pPr>
    </w:p>
    <w:p w14:paraId="331C3729" w14:textId="4B51AB41" w:rsidR="00343DB5" w:rsidRPr="00DF75A6" w:rsidRDefault="00C64AE2" w:rsidP="00A74000">
      <w:pPr>
        <w:jc w:val="both"/>
        <w:rPr>
          <w:color w:val="000000"/>
          <w:sz w:val="22"/>
          <w:szCs w:val="22"/>
          <w:shd w:val="clear" w:color="auto" w:fill="FFFFFF"/>
          <w:lang w:val="en-GB"/>
        </w:rPr>
      </w:pPr>
      <w:proofErr w:type="spellStart"/>
      <w:r w:rsidRPr="00A74000">
        <w:rPr>
          <w:color w:val="000000"/>
          <w:sz w:val="22"/>
          <w:szCs w:val="22"/>
          <w:lang w:val="en-GB"/>
        </w:rPr>
        <w:t>Equis</w:t>
      </w:r>
      <w:proofErr w:type="spellEnd"/>
      <w:r w:rsidRPr="00A74000">
        <w:rPr>
          <w:color w:val="000000"/>
          <w:sz w:val="22"/>
          <w:szCs w:val="22"/>
          <w:lang w:val="en-GB"/>
        </w:rPr>
        <w:t xml:space="preserve"> remained the leader</w:t>
      </w:r>
      <w:r w:rsidRPr="00A74000">
        <w:rPr>
          <w:color w:val="000000"/>
          <w:sz w:val="22"/>
          <w:szCs w:val="22"/>
          <w:shd w:val="clear" w:color="auto" w:fill="FFFFFF"/>
          <w:lang w:val="en-GB"/>
        </w:rPr>
        <w:t xml:space="preserve"> </w:t>
      </w:r>
      <w:r w:rsidRPr="00A74000">
        <w:rPr>
          <w:color w:val="000000"/>
          <w:sz w:val="22"/>
          <w:szCs w:val="22"/>
          <w:lang w:val="en-GB"/>
        </w:rPr>
        <w:t>by far</w:t>
      </w:r>
      <w:r w:rsidRPr="00A74000">
        <w:rPr>
          <w:rFonts w:eastAsia="Calibri"/>
          <w:sz w:val="22"/>
          <w:szCs w:val="22"/>
          <w:lang w:val="en-GB"/>
        </w:rPr>
        <w:t xml:space="preserve"> in </w:t>
      </w:r>
      <w:r w:rsidR="00343DB5" w:rsidRPr="00A74000">
        <w:rPr>
          <w:rFonts w:eastAsia="Calibri"/>
          <w:sz w:val="22"/>
          <w:szCs w:val="22"/>
          <w:lang w:val="en-GB"/>
        </w:rPr>
        <w:t xml:space="preserve">the pickup segment, which </w:t>
      </w:r>
      <w:r w:rsidRPr="00A74000">
        <w:rPr>
          <w:rFonts w:eastAsia="Calibri"/>
          <w:sz w:val="22"/>
          <w:szCs w:val="22"/>
          <w:lang w:val="en-GB"/>
        </w:rPr>
        <w:t xml:space="preserve">had higher sales than </w:t>
      </w:r>
      <w:r w:rsidR="00343DB5" w:rsidRPr="00A74000">
        <w:rPr>
          <w:rFonts w:eastAsia="Calibri"/>
          <w:sz w:val="22"/>
          <w:szCs w:val="22"/>
          <w:lang w:val="en-GB"/>
        </w:rPr>
        <w:t>mini-trucks</w:t>
      </w:r>
      <w:r w:rsidR="001D438F" w:rsidRPr="00A74000">
        <w:rPr>
          <w:color w:val="000000"/>
          <w:sz w:val="22"/>
          <w:szCs w:val="22"/>
          <w:lang w:val="en-GB"/>
        </w:rPr>
        <w:t xml:space="preserve"> </w:t>
      </w:r>
      <w:r w:rsidR="00EA003D" w:rsidRPr="00A74000">
        <w:rPr>
          <w:color w:val="000000"/>
          <w:sz w:val="22"/>
          <w:szCs w:val="22"/>
          <w:lang w:val="en-GB"/>
        </w:rPr>
        <w:t xml:space="preserve">(&lt; 2 tons) </w:t>
      </w:r>
      <w:r w:rsidR="001D438F" w:rsidRPr="00A74000">
        <w:rPr>
          <w:color w:val="000000"/>
          <w:sz w:val="22"/>
          <w:szCs w:val="22"/>
          <w:lang w:val="en-GB"/>
        </w:rPr>
        <w:t xml:space="preserve">during </w:t>
      </w:r>
      <w:r w:rsidR="00343DB5" w:rsidRPr="00A74000">
        <w:rPr>
          <w:color w:val="000000"/>
          <w:sz w:val="22"/>
          <w:szCs w:val="22"/>
          <w:lang w:val="en-GB"/>
        </w:rPr>
        <w:t>the April</w:t>
      </w:r>
      <w:r w:rsidR="001D438F" w:rsidRPr="00A74000">
        <w:rPr>
          <w:color w:val="000000"/>
          <w:sz w:val="22"/>
          <w:szCs w:val="22"/>
          <w:lang w:val="en-GB"/>
        </w:rPr>
        <w:t>–</w:t>
      </w:r>
      <w:r w:rsidR="00343DB5" w:rsidRPr="00A74000">
        <w:rPr>
          <w:color w:val="000000"/>
          <w:sz w:val="22"/>
          <w:szCs w:val="22"/>
          <w:lang w:val="en-GB"/>
        </w:rPr>
        <w:t>November 2015 period</w:t>
      </w:r>
      <w:r w:rsidR="00EA003D" w:rsidRPr="00A74000">
        <w:rPr>
          <w:color w:val="000000"/>
          <w:sz w:val="22"/>
          <w:szCs w:val="22"/>
          <w:lang w:val="en-GB"/>
        </w:rPr>
        <w:t xml:space="preserve">. In the pickup category, </w:t>
      </w:r>
      <w:proofErr w:type="spellStart"/>
      <w:r w:rsidR="00EA003D" w:rsidRPr="00A74000">
        <w:rPr>
          <w:color w:val="000000"/>
          <w:sz w:val="22"/>
          <w:szCs w:val="22"/>
          <w:lang w:val="en-GB"/>
        </w:rPr>
        <w:t>Equis</w:t>
      </w:r>
      <w:proofErr w:type="spellEnd"/>
      <w:r w:rsidR="00343DB5" w:rsidRPr="00A74000">
        <w:rPr>
          <w:color w:val="000000"/>
          <w:sz w:val="22"/>
          <w:szCs w:val="22"/>
          <w:lang w:val="en-GB"/>
        </w:rPr>
        <w:t xml:space="preserve"> </w:t>
      </w:r>
      <w:r w:rsidR="00EA003D" w:rsidRPr="00A74000">
        <w:rPr>
          <w:color w:val="000000"/>
          <w:sz w:val="22"/>
          <w:szCs w:val="22"/>
          <w:lang w:val="en-GB"/>
        </w:rPr>
        <w:t>had</w:t>
      </w:r>
      <w:r w:rsidR="00343DB5" w:rsidRPr="00A74000">
        <w:rPr>
          <w:color w:val="000000"/>
          <w:sz w:val="22"/>
          <w:szCs w:val="22"/>
          <w:lang w:val="en-GB"/>
        </w:rPr>
        <w:t xml:space="preserve"> an overwhelming 70 per</w:t>
      </w:r>
      <w:r w:rsidR="00EA003D" w:rsidRPr="00A74000">
        <w:rPr>
          <w:color w:val="000000"/>
          <w:sz w:val="22"/>
          <w:szCs w:val="22"/>
          <w:lang w:val="en-GB"/>
        </w:rPr>
        <w:t xml:space="preserve"> </w:t>
      </w:r>
      <w:r w:rsidR="00343DB5" w:rsidRPr="00A74000">
        <w:rPr>
          <w:color w:val="000000"/>
          <w:sz w:val="22"/>
          <w:szCs w:val="22"/>
          <w:lang w:val="en-GB"/>
        </w:rPr>
        <w:t>cent marke</w:t>
      </w:r>
      <w:r w:rsidR="008A092A" w:rsidRPr="00A74000">
        <w:rPr>
          <w:color w:val="000000"/>
          <w:sz w:val="22"/>
          <w:szCs w:val="22"/>
          <w:lang w:val="en-GB"/>
        </w:rPr>
        <w:t xml:space="preserve">t share </w:t>
      </w:r>
      <w:r w:rsidR="005148F3" w:rsidRPr="00A74000">
        <w:rPr>
          <w:color w:val="000000"/>
          <w:sz w:val="22"/>
          <w:szCs w:val="22"/>
          <w:lang w:val="en-GB"/>
        </w:rPr>
        <w:t xml:space="preserve">as </w:t>
      </w:r>
      <w:r w:rsidR="00343DB5" w:rsidRPr="00A74000">
        <w:rPr>
          <w:color w:val="000000"/>
          <w:sz w:val="22"/>
          <w:szCs w:val="22"/>
          <w:lang w:val="en-GB"/>
        </w:rPr>
        <w:t xml:space="preserve">its Duo </w:t>
      </w:r>
      <w:r w:rsidR="00EA003D" w:rsidRPr="00A74000">
        <w:rPr>
          <w:color w:val="000000"/>
          <w:sz w:val="22"/>
          <w:szCs w:val="22"/>
          <w:lang w:val="en-GB"/>
        </w:rPr>
        <w:t xml:space="preserve">truck </w:t>
      </w:r>
      <w:r w:rsidR="00343DB5" w:rsidRPr="00A74000">
        <w:rPr>
          <w:color w:val="000000"/>
          <w:sz w:val="22"/>
          <w:szCs w:val="22"/>
          <w:lang w:val="en-GB"/>
        </w:rPr>
        <w:t>gain</w:t>
      </w:r>
      <w:r w:rsidR="005148F3" w:rsidRPr="00A74000">
        <w:rPr>
          <w:color w:val="000000"/>
          <w:sz w:val="22"/>
          <w:szCs w:val="22"/>
          <w:lang w:val="en-GB"/>
        </w:rPr>
        <w:t>ed</w:t>
      </w:r>
      <w:r w:rsidR="00343DB5" w:rsidRPr="00A74000">
        <w:rPr>
          <w:color w:val="000000"/>
          <w:sz w:val="22"/>
          <w:szCs w:val="22"/>
          <w:lang w:val="en-GB"/>
        </w:rPr>
        <w:t xml:space="preserve"> popularity.</w:t>
      </w:r>
      <w:r w:rsidR="00EA003D" w:rsidRPr="00A74000">
        <w:rPr>
          <w:color w:val="000000"/>
          <w:sz w:val="22"/>
          <w:szCs w:val="22"/>
          <w:lang w:val="en-GB"/>
        </w:rPr>
        <w:t xml:space="preserve"> </w:t>
      </w:r>
      <w:proofErr w:type="spellStart"/>
      <w:r w:rsidR="008A092A" w:rsidRPr="00A74000">
        <w:rPr>
          <w:color w:val="000000"/>
          <w:sz w:val="22"/>
          <w:szCs w:val="22"/>
          <w:lang w:val="en-GB"/>
        </w:rPr>
        <w:t>M</w:t>
      </w:r>
      <w:r w:rsidR="00C57D37" w:rsidRPr="00A74000">
        <w:rPr>
          <w:color w:val="000000"/>
          <w:sz w:val="22"/>
          <w:szCs w:val="22"/>
          <w:lang w:val="en-GB"/>
        </w:rPr>
        <w:t>e</w:t>
      </w:r>
      <w:r w:rsidR="008A092A" w:rsidRPr="00A74000">
        <w:rPr>
          <w:color w:val="000000"/>
          <w:sz w:val="22"/>
          <w:szCs w:val="22"/>
          <w:lang w:val="en-GB"/>
        </w:rPr>
        <w:t>han</w:t>
      </w:r>
      <w:proofErr w:type="spellEnd"/>
      <w:r w:rsidR="008A092A" w:rsidRPr="00A74000">
        <w:rPr>
          <w:color w:val="000000"/>
          <w:sz w:val="22"/>
          <w:szCs w:val="22"/>
          <w:lang w:val="en-GB"/>
        </w:rPr>
        <w:t xml:space="preserve"> </w:t>
      </w:r>
      <w:r w:rsidR="00EA003D" w:rsidRPr="00A74000">
        <w:rPr>
          <w:color w:val="000000"/>
          <w:sz w:val="22"/>
          <w:szCs w:val="22"/>
          <w:lang w:val="en-GB"/>
        </w:rPr>
        <w:t xml:space="preserve">Motor Group’s </w:t>
      </w:r>
      <w:r w:rsidR="008A092A" w:rsidRPr="00A74000">
        <w:rPr>
          <w:color w:val="000000"/>
          <w:sz w:val="22"/>
          <w:szCs w:val="22"/>
          <w:lang w:val="en-GB"/>
        </w:rPr>
        <w:t>Sakha,</w:t>
      </w:r>
      <w:r w:rsidR="00343DB5" w:rsidRPr="00A74000">
        <w:rPr>
          <w:color w:val="000000"/>
          <w:sz w:val="22"/>
          <w:szCs w:val="22"/>
          <w:lang w:val="en-GB"/>
        </w:rPr>
        <w:t xml:space="preserve"> designed for a payload of</w:t>
      </w:r>
      <w:r w:rsidR="00343DB5" w:rsidRPr="00A74000">
        <w:rPr>
          <w:color w:val="000000"/>
          <w:sz w:val="22"/>
          <w:szCs w:val="22"/>
          <w:shd w:val="clear" w:color="auto" w:fill="FFFFFF"/>
          <w:lang w:val="en-GB"/>
        </w:rPr>
        <w:t xml:space="preserve"> </w:t>
      </w:r>
      <w:r w:rsidR="00343DB5" w:rsidRPr="00A74000">
        <w:rPr>
          <w:color w:val="000000"/>
          <w:sz w:val="22"/>
          <w:szCs w:val="22"/>
          <w:lang w:val="en-GB"/>
        </w:rPr>
        <w:t xml:space="preserve">1.25 </w:t>
      </w:r>
      <w:r w:rsidR="00BD4922" w:rsidRPr="00A74000">
        <w:rPr>
          <w:color w:val="000000"/>
          <w:sz w:val="22"/>
          <w:szCs w:val="22"/>
          <w:lang w:val="en-GB"/>
        </w:rPr>
        <w:t>tons</w:t>
      </w:r>
      <w:r w:rsidR="00343DB5" w:rsidRPr="00A74000">
        <w:rPr>
          <w:color w:val="000000"/>
          <w:sz w:val="22"/>
          <w:szCs w:val="22"/>
          <w:lang w:val="en-GB"/>
        </w:rPr>
        <w:t xml:space="preserve">, secured second position in </w:t>
      </w:r>
      <w:r w:rsidR="00F51852" w:rsidRPr="00A74000">
        <w:rPr>
          <w:color w:val="000000"/>
          <w:sz w:val="22"/>
          <w:szCs w:val="22"/>
          <w:lang w:val="en-GB"/>
        </w:rPr>
        <w:t xml:space="preserve">this </w:t>
      </w:r>
      <w:r w:rsidR="00343DB5" w:rsidRPr="00A74000">
        <w:rPr>
          <w:color w:val="000000"/>
          <w:sz w:val="22"/>
          <w:szCs w:val="22"/>
          <w:lang w:val="en-GB"/>
        </w:rPr>
        <w:t>category with a market share of 14.7 per</w:t>
      </w:r>
      <w:r w:rsidR="00F51852" w:rsidRPr="00A74000">
        <w:rPr>
          <w:color w:val="000000"/>
          <w:sz w:val="22"/>
          <w:szCs w:val="22"/>
          <w:lang w:val="en-GB"/>
        </w:rPr>
        <w:t xml:space="preserve"> </w:t>
      </w:r>
      <w:r w:rsidR="00343DB5" w:rsidRPr="00A74000">
        <w:rPr>
          <w:color w:val="000000"/>
          <w:sz w:val="22"/>
          <w:szCs w:val="22"/>
          <w:lang w:val="en-GB"/>
        </w:rPr>
        <w:t xml:space="preserve">cent. The company sold 17,050 units </w:t>
      </w:r>
      <w:r w:rsidR="00F51852" w:rsidRPr="00A74000">
        <w:rPr>
          <w:color w:val="000000"/>
          <w:sz w:val="22"/>
          <w:szCs w:val="22"/>
          <w:lang w:val="en-GB"/>
        </w:rPr>
        <w:t xml:space="preserve">in 2015, up from </w:t>
      </w:r>
      <w:r w:rsidR="00343DB5" w:rsidRPr="00A74000">
        <w:rPr>
          <w:color w:val="000000"/>
          <w:sz w:val="22"/>
          <w:szCs w:val="22"/>
          <w:lang w:val="en-GB"/>
        </w:rPr>
        <w:t>15,235 uni</w:t>
      </w:r>
      <w:r w:rsidR="008A092A" w:rsidRPr="00A74000">
        <w:rPr>
          <w:color w:val="000000"/>
          <w:sz w:val="22"/>
          <w:szCs w:val="22"/>
          <w:lang w:val="en-GB"/>
        </w:rPr>
        <w:t>ts in April</w:t>
      </w:r>
      <w:r w:rsidR="005148F3" w:rsidRPr="00A74000">
        <w:rPr>
          <w:color w:val="000000"/>
          <w:sz w:val="22"/>
          <w:szCs w:val="22"/>
          <w:lang w:val="en-GB"/>
        </w:rPr>
        <w:t>–</w:t>
      </w:r>
      <w:r w:rsidR="008A092A" w:rsidRPr="00A74000">
        <w:rPr>
          <w:color w:val="000000"/>
          <w:sz w:val="22"/>
          <w:szCs w:val="22"/>
          <w:lang w:val="en-GB"/>
        </w:rPr>
        <w:t>November 2014</w:t>
      </w:r>
      <w:r w:rsidR="00F51852" w:rsidRPr="00A74000">
        <w:rPr>
          <w:color w:val="000000"/>
          <w:sz w:val="22"/>
          <w:szCs w:val="22"/>
          <w:lang w:val="en-GB"/>
        </w:rPr>
        <w:t>—</w:t>
      </w:r>
      <w:r w:rsidR="008A092A" w:rsidRPr="00A74000">
        <w:rPr>
          <w:color w:val="000000"/>
          <w:sz w:val="22"/>
          <w:szCs w:val="22"/>
          <w:lang w:val="en-GB"/>
        </w:rPr>
        <w:t xml:space="preserve">a </w:t>
      </w:r>
      <w:r w:rsidR="00F51852" w:rsidRPr="00A74000">
        <w:rPr>
          <w:color w:val="000000"/>
          <w:sz w:val="22"/>
          <w:szCs w:val="22"/>
          <w:lang w:val="en-GB"/>
        </w:rPr>
        <w:t>year-over-</w:t>
      </w:r>
      <w:r w:rsidR="008A092A" w:rsidRPr="00A74000">
        <w:rPr>
          <w:color w:val="000000"/>
          <w:sz w:val="22"/>
          <w:szCs w:val="22"/>
          <w:lang w:val="en-GB"/>
        </w:rPr>
        <w:t>year</w:t>
      </w:r>
      <w:r w:rsidR="00343DB5" w:rsidRPr="00A74000">
        <w:rPr>
          <w:color w:val="000000"/>
          <w:sz w:val="22"/>
          <w:szCs w:val="22"/>
          <w:lang w:val="en-GB"/>
        </w:rPr>
        <w:t xml:space="preserve"> growth of</w:t>
      </w:r>
      <w:r w:rsidR="00343DB5" w:rsidRPr="00A74000">
        <w:rPr>
          <w:color w:val="000000"/>
          <w:sz w:val="22"/>
          <w:szCs w:val="22"/>
          <w:shd w:val="clear" w:color="auto" w:fill="000000" w:themeFill="text1"/>
          <w:lang w:val="en-GB"/>
        </w:rPr>
        <w:t xml:space="preserve"> </w:t>
      </w:r>
      <w:r w:rsidR="00343DB5" w:rsidRPr="00A74000">
        <w:rPr>
          <w:color w:val="000000"/>
          <w:sz w:val="22"/>
          <w:szCs w:val="22"/>
          <w:lang w:val="en-GB"/>
        </w:rPr>
        <w:t>11.</w:t>
      </w:r>
      <w:r w:rsidR="00435186" w:rsidRPr="00A74000">
        <w:rPr>
          <w:color w:val="000000"/>
          <w:sz w:val="22"/>
          <w:szCs w:val="22"/>
          <w:lang w:val="en-GB"/>
        </w:rPr>
        <w:t>91 </w:t>
      </w:r>
      <w:r w:rsidR="00343DB5" w:rsidRPr="00A74000">
        <w:rPr>
          <w:color w:val="000000"/>
          <w:sz w:val="22"/>
          <w:szCs w:val="22"/>
          <w:lang w:val="en-GB"/>
        </w:rPr>
        <w:t>per</w:t>
      </w:r>
      <w:r w:rsidR="00435186" w:rsidRPr="00A74000">
        <w:rPr>
          <w:color w:val="000000"/>
          <w:sz w:val="22"/>
          <w:szCs w:val="22"/>
          <w:lang w:val="en-GB"/>
        </w:rPr>
        <w:t> </w:t>
      </w:r>
      <w:r w:rsidR="005148F3" w:rsidRPr="00A74000">
        <w:rPr>
          <w:color w:val="000000"/>
          <w:sz w:val="22"/>
          <w:szCs w:val="22"/>
          <w:lang w:val="en-GB"/>
        </w:rPr>
        <w:t>cent</w:t>
      </w:r>
      <w:r w:rsidR="008A092A" w:rsidRPr="00A74000">
        <w:rPr>
          <w:color w:val="000000"/>
          <w:sz w:val="22"/>
          <w:szCs w:val="22"/>
          <w:lang w:val="en-GB"/>
        </w:rPr>
        <w:t>.</w:t>
      </w:r>
      <w:r w:rsidR="00343DB5" w:rsidRPr="00A74000">
        <w:rPr>
          <w:color w:val="000000"/>
          <w:sz w:val="22"/>
          <w:szCs w:val="22"/>
          <w:vertAlign w:val="superscript"/>
          <w:lang w:val="en-GB"/>
        </w:rPr>
        <w:footnoteReference w:id="3"/>
      </w:r>
      <w:r w:rsidR="00343DB5" w:rsidRPr="00A74000">
        <w:rPr>
          <w:color w:val="000000"/>
          <w:sz w:val="22"/>
          <w:szCs w:val="22"/>
          <w:lang w:val="en-GB"/>
        </w:rPr>
        <w:t xml:space="preserve"> SMC, which </w:t>
      </w:r>
      <w:r w:rsidR="005148F3" w:rsidRPr="00A74000">
        <w:rPr>
          <w:color w:val="000000"/>
          <w:sz w:val="22"/>
          <w:szCs w:val="22"/>
          <w:lang w:val="en-GB"/>
        </w:rPr>
        <w:t xml:space="preserve">was </w:t>
      </w:r>
      <w:r w:rsidR="00F51852" w:rsidRPr="00A74000">
        <w:rPr>
          <w:color w:val="000000"/>
          <w:sz w:val="22"/>
          <w:szCs w:val="22"/>
          <w:lang w:val="en-GB"/>
        </w:rPr>
        <w:t xml:space="preserve">in </w:t>
      </w:r>
      <w:r w:rsidR="00343DB5" w:rsidRPr="00A74000">
        <w:rPr>
          <w:color w:val="000000"/>
          <w:sz w:val="22"/>
          <w:szCs w:val="22"/>
          <w:lang w:val="en-GB"/>
        </w:rPr>
        <w:t xml:space="preserve">third spot in </w:t>
      </w:r>
      <w:r w:rsidR="00F51852" w:rsidRPr="00A74000">
        <w:rPr>
          <w:color w:val="000000"/>
          <w:sz w:val="22"/>
          <w:szCs w:val="22"/>
          <w:lang w:val="en-GB"/>
        </w:rPr>
        <w:t xml:space="preserve">this </w:t>
      </w:r>
      <w:r w:rsidR="00343DB5" w:rsidRPr="00A74000">
        <w:rPr>
          <w:color w:val="000000"/>
          <w:sz w:val="22"/>
          <w:szCs w:val="22"/>
          <w:lang w:val="en-GB"/>
        </w:rPr>
        <w:t>category with a market share of 13.7 per</w:t>
      </w:r>
      <w:r w:rsidR="00F51852" w:rsidRPr="00A74000">
        <w:rPr>
          <w:color w:val="000000"/>
          <w:sz w:val="22"/>
          <w:szCs w:val="22"/>
          <w:lang w:val="en-GB"/>
        </w:rPr>
        <w:t xml:space="preserve"> </w:t>
      </w:r>
      <w:r w:rsidR="00343DB5" w:rsidRPr="00A74000">
        <w:rPr>
          <w:color w:val="000000"/>
          <w:sz w:val="22"/>
          <w:szCs w:val="22"/>
          <w:lang w:val="en-GB"/>
        </w:rPr>
        <w:t>cent, had</w:t>
      </w:r>
      <w:r w:rsidR="00343DB5" w:rsidRPr="00A74000">
        <w:rPr>
          <w:color w:val="000000"/>
          <w:sz w:val="22"/>
          <w:szCs w:val="22"/>
          <w:shd w:val="clear" w:color="auto" w:fill="000000" w:themeFill="text1"/>
          <w:lang w:val="en-GB"/>
        </w:rPr>
        <w:t xml:space="preserve"> </w:t>
      </w:r>
      <w:r w:rsidR="00343DB5" w:rsidRPr="00A74000">
        <w:rPr>
          <w:color w:val="000000"/>
          <w:sz w:val="22"/>
          <w:szCs w:val="22"/>
          <w:lang w:val="en-GB"/>
        </w:rPr>
        <w:t xml:space="preserve">consistently ceded market share to rivals. </w:t>
      </w:r>
      <w:r w:rsidR="00F51852" w:rsidRPr="00A74000">
        <w:rPr>
          <w:color w:val="000000"/>
          <w:sz w:val="22"/>
          <w:szCs w:val="22"/>
          <w:lang w:val="en-GB"/>
        </w:rPr>
        <w:t>SMC</w:t>
      </w:r>
      <w:r w:rsidR="00343DB5" w:rsidRPr="00A74000">
        <w:rPr>
          <w:color w:val="000000"/>
          <w:sz w:val="22"/>
          <w:szCs w:val="22"/>
          <w:lang w:val="en-GB"/>
        </w:rPr>
        <w:t xml:space="preserve"> had a range of products in this </w:t>
      </w:r>
      <w:r w:rsidR="005148F3" w:rsidRPr="00A74000">
        <w:rPr>
          <w:color w:val="000000"/>
          <w:sz w:val="22"/>
          <w:szCs w:val="22"/>
          <w:lang w:val="en-GB"/>
        </w:rPr>
        <w:t>category</w:t>
      </w:r>
      <w:r w:rsidR="00435186" w:rsidRPr="00A74000">
        <w:rPr>
          <w:color w:val="000000"/>
          <w:sz w:val="22"/>
          <w:szCs w:val="22"/>
          <w:lang w:val="en-GB"/>
        </w:rPr>
        <w:t xml:space="preserve">, </w:t>
      </w:r>
      <w:r w:rsidR="005148F3" w:rsidRPr="00A74000">
        <w:rPr>
          <w:color w:val="000000"/>
          <w:sz w:val="22"/>
          <w:szCs w:val="22"/>
          <w:lang w:val="en-GB"/>
        </w:rPr>
        <w:t>including the</w:t>
      </w:r>
      <w:r w:rsidR="00343DB5" w:rsidRPr="00A74000">
        <w:rPr>
          <w:color w:val="000000"/>
          <w:sz w:val="22"/>
          <w:szCs w:val="22"/>
          <w:lang w:val="en-GB"/>
        </w:rPr>
        <w:t xml:space="preserve"> Eco</w:t>
      </w:r>
      <w:r w:rsidR="00343DB5" w:rsidRPr="00A74000">
        <w:rPr>
          <w:color w:val="000000"/>
          <w:sz w:val="22"/>
          <w:szCs w:val="22"/>
          <w:shd w:val="clear" w:color="auto" w:fill="000000" w:themeFill="text1"/>
          <w:lang w:val="en-GB"/>
        </w:rPr>
        <w:t xml:space="preserve"> </w:t>
      </w:r>
      <w:r w:rsidR="00F51852" w:rsidRPr="00A74000">
        <w:rPr>
          <w:color w:val="000000"/>
          <w:sz w:val="22"/>
          <w:szCs w:val="22"/>
          <w:lang w:val="en-GB"/>
        </w:rPr>
        <w:t>Plus</w:t>
      </w:r>
      <w:r w:rsidR="00343DB5" w:rsidRPr="00A74000">
        <w:rPr>
          <w:color w:val="000000"/>
          <w:sz w:val="22"/>
          <w:szCs w:val="22"/>
          <w:lang w:val="en-GB"/>
        </w:rPr>
        <w:t xml:space="preserve">, </w:t>
      </w:r>
      <w:r w:rsidR="005148F3" w:rsidRPr="00A74000">
        <w:rPr>
          <w:color w:val="000000"/>
          <w:sz w:val="22"/>
          <w:szCs w:val="22"/>
          <w:lang w:val="en-GB"/>
        </w:rPr>
        <w:t xml:space="preserve">the </w:t>
      </w:r>
      <w:r w:rsidR="00343DB5" w:rsidRPr="00A74000">
        <w:rPr>
          <w:color w:val="000000"/>
          <w:sz w:val="22"/>
          <w:szCs w:val="22"/>
          <w:lang w:val="en-GB"/>
        </w:rPr>
        <w:t>115PD</w:t>
      </w:r>
      <w:r w:rsidR="005148F3" w:rsidRPr="00A74000">
        <w:rPr>
          <w:color w:val="000000"/>
          <w:sz w:val="22"/>
          <w:szCs w:val="22"/>
          <w:lang w:val="en-GB"/>
        </w:rPr>
        <w:t>,</w:t>
      </w:r>
      <w:r w:rsidR="00343DB5" w:rsidRPr="00A74000">
        <w:rPr>
          <w:color w:val="000000"/>
          <w:sz w:val="22"/>
          <w:szCs w:val="22"/>
          <w:lang w:val="en-GB"/>
        </w:rPr>
        <w:t xml:space="preserve"> and </w:t>
      </w:r>
      <w:r w:rsidR="005148F3" w:rsidRPr="00A74000">
        <w:rPr>
          <w:color w:val="000000"/>
          <w:sz w:val="22"/>
          <w:szCs w:val="22"/>
          <w:lang w:val="en-GB"/>
        </w:rPr>
        <w:t xml:space="preserve">the </w:t>
      </w:r>
      <w:r w:rsidR="00343DB5" w:rsidRPr="00A74000">
        <w:rPr>
          <w:color w:val="000000"/>
          <w:sz w:val="22"/>
          <w:szCs w:val="22"/>
          <w:lang w:val="en-GB"/>
        </w:rPr>
        <w:t>Supreme</w:t>
      </w:r>
      <w:r w:rsidR="00F51852" w:rsidRPr="00A74000">
        <w:rPr>
          <w:color w:val="000000"/>
          <w:sz w:val="22"/>
          <w:szCs w:val="22"/>
          <w:lang w:val="en-GB"/>
        </w:rPr>
        <w:t xml:space="preserve">. It </w:t>
      </w:r>
      <w:r w:rsidR="00343DB5" w:rsidRPr="00A74000">
        <w:rPr>
          <w:color w:val="000000"/>
          <w:sz w:val="22"/>
          <w:szCs w:val="22"/>
          <w:lang w:val="en-GB"/>
        </w:rPr>
        <w:t>registered total sales of 15,738 units in April</w:t>
      </w:r>
      <w:r w:rsidR="005148F3" w:rsidRPr="00A74000">
        <w:rPr>
          <w:color w:val="000000"/>
          <w:sz w:val="22"/>
          <w:szCs w:val="22"/>
          <w:lang w:val="en-GB"/>
        </w:rPr>
        <w:t>–</w:t>
      </w:r>
      <w:r w:rsidR="00343DB5" w:rsidRPr="00A74000">
        <w:rPr>
          <w:color w:val="000000"/>
          <w:sz w:val="22"/>
          <w:szCs w:val="22"/>
          <w:lang w:val="en-GB"/>
        </w:rPr>
        <w:t>November 2015</w:t>
      </w:r>
      <w:r w:rsidR="00F51852" w:rsidRPr="00A74000">
        <w:rPr>
          <w:color w:val="000000"/>
          <w:sz w:val="22"/>
          <w:szCs w:val="22"/>
          <w:lang w:val="en-GB"/>
        </w:rPr>
        <w:t>, down</w:t>
      </w:r>
      <w:r w:rsidR="00F51852" w:rsidRPr="00A74000">
        <w:rPr>
          <w:color w:val="000000"/>
          <w:sz w:val="22"/>
          <w:szCs w:val="22"/>
          <w:shd w:val="clear" w:color="auto" w:fill="000000" w:themeFill="text1"/>
          <w:lang w:val="en-GB"/>
        </w:rPr>
        <w:t xml:space="preserve"> </w:t>
      </w:r>
      <w:r w:rsidR="00F51852" w:rsidRPr="00A74000">
        <w:rPr>
          <w:color w:val="000000"/>
          <w:sz w:val="22"/>
          <w:szCs w:val="22"/>
          <w:lang w:val="en-GB"/>
        </w:rPr>
        <w:t xml:space="preserve">from </w:t>
      </w:r>
      <w:r w:rsidR="00343DB5" w:rsidRPr="00A74000">
        <w:rPr>
          <w:color w:val="000000"/>
          <w:sz w:val="22"/>
          <w:szCs w:val="22"/>
          <w:lang w:val="en-GB"/>
        </w:rPr>
        <w:t>14,325 units in April</w:t>
      </w:r>
      <w:r w:rsidR="005148F3" w:rsidRPr="00A74000">
        <w:rPr>
          <w:color w:val="000000"/>
          <w:sz w:val="22"/>
          <w:szCs w:val="22"/>
          <w:lang w:val="en-GB"/>
        </w:rPr>
        <w:t>–</w:t>
      </w:r>
      <w:r w:rsidR="00343DB5" w:rsidRPr="00A74000">
        <w:rPr>
          <w:color w:val="000000"/>
          <w:sz w:val="22"/>
          <w:szCs w:val="22"/>
          <w:lang w:val="en-GB"/>
        </w:rPr>
        <w:t>November 2014</w:t>
      </w:r>
      <w:r w:rsidR="00F51852" w:rsidRPr="00A74000">
        <w:rPr>
          <w:color w:val="000000"/>
          <w:sz w:val="22"/>
          <w:szCs w:val="22"/>
          <w:lang w:val="en-GB"/>
        </w:rPr>
        <w:t>—</w:t>
      </w:r>
      <w:r w:rsidR="00343DB5" w:rsidRPr="00A74000">
        <w:rPr>
          <w:color w:val="000000"/>
          <w:sz w:val="22"/>
          <w:szCs w:val="22"/>
          <w:lang w:val="en-GB"/>
        </w:rPr>
        <w:t xml:space="preserve">a </w:t>
      </w:r>
      <w:r w:rsidR="00F51852" w:rsidRPr="00A74000">
        <w:rPr>
          <w:color w:val="000000"/>
          <w:sz w:val="22"/>
          <w:szCs w:val="22"/>
          <w:lang w:val="en-GB"/>
        </w:rPr>
        <w:t xml:space="preserve">year-over-year </w:t>
      </w:r>
      <w:r w:rsidR="00343DB5" w:rsidRPr="00A74000">
        <w:rPr>
          <w:color w:val="000000"/>
          <w:sz w:val="22"/>
          <w:szCs w:val="22"/>
          <w:lang w:val="en-GB"/>
        </w:rPr>
        <w:t>dip of 9.8 per</w:t>
      </w:r>
      <w:r w:rsidR="00F51852" w:rsidRPr="00A74000">
        <w:rPr>
          <w:color w:val="000000"/>
          <w:sz w:val="22"/>
          <w:szCs w:val="22"/>
          <w:lang w:val="en-GB"/>
        </w:rPr>
        <w:t xml:space="preserve"> </w:t>
      </w:r>
      <w:r w:rsidR="00343DB5" w:rsidRPr="00A74000">
        <w:rPr>
          <w:color w:val="000000"/>
          <w:sz w:val="22"/>
          <w:szCs w:val="22"/>
          <w:lang w:val="en-GB"/>
        </w:rPr>
        <w:t>cent</w:t>
      </w:r>
      <w:r w:rsidR="00BA1033" w:rsidRPr="00A74000">
        <w:rPr>
          <w:color w:val="000000"/>
          <w:sz w:val="22"/>
          <w:szCs w:val="22"/>
          <w:lang w:val="en-GB"/>
        </w:rPr>
        <w:t>.</w:t>
      </w:r>
    </w:p>
    <w:p w14:paraId="5C7CE68D" w14:textId="77777777" w:rsidR="00343DB5" w:rsidRPr="00DF75A6" w:rsidRDefault="00343DB5" w:rsidP="00343DB5">
      <w:pPr>
        <w:jc w:val="both"/>
        <w:rPr>
          <w:sz w:val="22"/>
          <w:szCs w:val="22"/>
          <w:shd w:val="clear" w:color="auto" w:fill="FFFFFF"/>
          <w:lang w:val="en-GB"/>
        </w:rPr>
      </w:pPr>
    </w:p>
    <w:p w14:paraId="3EA59414" w14:textId="1723C777" w:rsidR="00343DB5" w:rsidRPr="00DF75A6" w:rsidRDefault="00343DB5" w:rsidP="00343DB5">
      <w:pPr>
        <w:jc w:val="both"/>
        <w:rPr>
          <w:rFonts w:eastAsia="Calibri"/>
          <w:color w:val="000000"/>
          <w:sz w:val="22"/>
          <w:szCs w:val="22"/>
          <w:lang w:val="en-GB"/>
        </w:rPr>
      </w:pPr>
      <w:r w:rsidRPr="00DF75A6">
        <w:rPr>
          <w:rFonts w:eastAsia="Calibri"/>
          <w:color w:val="000000"/>
          <w:sz w:val="22"/>
          <w:szCs w:val="22"/>
          <w:lang w:val="en-GB"/>
        </w:rPr>
        <w:t>While SMC was leading the market in the mini-truck segment, it managed to i</w:t>
      </w:r>
      <w:r w:rsidR="008A092A" w:rsidRPr="00DF75A6">
        <w:rPr>
          <w:rFonts w:eastAsia="Calibri"/>
          <w:color w:val="000000"/>
          <w:sz w:val="22"/>
          <w:szCs w:val="22"/>
          <w:lang w:val="en-GB"/>
        </w:rPr>
        <w:t>mprove its position in the p</w:t>
      </w:r>
      <w:r w:rsidR="00CE5DD0" w:rsidRPr="00DF75A6">
        <w:rPr>
          <w:rFonts w:eastAsia="Calibri"/>
          <w:color w:val="000000"/>
          <w:sz w:val="22"/>
          <w:szCs w:val="22"/>
          <w:lang w:val="en-GB"/>
        </w:rPr>
        <w:t>ick</w:t>
      </w:r>
      <w:r w:rsidRPr="00DF75A6">
        <w:rPr>
          <w:rFonts w:eastAsia="Calibri"/>
          <w:color w:val="000000"/>
          <w:sz w:val="22"/>
          <w:szCs w:val="22"/>
          <w:lang w:val="en-GB"/>
        </w:rPr>
        <w:t xml:space="preserve">up segment with </w:t>
      </w:r>
      <w:r w:rsidR="00867438" w:rsidRPr="00DF75A6">
        <w:rPr>
          <w:rFonts w:eastAsia="Calibri"/>
          <w:color w:val="000000"/>
          <w:sz w:val="22"/>
          <w:szCs w:val="22"/>
          <w:lang w:val="en-GB"/>
        </w:rPr>
        <w:t xml:space="preserve">the </w:t>
      </w:r>
      <w:r w:rsidRPr="00DF75A6">
        <w:rPr>
          <w:rFonts w:eastAsia="Calibri"/>
          <w:color w:val="000000"/>
          <w:sz w:val="22"/>
          <w:szCs w:val="22"/>
          <w:lang w:val="en-GB"/>
        </w:rPr>
        <w:t xml:space="preserve">SMC Eco </w:t>
      </w:r>
      <w:r w:rsidR="00F51852" w:rsidRPr="00DF75A6">
        <w:rPr>
          <w:rFonts w:eastAsia="Calibri"/>
          <w:color w:val="000000"/>
          <w:sz w:val="22"/>
          <w:szCs w:val="22"/>
          <w:lang w:val="en-GB"/>
        </w:rPr>
        <w:t>Plus</w:t>
      </w:r>
      <w:r w:rsidR="005148F3" w:rsidRPr="00DF75A6">
        <w:rPr>
          <w:rFonts w:eastAsia="Calibri"/>
          <w:color w:val="000000"/>
          <w:sz w:val="22"/>
          <w:szCs w:val="22"/>
          <w:lang w:val="en-GB"/>
        </w:rPr>
        <w:t>,</w:t>
      </w:r>
      <w:r w:rsidRPr="00DF75A6">
        <w:rPr>
          <w:rFonts w:eastAsia="Calibri"/>
          <w:color w:val="000000"/>
          <w:sz w:val="22"/>
          <w:szCs w:val="22"/>
          <w:lang w:val="en-GB"/>
        </w:rPr>
        <w:t xml:space="preserve"> and </w:t>
      </w:r>
      <w:r w:rsidR="005148F3" w:rsidRPr="00DF75A6">
        <w:rPr>
          <w:rFonts w:eastAsia="Calibri"/>
          <w:color w:val="000000"/>
          <w:sz w:val="22"/>
          <w:szCs w:val="22"/>
          <w:lang w:val="en-GB"/>
        </w:rPr>
        <w:t>it r</w:t>
      </w:r>
      <w:r w:rsidRPr="00DF75A6">
        <w:rPr>
          <w:rFonts w:eastAsia="Calibri"/>
          <w:color w:val="000000"/>
          <w:sz w:val="22"/>
          <w:szCs w:val="22"/>
          <w:lang w:val="en-GB"/>
        </w:rPr>
        <w:t xml:space="preserve">egained the second position it had lost to Mohan Motors in </w:t>
      </w:r>
      <w:r w:rsidR="00435186">
        <w:rPr>
          <w:rFonts w:eastAsia="Calibri"/>
          <w:color w:val="000000"/>
          <w:sz w:val="22"/>
          <w:szCs w:val="22"/>
          <w:lang w:val="en-GB"/>
        </w:rPr>
        <w:t>FY</w:t>
      </w:r>
      <w:r w:rsidRPr="00DF75A6">
        <w:rPr>
          <w:rFonts w:eastAsia="Calibri"/>
          <w:color w:val="000000"/>
          <w:sz w:val="22"/>
          <w:szCs w:val="22"/>
          <w:lang w:val="en-GB"/>
        </w:rPr>
        <w:t>2015</w:t>
      </w:r>
      <w:r w:rsidR="005148F3" w:rsidRPr="00DF75A6">
        <w:rPr>
          <w:rFonts w:eastAsia="Calibri"/>
          <w:color w:val="000000"/>
          <w:sz w:val="22"/>
          <w:szCs w:val="22"/>
          <w:lang w:val="en-GB"/>
        </w:rPr>
        <w:t>–</w:t>
      </w:r>
      <w:r w:rsidRPr="00DF75A6">
        <w:rPr>
          <w:rFonts w:eastAsia="Calibri"/>
          <w:color w:val="000000"/>
          <w:sz w:val="22"/>
          <w:szCs w:val="22"/>
          <w:lang w:val="en-GB"/>
        </w:rPr>
        <w:t xml:space="preserve">16. </w:t>
      </w:r>
      <w:r w:rsidR="00867438" w:rsidRPr="00DF75A6">
        <w:rPr>
          <w:rFonts w:eastAsia="Calibri"/>
          <w:color w:val="000000"/>
          <w:sz w:val="22"/>
          <w:szCs w:val="22"/>
          <w:lang w:val="en-GB"/>
        </w:rPr>
        <w:t xml:space="preserve">The </w:t>
      </w:r>
      <w:r w:rsidRPr="00DF75A6">
        <w:rPr>
          <w:color w:val="000000"/>
          <w:sz w:val="22"/>
          <w:szCs w:val="22"/>
          <w:shd w:val="clear" w:color="auto" w:fill="FFFFFF"/>
          <w:lang w:val="en-GB"/>
        </w:rPr>
        <w:t xml:space="preserve">Eco </w:t>
      </w:r>
      <w:r w:rsidR="00F51852" w:rsidRPr="00DF75A6">
        <w:rPr>
          <w:color w:val="000000"/>
          <w:sz w:val="22"/>
          <w:szCs w:val="22"/>
          <w:shd w:val="clear" w:color="auto" w:fill="FFFFFF"/>
          <w:lang w:val="en-GB"/>
        </w:rPr>
        <w:t xml:space="preserve">Plus </w:t>
      </w:r>
      <w:r w:rsidRPr="00DF75A6">
        <w:rPr>
          <w:color w:val="000000"/>
          <w:sz w:val="22"/>
          <w:szCs w:val="22"/>
          <w:shd w:val="clear" w:color="auto" w:fill="FFFFFF"/>
          <w:lang w:val="en-GB"/>
        </w:rPr>
        <w:t xml:space="preserve">was priced at </w:t>
      </w:r>
      <w:r w:rsidR="00F16FF1" w:rsidRPr="00520D2D">
        <w:rPr>
          <w:rFonts w:ascii="Arial" w:hAnsi="Arial" w:cs="Arial"/>
          <w:color w:val="000000"/>
          <w:shd w:val="clear" w:color="auto" w:fill="FFFFFF"/>
          <w:lang w:val="en-GB"/>
        </w:rPr>
        <w:t>₹</w:t>
      </w:r>
      <w:r w:rsidR="00F64DCA" w:rsidRPr="00DF75A6">
        <w:rPr>
          <w:color w:val="000000"/>
          <w:sz w:val="22"/>
          <w:szCs w:val="22"/>
          <w:shd w:val="clear" w:color="auto" w:fill="FFFFFF"/>
          <w:lang w:val="en-GB"/>
        </w:rPr>
        <w:t>4</w:t>
      </w:r>
      <w:r w:rsidRPr="00DF75A6">
        <w:rPr>
          <w:color w:val="000000"/>
          <w:sz w:val="22"/>
          <w:szCs w:val="22"/>
          <w:shd w:val="clear" w:color="auto" w:fill="FFFFFF"/>
          <w:lang w:val="en-GB"/>
        </w:rPr>
        <w:t>3</w:t>
      </w:r>
      <w:r w:rsidR="00F64DCA" w:rsidRPr="00DF75A6">
        <w:rPr>
          <w:color w:val="000000"/>
          <w:sz w:val="22"/>
          <w:szCs w:val="22"/>
          <w:shd w:val="clear" w:color="auto" w:fill="FFFFFF"/>
          <w:lang w:val="en-GB"/>
        </w:rPr>
        <w:t xml:space="preserve">0,000 </w:t>
      </w:r>
      <w:r w:rsidRPr="00DF75A6">
        <w:rPr>
          <w:color w:val="000000"/>
          <w:sz w:val="22"/>
          <w:szCs w:val="22"/>
          <w:shd w:val="clear" w:color="auto" w:fill="FFFFFF"/>
          <w:lang w:val="en-GB"/>
        </w:rPr>
        <w:t xml:space="preserve">and sold 6,000 units, </w:t>
      </w:r>
      <w:r w:rsidR="005148F3" w:rsidRPr="00DF75A6">
        <w:rPr>
          <w:color w:val="000000"/>
          <w:sz w:val="22"/>
          <w:szCs w:val="22"/>
          <w:shd w:val="clear" w:color="auto" w:fill="FFFFFF"/>
          <w:lang w:val="en-GB"/>
        </w:rPr>
        <w:t>surpassing more</w:t>
      </w:r>
      <w:r w:rsidRPr="00DF75A6">
        <w:rPr>
          <w:color w:val="000000"/>
          <w:sz w:val="22"/>
          <w:szCs w:val="22"/>
          <w:shd w:val="clear" w:color="auto" w:fill="FFFFFF"/>
          <w:lang w:val="en-GB"/>
        </w:rPr>
        <w:t xml:space="preserve"> established products. Isuzu Motors</w:t>
      </w:r>
      <w:r w:rsidR="00F16FF1" w:rsidRPr="00DF75A6">
        <w:rPr>
          <w:color w:val="000000"/>
          <w:sz w:val="22"/>
          <w:szCs w:val="22"/>
          <w:shd w:val="clear" w:color="auto" w:fill="FFFFFF"/>
          <w:lang w:val="en-GB"/>
        </w:rPr>
        <w:t xml:space="preserve"> Ltd.</w:t>
      </w:r>
      <w:r w:rsidRPr="00DF75A6">
        <w:rPr>
          <w:color w:val="000000"/>
          <w:sz w:val="22"/>
          <w:szCs w:val="22"/>
          <w:shd w:val="clear" w:color="auto" w:fill="FFFFFF"/>
          <w:lang w:val="en-GB"/>
        </w:rPr>
        <w:t>, a new entrant in the segment, sold 885 units of the D-Max</w:t>
      </w:r>
      <w:r w:rsidR="005148F3" w:rsidRPr="00DF75A6">
        <w:rPr>
          <w:color w:val="000000"/>
          <w:sz w:val="22"/>
          <w:szCs w:val="22"/>
          <w:shd w:val="clear" w:color="auto" w:fill="FFFFFF"/>
          <w:lang w:val="en-GB"/>
        </w:rPr>
        <w:t xml:space="preserve"> in</w:t>
      </w:r>
      <w:r w:rsidRPr="00DF75A6">
        <w:rPr>
          <w:color w:val="000000"/>
          <w:sz w:val="22"/>
          <w:szCs w:val="22"/>
          <w:shd w:val="clear" w:color="auto" w:fill="FFFFFF"/>
          <w:lang w:val="en-GB"/>
        </w:rPr>
        <w:t xml:space="preserve"> April</w:t>
      </w:r>
      <w:r w:rsidR="005148F3" w:rsidRPr="00DF75A6">
        <w:rPr>
          <w:color w:val="000000"/>
          <w:sz w:val="22"/>
          <w:szCs w:val="22"/>
          <w:shd w:val="clear" w:color="auto" w:fill="FFFFFF"/>
          <w:lang w:val="en-GB"/>
        </w:rPr>
        <w:t>–</w:t>
      </w:r>
      <w:r w:rsidRPr="00DF75A6">
        <w:rPr>
          <w:color w:val="000000"/>
          <w:sz w:val="22"/>
          <w:szCs w:val="22"/>
          <w:shd w:val="clear" w:color="auto" w:fill="FFFFFF"/>
          <w:lang w:val="en-GB"/>
        </w:rPr>
        <w:t xml:space="preserve">November </w:t>
      </w:r>
      <w:r w:rsidRPr="00DF75A6">
        <w:rPr>
          <w:color w:val="000000"/>
          <w:sz w:val="22"/>
          <w:szCs w:val="22"/>
          <w:shd w:val="clear" w:color="auto" w:fill="FFFFFF"/>
          <w:lang w:val="en-GB"/>
        </w:rPr>
        <w:lastRenderedPageBreak/>
        <w:t>2015, up 85 per</w:t>
      </w:r>
      <w:r w:rsidR="00F16FF1" w:rsidRPr="00DF75A6">
        <w:rPr>
          <w:color w:val="000000"/>
          <w:sz w:val="22"/>
          <w:szCs w:val="22"/>
          <w:shd w:val="clear" w:color="auto" w:fill="FFFFFF"/>
          <w:lang w:val="en-GB"/>
        </w:rPr>
        <w:t xml:space="preserve"> </w:t>
      </w:r>
      <w:r w:rsidRPr="00DF75A6">
        <w:rPr>
          <w:color w:val="000000"/>
          <w:sz w:val="22"/>
          <w:szCs w:val="22"/>
          <w:shd w:val="clear" w:color="auto" w:fill="FFFFFF"/>
          <w:lang w:val="en-GB"/>
        </w:rPr>
        <w:t xml:space="preserve">cent over the 476 units </w:t>
      </w:r>
      <w:r w:rsidR="00435186">
        <w:rPr>
          <w:color w:val="000000"/>
          <w:sz w:val="22"/>
          <w:szCs w:val="22"/>
          <w:shd w:val="clear" w:color="auto" w:fill="FFFFFF"/>
          <w:lang w:val="en-GB"/>
        </w:rPr>
        <w:t xml:space="preserve">it </w:t>
      </w:r>
      <w:r w:rsidRPr="00DF75A6">
        <w:rPr>
          <w:color w:val="000000"/>
          <w:sz w:val="22"/>
          <w:szCs w:val="22"/>
          <w:shd w:val="clear" w:color="auto" w:fill="FFFFFF"/>
          <w:lang w:val="en-GB"/>
        </w:rPr>
        <w:t>sold in April</w:t>
      </w:r>
      <w:r w:rsidR="005148F3" w:rsidRPr="00DF75A6">
        <w:rPr>
          <w:color w:val="000000"/>
          <w:sz w:val="22"/>
          <w:szCs w:val="22"/>
          <w:shd w:val="clear" w:color="auto" w:fill="FFFFFF"/>
          <w:lang w:val="en-GB"/>
        </w:rPr>
        <w:t>–</w:t>
      </w:r>
      <w:r w:rsidRPr="00DF75A6">
        <w:rPr>
          <w:color w:val="000000"/>
          <w:sz w:val="22"/>
          <w:szCs w:val="22"/>
          <w:shd w:val="clear" w:color="auto" w:fill="FFFFFF"/>
          <w:lang w:val="en-GB"/>
        </w:rPr>
        <w:t>November 2014</w:t>
      </w:r>
      <w:r w:rsidR="008A092A" w:rsidRPr="00DF75A6">
        <w:rPr>
          <w:color w:val="000000"/>
          <w:sz w:val="22"/>
          <w:szCs w:val="22"/>
          <w:shd w:val="clear" w:color="auto" w:fill="FFFFFF"/>
          <w:lang w:val="en-GB"/>
        </w:rPr>
        <w:t>.</w:t>
      </w:r>
      <w:r w:rsidRPr="00DF75A6">
        <w:rPr>
          <w:color w:val="000000"/>
          <w:sz w:val="22"/>
          <w:szCs w:val="22"/>
          <w:shd w:val="clear" w:color="auto" w:fill="FFFFFF"/>
          <w:vertAlign w:val="superscript"/>
          <w:lang w:val="en-GB"/>
        </w:rPr>
        <w:footnoteReference w:id="4"/>
      </w:r>
      <w:r w:rsidRPr="00DF75A6">
        <w:rPr>
          <w:color w:val="000000"/>
          <w:sz w:val="22"/>
          <w:szCs w:val="22"/>
          <w:shd w:val="clear" w:color="auto" w:fill="FFFFFF"/>
          <w:lang w:val="en-GB"/>
        </w:rPr>
        <w:t xml:space="preserve"> The company was expanding its dealership network across the country </w:t>
      </w:r>
      <w:r w:rsidR="005148F3" w:rsidRPr="00DF75A6">
        <w:rPr>
          <w:color w:val="000000"/>
          <w:sz w:val="22"/>
          <w:szCs w:val="22"/>
          <w:shd w:val="clear" w:color="auto" w:fill="FFFFFF"/>
          <w:lang w:val="en-GB"/>
        </w:rPr>
        <w:t xml:space="preserve">and </w:t>
      </w:r>
      <w:r w:rsidR="00F16FF1" w:rsidRPr="00DF75A6">
        <w:rPr>
          <w:color w:val="000000"/>
          <w:sz w:val="22"/>
          <w:szCs w:val="22"/>
          <w:shd w:val="clear" w:color="auto" w:fill="FFFFFF"/>
          <w:lang w:val="en-GB"/>
        </w:rPr>
        <w:t xml:space="preserve">had taken </w:t>
      </w:r>
      <w:r w:rsidRPr="00DF75A6">
        <w:rPr>
          <w:color w:val="000000"/>
          <w:sz w:val="22"/>
          <w:szCs w:val="22"/>
          <w:shd w:val="clear" w:color="auto" w:fill="FFFFFF"/>
          <w:lang w:val="en-GB"/>
        </w:rPr>
        <w:t xml:space="preserve">aggressive </w:t>
      </w:r>
      <w:r w:rsidR="005148F3" w:rsidRPr="00DF75A6">
        <w:rPr>
          <w:color w:val="000000"/>
          <w:sz w:val="22"/>
          <w:szCs w:val="22"/>
          <w:shd w:val="clear" w:color="auto" w:fill="FFFFFF"/>
          <w:lang w:val="en-GB"/>
        </w:rPr>
        <w:t xml:space="preserve">action </w:t>
      </w:r>
      <w:r w:rsidRPr="00DF75A6">
        <w:rPr>
          <w:color w:val="000000"/>
          <w:sz w:val="22"/>
          <w:szCs w:val="22"/>
          <w:shd w:val="clear" w:color="auto" w:fill="FFFFFF"/>
          <w:lang w:val="en-GB"/>
        </w:rPr>
        <w:t xml:space="preserve">in building a foothold in </w:t>
      </w:r>
      <w:r w:rsidR="005148F3" w:rsidRPr="00DF75A6">
        <w:rPr>
          <w:color w:val="000000"/>
          <w:sz w:val="22"/>
          <w:szCs w:val="22"/>
          <w:shd w:val="clear" w:color="auto" w:fill="FFFFFF"/>
          <w:lang w:val="en-GB"/>
        </w:rPr>
        <w:t xml:space="preserve">the </w:t>
      </w:r>
      <w:r w:rsidRPr="00DF75A6">
        <w:rPr>
          <w:color w:val="000000"/>
          <w:sz w:val="22"/>
          <w:szCs w:val="22"/>
          <w:shd w:val="clear" w:color="auto" w:fill="FFFFFF"/>
          <w:lang w:val="en-GB"/>
        </w:rPr>
        <w:t>Indian pickup market, further intensifying the competition.</w:t>
      </w:r>
    </w:p>
    <w:p w14:paraId="712E8979" w14:textId="77777777" w:rsidR="00343DB5" w:rsidRPr="00DF75A6" w:rsidRDefault="00343DB5" w:rsidP="00343DB5">
      <w:pPr>
        <w:jc w:val="both"/>
        <w:rPr>
          <w:rFonts w:eastAsia="Calibri"/>
          <w:b/>
          <w:sz w:val="22"/>
          <w:szCs w:val="22"/>
          <w:lang w:val="en-GB"/>
        </w:rPr>
      </w:pPr>
    </w:p>
    <w:p w14:paraId="02C20860" w14:textId="77777777" w:rsidR="00EB0DD8" w:rsidRPr="00DF75A6" w:rsidRDefault="00EB0DD8" w:rsidP="00343DB5">
      <w:pPr>
        <w:jc w:val="both"/>
        <w:rPr>
          <w:rFonts w:eastAsia="Calibri"/>
          <w:b/>
          <w:sz w:val="22"/>
          <w:szCs w:val="22"/>
          <w:lang w:val="en-GB"/>
        </w:rPr>
      </w:pPr>
    </w:p>
    <w:p w14:paraId="6B9A8141" w14:textId="5C7DC35F" w:rsidR="00343DB5" w:rsidRPr="00DF75A6" w:rsidRDefault="00343DB5" w:rsidP="00CE5DD0">
      <w:pPr>
        <w:pStyle w:val="Casehead1"/>
        <w:outlineLvl w:val="0"/>
        <w:rPr>
          <w:rFonts w:eastAsia="Calibri"/>
          <w:lang w:val="en-GB"/>
        </w:rPr>
      </w:pPr>
      <w:r w:rsidRPr="00DF75A6">
        <w:rPr>
          <w:rFonts w:eastAsia="Calibri"/>
          <w:lang w:val="en-GB"/>
        </w:rPr>
        <w:t>Pickup Application</w:t>
      </w:r>
      <w:r w:rsidR="005148F3" w:rsidRPr="00DF75A6">
        <w:rPr>
          <w:rFonts w:eastAsia="Calibri"/>
          <w:lang w:val="en-GB"/>
        </w:rPr>
        <w:t>S</w:t>
      </w:r>
      <w:r w:rsidRPr="00DF75A6">
        <w:rPr>
          <w:rFonts w:eastAsia="Calibri"/>
          <w:lang w:val="en-GB"/>
        </w:rPr>
        <w:t xml:space="preserve"> and Consumer Behavio</w:t>
      </w:r>
      <w:r w:rsidR="009A59F4" w:rsidRPr="00DF75A6">
        <w:rPr>
          <w:rFonts w:eastAsia="Calibri"/>
          <w:lang w:val="en-GB"/>
        </w:rPr>
        <w:t>u</w:t>
      </w:r>
      <w:r w:rsidRPr="00DF75A6">
        <w:rPr>
          <w:rFonts w:eastAsia="Calibri"/>
          <w:lang w:val="en-GB"/>
        </w:rPr>
        <w:t xml:space="preserve">r </w:t>
      </w:r>
    </w:p>
    <w:p w14:paraId="215D7B33" w14:textId="77777777" w:rsidR="00E819D3" w:rsidRPr="00DF75A6" w:rsidRDefault="00E819D3" w:rsidP="00E819D3">
      <w:pPr>
        <w:pStyle w:val="BodyTextMain"/>
        <w:rPr>
          <w:rFonts w:eastAsia="Calibri"/>
          <w:lang w:val="en-GB"/>
        </w:rPr>
      </w:pPr>
    </w:p>
    <w:p w14:paraId="02B1BE02" w14:textId="38BEC7E4" w:rsidR="00343DB5" w:rsidRPr="00DF75A6" w:rsidRDefault="00343DB5" w:rsidP="00343DB5">
      <w:pPr>
        <w:jc w:val="both"/>
        <w:rPr>
          <w:rFonts w:eastAsia="Calibri"/>
          <w:color w:val="222222"/>
          <w:sz w:val="22"/>
          <w:szCs w:val="22"/>
          <w:lang w:val="en-GB"/>
        </w:rPr>
      </w:pPr>
      <w:r w:rsidRPr="00DF75A6">
        <w:rPr>
          <w:rFonts w:eastAsia="Calibri"/>
          <w:color w:val="222222"/>
          <w:sz w:val="22"/>
          <w:szCs w:val="22"/>
          <w:lang w:val="en-GB"/>
        </w:rPr>
        <w:t>Pickup trucks were used by small business owners who did not require heavy transport vehicle</w:t>
      </w:r>
      <w:r w:rsidR="009A59F4" w:rsidRPr="00DF75A6">
        <w:rPr>
          <w:rFonts w:eastAsia="Calibri"/>
          <w:color w:val="222222"/>
          <w:sz w:val="22"/>
          <w:szCs w:val="22"/>
          <w:lang w:val="en-GB"/>
        </w:rPr>
        <w:t>s</w:t>
      </w:r>
      <w:r w:rsidRPr="00DF75A6">
        <w:rPr>
          <w:rFonts w:eastAsia="Calibri"/>
          <w:color w:val="222222"/>
          <w:sz w:val="22"/>
          <w:szCs w:val="22"/>
          <w:lang w:val="en-GB"/>
        </w:rPr>
        <w:t xml:space="preserve"> and worked close </w:t>
      </w:r>
      <w:r w:rsidR="005148F3" w:rsidRPr="00DF75A6">
        <w:rPr>
          <w:rFonts w:eastAsia="Calibri"/>
          <w:color w:val="222222"/>
          <w:sz w:val="22"/>
          <w:szCs w:val="22"/>
          <w:lang w:val="en-GB"/>
        </w:rPr>
        <w:t>to their homes</w:t>
      </w:r>
      <w:r w:rsidRPr="00DF75A6">
        <w:rPr>
          <w:rFonts w:eastAsia="Calibri"/>
          <w:color w:val="222222"/>
          <w:sz w:val="22"/>
          <w:szCs w:val="22"/>
          <w:lang w:val="en-GB"/>
        </w:rPr>
        <w:t>. Small business owners were mostly price sensitive and demanded powerful</w:t>
      </w:r>
      <w:r w:rsidR="005148F3" w:rsidRPr="00DF75A6">
        <w:rPr>
          <w:rFonts w:eastAsia="Calibri"/>
          <w:color w:val="222222"/>
          <w:sz w:val="22"/>
          <w:szCs w:val="22"/>
          <w:lang w:val="en-GB"/>
        </w:rPr>
        <w:t xml:space="preserve"> and durable</w:t>
      </w:r>
      <w:r w:rsidRPr="00DF75A6">
        <w:rPr>
          <w:rFonts w:eastAsia="Calibri"/>
          <w:color w:val="222222"/>
          <w:sz w:val="22"/>
          <w:szCs w:val="22"/>
          <w:lang w:val="en-GB"/>
        </w:rPr>
        <w:t xml:space="preserve"> yet efficient vehicle</w:t>
      </w:r>
      <w:r w:rsidR="009A59F4" w:rsidRPr="00DF75A6">
        <w:rPr>
          <w:rFonts w:eastAsia="Calibri"/>
          <w:color w:val="222222"/>
          <w:sz w:val="22"/>
          <w:szCs w:val="22"/>
          <w:lang w:val="en-GB"/>
        </w:rPr>
        <w:t>s</w:t>
      </w:r>
      <w:r w:rsidR="005148F3" w:rsidRPr="00DF75A6">
        <w:rPr>
          <w:rFonts w:eastAsia="Calibri"/>
          <w:color w:val="222222"/>
          <w:sz w:val="22"/>
          <w:szCs w:val="22"/>
          <w:lang w:val="en-GB"/>
        </w:rPr>
        <w:t xml:space="preserve"> </w:t>
      </w:r>
      <w:r w:rsidRPr="00DF75A6">
        <w:rPr>
          <w:rFonts w:eastAsia="Calibri"/>
          <w:color w:val="222222"/>
          <w:sz w:val="22"/>
          <w:szCs w:val="22"/>
          <w:lang w:val="en-GB"/>
        </w:rPr>
        <w:t xml:space="preserve">at the lowest possible cost. This acquisition cost sensitive consumer segment preferred </w:t>
      </w:r>
      <w:r w:rsidR="005148F3" w:rsidRPr="00DF75A6">
        <w:rPr>
          <w:rFonts w:eastAsia="Calibri"/>
          <w:color w:val="222222"/>
          <w:sz w:val="22"/>
          <w:szCs w:val="22"/>
          <w:lang w:val="en-GB"/>
        </w:rPr>
        <w:t xml:space="preserve">a </w:t>
      </w:r>
      <w:r w:rsidRPr="00DF75A6">
        <w:rPr>
          <w:rFonts w:eastAsia="Calibri"/>
          <w:color w:val="222222"/>
          <w:sz w:val="22"/>
          <w:szCs w:val="22"/>
          <w:lang w:val="en-GB"/>
        </w:rPr>
        <w:t>crude yet powerful vehicle with a flat</w:t>
      </w:r>
      <w:r w:rsidR="009A59F4" w:rsidRPr="00DF75A6">
        <w:rPr>
          <w:rFonts w:eastAsia="Calibri"/>
          <w:color w:val="222222"/>
          <w:sz w:val="22"/>
          <w:szCs w:val="22"/>
          <w:lang w:val="en-GB"/>
        </w:rPr>
        <w:t xml:space="preserve"> </w:t>
      </w:r>
      <w:r w:rsidRPr="00DF75A6">
        <w:rPr>
          <w:rFonts w:eastAsia="Calibri"/>
          <w:color w:val="222222"/>
          <w:sz w:val="22"/>
          <w:szCs w:val="22"/>
          <w:lang w:val="en-GB"/>
        </w:rPr>
        <w:t xml:space="preserve">bed at the rear. As </w:t>
      </w:r>
      <w:r w:rsidR="009A59F4" w:rsidRPr="00DF75A6">
        <w:rPr>
          <w:rFonts w:eastAsia="Calibri"/>
          <w:color w:val="222222"/>
          <w:sz w:val="22"/>
          <w:szCs w:val="22"/>
          <w:lang w:val="en-GB"/>
        </w:rPr>
        <w:t xml:space="preserve">consumers’ </w:t>
      </w:r>
      <w:r w:rsidRPr="00DF75A6">
        <w:rPr>
          <w:rFonts w:eastAsia="Calibri"/>
          <w:color w:val="222222"/>
          <w:sz w:val="22"/>
          <w:szCs w:val="22"/>
          <w:lang w:val="en-GB"/>
        </w:rPr>
        <w:t xml:space="preserve">buying power increased, they became </w:t>
      </w:r>
      <w:r w:rsidR="005148F3" w:rsidRPr="00DF75A6">
        <w:rPr>
          <w:rFonts w:eastAsia="Calibri"/>
          <w:color w:val="222222"/>
          <w:sz w:val="22"/>
          <w:szCs w:val="22"/>
          <w:lang w:val="en-GB"/>
        </w:rPr>
        <w:t xml:space="preserve">sensitive to </w:t>
      </w:r>
      <w:r w:rsidRPr="00DF75A6">
        <w:rPr>
          <w:rFonts w:eastAsia="Calibri"/>
          <w:color w:val="222222"/>
          <w:sz w:val="22"/>
          <w:szCs w:val="22"/>
          <w:lang w:val="en-GB"/>
        </w:rPr>
        <w:t>return</w:t>
      </w:r>
      <w:r w:rsidR="005148F3" w:rsidRPr="00DF75A6">
        <w:rPr>
          <w:rFonts w:eastAsia="Calibri"/>
          <w:color w:val="222222"/>
          <w:sz w:val="22"/>
          <w:szCs w:val="22"/>
          <w:lang w:val="en-GB"/>
        </w:rPr>
        <w:t>s</w:t>
      </w:r>
      <w:r w:rsidRPr="00DF75A6">
        <w:rPr>
          <w:rFonts w:eastAsia="Calibri"/>
          <w:color w:val="222222"/>
          <w:sz w:val="22"/>
          <w:szCs w:val="22"/>
          <w:lang w:val="en-GB"/>
        </w:rPr>
        <w:t xml:space="preserve"> on investment</w:t>
      </w:r>
      <w:r w:rsidR="009A59F4" w:rsidRPr="00DF75A6">
        <w:rPr>
          <w:rFonts w:eastAsia="Calibri"/>
          <w:color w:val="222222"/>
          <w:sz w:val="22"/>
          <w:szCs w:val="22"/>
          <w:lang w:val="en-GB"/>
        </w:rPr>
        <w:t>s</w:t>
      </w:r>
      <w:r w:rsidR="005148F3" w:rsidRPr="00DF75A6">
        <w:rPr>
          <w:rFonts w:eastAsia="Calibri"/>
          <w:color w:val="222222"/>
          <w:sz w:val="22"/>
          <w:szCs w:val="22"/>
          <w:lang w:val="en-GB"/>
        </w:rPr>
        <w:t xml:space="preserve"> </w:t>
      </w:r>
      <w:r w:rsidRPr="00DF75A6">
        <w:rPr>
          <w:rFonts w:eastAsia="Calibri"/>
          <w:color w:val="222222"/>
          <w:sz w:val="22"/>
          <w:szCs w:val="22"/>
          <w:lang w:val="en-GB"/>
        </w:rPr>
        <w:t xml:space="preserve">and </w:t>
      </w:r>
      <w:r w:rsidR="005148F3" w:rsidRPr="00DF75A6">
        <w:rPr>
          <w:rFonts w:eastAsia="Calibri"/>
          <w:color w:val="222222"/>
          <w:sz w:val="22"/>
          <w:szCs w:val="22"/>
          <w:lang w:val="en-GB"/>
        </w:rPr>
        <w:t xml:space="preserve">identified </w:t>
      </w:r>
      <w:r w:rsidRPr="00DF75A6">
        <w:rPr>
          <w:rFonts w:eastAsia="Calibri"/>
          <w:color w:val="222222"/>
          <w:sz w:val="22"/>
          <w:szCs w:val="22"/>
          <w:lang w:val="en-GB"/>
        </w:rPr>
        <w:t xml:space="preserve">pickup trucks </w:t>
      </w:r>
      <w:r w:rsidR="005148F3" w:rsidRPr="00DF75A6">
        <w:rPr>
          <w:rFonts w:eastAsia="Calibri"/>
          <w:color w:val="222222"/>
          <w:sz w:val="22"/>
          <w:szCs w:val="22"/>
          <w:lang w:val="en-GB"/>
        </w:rPr>
        <w:t>as</w:t>
      </w:r>
      <w:r w:rsidRPr="00DF75A6">
        <w:rPr>
          <w:rFonts w:eastAsia="Calibri"/>
          <w:color w:val="222222"/>
          <w:sz w:val="22"/>
          <w:szCs w:val="22"/>
          <w:lang w:val="en-GB"/>
        </w:rPr>
        <w:t xml:space="preserve"> a good alternative. </w:t>
      </w:r>
      <w:r w:rsidR="009A59F4" w:rsidRPr="00DF75A6">
        <w:rPr>
          <w:rFonts w:eastAsia="Calibri"/>
          <w:color w:val="222222"/>
          <w:sz w:val="22"/>
          <w:szCs w:val="22"/>
          <w:lang w:val="en-GB"/>
        </w:rPr>
        <w:t>T</w:t>
      </w:r>
      <w:r w:rsidRPr="00DF75A6">
        <w:rPr>
          <w:rFonts w:eastAsia="Calibri"/>
          <w:color w:val="222222"/>
          <w:sz w:val="22"/>
          <w:szCs w:val="22"/>
          <w:lang w:val="en-GB"/>
        </w:rPr>
        <w:t xml:space="preserve">he crude yet powerful and efficient vehicle </w:t>
      </w:r>
      <w:r w:rsidR="009A59F4" w:rsidRPr="00DF75A6">
        <w:rPr>
          <w:rFonts w:eastAsia="Calibri"/>
          <w:color w:val="222222"/>
          <w:sz w:val="22"/>
          <w:szCs w:val="22"/>
          <w:lang w:val="en-GB"/>
        </w:rPr>
        <w:t xml:space="preserve">allowed other consumers </w:t>
      </w:r>
      <w:r w:rsidRPr="00DF75A6">
        <w:rPr>
          <w:rFonts w:eastAsia="Calibri"/>
          <w:color w:val="222222"/>
          <w:sz w:val="22"/>
          <w:szCs w:val="22"/>
          <w:lang w:val="en-GB"/>
        </w:rPr>
        <w:t xml:space="preserve">to experiment with the design, add features, and make it more personal. This second </w:t>
      </w:r>
      <w:r w:rsidR="009A59F4" w:rsidRPr="00DF75A6">
        <w:rPr>
          <w:rFonts w:eastAsia="Calibri"/>
          <w:color w:val="222222"/>
          <w:sz w:val="22"/>
          <w:szCs w:val="22"/>
          <w:lang w:val="en-GB"/>
        </w:rPr>
        <w:t xml:space="preserve">group </w:t>
      </w:r>
      <w:r w:rsidRPr="00DF75A6">
        <w:rPr>
          <w:rFonts w:eastAsia="Calibri"/>
          <w:color w:val="222222"/>
          <w:sz w:val="22"/>
          <w:szCs w:val="22"/>
          <w:lang w:val="en-GB"/>
        </w:rPr>
        <w:t xml:space="preserve">of consumers </w:t>
      </w:r>
      <w:r w:rsidR="00415B29">
        <w:rPr>
          <w:rFonts w:eastAsia="Calibri"/>
          <w:color w:val="222222"/>
          <w:sz w:val="22"/>
          <w:szCs w:val="22"/>
          <w:lang w:val="en-GB"/>
        </w:rPr>
        <w:t>turned</w:t>
      </w:r>
      <w:r w:rsidRPr="00DF75A6">
        <w:rPr>
          <w:rFonts w:eastAsia="Calibri"/>
          <w:color w:val="222222"/>
          <w:sz w:val="22"/>
          <w:szCs w:val="22"/>
          <w:lang w:val="en-GB"/>
        </w:rPr>
        <w:t xml:space="preserve"> the pickup truck</w:t>
      </w:r>
      <w:r w:rsidR="00435186">
        <w:rPr>
          <w:rFonts w:eastAsia="Calibri"/>
          <w:color w:val="222222"/>
          <w:sz w:val="22"/>
          <w:szCs w:val="22"/>
          <w:lang w:val="en-GB"/>
        </w:rPr>
        <w:t>, originally</w:t>
      </w:r>
      <w:r w:rsidRPr="00DF75A6">
        <w:rPr>
          <w:rFonts w:eastAsia="Calibri"/>
          <w:color w:val="222222"/>
          <w:sz w:val="22"/>
          <w:szCs w:val="22"/>
          <w:lang w:val="en-GB"/>
        </w:rPr>
        <w:t xml:space="preserve"> </w:t>
      </w:r>
      <w:r w:rsidR="00435186">
        <w:rPr>
          <w:rFonts w:eastAsia="Calibri"/>
          <w:color w:val="222222"/>
          <w:sz w:val="22"/>
          <w:szCs w:val="22"/>
          <w:lang w:val="en-GB"/>
        </w:rPr>
        <w:t>a</w:t>
      </w:r>
      <w:r w:rsidR="00435186" w:rsidRPr="00DF75A6">
        <w:rPr>
          <w:rFonts w:eastAsia="Calibri"/>
          <w:color w:val="222222"/>
          <w:sz w:val="22"/>
          <w:szCs w:val="22"/>
          <w:lang w:val="en-GB"/>
        </w:rPr>
        <w:t xml:space="preserve"> livelihood product for commercial applications</w:t>
      </w:r>
      <w:r w:rsidR="00435186">
        <w:rPr>
          <w:rFonts w:eastAsia="Calibri"/>
          <w:color w:val="222222"/>
          <w:sz w:val="22"/>
          <w:szCs w:val="22"/>
          <w:lang w:val="en-GB"/>
        </w:rPr>
        <w:t>, into</w:t>
      </w:r>
      <w:r w:rsidR="00435186" w:rsidRPr="00DF75A6">
        <w:rPr>
          <w:rFonts w:eastAsia="Calibri"/>
          <w:color w:val="222222"/>
          <w:sz w:val="22"/>
          <w:szCs w:val="22"/>
          <w:lang w:val="en-GB"/>
        </w:rPr>
        <w:t xml:space="preserve"> </w:t>
      </w:r>
      <w:r w:rsidRPr="00DF75A6">
        <w:rPr>
          <w:rFonts w:eastAsia="Calibri"/>
          <w:color w:val="222222"/>
          <w:sz w:val="22"/>
          <w:szCs w:val="22"/>
          <w:lang w:val="en-GB"/>
        </w:rPr>
        <w:t xml:space="preserve">a lifestyle product. </w:t>
      </w:r>
      <w:r w:rsidR="00D90B10" w:rsidRPr="00DF75A6">
        <w:rPr>
          <w:rFonts w:eastAsia="Calibri"/>
          <w:sz w:val="22"/>
          <w:szCs w:val="22"/>
          <w:lang w:val="en-GB"/>
        </w:rPr>
        <w:t xml:space="preserve">Pickups were </w:t>
      </w:r>
      <w:r w:rsidR="00435186">
        <w:rPr>
          <w:rFonts w:eastAsia="Calibri"/>
          <w:sz w:val="22"/>
          <w:szCs w:val="22"/>
          <w:lang w:val="en-GB"/>
        </w:rPr>
        <w:t xml:space="preserve">also </w:t>
      </w:r>
      <w:r w:rsidR="00D90B10" w:rsidRPr="00DF75A6">
        <w:rPr>
          <w:rFonts w:eastAsia="Calibri"/>
          <w:sz w:val="22"/>
          <w:szCs w:val="22"/>
          <w:lang w:val="en-GB"/>
        </w:rPr>
        <w:t>used c</w:t>
      </w:r>
      <w:r w:rsidRPr="00DF75A6">
        <w:rPr>
          <w:rFonts w:eastAsia="Calibri"/>
          <w:sz w:val="22"/>
          <w:szCs w:val="22"/>
          <w:lang w:val="en-GB"/>
        </w:rPr>
        <w:t>ommercial</w:t>
      </w:r>
      <w:r w:rsidR="00D90B10" w:rsidRPr="00DF75A6">
        <w:rPr>
          <w:rFonts w:eastAsia="Calibri"/>
          <w:sz w:val="22"/>
          <w:szCs w:val="22"/>
          <w:lang w:val="en-GB"/>
        </w:rPr>
        <w:t>ly</w:t>
      </w:r>
      <w:r w:rsidRPr="00DF75A6">
        <w:rPr>
          <w:rFonts w:eastAsia="Calibri"/>
          <w:sz w:val="22"/>
          <w:szCs w:val="22"/>
          <w:lang w:val="en-GB"/>
        </w:rPr>
        <w:t xml:space="preserve"> in </w:t>
      </w:r>
      <w:r w:rsidR="005148F3" w:rsidRPr="00DF75A6">
        <w:rPr>
          <w:rFonts w:eastAsia="Calibri"/>
          <w:sz w:val="22"/>
          <w:szCs w:val="22"/>
          <w:lang w:val="en-GB"/>
        </w:rPr>
        <w:t xml:space="preserve">the </w:t>
      </w:r>
      <w:r w:rsidRPr="00DF75A6">
        <w:rPr>
          <w:rFonts w:eastAsia="Calibri"/>
          <w:sz w:val="22"/>
          <w:szCs w:val="22"/>
          <w:lang w:val="en-GB"/>
        </w:rPr>
        <w:t xml:space="preserve">agriculture, </w:t>
      </w:r>
      <w:r w:rsidR="00D90B10" w:rsidRPr="00DF75A6">
        <w:rPr>
          <w:rFonts w:eastAsia="Calibri"/>
          <w:sz w:val="22"/>
          <w:szCs w:val="22"/>
          <w:lang w:val="en-GB"/>
        </w:rPr>
        <w:t>fast-</w:t>
      </w:r>
      <w:r w:rsidR="005148F3" w:rsidRPr="00DF75A6">
        <w:rPr>
          <w:rFonts w:eastAsia="Calibri"/>
          <w:sz w:val="22"/>
          <w:szCs w:val="22"/>
          <w:lang w:val="en-GB"/>
        </w:rPr>
        <w:t>moving consumer goods</w:t>
      </w:r>
      <w:r w:rsidRPr="00DF75A6">
        <w:rPr>
          <w:rFonts w:eastAsia="Calibri"/>
          <w:sz w:val="22"/>
          <w:szCs w:val="22"/>
          <w:lang w:val="en-GB"/>
        </w:rPr>
        <w:t xml:space="preserve">, white goods, </w:t>
      </w:r>
      <w:r w:rsidR="00D90B10" w:rsidRPr="00DF75A6">
        <w:rPr>
          <w:rFonts w:eastAsia="Calibri"/>
          <w:sz w:val="22"/>
          <w:szCs w:val="22"/>
          <w:lang w:val="en-GB"/>
        </w:rPr>
        <w:t>poultry</w:t>
      </w:r>
      <w:r w:rsidR="00435186">
        <w:rPr>
          <w:rFonts w:eastAsia="Calibri"/>
          <w:sz w:val="22"/>
          <w:szCs w:val="22"/>
          <w:lang w:val="en-GB"/>
        </w:rPr>
        <w:t>, dairy, and bottle-carrying</w:t>
      </w:r>
      <w:r w:rsidR="00D90B10" w:rsidRPr="00DF75A6">
        <w:rPr>
          <w:rFonts w:eastAsia="Calibri"/>
          <w:sz w:val="22"/>
          <w:szCs w:val="22"/>
          <w:lang w:val="en-GB"/>
        </w:rPr>
        <w:t xml:space="preserve"> industries</w:t>
      </w:r>
      <w:r w:rsidR="008A092A" w:rsidRPr="00DF75A6">
        <w:rPr>
          <w:rFonts w:eastAsia="Calibri"/>
          <w:sz w:val="22"/>
          <w:szCs w:val="22"/>
          <w:lang w:val="en-GB"/>
        </w:rPr>
        <w:t>.</w:t>
      </w:r>
      <w:r w:rsidRPr="00DF75A6">
        <w:rPr>
          <w:rFonts w:eastAsia="Calibri"/>
          <w:sz w:val="22"/>
          <w:szCs w:val="22"/>
          <w:lang w:val="en-GB"/>
        </w:rPr>
        <w:t xml:space="preserve"> </w:t>
      </w:r>
      <w:r w:rsidR="00CE5DD0" w:rsidRPr="00DF75A6">
        <w:rPr>
          <w:rFonts w:eastAsia="Calibri"/>
          <w:sz w:val="22"/>
          <w:szCs w:val="22"/>
          <w:lang w:val="en-GB"/>
        </w:rPr>
        <w:t xml:space="preserve">Original </w:t>
      </w:r>
      <w:r w:rsidR="005148F3" w:rsidRPr="00DF75A6">
        <w:rPr>
          <w:rFonts w:eastAsia="Calibri"/>
          <w:sz w:val="22"/>
          <w:szCs w:val="22"/>
          <w:lang w:val="en-GB"/>
        </w:rPr>
        <w:t>e</w:t>
      </w:r>
      <w:r w:rsidR="00CE5DD0" w:rsidRPr="00DF75A6">
        <w:rPr>
          <w:rFonts w:eastAsia="Calibri"/>
          <w:sz w:val="22"/>
          <w:szCs w:val="22"/>
          <w:lang w:val="en-GB"/>
        </w:rPr>
        <w:t>quipment manufacturers</w:t>
      </w:r>
      <w:r w:rsidRPr="00DF75A6">
        <w:rPr>
          <w:rFonts w:eastAsia="Calibri"/>
          <w:sz w:val="22"/>
          <w:szCs w:val="22"/>
          <w:lang w:val="en-GB"/>
        </w:rPr>
        <w:t xml:space="preserve"> provide</w:t>
      </w:r>
      <w:r w:rsidR="00CE5DD0" w:rsidRPr="00DF75A6">
        <w:rPr>
          <w:rFonts w:eastAsia="Calibri"/>
          <w:sz w:val="22"/>
          <w:szCs w:val="22"/>
          <w:lang w:val="en-GB"/>
        </w:rPr>
        <w:t xml:space="preserve">d </w:t>
      </w:r>
      <w:r w:rsidRPr="00DF75A6">
        <w:rPr>
          <w:rFonts w:eastAsia="Calibri"/>
          <w:sz w:val="22"/>
          <w:szCs w:val="22"/>
          <w:lang w:val="en-GB"/>
        </w:rPr>
        <w:t xml:space="preserve">customized applications </w:t>
      </w:r>
      <w:r w:rsidR="005148F3" w:rsidRPr="00DF75A6">
        <w:rPr>
          <w:rFonts w:eastAsia="Calibri"/>
          <w:sz w:val="22"/>
          <w:szCs w:val="22"/>
          <w:lang w:val="en-GB"/>
        </w:rPr>
        <w:t xml:space="preserve">for pickups so that they could be used as </w:t>
      </w:r>
      <w:r w:rsidRPr="00DF75A6">
        <w:rPr>
          <w:rFonts w:eastAsia="Calibri"/>
          <w:sz w:val="22"/>
          <w:szCs w:val="22"/>
          <w:lang w:val="en-GB"/>
        </w:rPr>
        <w:t>courier van</w:t>
      </w:r>
      <w:r w:rsidR="005148F3" w:rsidRPr="00DF75A6">
        <w:rPr>
          <w:rFonts w:eastAsia="Calibri"/>
          <w:sz w:val="22"/>
          <w:szCs w:val="22"/>
          <w:lang w:val="en-GB"/>
        </w:rPr>
        <w:t>s</w:t>
      </w:r>
      <w:r w:rsidRPr="00DF75A6">
        <w:rPr>
          <w:rFonts w:eastAsia="Calibri"/>
          <w:sz w:val="22"/>
          <w:szCs w:val="22"/>
          <w:lang w:val="en-GB"/>
        </w:rPr>
        <w:t>, delivery van</w:t>
      </w:r>
      <w:r w:rsidR="005148F3" w:rsidRPr="00DF75A6">
        <w:rPr>
          <w:rFonts w:eastAsia="Calibri"/>
          <w:sz w:val="22"/>
          <w:szCs w:val="22"/>
          <w:lang w:val="en-GB"/>
        </w:rPr>
        <w:t>s</w:t>
      </w:r>
      <w:r w:rsidRPr="00DF75A6">
        <w:rPr>
          <w:rFonts w:eastAsia="Calibri"/>
          <w:sz w:val="22"/>
          <w:szCs w:val="22"/>
          <w:lang w:val="en-GB"/>
        </w:rPr>
        <w:t>, cash van</w:t>
      </w:r>
      <w:r w:rsidR="005148F3" w:rsidRPr="00DF75A6">
        <w:rPr>
          <w:rFonts w:eastAsia="Calibri"/>
          <w:sz w:val="22"/>
          <w:szCs w:val="22"/>
          <w:lang w:val="en-GB"/>
        </w:rPr>
        <w:t>s,</w:t>
      </w:r>
      <w:r w:rsidRPr="00DF75A6">
        <w:rPr>
          <w:rFonts w:eastAsia="Calibri"/>
          <w:sz w:val="22"/>
          <w:szCs w:val="22"/>
          <w:lang w:val="en-GB"/>
        </w:rPr>
        <w:t xml:space="preserve"> and refrigerator van</w:t>
      </w:r>
      <w:r w:rsidR="005148F3" w:rsidRPr="00DF75A6">
        <w:rPr>
          <w:rFonts w:eastAsia="Calibri"/>
          <w:sz w:val="22"/>
          <w:szCs w:val="22"/>
          <w:lang w:val="en-GB"/>
        </w:rPr>
        <w:t>s</w:t>
      </w:r>
      <w:r w:rsidRPr="00DF75A6">
        <w:rPr>
          <w:rFonts w:eastAsia="Calibri"/>
          <w:sz w:val="22"/>
          <w:szCs w:val="22"/>
          <w:lang w:val="en-GB"/>
        </w:rPr>
        <w:t xml:space="preserve">. </w:t>
      </w:r>
    </w:p>
    <w:p w14:paraId="77D314E3" w14:textId="77777777" w:rsidR="00343DB5" w:rsidRPr="00DF75A6" w:rsidRDefault="00343DB5" w:rsidP="00343DB5">
      <w:pPr>
        <w:jc w:val="both"/>
        <w:rPr>
          <w:rFonts w:eastAsia="Calibri"/>
          <w:sz w:val="22"/>
          <w:szCs w:val="22"/>
          <w:lang w:val="en-GB"/>
        </w:rPr>
      </w:pPr>
    </w:p>
    <w:p w14:paraId="77D53137" w14:textId="77777777" w:rsidR="00E819D3" w:rsidRPr="00DF75A6" w:rsidRDefault="00E819D3" w:rsidP="00343DB5">
      <w:pPr>
        <w:jc w:val="both"/>
        <w:rPr>
          <w:rFonts w:eastAsia="Calibri"/>
          <w:sz w:val="22"/>
          <w:szCs w:val="22"/>
          <w:lang w:val="en-GB"/>
        </w:rPr>
      </w:pPr>
    </w:p>
    <w:p w14:paraId="48CDF95A" w14:textId="77777777" w:rsidR="00343DB5" w:rsidRPr="00DF75A6" w:rsidRDefault="00343DB5" w:rsidP="00CE5DD0">
      <w:pPr>
        <w:pStyle w:val="Casehead1"/>
        <w:outlineLvl w:val="0"/>
        <w:rPr>
          <w:rFonts w:eastAsia="Calibri"/>
          <w:lang w:val="en-GB"/>
        </w:rPr>
      </w:pPr>
      <w:r w:rsidRPr="00DF75A6">
        <w:rPr>
          <w:rFonts w:eastAsia="Calibri"/>
          <w:lang w:val="en-GB"/>
        </w:rPr>
        <w:t>Consumer Research and Market Segments</w:t>
      </w:r>
    </w:p>
    <w:p w14:paraId="20E3BA9A" w14:textId="77777777" w:rsidR="00E819D3" w:rsidRPr="00DF75A6" w:rsidRDefault="00E819D3" w:rsidP="00E819D3">
      <w:pPr>
        <w:pStyle w:val="BodyTextMain"/>
        <w:rPr>
          <w:rFonts w:eastAsia="Calibri"/>
          <w:lang w:val="en-GB"/>
        </w:rPr>
      </w:pPr>
    </w:p>
    <w:p w14:paraId="5B7A75AB" w14:textId="0A0749FA" w:rsidR="00343DB5" w:rsidRPr="00DF75A6" w:rsidRDefault="00343DB5" w:rsidP="00343DB5">
      <w:pPr>
        <w:jc w:val="both"/>
        <w:rPr>
          <w:rFonts w:eastAsia="Calibri"/>
          <w:sz w:val="22"/>
          <w:szCs w:val="22"/>
          <w:lang w:val="en-GB"/>
        </w:rPr>
      </w:pPr>
      <w:proofErr w:type="spellStart"/>
      <w:r w:rsidRPr="00DF75A6">
        <w:rPr>
          <w:rFonts w:eastAsia="Calibri"/>
          <w:sz w:val="22"/>
          <w:szCs w:val="22"/>
          <w:lang w:val="en-GB"/>
        </w:rPr>
        <w:t>Mehragan</w:t>
      </w:r>
      <w:proofErr w:type="spellEnd"/>
      <w:r w:rsidRPr="00DF75A6">
        <w:rPr>
          <w:rFonts w:eastAsia="Calibri"/>
          <w:sz w:val="22"/>
          <w:szCs w:val="22"/>
          <w:lang w:val="en-GB"/>
        </w:rPr>
        <w:t xml:space="preserve"> and </w:t>
      </w:r>
      <w:r w:rsidR="00DF75A6" w:rsidRPr="00DF75A6">
        <w:rPr>
          <w:rFonts w:eastAsia="Calibri"/>
          <w:sz w:val="22"/>
          <w:szCs w:val="22"/>
          <w:lang w:val="en-GB"/>
        </w:rPr>
        <w:t xml:space="preserve">Seth </w:t>
      </w:r>
      <w:r w:rsidRPr="00DF75A6">
        <w:rPr>
          <w:rFonts w:eastAsia="Calibri"/>
          <w:sz w:val="22"/>
          <w:szCs w:val="22"/>
          <w:lang w:val="en-GB"/>
        </w:rPr>
        <w:t>had been working with their t</w:t>
      </w:r>
      <w:r w:rsidR="008A092A" w:rsidRPr="00DF75A6">
        <w:rPr>
          <w:rFonts w:eastAsia="Calibri"/>
          <w:sz w:val="22"/>
          <w:szCs w:val="22"/>
          <w:lang w:val="en-GB"/>
        </w:rPr>
        <w:t>eam to understand the customers</w:t>
      </w:r>
      <w:r w:rsidRPr="00DF75A6">
        <w:rPr>
          <w:rFonts w:eastAsia="Calibri"/>
          <w:sz w:val="22"/>
          <w:szCs w:val="22"/>
          <w:lang w:val="en-GB"/>
        </w:rPr>
        <w:t xml:space="preserve"> and their buying patterns. The team started with understanding the reasons for </w:t>
      </w:r>
      <w:r w:rsidR="005148F3" w:rsidRPr="00DF75A6">
        <w:rPr>
          <w:rFonts w:eastAsia="Calibri"/>
          <w:sz w:val="22"/>
          <w:szCs w:val="22"/>
          <w:lang w:val="en-GB"/>
        </w:rPr>
        <w:t xml:space="preserve">the </w:t>
      </w:r>
      <w:r w:rsidRPr="00DF75A6">
        <w:rPr>
          <w:rFonts w:eastAsia="Calibri"/>
          <w:sz w:val="22"/>
          <w:szCs w:val="22"/>
          <w:lang w:val="en-GB"/>
        </w:rPr>
        <w:t>poor performa</w:t>
      </w:r>
      <w:r w:rsidR="008A092A" w:rsidRPr="00DF75A6">
        <w:rPr>
          <w:rFonts w:eastAsia="Calibri"/>
          <w:sz w:val="22"/>
          <w:szCs w:val="22"/>
          <w:lang w:val="en-GB"/>
        </w:rPr>
        <w:t xml:space="preserve">nce of </w:t>
      </w:r>
      <w:r w:rsidR="005148F3" w:rsidRPr="00DF75A6">
        <w:rPr>
          <w:rFonts w:eastAsia="Calibri"/>
          <w:sz w:val="22"/>
          <w:szCs w:val="22"/>
          <w:lang w:val="en-GB"/>
        </w:rPr>
        <w:t xml:space="preserve">the </w:t>
      </w:r>
      <w:r w:rsidR="008A092A" w:rsidRPr="00DF75A6">
        <w:rPr>
          <w:rFonts w:eastAsia="Calibri"/>
          <w:sz w:val="22"/>
          <w:szCs w:val="22"/>
          <w:lang w:val="en-GB"/>
        </w:rPr>
        <w:t xml:space="preserve">Supreme pickup </w:t>
      </w:r>
      <w:r w:rsidR="005148F3" w:rsidRPr="00DF75A6">
        <w:rPr>
          <w:rFonts w:eastAsia="Calibri"/>
          <w:sz w:val="22"/>
          <w:szCs w:val="22"/>
          <w:lang w:val="en-GB"/>
        </w:rPr>
        <w:t>compar</w:t>
      </w:r>
      <w:r w:rsidR="00435186">
        <w:rPr>
          <w:rFonts w:eastAsia="Calibri"/>
          <w:sz w:val="22"/>
          <w:szCs w:val="22"/>
          <w:lang w:val="en-GB"/>
        </w:rPr>
        <w:t>ed</w:t>
      </w:r>
      <w:r w:rsidR="005148F3" w:rsidRPr="00DF75A6">
        <w:rPr>
          <w:rFonts w:eastAsia="Calibri"/>
          <w:sz w:val="22"/>
          <w:szCs w:val="22"/>
          <w:lang w:val="en-GB"/>
        </w:rPr>
        <w:t xml:space="preserve"> to its</w:t>
      </w:r>
      <w:r w:rsidRPr="00DF75A6">
        <w:rPr>
          <w:rFonts w:eastAsia="Calibri"/>
          <w:sz w:val="22"/>
          <w:szCs w:val="22"/>
          <w:lang w:val="en-GB"/>
        </w:rPr>
        <w:t xml:space="preserve"> competitor</w:t>
      </w:r>
      <w:r w:rsidR="005148F3" w:rsidRPr="00DF75A6">
        <w:rPr>
          <w:rFonts w:eastAsia="Calibri"/>
          <w:sz w:val="22"/>
          <w:szCs w:val="22"/>
          <w:lang w:val="en-GB"/>
        </w:rPr>
        <w:t>s</w:t>
      </w:r>
      <w:r w:rsidRPr="00DF75A6">
        <w:rPr>
          <w:rFonts w:eastAsia="Calibri"/>
          <w:sz w:val="22"/>
          <w:szCs w:val="22"/>
          <w:lang w:val="en-GB"/>
        </w:rPr>
        <w:t xml:space="preserve">. The market research team conducted a market survey to understand various customer needs and how </w:t>
      </w:r>
      <w:r w:rsidR="005148F3" w:rsidRPr="00DF75A6">
        <w:rPr>
          <w:rFonts w:eastAsia="Calibri"/>
          <w:sz w:val="22"/>
          <w:szCs w:val="22"/>
          <w:lang w:val="en-GB"/>
        </w:rPr>
        <w:t>they</w:t>
      </w:r>
      <w:r w:rsidRPr="00DF75A6">
        <w:rPr>
          <w:rFonts w:eastAsia="Calibri"/>
          <w:sz w:val="22"/>
          <w:szCs w:val="22"/>
          <w:lang w:val="en-GB"/>
        </w:rPr>
        <w:t xml:space="preserve"> differ</w:t>
      </w:r>
      <w:r w:rsidR="005148F3" w:rsidRPr="00DF75A6">
        <w:rPr>
          <w:rFonts w:eastAsia="Calibri"/>
          <w:sz w:val="22"/>
          <w:szCs w:val="22"/>
          <w:lang w:val="en-GB"/>
        </w:rPr>
        <w:t>ed</w:t>
      </w:r>
      <w:r w:rsidRPr="00DF75A6">
        <w:rPr>
          <w:rFonts w:eastAsia="Calibri"/>
          <w:sz w:val="22"/>
          <w:szCs w:val="22"/>
          <w:lang w:val="en-GB"/>
        </w:rPr>
        <w:t xml:space="preserve"> across customer segments. </w:t>
      </w:r>
      <w:r w:rsidR="001779F2">
        <w:rPr>
          <w:rFonts w:eastAsia="Calibri"/>
          <w:sz w:val="22"/>
          <w:szCs w:val="22"/>
          <w:lang w:val="en-GB"/>
        </w:rPr>
        <w:t>Surveyors</w:t>
      </w:r>
      <w:r w:rsidRPr="00DF75A6">
        <w:rPr>
          <w:rFonts w:eastAsia="Calibri"/>
          <w:sz w:val="22"/>
          <w:szCs w:val="22"/>
          <w:lang w:val="en-GB"/>
        </w:rPr>
        <w:t xml:space="preserve"> </w:t>
      </w:r>
      <w:r w:rsidR="001779F2" w:rsidRPr="00DF75A6">
        <w:rPr>
          <w:rFonts w:eastAsia="Calibri"/>
          <w:sz w:val="22"/>
          <w:szCs w:val="22"/>
          <w:lang w:val="en-GB"/>
        </w:rPr>
        <w:t xml:space="preserve">interviewed captive users, market loaders, and contractual loaders from Tier 1, 2, and 3 cities </w:t>
      </w:r>
      <w:r w:rsidRPr="00DF75A6">
        <w:rPr>
          <w:rFonts w:eastAsia="Calibri"/>
          <w:sz w:val="22"/>
          <w:szCs w:val="22"/>
          <w:lang w:val="en-GB"/>
        </w:rPr>
        <w:t xml:space="preserve">across India. The technical specification comparison </w:t>
      </w:r>
      <w:r w:rsidR="005148F3" w:rsidRPr="00DF75A6">
        <w:rPr>
          <w:rFonts w:eastAsia="Calibri"/>
          <w:sz w:val="22"/>
          <w:szCs w:val="22"/>
          <w:lang w:val="en-GB"/>
        </w:rPr>
        <w:t xml:space="preserve">had </w:t>
      </w:r>
      <w:r w:rsidRPr="00DF75A6">
        <w:rPr>
          <w:rFonts w:eastAsia="Calibri"/>
          <w:sz w:val="22"/>
          <w:szCs w:val="22"/>
          <w:lang w:val="en-GB"/>
        </w:rPr>
        <w:t xml:space="preserve">already </w:t>
      </w:r>
      <w:r w:rsidR="001779F2">
        <w:rPr>
          <w:rFonts w:eastAsia="Calibri"/>
          <w:sz w:val="22"/>
          <w:szCs w:val="22"/>
          <w:lang w:val="en-GB"/>
        </w:rPr>
        <w:t>indicated</w:t>
      </w:r>
      <w:r w:rsidR="001779F2" w:rsidRPr="00DF75A6">
        <w:rPr>
          <w:rFonts w:eastAsia="Calibri"/>
          <w:sz w:val="22"/>
          <w:szCs w:val="22"/>
          <w:lang w:val="en-GB"/>
        </w:rPr>
        <w:t xml:space="preserve"> </w:t>
      </w:r>
      <w:r w:rsidRPr="00DF75A6">
        <w:rPr>
          <w:rFonts w:eastAsia="Calibri"/>
          <w:sz w:val="22"/>
          <w:szCs w:val="22"/>
          <w:lang w:val="en-GB"/>
        </w:rPr>
        <w:t xml:space="preserve">that </w:t>
      </w:r>
      <w:r w:rsidR="005148F3" w:rsidRPr="00DF75A6">
        <w:rPr>
          <w:rFonts w:eastAsia="Calibri"/>
          <w:sz w:val="22"/>
          <w:szCs w:val="22"/>
          <w:lang w:val="en-GB"/>
        </w:rPr>
        <w:t xml:space="preserve">the </w:t>
      </w:r>
      <w:r w:rsidRPr="00DF75A6">
        <w:rPr>
          <w:rFonts w:eastAsia="Calibri"/>
          <w:sz w:val="22"/>
          <w:szCs w:val="22"/>
          <w:lang w:val="en-GB"/>
        </w:rPr>
        <w:t>Supreme had</w:t>
      </w:r>
      <w:r w:rsidR="005148F3" w:rsidRPr="00DF75A6">
        <w:rPr>
          <w:rFonts w:eastAsia="Calibri"/>
          <w:sz w:val="22"/>
          <w:szCs w:val="22"/>
          <w:lang w:val="en-GB"/>
        </w:rPr>
        <w:t xml:space="preserve"> </w:t>
      </w:r>
      <w:r w:rsidR="001779F2">
        <w:rPr>
          <w:rFonts w:eastAsia="Calibri"/>
          <w:sz w:val="22"/>
          <w:szCs w:val="22"/>
          <w:lang w:val="en-GB"/>
        </w:rPr>
        <w:t xml:space="preserve">a </w:t>
      </w:r>
      <w:r w:rsidRPr="00DF75A6">
        <w:rPr>
          <w:rFonts w:eastAsia="Calibri"/>
          <w:sz w:val="22"/>
          <w:szCs w:val="22"/>
          <w:lang w:val="en-GB"/>
        </w:rPr>
        <w:t xml:space="preserve">lower payload, </w:t>
      </w:r>
      <w:r w:rsidR="00867438" w:rsidRPr="00DF75A6">
        <w:rPr>
          <w:rFonts w:eastAsia="Calibri"/>
          <w:sz w:val="22"/>
          <w:szCs w:val="22"/>
          <w:lang w:val="en-GB"/>
        </w:rPr>
        <w:t xml:space="preserve">lower </w:t>
      </w:r>
      <w:r w:rsidRPr="00DF75A6">
        <w:rPr>
          <w:rFonts w:eastAsia="Calibri"/>
          <w:sz w:val="22"/>
          <w:szCs w:val="22"/>
          <w:lang w:val="en-GB"/>
        </w:rPr>
        <w:t>overloading capacity</w:t>
      </w:r>
      <w:r w:rsidR="005148F3" w:rsidRPr="00DF75A6">
        <w:rPr>
          <w:rFonts w:eastAsia="Calibri"/>
          <w:sz w:val="22"/>
          <w:szCs w:val="22"/>
          <w:lang w:val="en-GB"/>
        </w:rPr>
        <w:t>,</w:t>
      </w:r>
      <w:r w:rsidRPr="00DF75A6">
        <w:rPr>
          <w:rFonts w:eastAsia="Calibri"/>
          <w:sz w:val="22"/>
          <w:szCs w:val="22"/>
          <w:lang w:val="en-GB"/>
        </w:rPr>
        <w:t xml:space="preserve"> and lower mileage </w:t>
      </w:r>
      <w:r w:rsidR="001779F2">
        <w:rPr>
          <w:rFonts w:eastAsia="Calibri"/>
          <w:sz w:val="22"/>
          <w:szCs w:val="22"/>
          <w:lang w:val="en-GB"/>
        </w:rPr>
        <w:t>than</w:t>
      </w:r>
      <w:r w:rsidRPr="00DF75A6">
        <w:rPr>
          <w:rFonts w:eastAsia="Calibri"/>
          <w:sz w:val="22"/>
          <w:szCs w:val="22"/>
          <w:lang w:val="en-GB"/>
        </w:rPr>
        <w:t xml:space="preserve"> </w:t>
      </w:r>
      <w:r w:rsidR="005148F3" w:rsidRPr="00DF75A6">
        <w:rPr>
          <w:rFonts w:eastAsia="Calibri"/>
          <w:sz w:val="22"/>
          <w:szCs w:val="22"/>
          <w:lang w:val="en-GB"/>
        </w:rPr>
        <w:t xml:space="preserve">the </w:t>
      </w:r>
      <w:proofErr w:type="spellStart"/>
      <w:r w:rsidRPr="00DF75A6">
        <w:rPr>
          <w:rFonts w:eastAsia="Calibri"/>
          <w:sz w:val="22"/>
          <w:szCs w:val="22"/>
          <w:lang w:val="en-GB"/>
        </w:rPr>
        <w:t>Equis</w:t>
      </w:r>
      <w:proofErr w:type="spellEnd"/>
      <w:r w:rsidRPr="00DF75A6">
        <w:rPr>
          <w:rFonts w:eastAsia="Calibri"/>
          <w:sz w:val="22"/>
          <w:szCs w:val="22"/>
          <w:lang w:val="en-GB"/>
        </w:rPr>
        <w:t xml:space="preserve"> Pluto pickup</w:t>
      </w:r>
      <w:r w:rsidR="009867BF">
        <w:rPr>
          <w:rFonts w:eastAsia="Calibri"/>
          <w:sz w:val="22"/>
          <w:szCs w:val="22"/>
          <w:lang w:val="en-GB"/>
        </w:rPr>
        <w:t>;</w:t>
      </w:r>
      <w:r w:rsidR="009867BF" w:rsidRPr="00DF75A6">
        <w:rPr>
          <w:rFonts w:eastAsia="Calibri"/>
          <w:sz w:val="22"/>
          <w:szCs w:val="22"/>
          <w:lang w:val="en-GB"/>
        </w:rPr>
        <w:t xml:space="preserve"> </w:t>
      </w:r>
      <w:r w:rsidR="009867BF">
        <w:rPr>
          <w:rFonts w:eastAsia="Calibri"/>
          <w:sz w:val="22"/>
          <w:szCs w:val="22"/>
          <w:lang w:val="en-GB"/>
        </w:rPr>
        <w:t>this</w:t>
      </w:r>
      <w:r w:rsidR="009867BF" w:rsidRPr="00DF75A6">
        <w:rPr>
          <w:rFonts w:eastAsia="Calibri"/>
          <w:sz w:val="22"/>
          <w:szCs w:val="22"/>
          <w:lang w:val="en-GB"/>
        </w:rPr>
        <w:t xml:space="preserve"> </w:t>
      </w:r>
      <w:r w:rsidRPr="00DF75A6">
        <w:rPr>
          <w:rFonts w:eastAsia="Calibri"/>
          <w:sz w:val="22"/>
          <w:szCs w:val="22"/>
          <w:lang w:val="en-GB"/>
        </w:rPr>
        <w:t xml:space="preserve">led to </w:t>
      </w:r>
      <w:r w:rsidR="005148F3" w:rsidRPr="00DF75A6">
        <w:rPr>
          <w:rFonts w:eastAsia="Calibri"/>
          <w:sz w:val="22"/>
          <w:szCs w:val="22"/>
          <w:lang w:val="en-GB"/>
        </w:rPr>
        <w:t xml:space="preserve">a </w:t>
      </w:r>
      <w:r w:rsidRPr="00DF75A6">
        <w:rPr>
          <w:rFonts w:eastAsia="Calibri"/>
          <w:sz w:val="22"/>
          <w:szCs w:val="22"/>
          <w:lang w:val="en-GB"/>
        </w:rPr>
        <w:t xml:space="preserve">high total cost of ownership. However, it had </w:t>
      </w:r>
      <w:r w:rsidR="005148F3" w:rsidRPr="00DF75A6">
        <w:rPr>
          <w:rFonts w:eastAsia="Calibri"/>
          <w:sz w:val="22"/>
          <w:szCs w:val="22"/>
          <w:lang w:val="en-GB"/>
        </w:rPr>
        <w:t xml:space="preserve">one of the </w:t>
      </w:r>
      <w:r w:rsidRPr="00DF75A6">
        <w:rPr>
          <w:rFonts w:eastAsia="Calibri"/>
          <w:sz w:val="22"/>
          <w:szCs w:val="22"/>
          <w:lang w:val="en-GB"/>
        </w:rPr>
        <w:t>high</w:t>
      </w:r>
      <w:r w:rsidR="005148F3" w:rsidRPr="00DF75A6">
        <w:rPr>
          <w:rFonts w:eastAsia="Calibri"/>
          <w:sz w:val="22"/>
          <w:szCs w:val="22"/>
          <w:lang w:val="en-GB"/>
        </w:rPr>
        <w:t>est</w:t>
      </w:r>
      <w:r w:rsidRPr="00DF75A6">
        <w:rPr>
          <w:rFonts w:eastAsia="Calibri"/>
          <w:sz w:val="22"/>
          <w:szCs w:val="22"/>
          <w:lang w:val="en-GB"/>
        </w:rPr>
        <w:t xml:space="preserve"> engine power</w:t>
      </w:r>
      <w:r w:rsidR="005148F3" w:rsidRPr="00DF75A6">
        <w:rPr>
          <w:rFonts w:eastAsia="Calibri"/>
          <w:sz w:val="22"/>
          <w:szCs w:val="22"/>
          <w:lang w:val="en-GB"/>
        </w:rPr>
        <w:t>s</w:t>
      </w:r>
      <w:r w:rsidRPr="00DF75A6">
        <w:rPr>
          <w:rFonts w:eastAsia="Calibri"/>
          <w:sz w:val="22"/>
          <w:szCs w:val="22"/>
          <w:lang w:val="en-GB"/>
        </w:rPr>
        <w:t xml:space="preserve"> in the category. Consumers were asked to compare </w:t>
      </w:r>
      <w:r w:rsidR="005148F3" w:rsidRPr="00DF75A6">
        <w:rPr>
          <w:rFonts w:eastAsia="Calibri"/>
          <w:sz w:val="22"/>
          <w:szCs w:val="22"/>
          <w:lang w:val="en-GB"/>
        </w:rPr>
        <w:t xml:space="preserve">the </w:t>
      </w:r>
      <w:r w:rsidRPr="00DF75A6">
        <w:rPr>
          <w:rFonts w:eastAsia="Calibri"/>
          <w:sz w:val="22"/>
          <w:szCs w:val="22"/>
          <w:lang w:val="en-GB"/>
        </w:rPr>
        <w:t xml:space="preserve">Supreme with </w:t>
      </w:r>
      <w:r w:rsidR="005148F3" w:rsidRPr="00DF75A6">
        <w:rPr>
          <w:rFonts w:eastAsia="Calibri"/>
          <w:sz w:val="22"/>
          <w:szCs w:val="22"/>
          <w:lang w:val="en-GB"/>
        </w:rPr>
        <w:t xml:space="preserve">the </w:t>
      </w:r>
      <w:r w:rsidRPr="00DF75A6">
        <w:rPr>
          <w:rFonts w:eastAsia="Calibri"/>
          <w:sz w:val="22"/>
          <w:szCs w:val="22"/>
          <w:lang w:val="en-GB"/>
        </w:rPr>
        <w:t>Pluto on certa</w:t>
      </w:r>
      <w:r w:rsidR="008A092A" w:rsidRPr="00DF75A6">
        <w:rPr>
          <w:rFonts w:eastAsia="Calibri"/>
          <w:sz w:val="22"/>
          <w:szCs w:val="22"/>
          <w:lang w:val="en-GB"/>
        </w:rPr>
        <w:t xml:space="preserve">in parameters (see Exhibit 3). </w:t>
      </w:r>
      <w:r w:rsidRPr="00DF75A6">
        <w:rPr>
          <w:rFonts w:eastAsia="Calibri"/>
          <w:sz w:val="22"/>
          <w:szCs w:val="22"/>
          <w:lang w:val="en-GB"/>
        </w:rPr>
        <w:t xml:space="preserve">Customers rated </w:t>
      </w:r>
      <w:r w:rsidR="005148F3" w:rsidRPr="00DF75A6">
        <w:rPr>
          <w:rFonts w:eastAsia="Calibri"/>
          <w:sz w:val="22"/>
          <w:szCs w:val="22"/>
          <w:lang w:val="en-GB"/>
        </w:rPr>
        <w:t xml:space="preserve">the </w:t>
      </w:r>
      <w:r w:rsidRPr="00DF75A6">
        <w:rPr>
          <w:rFonts w:eastAsia="Calibri"/>
          <w:sz w:val="22"/>
          <w:szCs w:val="22"/>
          <w:lang w:val="en-GB"/>
        </w:rPr>
        <w:t>Supreme low on mileage, maintenance</w:t>
      </w:r>
      <w:r w:rsidR="005148F3" w:rsidRPr="00DF75A6">
        <w:rPr>
          <w:rFonts w:eastAsia="Calibri"/>
          <w:sz w:val="22"/>
          <w:szCs w:val="22"/>
          <w:lang w:val="en-GB"/>
        </w:rPr>
        <w:t>,</w:t>
      </w:r>
      <w:r w:rsidRPr="00DF75A6">
        <w:rPr>
          <w:rFonts w:eastAsia="Calibri"/>
          <w:sz w:val="22"/>
          <w:szCs w:val="22"/>
          <w:lang w:val="en-GB"/>
        </w:rPr>
        <w:t xml:space="preserve"> and overloading capacity </w:t>
      </w:r>
      <w:r w:rsidR="005148F3" w:rsidRPr="00DF75A6">
        <w:rPr>
          <w:rFonts w:eastAsia="Calibri"/>
          <w:sz w:val="22"/>
          <w:szCs w:val="22"/>
          <w:lang w:val="en-GB"/>
        </w:rPr>
        <w:t>but</w:t>
      </w:r>
      <w:r w:rsidRPr="00DF75A6">
        <w:rPr>
          <w:rFonts w:eastAsia="Calibri"/>
          <w:sz w:val="22"/>
          <w:szCs w:val="22"/>
          <w:lang w:val="en-GB"/>
        </w:rPr>
        <w:t xml:space="preserve"> strong on factors </w:t>
      </w:r>
      <w:r w:rsidR="00415B29">
        <w:rPr>
          <w:rFonts w:eastAsia="Calibri"/>
          <w:sz w:val="22"/>
          <w:szCs w:val="22"/>
          <w:lang w:val="en-GB"/>
        </w:rPr>
        <w:t>such as</w:t>
      </w:r>
      <w:r w:rsidRPr="00DF75A6">
        <w:rPr>
          <w:rFonts w:eastAsia="Calibri"/>
          <w:sz w:val="22"/>
          <w:szCs w:val="22"/>
          <w:lang w:val="en-GB"/>
        </w:rPr>
        <w:t xml:space="preserve"> safety, driver comfort, loading space, durability</w:t>
      </w:r>
      <w:r w:rsidR="005148F3" w:rsidRPr="00DF75A6">
        <w:rPr>
          <w:rFonts w:eastAsia="Calibri"/>
          <w:sz w:val="22"/>
          <w:szCs w:val="22"/>
          <w:lang w:val="en-GB"/>
        </w:rPr>
        <w:t>,</w:t>
      </w:r>
      <w:r w:rsidRPr="00DF75A6">
        <w:rPr>
          <w:rFonts w:eastAsia="Calibri"/>
          <w:sz w:val="22"/>
          <w:szCs w:val="22"/>
          <w:lang w:val="en-GB"/>
        </w:rPr>
        <w:t xml:space="preserve"> and breakdown</w:t>
      </w:r>
      <w:r w:rsidR="005148F3" w:rsidRPr="00DF75A6">
        <w:rPr>
          <w:rFonts w:eastAsia="Calibri"/>
          <w:sz w:val="22"/>
          <w:szCs w:val="22"/>
          <w:lang w:val="en-GB"/>
        </w:rPr>
        <w:t>-</w:t>
      </w:r>
      <w:r w:rsidRPr="00DF75A6">
        <w:rPr>
          <w:rFonts w:eastAsia="Calibri"/>
          <w:sz w:val="22"/>
          <w:szCs w:val="22"/>
          <w:lang w:val="en-GB"/>
        </w:rPr>
        <w:t>free operation.</w:t>
      </w:r>
    </w:p>
    <w:p w14:paraId="04010528" w14:textId="77777777" w:rsidR="00343DB5" w:rsidRPr="00DF75A6" w:rsidRDefault="00343DB5" w:rsidP="00343DB5">
      <w:pPr>
        <w:jc w:val="both"/>
        <w:rPr>
          <w:rFonts w:eastAsia="Calibri"/>
          <w:sz w:val="22"/>
          <w:szCs w:val="22"/>
          <w:lang w:val="en-GB"/>
        </w:rPr>
      </w:pPr>
    </w:p>
    <w:p w14:paraId="362F6F74" w14:textId="22B4814E" w:rsidR="00343DB5" w:rsidRDefault="005148F3" w:rsidP="00343DB5">
      <w:pPr>
        <w:jc w:val="both"/>
        <w:rPr>
          <w:rFonts w:eastAsia="Calibri"/>
          <w:sz w:val="22"/>
          <w:szCs w:val="22"/>
          <w:lang w:val="en-GB"/>
        </w:rPr>
      </w:pPr>
      <w:r w:rsidRPr="00DF75A6">
        <w:rPr>
          <w:rFonts w:eastAsia="Calibri"/>
          <w:sz w:val="22"/>
          <w:szCs w:val="22"/>
          <w:lang w:val="en-GB"/>
        </w:rPr>
        <w:t>Alt</w:t>
      </w:r>
      <w:r w:rsidR="00343DB5" w:rsidRPr="00DF75A6">
        <w:rPr>
          <w:rFonts w:eastAsia="Calibri"/>
          <w:sz w:val="22"/>
          <w:szCs w:val="22"/>
          <w:lang w:val="en-GB"/>
        </w:rPr>
        <w:t xml:space="preserve">hough the </w:t>
      </w:r>
      <w:r w:rsidR="001779F2" w:rsidRPr="00DF75A6">
        <w:rPr>
          <w:rFonts w:eastAsia="Calibri"/>
          <w:sz w:val="22"/>
          <w:szCs w:val="22"/>
          <w:lang w:val="en-GB"/>
        </w:rPr>
        <w:t xml:space="preserve">competitive benchmarking </w:t>
      </w:r>
      <w:r w:rsidR="001779F2">
        <w:rPr>
          <w:rFonts w:eastAsia="Calibri"/>
          <w:sz w:val="22"/>
          <w:szCs w:val="22"/>
          <w:lang w:val="en-GB"/>
        </w:rPr>
        <w:t xml:space="preserve">identified </w:t>
      </w:r>
      <w:r w:rsidR="00343DB5" w:rsidRPr="00DF75A6">
        <w:rPr>
          <w:rFonts w:eastAsia="Calibri"/>
          <w:sz w:val="22"/>
          <w:szCs w:val="22"/>
          <w:lang w:val="en-GB"/>
        </w:rPr>
        <w:t>problem areas</w:t>
      </w:r>
      <w:r w:rsidRPr="00DF75A6">
        <w:rPr>
          <w:rFonts w:eastAsia="Calibri"/>
          <w:sz w:val="22"/>
          <w:szCs w:val="22"/>
          <w:lang w:val="en-GB"/>
        </w:rPr>
        <w:t>,</w:t>
      </w:r>
      <w:r w:rsidR="00343DB5" w:rsidRPr="00DF75A6">
        <w:rPr>
          <w:rFonts w:eastAsia="Calibri"/>
          <w:sz w:val="22"/>
          <w:szCs w:val="22"/>
          <w:lang w:val="en-GB"/>
        </w:rPr>
        <w:t xml:space="preserve"> it was still not clear how </w:t>
      </w:r>
      <w:r w:rsidRPr="00DF75A6">
        <w:rPr>
          <w:rFonts w:eastAsia="Calibri"/>
          <w:sz w:val="22"/>
          <w:szCs w:val="22"/>
          <w:lang w:val="en-GB"/>
        </w:rPr>
        <w:t xml:space="preserve">the </w:t>
      </w:r>
      <w:r w:rsidR="00343DB5" w:rsidRPr="00DF75A6">
        <w:rPr>
          <w:rFonts w:eastAsia="Calibri"/>
          <w:sz w:val="22"/>
          <w:szCs w:val="22"/>
          <w:lang w:val="en-GB"/>
        </w:rPr>
        <w:t xml:space="preserve">SMC Supreme pickup could be made competitive. The consumer research showed that </w:t>
      </w:r>
      <w:r w:rsidRPr="00DF75A6">
        <w:rPr>
          <w:rFonts w:eastAsia="Calibri"/>
          <w:sz w:val="22"/>
          <w:szCs w:val="22"/>
          <w:lang w:val="en-GB"/>
        </w:rPr>
        <w:t xml:space="preserve">high </w:t>
      </w:r>
      <w:r w:rsidR="00343DB5" w:rsidRPr="00DF75A6">
        <w:rPr>
          <w:rFonts w:eastAsia="Calibri"/>
          <w:sz w:val="22"/>
          <w:szCs w:val="22"/>
          <w:lang w:val="en-GB"/>
        </w:rPr>
        <w:t>payload, fuel efficiency, vehicle pick</w:t>
      </w:r>
      <w:r w:rsidR="001779F2">
        <w:rPr>
          <w:rFonts w:eastAsia="Calibri"/>
          <w:sz w:val="22"/>
          <w:szCs w:val="22"/>
          <w:lang w:val="en-GB"/>
        </w:rPr>
        <w:t>-</w:t>
      </w:r>
      <w:r w:rsidR="00343DB5" w:rsidRPr="00DF75A6">
        <w:rPr>
          <w:rFonts w:eastAsia="Calibri"/>
          <w:sz w:val="22"/>
          <w:szCs w:val="22"/>
          <w:lang w:val="en-GB"/>
        </w:rPr>
        <w:t>up</w:t>
      </w:r>
      <w:r w:rsidR="001779F2">
        <w:rPr>
          <w:rFonts w:eastAsia="Calibri"/>
          <w:sz w:val="22"/>
          <w:szCs w:val="22"/>
          <w:lang w:val="en-GB"/>
        </w:rPr>
        <w:t>,</w:t>
      </w:r>
      <w:r w:rsidRPr="00DF75A6">
        <w:rPr>
          <w:rFonts w:eastAsia="Calibri"/>
          <w:sz w:val="22"/>
          <w:szCs w:val="22"/>
          <w:lang w:val="en-GB"/>
        </w:rPr>
        <w:t xml:space="preserve"> and</w:t>
      </w:r>
      <w:r w:rsidR="00343DB5" w:rsidRPr="00DF75A6">
        <w:rPr>
          <w:rFonts w:eastAsia="Calibri"/>
          <w:sz w:val="22"/>
          <w:szCs w:val="22"/>
          <w:lang w:val="en-GB"/>
        </w:rPr>
        <w:t xml:space="preserve"> low maintenance</w:t>
      </w:r>
      <w:r w:rsidRPr="00DF75A6">
        <w:rPr>
          <w:rFonts w:eastAsia="Calibri"/>
          <w:sz w:val="22"/>
          <w:szCs w:val="22"/>
          <w:lang w:val="en-GB"/>
        </w:rPr>
        <w:t xml:space="preserve"> </w:t>
      </w:r>
      <w:r w:rsidR="00343DB5" w:rsidRPr="00DF75A6">
        <w:rPr>
          <w:rFonts w:eastAsia="Calibri"/>
          <w:sz w:val="22"/>
          <w:szCs w:val="22"/>
          <w:lang w:val="en-GB"/>
        </w:rPr>
        <w:t xml:space="preserve">and price were the most important vehicle attributes for </w:t>
      </w:r>
      <w:r w:rsidR="001779F2" w:rsidRPr="00DF75A6">
        <w:rPr>
          <w:rFonts w:eastAsia="Calibri"/>
          <w:sz w:val="22"/>
          <w:szCs w:val="22"/>
          <w:lang w:val="en-GB"/>
        </w:rPr>
        <w:t>mass</w:t>
      </w:r>
      <w:r w:rsidR="001779F2">
        <w:rPr>
          <w:rFonts w:eastAsia="Calibri"/>
          <w:sz w:val="22"/>
          <w:szCs w:val="22"/>
          <w:lang w:val="en-GB"/>
        </w:rPr>
        <w:t>-</w:t>
      </w:r>
      <w:r w:rsidR="00343DB5" w:rsidRPr="00DF75A6">
        <w:rPr>
          <w:rFonts w:eastAsia="Calibri"/>
          <w:sz w:val="22"/>
          <w:szCs w:val="22"/>
          <w:lang w:val="en-GB"/>
        </w:rPr>
        <w:t>market customers in India (see Exhibit 4)</w:t>
      </w:r>
      <w:r w:rsidR="00E9586F" w:rsidRPr="00DF75A6">
        <w:rPr>
          <w:rFonts w:eastAsia="Calibri"/>
          <w:sz w:val="22"/>
          <w:szCs w:val="22"/>
          <w:lang w:val="en-GB"/>
        </w:rPr>
        <w:t>,</w:t>
      </w:r>
      <w:r w:rsidR="00343DB5" w:rsidRPr="00DF75A6">
        <w:rPr>
          <w:rFonts w:eastAsia="Calibri"/>
          <w:sz w:val="22"/>
          <w:szCs w:val="22"/>
          <w:lang w:val="en-GB"/>
        </w:rPr>
        <w:t xml:space="preserve"> </w:t>
      </w:r>
      <w:r w:rsidR="001779F2">
        <w:rPr>
          <w:rFonts w:eastAsia="Calibri"/>
          <w:sz w:val="22"/>
          <w:szCs w:val="22"/>
          <w:lang w:val="en-GB"/>
        </w:rPr>
        <w:t>whereas consumers in</w:t>
      </w:r>
      <w:r w:rsidR="00343DB5" w:rsidRPr="00DF75A6">
        <w:rPr>
          <w:rFonts w:eastAsia="Calibri"/>
          <w:sz w:val="22"/>
          <w:szCs w:val="22"/>
          <w:lang w:val="en-GB"/>
        </w:rPr>
        <w:t xml:space="preserve"> </w:t>
      </w:r>
      <w:r w:rsidR="00E9586F" w:rsidRPr="00DF75A6">
        <w:rPr>
          <w:rFonts w:eastAsia="Calibri"/>
          <w:sz w:val="22"/>
          <w:szCs w:val="22"/>
          <w:lang w:val="en-GB"/>
        </w:rPr>
        <w:t>the i</w:t>
      </w:r>
      <w:r w:rsidR="00343DB5" w:rsidRPr="00DF75A6">
        <w:rPr>
          <w:rFonts w:eastAsia="Calibri"/>
          <w:sz w:val="22"/>
          <w:szCs w:val="22"/>
          <w:lang w:val="en-GB"/>
        </w:rPr>
        <w:t xml:space="preserve">nternational market preferred safety and comfort over other attributes. Payload and fuel efficiency affected the </w:t>
      </w:r>
      <w:r w:rsidR="001779F2" w:rsidRPr="00DF75A6">
        <w:rPr>
          <w:rFonts w:eastAsia="Calibri"/>
          <w:sz w:val="22"/>
          <w:szCs w:val="22"/>
          <w:lang w:val="en-GB"/>
        </w:rPr>
        <w:t>customer</w:t>
      </w:r>
      <w:r w:rsidR="001779F2">
        <w:rPr>
          <w:rFonts w:eastAsia="Calibri"/>
          <w:sz w:val="22"/>
          <w:szCs w:val="22"/>
          <w:lang w:val="en-GB"/>
        </w:rPr>
        <w:t>’s</w:t>
      </w:r>
      <w:r w:rsidR="001779F2" w:rsidRPr="00DF75A6">
        <w:rPr>
          <w:rFonts w:eastAsia="Calibri"/>
          <w:sz w:val="22"/>
          <w:szCs w:val="22"/>
          <w:lang w:val="en-GB"/>
        </w:rPr>
        <w:t xml:space="preserve"> </w:t>
      </w:r>
      <w:r w:rsidR="00343DB5" w:rsidRPr="00DF75A6">
        <w:rPr>
          <w:rFonts w:eastAsia="Calibri"/>
          <w:sz w:val="22"/>
          <w:szCs w:val="22"/>
          <w:lang w:val="en-GB"/>
        </w:rPr>
        <w:t>operating economics</w:t>
      </w:r>
      <w:r w:rsidR="001779F2">
        <w:rPr>
          <w:rFonts w:eastAsia="Calibri"/>
          <w:sz w:val="22"/>
          <w:szCs w:val="22"/>
          <w:lang w:val="en-GB"/>
        </w:rPr>
        <w:t>,</w:t>
      </w:r>
      <w:r w:rsidR="00343DB5" w:rsidRPr="00DF75A6">
        <w:rPr>
          <w:rFonts w:eastAsia="Calibri"/>
          <w:sz w:val="22"/>
          <w:szCs w:val="22"/>
          <w:lang w:val="en-GB"/>
        </w:rPr>
        <w:t xml:space="preserve"> </w:t>
      </w:r>
      <w:r w:rsidR="001779F2">
        <w:rPr>
          <w:rFonts w:eastAsia="Calibri"/>
          <w:sz w:val="22"/>
          <w:szCs w:val="22"/>
          <w:lang w:val="en-GB"/>
        </w:rPr>
        <w:t xml:space="preserve">or </w:t>
      </w:r>
      <w:r w:rsidR="001779F2" w:rsidRPr="00DF75A6">
        <w:rPr>
          <w:rFonts w:eastAsia="Calibri"/>
          <w:sz w:val="22"/>
          <w:szCs w:val="22"/>
          <w:lang w:val="en-GB"/>
        </w:rPr>
        <w:t>total cost of ownership</w:t>
      </w:r>
      <w:r w:rsidR="001779F2">
        <w:rPr>
          <w:rFonts w:eastAsia="Calibri"/>
          <w:sz w:val="22"/>
          <w:szCs w:val="22"/>
          <w:lang w:val="en-GB"/>
        </w:rPr>
        <w:t>,</w:t>
      </w:r>
      <w:r w:rsidR="001779F2" w:rsidRPr="00DF75A6">
        <w:rPr>
          <w:rFonts w:eastAsia="Calibri"/>
          <w:sz w:val="22"/>
          <w:szCs w:val="22"/>
          <w:lang w:val="en-GB"/>
        </w:rPr>
        <w:t xml:space="preserve"> </w:t>
      </w:r>
      <w:r w:rsidR="001779F2">
        <w:rPr>
          <w:rFonts w:eastAsia="Calibri"/>
          <w:sz w:val="22"/>
          <w:szCs w:val="22"/>
          <w:lang w:val="en-GB"/>
        </w:rPr>
        <w:t>which</w:t>
      </w:r>
      <w:r w:rsidR="00343DB5" w:rsidRPr="00DF75A6">
        <w:rPr>
          <w:rFonts w:eastAsia="Calibri"/>
          <w:sz w:val="22"/>
          <w:szCs w:val="22"/>
          <w:lang w:val="en-GB"/>
        </w:rPr>
        <w:t xml:space="preserve"> was </w:t>
      </w:r>
      <w:r w:rsidR="00867438" w:rsidRPr="00DF75A6">
        <w:rPr>
          <w:rFonts w:eastAsia="Calibri"/>
          <w:sz w:val="22"/>
          <w:szCs w:val="22"/>
          <w:lang w:val="en-GB"/>
        </w:rPr>
        <w:t xml:space="preserve">the </w:t>
      </w:r>
      <w:r w:rsidR="00343DB5" w:rsidRPr="00DF75A6">
        <w:rPr>
          <w:rFonts w:eastAsia="Calibri"/>
          <w:sz w:val="22"/>
          <w:szCs w:val="22"/>
          <w:lang w:val="en-GB"/>
        </w:rPr>
        <w:t xml:space="preserve">main purchase driver in </w:t>
      </w:r>
      <w:r w:rsidR="004851BC" w:rsidRPr="00DF75A6">
        <w:rPr>
          <w:rFonts w:eastAsia="Calibri"/>
          <w:sz w:val="22"/>
          <w:szCs w:val="22"/>
          <w:lang w:val="en-GB"/>
        </w:rPr>
        <w:t xml:space="preserve">the </w:t>
      </w:r>
      <w:r w:rsidR="00343DB5" w:rsidRPr="00DF75A6">
        <w:rPr>
          <w:rFonts w:eastAsia="Calibri"/>
          <w:sz w:val="22"/>
          <w:szCs w:val="22"/>
          <w:lang w:val="en-GB"/>
        </w:rPr>
        <w:t xml:space="preserve">Indian market. </w:t>
      </w:r>
      <w:r w:rsidR="004851BC" w:rsidRPr="00DF75A6">
        <w:rPr>
          <w:rFonts w:eastAsia="Calibri"/>
          <w:sz w:val="22"/>
          <w:szCs w:val="22"/>
          <w:lang w:val="en-GB"/>
        </w:rPr>
        <w:t>A h</w:t>
      </w:r>
      <w:r w:rsidR="00343DB5" w:rsidRPr="00DF75A6">
        <w:rPr>
          <w:rFonts w:eastAsia="Calibri"/>
          <w:sz w:val="22"/>
          <w:szCs w:val="22"/>
          <w:lang w:val="en-GB"/>
        </w:rPr>
        <w:t>igher payload, similar fuel economy</w:t>
      </w:r>
      <w:r w:rsidR="004851BC" w:rsidRPr="00DF75A6">
        <w:rPr>
          <w:rFonts w:eastAsia="Calibri"/>
          <w:sz w:val="22"/>
          <w:szCs w:val="22"/>
          <w:lang w:val="en-GB"/>
        </w:rPr>
        <w:t>,</w:t>
      </w:r>
      <w:r w:rsidR="00343DB5" w:rsidRPr="00DF75A6">
        <w:rPr>
          <w:rFonts w:eastAsia="Calibri"/>
          <w:sz w:val="22"/>
          <w:szCs w:val="22"/>
          <w:lang w:val="en-GB"/>
        </w:rPr>
        <w:t xml:space="preserve"> and</w:t>
      </w:r>
      <w:r w:rsidR="008A092A" w:rsidRPr="00DF75A6">
        <w:rPr>
          <w:rFonts w:eastAsia="Calibri"/>
          <w:sz w:val="22"/>
          <w:szCs w:val="22"/>
          <w:lang w:val="en-GB"/>
        </w:rPr>
        <w:t xml:space="preserve"> </w:t>
      </w:r>
      <w:r w:rsidR="004851BC" w:rsidRPr="00DF75A6">
        <w:rPr>
          <w:rFonts w:eastAsia="Calibri"/>
          <w:sz w:val="22"/>
          <w:szCs w:val="22"/>
          <w:lang w:val="en-GB"/>
        </w:rPr>
        <w:t xml:space="preserve">lower </w:t>
      </w:r>
      <w:r w:rsidR="008A092A" w:rsidRPr="00DF75A6">
        <w:rPr>
          <w:rFonts w:eastAsia="Calibri"/>
          <w:sz w:val="22"/>
          <w:szCs w:val="22"/>
          <w:lang w:val="en-GB"/>
        </w:rPr>
        <w:t xml:space="preserve">price gap between </w:t>
      </w:r>
      <w:r w:rsidR="004851BC" w:rsidRPr="00DF75A6">
        <w:rPr>
          <w:rFonts w:eastAsia="Calibri"/>
          <w:sz w:val="22"/>
          <w:szCs w:val="22"/>
          <w:lang w:val="en-GB"/>
        </w:rPr>
        <w:t xml:space="preserve">the </w:t>
      </w:r>
      <w:r w:rsidR="008A092A" w:rsidRPr="00DF75A6">
        <w:rPr>
          <w:rFonts w:eastAsia="Calibri"/>
          <w:sz w:val="22"/>
          <w:szCs w:val="22"/>
          <w:lang w:val="en-GB"/>
        </w:rPr>
        <w:t>SCV and</w:t>
      </w:r>
      <w:r w:rsidR="004851BC" w:rsidRPr="00DF75A6">
        <w:rPr>
          <w:rFonts w:eastAsia="Calibri"/>
          <w:sz w:val="22"/>
          <w:szCs w:val="22"/>
          <w:lang w:val="en-GB"/>
        </w:rPr>
        <w:t xml:space="preserve"> the p</w:t>
      </w:r>
      <w:r w:rsidR="00343DB5" w:rsidRPr="00DF75A6">
        <w:rPr>
          <w:rFonts w:eastAsia="Calibri"/>
          <w:sz w:val="22"/>
          <w:szCs w:val="22"/>
          <w:lang w:val="en-GB"/>
        </w:rPr>
        <w:t xml:space="preserve">ickup had </w:t>
      </w:r>
      <w:r w:rsidR="004851BC" w:rsidRPr="00DF75A6">
        <w:rPr>
          <w:rFonts w:eastAsia="Calibri"/>
          <w:sz w:val="22"/>
          <w:szCs w:val="22"/>
          <w:lang w:val="en-GB"/>
        </w:rPr>
        <w:t>resulted in a shift in</w:t>
      </w:r>
      <w:r w:rsidR="00343DB5" w:rsidRPr="00DF75A6">
        <w:rPr>
          <w:rFonts w:eastAsia="Calibri"/>
          <w:sz w:val="22"/>
          <w:szCs w:val="22"/>
          <w:lang w:val="en-GB"/>
        </w:rPr>
        <w:t xml:space="preserve"> consumer demand toward pickups. </w:t>
      </w:r>
      <w:r w:rsidR="004851BC" w:rsidRPr="00DF75A6">
        <w:rPr>
          <w:rFonts w:eastAsia="Calibri"/>
          <w:sz w:val="22"/>
          <w:szCs w:val="22"/>
          <w:lang w:val="en-GB"/>
        </w:rPr>
        <w:t>However, e</w:t>
      </w:r>
      <w:r w:rsidR="00343DB5" w:rsidRPr="00DF75A6">
        <w:rPr>
          <w:rFonts w:eastAsia="Calibri"/>
          <w:sz w:val="22"/>
          <w:szCs w:val="22"/>
          <w:lang w:val="en-GB"/>
        </w:rPr>
        <w:t xml:space="preserve">xperts believed that the </w:t>
      </w:r>
      <w:r w:rsidR="009867BF">
        <w:rPr>
          <w:rFonts w:eastAsia="Calibri"/>
          <w:sz w:val="22"/>
          <w:szCs w:val="22"/>
          <w:lang w:val="en-GB"/>
        </w:rPr>
        <w:t>under-</w:t>
      </w:r>
      <w:r w:rsidR="009867BF" w:rsidRPr="00DF75A6">
        <w:rPr>
          <w:rFonts w:eastAsia="Calibri"/>
          <w:sz w:val="22"/>
          <w:szCs w:val="22"/>
          <w:lang w:val="en-GB"/>
        </w:rPr>
        <w:t>one</w:t>
      </w:r>
      <w:r w:rsidR="009867BF">
        <w:rPr>
          <w:rFonts w:eastAsia="Calibri"/>
          <w:sz w:val="22"/>
          <w:szCs w:val="22"/>
          <w:lang w:val="en-GB"/>
        </w:rPr>
        <w:t>-</w:t>
      </w:r>
      <w:r w:rsidR="00343DB5" w:rsidRPr="00DF75A6">
        <w:rPr>
          <w:rFonts w:eastAsia="Calibri"/>
          <w:sz w:val="22"/>
          <w:szCs w:val="22"/>
          <w:lang w:val="en-GB"/>
        </w:rPr>
        <w:t xml:space="preserve">ton segment would stay relevant for first-time users who needed better financing options. </w:t>
      </w:r>
    </w:p>
    <w:p w14:paraId="76624182" w14:textId="77777777" w:rsidR="00967413" w:rsidRPr="00DF75A6" w:rsidRDefault="00967413" w:rsidP="00343DB5">
      <w:pPr>
        <w:jc w:val="both"/>
        <w:rPr>
          <w:rFonts w:eastAsia="Calibri"/>
          <w:sz w:val="22"/>
          <w:szCs w:val="22"/>
          <w:lang w:val="en-GB"/>
        </w:rPr>
      </w:pPr>
    </w:p>
    <w:p w14:paraId="4F8EEDFB" w14:textId="54ADAE9F" w:rsidR="00343DB5" w:rsidRPr="00DF75A6" w:rsidRDefault="004851BC" w:rsidP="00343DB5">
      <w:pPr>
        <w:contextualSpacing/>
        <w:jc w:val="both"/>
        <w:rPr>
          <w:rFonts w:eastAsia="Calibri"/>
          <w:sz w:val="22"/>
          <w:szCs w:val="22"/>
          <w:lang w:val="en-GB"/>
        </w:rPr>
      </w:pPr>
      <w:r w:rsidRPr="00DF75A6">
        <w:rPr>
          <w:rFonts w:eastAsia="Calibri"/>
          <w:sz w:val="22"/>
          <w:szCs w:val="22"/>
          <w:lang w:val="en-GB"/>
        </w:rPr>
        <w:t>The market data</w:t>
      </w:r>
      <w:r w:rsidR="00343DB5" w:rsidRPr="00DF75A6">
        <w:rPr>
          <w:rFonts w:eastAsia="Calibri"/>
          <w:sz w:val="22"/>
          <w:szCs w:val="22"/>
          <w:lang w:val="en-GB"/>
        </w:rPr>
        <w:t xml:space="preserve"> also </w:t>
      </w:r>
      <w:r w:rsidRPr="00DF75A6">
        <w:rPr>
          <w:rFonts w:eastAsia="Calibri"/>
          <w:sz w:val="22"/>
          <w:szCs w:val="22"/>
          <w:lang w:val="en-GB"/>
        </w:rPr>
        <w:t xml:space="preserve">revealed </w:t>
      </w:r>
      <w:r w:rsidR="00343DB5" w:rsidRPr="00DF75A6">
        <w:rPr>
          <w:rFonts w:eastAsia="Calibri"/>
          <w:sz w:val="22"/>
          <w:szCs w:val="22"/>
          <w:lang w:val="en-GB"/>
        </w:rPr>
        <w:t xml:space="preserve">differential </w:t>
      </w:r>
      <w:r w:rsidR="00C71C77" w:rsidRPr="00DF75A6">
        <w:rPr>
          <w:rFonts w:eastAsia="Calibri"/>
          <w:sz w:val="22"/>
          <w:szCs w:val="22"/>
          <w:lang w:val="en-GB"/>
        </w:rPr>
        <w:t>behaviour</w:t>
      </w:r>
      <w:r w:rsidR="00343DB5" w:rsidRPr="00DF75A6">
        <w:rPr>
          <w:rFonts w:eastAsia="Calibri"/>
          <w:sz w:val="22"/>
          <w:szCs w:val="22"/>
          <w:lang w:val="en-GB"/>
        </w:rPr>
        <w:t>. The analysis of customer needs, applications</w:t>
      </w:r>
      <w:r w:rsidRPr="00DF75A6">
        <w:rPr>
          <w:rFonts w:eastAsia="Calibri"/>
          <w:sz w:val="22"/>
          <w:szCs w:val="22"/>
          <w:lang w:val="en-GB"/>
        </w:rPr>
        <w:t>,</w:t>
      </w:r>
      <w:r w:rsidR="00343DB5" w:rsidRPr="00DF75A6">
        <w:rPr>
          <w:rFonts w:eastAsia="Calibri"/>
          <w:sz w:val="22"/>
          <w:szCs w:val="22"/>
          <w:lang w:val="en-GB"/>
        </w:rPr>
        <w:t xml:space="preserve"> and usage pattern</w:t>
      </w:r>
      <w:r w:rsidRPr="00DF75A6">
        <w:rPr>
          <w:rFonts w:eastAsia="Calibri"/>
          <w:sz w:val="22"/>
          <w:szCs w:val="22"/>
          <w:lang w:val="en-GB"/>
        </w:rPr>
        <w:t>s</w:t>
      </w:r>
      <w:r w:rsidR="00343DB5" w:rsidRPr="00DF75A6">
        <w:rPr>
          <w:rFonts w:eastAsia="Calibri"/>
          <w:sz w:val="22"/>
          <w:szCs w:val="22"/>
          <w:lang w:val="en-GB"/>
        </w:rPr>
        <w:t xml:space="preserve"> for </w:t>
      </w:r>
      <w:r w:rsidR="00CE5DD0" w:rsidRPr="00DF75A6">
        <w:rPr>
          <w:rFonts w:eastAsia="Calibri"/>
          <w:sz w:val="22"/>
          <w:szCs w:val="22"/>
          <w:lang w:val="en-GB"/>
        </w:rPr>
        <w:t>pickup</w:t>
      </w:r>
      <w:r w:rsidR="00343DB5" w:rsidRPr="00DF75A6">
        <w:rPr>
          <w:rFonts w:eastAsia="Calibri"/>
          <w:sz w:val="22"/>
          <w:szCs w:val="22"/>
          <w:lang w:val="en-GB"/>
        </w:rPr>
        <w:t>s helped SMC i</w:t>
      </w:r>
      <w:r w:rsidR="008A092A" w:rsidRPr="00DF75A6">
        <w:rPr>
          <w:rFonts w:eastAsia="Calibri"/>
          <w:sz w:val="22"/>
          <w:szCs w:val="22"/>
          <w:lang w:val="en-GB"/>
        </w:rPr>
        <w:t>dentify four discrete segments</w:t>
      </w:r>
      <w:r w:rsidRPr="00DF75A6">
        <w:rPr>
          <w:rFonts w:eastAsia="Calibri"/>
          <w:sz w:val="22"/>
          <w:szCs w:val="22"/>
          <w:lang w:val="en-GB"/>
        </w:rPr>
        <w:t>:</w:t>
      </w:r>
      <w:r w:rsidR="008A092A" w:rsidRPr="00DF75A6">
        <w:rPr>
          <w:rFonts w:eastAsia="Calibri"/>
          <w:sz w:val="22"/>
          <w:szCs w:val="22"/>
          <w:lang w:val="en-GB"/>
        </w:rPr>
        <w:t xml:space="preserve"> </w:t>
      </w:r>
      <w:r w:rsidRPr="00DF75A6">
        <w:rPr>
          <w:rFonts w:eastAsia="Calibri"/>
          <w:sz w:val="22"/>
          <w:szCs w:val="22"/>
          <w:lang w:val="en-GB"/>
        </w:rPr>
        <w:t xml:space="preserve">overload </w:t>
      </w:r>
      <w:r w:rsidR="008A092A" w:rsidRPr="00DF75A6">
        <w:rPr>
          <w:rFonts w:eastAsia="Calibri"/>
          <w:sz w:val="22"/>
          <w:szCs w:val="22"/>
          <w:lang w:val="en-GB"/>
        </w:rPr>
        <w:t>(</w:t>
      </w:r>
      <w:r w:rsidR="00867438" w:rsidRPr="00DF75A6">
        <w:rPr>
          <w:rFonts w:eastAsia="Calibri"/>
          <w:sz w:val="22"/>
          <w:szCs w:val="22"/>
          <w:lang w:val="en-GB"/>
        </w:rPr>
        <w:t>l</w:t>
      </w:r>
      <w:r w:rsidR="008A092A" w:rsidRPr="00DF75A6">
        <w:rPr>
          <w:rFonts w:eastAsia="Calibri"/>
          <w:sz w:val="22"/>
          <w:szCs w:val="22"/>
          <w:lang w:val="en-GB"/>
        </w:rPr>
        <w:t>oad king)</w:t>
      </w:r>
      <w:r w:rsidRPr="00DF75A6">
        <w:rPr>
          <w:rFonts w:eastAsia="Calibri"/>
          <w:sz w:val="22"/>
          <w:szCs w:val="22"/>
          <w:lang w:val="en-GB"/>
        </w:rPr>
        <w:t>,</w:t>
      </w:r>
      <w:r w:rsidR="00343DB5" w:rsidRPr="00DF75A6">
        <w:rPr>
          <w:rFonts w:eastAsia="Calibri"/>
          <w:sz w:val="22"/>
          <w:szCs w:val="22"/>
          <w:lang w:val="en-GB"/>
        </w:rPr>
        <w:t xml:space="preserve"> </w:t>
      </w:r>
      <w:r w:rsidR="00867438" w:rsidRPr="00DF75A6">
        <w:rPr>
          <w:rFonts w:eastAsia="Calibri"/>
          <w:sz w:val="22"/>
          <w:szCs w:val="22"/>
          <w:lang w:val="en-GB"/>
        </w:rPr>
        <w:t>p</w:t>
      </w:r>
      <w:r w:rsidR="00343DB5" w:rsidRPr="00DF75A6">
        <w:rPr>
          <w:rFonts w:eastAsia="Calibri"/>
          <w:sz w:val="22"/>
          <w:szCs w:val="22"/>
          <w:lang w:val="en-GB"/>
        </w:rPr>
        <w:t xml:space="preserve">rice </w:t>
      </w:r>
      <w:r w:rsidR="00867438" w:rsidRPr="00DF75A6">
        <w:rPr>
          <w:rFonts w:eastAsia="Calibri"/>
          <w:sz w:val="22"/>
          <w:szCs w:val="22"/>
          <w:lang w:val="en-GB"/>
        </w:rPr>
        <w:t>sensitive (investment optimizer), value (mileage optimizer), and performance (reliable workmate)</w:t>
      </w:r>
      <w:r w:rsidR="00967413">
        <w:rPr>
          <w:rFonts w:eastAsia="Calibri"/>
          <w:sz w:val="22"/>
          <w:szCs w:val="22"/>
          <w:lang w:val="en-GB"/>
        </w:rPr>
        <w:t xml:space="preserve">, each </w:t>
      </w:r>
      <w:r w:rsidR="00967413" w:rsidRPr="00DF75A6">
        <w:rPr>
          <w:rFonts w:eastAsia="Calibri"/>
          <w:sz w:val="22"/>
          <w:szCs w:val="22"/>
          <w:lang w:val="en-GB"/>
        </w:rPr>
        <w:t xml:space="preserve">with primary needs </w:t>
      </w:r>
      <w:r w:rsidR="00967413">
        <w:rPr>
          <w:rFonts w:eastAsia="Calibri"/>
          <w:sz w:val="22"/>
          <w:szCs w:val="22"/>
          <w:lang w:val="en-GB"/>
        </w:rPr>
        <w:t xml:space="preserve">(see </w:t>
      </w:r>
      <w:r w:rsidR="00343DB5" w:rsidRPr="00DF75A6">
        <w:rPr>
          <w:rFonts w:eastAsia="Calibri"/>
          <w:sz w:val="22"/>
          <w:szCs w:val="22"/>
          <w:lang w:val="en-GB"/>
        </w:rPr>
        <w:t>Exhibit 5</w:t>
      </w:r>
      <w:r w:rsidR="00967413">
        <w:rPr>
          <w:rFonts w:eastAsia="Calibri"/>
          <w:sz w:val="22"/>
          <w:szCs w:val="22"/>
          <w:lang w:val="en-GB"/>
        </w:rPr>
        <w:t>)</w:t>
      </w:r>
      <w:r w:rsidR="00343DB5" w:rsidRPr="00DF75A6">
        <w:rPr>
          <w:rFonts w:eastAsia="Calibri"/>
          <w:sz w:val="22"/>
          <w:szCs w:val="22"/>
          <w:lang w:val="en-GB"/>
        </w:rPr>
        <w:t xml:space="preserve">. </w:t>
      </w:r>
      <w:r w:rsidR="00013A80" w:rsidRPr="00DF75A6">
        <w:rPr>
          <w:rFonts w:eastAsia="Calibri"/>
          <w:sz w:val="22"/>
          <w:szCs w:val="22"/>
          <w:lang w:val="en-GB"/>
        </w:rPr>
        <w:t xml:space="preserve">Although </w:t>
      </w:r>
      <w:r w:rsidR="00343DB5" w:rsidRPr="00DF75A6">
        <w:rPr>
          <w:rFonts w:eastAsia="Calibri"/>
          <w:sz w:val="22"/>
          <w:szCs w:val="22"/>
          <w:lang w:val="en-GB"/>
        </w:rPr>
        <w:t xml:space="preserve">total cost of ownership was the most important parameter for commercial </w:t>
      </w:r>
      <w:r w:rsidR="00343DB5" w:rsidRPr="00DF75A6">
        <w:rPr>
          <w:rFonts w:eastAsia="Calibri"/>
          <w:sz w:val="22"/>
          <w:szCs w:val="22"/>
          <w:lang w:val="en-GB"/>
        </w:rPr>
        <w:lastRenderedPageBreak/>
        <w:t>vehicle owners, factor</w:t>
      </w:r>
      <w:r w:rsidR="00013A80" w:rsidRPr="00DF75A6">
        <w:rPr>
          <w:rFonts w:eastAsia="Calibri"/>
          <w:sz w:val="22"/>
          <w:szCs w:val="22"/>
          <w:lang w:val="en-GB"/>
        </w:rPr>
        <w:t>s</w:t>
      </w:r>
      <w:r w:rsidR="00343DB5" w:rsidRPr="00DF75A6">
        <w:rPr>
          <w:rFonts w:eastAsia="Calibri"/>
          <w:sz w:val="22"/>
          <w:szCs w:val="22"/>
          <w:lang w:val="en-GB"/>
        </w:rPr>
        <w:t xml:space="preserve"> that ensured satisfaction w</w:t>
      </w:r>
      <w:r w:rsidR="00013A80" w:rsidRPr="00DF75A6">
        <w:rPr>
          <w:rFonts w:eastAsia="Calibri"/>
          <w:sz w:val="22"/>
          <w:szCs w:val="22"/>
          <w:lang w:val="en-GB"/>
        </w:rPr>
        <w:t>ere</w:t>
      </w:r>
      <w:r w:rsidR="00343DB5" w:rsidRPr="00DF75A6">
        <w:rPr>
          <w:rFonts w:eastAsia="Calibri"/>
          <w:sz w:val="22"/>
          <w:szCs w:val="22"/>
          <w:lang w:val="en-GB"/>
        </w:rPr>
        <w:t xml:space="preserve"> different for other cu</w:t>
      </w:r>
      <w:r w:rsidR="006D028C" w:rsidRPr="00DF75A6">
        <w:rPr>
          <w:rFonts w:eastAsia="Calibri"/>
          <w:sz w:val="22"/>
          <w:szCs w:val="22"/>
          <w:lang w:val="en-GB"/>
        </w:rPr>
        <w:t xml:space="preserve">stomers. The </w:t>
      </w:r>
      <w:r w:rsidR="00013A80" w:rsidRPr="00DF75A6">
        <w:rPr>
          <w:rFonts w:eastAsia="Calibri"/>
          <w:sz w:val="22"/>
          <w:szCs w:val="22"/>
          <w:lang w:val="en-GB"/>
        </w:rPr>
        <w:t xml:space="preserve">value segment and the </w:t>
      </w:r>
      <w:r w:rsidR="001779F2" w:rsidRPr="00DF75A6">
        <w:rPr>
          <w:rFonts w:eastAsia="Calibri"/>
          <w:sz w:val="22"/>
          <w:szCs w:val="22"/>
          <w:lang w:val="en-GB"/>
        </w:rPr>
        <w:t>price</w:t>
      </w:r>
      <w:r w:rsidR="001779F2">
        <w:rPr>
          <w:rFonts w:eastAsia="Calibri"/>
          <w:sz w:val="22"/>
          <w:szCs w:val="22"/>
          <w:lang w:val="en-GB"/>
        </w:rPr>
        <w:t>-</w:t>
      </w:r>
      <w:r w:rsidR="00013A80" w:rsidRPr="00DF75A6">
        <w:rPr>
          <w:rFonts w:eastAsia="Calibri"/>
          <w:sz w:val="22"/>
          <w:szCs w:val="22"/>
          <w:lang w:val="en-GB"/>
        </w:rPr>
        <w:t xml:space="preserve">sensitive </w:t>
      </w:r>
      <w:r w:rsidR="00343DB5" w:rsidRPr="00DF75A6">
        <w:rPr>
          <w:rFonts w:eastAsia="Calibri"/>
          <w:sz w:val="22"/>
          <w:szCs w:val="22"/>
          <w:lang w:val="en-GB"/>
        </w:rPr>
        <w:t xml:space="preserve">segment witnessed higher growth than other segments in the overall </w:t>
      </w:r>
      <w:proofErr w:type="spellStart"/>
      <w:r w:rsidR="00CE5DD0" w:rsidRPr="00DF75A6">
        <w:rPr>
          <w:rFonts w:eastAsia="Calibri"/>
          <w:sz w:val="22"/>
          <w:szCs w:val="22"/>
          <w:lang w:val="en-GB"/>
        </w:rPr>
        <w:t>pickup</w:t>
      </w:r>
      <w:proofErr w:type="spellEnd"/>
      <w:r w:rsidR="00343DB5" w:rsidRPr="00DF75A6">
        <w:rPr>
          <w:rFonts w:eastAsia="Calibri"/>
          <w:sz w:val="22"/>
          <w:szCs w:val="22"/>
          <w:lang w:val="en-GB"/>
        </w:rPr>
        <w:t xml:space="preserve"> category. This indicated that customers running on city routes </w:t>
      </w:r>
      <w:r w:rsidR="00013A80" w:rsidRPr="00DF75A6">
        <w:rPr>
          <w:rFonts w:eastAsia="Calibri"/>
          <w:sz w:val="22"/>
          <w:szCs w:val="22"/>
          <w:lang w:val="en-GB"/>
        </w:rPr>
        <w:t>preferred</w:t>
      </w:r>
      <w:r w:rsidR="00343DB5" w:rsidRPr="00DF75A6">
        <w:rPr>
          <w:rFonts w:eastAsia="Calibri"/>
          <w:sz w:val="22"/>
          <w:szCs w:val="22"/>
          <w:lang w:val="en-GB"/>
        </w:rPr>
        <w:t xml:space="preserve"> vehicles with </w:t>
      </w:r>
      <w:r w:rsidR="00013A80" w:rsidRPr="00DF75A6">
        <w:rPr>
          <w:rFonts w:eastAsia="Calibri"/>
          <w:sz w:val="22"/>
          <w:szCs w:val="22"/>
          <w:lang w:val="en-GB"/>
        </w:rPr>
        <w:t xml:space="preserve">an </w:t>
      </w:r>
      <w:r w:rsidR="00343DB5" w:rsidRPr="00DF75A6">
        <w:rPr>
          <w:rFonts w:eastAsia="Calibri"/>
          <w:sz w:val="22"/>
          <w:szCs w:val="22"/>
          <w:lang w:val="en-GB"/>
        </w:rPr>
        <w:t>opt</w:t>
      </w:r>
      <w:r w:rsidR="006D028C" w:rsidRPr="00DF75A6">
        <w:rPr>
          <w:rFonts w:eastAsia="Calibri"/>
          <w:sz w:val="22"/>
          <w:szCs w:val="22"/>
          <w:lang w:val="en-GB"/>
        </w:rPr>
        <w:t>imum combination of rated load and</w:t>
      </w:r>
      <w:r w:rsidR="00343DB5" w:rsidRPr="00DF75A6">
        <w:rPr>
          <w:rFonts w:eastAsia="Calibri"/>
          <w:sz w:val="22"/>
          <w:szCs w:val="22"/>
          <w:lang w:val="en-GB"/>
        </w:rPr>
        <w:t xml:space="preserve"> mileage</w:t>
      </w:r>
      <w:r w:rsidR="00013A80" w:rsidRPr="00DF75A6">
        <w:rPr>
          <w:rFonts w:eastAsia="Calibri"/>
          <w:sz w:val="22"/>
          <w:szCs w:val="22"/>
          <w:lang w:val="en-GB"/>
        </w:rPr>
        <w:t>,</w:t>
      </w:r>
      <w:r w:rsidR="00343DB5" w:rsidRPr="00DF75A6">
        <w:rPr>
          <w:rFonts w:eastAsia="Calibri"/>
          <w:sz w:val="22"/>
          <w:szCs w:val="22"/>
          <w:lang w:val="en-GB"/>
        </w:rPr>
        <w:t xml:space="preserve"> </w:t>
      </w:r>
      <w:r w:rsidR="00967413">
        <w:rPr>
          <w:rFonts w:eastAsia="Calibri"/>
          <w:sz w:val="22"/>
          <w:szCs w:val="22"/>
          <w:lang w:val="en-GB"/>
        </w:rPr>
        <w:t>and that</w:t>
      </w:r>
      <w:r w:rsidR="00967413" w:rsidRPr="00DF75A6">
        <w:rPr>
          <w:rFonts w:eastAsia="Calibri"/>
          <w:sz w:val="22"/>
          <w:szCs w:val="22"/>
          <w:lang w:val="en-GB"/>
        </w:rPr>
        <w:t xml:space="preserve"> </w:t>
      </w:r>
      <w:r w:rsidR="00343DB5" w:rsidRPr="00DF75A6">
        <w:rPr>
          <w:rFonts w:eastAsia="Calibri"/>
          <w:sz w:val="22"/>
          <w:szCs w:val="22"/>
          <w:lang w:val="en-GB"/>
        </w:rPr>
        <w:t xml:space="preserve">price </w:t>
      </w:r>
      <w:r w:rsidR="00967413">
        <w:rPr>
          <w:rFonts w:eastAsia="Calibri"/>
          <w:sz w:val="22"/>
          <w:szCs w:val="22"/>
          <w:lang w:val="en-GB"/>
        </w:rPr>
        <w:t>w</w:t>
      </w:r>
      <w:r w:rsidR="00343DB5" w:rsidRPr="00DF75A6">
        <w:rPr>
          <w:rFonts w:eastAsia="Calibri"/>
          <w:sz w:val="22"/>
          <w:szCs w:val="22"/>
          <w:lang w:val="en-GB"/>
        </w:rPr>
        <w:t>as the deciding factor</w:t>
      </w:r>
      <w:r w:rsidR="00967413">
        <w:rPr>
          <w:rFonts w:eastAsia="Calibri"/>
          <w:sz w:val="22"/>
          <w:szCs w:val="22"/>
          <w:lang w:val="en-GB"/>
        </w:rPr>
        <w:t xml:space="preserve"> for these customers</w:t>
      </w:r>
      <w:r w:rsidR="00343DB5" w:rsidRPr="00DF75A6">
        <w:rPr>
          <w:rFonts w:eastAsia="Calibri"/>
          <w:sz w:val="22"/>
          <w:szCs w:val="22"/>
          <w:lang w:val="en-GB"/>
        </w:rPr>
        <w:t xml:space="preserve">. Brands like </w:t>
      </w:r>
      <w:r w:rsidR="00013A80" w:rsidRPr="00DF75A6">
        <w:rPr>
          <w:rFonts w:eastAsia="Calibri"/>
          <w:sz w:val="22"/>
          <w:szCs w:val="22"/>
          <w:lang w:val="en-GB"/>
        </w:rPr>
        <w:t xml:space="preserve">the </w:t>
      </w:r>
      <w:proofErr w:type="spellStart"/>
      <w:r w:rsidR="00343DB5" w:rsidRPr="00DF75A6">
        <w:rPr>
          <w:rFonts w:eastAsia="Calibri"/>
          <w:sz w:val="22"/>
          <w:szCs w:val="22"/>
          <w:lang w:val="en-GB"/>
        </w:rPr>
        <w:t>Equis</w:t>
      </w:r>
      <w:proofErr w:type="spellEnd"/>
      <w:r w:rsidR="00343DB5" w:rsidRPr="00DF75A6">
        <w:rPr>
          <w:rFonts w:eastAsia="Calibri"/>
          <w:sz w:val="22"/>
          <w:szCs w:val="22"/>
          <w:lang w:val="en-GB"/>
        </w:rPr>
        <w:t xml:space="preserve"> Duo truck and Mohan </w:t>
      </w:r>
      <w:proofErr w:type="spellStart"/>
      <w:r w:rsidR="00967413" w:rsidRPr="00DF75A6">
        <w:rPr>
          <w:rFonts w:eastAsia="Calibri"/>
          <w:sz w:val="22"/>
          <w:szCs w:val="22"/>
          <w:lang w:val="en-GB"/>
        </w:rPr>
        <w:t>Motors</w:t>
      </w:r>
      <w:r w:rsidR="00967413">
        <w:rPr>
          <w:rFonts w:eastAsia="Calibri"/>
          <w:sz w:val="22"/>
          <w:szCs w:val="22"/>
          <w:lang w:val="en-GB"/>
        </w:rPr>
        <w:t>’s</w:t>
      </w:r>
      <w:proofErr w:type="spellEnd"/>
      <w:r w:rsidR="00967413" w:rsidRPr="00DF75A6">
        <w:rPr>
          <w:rFonts w:eastAsia="Calibri"/>
          <w:sz w:val="22"/>
          <w:szCs w:val="22"/>
          <w:lang w:val="en-GB"/>
        </w:rPr>
        <w:t xml:space="preserve"> </w:t>
      </w:r>
      <w:r w:rsidR="00343DB5" w:rsidRPr="00DF75A6">
        <w:rPr>
          <w:rFonts w:eastAsia="Calibri"/>
          <w:sz w:val="22"/>
          <w:szCs w:val="22"/>
          <w:lang w:val="en-GB"/>
        </w:rPr>
        <w:t>Sakha fell in</w:t>
      </w:r>
      <w:r w:rsidR="00013A80" w:rsidRPr="00DF75A6">
        <w:rPr>
          <w:rFonts w:eastAsia="Calibri"/>
          <w:sz w:val="22"/>
          <w:szCs w:val="22"/>
          <w:lang w:val="en-GB"/>
        </w:rPr>
        <w:t>to</w:t>
      </w:r>
      <w:r w:rsidR="00343DB5" w:rsidRPr="00DF75A6">
        <w:rPr>
          <w:rFonts w:eastAsia="Calibri"/>
          <w:sz w:val="22"/>
          <w:szCs w:val="22"/>
          <w:lang w:val="en-GB"/>
        </w:rPr>
        <w:t xml:space="preserve"> this category. The </w:t>
      </w:r>
      <w:r w:rsidR="00013A80" w:rsidRPr="00DF75A6">
        <w:rPr>
          <w:rFonts w:eastAsia="Calibri"/>
          <w:sz w:val="22"/>
          <w:szCs w:val="22"/>
          <w:lang w:val="en-GB"/>
        </w:rPr>
        <w:t xml:space="preserve">performance segment and </w:t>
      </w:r>
      <w:r w:rsidR="00867438" w:rsidRPr="00DF75A6">
        <w:rPr>
          <w:rFonts w:eastAsia="Calibri"/>
          <w:sz w:val="22"/>
          <w:szCs w:val="22"/>
          <w:lang w:val="en-GB"/>
        </w:rPr>
        <w:t xml:space="preserve">the </w:t>
      </w:r>
      <w:r w:rsidR="001779F2" w:rsidRPr="00DF75A6">
        <w:rPr>
          <w:rFonts w:eastAsia="Calibri"/>
          <w:sz w:val="22"/>
          <w:szCs w:val="22"/>
          <w:lang w:val="en-GB"/>
        </w:rPr>
        <w:t>price</w:t>
      </w:r>
      <w:r w:rsidR="001779F2">
        <w:rPr>
          <w:rFonts w:eastAsia="Calibri"/>
          <w:sz w:val="22"/>
          <w:szCs w:val="22"/>
          <w:lang w:val="en-GB"/>
        </w:rPr>
        <w:t>-</w:t>
      </w:r>
      <w:r w:rsidR="00013A80" w:rsidRPr="00DF75A6">
        <w:rPr>
          <w:rFonts w:eastAsia="Calibri"/>
          <w:sz w:val="22"/>
          <w:szCs w:val="22"/>
          <w:lang w:val="en-GB"/>
        </w:rPr>
        <w:t xml:space="preserve">sensitive </w:t>
      </w:r>
      <w:r w:rsidR="00343DB5" w:rsidRPr="00DF75A6">
        <w:rPr>
          <w:rFonts w:eastAsia="Calibri"/>
          <w:sz w:val="22"/>
          <w:szCs w:val="22"/>
          <w:lang w:val="en-GB"/>
        </w:rPr>
        <w:t xml:space="preserve">segment </w:t>
      </w:r>
      <w:r w:rsidR="00967413">
        <w:rPr>
          <w:rFonts w:eastAsia="Calibri"/>
          <w:sz w:val="22"/>
          <w:szCs w:val="22"/>
          <w:lang w:val="en-GB"/>
        </w:rPr>
        <w:t>represented</w:t>
      </w:r>
      <w:r w:rsidR="00967413" w:rsidRPr="00DF75A6">
        <w:rPr>
          <w:rFonts w:eastAsia="Calibri"/>
          <w:sz w:val="22"/>
          <w:szCs w:val="22"/>
          <w:lang w:val="en-GB"/>
        </w:rPr>
        <w:t xml:space="preserve"> around 4 per</w:t>
      </w:r>
      <w:r w:rsidR="00967413">
        <w:rPr>
          <w:rFonts w:eastAsia="Calibri"/>
          <w:sz w:val="22"/>
          <w:szCs w:val="22"/>
          <w:lang w:val="en-GB"/>
        </w:rPr>
        <w:t xml:space="preserve"> </w:t>
      </w:r>
      <w:r w:rsidR="00967413" w:rsidRPr="00DF75A6">
        <w:rPr>
          <w:rFonts w:eastAsia="Calibri"/>
          <w:sz w:val="22"/>
          <w:szCs w:val="22"/>
          <w:lang w:val="en-GB"/>
        </w:rPr>
        <w:t>cent and 12 per</w:t>
      </w:r>
      <w:r w:rsidR="00967413">
        <w:rPr>
          <w:rFonts w:eastAsia="Calibri"/>
          <w:sz w:val="22"/>
          <w:szCs w:val="22"/>
          <w:lang w:val="en-GB"/>
        </w:rPr>
        <w:t xml:space="preserve"> </w:t>
      </w:r>
      <w:r w:rsidR="00967413" w:rsidRPr="00DF75A6">
        <w:rPr>
          <w:rFonts w:eastAsia="Calibri"/>
          <w:sz w:val="22"/>
          <w:szCs w:val="22"/>
          <w:lang w:val="en-GB"/>
        </w:rPr>
        <w:t xml:space="preserve">cent, respectively, </w:t>
      </w:r>
      <w:r w:rsidR="00343DB5" w:rsidRPr="00DF75A6">
        <w:rPr>
          <w:rFonts w:eastAsia="Calibri"/>
          <w:sz w:val="22"/>
          <w:szCs w:val="22"/>
          <w:lang w:val="en-GB"/>
        </w:rPr>
        <w:t xml:space="preserve">of </w:t>
      </w:r>
      <w:r w:rsidR="00013A80" w:rsidRPr="00DF75A6">
        <w:rPr>
          <w:rFonts w:eastAsia="Calibri"/>
          <w:sz w:val="22"/>
          <w:szCs w:val="22"/>
          <w:lang w:val="en-GB"/>
        </w:rPr>
        <w:t xml:space="preserve">the </w:t>
      </w:r>
      <w:r w:rsidR="00343DB5" w:rsidRPr="00DF75A6">
        <w:rPr>
          <w:rFonts w:eastAsia="Calibri"/>
          <w:sz w:val="22"/>
          <w:szCs w:val="22"/>
          <w:lang w:val="en-GB"/>
        </w:rPr>
        <w:t>total pickup market in FY</w:t>
      </w:r>
      <w:r w:rsidR="006D028C" w:rsidRPr="00DF75A6">
        <w:rPr>
          <w:rFonts w:eastAsia="Calibri"/>
          <w:sz w:val="22"/>
          <w:szCs w:val="22"/>
          <w:lang w:val="en-GB"/>
        </w:rPr>
        <w:t>2016</w:t>
      </w:r>
      <w:r w:rsidR="00C32B8D">
        <w:rPr>
          <w:rFonts w:eastAsia="Calibri"/>
          <w:sz w:val="22"/>
          <w:szCs w:val="22"/>
          <w:lang w:val="en-GB"/>
        </w:rPr>
        <w:t>–17</w:t>
      </w:r>
      <w:r w:rsidR="00967413">
        <w:rPr>
          <w:rFonts w:eastAsia="Calibri"/>
          <w:sz w:val="22"/>
          <w:szCs w:val="22"/>
          <w:lang w:val="en-GB"/>
        </w:rPr>
        <w:t>,</w:t>
      </w:r>
      <w:r w:rsidR="006D028C" w:rsidRPr="00DF75A6">
        <w:rPr>
          <w:rFonts w:eastAsia="Calibri"/>
          <w:sz w:val="22"/>
          <w:szCs w:val="22"/>
          <w:lang w:val="en-GB"/>
        </w:rPr>
        <w:t xml:space="preserve"> </w:t>
      </w:r>
      <w:r w:rsidR="00343DB5" w:rsidRPr="00DF75A6">
        <w:rPr>
          <w:rFonts w:eastAsia="Calibri"/>
          <w:sz w:val="22"/>
          <w:szCs w:val="22"/>
          <w:lang w:val="en-GB"/>
        </w:rPr>
        <w:t xml:space="preserve">indicating </w:t>
      </w:r>
      <w:r w:rsidR="00967413">
        <w:rPr>
          <w:rFonts w:eastAsia="Calibri"/>
          <w:sz w:val="22"/>
          <w:szCs w:val="22"/>
          <w:lang w:val="en-GB"/>
        </w:rPr>
        <w:t xml:space="preserve">that these segments made up </w:t>
      </w:r>
      <w:r w:rsidR="00343DB5" w:rsidRPr="00DF75A6">
        <w:rPr>
          <w:rFonts w:eastAsia="Calibri"/>
          <w:sz w:val="22"/>
          <w:szCs w:val="22"/>
          <w:lang w:val="en-GB"/>
        </w:rPr>
        <w:t>a small customer base (see Exhibit 6).</w:t>
      </w:r>
    </w:p>
    <w:p w14:paraId="394C95B8" w14:textId="77777777" w:rsidR="00343DB5" w:rsidRPr="00DF75A6" w:rsidRDefault="00343DB5" w:rsidP="00343DB5">
      <w:pPr>
        <w:contextualSpacing/>
        <w:jc w:val="both"/>
        <w:rPr>
          <w:rFonts w:eastAsia="Calibri"/>
          <w:sz w:val="22"/>
          <w:szCs w:val="22"/>
          <w:lang w:val="en-GB"/>
        </w:rPr>
      </w:pPr>
    </w:p>
    <w:p w14:paraId="4A187E06" w14:textId="0BF6E66A" w:rsidR="00343DB5" w:rsidRPr="003226F9" w:rsidRDefault="00343DB5" w:rsidP="00343DB5">
      <w:pPr>
        <w:contextualSpacing/>
        <w:jc w:val="both"/>
        <w:rPr>
          <w:rFonts w:eastAsia="Calibri"/>
          <w:spacing w:val="-2"/>
          <w:kern w:val="22"/>
          <w:sz w:val="22"/>
          <w:szCs w:val="22"/>
          <w:lang w:val="en-GB"/>
        </w:rPr>
      </w:pPr>
      <w:r w:rsidRPr="003226F9">
        <w:rPr>
          <w:rFonts w:eastAsia="Calibri"/>
          <w:spacing w:val="-2"/>
          <w:kern w:val="22"/>
          <w:sz w:val="22"/>
          <w:szCs w:val="22"/>
          <w:lang w:val="en-GB"/>
        </w:rPr>
        <w:t xml:space="preserve">The market data showed that </w:t>
      </w:r>
      <w:r w:rsidR="00013A80" w:rsidRPr="003226F9">
        <w:rPr>
          <w:rFonts w:eastAsia="Calibri"/>
          <w:spacing w:val="-2"/>
          <w:kern w:val="22"/>
          <w:sz w:val="22"/>
          <w:szCs w:val="22"/>
          <w:lang w:val="en-GB"/>
        </w:rPr>
        <w:t xml:space="preserve">the </w:t>
      </w:r>
      <w:proofErr w:type="spellStart"/>
      <w:r w:rsidRPr="003226F9">
        <w:rPr>
          <w:rFonts w:eastAsia="Calibri"/>
          <w:spacing w:val="-2"/>
          <w:kern w:val="22"/>
          <w:sz w:val="22"/>
          <w:szCs w:val="22"/>
          <w:lang w:val="en-GB"/>
        </w:rPr>
        <w:t>Equis</w:t>
      </w:r>
      <w:proofErr w:type="spellEnd"/>
      <w:r w:rsidRPr="003226F9">
        <w:rPr>
          <w:rFonts w:eastAsia="Calibri"/>
          <w:spacing w:val="-2"/>
          <w:kern w:val="22"/>
          <w:sz w:val="22"/>
          <w:szCs w:val="22"/>
          <w:lang w:val="en-GB"/>
        </w:rPr>
        <w:t xml:space="preserve"> Pluto pickup and </w:t>
      </w:r>
      <w:r w:rsidR="00013A80" w:rsidRPr="003226F9">
        <w:rPr>
          <w:rFonts w:eastAsia="Calibri"/>
          <w:spacing w:val="-2"/>
          <w:kern w:val="22"/>
          <w:sz w:val="22"/>
          <w:szCs w:val="22"/>
          <w:lang w:val="en-GB"/>
        </w:rPr>
        <w:t xml:space="preserve">the </w:t>
      </w:r>
      <w:proofErr w:type="spellStart"/>
      <w:r w:rsidRPr="003226F9">
        <w:rPr>
          <w:rFonts w:eastAsia="Calibri"/>
          <w:spacing w:val="-2"/>
          <w:kern w:val="22"/>
          <w:sz w:val="22"/>
          <w:szCs w:val="22"/>
          <w:lang w:val="en-GB"/>
        </w:rPr>
        <w:t>Equi</w:t>
      </w:r>
      <w:r w:rsidR="00013A80" w:rsidRPr="003226F9">
        <w:rPr>
          <w:rFonts w:eastAsia="Calibri"/>
          <w:spacing w:val="-2"/>
          <w:kern w:val="22"/>
          <w:sz w:val="22"/>
          <w:szCs w:val="22"/>
          <w:lang w:val="en-GB"/>
        </w:rPr>
        <w:t>s</w:t>
      </w:r>
      <w:proofErr w:type="spellEnd"/>
      <w:r w:rsidRPr="003226F9">
        <w:rPr>
          <w:rFonts w:eastAsia="Calibri"/>
          <w:spacing w:val="-2"/>
          <w:kern w:val="22"/>
          <w:sz w:val="22"/>
          <w:szCs w:val="22"/>
          <w:lang w:val="en-GB"/>
        </w:rPr>
        <w:t xml:space="preserve"> Duo </w:t>
      </w:r>
      <w:r w:rsidR="00DF75A6" w:rsidRPr="003226F9">
        <w:rPr>
          <w:rFonts w:eastAsia="Calibri"/>
          <w:spacing w:val="-2"/>
          <w:kern w:val="22"/>
          <w:sz w:val="22"/>
          <w:szCs w:val="22"/>
          <w:lang w:val="en-GB"/>
        </w:rPr>
        <w:t>t</w:t>
      </w:r>
      <w:r w:rsidRPr="003226F9">
        <w:rPr>
          <w:rFonts w:eastAsia="Calibri"/>
          <w:spacing w:val="-2"/>
          <w:kern w:val="22"/>
          <w:sz w:val="22"/>
          <w:szCs w:val="22"/>
          <w:lang w:val="en-GB"/>
        </w:rPr>
        <w:t xml:space="preserve">ruck were the segment leaders in the </w:t>
      </w:r>
      <w:r w:rsidR="00013A80" w:rsidRPr="003226F9">
        <w:rPr>
          <w:rFonts w:eastAsia="Calibri"/>
          <w:spacing w:val="-2"/>
          <w:kern w:val="22"/>
          <w:sz w:val="22"/>
          <w:szCs w:val="22"/>
          <w:lang w:val="en-GB"/>
        </w:rPr>
        <w:t>overload and value segment</w:t>
      </w:r>
      <w:r w:rsidR="009867BF" w:rsidRPr="003226F9">
        <w:rPr>
          <w:rFonts w:eastAsia="Calibri"/>
          <w:spacing w:val="-2"/>
          <w:kern w:val="22"/>
          <w:sz w:val="22"/>
          <w:szCs w:val="22"/>
          <w:lang w:val="en-GB"/>
        </w:rPr>
        <w:t>s</w:t>
      </w:r>
      <w:r w:rsidR="00013A80" w:rsidRPr="003226F9">
        <w:rPr>
          <w:rFonts w:eastAsia="Calibri"/>
          <w:spacing w:val="-2"/>
          <w:kern w:val="22"/>
          <w:sz w:val="22"/>
          <w:szCs w:val="22"/>
          <w:lang w:val="en-GB"/>
        </w:rPr>
        <w:t xml:space="preserve">, </w:t>
      </w:r>
      <w:r w:rsidRPr="003226F9">
        <w:rPr>
          <w:rFonts w:eastAsia="Calibri"/>
          <w:spacing w:val="-2"/>
          <w:kern w:val="22"/>
          <w:sz w:val="22"/>
          <w:szCs w:val="22"/>
          <w:lang w:val="en-GB"/>
        </w:rPr>
        <w:t>respectively</w:t>
      </w:r>
      <w:r w:rsidR="00967413" w:rsidRPr="003226F9">
        <w:rPr>
          <w:rFonts w:eastAsia="Calibri"/>
          <w:spacing w:val="-2"/>
          <w:kern w:val="22"/>
          <w:sz w:val="22"/>
          <w:szCs w:val="22"/>
          <w:lang w:val="en-GB"/>
        </w:rPr>
        <w:t>,</w:t>
      </w:r>
      <w:r w:rsidRPr="003226F9">
        <w:rPr>
          <w:rFonts w:eastAsia="Calibri"/>
          <w:spacing w:val="-2"/>
          <w:kern w:val="22"/>
          <w:sz w:val="22"/>
          <w:szCs w:val="22"/>
          <w:lang w:val="en-GB"/>
        </w:rPr>
        <w:t xml:space="preserve"> and </w:t>
      </w:r>
      <w:r w:rsidR="00967413" w:rsidRPr="003226F9">
        <w:rPr>
          <w:rFonts w:eastAsia="Calibri"/>
          <w:spacing w:val="-2"/>
          <w:kern w:val="22"/>
          <w:sz w:val="22"/>
          <w:szCs w:val="22"/>
          <w:lang w:val="en-GB"/>
        </w:rPr>
        <w:t xml:space="preserve">that they </w:t>
      </w:r>
      <w:r w:rsidRPr="003226F9">
        <w:rPr>
          <w:rFonts w:eastAsia="Calibri"/>
          <w:spacing w:val="-2"/>
          <w:kern w:val="22"/>
          <w:sz w:val="22"/>
          <w:szCs w:val="22"/>
          <w:lang w:val="en-GB"/>
        </w:rPr>
        <w:t xml:space="preserve">commanded </w:t>
      </w:r>
      <w:r w:rsidR="00013A80" w:rsidRPr="003226F9">
        <w:rPr>
          <w:rFonts w:eastAsia="Calibri"/>
          <w:spacing w:val="-2"/>
          <w:kern w:val="22"/>
          <w:sz w:val="22"/>
          <w:szCs w:val="22"/>
          <w:lang w:val="en-GB"/>
        </w:rPr>
        <w:t xml:space="preserve">the </w:t>
      </w:r>
      <w:r w:rsidRPr="003226F9">
        <w:rPr>
          <w:rFonts w:eastAsia="Calibri"/>
          <w:spacing w:val="-2"/>
          <w:kern w:val="22"/>
          <w:sz w:val="22"/>
          <w:szCs w:val="22"/>
          <w:lang w:val="en-GB"/>
        </w:rPr>
        <w:t>highest market share. A</w:t>
      </w:r>
      <w:r w:rsidR="00967413" w:rsidRPr="003226F9">
        <w:rPr>
          <w:rFonts w:eastAsia="Calibri"/>
          <w:spacing w:val="-2"/>
          <w:kern w:val="22"/>
          <w:sz w:val="22"/>
          <w:szCs w:val="22"/>
          <w:lang w:val="en-GB"/>
        </w:rPr>
        <w:t>n in-depth</w:t>
      </w:r>
      <w:r w:rsidRPr="003226F9">
        <w:rPr>
          <w:rFonts w:eastAsia="Calibri"/>
          <w:spacing w:val="-2"/>
          <w:kern w:val="22"/>
          <w:sz w:val="22"/>
          <w:szCs w:val="22"/>
          <w:lang w:val="en-GB"/>
        </w:rPr>
        <w:t xml:space="preserve"> study of various brands in the pickup segment uncovered customer perception</w:t>
      </w:r>
      <w:r w:rsidR="006D028C" w:rsidRPr="003226F9">
        <w:rPr>
          <w:rFonts w:eastAsia="Calibri"/>
          <w:spacing w:val="-2"/>
          <w:kern w:val="22"/>
          <w:sz w:val="22"/>
          <w:szCs w:val="22"/>
          <w:lang w:val="en-GB"/>
        </w:rPr>
        <w:t>s</w:t>
      </w:r>
      <w:r w:rsidRPr="003226F9">
        <w:rPr>
          <w:rFonts w:eastAsia="Calibri"/>
          <w:spacing w:val="-2"/>
          <w:kern w:val="22"/>
          <w:sz w:val="22"/>
          <w:szCs w:val="22"/>
          <w:lang w:val="en-GB"/>
        </w:rPr>
        <w:t xml:space="preserve"> </w:t>
      </w:r>
      <w:r w:rsidR="00013A80" w:rsidRPr="003226F9">
        <w:rPr>
          <w:rFonts w:eastAsia="Calibri"/>
          <w:spacing w:val="-2"/>
          <w:kern w:val="22"/>
          <w:sz w:val="22"/>
          <w:szCs w:val="22"/>
          <w:lang w:val="en-GB"/>
        </w:rPr>
        <w:t xml:space="preserve">of </w:t>
      </w:r>
      <w:r w:rsidR="00967413" w:rsidRPr="003226F9">
        <w:rPr>
          <w:rFonts w:eastAsia="Calibri"/>
          <w:spacing w:val="-2"/>
          <w:kern w:val="22"/>
          <w:sz w:val="22"/>
          <w:szCs w:val="22"/>
          <w:lang w:val="en-GB"/>
        </w:rPr>
        <w:t xml:space="preserve">SMC’s </w:t>
      </w:r>
      <w:r w:rsidRPr="003226F9">
        <w:rPr>
          <w:rFonts w:eastAsia="Calibri"/>
          <w:spacing w:val="-2"/>
          <w:kern w:val="22"/>
          <w:sz w:val="22"/>
          <w:szCs w:val="22"/>
          <w:lang w:val="en-GB"/>
        </w:rPr>
        <w:t xml:space="preserve">Supreme </w:t>
      </w:r>
      <w:r w:rsidR="00013A80" w:rsidRPr="003226F9">
        <w:rPr>
          <w:rFonts w:eastAsia="Calibri"/>
          <w:spacing w:val="-2"/>
          <w:kern w:val="22"/>
          <w:sz w:val="22"/>
          <w:szCs w:val="22"/>
          <w:lang w:val="en-GB"/>
        </w:rPr>
        <w:t>p</w:t>
      </w:r>
      <w:r w:rsidRPr="003226F9">
        <w:rPr>
          <w:rFonts w:eastAsia="Calibri"/>
          <w:spacing w:val="-2"/>
          <w:kern w:val="22"/>
          <w:sz w:val="22"/>
          <w:szCs w:val="22"/>
          <w:lang w:val="en-GB"/>
        </w:rPr>
        <w:t xml:space="preserve">ickup as the preferred vehicle in the </w:t>
      </w:r>
      <w:r w:rsidR="00013A80" w:rsidRPr="003226F9">
        <w:rPr>
          <w:rFonts w:eastAsia="Calibri"/>
          <w:spacing w:val="-2"/>
          <w:kern w:val="22"/>
          <w:sz w:val="22"/>
          <w:szCs w:val="22"/>
          <w:lang w:val="en-GB"/>
        </w:rPr>
        <w:t>p</w:t>
      </w:r>
      <w:r w:rsidRPr="003226F9">
        <w:rPr>
          <w:rFonts w:eastAsia="Calibri"/>
          <w:spacing w:val="-2"/>
          <w:kern w:val="22"/>
          <w:sz w:val="22"/>
          <w:szCs w:val="22"/>
          <w:lang w:val="en-GB"/>
        </w:rPr>
        <w:t>erformance segment</w:t>
      </w:r>
      <w:r w:rsidR="00013A80" w:rsidRPr="003226F9">
        <w:rPr>
          <w:rFonts w:eastAsia="Calibri"/>
          <w:spacing w:val="-2"/>
          <w:kern w:val="22"/>
          <w:sz w:val="22"/>
          <w:szCs w:val="22"/>
          <w:lang w:val="en-GB"/>
        </w:rPr>
        <w:t>,</w:t>
      </w:r>
      <w:r w:rsidRPr="003226F9">
        <w:rPr>
          <w:rFonts w:eastAsia="Calibri"/>
          <w:spacing w:val="-2"/>
          <w:kern w:val="22"/>
          <w:sz w:val="22"/>
          <w:szCs w:val="22"/>
          <w:lang w:val="en-GB"/>
        </w:rPr>
        <w:t xml:space="preserve"> wh</w:t>
      </w:r>
      <w:r w:rsidR="00013A80" w:rsidRPr="003226F9">
        <w:rPr>
          <w:rFonts w:eastAsia="Calibri"/>
          <w:spacing w:val="-2"/>
          <w:kern w:val="22"/>
          <w:sz w:val="22"/>
          <w:szCs w:val="22"/>
          <w:lang w:val="en-GB"/>
        </w:rPr>
        <w:t>ereas</w:t>
      </w:r>
      <w:r w:rsidRPr="003226F9">
        <w:rPr>
          <w:rFonts w:eastAsia="Calibri"/>
          <w:spacing w:val="-2"/>
          <w:kern w:val="22"/>
          <w:sz w:val="22"/>
          <w:szCs w:val="22"/>
          <w:lang w:val="en-GB"/>
        </w:rPr>
        <w:t xml:space="preserve"> </w:t>
      </w:r>
      <w:r w:rsidR="00013A80" w:rsidRPr="003226F9">
        <w:rPr>
          <w:rFonts w:eastAsia="Calibri"/>
          <w:spacing w:val="-2"/>
          <w:kern w:val="22"/>
          <w:sz w:val="22"/>
          <w:szCs w:val="22"/>
          <w:lang w:val="en-GB"/>
        </w:rPr>
        <w:t xml:space="preserve">the </w:t>
      </w:r>
      <w:proofErr w:type="spellStart"/>
      <w:r w:rsidRPr="003226F9">
        <w:rPr>
          <w:rFonts w:eastAsia="Calibri"/>
          <w:spacing w:val="-2"/>
          <w:kern w:val="22"/>
          <w:sz w:val="22"/>
          <w:szCs w:val="22"/>
          <w:lang w:val="en-GB"/>
        </w:rPr>
        <w:t>Equis</w:t>
      </w:r>
      <w:proofErr w:type="spellEnd"/>
      <w:r w:rsidRPr="003226F9">
        <w:rPr>
          <w:rFonts w:eastAsia="Calibri"/>
          <w:spacing w:val="-2"/>
          <w:kern w:val="22"/>
          <w:sz w:val="22"/>
          <w:szCs w:val="22"/>
          <w:lang w:val="en-GB"/>
        </w:rPr>
        <w:t xml:space="preserve"> Pluto pickup was preferred in the </w:t>
      </w:r>
      <w:r w:rsidR="00013A80" w:rsidRPr="003226F9">
        <w:rPr>
          <w:rFonts w:eastAsia="Calibri"/>
          <w:spacing w:val="-2"/>
          <w:kern w:val="22"/>
          <w:sz w:val="22"/>
          <w:szCs w:val="22"/>
          <w:lang w:val="en-GB"/>
        </w:rPr>
        <w:t>o</w:t>
      </w:r>
      <w:r w:rsidRPr="003226F9">
        <w:rPr>
          <w:rFonts w:eastAsia="Calibri"/>
          <w:spacing w:val="-2"/>
          <w:kern w:val="22"/>
          <w:sz w:val="22"/>
          <w:szCs w:val="22"/>
          <w:lang w:val="en-GB"/>
        </w:rPr>
        <w:t xml:space="preserve">verload segment. The study also revealed that </w:t>
      </w:r>
      <w:r w:rsidR="00013A80" w:rsidRPr="003226F9">
        <w:rPr>
          <w:rFonts w:eastAsia="Calibri"/>
          <w:spacing w:val="-2"/>
          <w:kern w:val="22"/>
          <w:sz w:val="22"/>
          <w:szCs w:val="22"/>
          <w:lang w:val="en-GB"/>
        </w:rPr>
        <w:t>the o</w:t>
      </w:r>
      <w:r w:rsidRPr="003226F9">
        <w:rPr>
          <w:rFonts w:eastAsia="Calibri"/>
          <w:spacing w:val="-2"/>
          <w:kern w:val="22"/>
          <w:sz w:val="22"/>
          <w:szCs w:val="22"/>
          <w:lang w:val="en-GB"/>
        </w:rPr>
        <w:t xml:space="preserve">verload and </w:t>
      </w:r>
      <w:r w:rsidR="00013A80" w:rsidRPr="003226F9">
        <w:rPr>
          <w:rFonts w:eastAsia="Calibri"/>
          <w:spacing w:val="-2"/>
          <w:kern w:val="22"/>
          <w:sz w:val="22"/>
          <w:szCs w:val="22"/>
          <w:lang w:val="en-GB"/>
        </w:rPr>
        <w:t>v</w:t>
      </w:r>
      <w:r w:rsidRPr="003226F9">
        <w:rPr>
          <w:rFonts w:eastAsia="Calibri"/>
          <w:spacing w:val="-2"/>
          <w:kern w:val="22"/>
          <w:sz w:val="22"/>
          <w:szCs w:val="22"/>
          <w:lang w:val="en-GB"/>
        </w:rPr>
        <w:t>alue segment</w:t>
      </w:r>
      <w:r w:rsidR="009867BF" w:rsidRPr="003226F9">
        <w:rPr>
          <w:rFonts w:eastAsia="Calibri"/>
          <w:spacing w:val="-2"/>
          <w:kern w:val="22"/>
          <w:sz w:val="22"/>
          <w:szCs w:val="22"/>
          <w:lang w:val="en-GB"/>
        </w:rPr>
        <w:t>s</w:t>
      </w:r>
      <w:r w:rsidRPr="003226F9">
        <w:rPr>
          <w:rFonts w:eastAsia="Calibri"/>
          <w:spacing w:val="-2"/>
          <w:kern w:val="22"/>
          <w:sz w:val="22"/>
          <w:szCs w:val="22"/>
          <w:lang w:val="en-GB"/>
        </w:rPr>
        <w:t xml:space="preserve"> were growing </w:t>
      </w:r>
      <w:r w:rsidR="009867BF" w:rsidRPr="003226F9">
        <w:rPr>
          <w:rFonts w:eastAsia="Calibri"/>
          <w:spacing w:val="-2"/>
          <w:kern w:val="22"/>
          <w:sz w:val="22"/>
          <w:szCs w:val="22"/>
          <w:lang w:val="en-GB"/>
        </w:rPr>
        <w:t xml:space="preserve">areas </w:t>
      </w:r>
      <w:r w:rsidRPr="003226F9">
        <w:rPr>
          <w:rFonts w:eastAsia="Calibri"/>
          <w:spacing w:val="-2"/>
          <w:kern w:val="22"/>
          <w:sz w:val="22"/>
          <w:szCs w:val="22"/>
          <w:lang w:val="en-GB"/>
        </w:rPr>
        <w:t xml:space="preserve">in which </w:t>
      </w:r>
      <w:proofErr w:type="spellStart"/>
      <w:r w:rsidRPr="003226F9">
        <w:rPr>
          <w:rFonts w:eastAsia="Calibri"/>
          <w:spacing w:val="-2"/>
          <w:kern w:val="22"/>
          <w:sz w:val="22"/>
          <w:szCs w:val="22"/>
          <w:lang w:val="en-GB"/>
        </w:rPr>
        <w:t>Equis</w:t>
      </w:r>
      <w:proofErr w:type="spellEnd"/>
      <w:r w:rsidRPr="003226F9">
        <w:rPr>
          <w:rFonts w:eastAsia="Calibri"/>
          <w:spacing w:val="-2"/>
          <w:kern w:val="22"/>
          <w:sz w:val="22"/>
          <w:szCs w:val="22"/>
          <w:lang w:val="en-GB"/>
        </w:rPr>
        <w:t xml:space="preserve"> was the leader</w:t>
      </w:r>
      <w:r w:rsidR="00967413" w:rsidRPr="003226F9">
        <w:rPr>
          <w:rFonts w:eastAsia="Calibri"/>
          <w:spacing w:val="-2"/>
          <w:kern w:val="22"/>
          <w:sz w:val="22"/>
          <w:szCs w:val="22"/>
          <w:lang w:val="en-GB"/>
        </w:rPr>
        <w:t>;</w:t>
      </w:r>
      <w:r w:rsidRPr="003226F9">
        <w:rPr>
          <w:rFonts w:eastAsia="Calibri"/>
          <w:spacing w:val="-2"/>
          <w:kern w:val="22"/>
          <w:sz w:val="22"/>
          <w:szCs w:val="22"/>
          <w:lang w:val="en-GB"/>
        </w:rPr>
        <w:t xml:space="preserve"> SMC was </w:t>
      </w:r>
      <w:r w:rsidR="00013A80" w:rsidRPr="003226F9">
        <w:rPr>
          <w:rFonts w:eastAsia="Calibri"/>
          <w:spacing w:val="-2"/>
          <w:kern w:val="22"/>
          <w:sz w:val="22"/>
          <w:szCs w:val="22"/>
          <w:lang w:val="en-GB"/>
        </w:rPr>
        <w:t>not even</w:t>
      </w:r>
      <w:r w:rsidRPr="003226F9">
        <w:rPr>
          <w:rFonts w:eastAsia="Calibri"/>
          <w:spacing w:val="-2"/>
          <w:kern w:val="22"/>
          <w:sz w:val="22"/>
          <w:szCs w:val="22"/>
          <w:lang w:val="en-GB"/>
        </w:rPr>
        <w:t xml:space="preserve"> present in these segments. SMC had positioned </w:t>
      </w:r>
      <w:r w:rsidR="00013A80" w:rsidRPr="003226F9">
        <w:rPr>
          <w:rFonts w:eastAsia="Calibri"/>
          <w:spacing w:val="-2"/>
          <w:kern w:val="22"/>
          <w:sz w:val="22"/>
          <w:szCs w:val="22"/>
          <w:lang w:val="en-GB"/>
        </w:rPr>
        <w:t xml:space="preserve">the </w:t>
      </w:r>
      <w:r w:rsidRPr="003226F9">
        <w:rPr>
          <w:rFonts w:eastAsia="Calibri"/>
          <w:spacing w:val="-2"/>
          <w:kern w:val="22"/>
          <w:sz w:val="22"/>
          <w:szCs w:val="22"/>
          <w:lang w:val="en-GB"/>
        </w:rPr>
        <w:t xml:space="preserve">Supreme pickup in the </w:t>
      </w:r>
      <w:r w:rsidR="00013A80" w:rsidRPr="003226F9">
        <w:rPr>
          <w:rFonts w:eastAsia="Calibri"/>
          <w:spacing w:val="-2"/>
          <w:kern w:val="22"/>
          <w:sz w:val="22"/>
          <w:szCs w:val="22"/>
          <w:lang w:val="en-GB"/>
        </w:rPr>
        <w:t>o</w:t>
      </w:r>
      <w:r w:rsidRPr="003226F9">
        <w:rPr>
          <w:rFonts w:eastAsia="Calibri"/>
          <w:spacing w:val="-2"/>
          <w:kern w:val="22"/>
          <w:sz w:val="22"/>
          <w:szCs w:val="22"/>
          <w:lang w:val="en-GB"/>
        </w:rPr>
        <w:t xml:space="preserve">verload segment to garner sales in the </w:t>
      </w:r>
      <w:r w:rsidR="001779F2" w:rsidRPr="003226F9">
        <w:rPr>
          <w:rFonts w:eastAsia="Calibri"/>
          <w:spacing w:val="-2"/>
          <w:kern w:val="22"/>
          <w:sz w:val="22"/>
          <w:szCs w:val="22"/>
          <w:lang w:val="en-GB"/>
        </w:rPr>
        <w:t>large-</w:t>
      </w:r>
      <w:r w:rsidRPr="003226F9">
        <w:rPr>
          <w:rFonts w:eastAsia="Calibri"/>
          <w:spacing w:val="-2"/>
          <w:kern w:val="22"/>
          <w:sz w:val="22"/>
          <w:szCs w:val="22"/>
          <w:lang w:val="en-GB"/>
        </w:rPr>
        <w:t xml:space="preserve">pickup segment. </w:t>
      </w:r>
      <w:r w:rsidR="00013A80" w:rsidRPr="003226F9">
        <w:rPr>
          <w:rFonts w:eastAsia="Calibri"/>
          <w:spacing w:val="-2"/>
          <w:kern w:val="22"/>
          <w:sz w:val="22"/>
          <w:szCs w:val="22"/>
          <w:lang w:val="en-GB"/>
        </w:rPr>
        <w:t>However,</w:t>
      </w:r>
      <w:r w:rsidRPr="003226F9">
        <w:rPr>
          <w:rFonts w:eastAsia="Calibri"/>
          <w:spacing w:val="-2"/>
          <w:kern w:val="22"/>
          <w:sz w:val="22"/>
          <w:szCs w:val="22"/>
          <w:lang w:val="en-GB"/>
        </w:rPr>
        <w:t xml:space="preserve"> customer</w:t>
      </w:r>
      <w:r w:rsidR="00967413" w:rsidRPr="003226F9">
        <w:rPr>
          <w:rFonts w:eastAsia="Calibri"/>
          <w:spacing w:val="-2"/>
          <w:kern w:val="22"/>
          <w:sz w:val="22"/>
          <w:szCs w:val="22"/>
          <w:lang w:val="en-GB"/>
        </w:rPr>
        <w:t>s</w:t>
      </w:r>
      <w:r w:rsidRPr="003226F9">
        <w:rPr>
          <w:rFonts w:eastAsia="Calibri"/>
          <w:spacing w:val="-2"/>
          <w:kern w:val="22"/>
          <w:sz w:val="22"/>
          <w:szCs w:val="22"/>
          <w:lang w:val="en-GB"/>
        </w:rPr>
        <w:t xml:space="preserve"> indicated that </w:t>
      </w:r>
      <w:r w:rsidR="00013A80" w:rsidRPr="003226F9">
        <w:rPr>
          <w:rFonts w:eastAsia="Calibri"/>
          <w:spacing w:val="-2"/>
          <w:kern w:val="22"/>
          <w:sz w:val="22"/>
          <w:szCs w:val="22"/>
          <w:lang w:val="en-GB"/>
        </w:rPr>
        <w:t xml:space="preserve">the </w:t>
      </w:r>
      <w:proofErr w:type="spellStart"/>
      <w:r w:rsidRPr="003226F9">
        <w:rPr>
          <w:rFonts w:eastAsia="Calibri"/>
          <w:spacing w:val="-2"/>
          <w:kern w:val="22"/>
          <w:sz w:val="22"/>
          <w:szCs w:val="22"/>
          <w:lang w:val="en-GB"/>
        </w:rPr>
        <w:t>Equis</w:t>
      </w:r>
      <w:proofErr w:type="spellEnd"/>
      <w:r w:rsidRPr="003226F9">
        <w:rPr>
          <w:rFonts w:eastAsia="Calibri"/>
          <w:spacing w:val="-2"/>
          <w:kern w:val="22"/>
          <w:sz w:val="22"/>
          <w:szCs w:val="22"/>
          <w:lang w:val="en-GB"/>
        </w:rPr>
        <w:t xml:space="preserve"> Pluto pickup </w:t>
      </w:r>
      <w:r w:rsidR="00967413" w:rsidRPr="003226F9">
        <w:rPr>
          <w:rFonts w:eastAsia="Calibri"/>
          <w:spacing w:val="-2"/>
          <w:kern w:val="22"/>
          <w:sz w:val="22"/>
          <w:szCs w:val="22"/>
          <w:lang w:val="en-GB"/>
        </w:rPr>
        <w:t xml:space="preserve">performed </w:t>
      </w:r>
      <w:r w:rsidRPr="003226F9">
        <w:rPr>
          <w:rFonts w:eastAsia="Calibri"/>
          <w:spacing w:val="-2"/>
          <w:kern w:val="22"/>
          <w:sz w:val="22"/>
          <w:szCs w:val="22"/>
          <w:lang w:val="en-GB"/>
        </w:rPr>
        <w:t xml:space="preserve">better than </w:t>
      </w:r>
      <w:r w:rsidR="00415B29">
        <w:rPr>
          <w:rFonts w:eastAsia="Calibri"/>
          <w:spacing w:val="-2"/>
          <w:kern w:val="22"/>
          <w:sz w:val="22"/>
          <w:szCs w:val="22"/>
          <w:lang w:val="en-GB"/>
        </w:rPr>
        <w:t xml:space="preserve">the </w:t>
      </w:r>
      <w:r w:rsidRPr="003226F9">
        <w:rPr>
          <w:rFonts w:eastAsia="Calibri"/>
          <w:spacing w:val="-2"/>
          <w:kern w:val="22"/>
          <w:sz w:val="22"/>
          <w:szCs w:val="22"/>
          <w:lang w:val="en-GB"/>
        </w:rPr>
        <w:t>competitors</w:t>
      </w:r>
      <w:r w:rsidR="00415B29">
        <w:rPr>
          <w:rFonts w:eastAsia="Calibri"/>
          <w:spacing w:val="-2"/>
          <w:kern w:val="22"/>
          <w:sz w:val="22"/>
          <w:szCs w:val="22"/>
          <w:lang w:val="en-GB"/>
        </w:rPr>
        <w:t xml:space="preserve"> did</w:t>
      </w:r>
      <w:r w:rsidRPr="003226F9">
        <w:rPr>
          <w:rFonts w:eastAsia="Calibri"/>
          <w:spacing w:val="-2"/>
          <w:kern w:val="22"/>
          <w:sz w:val="22"/>
          <w:szCs w:val="22"/>
          <w:lang w:val="en-GB"/>
        </w:rPr>
        <w:t xml:space="preserve"> </w:t>
      </w:r>
      <w:r w:rsidR="00967413" w:rsidRPr="003226F9">
        <w:rPr>
          <w:rFonts w:eastAsia="Calibri"/>
          <w:spacing w:val="-2"/>
          <w:kern w:val="22"/>
          <w:sz w:val="22"/>
          <w:szCs w:val="22"/>
          <w:lang w:val="en-GB"/>
        </w:rPr>
        <w:t xml:space="preserve">on </w:t>
      </w:r>
      <w:r w:rsidRPr="003226F9">
        <w:rPr>
          <w:rFonts w:eastAsia="Calibri"/>
          <w:spacing w:val="-2"/>
          <w:kern w:val="22"/>
          <w:sz w:val="22"/>
          <w:szCs w:val="22"/>
          <w:lang w:val="en-GB"/>
        </w:rPr>
        <w:t xml:space="preserve">attributes like overloading, fuel efficiency, engine </w:t>
      </w:r>
      <w:r w:rsidR="001779F2" w:rsidRPr="003226F9">
        <w:rPr>
          <w:rFonts w:eastAsia="Calibri"/>
          <w:spacing w:val="-2"/>
          <w:kern w:val="22"/>
          <w:sz w:val="22"/>
          <w:szCs w:val="22"/>
          <w:lang w:val="en-GB"/>
        </w:rPr>
        <w:t>pick-</w:t>
      </w:r>
      <w:r w:rsidRPr="003226F9">
        <w:rPr>
          <w:rFonts w:eastAsia="Calibri"/>
          <w:spacing w:val="-2"/>
          <w:kern w:val="22"/>
          <w:sz w:val="22"/>
          <w:szCs w:val="22"/>
          <w:lang w:val="en-GB"/>
        </w:rPr>
        <w:t>up</w:t>
      </w:r>
      <w:r w:rsidR="00013A80" w:rsidRPr="003226F9">
        <w:rPr>
          <w:rFonts w:eastAsia="Calibri"/>
          <w:spacing w:val="-2"/>
          <w:kern w:val="22"/>
          <w:sz w:val="22"/>
          <w:szCs w:val="22"/>
          <w:lang w:val="en-GB"/>
        </w:rPr>
        <w:t>,</w:t>
      </w:r>
      <w:r w:rsidRPr="003226F9">
        <w:rPr>
          <w:rFonts w:eastAsia="Calibri"/>
          <w:spacing w:val="-2"/>
          <w:kern w:val="22"/>
          <w:sz w:val="22"/>
          <w:szCs w:val="22"/>
          <w:lang w:val="en-GB"/>
        </w:rPr>
        <w:t xml:space="preserve"> and maintenance cost. Customers perceived </w:t>
      </w:r>
      <w:r w:rsidR="00013A80" w:rsidRPr="003226F9">
        <w:rPr>
          <w:rFonts w:eastAsia="Calibri"/>
          <w:spacing w:val="-2"/>
          <w:kern w:val="22"/>
          <w:sz w:val="22"/>
          <w:szCs w:val="22"/>
          <w:lang w:val="en-GB"/>
        </w:rPr>
        <w:t xml:space="preserve">the </w:t>
      </w:r>
      <w:r w:rsidRPr="003226F9">
        <w:rPr>
          <w:rFonts w:eastAsia="Calibri"/>
          <w:spacing w:val="-2"/>
          <w:kern w:val="22"/>
          <w:sz w:val="22"/>
          <w:szCs w:val="22"/>
          <w:lang w:val="en-GB"/>
        </w:rPr>
        <w:t xml:space="preserve">SMC Supreme to be a performance pickup with </w:t>
      </w:r>
      <w:r w:rsidR="00013A80" w:rsidRPr="003226F9">
        <w:rPr>
          <w:rFonts w:eastAsia="Calibri"/>
          <w:spacing w:val="-2"/>
          <w:kern w:val="22"/>
          <w:sz w:val="22"/>
          <w:szCs w:val="22"/>
          <w:lang w:val="en-GB"/>
        </w:rPr>
        <w:t xml:space="preserve">a </w:t>
      </w:r>
      <w:r w:rsidRPr="003226F9">
        <w:rPr>
          <w:rFonts w:eastAsia="Calibri"/>
          <w:spacing w:val="-2"/>
          <w:kern w:val="22"/>
          <w:sz w:val="22"/>
          <w:szCs w:val="22"/>
          <w:lang w:val="en-GB"/>
        </w:rPr>
        <w:t xml:space="preserve">focus on comfort and </w:t>
      </w:r>
      <w:r w:rsidR="00013A80" w:rsidRPr="003226F9">
        <w:rPr>
          <w:rFonts w:eastAsia="Calibri"/>
          <w:spacing w:val="-2"/>
          <w:kern w:val="22"/>
          <w:sz w:val="22"/>
          <w:szCs w:val="22"/>
          <w:lang w:val="en-GB"/>
        </w:rPr>
        <w:t xml:space="preserve">style, </w:t>
      </w:r>
      <w:r w:rsidRPr="003226F9">
        <w:rPr>
          <w:rFonts w:eastAsia="Calibri"/>
          <w:spacing w:val="-2"/>
          <w:kern w:val="22"/>
          <w:sz w:val="22"/>
          <w:szCs w:val="22"/>
          <w:lang w:val="en-GB"/>
        </w:rPr>
        <w:t xml:space="preserve">and </w:t>
      </w:r>
      <w:r w:rsidR="00013A80" w:rsidRPr="003226F9">
        <w:rPr>
          <w:rFonts w:eastAsia="Calibri"/>
          <w:spacing w:val="-2"/>
          <w:kern w:val="22"/>
          <w:sz w:val="22"/>
          <w:szCs w:val="22"/>
          <w:lang w:val="en-GB"/>
        </w:rPr>
        <w:t xml:space="preserve">it </w:t>
      </w:r>
      <w:r w:rsidRPr="003226F9">
        <w:rPr>
          <w:rFonts w:eastAsia="Calibri"/>
          <w:spacing w:val="-2"/>
          <w:kern w:val="22"/>
          <w:sz w:val="22"/>
          <w:szCs w:val="22"/>
          <w:lang w:val="en-GB"/>
        </w:rPr>
        <w:t xml:space="preserve">was a </w:t>
      </w:r>
      <w:r w:rsidR="00013A80" w:rsidRPr="003226F9">
        <w:rPr>
          <w:rFonts w:eastAsia="Calibri"/>
          <w:spacing w:val="-2"/>
          <w:kern w:val="22"/>
          <w:sz w:val="22"/>
          <w:szCs w:val="22"/>
          <w:lang w:val="en-GB"/>
        </w:rPr>
        <w:t xml:space="preserve">preferred </w:t>
      </w:r>
      <w:r w:rsidRPr="003226F9">
        <w:rPr>
          <w:rFonts w:eastAsia="Calibri"/>
          <w:spacing w:val="-2"/>
          <w:kern w:val="22"/>
          <w:sz w:val="22"/>
          <w:szCs w:val="22"/>
          <w:lang w:val="en-GB"/>
        </w:rPr>
        <w:t xml:space="preserve">vehicle in </w:t>
      </w:r>
      <w:r w:rsidR="00013A80" w:rsidRPr="003226F9">
        <w:rPr>
          <w:rFonts w:eastAsia="Calibri"/>
          <w:spacing w:val="-2"/>
          <w:kern w:val="22"/>
          <w:sz w:val="22"/>
          <w:szCs w:val="22"/>
          <w:lang w:val="en-GB"/>
        </w:rPr>
        <w:t xml:space="preserve">the </w:t>
      </w:r>
      <w:r w:rsidRPr="003226F9">
        <w:rPr>
          <w:rFonts w:eastAsia="Calibri"/>
          <w:spacing w:val="-2"/>
          <w:kern w:val="22"/>
          <w:sz w:val="22"/>
          <w:szCs w:val="22"/>
          <w:lang w:val="en-GB"/>
        </w:rPr>
        <w:t xml:space="preserve">reliable workmate segment. </w:t>
      </w:r>
      <w:r w:rsidR="00013A80" w:rsidRPr="003226F9">
        <w:rPr>
          <w:rFonts w:eastAsia="Calibri"/>
          <w:spacing w:val="-2"/>
          <w:kern w:val="22"/>
          <w:sz w:val="22"/>
          <w:szCs w:val="22"/>
          <w:lang w:val="en-GB"/>
        </w:rPr>
        <w:t>These positive consumer perceptions were</w:t>
      </w:r>
      <w:r w:rsidRPr="003226F9">
        <w:rPr>
          <w:rFonts w:eastAsia="Calibri"/>
          <w:spacing w:val="-2"/>
          <w:kern w:val="22"/>
          <w:sz w:val="22"/>
          <w:szCs w:val="22"/>
          <w:lang w:val="en-GB"/>
        </w:rPr>
        <w:t xml:space="preserve"> further enhanced with the communication strategy for </w:t>
      </w:r>
      <w:r w:rsidR="00867438" w:rsidRPr="003226F9">
        <w:rPr>
          <w:rFonts w:eastAsia="Calibri"/>
          <w:spacing w:val="-2"/>
          <w:kern w:val="22"/>
          <w:sz w:val="22"/>
          <w:szCs w:val="22"/>
          <w:lang w:val="en-GB"/>
        </w:rPr>
        <w:t xml:space="preserve">the </w:t>
      </w:r>
      <w:r w:rsidRPr="003226F9">
        <w:rPr>
          <w:rFonts w:eastAsia="Calibri"/>
          <w:spacing w:val="-2"/>
          <w:kern w:val="22"/>
          <w:sz w:val="22"/>
          <w:szCs w:val="22"/>
          <w:lang w:val="en-GB"/>
        </w:rPr>
        <w:t>Supreme</w:t>
      </w:r>
      <w:r w:rsidR="006D028C" w:rsidRPr="003226F9">
        <w:rPr>
          <w:rFonts w:eastAsia="Calibri"/>
          <w:spacing w:val="-2"/>
          <w:kern w:val="22"/>
          <w:sz w:val="22"/>
          <w:szCs w:val="22"/>
          <w:lang w:val="en-GB"/>
        </w:rPr>
        <w:t xml:space="preserve">, which focused on four features: </w:t>
      </w:r>
      <w:r w:rsidR="00967413" w:rsidRPr="003226F9">
        <w:rPr>
          <w:rFonts w:eastAsia="Calibri"/>
          <w:spacing w:val="-2"/>
          <w:kern w:val="22"/>
          <w:sz w:val="22"/>
          <w:szCs w:val="22"/>
          <w:lang w:val="en-GB"/>
        </w:rPr>
        <w:t>“</w:t>
      </w:r>
      <w:r w:rsidR="00BE0E49">
        <w:rPr>
          <w:rFonts w:eastAsia="Calibri"/>
          <w:spacing w:val="-2"/>
          <w:kern w:val="22"/>
          <w:sz w:val="22"/>
          <w:szCs w:val="22"/>
          <w:lang w:val="en-GB"/>
        </w:rPr>
        <w:t>f</w:t>
      </w:r>
      <w:r w:rsidR="006D028C" w:rsidRPr="003226F9">
        <w:rPr>
          <w:rFonts w:eastAsia="Calibri"/>
          <w:spacing w:val="-2"/>
          <w:kern w:val="22"/>
          <w:sz w:val="22"/>
          <w:szCs w:val="22"/>
          <w:lang w:val="en-GB"/>
        </w:rPr>
        <w:t xml:space="preserve">eels </w:t>
      </w:r>
      <w:r w:rsidR="00BE0E49">
        <w:rPr>
          <w:rFonts w:eastAsia="Calibri"/>
          <w:spacing w:val="-2"/>
          <w:kern w:val="22"/>
          <w:sz w:val="22"/>
          <w:szCs w:val="22"/>
          <w:lang w:val="en-GB"/>
        </w:rPr>
        <w:t>s</w:t>
      </w:r>
      <w:r w:rsidR="006D028C" w:rsidRPr="003226F9">
        <w:rPr>
          <w:rFonts w:eastAsia="Calibri"/>
          <w:spacing w:val="-2"/>
          <w:kern w:val="22"/>
          <w:sz w:val="22"/>
          <w:szCs w:val="22"/>
          <w:lang w:val="en-GB"/>
        </w:rPr>
        <w:t>mart</w:t>
      </w:r>
      <w:r w:rsidR="009867BF" w:rsidRPr="003226F9">
        <w:rPr>
          <w:rFonts w:eastAsia="Calibri"/>
          <w:spacing w:val="-2"/>
          <w:kern w:val="22"/>
          <w:sz w:val="22"/>
          <w:szCs w:val="22"/>
          <w:lang w:val="en-GB"/>
        </w:rPr>
        <w:t xml:space="preserve">, </w:t>
      </w:r>
      <w:r w:rsidR="00BE0E49">
        <w:rPr>
          <w:rFonts w:eastAsia="Calibri"/>
          <w:spacing w:val="-2"/>
          <w:kern w:val="22"/>
          <w:sz w:val="22"/>
          <w:szCs w:val="22"/>
          <w:lang w:val="en-GB"/>
        </w:rPr>
        <w:t>l</w:t>
      </w:r>
      <w:r w:rsidR="006D028C" w:rsidRPr="003226F9">
        <w:rPr>
          <w:rFonts w:eastAsia="Calibri"/>
          <w:spacing w:val="-2"/>
          <w:kern w:val="22"/>
          <w:sz w:val="22"/>
          <w:szCs w:val="22"/>
          <w:lang w:val="en-GB"/>
        </w:rPr>
        <w:t xml:space="preserve">ooks </w:t>
      </w:r>
      <w:r w:rsidR="00BE0E49">
        <w:rPr>
          <w:rFonts w:eastAsia="Calibri"/>
          <w:spacing w:val="-2"/>
          <w:kern w:val="22"/>
          <w:sz w:val="22"/>
          <w:szCs w:val="22"/>
          <w:lang w:val="en-GB"/>
        </w:rPr>
        <w:t>s</w:t>
      </w:r>
      <w:r w:rsidR="006D028C" w:rsidRPr="003226F9">
        <w:rPr>
          <w:rFonts w:eastAsia="Calibri"/>
          <w:spacing w:val="-2"/>
          <w:kern w:val="22"/>
          <w:sz w:val="22"/>
          <w:szCs w:val="22"/>
          <w:lang w:val="en-GB"/>
        </w:rPr>
        <w:t>mar</w:t>
      </w:r>
      <w:r w:rsidR="009867BF" w:rsidRPr="003226F9">
        <w:rPr>
          <w:rFonts w:eastAsia="Calibri"/>
          <w:spacing w:val="-2"/>
          <w:kern w:val="22"/>
          <w:sz w:val="22"/>
          <w:szCs w:val="22"/>
          <w:lang w:val="en-GB"/>
        </w:rPr>
        <w:t>t,</w:t>
      </w:r>
      <w:r w:rsidRPr="003226F9">
        <w:rPr>
          <w:rFonts w:eastAsia="Calibri"/>
          <w:spacing w:val="-2"/>
          <w:kern w:val="22"/>
          <w:sz w:val="22"/>
          <w:szCs w:val="22"/>
          <w:lang w:val="en-GB"/>
        </w:rPr>
        <w:t xml:space="preserve"> </w:t>
      </w:r>
      <w:r w:rsidR="00BE0E49">
        <w:rPr>
          <w:rFonts w:eastAsia="Calibri"/>
          <w:spacing w:val="-2"/>
          <w:kern w:val="22"/>
          <w:sz w:val="22"/>
          <w:szCs w:val="22"/>
          <w:lang w:val="en-GB"/>
        </w:rPr>
        <w:t>w</w:t>
      </w:r>
      <w:r w:rsidRPr="003226F9">
        <w:rPr>
          <w:rFonts w:eastAsia="Calibri"/>
          <w:spacing w:val="-2"/>
          <w:kern w:val="22"/>
          <w:sz w:val="22"/>
          <w:szCs w:val="22"/>
          <w:lang w:val="en-GB"/>
        </w:rPr>
        <w:t xml:space="preserve">orks </w:t>
      </w:r>
      <w:r w:rsidR="00BE0E49">
        <w:rPr>
          <w:rFonts w:eastAsia="Calibri"/>
          <w:spacing w:val="-2"/>
          <w:kern w:val="22"/>
          <w:sz w:val="22"/>
          <w:szCs w:val="22"/>
          <w:lang w:val="en-GB"/>
        </w:rPr>
        <w:t>s</w:t>
      </w:r>
      <w:r w:rsidRPr="003226F9">
        <w:rPr>
          <w:rFonts w:eastAsia="Calibri"/>
          <w:spacing w:val="-2"/>
          <w:kern w:val="22"/>
          <w:sz w:val="22"/>
          <w:szCs w:val="22"/>
          <w:lang w:val="en-GB"/>
        </w:rPr>
        <w:t>mart</w:t>
      </w:r>
      <w:r w:rsidR="009867BF" w:rsidRPr="003226F9">
        <w:rPr>
          <w:rFonts w:eastAsia="Calibri"/>
          <w:spacing w:val="-2"/>
          <w:kern w:val="22"/>
          <w:sz w:val="22"/>
          <w:szCs w:val="22"/>
          <w:lang w:val="en-GB"/>
        </w:rPr>
        <w:t xml:space="preserve">, </w:t>
      </w:r>
      <w:r w:rsidRPr="003226F9">
        <w:rPr>
          <w:rFonts w:eastAsia="Calibri"/>
          <w:spacing w:val="-2"/>
          <w:kern w:val="22"/>
          <w:sz w:val="22"/>
          <w:szCs w:val="22"/>
          <w:lang w:val="en-GB"/>
        </w:rPr>
        <w:t xml:space="preserve">and </w:t>
      </w:r>
      <w:r w:rsidR="00BE0E49">
        <w:rPr>
          <w:rFonts w:eastAsia="Calibri"/>
          <w:spacing w:val="-2"/>
          <w:kern w:val="22"/>
          <w:sz w:val="22"/>
          <w:szCs w:val="22"/>
          <w:lang w:val="en-GB"/>
        </w:rPr>
        <w:t>f</w:t>
      </w:r>
      <w:r w:rsidRPr="003226F9">
        <w:rPr>
          <w:rFonts w:eastAsia="Calibri"/>
          <w:spacing w:val="-2"/>
          <w:kern w:val="22"/>
          <w:sz w:val="22"/>
          <w:szCs w:val="22"/>
          <w:lang w:val="en-GB"/>
        </w:rPr>
        <w:t xml:space="preserve">unctions </w:t>
      </w:r>
      <w:r w:rsidR="00BE0E49">
        <w:rPr>
          <w:rFonts w:eastAsia="Calibri"/>
          <w:spacing w:val="-2"/>
          <w:kern w:val="22"/>
          <w:sz w:val="22"/>
          <w:szCs w:val="22"/>
          <w:lang w:val="en-GB"/>
        </w:rPr>
        <w:t>s</w:t>
      </w:r>
      <w:r w:rsidRPr="003226F9">
        <w:rPr>
          <w:rFonts w:eastAsia="Calibri"/>
          <w:spacing w:val="-2"/>
          <w:kern w:val="22"/>
          <w:sz w:val="22"/>
          <w:szCs w:val="22"/>
          <w:lang w:val="en-GB"/>
        </w:rPr>
        <w:t>mart</w:t>
      </w:r>
      <w:r w:rsidR="00967413" w:rsidRPr="003226F9">
        <w:rPr>
          <w:rFonts w:eastAsia="Calibri"/>
          <w:spacing w:val="-2"/>
          <w:kern w:val="22"/>
          <w:sz w:val="22"/>
          <w:szCs w:val="22"/>
          <w:lang w:val="en-GB"/>
        </w:rPr>
        <w:t xml:space="preserve">.” </w:t>
      </w:r>
    </w:p>
    <w:p w14:paraId="28A77F47" w14:textId="77777777" w:rsidR="00343DB5" w:rsidRPr="00DF75A6" w:rsidRDefault="00343DB5" w:rsidP="00343DB5">
      <w:pPr>
        <w:contextualSpacing/>
        <w:jc w:val="both"/>
        <w:rPr>
          <w:rFonts w:eastAsia="Calibri"/>
          <w:sz w:val="22"/>
          <w:szCs w:val="22"/>
          <w:lang w:val="en-GB"/>
        </w:rPr>
      </w:pPr>
    </w:p>
    <w:p w14:paraId="3CCA8B21" w14:textId="77777777" w:rsidR="00E819D3" w:rsidRPr="00DF75A6" w:rsidRDefault="00E819D3" w:rsidP="00343DB5">
      <w:pPr>
        <w:contextualSpacing/>
        <w:jc w:val="both"/>
        <w:rPr>
          <w:rFonts w:eastAsia="Calibri"/>
          <w:sz w:val="22"/>
          <w:szCs w:val="22"/>
          <w:lang w:val="en-GB"/>
        </w:rPr>
      </w:pPr>
    </w:p>
    <w:p w14:paraId="41483DA4" w14:textId="77777777" w:rsidR="00343DB5" w:rsidRPr="00DF75A6" w:rsidRDefault="00E819D3" w:rsidP="00CE5DD0">
      <w:pPr>
        <w:pStyle w:val="Casehead1"/>
        <w:outlineLvl w:val="0"/>
        <w:rPr>
          <w:rFonts w:eastAsia="Calibri"/>
          <w:lang w:val="en-GB"/>
        </w:rPr>
      </w:pPr>
      <w:r w:rsidRPr="00DF75A6">
        <w:rPr>
          <w:rFonts w:eastAsia="Calibri"/>
          <w:lang w:val="en-GB"/>
        </w:rPr>
        <w:t>The Decision</w:t>
      </w:r>
    </w:p>
    <w:p w14:paraId="0B718F74" w14:textId="77777777" w:rsidR="00E819D3" w:rsidRPr="00DF75A6" w:rsidRDefault="00E819D3" w:rsidP="00E819D3">
      <w:pPr>
        <w:pStyle w:val="BodyTextMain"/>
        <w:rPr>
          <w:rFonts w:eastAsia="Calibri"/>
          <w:lang w:val="en-GB"/>
        </w:rPr>
      </w:pPr>
    </w:p>
    <w:p w14:paraId="1E990493" w14:textId="4E7782E8" w:rsidR="00343DB5" w:rsidRPr="00DF75A6" w:rsidRDefault="00343DB5" w:rsidP="00E819D3">
      <w:pPr>
        <w:pStyle w:val="BodyTextMain"/>
        <w:rPr>
          <w:rFonts w:eastAsia="Calibri"/>
          <w:lang w:val="en-GB"/>
        </w:rPr>
      </w:pPr>
      <w:proofErr w:type="spellStart"/>
      <w:r w:rsidRPr="00DF75A6">
        <w:rPr>
          <w:rFonts w:eastAsia="Calibri"/>
          <w:lang w:val="en-GB"/>
        </w:rPr>
        <w:t>Mehragan</w:t>
      </w:r>
      <w:proofErr w:type="spellEnd"/>
      <w:r w:rsidRPr="00DF75A6">
        <w:rPr>
          <w:rFonts w:eastAsia="Calibri"/>
          <w:lang w:val="en-GB"/>
        </w:rPr>
        <w:t xml:space="preserve"> and </w:t>
      </w:r>
      <w:r w:rsidR="00D90B10" w:rsidRPr="00DF75A6">
        <w:rPr>
          <w:rFonts w:eastAsia="Calibri"/>
          <w:lang w:val="en-GB"/>
        </w:rPr>
        <w:t>Seth</w:t>
      </w:r>
      <w:r w:rsidRPr="00DF75A6">
        <w:rPr>
          <w:rFonts w:eastAsia="Calibri"/>
          <w:lang w:val="en-GB"/>
        </w:rPr>
        <w:t xml:space="preserve"> knew the problem</w:t>
      </w:r>
      <w:r w:rsidR="00BC58C8" w:rsidRPr="00DF75A6">
        <w:rPr>
          <w:rFonts w:eastAsia="Calibri"/>
          <w:lang w:val="en-GB"/>
        </w:rPr>
        <w:t>,</w:t>
      </w:r>
      <w:r w:rsidRPr="00DF75A6">
        <w:rPr>
          <w:rFonts w:eastAsia="Calibri"/>
          <w:lang w:val="en-GB"/>
        </w:rPr>
        <w:t xml:space="preserve"> but the path ahead was not clear. They knew that </w:t>
      </w:r>
      <w:r w:rsidR="00BC58C8" w:rsidRPr="00DF75A6">
        <w:rPr>
          <w:rFonts w:eastAsia="Calibri"/>
          <w:lang w:val="en-GB"/>
        </w:rPr>
        <w:t xml:space="preserve">the </w:t>
      </w:r>
      <w:r w:rsidRPr="00DF75A6">
        <w:rPr>
          <w:rFonts w:eastAsia="Calibri"/>
          <w:lang w:val="en-GB"/>
        </w:rPr>
        <w:t xml:space="preserve">Supreme was not perceived appropriately in the market. They needed to have a product </w:t>
      </w:r>
      <w:r w:rsidR="006D028C" w:rsidRPr="00DF75A6">
        <w:rPr>
          <w:rFonts w:eastAsia="Calibri"/>
          <w:lang w:val="en-GB"/>
        </w:rPr>
        <w:t>that</w:t>
      </w:r>
      <w:r w:rsidRPr="00DF75A6">
        <w:rPr>
          <w:rFonts w:eastAsia="Calibri"/>
          <w:lang w:val="en-GB"/>
        </w:rPr>
        <w:t xml:space="preserve"> was clearly differentiated from </w:t>
      </w:r>
      <w:r w:rsidR="00BC58C8" w:rsidRPr="00DF75A6">
        <w:rPr>
          <w:rFonts w:eastAsia="Calibri"/>
          <w:lang w:val="en-GB"/>
        </w:rPr>
        <w:t xml:space="preserve">the </w:t>
      </w:r>
      <w:r w:rsidRPr="00DF75A6">
        <w:rPr>
          <w:rFonts w:eastAsia="Calibri"/>
          <w:lang w:val="en-GB"/>
        </w:rPr>
        <w:t xml:space="preserve">Duo and </w:t>
      </w:r>
      <w:r w:rsidR="00BC58C8" w:rsidRPr="00DF75A6">
        <w:rPr>
          <w:rFonts w:eastAsia="Calibri"/>
          <w:lang w:val="en-GB"/>
        </w:rPr>
        <w:t xml:space="preserve">the </w:t>
      </w:r>
      <w:r w:rsidRPr="00DF75A6">
        <w:rPr>
          <w:rFonts w:eastAsia="Calibri"/>
          <w:lang w:val="en-GB"/>
        </w:rPr>
        <w:t xml:space="preserve">Pluto </w:t>
      </w:r>
      <w:r w:rsidR="00BC58C8" w:rsidRPr="00DF75A6">
        <w:rPr>
          <w:rFonts w:eastAsia="Calibri"/>
          <w:lang w:val="en-GB"/>
        </w:rPr>
        <w:t>p</w:t>
      </w:r>
      <w:r w:rsidRPr="00DF75A6">
        <w:rPr>
          <w:rFonts w:eastAsia="Calibri"/>
          <w:lang w:val="en-GB"/>
        </w:rPr>
        <w:t>ickup</w:t>
      </w:r>
      <w:r w:rsidR="00BC58C8" w:rsidRPr="00DF75A6">
        <w:rPr>
          <w:rFonts w:eastAsia="Calibri"/>
          <w:lang w:val="en-GB"/>
        </w:rPr>
        <w:t>s</w:t>
      </w:r>
      <w:r w:rsidRPr="00DF75A6">
        <w:rPr>
          <w:rFonts w:eastAsia="Calibri"/>
          <w:lang w:val="en-GB"/>
        </w:rPr>
        <w:t xml:space="preserve"> and </w:t>
      </w:r>
      <w:r w:rsidR="00BC58C8" w:rsidRPr="00DF75A6">
        <w:rPr>
          <w:rFonts w:eastAsia="Calibri"/>
          <w:lang w:val="en-GB"/>
        </w:rPr>
        <w:t xml:space="preserve">that </w:t>
      </w:r>
      <w:r w:rsidRPr="00DF75A6">
        <w:rPr>
          <w:rFonts w:eastAsia="Calibri"/>
          <w:lang w:val="en-GB"/>
        </w:rPr>
        <w:t>focused on the</w:t>
      </w:r>
      <w:r w:rsidR="006D028C" w:rsidRPr="00DF75A6">
        <w:rPr>
          <w:rFonts w:eastAsia="Calibri"/>
          <w:lang w:val="en-GB"/>
        </w:rPr>
        <w:t xml:space="preserve"> needs of a particular segment</w:t>
      </w:r>
      <w:r w:rsidRPr="00DF75A6">
        <w:rPr>
          <w:rFonts w:eastAsia="Calibri"/>
          <w:lang w:val="en-GB"/>
        </w:rPr>
        <w:t>. SMC had to carefully craft this difference by providing the necessary attributes</w:t>
      </w:r>
      <w:r w:rsidR="00D90B10" w:rsidRPr="00DF75A6">
        <w:rPr>
          <w:rFonts w:eastAsia="Calibri"/>
          <w:lang w:val="en-GB"/>
        </w:rPr>
        <w:t xml:space="preserve"> and continuing to</w:t>
      </w:r>
      <w:r w:rsidR="00BC58C8" w:rsidRPr="00DF75A6">
        <w:rPr>
          <w:rFonts w:eastAsia="Calibri"/>
          <w:lang w:val="en-GB"/>
        </w:rPr>
        <w:t xml:space="preserve"> </w:t>
      </w:r>
      <w:r w:rsidRPr="00DF75A6">
        <w:rPr>
          <w:rFonts w:eastAsia="Calibri"/>
          <w:lang w:val="en-GB"/>
        </w:rPr>
        <w:t xml:space="preserve">ensure value to consumers. </w:t>
      </w:r>
      <w:r w:rsidR="00D90B10" w:rsidRPr="00DF75A6">
        <w:rPr>
          <w:rFonts w:eastAsia="Calibri"/>
          <w:lang w:val="en-GB"/>
        </w:rPr>
        <w:t>T</w:t>
      </w:r>
      <w:r w:rsidRPr="00DF75A6">
        <w:rPr>
          <w:rFonts w:eastAsia="Calibri"/>
          <w:lang w:val="en-GB"/>
        </w:rPr>
        <w:t xml:space="preserve">hey already </w:t>
      </w:r>
      <w:r w:rsidR="00BC58C8" w:rsidRPr="00DF75A6">
        <w:rPr>
          <w:rFonts w:eastAsia="Calibri"/>
          <w:lang w:val="en-GB"/>
        </w:rPr>
        <w:t xml:space="preserve">had </w:t>
      </w:r>
      <w:r w:rsidRPr="00DF75A6">
        <w:rPr>
          <w:rFonts w:eastAsia="Calibri"/>
          <w:lang w:val="en-GB"/>
        </w:rPr>
        <w:t xml:space="preserve">two </w:t>
      </w:r>
      <w:r w:rsidR="00BC58C8" w:rsidRPr="00DF75A6">
        <w:rPr>
          <w:rFonts w:eastAsia="Calibri"/>
          <w:lang w:val="en-GB"/>
        </w:rPr>
        <w:t xml:space="preserve">other </w:t>
      </w:r>
      <w:r w:rsidRPr="00DF75A6">
        <w:rPr>
          <w:rFonts w:eastAsia="Calibri"/>
          <w:lang w:val="en-GB"/>
        </w:rPr>
        <w:t>offering</w:t>
      </w:r>
      <w:r w:rsidR="00BC58C8" w:rsidRPr="00DF75A6">
        <w:rPr>
          <w:rFonts w:eastAsia="Calibri"/>
          <w:lang w:val="en-GB"/>
        </w:rPr>
        <w:t>s, so</w:t>
      </w:r>
      <w:r w:rsidRPr="00DF75A6">
        <w:rPr>
          <w:rFonts w:eastAsia="Calibri"/>
          <w:lang w:val="en-GB"/>
        </w:rPr>
        <w:t xml:space="preserve"> </w:t>
      </w:r>
      <w:r w:rsidR="00D90B10" w:rsidRPr="00DF75A6">
        <w:rPr>
          <w:rFonts w:eastAsia="Calibri"/>
          <w:lang w:val="en-GB"/>
        </w:rPr>
        <w:t xml:space="preserve">they needed to differentiate </w:t>
      </w:r>
      <w:r w:rsidRPr="00DF75A6">
        <w:rPr>
          <w:rFonts w:eastAsia="Calibri"/>
          <w:lang w:val="en-GB"/>
        </w:rPr>
        <w:t>clear</w:t>
      </w:r>
      <w:r w:rsidR="00D90B10" w:rsidRPr="00DF75A6">
        <w:rPr>
          <w:rFonts w:eastAsia="Calibri"/>
          <w:lang w:val="en-GB"/>
        </w:rPr>
        <w:t>ly</w:t>
      </w:r>
      <w:r w:rsidRPr="00DF75A6">
        <w:rPr>
          <w:rFonts w:eastAsia="Calibri"/>
          <w:lang w:val="en-GB"/>
        </w:rPr>
        <w:t xml:space="preserve"> among </w:t>
      </w:r>
      <w:r w:rsidR="00D90B10" w:rsidRPr="00DF75A6">
        <w:rPr>
          <w:rFonts w:eastAsia="Calibri"/>
          <w:lang w:val="en-GB"/>
        </w:rPr>
        <w:t xml:space="preserve">their products </w:t>
      </w:r>
      <w:r w:rsidRPr="00DF75A6">
        <w:rPr>
          <w:rFonts w:eastAsia="Calibri"/>
          <w:lang w:val="en-GB"/>
        </w:rPr>
        <w:t xml:space="preserve">to avoid cannibalization. </w:t>
      </w:r>
    </w:p>
    <w:p w14:paraId="6F512E0D" w14:textId="77777777" w:rsidR="00E819D3" w:rsidRPr="00DF75A6" w:rsidRDefault="00E819D3" w:rsidP="00E819D3">
      <w:pPr>
        <w:pStyle w:val="BodyTextMain"/>
        <w:rPr>
          <w:rFonts w:eastAsia="Calibri"/>
          <w:lang w:val="en-GB"/>
        </w:rPr>
      </w:pPr>
    </w:p>
    <w:p w14:paraId="1860A0D6" w14:textId="05ED1725" w:rsidR="00343DB5" w:rsidRPr="00DF75A6" w:rsidRDefault="00343DB5" w:rsidP="00E819D3">
      <w:pPr>
        <w:pStyle w:val="BodyTextMain"/>
        <w:rPr>
          <w:rFonts w:eastAsia="Calibri"/>
          <w:lang w:val="en-GB"/>
        </w:rPr>
      </w:pPr>
      <w:proofErr w:type="spellStart"/>
      <w:r w:rsidRPr="00DF75A6">
        <w:rPr>
          <w:rFonts w:eastAsia="Calibri"/>
          <w:lang w:val="en-GB"/>
        </w:rPr>
        <w:t>Mehragan</w:t>
      </w:r>
      <w:proofErr w:type="spellEnd"/>
      <w:r w:rsidRPr="00DF75A6">
        <w:rPr>
          <w:rFonts w:eastAsia="Calibri"/>
          <w:lang w:val="en-GB"/>
        </w:rPr>
        <w:t xml:space="preserve"> </w:t>
      </w:r>
      <w:r w:rsidR="009F53D9" w:rsidRPr="00DF75A6">
        <w:rPr>
          <w:rFonts w:eastAsia="Calibri"/>
          <w:lang w:val="en-GB"/>
        </w:rPr>
        <w:t xml:space="preserve">created a </w:t>
      </w:r>
      <w:r w:rsidRPr="00DF75A6">
        <w:rPr>
          <w:rFonts w:eastAsia="Calibri"/>
          <w:lang w:val="en-GB"/>
        </w:rPr>
        <w:t>tw</w:t>
      </w:r>
      <w:r w:rsidR="00E819D3" w:rsidRPr="00DF75A6">
        <w:rPr>
          <w:rFonts w:eastAsia="Calibri"/>
          <w:lang w:val="en-GB"/>
        </w:rPr>
        <w:t xml:space="preserve">o-pronged approach for </w:t>
      </w:r>
      <w:r w:rsidR="009F53D9" w:rsidRPr="00DF75A6">
        <w:rPr>
          <w:rFonts w:eastAsia="Calibri"/>
          <w:lang w:val="en-GB"/>
        </w:rPr>
        <w:t xml:space="preserve">the </w:t>
      </w:r>
      <w:r w:rsidR="00E819D3" w:rsidRPr="00DF75A6">
        <w:rPr>
          <w:rFonts w:eastAsia="Calibri"/>
          <w:lang w:val="en-GB"/>
        </w:rPr>
        <w:t>Supreme:</w:t>
      </w:r>
    </w:p>
    <w:p w14:paraId="4E06EBD0" w14:textId="77777777" w:rsidR="00E819D3" w:rsidRPr="00DF75A6" w:rsidRDefault="00E819D3" w:rsidP="0068372D">
      <w:pPr>
        <w:pStyle w:val="BodyTextMain"/>
        <w:rPr>
          <w:rFonts w:eastAsia="Calibri"/>
          <w:lang w:val="en-GB"/>
        </w:rPr>
      </w:pPr>
    </w:p>
    <w:p w14:paraId="7A915BA2" w14:textId="65678C58" w:rsidR="00343DB5" w:rsidRPr="00DF75A6" w:rsidRDefault="00C85AE9" w:rsidP="0068372D">
      <w:pPr>
        <w:pStyle w:val="BodyTextMain"/>
        <w:rPr>
          <w:rFonts w:eastAsia="Calibri"/>
          <w:lang w:val="en-GB"/>
        </w:rPr>
      </w:pPr>
      <w:r>
        <w:rPr>
          <w:rFonts w:eastAsia="Calibri"/>
          <w:lang w:val="en-GB"/>
        </w:rPr>
        <w:t xml:space="preserve">(1) </w:t>
      </w:r>
      <w:r w:rsidR="00D90B10" w:rsidRPr="00DF75A6">
        <w:rPr>
          <w:rFonts w:eastAsia="Calibri"/>
          <w:lang w:val="en-GB"/>
        </w:rPr>
        <w:t>Enhance the p</w:t>
      </w:r>
      <w:r w:rsidR="00343DB5" w:rsidRPr="00DF75A6">
        <w:rPr>
          <w:rFonts w:eastAsia="Calibri"/>
          <w:lang w:val="en-GB"/>
        </w:rPr>
        <w:t>roduct to improve overloading capability in the overload segment</w:t>
      </w:r>
      <w:r w:rsidR="00D90B10" w:rsidRPr="00DF75A6">
        <w:rPr>
          <w:rFonts w:eastAsia="Calibri"/>
          <w:lang w:val="en-GB"/>
        </w:rPr>
        <w:t>,</w:t>
      </w:r>
      <w:r w:rsidR="00343DB5" w:rsidRPr="00DF75A6">
        <w:rPr>
          <w:rFonts w:eastAsia="Calibri"/>
          <w:lang w:val="en-GB"/>
        </w:rPr>
        <w:t xml:space="preserve"> to </w:t>
      </w:r>
      <w:r w:rsidR="00C74DC6" w:rsidRPr="00DF75A6">
        <w:rPr>
          <w:rFonts w:eastAsia="Calibri"/>
          <w:lang w:val="en-GB"/>
        </w:rPr>
        <w:t xml:space="preserve">compete head on </w:t>
      </w:r>
      <w:r w:rsidR="00343DB5" w:rsidRPr="00DF75A6">
        <w:rPr>
          <w:rFonts w:eastAsia="Calibri"/>
          <w:lang w:val="en-GB"/>
        </w:rPr>
        <w:t xml:space="preserve">with </w:t>
      </w:r>
      <w:r w:rsidR="00C74DC6" w:rsidRPr="00DF75A6">
        <w:rPr>
          <w:rFonts w:eastAsia="Calibri"/>
          <w:lang w:val="en-GB"/>
        </w:rPr>
        <w:t xml:space="preserve">the </w:t>
      </w:r>
      <w:proofErr w:type="spellStart"/>
      <w:r w:rsidR="00343DB5" w:rsidRPr="00DF75A6">
        <w:rPr>
          <w:rFonts w:eastAsia="Calibri"/>
          <w:lang w:val="en-GB"/>
        </w:rPr>
        <w:t>Equis</w:t>
      </w:r>
      <w:proofErr w:type="spellEnd"/>
      <w:r w:rsidR="00343DB5" w:rsidRPr="00DF75A6">
        <w:rPr>
          <w:rFonts w:eastAsia="Calibri"/>
          <w:lang w:val="en-GB"/>
        </w:rPr>
        <w:t xml:space="preserve"> Pluto. </w:t>
      </w:r>
      <w:r w:rsidR="00D90B10" w:rsidRPr="00DF75A6">
        <w:rPr>
          <w:rFonts w:eastAsia="Calibri"/>
          <w:lang w:val="en-GB"/>
        </w:rPr>
        <w:t xml:space="preserve">SMC </w:t>
      </w:r>
      <w:r w:rsidR="00343DB5" w:rsidRPr="00DF75A6">
        <w:rPr>
          <w:rFonts w:eastAsia="Calibri"/>
          <w:lang w:val="en-GB"/>
        </w:rPr>
        <w:t xml:space="preserve">could </w:t>
      </w:r>
      <w:r w:rsidR="00D90B10" w:rsidRPr="00DF75A6">
        <w:rPr>
          <w:rFonts w:eastAsia="Calibri"/>
          <w:lang w:val="en-GB"/>
        </w:rPr>
        <w:t>do this</w:t>
      </w:r>
      <w:r w:rsidR="00343DB5" w:rsidRPr="00DF75A6">
        <w:rPr>
          <w:rFonts w:eastAsia="Calibri"/>
          <w:lang w:val="en-GB"/>
        </w:rPr>
        <w:t xml:space="preserve"> </w:t>
      </w:r>
      <w:r w:rsidR="00D90B10" w:rsidRPr="00DF75A6">
        <w:rPr>
          <w:rFonts w:eastAsia="Calibri"/>
          <w:lang w:val="en-GB"/>
        </w:rPr>
        <w:t>by</w:t>
      </w:r>
      <w:r w:rsidR="00343DB5" w:rsidRPr="00DF75A6">
        <w:rPr>
          <w:rFonts w:eastAsia="Calibri"/>
          <w:lang w:val="en-GB"/>
        </w:rPr>
        <w:t xml:space="preserve"> improv</w:t>
      </w:r>
      <w:r w:rsidR="00D90B10" w:rsidRPr="00DF75A6">
        <w:rPr>
          <w:rFonts w:eastAsia="Calibri"/>
          <w:lang w:val="en-GB"/>
        </w:rPr>
        <w:t>ing</w:t>
      </w:r>
      <w:r w:rsidR="00343DB5" w:rsidRPr="00DF75A6">
        <w:rPr>
          <w:rFonts w:eastAsia="Calibri"/>
          <w:lang w:val="en-GB"/>
        </w:rPr>
        <w:t xml:space="preserve"> the vehicle</w:t>
      </w:r>
      <w:r w:rsidR="00D90B10" w:rsidRPr="00DF75A6">
        <w:rPr>
          <w:rFonts w:eastAsia="Calibri"/>
          <w:lang w:val="en-GB"/>
        </w:rPr>
        <w:t>’s</w:t>
      </w:r>
      <w:r w:rsidR="00343DB5" w:rsidRPr="00DF75A6">
        <w:rPr>
          <w:rFonts w:eastAsia="Calibri"/>
          <w:lang w:val="en-GB"/>
        </w:rPr>
        <w:t xml:space="preserve"> traction through </w:t>
      </w:r>
      <w:r w:rsidR="00D90B10" w:rsidRPr="00DF75A6">
        <w:rPr>
          <w:rFonts w:eastAsia="Calibri"/>
          <w:lang w:val="en-GB"/>
        </w:rPr>
        <w:t xml:space="preserve">the following improvements: </w:t>
      </w:r>
      <w:r w:rsidR="009F53D9" w:rsidRPr="00DF75A6">
        <w:rPr>
          <w:rFonts w:eastAsia="Calibri"/>
          <w:lang w:val="en-GB"/>
        </w:rPr>
        <w:t xml:space="preserve">a </w:t>
      </w:r>
      <w:r w:rsidR="00343DB5" w:rsidRPr="00DF75A6">
        <w:rPr>
          <w:rFonts w:eastAsia="Calibri"/>
          <w:lang w:val="en-GB"/>
        </w:rPr>
        <w:t xml:space="preserve">higher </w:t>
      </w:r>
      <w:r w:rsidR="00D90B10" w:rsidRPr="00DF75A6">
        <w:rPr>
          <w:rFonts w:eastAsia="Calibri"/>
          <w:lang w:val="en-GB"/>
        </w:rPr>
        <w:t>rear-</w:t>
      </w:r>
      <w:r w:rsidR="00343DB5" w:rsidRPr="00DF75A6">
        <w:rPr>
          <w:rFonts w:eastAsia="Calibri"/>
          <w:lang w:val="en-GB"/>
        </w:rPr>
        <w:t>axle ratio</w:t>
      </w:r>
      <w:r w:rsidR="00D90B10" w:rsidRPr="00DF75A6">
        <w:rPr>
          <w:rFonts w:eastAsia="Calibri"/>
          <w:lang w:val="en-GB"/>
        </w:rPr>
        <w:t xml:space="preserve">; </w:t>
      </w:r>
      <w:r w:rsidR="00343DB5" w:rsidRPr="00DF75A6">
        <w:rPr>
          <w:rFonts w:eastAsia="Calibri"/>
          <w:lang w:val="en-GB"/>
        </w:rPr>
        <w:t>increase</w:t>
      </w:r>
      <w:r w:rsidR="009F53D9" w:rsidRPr="00DF75A6">
        <w:rPr>
          <w:rFonts w:eastAsia="Calibri"/>
          <w:lang w:val="en-GB"/>
        </w:rPr>
        <w:t>d</w:t>
      </w:r>
      <w:r w:rsidR="00343DB5" w:rsidRPr="00DF75A6">
        <w:rPr>
          <w:rFonts w:eastAsia="Calibri"/>
          <w:lang w:val="en-GB"/>
        </w:rPr>
        <w:t xml:space="preserve"> </w:t>
      </w:r>
      <w:r w:rsidR="00D90B10" w:rsidRPr="00DF75A6">
        <w:rPr>
          <w:rFonts w:eastAsia="Calibri"/>
          <w:lang w:val="en-GB"/>
        </w:rPr>
        <w:t>tire-</w:t>
      </w:r>
      <w:r w:rsidR="00343DB5" w:rsidRPr="00DF75A6">
        <w:rPr>
          <w:rFonts w:eastAsia="Calibri"/>
          <w:lang w:val="en-GB"/>
        </w:rPr>
        <w:t>ply rating</w:t>
      </w:r>
      <w:r w:rsidR="00D90B10" w:rsidRPr="00DF75A6">
        <w:rPr>
          <w:rFonts w:eastAsia="Calibri"/>
          <w:lang w:val="en-GB"/>
        </w:rPr>
        <w:t>,</w:t>
      </w:r>
      <w:r w:rsidR="00343DB5" w:rsidRPr="00DF75A6">
        <w:rPr>
          <w:rFonts w:eastAsia="Calibri"/>
          <w:lang w:val="en-GB"/>
        </w:rPr>
        <w:t xml:space="preserve"> for greater </w:t>
      </w:r>
      <w:r w:rsidR="001779F2" w:rsidRPr="00DF75A6">
        <w:rPr>
          <w:rFonts w:eastAsia="Calibri"/>
          <w:lang w:val="en-GB"/>
        </w:rPr>
        <w:t>load</w:t>
      </w:r>
      <w:r w:rsidR="001779F2">
        <w:rPr>
          <w:rFonts w:eastAsia="Calibri"/>
          <w:lang w:val="en-GB"/>
        </w:rPr>
        <w:t>-</w:t>
      </w:r>
      <w:r w:rsidR="00343DB5" w:rsidRPr="00DF75A6">
        <w:rPr>
          <w:rFonts w:eastAsia="Calibri"/>
          <w:lang w:val="en-GB"/>
        </w:rPr>
        <w:t>carrying capacity</w:t>
      </w:r>
      <w:r w:rsidR="00D90B10" w:rsidRPr="00DF75A6">
        <w:rPr>
          <w:rFonts w:eastAsia="Calibri"/>
          <w:lang w:val="en-GB"/>
        </w:rPr>
        <w:t xml:space="preserve">; </w:t>
      </w:r>
      <w:r w:rsidR="00343DB5" w:rsidRPr="00DF75A6">
        <w:rPr>
          <w:rFonts w:eastAsia="Calibri"/>
          <w:lang w:val="en-GB"/>
        </w:rPr>
        <w:t>and increase</w:t>
      </w:r>
      <w:r w:rsidR="009F53D9" w:rsidRPr="00DF75A6">
        <w:rPr>
          <w:rFonts w:eastAsia="Calibri"/>
          <w:lang w:val="en-GB"/>
        </w:rPr>
        <w:t>d</w:t>
      </w:r>
      <w:r w:rsidR="00343DB5" w:rsidRPr="00DF75A6">
        <w:rPr>
          <w:rFonts w:eastAsia="Calibri"/>
          <w:lang w:val="en-GB"/>
        </w:rPr>
        <w:t xml:space="preserve"> t</w:t>
      </w:r>
      <w:r w:rsidR="009F53D9" w:rsidRPr="00DF75A6">
        <w:rPr>
          <w:rFonts w:eastAsia="Calibri"/>
          <w:lang w:val="en-GB"/>
        </w:rPr>
        <w:t>i</w:t>
      </w:r>
      <w:r w:rsidR="00343DB5" w:rsidRPr="00DF75A6">
        <w:rPr>
          <w:rFonts w:eastAsia="Calibri"/>
          <w:lang w:val="en-GB"/>
        </w:rPr>
        <w:t>re width</w:t>
      </w:r>
      <w:r w:rsidR="00D90B10" w:rsidRPr="00DF75A6">
        <w:rPr>
          <w:rFonts w:eastAsia="Calibri"/>
          <w:lang w:val="en-GB"/>
        </w:rPr>
        <w:t>,</w:t>
      </w:r>
      <w:r w:rsidR="00343DB5" w:rsidRPr="00DF75A6">
        <w:rPr>
          <w:rFonts w:eastAsia="Calibri"/>
          <w:lang w:val="en-GB"/>
        </w:rPr>
        <w:t xml:space="preserve"> for better road grip and overloading. </w:t>
      </w:r>
      <w:r w:rsidR="00D90B10" w:rsidRPr="00DF75A6">
        <w:rPr>
          <w:rFonts w:eastAsia="Calibri"/>
          <w:lang w:val="en-GB"/>
        </w:rPr>
        <w:t xml:space="preserve">The company </w:t>
      </w:r>
      <w:r w:rsidR="00343DB5" w:rsidRPr="00DF75A6">
        <w:rPr>
          <w:rFonts w:eastAsia="Calibri"/>
          <w:lang w:val="en-GB"/>
        </w:rPr>
        <w:t>would also need to increase loading space by increasing</w:t>
      </w:r>
      <w:r w:rsidR="00D90B10" w:rsidRPr="00DF75A6">
        <w:rPr>
          <w:rFonts w:eastAsia="Calibri"/>
          <w:lang w:val="en-GB"/>
        </w:rPr>
        <w:t xml:space="preserve"> the vehicle’s</w:t>
      </w:r>
      <w:r w:rsidR="00343DB5" w:rsidRPr="00DF75A6">
        <w:rPr>
          <w:rFonts w:eastAsia="Calibri"/>
          <w:lang w:val="en-GB"/>
        </w:rPr>
        <w:t xml:space="preserve"> load body length.</w:t>
      </w:r>
      <w:r w:rsidR="00892E8B" w:rsidRPr="00DF75A6">
        <w:rPr>
          <w:rFonts w:eastAsia="Calibri"/>
          <w:lang w:val="en-GB"/>
        </w:rPr>
        <w:t xml:space="preserve"> This</w:t>
      </w:r>
      <w:r w:rsidR="00E9423C" w:rsidRPr="00DF75A6">
        <w:rPr>
          <w:rFonts w:eastAsia="Calibri"/>
          <w:lang w:val="en-GB"/>
        </w:rPr>
        <w:t xml:space="preserve"> </w:t>
      </w:r>
      <w:r w:rsidR="00D90B10" w:rsidRPr="00DF75A6">
        <w:rPr>
          <w:rFonts w:eastAsia="Calibri"/>
          <w:lang w:val="en-GB"/>
        </w:rPr>
        <w:t xml:space="preserve">would </w:t>
      </w:r>
      <w:r w:rsidR="00892E8B" w:rsidRPr="00DF75A6">
        <w:rPr>
          <w:rFonts w:eastAsia="Calibri"/>
          <w:lang w:val="en-GB"/>
        </w:rPr>
        <w:t>involve durability and reliability testing of the frame, load body</w:t>
      </w:r>
      <w:r w:rsidR="00D90B10" w:rsidRPr="00DF75A6">
        <w:rPr>
          <w:rFonts w:eastAsia="Calibri"/>
          <w:lang w:val="en-GB"/>
        </w:rPr>
        <w:t>,</w:t>
      </w:r>
      <w:r w:rsidR="00892E8B" w:rsidRPr="00DF75A6">
        <w:rPr>
          <w:rFonts w:eastAsia="Calibri"/>
          <w:lang w:val="en-GB"/>
        </w:rPr>
        <w:t xml:space="preserve"> and </w:t>
      </w:r>
      <w:r w:rsidR="00E9423C" w:rsidRPr="00DF75A6">
        <w:rPr>
          <w:rFonts w:eastAsia="Calibri"/>
          <w:lang w:val="en-GB"/>
        </w:rPr>
        <w:t xml:space="preserve">the </w:t>
      </w:r>
      <w:r w:rsidR="00892E8B" w:rsidRPr="00DF75A6">
        <w:rPr>
          <w:rFonts w:eastAsia="Calibri"/>
          <w:lang w:val="en-GB"/>
        </w:rPr>
        <w:t xml:space="preserve">rear axle. </w:t>
      </w:r>
      <w:r w:rsidR="00E9423C" w:rsidRPr="00DF75A6">
        <w:rPr>
          <w:rFonts w:eastAsia="Calibri"/>
          <w:lang w:val="en-GB"/>
        </w:rPr>
        <w:t>The</w:t>
      </w:r>
      <w:r w:rsidR="00892E8B" w:rsidRPr="00DF75A6">
        <w:rPr>
          <w:rFonts w:eastAsia="Calibri"/>
          <w:lang w:val="en-GB"/>
        </w:rPr>
        <w:t xml:space="preserve"> vehicle </w:t>
      </w:r>
      <w:r w:rsidR="00D90B10" w:rsidRPr="00DF75A6">
        <w:rPr>
          <w:rFonts w:eastAsia="Calibri"/>
          <w:lang w:val="en-GB"/>
        </w:rPr>
        <w:t xml:space="preserve">would </w:t>
      </w:r>
      <w:r w:rsidR="00E9423C" w:rsidRPr="00DF75A6">
        <w:rPr>
          <w:rFonts w:eastAsia="Calibri"/>
          <w:lang w:val="en-GB"/>
        </w:rPr>
        <w:t xml:space="preserve">also </w:t>
      </w:r>
      <w:r w:rsidR="00D90B10" w:rsidRPr="00DF75A6">
        <w:rPr>
          <w:rFonts w:eastAsia="Calibri"/>
          <w:lang w:val="en-GB"/>
        </w:rPr>
        <w:t xml:space="preserve">have </w:t>
      </w:r>
      <w:r w:rsidR="00892E8B" w:rsidRPr="00DF75A6">
        <w:rPr>
          <w:rFonts w:eastAsia="Calibri"/>
          <w:lang w:val="en-GB"/>
        </w:rPr>
        <w:t xml:space="preserve">to be tested on different terrains. This required </w:t>
      </w:r>
      <w:r w:rsidR="00D90B10" w:rsidRPr="00DF75A6">
        <w:rPr>
          <w:rFonts w:eastAsia="Calibri"/>
          <w:lang w:val="en-GB"/>
        </w:rPr>
        <w:t xml:space="preserve">around 12–15 months of </w:t>
      </w:r>
      <w:r w:rsidR="00892E8B" w:rsidRPr="00DF75A6">
        <w:rPr>
          <w:rFonts w:eastAsia="Calibri"/>
          <w:lang w:val="en-GB"/>
        </w:rPr>
        <w:t xml:space="preserve">development time </w:t>
      </w:r>
      <w:r w:rsidR="00D90B10" w:rsidRPr="00DF75A6">
        <w:rPr>
          <w:rFonts w:eastAsia="Calibri"/>
          <w:lang w:val="en-GB"/>
        </w:rPr>
        <w:t>and an</w:t>
      </w:r>
      <w:r w:rsidR="00892E8B" w:rsidRPr="00DF75A6">
        <w:rPr>
          <w:rFonts w:eastAsia="Calibri"/>
          <w:lang w:val="en-GB"/>
        </w:rPr>
        <w:t xml:space="preserve"> estimated investment of </w:t>
      </w:r>
      <w:r w:rsidR="00D90B10" w:rsidRPr="00DF75A6">
        <w:rPr>
          <w:rFonts w:eastAsia="Calibri"/>
          <w:lang w:val="en-GB"/>
        </w:rPr>
        <w:t>₹</w:t>
      </w:r>
      <w:r w:rsidR="00E9423C" w:rsidRPr="00DF75A6">
        <w:rPr>
          <w:rFonts w:eastAsia="Calibri"/>
          <w:lang w:val="en-GB"/>
        </w:rPr>
        <w:t>30</w:t>
      </w:r>
      <w:r w:rsidR="005A68FA" w:rsidRPr="00DF75A6">
        <w:rPr>
          <w:rFonts w:eastAsia="Calibri"/>
          <w:lang w:val="en-GB"/>
        </w:rPr>
        <w:t>–</w:t>
      </w:r>
      <w:r w:rsidR="00E9423C" w:rsidRPr="00DF75A6">
        <w:rPr>
          <w:rFonts w:eastAsia="Calibri"/>
          <w:lang w:val="en-GB"/>
        </w:rPr>
        <w:t xml:space="preserve">50 million. </w:t>
      </w:r>
    </w:p>
    <w:p w14:paraId="4B4C3B18" w14:textId="77777777" w:rsidR="00E9423C" w:rsidRPr="00DF75A6" w:rsidRDefault="00E9423C" w:rsidP="0068372D">
      <w:pPr>
        <w:pStyle w:val="BodyTextMain"/>
        <w:rPr>
          <w:rFonts w:eastAsia="Calibri"/>
          <w:lang w:val="en-GB"/>
        </w:rPr>
      </w:pPr>
    </w:p>
    <w:p w14:paraId="56069654" w14:textId="29FCC6C8" w:rsidR="00892E8B" w:rsidRPr="005C7BCC" w:rsidRDefault="00C85AE9" w:rsidP="0068372D">
      <w:pPr>
        <w:pStyle w:val="BodyTextMain"/>
        <w:rPr>
          <w:color w:val="222222"/>
          <w:spacing w:val="-2"/>
          <w:kern w:val="2"/>
          <w:lang w:val="en-GB"/>
        </w:rPr>
      </w:pPr>
      <w:r w:rsidRPr="005C7BCC">
        <w:rPr>
          <w:rFonts w:eastAsia="Calibri"/>
          <w:spacing w:val="-2"/>
          <w:kern w:val="2"/>
          <w:lang w:val="en-GB"/>
        </w:rPr>
        <w:t xml:space="preserve">(2) </w:t>
      </w:r>
      <w:r w:rsidR="00E9423C" w:rsidRPr="005C7BCC">
        <w:rPr>
          <w:rFonts w:eastAsia="Calibri"/>
          <w:spacing w:val="-2"/>
          <w:kern w:val="2"/>
          <w:lang w:val="en-GB"/>
        </w:rPr>
        <w:t>I</w:t>
      </w:r>
      <w:r w:rsidR="00343DB5" w:rsidRPr="005C7BCC">
        <w:rPr>
          <w:rFonts w:eastAsia="Calibri"/>
          <w:spacing w:val="-2"/>
          <w:kern w:val="2"/>
          <w:lang w:val="en-GB"/>
        </w:rPr>
        <w:t xml:space="preserve">mprove mileage </w:t>
      </w:r>
      <w:r w:rsidR="00E9423C" w:rsidRPr="005C7BCC">
        <w:rPr>
          <w:rFonts w:eastAsia="Calibri"/>
          <w:spacing w:val="-2"/>
          <w:kern w:val="2"/>
          <w:lang w:val="en-GB"/>
        </w:rPr>
        <w:t>to appeal to</w:t>
      </w:r>
      <w:r w:rsidR="00343DB5" w:rsidRPr="005C7BCC">
        <w:rPr>
          <w:rFonts w:eastAsia="Calibri"/>
          <w:spacing w:val="-2"/>
          <w:kern w:val="2"/>
          <w:lang w:val="en-GB"/>
        </w:rPr>
        <w:t xml:space="preserve"> the value</w:t>
      </w:r>
      <w:r w:rsidR="007C1D1C" w:rsidRPr="005C7BCC">
        <w:rPr>
          <w:rFonts w:eastAsia="Calibri"/>
          <w:spacing w:val="-2"/>
          <w:kern w:val="2"/>
          <w:lang w:val="en-GB"/>
        </w:rPr>
        <w:t>-</w:t>
      </w:r>
      <w:r w:rsidR="00343DB5" w:rsidRPr="005C7BCC">
        <w:rPr>
          <w:rFonts w:eastAsia="Calibri"/>
          <w:spacing w:val="-2"/>
          <w:kern w:val="2"/>
          <w:lang w:val="en-GB"/>
        </w:rPr>
        <w:t xml:space="preserve">seeking mileage </w:t>
      </w:r>
      <w:r w:rsidR="007C1D1C" w:rsidRPr="005C7BCC">
        <w:rPr>
          <w:rFonts w:eastAsia="Calibri"/>
          <w:spacing w:val="-2"/>
          <w:kern w:val="2"/>
          <w:lang w:val="en-GB"/>
        </w:rPr>
        <w:t>optimizer</w:t>
      </w:r>
      <w:r w:rsidR="00343DB5" w:rsidRPr="005C7BCC">
        <w:rPr>
          <w:rFonts w:eastAsia="Calibri"/>
          <w:spacing w:val="-2"/>
          <w:kern w:val="2"/>
          <w:lang w:val="en-GB"/>
        </w:rPr>
        <w:t xml:space="preserve"> segment. </w:t>
      </w:r>
      <w:r w:rsidR="005A68FA" w:rsidRPr="005C7BCC">
        <w:rPr>
          <w:rFonts w:eastAsia="Calibri"/>
          <w:spacing w:val="-2"/>
          <w:kern w:val="2"/>
          <w:lang w:val="en-GB"/>
        </w:rPr>
        <w:t xml:space="preserve">The company </w:t>
      </w:r>
      <w:r w:rsidR="00343DB5" w:rsidRPr="005C7BCC">
        <w:rPr>
          <w:rFonts w:eastAsia="Calibri"/>
          <w:spacing w:val="-2"/>
          <w:kern w:val="2"/>
          <w:lang w:val="en-GB"/>
        </w:rPr>
        <w:t xml:space="preserve">could compete with </w:t>
      </w:r>
      <w:r w:rsidR="007C1D1C" w:rsidRPr="005C7BCC">
        <w:rPr>
          <w:rFonts w:eastAsia="Calibri"/>
          <w:spacing w:val="-2"/>
          <w:kern w:val="2"/>
          <w:lang w:val="en-GB"/>
        </w:rPr>
        <w:t xml:space="preserve">the </w:t>
      </w:r>
      <w:proofErr w:type="spellStart"/>
      <w:r w:rsidR="00343DB5" w:rsidRPr="005C7BCC">
        <w:rPr>
          <w:rFonts w:eastAsia="Calibri"/>
          <w:spacing w:val="-2"/>
          <w:kern w:val="2"/>
          <w:lang w:val="en-GB"/>
        </w:rPr>
        <w:t>Equis</w:t>
      </w:r>
      <w:proofErr w:type="spellEnd"/>
      <w:r w:rsidR="00343DB5" w:rsidRPr="005C7BCC">
        <w:rPr>
          <w:rFonts w:eastAsia="Calibri"/>
          <w:spacing w:val="-2"/>
          <w:kern w:val="2"/>
          <w:lang w:val="en-GB"/>
        </w:rPr>
        <w:t xml:space="preserve"> Du</w:t>
      </w:r>
      <w:r w:rsidR="007C1D1C" w:rsidRPr="005C7BCC">
        <w:rPr>
          <w:rFonts w:eastAsia="Calibri"/>
          <w:spacing w:val="-2"/>
          <w:kern w:val="2"/>
          <w:lang w:val="en-GB"/>
        </w:rPr>
        <w:t>o pickup</w:t>
      </w:r>
      <w:r w:rsidR="00343DB5" w:rsidRPr="005C7BCC">
        <w:rPr>
          <w:rFonts w:eastAsia="Calibri"/>
          <w:spacing w:val="-2"/>
          <w:kern w:val="2"/>
          <w:lang w:val="en-GB"/>
        </w:rPr>
        <w:t xml:space="preserve"> </w:t>
      </w:r>
      <w:r w:rsidR="005A68FA" w:rsidRPr="005C7BCC">
        <w:rPr>
          <w:rFonts w:eastAsia="Calibri"/>
          <w:spacing w:val="-2"/>
          <w:kern w:val="2"/>
          <w:lang w:val="en-GB"/>
        </w:rPr>
        <w:t xml:space="preserve">and </w:t>
      </w:r>
      <w:r w:rsidR="005A68FA" w:rsidRPr="005C7BCC">
        <w:rPr>
          <w:color w:val="222222"/>
          <w:spacing w:val="-2"/>
          <w:kern w:val="2"/>
          <w:lang w:val="en-GB"/>
        </w:rPr>
        <w:t xml:space="preserve">position the Supreme in the mileage optimizer segment </w:t>
      </w:r>
      <w:r w:rsidR="00343DB5" w:rsidRPr="005C7BCC">
        <w:rPr>
          <w:rFonts w:eastAsia="Calibri"/>
          <w:spacing w:val="-2"/>
          <w:kern w:val="2"/>
          <w:lang w:val="en-GB"/>
        </w:rPr>
        <w:t xml:space="preserve">by reducing the </w:t>
      </w:r>
      <w:r w:rsidR="005A68FA" w:rsidRPr="005C7BCC">
        <w:rPr>
          <w:rFonts w:eastAsia="Calibri"/>
          <w:spacing w:val="-2"/>
          <w:kern w:val="2"/>
          <w:lang w:val="en-GB"/>
        </w:rPr>
        <w:t xml:space="preserve">vehicle’s curb </w:t>
      </w:r>
      <w:r w:rsidR="00343DB5" w:rsidRPr="005C7BCC">
        <w:rPr>
          <w:rFonts w:eastAsia="Calibri"/>
          <w:spacing w:val="-2"/>
          <w:kern w:val="2"/>
          <w:lang w:val="en-GB"/>
        </w:rPr>
        <w:t xml:space="preserve">weight </w:t>
      </w:r>
      <w:r w:rsidR="005A68FA" w:rsidRPr="005C7BCC">
        <w:rPr>
          <w:color w:val="222222"/>
          <w:spacing w:val="-2"/>
          <w:kern w:val="2"/>
          <w:lang w:val="en-GB"/>
        </w:rPr>
        <w:t xml:space="preserve">and developing a suitable drive train </w:t>
      </w:r>
      <w:r w:rsidR="005A68FA" w:rsidRPr="005C7BCC">
        <w:rPr>
          <w:rFonts w:eastAsia="Calibri"/>
          <w:spacing w:val="-2"/>
          <w:kern w:val="2"/>
          <w:lang w:val="en-GB"/>
        </w:rPr>
        <w:t>(</w:t>
      </w:r>
      <w:r w:rsidR="00343DB5" w:rsidRPr="005C7BCC">
        <w:rPr>
          <w:rFonts w:eastAsia="Calibri"/>
          <w:spacing w:val="-2"/>
          <w:kern w:val="2"/>
          <w:lang w:val="en-GB"/>
        </w:rPr>
        <w:t xml:space="preserve">to achieve greater mileage and reduce </w:t>
      </w:r>
      <w:r w:rsidR="007C1D1C" w:rsidRPr="005C7BCC">
        <w:rPr>
          <w:rFonts w:eastAsia="Calibri"/>
          <w:spacing w:val="-2"/>
          <w:kern w:val="2"/>
          <w:lang w:val="en-GB"/>
        </w:rPr>
        <w:t xml:space="preserve">the </w:t>
      </w:r>
      <w:r w:rsidR="00343DB5" w:rsidRPr="005C7BCC">
        <w:rPr>
          <w:rFonts w:eastAsia="Calibri"/>
          <w:spacing w:val="-2"/>
          <w:kern w:val="2"/>
          <w:lang w:val="en-GB"/>
        </w:rPr>
        <w:t>total cost of ownership</w:t>
      </w:r>
      <w:r w:rsidR="005A68FA" w:rsidRPr="005C7BCC">
        <w:rPr>
          <w:rFonts w:eastAsia="Calibri"/>
          <w:spacing w:val="-2"/>
          <w:kern w:val="2"/>
          <w:lang w:val="en-GB"/>
        </w:rPr>
        <w:t>)</w:t>
      </w:r>
      <w:r w:rsidR="00E9423C" w:rsidRPr="005C7BCC">
        <w:rPr>
          <w:color w:val="222222"/>
          <w:spacing w:val="-2"/>
          <w:kern w:val="2"/>
          <w:lang w:val="en-GB"/>
        </w:rPr>
        <w:t>. This wa</w:t>
      </w:r>
      <w:r w:rsidR="00892E8B" w:rsidRPr="005C7BCC">
        <w:rPr>
          <w:color w:val="222222"/>
          <w:spacing w:val="-2"/>
          <w:kern w:val="2"/>
          <w:lang w:val="en-GB"/>
        </w:rPr>
        <w:t xml:space="preserve">s a </w:t>
      </w:r>
      <w:r w:rsidR="00E9423C" w:rsidRPr="005C7BCC">
        <w:rPr>
          <w:color w:val="222222"/>
          <w:spacing w:val="-2"/>
          <w:kern w:val="2"/>
          <w:lang w:val="en-GB"/>
        </w:rPr>
        <w:t>huge task</w:t>
      </w:r>
      <w:r w:rsidR="005A68FA" w:rsidRPr="005C7BCC">
        <w:rPr>
          <w:color w:val="222222"/>
          <w:spacing w:val="-2"/>
          <w:kern w:val="2"/>
          <w:lang w:val="en-GB"/>
        </w:rPr>
        <w:t>,</w:t>
      </w:r>
      <w:r w:rsidR="00892E8B" w:rsidRPr="005C7BCC">
        <w:rPr>
          <w:color w:val="222222"/>
          <w:spacing w:val="-2"/>
          <w:kern w:val="2"/>
          <w:lang w:val="en-GB"/>
        </w:rPr>
        <w:t xml:space="preserve"> as every</w:t>
      </w:r>
      <w:r w:rsidR="005A68FA" w:rsidRPr="005C7BCC">
        <w:rPr>
          <w:color w:val="222222"/>
          <w:spacing w:val="-2"/>
          <w:kern w:val="2"/>
          <w:lang w:val="en-GB"/>
        </w:rPr>
        <w:t xml:space="preserve"> </w:t>
      </w:r>
      <w:r w:rsidR="00892E8B" w:rsidRPr="005C7BCC">
        <w:rPr>
          <w:color w:val="222222"/>
          <w:spacing w:val="-2"/>
          <w:kern w:val="2"/>
          <w:lang w:val="en-GB"/>
        </w:rPr>
        <w:t xml:space="preserve">vehicle </w:t>
      </w:r>
      <w:r w:rsidR="005A68FA" w:rsidRPr="005C7BCC">
        <w:rPr>
          <w:color w:val="222222"/>
          <w:spacing w:val="-2"/>
          <w:kern w:val="2"/>
          <w:lang w:val="en-GB"/>
        </w:rPr>
        <w:t>component—</w:t>
      </w:r>
      <w:r w:rsidR="00892E8B" w:rsidRPr="005C7BCC">
        <w:rPr>
          <w:color w:val="222222"/>
          <w:spacing w:val="-2"/>
          <w:kern w:val="2"/>
          <w:lang w:val="en-GB"/>
        </w:rPr>
        <w:t>frame, load body, ax</w:t>
      </w:r>
      <w:r w:rsidR="00E9423C" w:rsidRPr="005C7BCC">
        <w:rPr>
          <w:color w:val="222222"/>
          <w:spacing w:val="-2"/>
          <w:kern w:val="2"/>
          <w:lang w:val="en-GB"/>
        </w:rPr>
        <w:t xml:space="preserve">les, suspension, </w:t>
      </w:r>
      <w:r w:rsidR="005A68FA" w:rsidRPr="005C7BCC">
        <w:rPr>
          <w:color w:val="222222"/>
          <w:spacing w:val="-2"/>
          <w:kern w:val="2"/>
          <w:lang w:val="en-GB"/>
        </w:rPr>
        <w:t xml:space="preserve">and </w:t>
      </w:r>
      <w:r w:rsidR="00E9423C" w:rsidRPr="005C7BCC">
        <w:rPr>
          <w:color w:val="222222"/>
          <w:spacing w:val="-2"/>
          <w:kern w:val="2"/>
          <w:lang w:val="en-GB"/>
        </w:rPr>
        <w:t>cab</w:t>
      </w:r>
      <w:r w:rsidR="005A68FA" w:rsidRPr="005C7BCC">
        <w:rPr>
          <w:color w:val="222222"/>
          <w:spacing w:val="-2"/>
          <w:kern w:val="2"/>
          <w:lang w:val="en-GB"/>
        </w:rPr>
        <w:t xml:space="preserve"> </w:t>
      </w:r>
      <w:r w:rsidR="00E9423C" w:rsidRPr="005C7BCC">
        <w:rPr>
          <w:color w:val="222222"/>
          <w:spacing w:val="-2"/>
          <w:kern w:val="2"/>
          <w:lang w:val="en-GB"/>
        </w:rPr>
        <w:t>body</w:t>
      </w:r>
      <w:r w:rsidR="005A68FA" w:rsidRPr="005C7BCC">
        <w:rPr>
          <w:color w:val="222222"/>
          <w:spacing w:val="-2"/>
          <w:kern w:val="2"/>
          <w:lang w:val="en-GB"/>
        </w:rPr>
        <w:t>—would have</w:t>
      </w:r>
      <w:r w:rsidR="00E9423C" w:rsidRPr="005C7BCC">
        <w:rPr>
          <w:color w:val="222222"/>
          <w:spacing w:val="-2"/>
          <w:kern w:val="2"/>
          <w:lang w:val="en-GB"/>
        </w:rPr>
        <w:t xml:space="preserve"> </w:t>
      </w:r>
      <w:r w:rsidR="00892E8B" w:rsidRPr="005C7BCC">
        <w:rPr>
          <w:color w:val="222222"/>
          <w:spacing w:val="-2"/>
          <w:kern w:val="2"/>
          <w:lang w:val="en-GB"/>
        </w:rPr>
        <w:t xml:space="preserve">to </w:t>
      </w:r>
      <w:r w:rsidR="005A68FA" w:rsidRPr="005C7BCC">
        <w:rPr>
          <w:color w:val="222222"/>
          <w:spacing w:val="-2"/>
          <w:kern w:val="2"/>
          <w:lang w:val="en-GB"/>
        </w:rPr>
        <w:t xml:space="preserve">be </w:t>
      </w:r>
      <w:r w:rsidR="00892E8B" w:rsidRPr="005C7BCC">
        <w:rPr>
          <w:color w:val="222222"/>
          <w:spacing w:val="-2"/>
          <w:kern w:val="2"/>
          <w:lang w:val="en-GB"/>
        </w:rPr>
        <w:t xml:space="preserve">redesigned to suit the lighter application requirement. </w:t>
      </w:r>
      <w:r w:rsidR="00E9423C" w:rsidRPr="005C7BCC">
        <w:rPr>
          <w:color w:val="222222"/>
          <w:spacing w:val="-2"/>
          <w:kern w:val="2"/>
          <w:lang w:val="en-GB"/>
        </w:rPr>
        <w:t>Tuning</w:t>
      </w:r>
      <w:r w:rsidR="00892E8B" w:rsidRPr="005C7BCC">
        <w:rPr>
          <w:color w:val="222222"/>
          <w:spacing w:val="-2"/>
          <w:kern w:val="2"/>
          <w:lang w:val="en-GB"/>
        </w:rPr>
        <w:t xml:space="preserve"> the drive trai</w:t>
      </w:r>
      <w:r w:rsidR="00E9423C" w:rsidRPr="005C7BCC">
        <w:rPr>
          <w:color w:val="222222"/>
          <w:spacing w:val="-2"/>
          <w:kern w:val="2"/>
          <w:lang w:val="en-GB"/>
        </w:rPr>
        <w:t xml:space="preserve">n to suit this application </w:t>
      </w:r>
      <w:r w:rsidR="005A68FA" w:rsidRPr="005C7BCC">
        <w:rPr>
          <w:color w:val="222222"/>
          <w:spacing w:val="-2"/>
          <w:kern w:val="2"/>
          <w:lang w:val="en-GB"/>
        </w:rPr>
        <w:t xml:space="preserve">would require </w:t>
      </w:r>
      <w:r w:rsidR="00892E8B" w:rsidRPr="005C7BCC">
        <w:rPr>
          <w:color w:val="222222"/>
          <w:spacing w:val="-2"/>
          <w:kern w:val="2"/>
          <w:lang w:val="en-GB"/>
        </w:rPr>
        <w:t xml:space="preserve">changes </w:t>
      </w:r>
      <w:r w:rsidR="005A68FA" w:rsidRPr="005C7BCC">
        <w:rPr>
          <w:color w:val="222222"/>
          <w:spacing w:val="-2"/>
          <w:kern w:val="2"/>
          <w:lang w:val="en-GB"/>
        </w:rPr>
        <w:t xml:space="preserve">to the </w:t>
      </w:r>
      <w:r w:rsidR="00892E8B" w:rsidRPr="005C7BCC">
        <w:rPr>
          <w:color w:val="222222"/>
          <w:spacing w:val="-2"/>
          <w:kern w:val="2"/>
          <w:lang w:val="en-GB"/>
        </w:rPr>
        <w:t>engine, transmiss</w:t>
      </w:r>
      <w:r w:rsidR="00E9423C" w:rsidRPr="005C7BCC">
        <w:rPr>
          <w:color w:val="222222"/>
          <w:spacing w:val="-2"/>
          <w:kern w:val="2"/>
          <w:lang w:val="en-GB"/>
        </w:rPr>
        <w:t>ion</w:t>
      </w:r>
      <w:r w:rsidR="005A68FA" w:rsidRPr="005C7BCC">
        <w:rPr>
          <w:color w:val="222222"/>
          <w:spacing w:val="-2"/>
          <w:kern w:val="2"/>
          <w:lang w:val="en-GB"/>
        </w:rPr>
        <w:t>,</w:t>
      </w:r>
      <w:r w:rsidR="00E9423C" w:rsidRPr="005C7BCC">
        <w:rPr>
          <w:color w:val="222222"/>
          <w:spacing w:val="-2"/>
          <w:kern w:val="2"/>
          <w:lang w:val="en-GB"/>
        </w:rPr>
        <w:t xml:space="preserve"> and axles. </w:t>
      </w:r>
      <w:r w:rsidR="005A68FA" w:rsidRPr="005C7BCC">
        <w:rPr>
          <w:color w:val="222222"/>
          <w:spacing w:val="-2"/>
          <w:kern w:val="2"/>
          <w:lang w:val="en-GB"/>
        </w:rPr>
        <w:t>T</w:t>
      </w:r>
      <w:r w:rsidR="00E9423C" w:rsidRPr="005C7BCC">
        <w:rPr>
          <w:color w:val="222222"/>
          <w:spacing w:val="-2"/>
          <w:kern w:val="2"/>
          <w:lang w:val="en-GB"/>
        </w:rPr>
        <w:t xml:space="preserve">his </w:t>
      </w:r>
      <w:r w:rsidR="00892E8B" w:rsidRPr="005C7BCC">
        <w:rPr>
          <w:color w:val="222222"/>
          <w:spacing w:val="-2"/>
          <w:kern w:val="2"/>
          <w:lang w:val="en-GB"/>
        </w:rPr>
        <w:t>complete redevelopment of the vehicle</w:t>
      </w:r>
      <w:r w:rsidR="006D4FDD" w:rsidRPr="005C7BCC">
        <w:rPr>
          <w:color w:val="222222"/>
          <w:spacing w:val="-2"/>
          <w:kern w:val="2"/>
          <w:lang w:val="en-GB"/>
        </w:rPr>
        <w:t xml:space="preserve"> </w:t>
      </w:r>
      <w:r w:rsidR="00E9423C" w:rsidRPr="005C7BCC">
        <w:rPr>
          <w:color w:val="222222"/>
          <w:spacing w:val="-2"/>
          <w:kern w:val="2"/>
          <w:lang w:val="en-GB"/>
        </w:rPr>
        <w:t>could take</w:t>
      </w:r>
      <w:r w:rsidR="00892E8B" w:rsidRPr="005C7BCC">
        <w:rPr>
          <w:color w:val="222222"/>
          <w:spacing w:val="-2"/>
          <w:kern w:val="2"/>
          <w:lang w:val="en-GB"/>
        </w:rPr>
        <w:t xml:space="preserve"> 18</w:t>
      </w:r>
      <w:r w:rsidR="005A68FA" w:rsidRPr="005C7BCC">
        <w:rPr>
          <w:color w:val="222222"/>
          <w:spacing w:val="-2"/>
          <w:kern w:val="2"/>
          <w:lang w:val="en-GB"/>
        </w:rPr>
        <w:t>–</w:t>
      </w:r>
      <w:r w:rsidR="00892E8B" w:rsidRPr="005C7BCC">
        <w:rPr>
          <w:color w:val="222222"/>
          <w:spacing w:val="-2"/>
          <w:kern w:val="2"/>
          <w:lang w:val="en-GB"/>
        </w:rPr>
        <w:t>24</w:t>
      </w:r>
      <w:r w:rsidR="005A68FA" w:rsidRPr="005C7BCC">
        <w:rPr>
          <w:color w:val="222222"/>
          <w:spacing w:val="-2"/>
          <w:kern w:val="2"/>
          <w:lang w:val="en-GB"/>
        </w:rPr>
        <w:t xml:space="preserve"> </w:t>
      </w:r>
      <w:r w:rsidR="00892E8B" w:rsidRPr="005C7BCC">
        <w:rPr>
          <w:color w:val="222222"/>
          <w:spacing w:val="-2"/>
          <w:kern w:val="2"/>
          <w:lang w:val="en-GB"/>
        </w:rPr>
        <w:t xml:space="preserve">months </w:t>
      </w:r>
      <w:r w:rsidR="005A68FA" w:rsidRPr="005C7BCC">
        <w:rPr>
          <w:color w:val="222222"/>
          <w:spacing w:val="-2"/>
          <w:kern w:val="2"/>
          <w:lang w:val="en-GB"/>
        </w:rPr>
        <w:t xml:space="preserve">and an </w:t>
      </w:r>
      <w:r w:rsidR="00892E8B" w:rsidRPr="005C7BCC">
        <w:rPr>
          <w:color w:val="222222"/>
          <w:spacing w:val="-2"/>
          <w:kern w:val="2"/>
          <w:lang w:val="en-GB"/>
        </w:rPr>
        <w:t xml:space="preserve">estimated investment of </w:t>
      </w:r>
      <w:r w:rsidR="005A68FA" w:rsidRPr="005C7BCC">
        <w:rPr>
          <w:rFonts w:ascii="Arial" w:hAnsi="Arial" w:cs="Arial"/>
          <w:color w:val="222222"/>
          <w:spacing w:val="-2"/>
          <w:kern w:val="2"/>
          <w:sz w:val="20"/>
          <w:szCs w:val="20"/>
          <w:lang w:val="en-GB"/>
        </w:rPr>
        <w:t>₹</w:t>
      </w:r>
      <w:r w:rsidR="00E9423C" w:rsidRPr="005C7BCC">
        <w:rPr>
          <w:color w:val="222222"/>
          <w:spacing w:val="-2"/>
          <w:kern w:val="2"/>
          <w:lang w:val="en-GB"/>
        </w:rPr>
        <w:t>200</w:t>
      </w:r>
      <w:r w:rsidR="005A68FA" w:rsidRPr="005C7BCC">
        <w:rPr>
          <w:color w:val="222222"/>
          <w:spacing w:val="-2"/>
          <w:kern w:val="2"/>
          <w:lang w:val="en-GB"/>
        </w:rPr>
        <w:t>–</w:t>
      </w:r>
      <w:r w:rsidR="00E9423C" w:rsidRPr="005C7BCC">
        <w:rPr>
          <w:color w:val="222222"/>
          <w:spacing w:val="-2"/>
          <w:kern w:val="2"/>
          <w:lang w:val="en-GB"/>
        </w:rPr>
        <w:t xml:space="preserve">250 million. </w:t>
      </w:r>
    </w:p>
    <w:p w14:paraId="647BE1C2" w14:textId="28CED6DB" w:rsidR="00343DB5" w:rsidRPr="00DF75A6" w:rsidRDefault="00343DB5" w:rsidP="00E819D3">
      <w:pPr>
        <w:pStyle w:val="BodyTextMain"/>
        <w:rPr>
          <w:rFonts w:eastAsia="Calibri"/>
          <w:lang w:val="en-GB"/>
        </w:rPr>
      </w:pPr>
      <w:r w:rsidRPr="00DF75A6">
        <w:rPr>
          <w:rFonts w:eastAsia="Calibri"/>
          <w:lang w:val="en-GB"/>
        </w:rPr>
        <w:lastRenderedPageBreak/>
        <w:t>SMC also had to differentiate its products to compete against the established market leader</w:t>
      </w:r>
      <w:r w:rsidR="006D028C" w:rsidRPr="00DF75A6">
        <w:rPr>
          <w:rFonts w:eastAsia="Calibri"/>
          <w:lang w:val="en-GB"/>
        </w:rPr>
        <w:t>.</w:t>
      </w:r>
      <w:r w:rsidRPr="00DF75A6">
        <w:rPr>
          <w:rFonts w:eastAsia="Calibri"/>
          <w:lang w:val="en-GB"/>
        </w:rPr>
        <w:t xml:space="preserve"> </w:t>
      </w:r>
      <w:r w:rsidR="003509CC" w:rsidRPr="00DF75A6">
        <w:rPr>
          <w:rFonts w:eastAsia="Calibri"/>
          <w:lang w:val="en-GB"/>
        </w:rPr>
        <w:t>This</w:t>
      </w:r>
      <w:r w:rsidRPr="00DF75A6">
        <w:rPr>
          <w:rFonts w:eastAsia="Calibri"/>
          <w:lang w:val="en-GB"/>
        </w:rPr>
        <w:t xml:space="preserve"> would require </w:t>
      </w:r>
      <w:r w:rsidR="003509CC" w:rsidRPr="00DF75A6">
        <w:rPr>
          <w:rFonts w:eastAsia="Calibri"/>
          <w:lang w:val="en-GB"/>
        </w:rPr>
        <w:t xml:space="preserve">the company </w:t>
      </w:r>
      <w:r w:rsidRPr="00DF75A6">
        <w:rPr>
          <w:rFonts w:eastAsia="Calibri"/>
          <w:lang w:val="en-GB"/>
        </w:rPr>
        <w:t xml:space="preserve">to focus not </w:t>
      </w:r>
      <w:r w:rsidR="003509CC" w:rsidRPr="00DF75A6">
        <w:rPr>
          <w:rFonts w:eastAsia="Calibri"/>
          <w:lang w:val="en-GB"/>
        </w:rPr>
        <w:t xml:space="preserve">only on </w:t>
      </w:r>
      <w:r w:rsidRPr="00DF75A6">
        <w:rPr>
          <w:rFonts w:eastAsia="Calibri"/>
          <w:lang w:val="en-GB"/>
        </w:rPr>
        <w:t>the key drivers that influence</w:t>
      </w:r>
      <w:r w:rsidR="003509CC" w:rsidRPr="00DF75A6">
        <w:rPr>
          <w:rFonts w:eastAsia="Calibri"/>
          <w:lang w:val="en-GB"/>
        </w:rPr>
        <w:t>d</w:t>
      </w:r>
      <w:r w:rsidRPr="00DF75A6">
        <w:rPr>
          <w:rFonts w:eastAsia="Calibri"/>
          <w:lang w:val="en-GB"/>
        </w:rPr>
        <w:t xml:space="preserve"> purchase</w:t>
      </w:r>
      <w:r w:rsidR="003509CC" w:rsidRPr="00DF75A6">
        <w:rPr>
          <w:rFonts w:eastAsia="Calibri"/>
          <w:lang w:val="en-GB"/>
        </w:rPr>
        <w:t xml:space="preserve"> decisions</w:t>
      </w:r>
      <w:r w:rsidRPr="00DF75A6">
        <w:rPr>
          <w:rFonts w:eastAsia="Calibri"/>
          <w:lang w:val="en-GB"/>
        </w:rPr>
        <w:t xml:space="preserve"> but also </w:t>
      </w:r>
      <w:r w:rsidR="007C1D1C" w:rsidRPr="00DF75A6">
        <w:rPr>
          <w:rFonts w:eastAsia="Calibri"/>
          <w:lang w:val="en-GB"/>
        </w:rPr>
        <w:t xml:space="preserve">on </w:t>
      </w:r>
      <w:r w:rsidRPr="00DF75A6">
        <w:rPr>
          <w:rFonts w:eastAsia="Calibri"/>
          <w:lang w:val="en-GB"/>
        </w:rPr>
        <w:t>some of the un</w:t>
      </w:r>
      <w:r w:rsidR="00C85AE9">
        <w:rPr>
          <w:rFonts w:eastAsia="Calibri"/>
          <w:lang w:val="en-GB"/>
        </w:rPr>
        <w:t>-</w:t>
      </w:r>
      <w:r w:rsidRPr="00DF75A6">
        <w:rPr>
          <w:rFonts w:eastAsia="Calibri"/>
          <w:lang w:val="en-GB"/>
        </w:rPr>
        <w:t xml:space="preserve">met needs </w:t>
      </w:r>
      <w:r w:rsidR="007C1D1C" w:rsidRPr="00DF75A6">
        <w:rPr>
          <w:rFonts w:eastAsia="Calibri"/>
          <w:lang w:val="en-GB"/>
        </w:rPr>
        <w:t xml:space="preserve">that </w:t>
      </w:r>
      <w:r w:rsidRPr="00DF75A6">
        <w:rPr>
          <w:rFonts w:eastAsia="Calibri"/>
          <w:lang w:val="en-GB"/>
        </w:rPr>
        <w:t xml:space="preserve">could attract customers to </w:t>
      </w:r>
      <w:r w:rsidR="003509CC" w:rsidRPr="00DF75A6">
        <w:rPr>
          <w:rFonts w:eastAsia="Calibri"/>
          <w:lang w:val="en-GB"/>
        </w:rPr>
        <w:t xml:space="preserve">SMC’s </w:t>
      </w:r>
      <w:r w:rsidRPr="00DF75A6">
        <w:rPr>
          <w:rFonts w:eastAsia="Calibri"/>
          <w:lang w:val="en-GB"/>
        </w:rPr>
        <w:t xml:space="preserve">offerings. </w:t>
      </w:r>
    </w:p>
    <w:p w14:paraId="7F90B381" w14:textId="77777777" w:rsidR="00343DB5" w:rsidRPr="00DF75A6" w:rsidRDefault="00343DB5" w:rsidP="00343DB5">
      <w:pPr>
        <w:jc w:val="both"/>
        <w:rPr>
          <w:rFonts w:eastAsia="Calibri"/>
          <w:sz w:val="22"/>
          <w:szCs w:val="22"/>
          <w:lang w:val="en-GB"/>
        </w:rPr>
      </w:pPr>
    </w:p>
    <w:p w14:paraId="729B2D92" w14:textId="3F04908B" w:rsidR="00343DB5" w:rsidRPr="00DF75A6" w:rsidRDefault="00343DB5" w:rsidP="00E819D3">
      <w:pPr>
        <w:pStyle w:val="BodyTextMain"/>
        <w:rPr>
          <w:rFonts w:eastAsia="Calibri"/>
          <w:lang w:val="en-GB"/>
        </w:rPr>
      </w:pPr>
      <w:proofErr w:type="spellStart"/>
      <w:r w:rsidRPr="00DF75A6">
        <w:rPr>
          <w:rFonts w:eastAsia="Calibri"/>
          <w:lang w:val="en-GB"/>
        </w:rPr>
        <w:t>Mehragan</w:t>
      </w:r>
      <w:proofErr w:type="spellEnd"/>
      <w:r w:rsidRPr="00DF75A6">
        <w:rPr>
          <w:rFonts w:eastAsia="Calibri"/>
          <w:lang w:val="en-GB"/>
        </w:rPr>
        <w:t xml:space="preserve"> went </w:t>
      </w:r>
      <w:r w:rsidR="00C85AE9">
        <w:rPr>
          <w:rFonts w:eastAsia="Calibri"/>
          <w:lang w:val="en-GB"/>
        </w:rPr>
        <w:t xml:space="preserve">back </w:t>
      </w:r>
      <w:r w:rsidRPr="00DF75A6">
        <w:rPr>
          <w:rFonts w:eastAsia="Calibri"/>
          <w:lang w:val="en-GB"/>
        </w:rPr>
        <w:t xml:space="preserve">to the drawing board and thought over the options. How could </w:t>
      </w:r>
      <w:r w:rsidR="003509CC" w:rsidRPr="00DF75A6">
        <w:rPr>
          <w:rFonts w:eastAsia="Calibri"/>
          <w:lang w:val="en-GB"/>
        </w:rPr>
        <w:t xml:space="preserve">SMC </w:t>
      </w:r>
      <w:r w:rsidRPr="00DF75A6">
        <w:rPr>
          <w:rFonts w:eastAsia="Calibri"/>
          <w:lang w:val="en-GB"/>
        </w:rPr>
        <w:t xml:space="preserve">correct the positioning and hence the perceptions </w:t>
      </w:r>
      <w:r w:rsidR="007C1D1C" w:rsidRPr="00DF75A6">
        <w:rPr>
          <w:rFonts w:eastAsia="Calibri"/>
          <w:lang w:val="en-GB"/>
        </w:rPr>
        <w:t>of the</w:t>
      </w:r>
      <w:r w:rsidRPr="00DF75A6">
        <w:rPr>
          <w:rFonts w:eastAsia="Calibri"/>
          <w:lang w:val="en-GB"/>
        </w:rPr>
        <w:t xml:space="preserve"> Supreme? Should </w:t>
      </w:r>
      <w:r w:rsidR="003509CC" w:rsidRPr="00DF75A6">
        <w:rPr>
          <w:rFonts w:eastAsia="Calibri"/>
          <w:lang w:val="en-GB"/>
        </w:rPr>
        <w:t xml:space="preserve">it </w:t>
      </w:r>
      <w:r w:rsidRPr="00DF75A6">
        <w:rPr>
          <w:rFonts w:eastAsia="Calibri"/>
          <w:lang w:val="en-GB"/>
        </w:rPr>
        <w:t xml:space="preserve">reposition </w:t>
      </w:r>
      <w:r w:rsidR="007C1D1C" w:rsidRPr="00DF75A6">
        <w:rPr>
          <w:rFonts w:eastAsia="Calibri"/>
          <w:lang w:val="en-GB"/>
        </w:rPr>
        <w:t xml:space="preserve">the </w:t>
      </w:r>
      <w:r w:rsidRPr="00DF75A6">
        <w:rPr>
          <w:rFonts w:eastAsia="Calibri"/>
          <w:lang w:val="en-GB"/>
        </w:rPr>
        <w:t xml:space="preserve">Supreme in the </w:t>
      </w:r>
      <w:r w:rsidR="007C1D1C" w:rsidRPr="00DF75A6">
        <w:rPr>
          <w:rFonts w:eastAsia="Calibri"/>
          <w:lang w:val="en-GB"/>
        </w:rPr>
        <w:t>overload segment or the mileage optimizer value segment</w:t>
      </w:r>
      <w:r w:rsidR="003509CC" w:rsidRPr="00DF75A6">
        <w:rPr>
          <w:rFonts w:eastAsia="Calibri"/>
          <w:lang w:val="en-GB"/>
        </w:rPr>
        <w:t>—</w:t>
      </w:r>
      <w:r w:rsidR="007C1D1C" w:rsidRPr="00DF75A6">
        <w:rPr>
          <w:rFonts w:eastAsia="Calibri"/>
          <w:lang w:val="en-GB"/>
        </w:rPr>
        <w:t xml:space="preserve">or </w:t>
      </w:r>
      <w:r w:rsidR="003509CC" w:rsidRPr="00DF75A6">
        <w:rPr>
          <w:rFonts w:eastAsia="Calibri"/>
          <w:lang w:val="en-GB"/>
        </w:rPr>
        <w:t>should the brand be moved</w:t>
      </w:r>
      <w:r w:rsidR="007C1D1C" w:rsidRPr="00DF75A6">
        <w:rPr>
          <w:rFonts w:eastAsia="Calibri"/>
          <w:lang w:val="en-GB"/>
        </w:rPr>
        <w:t xml:space="preserve"> to the performance (reliable workmate</w:t>
      </w:r>
      <w:r w:rsidRPr="00DF75A6">
        <w:rPr>
          <w:rFonts w:eastAsia="Calibri"/>
          <w:lang w:val="en-GB"/>
        </w:rPr>
        <w:t xml:space="preserve">) segment, where consumers felt it belonged? </w:t>
      </w:r>
      <w:r w:rsidR="003509CC" w:rsidRPr="00DF75A6">
        <w:rPr>
          <w:rFonts w:eastAsia="Calibri"/>
          <w:lang w:val="en-GB"/>
        </w:rPr>
        <w:t xml:space="preserve">Alternatively, </w:t>
      </w:r>
      <w:r w:rsidR="00FC16B3">
        <w:rPr>
          <w:rFonts w:eastAsia="Calibri"/>
          <w:lang w:val="en-GB"/>
        </w:rPr>
        <w:t>sh</w:t>
      </w:r>
      <w:r w:rsidRPr="00DF75A6">
        <w:rPr>
          <w:rFonts w:eastAsia="Calibri"/>
          <w:lang w:val="en-GB"/>
        </w:rPr>
        <w:t xml:space="preserve">ould </w:t>
      </w:r>
      <w:r w:rsidR="003509CC" w:rsidRPr="00DF75A6">
        <w:rPr>
          <w:rFonts w:eastAsia="Calibri"/>
          <w:lang w:val="en-GB"/>
        </w:rPr>
        <w:t xml:space="preserve">SMC </w:t>
      </w:r>
      <w:r w:rsidRPr="00DF75A6">
        <w:rPr>
          <w:rFonts w:eastAsia="Calibri"/>
          <w:lang w:val="en-GB"/>
        </w:rPr>
        <w:t>kill or extend the Supreme</w:t>
      </w:r>
      <w:r w:rsidR="007C1D1C" w:rsidRPr="00DF75A6">
        <w:rPr>
          <w:rFonts w:eastAsia="Calibri"/>
          <w:lang w:val="en-GB"/>
        </w:rPr>
        <w:t xml:space="preserve"> brand</w:t>
      </w:r>
      <w:r w:rsidRPr="00DF75A6">
        <w:rPr>
          <w:rFonts w:eastAsia="Calibri"/>
          <w:lang w:val="en-GB"/>
        </w:rPr>
        <w:t xml:space="preserve"> and launch a new brand in </w:t>
      </w:r>
      <w:r w:rsidR="007C1D1C" w:rsidRPr="00DF75A6">
        <w:rPr>
          <w:rFonts w:eastAsia="Calibri"/>
          <w:lang w:val="en-GB"/>
        </w:rPr>
        <w:t>the load king and mileage optimizer segments</w:t>
      </w:r>
      <w:r w:rsidRPr="00DF75A6">
        <w:rPr>
          <w:rFonts w:eastAsia="Calibri"/>
          <w:lang w:val="en-GB"/>
        </w:rPr>
        <w:t xml:space="preserve">? </w:t>
      </w:r>
      <w:r w:rsidR="007C1D1C" w:rsidRPr="00DF75A6">
        <w:rPr>
          <w:rFonts w:eastAsia="Calibri"/>
          <w:lang w:val="en-GB"/>
        </w:rPr>
        <w:t xml:space="preserve">Although the </w:t>
      </w:r>
      <w:r w:rsidRPr="00DF75A6">
        <w:rPr>
          <w:rFonts w:eastAsia="Calibri"/>
          <w:lang w:val="en-GB"/>
        </w:rPr>
        <w:t>Supreme was not positioned strongly</w:t>
      </w:r>
      <w:r w:rsidR="007C1D1C" w:rsidRPr="00DF75A6">
        <w:rPr>
          <w:rFonts w:eastAsia="Calibri"/>
          <w:lang w:val="en-GB"/>
        </w:rPr>
        <w:t>, it</w:t>
      </w:r>
      <w:r w:rsidRPr="00DF75A6">
        <w:rPr>
          <w:rFonts w:eastAsia="Calibri"/>
          <w:lang w:val="en-GB"/>
        </w:rPr>
        <w:t xml:space="preserve"> had </w:t>
      </w:r>
      <w:r w:rsidR="007C1D1C" w:rsidRPr="00DF75A6">
        <w:rPr>
          <w:rFonts w:eastAsia="Calibri"/>
          <w:lang w:val="en-GB"/>
        </w:rPr>
        <w:t>managed</w:t>
      </w:r>
      <w:r w:rsidRPr="00DF75A6">
        <w:rPr>
          <w:rFonts w:eastAsia="Calibri"/>
          <w:lang w:val="en-GB"/>
        </w:rPr>
        <w:t xml:space="preserve"> to gather huge brand awareness from customers</w:t>
      </w:r>
      <w:r w:rsidR="003509CC" w:rsidRPr="00DF75A6">
        <w:rPr>
          <w:rFonts w:eastAsia="Calibri"/>
          <w:lang w:val="en-GB"/>
        </w:rPr>
        <w:t xml:space="preserve"> and</w:t>
      </w:r>
      <w:r w:rsidRPr="00DF75A6">
        <w:rPr>
          <w:rFonts w:eastAsia="Calibri"/>
          <w:lang w:val="en-GB"/>
        </w:rPr>
        <w:t xml:space="preserve"> was perceived as </w:t>
      </w:r>
      <w:r w:rsidR="007C1D1C" w:rsidRPr="00DF75A6">
        <w:rPr>
          <w:rFonts w:eastAsia="Calibri"/>
          <w:lang w:val="en-GB"/>
        </w:rPr>
        <w:t xml:space="preserve">a </w:t>
      </w:r>
      <w:r w:rsidRPr="00DF75A6">
        <w:rPr>
          <w:rFonts w:eastAsia="Calibri"/>
          <w:lang w:val="en-GB"/>
        </w:rPr>
        <w:t xml:space="preserve">premium offering in the pickup segment. </w:t>
      </w:r>
      <w:r w:rsidR="003509CC" w:rsidRPr="00DF75A6">
        <w:rPr>
          <w:rFonts w:eastAsia="Calibri"/>
          <w:lang w:val="en-GB"/>
        </w:rPr>
        <w:t>I</w:t>
      </w:r>
      <w:r w:rsidR="007C1D1C" w:rsidRPr="00DF75A6">
        <w:rPr>
          <w:rFonts w:eastAsia="Calibri"/>
          <w:lang w:val="en-GB"/>
        </w:rPr>
        <w:t>f</w:t>
      </w:r>
      <w:r w:rsidRPr="00DF75A6">
        <w:rPr>
          <w:rFonts w:eastAsia="Calibri"/>
          <w:lang w:val="en-GB"/>
        </w:rPr>
        <w:t xml:space="preserve"> the company dec</w:t>
      </w:r>
      <w:r w:rsidR="006D028C" w:rsidRPr="00DF75A6">
        <w:rPr>
          <w:rFonts w:eastAsia="Calibri"/>
          <w:lang w:val="en-GB"/>
        </w:rPr>
        <w:t xml:space="preserve">ided to continue with </w:t>
      </w:r>
      <w:r w:rsidR="007C1D1C" w:rsidRPr="00DF75A6">
        <w:rPr>
          <w:rFonts w:eastAsia="Calibri"/>
          <w:lang w:val="en-GB"/>
        </w:rPr>
        <w:t xml:space="preserve">the </w:t>
      </w:r>
      <w:r w:rsidR="006D028C" w:rsidRPr="00DF75A6">
        <w:rPr>
          <w:rFonts w:eastAsia="Calibri"/>
          <w:lang w:val="en-GB"/>
        </w:rPr>
        <w:t>Supreme</w:t>
      </w:r>
      <w:r w:rsidR="003509CC" w:rsidRPr="00DF75A6">
        <w:rPr>
          <w:rFonts w:eastAsia="Calibri"/>
          <w:lang w:val="en-GB"/>
        </w:rPr>
        <w:t xml:space="preserve">, </w:t>
      </w:r>
      <w:r w:rsidR="007C1D1C" w:rsidRPr="00DF75A6">
        <w:rPr>
          <w:rFonts w:eastAsia="Calibri"/>
          <w:lang w:val="en-GB"/>
        </w:rPr>
        <w:t xml:space="preserve">should </w:t>
      </w:r>
      <w:r w:rsidR="003509CC" w:rsidRPr="00DF75A6">
        <w:rPr>
          <w:rFonts w:eastAsia="Calibri"/>
          <w:lang w:val="en-GB"/>
        </w:rPr>
        <w:t xml:space="preserve">it </w:t>
      </w:r>
      <w:r w:rsidRPr="00DF75A6">
        <w:rPr>
          <w:rFonts w:eastAsia="Calibri"/>
          <w:lang w:val="en-GB"/>
        </w:rPr>
        <w:t>have a different brand for each of the growing segment</w:t>
      </w:r>
      <w:r w:rsidR="007C1D1C" w:rsidRPr="00DF75A6">
        <w:rPr>
          <w:rFonts w:eastAsia="Calibri"/>
          <w:lang w:val="en-GB"/>
        </w:rPr>
        <w:t>s</w:t>
      </w:r>
      <w:r w:rsidRPr="00DF75A6">
        <w:rPr>
          <w:rFonts w:eastAsia="Calibri"/>
          <w:lang w:val="en-GB"/>
        </w:rPr>
        <w:t xml:space="preserve"> to ensure </w:t>
      </w:r>
      <w:r w:rsidR="007C1D1C" w:rsidRPr="00DF75A6">
        <w:rPr>
          <w:rFonts w:eastAsia="Calibri"/>
          <w:lang w:val="en-GB"/>
        </w:rPr>
        <w:t xml:space="preserve">the </w:t>
      </w:r>
      <w:r w:rsidR="003509CC" w:rsidRPr="00DF75A6">
        <w:rPr>
          <w:rFonts w:eastAsia="Calibri"/>
          <w:lang w:val="en-GB"/>
        </w:rPr>
        <w:t xml:space="preserve">brand’s </w:t>
      </w:r>
      <w:r w:rsidRPr="00DF75A6">
        <w:rPr>
          <w:rFonts w:eastAsia="Calibri"/>
          <w:lang w:val="en-GB"/>
        </w:rPr>
        <w:t xml:space="preserve">presence across </w:t>
      </w:r>
      <w:r w:rsidR="007C1D1C" w:rsidRPr="00DF75A6">
        <w:rPr>
          <w:rFonts w:eastAsia="Calibri"/>
          <w:lang w:val="en-GB"/>
        </w:rPr>
        <w:t xml:space="preserve">all of them, </w:t>
      </w:r>
      <w:r w:rsidRPr="00DF75A6">
        <w:rPr>
          <w:rFonts w:eastAsia="Calibri"/>
          <w:lang w:val="en-GB"/>
        </w:rPr>
        <w:t>o</w:t>
      </w:r>
      <w:r w:rsidR="007C1D1C" w:rsidRPr="00DF75A6">
        <w:rPr>
          <w:rFonts w:eastAsia="Calibri"/>
          <w:lang w:val="en-GB"/>
        </w:rPr>
        <w:t xml:space="preserve">r should </w:t>
      </w:r>
      <w:r w:rsidR="003509CC" w:rsidRPr="00DF75A6">
        <w:rPr>
          <w:rFonts w:eastAsia="Calibri"/>
          <w:lang w:val="en-GB"/>
        </w:rPr>
        <w:t xml:space="preserve">it </w:t>
      </w:r>
      <w:r w:rsidRPr="00DF75A6">
        <w:rPr>
          <w:rFonts w:eastAsia="Calibri"/>
          <w:lang w:val="en-GB"/>
        </w:rPr>
        <w:t xml:space="preserve">extend the Supreme brand across </w:t>
      </w:r>
      <w:r w:rsidR="007C1D1C" w:rsidRPr="00DF75A6">
        <w:rPr>
          <w:rFonts w:eastAsia="Calibri"/>
          <w:lang w:val="en-GB"/>
        </w:rPr>
        <w:t xml:space="preserve">only some </w:t>
      </w:r>
      <w:r w:rsidR="003509CC" w:rsidRPr="00DF75A6">
        <w:rPr>
          <w:rFonts w:eastAsia="Calibri"/>
          <w:lang w:val="en-GB"/>
        </w:rPr>
        <w:t>segment</w:t>
      </w:r>
      <w:r w:rsidR="006D028C" w:rsidRPr="00DF75A6">
        <w:rPr>
          <w:rFonts w:eastAsia="Calibri"/>
          <w:lang w:val="en-GB"/>
        </w:rPr>
        <w:t>s</w:t>
      </w:r>
      <w:r w:rsidR="003509CC" w:rsidRPr="00DF75A6">
        <w:rPr>
          <w:rFonts w:eastAsia="Calibri"/>
          <w:lang w:val="en-GB"/>
        </w:rPr>
        <w:t>?</w:t>
      </w:r>
    </w:p>
    <w:p w14:paraId="46303EA9" w14:textId="77777777" w:rsidR="00E819D3" w:rsidRPr="00DF75A6" w:rsidRDefault="00E819D3" w:rsidP="00E819D3">
      <w:pPr>
        <w:pStyle w:val="BodyTextMain"/>
        <w:rPr>
          <w:rFonts w:eastAsia="Calibri"/>
          <w:lang w:val="en-GB"/>
        </w:rPr>
      </w:pPr>
    </w:p>
    <w:p w14:paraId="43E0C6B7" w14:textId="25A53757" w:rsidR="00343DB5" w:rsidRPr="00A74000" w:rsidRDefault="00343DB5" w:rsidP="00A74000">
      <w:pPr>
        <w:pStyle w:val="BodyTextMain"/>
        <w:rPr>
          <w:rFonts w:eastAsia="Calibri"/>
          <w:lang w:val="en-GB"/>
        </w:rPr>
      </w:pPr>
      <w:proofErr w:type="spellStart"/>
      <w:r w:rsidRPr="00A74000">
        <w:rPr>
          <w:rFonts w:eastAsia="Calibri"/>
          <w:lang w:val="en-GB"/>
        </w:rPr>
        <w:t>Mehragan</w:t>
      </w:r>
      <w:proofErr w:type="spellEnd"/>
      <w:r w:rsidRPr="00A74000">
        <w:rPr>
          <w:rFonts w:eastAsia="Calibri"/>
          <w:lang w:val="en-GB"/>
        </w:rPr>
        <w:t xml:space="preserve"> turned to </w:t>
      </w:r>
      <w:r w:rsidR="00DF75A6" w:rsidRPr="00A74000">
        <w:rPr>
          <w:rFonts w:eastAsia="Calibri"/>
          <w:lang w:val="en-GB"/>
        </w:rPr>
        <w:t>Seth</w:t>
      </w:r>
      <w:r w:rsidR="007C1D1C" w:rsidRPr="00A74000">
        <w:rPr>
          <w:rFonts w:eastAsia="Calibri"/>
          <w:lang w:val="en-GB"/>
        </w:rPr>
        <w:t>,</w:t>
      </w:r>
      <w:r w:rsidRPr="00A74000">
        <w:rPr>
          <w:rFonts w:eastAsia="Calibri"/>
          <w:lang w:val="en-GB"/>
        </w:rPr>
        <w:t xml:space="preserve"> who was engrossed in numbers and trying to </w:t>
      </w:r>
      <w:r w:rsidR="007C1D1C" w:rsidRPr="00A74000">
        <w:rPr>
          <w:rFonts w:eastAsia="Calibri"/>
          <w:lang w:val="en-GB"/>
        </w:rPr>
        <w:t>find</w:t>
      </w:r>
      <w:r w:rsidRPr="00A74000">
        <w:rPr>
          <w:rFonts w:eastAsia="Calibri"/>
          <w:lang w:val="en-GB"/>
        </w:rPr>
        <w:t xml:space="preserve"> the right solution. He felt that </w:t>
      </w:r>
      <w:r w:rsidR="007C1D1C" w:rsidRPr="00A74000">
        <w:rPr>
          <w:rFonts w:eastAsia="Calibri"/>
          <w:lang w:val="en-GB"/>
        </w:rPr>
        <w:t xml:space="preserve">a </w:t>
      </w:r>
      <w:r w:rsidRPr="00A74000">
        <w:rPr>
          <w:rFonts w:eastAsia="Calibri"/>
          <w:lang w:val="en-GB"/>
        </w:rPr>
        <w:t>brand extension and architecture reading m</w:t>
      </w:r>
      <w:r w:rsidR="007C1D1C" w:rsidRPr="00A74000">
        <w:rPr>
          <w:rFonts w:eastAsia="Calibri"/>
          <w:lang w:val="en-GB"/>
        </w:rPr>
        <w:t>ight</w:t>
      </w:r>
      <w:r w:rsidRPr="00A74000">
        <w:rPr>
          <w:rFonts w:eastAsia="Calibri"/>
          <w:lang w:val="en-GB"/>
        </w:rPr>
        <w:t xml:space="preserve"> </w:t>
      </w:r>
      <w:r w:rsidR="006C02DC" w:rsidRPr="00A74000">
        <w:rPr>
          <w:rFonts w:eastAsia="Calibri"/>
          <w:lang w:val="en-GB"/>
        </w:rPr>
        <w:t>provide some direction</w:t>
      </w:r>
      <w:r w:rsidR="00C85AE9" w:rsidRPr="00A74000">
        <w:rPr>
          <w:rFonts w:eastAsia="Calibri"/>
          <w:lang w:val="en-GB"/>
        </w:rPr>
        <w:t>,</w:t>
      </w:r>
      <w:r w:rsidR="006C02DC" w:rsidRPr="00A74000">
        <w:rPr>
          <w:rFonts w:eastAsia="Calibri"/>
          <w:lang w:val="en-GB"/>
        </w:rPr>
        <w:t xml:space="preserve"> and </w:t>
      </w:r>
      <w:r w:rsidRPr="00A74000">
        <w:rPr>
          <w:rFonts w:eastAsia="Calibri"/>
          <w:lang w:val="en-GB"/>
        </w:rPr>
        <w:t xml:space="preserve">help </w:t>
      </w:r>
      <w:r w:rsidR="006C02DC" w:rsidRPr="00A74000">
        <w:rPr>
          <w:rFonts w:eastAsia="Calibri"/>
          <w:lang w:val="en-GB"/>
        </w:rPr>
        <w:t xml:space="preserve">them </w:t>
      </w:r>
      <w:r w:rsidRPr="00A74000">
        <w:rPr>
          <w:rFonts w:eastAsia="Calibri"/>
          <w:lang w:val="en-GB"/>
        </w:rPr>
        <w:t>find answers.</w:t>
      </w:r>
    </w:p>
    <w:p w14:paraId="213434D9" w14:textId="4EF2DAFD" w:rsidR="00083916" w:rsidRPr="00DF75A6" w:rsidRDefault="00FC16B3" w:rsidP="00A74000">
      <w:pPr>
        <w:spacing w:after="200" w:line="276" w:lineRule="auto"/>
        <w:rPr>
          <w:rFonts w:eastAsia="Calibri"/>
          <w:lang w:val="en-GB"/>
        </w:rPr>
      </w:pPr>
      <w:r w:rsidRPr="00A74000">
        <w:rPr>
          <w:rFonts w:eastAsia="Calibri"/>
          <w:noProof/>
        </w:rPr>
        <mc:AlternateContent>
          <mc:Choice Requires="wps">
            <w:drawing>
              <wp:anchor distT="45720" distB="45720" distL="114300" distR="114300" simplePos="0" relativeHeight="251659264" behindDoc="0" locked="0" layoutInCell="1" allowOverlap="1" wp14:anchorId="55C801A9" wp14:editId="5C453DED">
                <wp:simplePos x="0" y="0"/>
                <wp:positionH relativeFrom="column">
                  <wp:posOffset>1352753</wp:posOffset>
                </wp:positionH>
                <wp:positionV relativeFrom="paragraph">
                  <wp:posOffset>265252</wp:posOffset>
                </wp:positionV>
                <wp:extent cx="3079115" cy="1404620"/>
                <wp:effectExtent l="0" t="0" r="2603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rgbClr val="FFFFFF"/>
                        </a:solidFill>
                        <a:ln w="9525">
                          <a:solidFill>
                            <a:srgbClr val="000000"/>
                          </a:solidFill>
                          <a:miter lim="800000"/>
                          <a:headEnd/>
                          <a:tailEnd/>
                        </a:ln>
                      </wps:spPr>
                      <wps:txbx>
                        <w:txbxContent>
                          <w:p w14:paraId="13632ABC" w14:textId="752D4011" w:rsidR="00FC16B3" w:rsidRPr="00FC16B3" w:rsidRDefault="00FC16B3" w:rsidP="00FC16B3">
                            <w:pPr>
                              <w:pStyle w:val="Footnote"/>
                              <w:jc w:val="center"/>
                              <w:rPr>
                                <w:i w:val="0"/>
                              </w:rPr>
                            </w:pPr>
                            <w:r w:rsidRPr="00FC16B3">
                              <w:rPr>
                                <w:i w:val="0"/>
                              </w:rPr>
                              <w:t>Dr. Ashita Aggarwal is a Professor of Marketing at S.P. Jain Institute of Management and Research, Mumbai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C801A9" id="_x0000_t202" coordsize="21600,21600" o:spt="202" path="m,l,21600r21600,l21600,xe">
                <v:stroke joinstyle="miter"/>
                <v:path gradientshapeok="t" o:connecttype="rect"/>
              </v:shapetype>
              <v:shape id="Text Box 2" o:spid="_x0000_s1026" type="#_x0000_t202" style="position:absolute;margin-left:106.5pt;margin-top:20.9pt;width:24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">
                <v:textbox style="mso-fit-shape-to-text:t">
                  <w:txbxContent>
                    <w:p w14:paraId="13632ABC" w14:textId="752D4011" w:rsidR="00FC16B3" w:rsidRPr="00FC16B3" w:rsidRDefault="00FC16B3" w:rsidP="00FC16B3">
                      <w:pPr>
                        <w:pStyle w:val="Footnote"/>
                        <w:jc w:val="center"/>
                        <w:rPr>
                          <w:i w:val="0"/>
                        </w:rPr>
                      </w:pPr>
                      <w:r w:rsidRPr="00FC16B3">
                        <w:rPr>
                          <w:i w:val="0"/>
                        </w:rPr>
                        <w:t>Dr. Ashita Aggarwal is a Professor of Marketing at S.P. Jain Institute of Management and Research, Mumbai (India)</w:t>
                      </w:r>
                    </w:p>
                  </w:txbxContent>
                </v:textbox>
                <w10:wrap type="square"/>
              </v:shape>
            </w:pict>
          </mc:Fallback>
        </mc:AlternateContent>
      </w:r>
    </w:p>
    <w:p w14:paraId="4CA9D14A" w14:textId="29CEF254" w:rsidR="00413FA2" w:rsidRPr="00DF75A6" w:rsidRDefault="00413FA2" w:rsidP="00A74000">
      <w:pPr>
        <w:spacing w:after="200" w:line="276" w:lineRule="auto"/>
        <w:rPr>
          <w:rFonts w:eastAsia="Calibri"/>
          <w:lang w:val="en-GB"/>
        </w:rPr>
      </w:pPr>
      <w:r w:rsidRPr="00DF75A6">
        <w:rPr>
          <w:rFonts w:eastAsia="Calibri"/>
          <w:lang w:val="en-GB"/>
        </w:rPr>
        <w:br w:type="page"/>
      </w:r>
    </w:p>
    <w:p w14:paraId="6454C445" w14:textId="276456BD" w:rsidR="00413FA2" w:rsidRPr="00DF75A6" w:rsidRDefault="00413FA2" w:rsidP="00413FA2">
      <w:pPr>
        <w:pStyle w:val="ExhibitHeading"/>
        <w:rPr>
          <w:rFonts w:eastAsia="Calibri"/>
          <w:lang w:val="en-GB"/>
        </w:rPr>
      </w:pPr>
      <w:r w:rsidRPr="00DF75A6">
        <w:rPr>
          <w:rFonts w:eastAsia="Calibri"/>
          <w:lang w:val="en-GB"/>
        </w:rPr>
        <w:lastRenderedPageBreak/>
        <w:t>Exhibit 1: Pickups in India</w:t>
      </w:r>
    </w:p>
    <w:p w14:paraId="07C8F326" w14:textId="0ADBE382" w:rsidR="00413FA2" w:rsidRPr="00DF75A6" w:rsidRDefault="00413FA2" w:rsidP="00413FA2">
      <w:pPr>
        <w:pStyle w:val="ExhibitText"/>
        <w:rPr>
          <w:rFonts w:eastAsia="Calibri"/>
          <w:lang w:val="en-GB"/>
        </w:rPr>
      </w:pPr>
    </w:p>
    <w:tbl>
      <w:tblPr>
        <w:tblStyle w:val="TableGrid"/>
        <w:tblW w:w="0" w:type="auto"/>
        <w:jc w:val="center"/>
        <w:tblLook w:val="04A0" w:firstRow="1" w:lastRow="0" w:firstColumn="1" w:lastColumn="0" w:noHBand="0" w:noVBand="1"/>
      </w:tblPr>
      <w:tblGrid>
        <w:gridCol w:w="2671"/>
        <w:gridCol w:w="3117"/>
        <w:gridCol w:w="1862"/>
      </w:tblGrid>
      <w:tr w:rsidR="003509CC" w:rsidRPr="00DF75A6" w14:paraId="6D4F5CE7" w14:textId="77777777" w:rsidTr="003226F9">
        <w:trPr>
          <w:jc w:val="center"/>
        </w:trPr>
        <w:tc>
          <w:tcPr>
            <w:tcW w:w="2671" w:type="dxa"/>
            <w:vAlign w:val="center"/>
          </w:tcPr>
          <w:p w14:paraId="47D2346D" w14:textId="627C51E4" w:rsidR="003509CC" w:rsidRPr="00520D2D" w:rsidRDefault="003509CC" w:rsidP="00BD0EBB">
            <w:pPr>
              <w:pStyle w:val="ExhibitText"/>
              <w:jc w:val="center"/>
              <w:rPr>
                <w:rFonts w:eastAsia="Calibri"/>
                <w:b/>
                <w:bCs/>
                <w:sz w:val="22"/>
                <w:szCs w:val="22"/>
                <w:lang w:val="en-GB"/>
              </w:rPr>
            </w:pPr>
            <w:r w:rsidRPr="00520D2D">
              <w:rPr>
                <w:rFonts w:eastAsia="Calibri"/>
                <w:b/>
                <w:lang w:val="en-GB"/>
              </w:rPr>
              <w:t>Description</w:t>
            </w:r>
          </w:p>
        </w:tc>
        <w:tc>
          <w:tcPr>
            <w:tcW w:w="3117" w:type="dxa"/>
            <w:vAlign w:val="center"/>
          </w:tcPr>
          <w:p w14:paraId="663212AF" w14:textId="0305FB49" w:rsidR="003509CC" w:rsidRPr="00520D2D" w:rsidRDefault="003509CC" w:rsidP="00520D2D">
            <w:pPr>
              <w:pStyle w:val="ExhibitText"/>
              <w:jc w:val="center"/>
              <w:rPr>
                <w:rFonts w:eastAsia="Calibri"/>
                <w:b/>
                <w:bCs/>
                <w:sz w:val="22"/>
                <w:szCs w:val="22"/>
                <w:lang w:val="en-GB"/>
              </w:rPr>
            </w:pPr>
            <w:r w:rsidRPr="00DF75A6">
              <w:rPr>
                <w:rFonts w:eastAsia="Calibri"/>
                <w:b/>
                <w:lang w:val="en-GB"/>
              </w:rPr>
              <w:t>C</w:t>
            </w:r>
            <w:r w:rsidRPr="00520D2D">
              <w:rPr>
                <w:rFonts w:eastAsia="Calibri"/>
                <w:b/>
                <w:lang w:val="en-GB"/>
              </w:rPr>
              <w:t>lassification</w:t>
            </w:r>
            <w:r w:rsidR="006C02DC" w:rsidRPr="00DF75A6">
              <w:rPr>
                <w:rFonts w:eastAsia="Calibri"/>
                <w:b/>
                <w:lang w:val="en-GB"/>
              </w:rPr>
              <w:t xml:space="preserve"> Based on Gross Vehicle Weight (GVW)</w:t>
            </w:r>
          </w:p>
        </w:tc>
        <w:tc>
          <w:tcPr>
            <w:tcW w:w="1862" w:type="dxa"/>
            <w:vAlign w:val="center"/>
          </w:tcPr>
          <w:p w14:paraId="2A03C2A7" w14:textId="243FBE70" w:rsidR="003509CC" w:rsidRPr="00520D2D" w:rsidRDefault="003509CC" w:rsidP="00520D2D">
            <w:pPr>
              <w:pStyle w:val="ExhibitText"/>
              <w:jc w:val="center"/>
              <w:rPr>
                <w:rFonts w:eastAsia="Calibri"/>
                <w:b/>
                <w:bCs/>
                <w:sz w:val="22"/>
                <w:szCs w:val="22"/>
                <w:lang w:val="en-GB"/>
              </w:rPr>
            </w:pPr>
            <w:r w:rsidRPr="00520D2D">
              <w:rPr>
                <w:rFonts w:eastAsia="Calibri"/>
                <w:b/>
                <w:lang w:val="en-GB"/>
              </w:rPr>
              <w:t xml:space="preserve">Some </w:t>
            </w:r>
            <w:r w:rsidRPr="00DF75A6">
              <w:rPr>
                <w:rFonts w:eastAsia="Calibri"/>
                <w:b/>
                <w:lang w:val="en-GB"/>
              </w:rPr>
              <w:t>P</w:t>
            </w:r>
            <w:r w:rsidRPr="00520D2D">
              <w:rPr>
                <w:rFonts w:eastAsia="Calibri"/>
                <w:b/>
                <w:lang w:val="en-GB"/>
              </w:rPr>
              <w:t xml:space="preserve">opular </w:t>
            </w:r>
            <w:r w:rsidRPr="00DF75A6">
              <w:rPr>
                <w:rFonts w:eastAsia="Calibri"/>
                <w:b/>
                <w:lang w:val="en-GB"/>
              </w:rPr>
              <w:t>B</w:t>
            </w:r>
            <w:r w:rsidRPr="00520D2D">
              <w:rPr>
                <w:rFonts w:eastAsia="Calibri"/>
                <w:b/>
                <w:lang w:val="en-GB"/>
              </w:rPr>
              <w:t>rands</w:t>
            </w:r>
          </w:p>
        </w:tc>
      </w:tr>
      <w:tr w:rsidR="003509CC" w:rsidRPr="00DF75A6" w14:paraId="3D6F406C" w14:textId="77777777" w:rsidTr="003226F9">
        <w:trPr>
          <w:jc w:val="center"/>
        </w:trPr>
        <w:tc>
          <w:tcPr>
            <w:tcW w:w="2671" w:type="dxa"/>
            <w:vAlign w:val="center"/>
          </w:tcPr>
          <w:p w14:paraId="18ABFAC3" w14:textId="19F21F6A" w:rsidR="003509CC" w:rsidRPr="00DF75A6" w:rsidRDefault="003509CC" w:rsidP="00B4557A">
            <w:pPr>
              <w:pStyle w:val="ExhibitText"/>
              <w:jc w:val="left"/>
              <w:rPr>
                <w:rFonts w:eastAsia="Calibri"/>
                <w:bCs/>
                <w:sz w:val="22"/>
                <w:szCs w:val="22"/>
                <w:lang w:val="en-GB"/>
              </w:rPr>
            </w:pPr>
            <w:r w:rsidRPr="00DF75A6">
              <w:rPr>
                <w:rFonts w:eastAsia="Calibri"/>
                <w:lang w:val="en-GB"/>
              </w:rPr>
              <w:t xml:space="preserve">Small Commercial Vehicles </w:t>
            </w:r>
          </w:p>
        </w:tc>
        <w:tc>
          <w:tcPr>
            <w:tcW w:w="3117" w:type="dxa"/>
            <w:vAlign w:val="center"/>
          </w:tcPr>
          <w:p w14:paraId="18BFD399" w14:textId="1B96429E" w:rsidR="003509CC" w:rsidRPr="00DF75A6" w:rsidRDefault="003509CC" w:rsidP="00520D2D">
            <w:pPr>
              <w:pStyle w:val="ExhibitText"/>
              <w:jc w:val="center"/>
              <w:rPr>
                <w:rFonts w:eastAsia="Calibri"/>
                <w:bCs/>
                <w:sz w:val="22"/>
                <w:szCs w:val="22"/>
                <w:lang w:val="en-GB"/>
              </w:rPr>
            </w:pPr>
            <w:r w:rsidRPr="00DF75A6">
              <w:rPr>
                <w:rFonts w:eastAsia="Calibri"/>
                <w:lang w:val="en-GB"/>
              </w:rPr>
              <w:t>&lt;</w:t>
            </w:r>
            <w:r w:rsidR="006C02DC" w:rsidRPr="00DF75A6">
              <w:rPr>
                <w:rFonts w:eastAsia="Calibri"/>
                <w:lang w:val="en-GB"/>
              </w:rPr>
              <w:t xml:space="preserve"> </w:t>
            </w:r>
            <w:r w:rsidRPr="00DF75A6">
              <w:rPr>
                <w:rFonts w:eastAsia="Calibri"/>
                <w:lang w:val="en-GB"/>
              </w:rPr>
              <w:t>2</w:t>
            </w:r>
            <w:r w:rsidR="006C02DC" w:rsidRPr="00DF75A6">
              <w:rPr>
                <w:rFonts w:eastAsia="Calibri"/>
                <w:lang w:val="en-GB"/>
              </w:rPr>
              <w:t xml:space="preserve">.0 tons </w:t>
            </w:r>
            <w:r w:rsidRPr="00DF75A6">
              <w:rPr>
                <w:rFonts w:eastAsia="Calibri"/>
                <w:lang w:val="en-GB"/>
              </w:rPr>
              <w:t>GVW</w:t>
            </w:r>
          </w:p>
        </w:tc>
        <w:tc>
          <w:tcPr>
            <w:tcW w:w="1862" w:type="dxa"/>
            <w:vAlign w:val="center"/>
          </w:tcPr>
          <w:p w14:paraId="096B8F35" w14:textId="77777777" w:rsidR="006C02DC" w:rsidRPr="00520D2D" w:rsidRDefault="003509CC" w:rsidP="00520D2D">
            <w:pPr>
              <w:pStyle w:val="ExhibitText"/>
              <w:numPr>
                <w:ilvl w:val="0"/>
                <w:numId w:val="16"/>
              </w:numPr>
              <w:ind w:left="314"/>
              <w:rPr>
                <w:rFonts w:eastAsia="Calibri"/>
                <w:bCs/>
                <w:sz w:val="22"/>
                <w:szCs w:val="22"/>
                <w:lang w:val="en-GB"/>
              </w:rPr>
            </w:pPr>
            <w:r w:rsidRPr="00DF75A6">
              <w:rPr>
                <w:rFonts w:eastAsia="Calibri"/>
                <w:lang w:val="en-GB"/>
              </w:rPr>
              <w:t>SMC Eco</w:t>
            </w:r>
          </w:p>
          <w:p w14:paraId="3BD913CB" w14:textId="77777777" w:rsidR="006C02DC" w:rsidRPr="00520D2D" w:rsidRDefault="003509CC" w:rsidP="00520D2D">
            <w:pPr>
              <w:pStyle w:val="ExhibitText"/>
              <w:numPr>
                <w:ilvl w:val="0"/>
                <w:numId w:val="16"/>
              </w:numPr>
              <w:ind w:left="314"/>
              <w:rPr>
                <w:rFonts w:eastAsia="Calibri"/>
                <w:bCs/>
                <w:sz w:val="22"/>
                <w:szCs w:val="22"/>
                <w:lang w:val="en-GB"/>
              </w:rPr>
            </w:pPr>
            <w:proofErr w:type="spellStart"/>
            <w:r w:rsidRPr="00DF75A6">
              <w:rPr>
                <w:rFonts w:eastAsia="Calibri"/>
                <w:lang w:val="en-GB"/>
              </w:rPr>
              <w:t>Equis</w:t>
            </w:r>
            <w:proofErr w:type="spellEnd"/>
            <w:r w:rsidRPr="00DF75A6">
              <w:rPr>
                <w:rFonts w:eastAsia="Calibri"/>
                <w:lang w:val="en-GB"/>
              </w:rPr>
              <w:t xml:space="preserve"> Duo 34</w:t>
            </w:r>
          </w:p>
          <w:p w14:paraId="1225565F" w14:textId="11D93535" w:rsidR="003509CC" w:rsidRPr="00DF75A6" w:rsidRDefault="003509CC" w:rsidP="00520D2D">
            <w:pPr>
              <w:pStyle w:val="ExhibitText"/>
              <w:numPr>
                <w:ilvl w:val="0"/>
                <w:numId w:val="16"/>
              </w:numPr>
              <w:ind w:left="314"/>
              <w:rPr>
                <w:rFonts w:eastAsia="Calibri"/>
                <w:bCs/>
                <w:sz w:val="22"/>
                <w:szCs w:val="22"/>
                <w:lang w:val="en-GB"/>
              </w:rPr>
            </w:pPr>
            <w:r w:rsidRPr="00DF75A6">
              <w:rPr>
                <w:rFonts w:eastAsia="Calibri"/>
                <w:lang w:val="en-GB"/>
              </w:rPr>
              <w:t>SMC Eco Zip</w:t>
            </w:r>
          </w:p>
        </w:tc>
      </w:tr>
      <w:tr w:rsidR="003509CC" w:rsidRPr="00DF75A6" w14:paraId="584B79E4" w14:textId="77777777" w:rsidTr="003226F9">
        <w:trPr>
          <w:jc w:val="center"/>
        </w:trPr>
        <w:tc>
          <w:tcPr>
            <w:tcW w:w="2671" w:type="dxa"/>
            <w:vAlign w:val="center"/>
          </w:tcPr>
          <w:p w14:paraId="700734C4" w14:textId="717F8BD1" w:rsidR="003509CC" w:rsidRPr="00DF75A6" w:rsidRDefault="003509CC" w:rsidP="00520D2D">
            <w:pPr>
              <w:pStyle w:val="ExhibitText"/>
              <w:jc w:val="left"/>
              <w:rPr>
                <w:rFonts w:eastAsia="Calibri"/>
                <w:bCs/>
                <w:sz w:val="22"/>
                <w:szCs w:val="22"/>
                <w:lang w:val="en-GB"/>
              </w:rPr>
            </w:pPr>
            <w:r w:rsidRPr="00DF75A6">
              <w:rPr>
                <w:rFonts w:eastAsia="Calibri"/>
                <w:lang w:val="en-GB"/>
              </w:rPr>
              <w:t xml:space="preserve">Pickups </w:t>
            </w:r>
          </w:p>
        </w:tc>
        <w:tc>
          <w:tcPr>
            <w:tcW w:w="3117" w:type="dxa"/>
            <w:vAlign w:val="center"/>
          </w:tcPr>
          <w:p w14:paraId="5F80329F" w14:textId="10B0F532" w:rsidR="003509CC" w:rsidRPr="00DF75A6" w:rsidRDefault="003509CC" w:rsidP="00520D2D">
            <w:pPr>
              <w:pStyle w:val="ExhibitText"/>
              <w:jc w:val="center"/>
              <w:rPr>
                <w:rFonts w:eastAsia="Calibri"/>
                <w:bCs/>
                <w:sz w:val="22"/>
                <w:szCs w:val="22"/>
                <w:lang w:val="en-GB"/>
              </w:rPr>
            </w:pPr>
            <w:r w:rsidRPr="00DF75A6">
              <w:rPr>
                <w:rFonts w:eastAsia="Calibri"/>
                <w:lang w:val="en-GB"/>
              </w:rPr>
              <w:t>2</w:t>
            </w:r>
            <w:r w:rsidR="006C02DC" w:rsidRPr="00DF75A6">
              <w:rPr>
                <w:rFonts w:eastAsia="Calibri"/>
                <w:lang w:val="en-GB"/>
              </w:rPr>
              <w:t>.0–</w:t>
            </w:r>
            <w:r w:rsidRPr="00DF75A6">
              <w:rPr>
                <w:rFonts w:eastAsia="Calibri"/>
                <w:lang w:val="en-GB"/>
              </w:rPr>
              <w:t>3.5</w:t>
            </w:r>
            <w:r w:rsidR="006C02DC" w:rsidRPr="00DF75A6">
              <w:rPr>
                <w:rFonts w:eastAsia="Calibri"/>
                <w:lang w:val="en-GB"/>
              </w:rPr>
              <w:t xml:space="preserve"> tons </w:t>
            </w:r>
            <w:r w:rsidRPr="00DF75A6">
              <w:rPr>
                <w:rFonts w:eastAsia="Calibri"/>
                <w:lang w:val="en-GB"/>
              </w:rPr>
              <w:t>GVW</w:t>
            </w:r>
          </w:p>
        </w:tc>
        <w:tc>
          <w:tcPr>
            <w:tcW w:w="1862" w:type="dxa"/>
            <w:vAlign w:val="center"/>
          </w:tcPr>
          <w:p w14:paraId="07FB702A" w14:textId="77777777" w:rsidR="006C02DC" w:rsidRPr="00DF75A6" w:rsidRDefault="003509CC" w:rsidP="00520D2D">
            <w:pPr>
              <w:pStyle w:val="ExhibitText"/>
              <w:numPr>
                <w:ilvl w:val="0"/>
                <w:numId w:val="17"/>
              </w:numPr>
              <w:ind w:left="314"/>
              <w:rPr>
                <w:rFonts w:eastAsia="Calibri"/>
                <w:lang w:val="en-GB"/>
              </w:rPr>
            </w:pPr>
            <w:proofErr w:type="spellStart"/>
            <w:r w:rsidRPr="00DF75A6">
              <w:rPr>
                <w:rFonts w:eastAsia="Calibri"/>
                <w:lang w:val="en-GB"/>
              </w:rPr>
              <w:t>Equis</w:t>
            </w:r>
            <w:proofErr w:type="spellEnd"/>
            <w:r w:rsidRPr="00DF75A6">
              <w:rPr>
                <w:rFonts w:eastAsia="Calibri"/>
                <w:lang w:val="en-GB"/>
              </w:rPr>
              <w:t xml:space="preserve"> Duo</w:t>
            </w:r>
          </w:p>
          <w:p w14:paraId="5422DB7F" w14:textId="540AA7C4" w:rsidR="003509CC" w:rsidRPr="00DF75A6" w:rsidRDefault="003509CC" w:rsidP="00520D2D">
            <w:pPr>
              <w:pStyle w:val="ExhibitText"/>
              <w:numPr>
                <w:ilvl w:val="0"/>
                <w:numId w:val="17"/>
              </w:numPr>
              <w:ind w:left="314"/>
              <w:rPr>
                <w:rFonts w:eastAsia="Calibri"/>
                <w:bCs/>
                <w:sz w:val="22"/>
                <w:szCs w:val="22"/>
                <w:lang w:val="en-GB"/>
              </w:rPr>
            </w:pPr>
            <w:proofErr w:type="spellStart"/>
            <w:r w:rsidRPr="00DF75A6">
              <w:rPr>
                <w:rFonts w:eastAsia="Calibri"/>
                <w:lang w:val="en-GB"/>
              </w:rPr>
              <w:t>Equis</w:t>
            </w:r>
            <w:proofErr w:type="spellEnd"/>
            <w:r w:rsidRPr="00DF75A6">
              <w:rPr>
                <w:rFonts w:eastAsia="Calibri"/>
                <w:lang w:val="en-GB"/>
              </w:rPr>
              <w:t xml:space="preserve"> Pluto</w:t>
            </w:r>
          </w:p>
        </w:tc>
      </w:tr>
      <w:tr w:rsidR="003509CC" w:rsidRPr="00DF75A6" w14:paraId="31643DB6" w14:textId="77777777" w:rsidTr="003226F9">
        <w:trPr>
          <w:jc w:val="center"/>
        </w:trPr>
        <w:tc>
          <w:tcPr>
            <w:tcW w:w="2671" w:type="dxa"/>
            <w:vAlign w:val="center"/>
          </w:tcPr>
          <w:p w14:paraId="6290091A" w14:textId="78ABF41B" w:rsidR="003509CC" w:rsidRPr="00DF75A6" w:rsidRDefault="003509CC" w:rsidP="00B4557A">
            <w:pPr>
              <w:pStyle w:val="ExhibitText"/>
              <w:jc w:val="left"/>
              <w:rPr>
                <w:rFonts w:eastAsia="Calibri"/>
                <w:bCs/>
                <w:sz w:val="22"/>
                <w:szCs w:val="22"/>
                <w:lang w:val="en-GB"/>
              </w:rPr>
            </w:pPr>
            <w:r w:rsidRPr="00DF75A6">
              <w:rPr>
                <w:rFonts w:eastAsia="Calibri"/>
                <w:lang w:val="en-GB"/>
              </w:rPr>
              <w:t xml:space="preserve">Light Commercial Vehicles </w:t>
            </w:r>
          </w:p>
        </w:tc>
        <w:tc>
          <w:tcPr>
            <w:tcW w:w="3117" w:type="dxa"/>
            <w:vAlign w:val="center"/>
          </w:tcPr>
          <w:p w14:paraId="4ABA0C27" w14:textId="090531BD" w:rsidR="003509CC" w:rsidRPr="00DF75A6" w:rsidRDefault="003509CC" w:rsidP="00520D2D">
            <w:pPr>
              <w:pStyle w:val="ExhibitText"/>
              <w:jc w:val="center"/>
              <w:rPr>
                <w:rFonts w:eastAsia="Calibri"/>
                <w:bCs/>
                <w:sz w:val="22"/>
                <w:szCs w:val="22"/>
                <w:lang w:val="en-GB"/>
              </w:rPr>
            </w:pPr>
            <w:r w:rsidRPr="00DF75A6">
              <w:rPr>
                <w:rFonts w:eastAsia="Calibri"/>
                <w:lang w:val="en-GB"/>
              </w:rPr>
              <w:t>4</w:t>
            </w:r>
            <w:r w:rsidR="006C02DC" w:rsidRPr="00DF75A6">
              <w:rPr>
                <w:rFonts w:eastAsia="Calibri"/>
                <w:lang w:val="en-GB"/>
              </w:rPr>
              <w:t>.0–</w:t>
            </w:r>
            <w:r w:rsidRPr="00DF75A6">
              <w:rPr>
                <w:rFonts w:eastAsia="Calibri"/>
                <w:lang w:val="en-GB"/>
              </w:rPr>
              <w:t>7</w:t>
            </w:r>
            <w:r w:rsidR="006C02DC" w:rsidRPr="00DF75A6">
              <w:rPr>
                <w:rFonts w:eastAsia="Calibri"/>
                <w:lang w:val="en-GB"/>
              </w:rPr>
              <w:t>.0 tons</w:t>
            </w:r>
            <w:r w:rsidRPr="00DF75A6">
              <w:rPr>
                <w:rFonts w:eastAsia="Calibri"/>
                <w:lang w:val="en-GB"/>
              </w:rPr>
              <w:t xml:space="preserve"> GVW</w:t>
            </w:r>
          </w:p>
        </w:tc>
        <w:tc>
          <w:tcPr>
            <w:tcW w:w="1862" w:type="dxa"/>
            <w:vAlign w:val="center"/>
          </w:tcPr>
          <w:p w14:paraId="5E71089C" w14:textId="51926EEF" w:rsidR="003509CC" w:rsidRPr="00DF75A6" w:rsidRDefault="003509CC" w:rsidP="00520D2D">
            <w:pPr>
              <w:pStyle w:val="ExhibitText"/>
              <w:numPr>
                <w:ilvl w:val="0"/>
                <w:numId w:val="18"/>
              </w:numPr>
              <w:ind w:left="314"/>
              <w:rPr>
                <w:rFonts w:eastAsia="Calibri"/>
                <w:bCs/>
                <w:sz w:val="22"/>
                <w:szCs w:val="22"/>
                <w:lang w:val="en-GB"/>
              </w:rPr>
            </w:pPr>
            <w:r w:rsidRPr="00DF75A6">
              <w:rPr>
                <w:rFonts w:eastAsia="Calibri"/>
                <w:lang w:val="en-GB"/>
              </w:rPr>
              <w:t>SMC 4 ton</w:t>
            </w:r>
          </w:p>
        </w:tc>
      </w:tr>
      <w:tr w:rsidR="003509CC" w:rsidRPr="00DF75A6" w14:paraId="7CE89397" w14:textId="77777777" w:rsidTr="003226F9">
        <w:trPr>
          <w:jc w:val="center"/>
        </w:trPr>
        <w:tc>
          <w:tcPr>
            <w:tcW w:w="2671" w:type="dxa"/>
            <w:vAlign w:val="center"/>
          </w:tcPr>
          <w:p w14:paraId="6DA03E50" w14:textId="77C09E66" w:rsidR="003509CC" w:rsidRPr="00DF75A6" w:rsidRDefault="003509CC" w:rsidP="00520D2D">
            <w:pPr>
              <w:pStyle w:val="ExhibitText"/>
              <w:jc w:val="left"/>
              <w:rPr>
                <w:rFonts w:eastAsia="Calibri"/>
                <w:bCs/>
                <w:sz w:val="22"/>
                <w:szCs w:val="22"/>
                <w:lang w:val="en-GB"/>
              </w:rPr>
            </w:pPr>
            <w:r w:rsidRPr="00DF75A6">
              <w:rPr>
                <w:rFonts w:eastAsia="Calibri"/>
                <w:lang w:val="en-GB"/>
              </w:rPr>
              <w:t xml:space="preserve">Intermediate Commercial Vehicles </w:t>
            </w:r>
          </w:p>
        </w:tc>
        <w:tc>
          <w:tcPr>
            <w:tcW w:w="3117" w:type="dxa"/>
            <w:vAlign w:val="center"/>
          </w:tcPr>
          <w:p w14:paraId="3783830A" w14:textId="1C04EA6E" w:rsidR="003509CC" w:rsidRPr="00DF75A6" w:rsidRDefault="003509CC" w:rsidP="00520D2D">
            <w:pPr>
              <w:pStyle w:val="ExhibitText"/>
              <w:jc w:val="center"/>
              <w:rPr>
                <w:rFonts w:eastAsia="Calibri"/>
                <w:bCs/>
                <w:sz w:val="22"/>
                <w:szCs w:val="22"/>
                <w:lang w:val="en-GB"/>
              </w:rPr>
            </w:pPr>
            <w:r w:rsidRPr="00DF75A6">
              <w:rPr>
                <w:rFonts w:eastAsia="Calibri"/>
                <w:lang w:val="en-GB"/>
              </w:rPr>
              <w:t>9</w:t>
            </w:r>
            <w:r w:rsidR="006C02DC" w:rsidRPr="00DF75A6">
              <w:rPr>
                <w:rFonts w:eastAsia="Calibri"/>
                <w:lang w:val="en-GB"/>
              </w:rPr>
              <w:t>.0–</w:t>
            </w:r>
            <w:r w:rsidRPr="00DF75A6">
              <w:rPr>
                <w:rFonts w:eastAsia="Calibri"/>
                <w:lang w:val="en-GB"/>
              </w:rPr>
              <w:t>16</w:t>
            </w:r>
            <w:r w:rsidR="006C02DC" w:rsidRPr="00DF75A6">
              <w:rPr>
                <w:rFonts w:eastAsia="Calibri"/>
                <w:lang w:val="en-GB"/>
              </w:rPr>
              <w:t>.0 tons</w:t>
            </w:r>
            <w:r w:rsidRPr="00DF75A6">
              <w:rPr>
                <w:rFonts w:eastAsia="Calibri"/>
                <w:lang w:val="en-GB"/>
              </w:rPr>
              <w:t xml:space="preserve"> GVW</w:t>
            </w:r>
          </w:p>
        </w:tc>
        <w:tc>
          <w:tcPr>
            <w:tcW w:w="1862" w:type="dxa"/>
            <w:vAlign w:val="center"/>
          </w:tcPr>
          <w:p w14:paraId="4B46F9C3" w14:textId="3A2E1D32" w:rsidR="003509CC" w:rsidRPr="00DF75A6" w:rsidRDefault="003509CC" w:rsidP="00520D2D">
            <w:pPr>
              <w:pStyle w:val="ExhibitText"/>
              <w:numPr>
                <w:ilvl w:val="0"/>
                <w:numId w:val="18"/>
              </w:numPr>
              <w:ind w:left="314"/>
              <w:rPr>
                <w:rFonts w:eastAsia="Calibri"/>
                <w:bCs/>
                <w:sz w:val="22"/>
                <w:szCs w:val="22"/>
                <w:lang w:val="en-GB"/>
              </w:rPr>
            </w:pPr>
            <w:r w:rsidRPr="00DF75A6">
              <w:rPr>
                <w:rFonts w:eastAsia="Calibri"/>
                <w:lang w:val="en-GB"/>
              </w:rPr>
              <w:t>SMC 9</w:t>
            </w:r>
            <w:r w:rsidR="006C02DC" w:rsidRPr="00DF75A6">
              <w:rPr>
                <w:rFonts w:eastAsia="Calibri"/>
                <w:lang w:val="en-GB"/>
              </w:rPr>
              <w:t>–</w:t>
            </w:r>
            <w:r w:rsidRPr="00DF75A6">
              <w:rPr>
                <w:rFonts w:eastAsia="Calibri"/>
                <w:lang w:val="en-GB"/>
              </w:rPr>
              <w:t>12 ton</w:t>
            </w:r>
          </w:p>
        </w:tc>
      </w:tr>
      <w:tr w:rsidR="003509CC" w:rsidRPr="00DF75A6" w14:paraId="51AE4ED0" w14:textId="77777777" w:rsidTr="003226F9">
        <w:trPr>
          <w:jc w:val="center"/>
        </w:trPr>
        <w:tc>
          <w:tcPr>
            <w:tcW w:w="2671" w:type="dxa"/>
            <w:vAlign w:val="center"/>
          </w:tcPr>
          <w:p w14:paraId="0172FB53" w14:textId="3389B328" w:rsidR="003509CC" w:rsidRPr="00DF75A6" w:rsidRDefault="003509CC" w:rsidP="00520D2D">
            <w:pPr>
              <w:pStyle w:val="ExhibitText"/>
              <w:jc w:val="left"/>
              <w:rPr>
                <w:rFonts w:eastAsia="Calibri"/>
                <w:bCs/>
                <w:sz w:val="22"/>
                <w:szCs w:val="22"/>
                <w:lang w:val="en-GB"/>
              </w:rPr>
            </w:pPr>
            <w:r w:rsidRPr="00DF75A6">
              <w:rPr>
                <w:rFonts w:eastAsia="Calibri"/>
                <w:lang w:val="en-GB"/>
              </w:rPr>
              <w:t>Medium &amp; Heavy Commercial Vehicles</w:t>
            </w:r>
          </w:p>
        </w:tc>
        <w:tc>
          <w:tcPr>
            <w:tcW w:w="3117" w:type="dxa"/>
            <w:vAlign w:val="center"/>
          </w:tcPr>
          <w:p w14:paraId="33204F2F" w14:textId="3F38CDF7" w:rsidR="003509CC" w:rsidRPr="00DF75A6" w:rsidRDefault="003509CC" w:rsidP="00520D2D">
            <w:pPr>
              <w:pStyle w:val="ExhibitText"/>
              <w:jc w:val="center"/>
              <w:rPr>
                <w:rFonts w:eastAsia="Calibri"/>
                <w:bCs/>
                <w:sz w:val="22"/>
                <w:szCs w:val="22"/>
                <w:lang w:val="en-GB"/>
              </w:rPr>
            </w:pPr>
            <w:r w:rsidRPr="00DF75A6">
              <w:rPr>
                <w:rFonts w:eastAsia="Calibri"/>
                <w:lang w:val="en-GB"/>
              </w:rPr>
              <w:t>&gt;</w:t>
            </w:r>
            <w:r w:rsidR="006C02DC" w:rsidRPr="00DF75A6">
              <w:rPr>
                <w:rFonts w:eastAsia="Calibri"/>
                <w:lang w:val="en-GB"/>
              </w:rPr>
              <w:t xml:space="preserve"> </w:t>
            </w:r>
            <w:r w:rsidRPr="00DF75A6">
              <w:rPr>
                <w:rFonts w:eastAsia="Calibri"/>
                <w:lang w:val="en-GB"/>
              </w:rPr>
              <w:t>16</w:t>
            </w:r>
            <w:r w:rsidR="009867BF">
              <w:rPr>
                <w:rFonts w:eastAsia="Calibri"/>
                <w:lang w:val="en-GB"/>
              </w:rPr>
              <w:t>.0</w:t>
            </w:r>
            <w:r w:rsidR="006C02DC" w:rsidRPr="00DF75A6">
              <w:rPr>
                <w:rFonts w:eastAsia="Calibri"/>
                <w:lang w:val="en-GB"/>
              </w:rPr>
              <w:t xml:space="preserve"> tons </w:t>
            </w:r>
            <w:r w:rsidRPr="00DF75A6">
              <w:rPr>
                <w:rFonts w:eastAsia="Calibri"/>
                <w:lang w:val="en-GB"/>
              </w:rPr>
              <w:t>GVW</w:t>
            </w:r>
          </w:p>
        </w:tc>
        <w:tc>
          <w:tcPr>
            <w:tcW w:w="1862" w:type="dxa"/>
            <w:vAlign w:val="center"/>
          </w:tcPr>
          <w:p w14:paraId="798A821B" w14:textId="38BED0C5" w:rsidR="003509CC" w:rsidRPr="00DF75A6" w:rsidRDefault="003509CC" w:rsidP="00520D2D">
            <w:pPr>
              <w:pStyle w:val="ExhibitText"/>
              <w:numPr>
                <w:ilvl w:val="0"/>
                <w:numId w:val="18"/>
              </w:numPr>
              <w:ind w:left="314"/>
              <w:rPr>
                <w:rFonts w:eastAsia="Calibri"/>
                <w:bCs/>
                <w:sz w:val="22"/>
                <w:szCs w:val="22"/>
                <w:lang w:val="en-GB"/>
              </w:rPr>
            </w:pPr>
            <w:r w:rsidRPr="00DF75A6">
              <w:rPr>
                <w:rFonts w:eastAsia="Calibri"/>
                <w:lang w:val="en-GB"/>
              </w:rPr>
              <w:t xml:space="preserve">SMC </w:t>
            </w:r>
          </w:p>
        </w:tc>
      </w:tr>
    </w:tbl>
    <w:p w14:paraId="39DC8610" w14:textId="77777777" w:rsidR="00413FA2" w:rsidRPr="00DF75A6" w:rsidRDefault="00413FA2" w:rsidP="00520D2D">
      <w:pPr>
        <w:pStyle w:val="Footnote"/>
        <w:rPr>
          <w:rFonts w:eastAsia="Calibri"/>
          <w:lang w:val="en-GB"/>
        </w:rPr>
      </w:pPr>
    </w:p>
    <w:p w14:paraId="5C0FF405" w14:textId="0C612329" w:rsidR="00413FA2" w:rsidRPr="00DF75A6" w:rsidRDefault="00413FA2" w:rsidP="00413FA2">
      <w:pPr>
        <w:pStyle w:val="Footnote"/>
        <w:rPr>
          <w:rFonts w:eastAsia="Calibri"/>
          <w:i w:val="0"/>
          <w:lang w:val="en-GB"/>
        </w:rPr>
      </w:pPr>
      <w:r w:rsidRPr="00DF75A6">
        <w:rPr>
          <w:rFonts w:eastAsia="Calibri"/>
          <w:i w:val="0"/>
          <w:lang w:val="en-GB"/>
        </w:rPr>
        <w:t>Source: Created by</w:t>
      </w:r>
      <w:r w:rsidR="00C85AE9">
        <w:rPr>
          <w:rFonts w:eastAsia="Calibri"/>
          <w:i w:val="0"/>
          <w:lang w:val="en-GB"/>
        </w:rPr>
        <w:t xml:space="preserve"> the</w:t>
      </w:r>
      <w:r w:rsidR="005C7BCC">
        <w:rPr>
          <w:rFonts w:eastAsia="Calibri"/>
          <w:i w:val="0"/>
          <w:lang w:val="en-GB"/>
        </w:rPr>
        <w:t xml:space="preserve"> authors based on company documents.</w:t>
      </w:r>
    </w:p>
    <w:p w14:paraId="6B114658" w14:textId="77777777" w:rsidR="00413FA2" w:rsidRPr="00DF75A6" w:rsidRDefault="00413FA2" w:rsidP="00413FA2">
      <w:pPr>
        <w:pStyle w:val="ExhibitText"/>
        <w:rPr>
          <w:rFonts w:eastAsia="Calibri"/>
          <w:lang w:val="en-GB"/>
        </w:rPr>
      </w:pPr>
    </w:p>
    <w:p w14:paraId="10C498B4" w14:textId="77777777" w:rsidR="00413FA2" w:rsidRPr="00DF75A6" w:rsidRDefault="00413FA2" w:rsidP="00413FA2">
      <w:pPr>
        <w:pStyle w:val="ExhibitText"/>
        <w:rPr>
          <w:rFonts w:eastAsia="Calibri"/>
          <w:lang w:val="en-GB"/>
        </w:rPr>
      </w:pPr>
    </w:p>
    <w:p w14:paraId="6122F93F" w14:textId="009AA110" w:rsidR="00413FA2" w:rsidRPr="00DF75A6" w:rsidRDefault="00413FA2" w:rsidP="00413FA2">
      <w:pPr>
        <w:pStyle w:val="ExhibitHeading"/>
        <w:rPr>
          <w:rFonts w:eastAsia="Calibri"/>
          <w:lang w:val="en-GB"/>
        </w:rPr>
      </w:pPr>
      <w:r w:rsidRPr="00DF75A6">
        <w:rPr>
          <w:rFonts w:eastAsia="Calibri"/>
          <w:lang w:val="en-GB"/>
        </w:rPr>
        <w:t xml:space="preserve">Exhibit 2: </w:t>
      </w:r>
      <w:r w:rsidR="006C02DC" w:rsidRPr="00DF75A6">
        <w:rPr>
          <w:rFonts w:eastAsia="Calibri"/>
          <w:lang w:val="en-GB"/>
        </w:rPr>
        <w:t xml:space="preserve">differences between </w:t>
      </w:r>
      <w:r w:rsidRPr="00DF75A6">
        <w:rPr>
          <w:rFonts w:eastAsia="Calibri"/>
          <w:lang w:val="en-GB"/>
        </w:rPr>
        <w:t xml:space="preserve">Small </w:t>
      </w:r>
      <w:r w:rsidR="006C02DC" w:rsidRPr="00DF75A6">
        <w:rPr>
          <w:rFonts w:eastAsia="Calibri"/>
          <w:lang w:val="en-GB"/>
        </w:rPr>
        <w:t xml:space="preserve">and </w:t>
      </w:r>
      <w:r w:rsidRPr="00DF75A6">
        <w:rPr>
          <w:rFonts w:eastAsia="Calibri"/>
          <w:lang w:val="en-GB"/>
        </w:rPr>
        <w:t>Large pickup</w:t>
      </w:r>
      <w:r w:rsidR="006C02DC" w:rsidRPr="00DF75A6">
        <w:rPr>
          <w:rFonts w:eastAsia="Calibri"/>
          <w:lang w:val="en-GB"/>
        </w:rPr>
        <w:t>s</w:t>
      </w:r>
    </w:p>
    <w:p w14:paraId="15C0C726" w14:textId="77777777" w:rsidR="00413FA2" w:rsidRPr="00DF75A6" w:rsidRDefault="00413FA2" w:rsidP="00413FA2">
      <w:pPr>
        <w:pStyle w:val="ExhibitText"/>
        <w:rPr>
          <w:rFonts w:eastAsia="Calibri"/>
          <w:lang w:val="en-GB"/>
        </w:rPr>
      </w:pPr>
    </w:p>
    <w:tbl>
      <w:tblPr>
        <w:tblStyle w:val="TableGrid"/>
        <w:tblW w:w="8995" w:type="dxa"/>
        <w:jc w:val="center"/>
        <w:tblLook w:val="04A0" w:firstRow="1" w:lastRow="0" w:firstColumn="1" w:lastColumn="0" w:noHBand="0" w:noVBand="1"/>
      </w:tblPr>
      <w:tblGrid>
        <w:gridCol w:w="1133"/>
        <w:gridCol w:w="1726"/>
        <w:gridCol w:w="1305"/>
        <w:gridCol w:w="2551"/>
        <w:gridCol w:w="1200"/>
        <w:gridCol w:w="1080"/>
      </w:tblGrid>
      <w:tr w:rsidR="00413FA2" w:rsidRPr="00DF75A6" w14:paraId="4BFA2D0D" w14:textId="77777777" w:rsidTr="003226F9">
        <w:trPr>
          <w:jc w:val="center"/>
        </w:trPr>
        <w:tc>
          <w:tcPr>
            <w:tcW w:w="1133" w:type="dxa"/>
          </w:tcPr>
          <w:p w14:paraId="1FA4A771" w14:textId="77777777" w:rsidR="00413FA2" w:rsidRPr="00DF75A6" w:rsidRDefault="00413FA2" w:rsidP="003D416E">
            <w:pPr>
              <w:pStyle w:val="ExhibitText"/>
              <w:rPr>
                <w:rFonts w:eastAsia="Calibri"/>
                <w:lang w:val="en-GB"/>
              </w:rPr>
            </w:pPr>
          </w:p>
        </w:tc>
        <w:tc>
          <w:tcPr>
            <w:tcW w:w="1726" w:type="dxa"/>
          </w:tcPr>
          <w:p w14:paraId="0AB85B18" w14:textId="77777777" w:rsidR="00413FA2" w:rsidRPr="00DF75A6" w:rsidRDefault="00413FA2" w:rsidP="003D416E">
            <w:pPr>
              <w:pStyle w:val="ExhibitText"/>
              <w:rPr>
                <w:rFonts w:eastAsia="Calibri"/>
                <w:lang w:val="en-GB"/>
              </w:rPr>
            </w:pPr>
          </w:p>
        </w:tc>
        <w:tc>
          <w:tcPr>
            <w:tcW w:w="1305" w:type="dxa"/>
            <w:vAlign w:val="center"/>
          </w:tcPr>
          <w:p w14:paraId="5D8B4E4E" w14:textId="77777777" w:rsidR="00413FA2" w:rsidRPr="00DF75A6" w:rsidRDefault="00413FA2" w:rsidP="003D416E">
            <w:pPr>
              <w:pStyle w:val="ExhibitText"/>
              <w:jc w:val="center"/>
              <w:rPr>
                <w:rFonts w:eastAsia="Calibri"/>
                <w:b/>
                <w:lang w:val="en-GB"/>
              </w:rPr>
            </w:pPr>
            <w:r w:rsidRPr="00DF75A6">
              <w:rPr>
                <w:rFonts w:eastAsia="Calibri"/>
                <w:b/>
                <w:lang w:val="en-GB"/>
              </w:rPr>
              <w:t>Application</w:t>
            </w:r>
          </w:p>
        </w:tc>
        <w:tc>
          <w:tcPr>
            <w:tcW w:w="2551" w:type="dxa"/>
            <w:vAlign w:val="center"/>
          </w:tcPr>
          <w:p w14:paraId="4447F514" w14:textId="77777777" w:rsidR="00413FA2" w:rsidRPr="00DF75A6" w:rsidRDefault="00413FA2" w:rsidP="003D416E">
            <w:pPr>
              <w:pStyle w:val="ExhibitText"/>
              <w:jc w:val="center"/>
              <w:rPr>
                <w:rFonts w:eastAsia="Calibri"/>
                <w:b/>
                <w:lang w:val="en-GB"/>
              </w:rPr>
            </w:pPr>
            <w:r w:rsidRPr="00DF75A6">
              <w:rPr>
                <w:rFonts w:eastAsia="Calibri"/>
                <w:b/>
                <w:lang w:val="en-GB"/>
              </w:rPr>
              <w:t>Usage</w:t>
            </w:r>
          </w:p>
        </w:tc>
        <w:tc>
          <w:tcPr>
            <w:tcW w:w="1200" w:type="dxa"/>
            <w:vAlign w:val="center"/>
          </w:tcPr>
          <w:p w14:paraId="1791EBF1" w14:textId="77777777" w:rsidR="00413FA2" w:rsidRPr="00DF75A6" w:rsidRDefault="00413FA2" w:rsidP="003D416E">
            <w:pPr>
              <w:pStyle w:val="ExhibitText"/>
              <w:jc w:val="center"/>
              <w:rPr>
                <w:rFonts w:eastAsia="Calibri"/>
                <w:b/>
                <w:lang w:val="en-GB"/>
              </w:rPr>
            </w:pPr>
            <w:r w:rsidRPr="00DF75A6">
              <w:rPr>
                <w:rFonts w:eastAsia="Calibri"/>
                <w:b/>
                <w:lang w:val="en-GB"/>
              </w:rPr>
              <w:t>Operating Load</w:t>
            </w:r>
          </w:p>
        </w:tc>
        <w:tc>
          <w:tcPr>
            <w:tcW w:w="1080" w:type="dxa"/>
            <w:vAlign w:val="center"/>
          </w:tcPr>
          <w:p w14:paraId="541530B3" w14:textId="20886F0A" w:rsidR="00413FA2" w:rsidRPr="00DF75A6" w:rsidRDefault="00413FA2" w:rsidP="003D416E">
            <w:pPr>
              <w:pStyle w:val="ExhibitText"/>
              <w:jc w:val="center"/>
              <w:rPr>
                <w:rFonts w:eastAsia="Calibri"/>
                <w:b/>
                <w:lang w:val="en-GB"/>
              </w:rPr>
            </w:pPr>
            <w:r w:rsidRPr="00DF75A6">
              <w:rPr>
                <w:rFonts w:eastAsia="Calibri"/>
                <w:b/>
                <w:lang w:val="en-GB"/>
              </w:rPr>
              <w:t>Price</w:t>
            </w:r>
            <w:r w:rsidR="006C02DC" w:rsidRPr="00DF75A6">
              <w:rPr>
                <w:rFonts w:eastAsia="Calibri"/>
                <w:b/>
                <w:lang w:val="en-GB"/>
              </w:rPr>
              <w:t xml:space="preserve"> (₹)</w:t>
            </w:r>
          </w:p>
        </w:tc>
      </w:tr>
      <w:tr w:rsidR="00413FA2" w:rsidRPr="00DF75A6" w14:paraId="1696F516" w14:textId="77777777" w:rsidTr="003226F9">
        <w:trPr>
          <w:jc w:val="center"/>
        </w:trPr>
        <w:tc>
          <w:tcPr>
            <w:tcW w:w="1133" w:type="dxa"/>
            <w:vAlign w:val="center"/>
          </w:tcPr>
          <w:p w14:paraId="579F2663" w14:textId="6E27EB36" w:rsidR="00413FA2" w:rsidRPr="00DF75A6" w:rsidRDefault="00413FA2" w:rsidP="003D416E">
            <w:pPr>
              <w:pStyle w:val="ExhibitText"/>
              <w:jc w:val="left"/>
              <w:rPr>
                <w:rFonts w:eastAsia="Calibri"/>
                <w:b/>
                <w:lang w:val="en-GB"/>
              </w:rPr>
            </w:pPr>
            <w:r w:rsidRPr="00DF75A6">
              <w:rPr>
                <w:rFonts w:eastAsia="Calibri"/>
                <w:b/>
                <w:lang w:val="en-GB"/>
              </w:rPr>
              <w:t>Small Pick</w:t>
            </w:r>
            <w:r w:rsidR="005D2436" w:rsidRPr="00DF75A6">
              <w:rPr>
                <w:rFonts w:eastAsia="Calibri"/>
                <w:b/>
                <w:lang w:val="en-GB"/>
              </w:rPr>
              <w:t>u</w:t>
            </w:r>
            <w:r w:rsidRPr="00DF75A6">
              <w:rPr>
                <w:rFonts w:eastAsia="Calibri"/>
                <w:b/>
                <w:lang w:val="en-GB"/>
              </w:rPr>
              <w:t>p</w:t>
            </w:r>
          </w:p>
        </w:tc>
        <w:tc>
          <w:tcPr>
            <w:tcW w:w="1726" w:type="dxa"/>
            <w:vAlign w:val="center"/>
          </w:tcPr>
          <w:p w14:paraId="5F8278CF" w14:textId="0C775661" w:rsidR="006C02DC" w:rsidRPr="00DF75A6" w:rsidRDefault="00413FA2" w:rsidP="00520D2D">
            <w:pPr>
              <w:pStyle w:val="ExhibitText"/>
              <w:numPr>
                <w:ilvl w:val="0"/>
                <w:numId w:val="19"/>
              </w:numPr>
              <w:ind w:left="346"/>
              <w:jc w:val="left"/>
              <w:rPr>
                <w:rFonts w:eastAsia="Calibri"/>
                <w:lang w:val="en-GB"/>
              </w:rPr>
            </w:pPr>
            <w:r w:rsidRPr="00DF75A6">
              <w:rPr>
                <w:rFonts w:eastAsia="Calibri"/>
                <w:lang w:val="en-GB"/>
              </w:rPr>
              <w:t xml:space="preserve">SMC </w:t>
            </w:r>
            <w:proofErr w:type="spellStart"/>
            <w:r w:rsidRPr="00DF75A6">
              <w:rPr>
                <w:rFonts w:eastAsia="Calibri"/>
                <w:lang w:val="en-GB"/>
              </w:rPr>
              <w:t>SuperEco</w:t>
            </w:r>
            <w:proofErr w:type="spellEnd"/>
          </w:p>
          <w:p w14:paraId="5894C328" w14:textId="5939801C" w:rsidR="006C02DC" w:rsidRPr="00DF75A6" w:rsidRDefault="00413FA2" w:rsidP="00520D2D">
            <w:pPr>
              <w:pStyle w:val="ExhibitText"/>
              <w:numPr>
                <w:ilvl w:val="0"/>
                <w:numId w:val="19"/>
              </w:numPr>
              <w:ind w:left="346"/>
              <w:jc w:val="left"/>
              <w:rPr>
                <w:rFonts w:eastAsia="Calibri"/>
                <w:lang w:val="en-GB"/>
              </w:rPr>
            </w:pPr>
            <w:r w:rsidRPr="00DF75A6">
              <w:rPr>
                <w:rFonts w:eastAsia="Calibri"/>
                <w:lang w:val="en-GB"/>
              </w:rPr>
              <w:t>SMC Eco Mega</w:t>
            </w:r>
          </w:p>
          <w:p w14:paraId="33F400C0" w14:textId="0DF486D8" w:rsidR="006C02DC" w:rsidRPr="00DF75A6" w:rsidRDefault="00413FA2" w:rsidP="00520D2D">
            <w:pPr>
              <w:pStyle w:val="ExhibitText"/>
              <w:numPr>
                <w:ilvl w:val="0"/>
                <w:numId w:val="19"/>
              </w:numPr>
              <w:ind w:left="346"/>
              <w:jc w:val="left"/>
              <w:rPr>
                <w:rFonts w:eastAsia="Calibri"/>
                <w:lang w:val="en-GB"/>
              </w:rPr>
            </w:pPr>
            <w:r w:rsidRPr="00DF75A6">
              <w:rPr>
                <w:rFonts w:eastAsia="Calibri"/>
                <w:lang w:val="en-GB"/>
              </w:rPr>
              <w:t>Mohan Motors Sakha</w:t>
            </w:r>
          </w:p>
          <w:p w14:paraId="0F907591" w14:textId="78E5C9AF" w:rsidR="00413FA2" w:rsidRPr="00DF75A6" w:rsidRDefault="00413FA2" w:rsidP="00520D2D">
            <w:pPr>
              <w:pStyle w:val="ExhibitText"/>
              <w:numPr>
                <w:ilvl w:val="0"/>
                <w:numId w:val="19"/>
              </w:numPr>
              <w:ind w:left="346"/>
              <w:jc w:val="left"/>
              <w:rPr>
                <w:rFonts w:eastAsia="Calibri"/>
                <w:lang w:val="en-GB"/>
              </w:rPr>
            </w:pPr>
            <w:proofErr w:type="spellStart"/>
            <w:r w:rsidRPr="00DF75A6">
              <w:rPr>
                <w:rFonts w:eastAsia="Calibri"/>
                <w:lang w:val="en-GB"/>
              </w:rPr>
              <w:t>Equis</w:t>
            </w:r>
            <w:proofErr w:type="spellEnd"/>
            <w:r w:rsidRPr="00DF75A6">
              <w:rPr>
                <w:rFonts w:eastAsia="Calibri"/>
                <w:lang w:val="en-GB"/>
              </w:rPr>
              <w:t xml:space="preserve"> Duo </w:t>
            </w:r>
            <w:r w:rsidR="006C02DC" w:rsidRPr="00DF75A6">
              <w:rPr>
                <w:rFonts w:eastAsia="Calibri"/>
                <w:lang w:val="en-GB"/>
              </w:rPr>
              <w:t>Plus</w:t>
            </w:r>
          </w:p>
        </w:tc>
        <w:tc>
          <w:tcPr>
            <w:tcW w:w="1305" w:type="dxa"/>
            <w:vAlign w:val="center"/>
          </w:tcPr>
          <w:p w14:paraId="33FAE7BC" w14:textId="77777777" w:rsidR="00413FA2" w:rsidRPr="00DF75A6" w:rsidRDefault="00413FA2" w:rsidP="00520D2D">
            <w:pPr>
              <w:pStyle w:val="ExhibitText"/>
              <w:jc w:val="center"/>
              <w:rPr>
                <w:rFonts w:eastAsia="Calibri"/>
                <w:lang w:val="en-GB"/>
              </w:rPr>
            </w:pPr>
            <w:r w:rsidRPr="00DF75A6">
              <w:rPr>
                <w:rFonts w:eastAsia="Calibri"/>
                <w:lang w:val="en-GB"/>
              </w:rPr>
              <w:t>City</w:t>
            </w:r>
          </w:p>
        </w:tc>
        <w:tc>
          <w:tcPr>
            <w:tcW w:w="2551" w:type="dxa"/>
            <w:vAlign w:val="center"/>
          </w:tcPr>
          <w:p w14:paraId="3B98E9A5" w14:textId="77777777" w:rsidR="00413FA2" w:rsidRPr="00DF75A6" w:rsidRDefault="00413FA2" w:rsidP="00520D2D">
            <w:pPr>
              <w:pStyle w:val="ExhibitText"/>
              <w:jc w:val="center"/>
              <w:rPr>
                <w:rFonts w:eastAsia="Calibri"/>
                <w:lang w:val="en-GB"/>
              </w:rPr>
            </w:pPr>
            <w:r w:rsidRPr="00DF75A6">
              <w:rPr>
                <w:rFonts w:eastAsia="Calibri"/>
                <w:lang w:val="en-GB"/>
              </w:rPr>
              <w:t>Light</w:t>
            </w:r>
          </w:p>
        </w:tc>
        <w:tc>
          <w:tcPr>
            <w:tcW w:w="1200" w:type="dxa"/>
            <w:vAlign w:val="center"/>
          </w:tcPr>
          <w:p w14:paraId="74482A51" w14:textId="503DB1AB" w:rsidR="00413FA2" w:rsidRPr="00DF75A6" w:rsidRDefault="00413FA2" w:rsidP="00520D2D">
            <w:pPr>
              <w:pStyle w:val="ExhibitText"/>
              <w:jc w:val="center"/>
              <w:rPr>
                <w:rFonts w:eastAsia="Calibri"/>
                <w:lang w:val="en-GB"/>
              </w:rPr>
            </w:pPr>
            <w:r w:rsidRPr="00DF75A6">
              <w:rPr>
                <w:rFonts w:eastAsia="Calibri"/>
                <w:lang w:val="en-GB"/>
              </w:rPr>
              <w:t>1</w:t>
            </w:r>
            <w:r w:rsidR="006C02DC" w:rsidRPr="00DF75A6">
              <w:rPr>
                <w:rFonts w:eastAsia="Calibri"/>
                <w:lang w:val="en-GB"/>
              </w:rPr>
              <w:t>–</w:t>
            </w:r>
            <w:r w:rsidRPr="00DF75A6">
              <w:rPr>
                <w:rFonts w:eastAsia="Calibri"/>
                <w:lang w:val="en-GB"/>
              </w:rPr>
              <w:t xml:space="preserve">2 </w:t>
            </w:r>
            <w:r w:rsidR="006C02DC" w:rsidRPr="00DF75A6">
              <w:rPr>
                <w:rFonts w:eastAsia="Calibri"/>
                <w:lang w:val="en-GB"/>
              </w:rPr>
              <w:t>tons</w:t>
            </w:r>
          </w:p>
        </w:tc>
        <w:tc>
          <w:tcPr>
            <w:tcW w:w="1080" w:type="dxa"/>
            <w:vAlign w:val="center"/>
          </w:tcPr>
          <w:p w14:paraId="0F8C5B4B" w14:textId="377AFAF5" w:rsidR="00413FA2" w:rsidRPr="00DF75A6" w:rsidRDefault="00413FA2" w:rsidP="007074E2">
            <w:pPr>
              <w:pStyle w:val="ExhibitText"/>
              <w:jc w:val="left"/>
              <w:rPr>
                <w:rFonts w:eastAsia="Calibri"/>
                <w:lang w:val="en-GB"/>
              </w:rPr>
            </w:pPr>
            <w:r w:rsidRPr="00DF75A6">
              <w:rPr>
                <w:rFonts w:eastAsia="Calibri"/>
                <w:lang w:val="en-GB"/>
              </w:rPr>
              <w:t>475</w:t>
            </w:r>
            <w:r w:rsidR="005D2436" w:rsidRPr="00DF75A6">
              <w:rPr>
                <w:rFonts w:eastAsia="Calibri"/>
                <w:lang w:val="en-GB"/>
              </w:rPr>
              <w:t>,000</w:t>
            </w:r>
            <w:r w:rsidR="006C02DC" w:rsidRPr="00DF75A6">
              <w:rPr>
                <w:rFonts w:eastAsia="Calibri"/>
                <w:lang w:val="en-GB"/>
              </w:rPr>
              <w:t>–</w:t>
            </w:r>
            <w:r w:rsidRPr="00DF75A6">
              <w:rPr>
                <w:rFonts w:eastAsia="Calibri"/>
                <w:lang w:val="en-GB"/>
              </w:rPr>
              <w:t>51</w:t>
            </w:r>
            <w:r w:rsidR="006C02DC" w:rsidRPr="00DF75A6">
              <w:rPr>
                <w:rFonts w:eastAsia="Calibri"/>
                <w:lang w:val="en-GB"/>
              </w:rPr>
              <w:t>0</w:t>
            </w:r>
            <w:r w:rsidR="005D2436" w:rsidRPr="00DF75A6">
              <w:rPr>
                <w:rFonts w:eastAsia="Calibri"/>
                <w:lang w:val="en-GB"/>
              </w:rPr>
              <w:t>,000</w:t>
            </w:r>
          </w:p>
        </w:tc>
      </w:tr>
      <w:tr w:rsidR="00413FA2" w:rsidRPr="00DF75A6" w14:paraId="280B5381" w14:textId="77777777" w:rsidTr="003226F9">
        <w:trPr>
          <w:jc w:val="center"/>
        </w:trPr>
        <w:tc>
          <w:tcPr>
            <w:tcW w:w="1133" w:type="dxa"/>
            <w:vAlign w:val="center"/>
          </w:tcPr>
          <w:p w14:paraId="3845003E" w14:textId="38CB5D57" w:rsidR="00413FA2" w:rsidRPr="00DF75A6" w:rsidRDefault="00413FA2" w:rsidP="003D416E">
            <w:pPr>
              <w:pStyle w:val="ExhibitText"/>
              <w:jc w:val="left"/>
              <w:rPr>
                <w:rFonts w:eastAsia="Calibri"/>
                <w:b/>
                <w:lang w:val="en-GB"/>
              </w:rPr>
            </w:pPr>
            <w:r w:rsidRPr="00DF75A6">
              <w:rPr>
                <w:rFonts w:eastAsia="Calibri"/>
                <w:b/>
                <w:lang w:val="en-GB"/>
              </w:rPr>
              <w:t>Large Pick</w:t>
            </w:r>
            <w:r w:rsidR="005D2436" w:rsidRPr="00DF75A6">
              <w:rPr>
                <w:rFonts w:eastAsia="Calibri"/>
                <w:b/>
                <w:lang w:val="en-GB"/>
              </w:rPr>
              <w:t>u</w:t>
            </w:r>
            <w:r w:rsidRPr="00DF75A6">
              <w:rPr>
                <w:rFonts w:eastAsia="Calibri"/>
                <w:b/>
                <w:lang w:val="en-GB"/>
              </w:rPr>
              <w:t>p</w:t>
            </w:r>
          </w:p>
        </w:tc>
        <w:tc>
          <w:tcPr>
            <w:tcW w:w="1726" w:type="dxa"/>
            <w:vAlign w:val="center"/>
          </w:tcPr>
          <w:p w14:paraId="2C238944" w14:textId="6CC893A4" w:rsidR="006C02DC" w:rsidRPr="00DF75A6" w:rsidRDefault="00413FA2" w:rsidP="00520D2D">
            <w:pPr>
              <w:pStyle w:val="ExhibitText"/>
              <w:numPr>
                <w:ilvl w:val="0"/>
                <w:numId w:val="19"/>
              </w:numPr>
              <w:ind w:left="346"/>
              <w:jc w:val="left"/>
              <w:rPr>
                <w:rFonts w:eastAsia="Calibri"/>
                <w:lang w:val="en-GB"/>
              </w:rPr>
            </w:pPr>
            <w:proofErr w:type="spellStart"/>
            <w:r w:rsidRPr="00DF75A6">
              <w:rPr>
                <w:rFonts w:eastAsia="Calibri"/>
                <w:lang w:val="en-GB"/>
              </w:rPr>
              <w:t>Equis</w:t>
            </w:r>
            <w:proofErr w:type="spellEnd"/>
            <w:r w:rsidRPr="00DF75A6">
              <w:rPr>
                <w:rFonts w:eastAsia="Calibri"/>
                <w:lang w:val="en-GB"/>
              </w:rPr>
              <w:t xml:space="preserve"> </w:t>
            </w:r>
            <w:proofErr w:type="spellStart"/>
            <w:r w:rsidRPr="00DF75A6">
              <w:rPr>
                <w:rFonts w:eastAsia="Calibri"/>
                <w:lang w:val="en-GB"/>
              </w:rPr>
              <w:t>Rello</w:t>
            </w:r>
            <w:proofErr w:type="spellEnd"/>
          </w:p>
          <w:p w14:paraId="4A272DA7" w14:textId="6A55C473" w:rsidR="00413FA2" w:rsidRPr="00DF75A6" w:rsidRDefault="00413FA2" w:rsidP="00520D2D">
            <w:pPr>
              <w:pStyle w:val="ExhibitText"/>
              <w:numPr>
                <w:ilvl w:val="0"/>
                <w:numId w:val="19"/>
              </w:numPr>
              <w:ind w:left="346"/>
              <w:jc w:val="left"/>
              <w:rPr>
                <w:rFonts w:eastAsia="Calibri"/>
                <w:lang w:val="en-GB"/>
              </w:rPr>
            </w:pPr>
            <w:r w:rsidRPr="00DF75A6">
              <w:rPr>
                <w:rFonts w:eastAsia="Calibri"/>
                <w:lang w:val="en-GB"/>
              </w:rPr>
              <w:t>SMC Supreme</w:t>
            </w:r>
          </w:p>
        </w:tc>
        <w:tc>
          <w:tcPr>
            <w:tcW w:w="1305" w:type="dxa"/>
            <w:vAlign w:val="center"/>
          </w:tcPr>
          <w:p w14:paraId="5C0F456B" w14:textId="77777777" w:rsidR="00413FA2" w:rsidRPr="00DF75A6" w:rsidRDefault="00413FA2" w:rsidP="00520D2D">
            <w:pPr>
              <w:pStyle w:val="ExhibitText"/>
              <w:jc w:val="center"/>
              <w:rPr>
                <w:rFonts w:eastAsia="Calibri"/>
                <w:lang w:val="en-GB"/>
              </w:rPr>
            </w:pPr>
            <w:r w:rsidRPr="00DF75A6">
              <w:rPr>
                <w:rFonts w:eastAsia="Calibri"/>
                <w:lang w:val="en-GB"/>
              </w:rPr>
              <w:t>Rural/City</w:t>
            </w:r>
          </w:p>
        </w:tc>
        <w:tc>
          <w:tcPr>
            <w:tcW w:w="2551" w:type="dxa"/>
            <w:vAlign w:val="center"/>
          </w:tcPr>
          <w:p w14:paraId="50E70D56" w14:textId="34B732A6" w:rsidR="00413FA2" w:rsidRPr="00DF75A6" w:rsidRDefault="00413FA2" w:rsidP="00520D2D">
            <w:pPr>
              <w:pStyle w:val="ExhibitText"/>
              <w:jc w:val="center"/>
              <w:rPr>
                <w:rFonts w:eastAsia="Calibri"/>
                <w:lang w:val="en-GB"/>
              </w:rPr>
            </w:pPr>
            <w:r w:rsidRPr="00DF75A6">
              <w:rPr>
                <w:rFonts w:eastAsia="Calibri"/>
                <w:lang w:val="en-GB"/>
              </w:rPr>
              <w:t>Overload/Rugged/Comfort</w:t>
            </w:r>
          </w:p>
        </w:tc>
        <w:tc>
          <w:tcPr>
            <w:tcW w:w="1200" w:type="dxa"/>
            <w:vAlign w:val="center"/>
          </w:tcPr>
          <w:p w14:paraId="4AF7728F" w14:textId="011AE887" w:rsidR="00413FA2" w:rsidRPr="00DF75A6" w:rsidRDefault="00413FA2" w:rsidP="00520D2D">
            <w:pPr>
              <w:pStyle w:val="ExhibitText"/>
              <w:jc w:val="center"/>
              <w:rPr>
                <w:rFonts w:eastAsia="Calibri"/>
                <w:lang w:val="en-GB"/>
              </w:rPr>
            </w:pPr>
            <w:r w:rsidRPr="00DF75A6">
              <w:rPr>
                <w:rFonts w:eastAsia="Calibri"/>
                <w:lang w:val="en-GB"/>
              </w:rPr>
              <w:t>2</w:t>
            </w:r>
            <w:r w:rsidR="006C02DC" w:rsidRPr="00DF75A6">
              <w:rPr>
                <w:rFonts w:eastAsia="Calibri"/>
                <w:lang w:val="en-GB"/>
              </w:rPr>
              <w:t>–</w:t>
            </w:r>
            <w:r w:rsidRPr="00DF75A6">
              <w:rPr>
                <w:rFonts w:eastAsia="Calibri"/>
                <w:lang w:val="en-GB"/>
              </w:rPr>
              <w:t xml:space="preserve">3 </w:t>
            </w:r>
            <w:r w:rsidR="006C02DC" w:rsidRPr="00DF75A6">
              <w:rPr>
                <w:rFonts w:eastAsia="Calibri"/>
                <w:lang w:val="en-GB"/>
              </w:rPr>
              <w:t>tons</w:t>
            </w:r>
          </w:p>
        </w:tc>
        <w:tc>
          <w:tcPr>
            <w:tcW w:w="1080" w:type="dxa"/>
            <w:vAlign w:val="center"/>
          </w:tcPr>
          <w:p w14:paraId="11F2BB62" w14:textId="5805A381" w:rsidR="00413FA2" w:rsidRPr="00DF75A6" w:rsidRDefault="00413FA2" w:rsidP="007074E2">
            <w:pPr>
              <w:pStyle w:val="ExhibitText"/>
              <w:jc w:val="left"/>
              <w:rPr>
                <w:rFonts w:eastAsia="Calibri"/>
                <w:lang w:val="en-GB"/>
              </w:rPr>
            </w:pPr>
            <w:r w:rsidRPr="00DF75A6">
              <w:rPr>
                <w:rFonts w:eastAsia="Calibri"/>
                <w:lang w:val="en-GB"/>
              </w:rPr>
              <w:t>575</w:t>
            </w:r>
            <w:r w:rsidR="005D2436" w:rsidRPr="00DF75A6">
              <w:rPr>
                <w:rFonts w:eastAsia="Calibri"/>
                <w:lang w:val="en-GB"/>
              </w:rPr>
              <w:t>,000</w:t>
            </w:r>
            <w:r w:rsidR="006C02DC" w:rsidRPr="00DF75A6">
              <w:rPr>
                <w:rFonts w:eastAsia="Calibri"/>
                <w:lang w:val="en-GB"/>
              </w:rPr>
              <w:t>–</w:t>
            </w:r>
            <w:r w:rsidRPr="00DF75A6">
              <w:rPr>
                <w:rFonts w:eastAsia="Calibri"/>
                <w:lang w:val="en-GB"/>
              </w:rPr>
              <w:t>7</w:t>
            </w:r>
            <w:r w:rsidR="006C02DC" w:rsidRPr="00DF75A6">
              <w:rPr>
                <w:rFonts w:eastAsia="Calibri"/>
                <w:lang w:val="en-GB"/>
              </w:rPr>
              <w:t>00</w:t>
            </w:r>
            <w:r w:rsidR="005D2436" w:rsidRPr="00DF75A6">
              <w:rPr>
                <w:rFonts w:eastAsia="Calibri"/>
                <w:lang w:val="en-GB"/>
              </w:rPr>
              <w:t>,000</w:t>
            </w:r>
          </w:p>
        </w:tc>
      </w:tr>
    </w:tbl>
    <w:p w14:paraId="558F387B" w14:textId="77777777" w:rsidR="00413FA2" w:rsidRPr="00DF75A6" w:rsidRDefault="00413FA2" w:rsidP="00520D2D">
      <w:pPr>
        <w:pStyle w:val="Footnote"/>
        <w:rPr>
          <w:rFonts w:eastAsia="Calibri"/>
          <w:lang w:val="en-GB"/>
        </w:rPr>
      </w:pPr>
    </w:p>
    <w:p w14:paraId="72769E7F" w14:textId="21F78F88" w:rsidR="00413FA2" w:rsidRPr="00DF75A6" w:rsidRDefault="00413FA2" w:rsidP="00413FA2">
      <w:pPr>
        <w:pStyle w:val="Footnote"/>
        <w:rPr>
          <w:rFonts w:eastAsia="Calibri"/>
          <w:i w:val="0"/>
          <w:lang w:val="en-GB"/>
        </w:rPr>
      </w:pPr>
      <w:r w:rsidRPr="00DF75A6">
        <w:rPr>
          <w:rFonts w:eastAsia="Calibri"/>
          <w:i w:val="0"/>
          <w:lang w:val="en-GB"/>
        </w:rPr>
        <w:t xml:space="preserve">Source: Created by </w:t>
      </w:r>
      <w:r w:rsidR="00C85AE9">
        <w:rPr>
          <w:rFonts w:eastAsia="Calibri"/>
          <w:i w:val="0"/>
          <w:lang w:val="en-GB"/>
        </w:rPr>
        <w:t xml:space="preserve">the </w:t>
      </w:r>
      <w:r w:rsidR="005C7BCC">
        <w:rPr>
          <w:rFonts w:eastAsia="Calibri"/>
          <w:i w:val="0"/>
          <w:lang w:val="en-GB"/>
        </w:rPr>
        <w:t xml:space="preserve">authors </w:t>
      </w:r>
      <w:r w:rsidR="005C7BCC">
        <w:rPr>
          <w:rFonts w:eastAsia="Calibri"/>
          <w:i w:val="0"/>
          <w:lang w:val="en-GB"/>
        </w:rPr>
        <w:t>based on company documents.</w:t>
      </w:r>
    </w:p>
    <w:p w14:paraId="4BAB69D8" w14:textId="77777777" w:rsidR="00413FA2" w:rsidRPr="00DF75A6" w:rsidRDefault="00413FA2" w:rsidP="00413FA2">
      <w:pPr>
        <w:pStyle w:val="ExhibitText"/>
        <w:rPr>
          <w:rFonts w:eastAsia="Calibri"/>
          <w:lang w:val="en-GB"/>
        </w:rPr>
      </w:pPr>
    </w:p>
    <w:p w14:paraId="0A08591E" w14:textId="77777777" w:rsidR="00413FA2" w:rsidRPr="00DF75A6" w:rsidRDefault="00413FA2" w:rsidP="00413FA2">
      <w:pPr>
        <w:pStyle w:val="ExhibitText"/>
        <w:rPr>
          <w:rFonts w:eastAsia="Calibri"/>
          <w:lang w:val="en-GB"/>
        </w:rPr>
      </w:pPr>
    </w:p>
    <w:p w14:paraId="1FE854FA" w14:textId="23980C37" w:rsidR="005D2436" w:rsidRPr="00DF75A6" w:rsidRDefault="00413FA2" w:rsidP="00520D2D">
      <w:pPr>
        <w:pStyle w:val="ExhibitHeading"/>
        <w:keepNext/>
        <w:keepLines/>
        <w:rPr>
          <w:rFonts w:eastAsia="Calibri"/>
          <w:lang w:val="en-GB"/>
        </w:rPr>
      </w:pPr>
      <w:r w:rsidRPr="00DF75A6">
        <w:rPr>
          <w:rFonts w:eastAsia="Calibri"/>
          <w:lang w:val="en-GB"/>
        </w:rPr>
        <w:lastRenderedPageBreak/>
        <w:t>Exhibit 3: Consumer perception of Equis Pluto and SMC Supreme</w:t>
      </w:r>
      <w:r w:rsidR="005D2436" w:rsidRPr="00DF75A6">
        <w:rPr>
          <w:rFonts w:eastAsia="Calibri"/>
          <w:lang w:val="en-GB"/>
        </w:rPr>
        <w:t xml:space="preserve"> pickups</w:t>
      </w:r>
    </w:p>
    <w:p w14:paraId="6CD2F906" w14:textId="26460862" w:rsidR="00413FA2" w:rsidRPr="00DF75A6" w:rsidRDefault="00413FA2" w:rsidP="00520D2D">
      <w:pPr>
        <w:pStyle w:val="ExhibitHeading"/>
        <w:keepNext/>
        <w:keepLines/>
        <w:rPr>
          <w:rFonts w:eastAsia="Calibri"/>
          <w:lang w:val="en-GB"/>
        </w:rPr>
      </w:pPr>
    </w:p>
    <w:tbl>
      <w:tblPr>
        <w:tblStyle w:val="TableGrid"/>
        <w:tblW w:w="0" w:type="auto"/>
        <w:jc w:val="center"/>
        <w:tblLook w:val="04A0" w:firstRow="1" w:lastRow="0" w:firstColumn="1" w:lastColumn="0" w:noHBand="0" w:noVBand="1"/>
      </w:tblPr>
      <w:tblGrid>
        <w:gridCol w:w="2875"/>
        <w:gridCol w:w="1980"/>
        <w:gridCol w:w="1710"/>
      </w:tblGrid>
      <w:tr w:rsidR="00413FA2" w:rsidRPr="00DF75A6" w14:paraId="658AE659" w14:textId="77777777" w:rsidTr="00520D2D">
        <w:trPr>
          <w:jc w:val="center"/>
        </w:trPr>
        <w:tc>
          <w:tcPr>
            <w:tcW w:w="2875" w:type="dxa"/>
            <w:vAlign w:val="center"/>
          </w:tcPr>
          <w:p w14:paraId="74A83ADC" w14:textId="77777777" w:rsidR="00413FA2" w:rsidRPr="00DF75A6" w:rsidRDefault="00413FA2" w:rsidP="00520D2D">
            <w:pPr>
              <w:pStyle w:val="ExhibitText"/>
              <w:keepNext/>
              <w:keepLines/>
              <w:rPr>
                <w:rFonts w:eastAsia="Calibri"/>
                <w:b/>
                <w:lang w:val="en-GB"/>
              </w:rPr>
            </w:pPr>
            <w:r w:rsidRPr="00DF75A6">
              <w:rPr>
                <w:rFonts w:eastAsia="Calibri"/>
                <w:b/>
                <w:lang w:val="en-GB"/>
              </w:rPr>
              <w:t>Attribute</w:t>
            </w:r>
          </w:p>
        </w:tc>
        <w:tc>
          <w:tcPr>
            <w:tcW w:w="1980" w:type="dxa"/>
            <w:vAlign w:val="center"/>
          </w:tcPr>
          <w:p w14:paraId="74E70879" w14:textId="74B8FEB8" w:rsidR="00413FA2" w:rsidRPr="00DF75A6" w:rsidRDefault="00413FA2" w:rsidP="00520D2D">
            <w:pPr>
              <w:pStyle w:val="ExhibitText"/>
              <w:keepNext/>
              <w:keepLines/>
              <w:jc w:val="center"/>
              <w:rPr>
                <w:rFonts w:eastAsia="Calibri"/>
                <w:b/>
                <w:lang w:val="en-GB"/>
              </w:rPr>
            </w:pPr>
            <w:r w:rsidRPr="00DF75A6">
              <w:rPr>
                <w:rFonts w:eastAsia="Calibri"/>
                <w:b/>
                <w:lang w:val="en-GB"/>
              </w:rPr>
              <w:t>Pluto</w:t>
            </w:r>
            <w:r w:rsidR="005D2436" w:rsidRPr="00DF75A6">
              <w:rPr>
                <w:rFonts w:eastAsia="Calibri"/>
                <w:b/>
                <w:lang w:val="en-GB"/>
              </w:rPr>
              <w:t xml:space="preserve"> P</w:t>
            </w:r>
            <w:r w:rsidRPr="00DF75A6">
              <w:rPr>
                <w:rFonts w:eastAsia="Calibri"/>
                <w:b/>
                <w:lang w:val="en-GB"/>
              </w:rPr>
              <w:t xml:space="preserve">erception </w:t>
            </w:r>
            <w:r w:rsidR="005D2436" w:rsidRPr="00DF75A6">
              <w:rPr>
                <w:rFonts w:eastAsia="Calibri"/>
                <w:b/>
                <w:lang w:val="en-GB"/>
              </w:rPr>
              <w:t xml:space="preserve">Score </w:t>
            </w:r>
            <w:r w:rsidRPr="00DF75A6">
              <w:rPr>
                <w:rFonts w:eastAsia="Calibri"/>
                <w:b/>
                <w:lang w:val="en-GB"/>
              </w:rPr>
              <w:t xml:space="preserve">on </w:t>
            </w:r>
            <w:r w:rsidR="005D2436" w:rsidRPr="00DF75A6">
              <w:rPr>
                <w:rFonts w:eastAsia="Calibri"/>
                <w:b/>
                <w:lang w:val="en-GB"/>
              </w:rPr>
              <w:t>A</w:t>
            </w:r>
            <w:r w:rsidRPr="00DF75A6">
              <w:rPr>
                <w:rFonts w:eastAsia="Calibri"/>
                <w:b/>
                <w:lang w:val="en-GB"/>
              </w:rPr>
              <w:t>ttributes</w:t>
            </w:r>
            <w:r w:rsidR="005D2436" w:rsidRPr="00DF75A6">
              <w:rPr>
                <w:rFonts w:eastAsia="Calibri"/>
                <w:b/>
                <w:lang w:val="en-GB"/>
              </w:rPr>
              <w:t xml:space="preserve"> (%)</w:t>
            </w:r>
          </w:p>
        </w:tc>
        <w:tc>
          <w:tcPr>
            <w:tcW w:w="1710" w:type="dxa"/>
            <w:vAlign w:val="center"/>
          </w:tcPr>
          <w:p w14:paraId="5E3D0237" w14:textId="34FDF385" w:rsidR="00413FA2" w:rsidRPr="00DF75A6" w:rsidRDefault="00413FA2" w:rsidP="00520D2D">
            <w:pPr>
              <w:pStyle w:val="ExhibitText"/>
              <w:keepNext/>
              <w:keepLines/>
              <w:jc w:val="center"/>
              <w:rPr>
                <w:rFonts w:eastAsia="Calibri"/>
                <w:b/>
                <w:lang w:val="en-GB"/>
              </w:rPr>
            </w:pPr>
            <w:r w:rsidRPr="00DF75A6">
              <w:rPr>
                <w:rFonts w:eastAsia="Calibri"/>
                <w:b/>
                <w:lang w:val="en-GB"/>
              </w:rPr>
              <w:t xml:space="preserve">Supreme </w:t>
            </w:r>
            <w:r w:rsidR="005D2436" w:rsidRPr="00DF75A6">
              <w:rPr>
                <w:rFonts w:eastAsia="Calibri"/>
                <w:b/>
                <w:lang w:val="en-GB"/>
              </w:rPr>
              <w:t xml:space="preserve">Perception Score </w:t>
            </w:r>
            <w:r w:rsidRPr="00DF75A6">
              <w:rPr>
                <w:rFonts w:eastAsia="Calibri"/>
                <w:b/>
                <w:lang w:val="en-GB"/>
              </w:rPr>
              <w:t xml:space="preserve">on </w:t>
            </w:r>
            <w:r w:rsidR="005D2436" w:rsidRPr="00DF75A6">
              <w:rPr>
                <w:rFonts w:eastAsia="Calibri"/>
                <w:b/>
                <w:lang w:val="en-GB"/>
              </w:rPr>
              <w:t>A</w:t>
            </w:r>
            <w:r w:rsidRPr="00DF75A6">
              <w:rPr>
                <w:rFonts w:eastAsia="Calibri"/>
                <w:b/>
                <w:lang w:val="en-GB"/>
              </w:rPr>
              <w:t>ttributes</w:t>
            </w:r>
            <w:r w:rsidR="005D2436" w:rsidRPr="00DF75A6">
              <w:rPr>
                <w:rFonts w:eastAsia="Calibri"/>
                <w:b/>
                <w:lang w:val="en-GB"/>
              </w:rPr>
              <w:t xml:space="preserve"> (%)</w:t>
            </w:r>
          </w:p>
        </w:tc>
      </w:tr>
      <w:tr w:rsidR="00413FA2" w:rsidRPr="00DF75A6" w14:paraId="4C7B9C3F" w14:textId="77777777" w:rsidTr="00BD0EBB">
        <w:trPr>
          <w:jc w:val="center"/>
        </w:trPr>
        <w:tc>
          <w:tcPr>
            <w:tcW w:w="2875" w:type="dxa"/>
            <w:vAlign w:val="center"/>
          </w:tcPr>
          <w:p w14:paraId="1CB3D387" w14:textId="0D73F5AF" w:rsidR="00413FA2" w:rsidRPr="00DF75A6" w:rsidRDefault="00413FA2" w:rsidP="00520D2D">
            <w:pPr>
              <w:pStyle w:val="ExhibitText"/>
              <w:keepNext/>
              <w:keepLines/>
              <w:rPr>
                <w:rFonts w:eastAsia="Calibri"/>
                <w:lang w:val="en-GB"/>
              </w:rPr>
            </w:pPr>
            <w:r w:rsidRPr="00DF75A6">
              <w:rPr>
                <w:rFonts w:eastAsia="Calibri"/>
                <w:lang w:val="en-GB"/>
              </w:rPr>
              <w:t xml:space="preserve">High </w:t>
            </w:r>
            <w:r w:rsidR="005D2436" w:rsidRPr="00DF75A6">
              <w:rPr>
                <w:rFonts w:eastAsia="Calibri"/>
                <w:lang w:val="en-GB"/>
              </w:rPr>
              <w:t>Load-</w:t>
            </w:r>
            <w:r w:rsidRPr="00DF75A6">
              <w:rPr>
                <w:rFonts w:eastAsia="Calibri"/>
                <w:lang w:val="en-GB"/>
              </w:rPr>
              <w:t>Carrying Capacity</w:t>
            </w:r>
          </w:p>
        </w:tc>
        <w:tc>
          <w:tcPr>
            <w:tcW w:w="1980" w:type="dxa"/>
            <w:vAlign w:val="center"/>
          </w:tcPr>
          <w:p w14:paraId="39C6AACD"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37</w:t>
            </w:r>
          </w:p>
        </w:tc>
        <w:tc>
          <w:tcPr>
            <w:tcW w:w="1710" w:type="dxa"/>
            <w:vAlign w:val="center"/>
          </w:tcPr>
          <w:p w14:paraId="15933C43"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20</w:t>
            </w:r>
          </w:p>
        </w:tc>
      </w:tr>
      <w:tr w:rsidR="00413FA2" w:rsidRPr="00DF75A6" w14:paraId="5ED1DE3F" w14:textId="77777777" w:rsidTr="00BD0EBB">
        <w:trPr>
          <w:jc w:val="center"/>
        </w:trPr>
        <w:tc>
          <w:tcPr>
            <w:tcW w:w="2875" w:type="dxa"/>
            <w:vAlign w:val="center"/>
          </w:tcPr>
          <w:p w14:paraId="3D2608C9" w14:textId="77777777" w:rsidR="00413FA2" w:rsidRPr="00DF75A6" w:rsidRDefault="00413FA2" w:rsidP="00520D2D">
            <w:pPr>
              <w:pStyle w:val="ExhibitText"/>
              <w:keepNext/>
              <w:keepLines/>
              <w:rPr>
                <w:rFonts w:eastAsia="Calibri"/>
                <w:lang w:val="en-GB"/>
              </w:rPr>
            </w:pPr>
            <w:r w:rsidRPr="00DF75A6">
              <w:rPr>
                <w:rFonts w:eastAsia="Calibri"/>
                <w:lang w:val="en-GB"/>
              </w:rPr>
              <w:t>Fuel Efficiency</w:t>
            </w:r>
          </w:p>
        </w:tc>
        <w:tc>
          <w:tcPr>
            <w:tcW w:w="1980" w:type="dxa"/>
            <w:vAlign w:val="center"/>
          </w:tcPr>
          <w:p w14:paraId="772BD012"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48</w:t>
            </w:r>
          </w:p>
        </w:tc>
        <w:tc>
          <w:tcPr>
            <w:tcW w:w="1710" w:type="dxa"/>
            <w:vAlign w:val="center"/>
          </w:tcPr>
          <w:p w14:paraId="66DA4690"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16</w:t>
            </w:r>
          </w:p>
        </w:tc>
      </w:tr>
      <w:tr w:rsidR="00413FA2" w:rsidRPr="00DF75A6" w14:paraId="733449DE" w14:textId="77777777" w:rsidTr="00BD0EBB">
        <w:trPr>
          <w:jc w:val="center"/>
        </w:trPr>
        <w:tc>
          <w:tcPr>
            <w:tcW w:w="2875" w:type="dxa"/>
            <w:vAlign w:val="center"/>
          </w:tcPr>
          <w:p w14:paraId="34481238" w14:textId="36785875" w:rsidR="00413FA2" w:rsidRPr="00DF75A6" w:rsidRDefault="00413FA2" w:rsidP="00520D2D">
            <w:pPr>
              <w:pStyle w:val="ExhibitText"/>
              <w:keepNext/>
              <w:keepLines/>
              <w:rPr>
                <w:rFonts w:eastAsia="Calibri"/>
                <w:lang w:val="en-GB"/>
              </w:rPr>
            </w:pPr>
            <w:r w:rsidRPr="00DF75A6">
              <w:rPr>
                <w:rFonts w:eastAsia="Calibri"/>
                <w:lang w:val="en-GB"/>
              </w:rPr>
              <w:t>Good Pick</w:t>
            </w:r>
            <w:r w:rsidR="005D2436" w:rsidRPr="00DF75A6">
              <w:rPr>
                <w:rFonts w:eastAsia="Calibri"/>
                <w:lang w:val="en-GB"/>
              </w:rPr>
              <w:t>-U</w:t>
            </w:r>
            <w:r w:rsidRPr="00DF75A6">
              <w:rPr>
                <w:rFonts w:eastAsia="Calibri"/>
                <w:lang w:val="en-GB"/>
              </w:rPr>
              <w:t>p</w:t>
            </w:r>
          </w:p>
        </w:tc>
        <w:tc>
          <w:tcPr>
            <w:tcW w:w="1980" w:type="dxa"/>
            <w:vAlign w:val="center"/>
          </w:tcPr>
          <w:p w14:paraId="4BEFC76F"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28</w:t>
            </w:r>
          </w:p>
        </w:tc>
        <w:tc>
          <w:tcPr>
            <w:tcW w:w="1710" w:type="dxa"/>
            <w:vAlign w:val="center"/>
          </w:tcPr>
          <w:p w14:paraId="48C2C60A"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5</w:t>
            </w:r>
          </w:p>
        </w:tc>
      </w:tr>
      <w:tr w:rsidR="00413FA2" w:rsidRPr="00DF75A6" w14:paraId="6B0C1712" w14:textId="77777777" w:rsidTr="00BD0EBB">
        <w:trPr>
          <w:jc w:val="center"/>
        </w:trPr>
        <w:tc>
          <w:tcPr>
            <w:tcW w:w="2875" w:type="dxa"/>
            <w:vAlign w:val="center"/>
          </w:tcPr>
          <w:p w14:paraId="3802BA7E" w14:textId="77777777" w:rsidR="00413FA2" w:rsidRPr="00DF75A6" w:rsidRDefault="00413FA2" w:rsidP="00520D2D">
            <w:pPr>
              <w:pStyle w:val="ExhibitText"/>
              <w:keepNext/>
              <w:keepLines/>
              <w:rPr>
                <w:rFonts w:eastAsia="Calibri"/>
                <w:lang w:val="en-GB"/>
              </w:rPr>
            </w:pPr>
            <w:r w:rsidRPr="00DF75A6">
              <w:rPr>
                <w:rFonts w:eastAsia="Calibri"/>
                <w:lang w:val="en-GB"/>
              </w:rPr>
              <w:t>Low Maintenance</w:t>
            </w:r>
          </w:p>
        </w:tc>
        <w:tc>
          <w:tcPr>
            <w:tcW w:w="1980" w:type="dxa"/>
            <w:vAlign w:val="center"/>
          </w:tcPr>
          <w:p w14:paraId="5BB93C87"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36</w:t>
            </w:r>
          </w:p>
        </w:tc>
        <w:tc>
          <w:tcPr>
            <w:tcW w:w="1710" w:type="dxa"/>
            <w:vAlign w:val="center"/>
          </w:tcPr>
          <w:p w14:paraId="6C53EF31"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12</w:t>
            </w:r>
          </w:p>
        </w:tc>
      </w:tr>
      <w:tr w:rsidR="00413FA2" w:rsidRPr="00DF75A6" w14:paraId="71A3C374" w14:textId="77777777" w:rsidTr="00BD0EBB">
        <w:trPr>
          <w:jc w:val="center"/>
        </w:trPr>
        <w:tc>
          <w:tcPr>
            <w:tcW w:w="2875" w:type="dxa"/>
            <w:vAlign w:val="center"/>
          </w:tcPr>
          <w:p w14:paraId="49DDF983" w14:textId="77777777" w:rsidR="00413FA2" w:rsidRPr="00DF75A6" w:rsidRDefault="00413FA2" w:rsidP="00520D2D">
            <w:pPr>
              <w:pStyle w:val="ExhibitText"/>
              <w:keepNext/>
              <w:keepLines/>
              <w:rPr>
                <w:rFonts w:eastAsia="Calibri"/>
                <w:lang w:val="en-GB"/>
              </w:rPr>
            </w:pPr>
            <w:r w:rsidRPr="00DF75A6">
              <w:rPr>
                <w:rFonts w:eastAsia="Calibri"/>
                <w:lang w:val="en-GB"/>
              </w:rPr>
              <w:t>Price</w:t>
            </w:r>
          </w:p>
        </w:tc>
        <w:tc>
          <w:tcPr>
            <w:tcW w:w="1980" w:type="dxa"/>
            <w:vAlign w:val="center"/>
          </w:tcPr>
          <w:p w14:paraId="63B9E6B0"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18</w:t>
            </w:r>
          </w:p>
        </w:tc>
        <w:tc>
          <w:tcPr>
            <w:tcW w:w="1710" w:type="dxa"/>
            <w:vAlign w:val="center"/>
          </w:tcPr>
          <w:p w14:paraId="6DD3CE71"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16</w:t>
            </w:r>
          </w:p>
        </w:tc>
      </w:tr>
      <w:tr w:rsidR="00413FA2" w:rsidRPr="00DF75A6" w14:paraId="7E840900" w14:textId="77777777" w:rsidTr="00BD0EBB">
        <w:trPr>
          <w:jc w:val="center"/>
        </w:trPr>
        <w:tc>
          <w:tcPr>
            <w:tcW w:w="2875" w:type="dxa"/>
            <w:vAlign w:val="center"/>
          </w:tcPr>
          <w:p w14:paraId="328E2377" w14:textId="41E64271" w:rsidR="00413FA2" w:rsidRPr="00DF75A6" w:rsidRDefault="00413FA2" w:rsidP="00520D2D">
            <w:pPr>
              <w:pStyle w:val="ExhibitText"/>
              <w:keepNext/>
              <w:keepLines/>
              <w:rPr>
                <w:rFonts w:eastAsia="Calibri"/>
                <w:lang w:val="en-GB"/>
              </w:rPr>
            </w:pPr>
            <w:r w:rsidRPr="00DF75A6">
              <w:rPr>
                <w:rFonts w:eastAsia="Calibri"/>
                <w:lang w:val="en-GB"/>
              </w:rPr>
              <w:t xml:space="preserve">Loading </w:t>
            </w:r>
            <w:r w:rsidR="005D2436" w:rsidRPr="00DF75A6">
              <w:rPr>
                <w:rFonts w:eastAsia="Calibri"/>
                <w:lang w:val="en-GB"/>
              </w:rPr>
              <w:t>Area</w:t>
            </w:r>
          </w:p>
        </w:tc>
        <w:tc>
          <w:tcPr>
            <w:tcW w:w="1980" w:type="dxa"/>
            <w:vAlign w:val="center"/>
          </w:tcPr>
          <w:p w14:paraId="11F35C7B"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15</w:t>
            </w:r>
          </w:p>
        </w:tc>
        <w:tc>
          <w:tcPr>
            <w:tcW w:w="1710" w:type="dxa"/>
            <w:vAlign w:val="center"/>
          </w:tcPr>
          <w:p w14:paraId="402FA2C4"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25</w:t>
            </w:r>
          </w:p>
        </w:tc>
      </w:tr>
      <w:tr w:rsidR="00413FA2" w:rsidRPr="00DF75A6" w14:paraId="04808C3D" w14:textId="77777777" w:rsidTr="00BD0EBB">
        <w:trPr>
          <w:jc w:val="center"/>
        </w:trPr>
        <w:tc>
          <w:tcPr>
            <w:tcW w:w="2875" w:type="dxa"/>
            <w:vAlign w:val="center"/>
          </w:tcPr>
          <w:p w14:paraId="2A5A3000" w14:textId="398FBCE5" w:rsidR="00413FA2" w:rsidRPr="00DF75A6" w:rsidRDefault="00413FA2" w:rsidP="00520D2D">
            <w:pPr>
              <w:pStyle w:val="ExhibitText"/>
              <w:keepNext/>
              <w:keepLines/>
              <w:rPr>
                <w:rFonts w:eastAsia="Calibri"/>
                <w:lang w:val="en-GB"/>
              </w:rPr>
            </w:pPr>
            <w:r w:rsidRPr="00DF75A6">
              <w:rPr>
                <w:rFonts w:eastAsia="Calibri"/>
                <w:lang w:val="en-GB"/>
              </w:rPr>
              <w:t xml:space="preserve">Driving </w:t>
            </w:r>
            <w:r w:rsidR="005D2436" w:rsidRPr="00DF75A6">
              <w:rPr>
                <w:rFonts w:eastAsia="Calibri"/>
                <w:lang w:val="en-GB"/>
              </w:rPr>
              <w:t>Comfort</w:t>
            </w:r>
          </w:p>
        </w:tc>
        <w:tc>
          <w:tcPr>
            <w:tcW w:w="1980" w:type="dxa"/>
            <w:vAlign w:val="center"/>
          </w:tcPr>
          <w:p w14:paraId="60F03229"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14</w:t>
            </w:r>
          </w:p>
        </w:tc>
        <w:tc>
          <w:tcPr>
            <w:tcW w:w="1710" w:type="dxa"/>
            <w:vAlign w:val="center"/>
          </w:tcPr>
          <w:p w14:paraId="79C137A4"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19</w:t>
            </w:r>
          </w:p>
        </w:tc>
      </w:tr>
      <w:tr w:rsidR="00413FA2" w:rsidRPr="00DF75A6" w14:paraId="25AB0DA3" w14:textId="77777777" w:rsidTr="00BD0EBB">
        <w:trPr>
          <w:jc w:val="center"/>
        </w:trPr>
        <w:tc>
          <w:tcPr>
            <w:tcW w:w="2875" w:type="dxa"/>
            <w:vAlign w:val="center"/>
          </w:tcPr>
          <w:p w14:paraId="5290A4CD" w14:textId="5A4E80D8" w:rsidR="00413FA2" w:rsidRPr="00DF75A6" w:rsidRDefault="00413FA2" w:rsidP="00520D2D">
            <w:pPr>
              <w:pStyle w:val="ExhibitText"/>
              <w:keepNext/>
              <w:keepLines/>
              <w:rPr>
                <w:rFonts w:eastAsia="Calibri"/>
                <w:lang w:val="en-GB"/>
              </w:rPr>
            </w:pPr>
            <w:r w:rsidRPr="00DF75A6">
              <w:rPr>
                <w:rFonts w:eastAsia="Calibri"/>
                <w:lang w:val="en-GB"/>
              </w:rPr>
              <w:t xml:space="preserve">Engine </w:t>
            </w:r>
            <w:r w:rsidR="005D2436" w:rsidRPr="00DF75A6">
              <w:rPr>
                <w:rFonts w:eastAsia="Calibri"/>
                <w:lang w:val="en-GB"/>
              </w:rPr>
              <w:t>Power</w:t>
            </w:r>
          </w:p>
        </w:tc>
        <w:tc>
          <w:tcPr>
            <w:tcW w:w="1980" w:type="dxa"/>
            <w:vAlign w:val="center"/>
          </w:tcPr>
          <w:p w14:paraId="120F1F7F"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27</w:t>
            </w:r>
          </w:p>
        </w:tc>
        <w:tc>
          <w:tcPr>
            <w:tcW w:w="1710" w:type="dxa"/>
            <w:vAlign w:val="center"/>
          </w:tcPr>
          <w:p w14:paraId="69380880"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13</w:t>
            </w:r>
          </w:p>
        </w:tc>
      </w:tr>
      <w:tr w:rsidR="00413FA2" w:rsidRPr="00DF75A6" w14:paraId="259E7801" w14:textId="77777777" w:rsidTr="00BD0EBB">
        <w:trPr>
          <w:jc w:val="center"/>
        </w:trPr>
        <w:tc>
          <w:tcPr>
            <w:tcW w:w="2875" w:type="dxa"/>
            <w:vAlign w:val="center"/>
          </w:tcPr>
          <w:p w14:paraId="2E36F8B6" w14:textId="77777777" w:rsidR="00413FA2" w:rsidRPr="00DF75A6" w:rsidRDefault="00413FA2" w:rsidP="00520D2D">
            <w:pPr>
              <w:pStyle w:val="ExhibitText"/>
              <w:keepNext/>
              <w:keepLines/>
              <w:rPr>
                <w:rFonts w:eastAsia="Calibri"/>
                <w:lang w:val="en-GB"/>
              </w:rPr>
            </w:pPr>
            <w:r w:rsidRPr="00DF75A6">
              <w:rPr>
                <w:rFonts w:eastAsia="Calibri"/>
                <w:lang w:val="en-GB"/>
              </w:rPr>
              <w:t xml:space="preserve">High Speed </w:t>
            </w:r>
          </w:p>
        </w:tc>
        <w:tc>
          <w:tcPr>
            <w:tcW w:w="1980" w:type="dxa"/>
            <w:vAlign w:val="center"/>
          </w:tcPr>
          <w:p w14:paraId="0DF0376F"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10</w:t>
            </w:r>
          </w:p>
        </w:tc>
        <w:tc>
          <w:tcPr>
            <w:tcW w:w="1710" w:type="dxa"/>
            <w:vAlign w:val="center"/>
          </w:tcPr>
          <w:p w14:paraId="538B6495"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13</w:t>
            </w:r>
          </w:p>
        </w:tc>
      </w:tr>
      <w:tr w:rsidR="00413FA2" w:rsidRPr="00DF75A6" w14:paraId="26774E18" w14:textId="77777777" w:rsidTr="00BD0EBB">
        <w:trPr>
          <w:jc w:val="center"/>
        </w:trPr>
        <w:tc>
          <w:tcPr>
            <w:tcW w:w="2875" w:type="dxa"/>
            <w:vAlign w:val="center"/>
          </w:tcPr>
          <w:p w14:paraId="4B6E89F7" w14:textId="10B1CEA4" w:rsidR="00413FA2" w:rsidRPr="00DF75A6" w:rsidRDefault="00413FA2" w:rsidP="00520D2D">
            <w:pPr>
              <w:pStyle w:val="ExhibitText"/>
              <w:keepNext/>
              <w:keepLines/>
              <w:rPr>
                <w:rFonts w:eastAsia="Calibri"/>
                <w:lang w:val="en-GB"/>
              </w:rPr>
            </w:pPr>
            <w:r w:rsidRPr="00DF75A6">
              <w:rPr>
                <w:rFonts w:eastAsia="Calibri"/>
                <w:lang w:val="en-GB"/>
              </w:rPr>
              <w:t xml:space="preserve">Easy </w:t>
            </w:r>
            <w:r w:rsidR="005D2436" w:rsidRPr="00DF75A6">
              <w:rPr>
                <w:rFonts w:eastAsia="Calibri"/>
                <w:lang w:val="en-GB"/>
              </w:rPr>
              <w:t>Financing</w:t>
            </w:r>
          </w:p>
        </w:tc>
        <w:tc>
          <w:tcPr>
            <w:tcW w:w="1980" w:type="dxa"/>
            <w:vAlign w:val="center"/>
          </w:tcPr>
          <w:p w14:paraId="6AAFAD22"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14</w:t>
            </w:r>
          </w:p>
        </w:tc>
        <w:tc>
          <w:tcPr>
            <w:tcW w:w="1710" w:type="dxa"/>
            <w:vAlign w:val="center"/>
          </w:tcPr>
          <w:p w14:paraId="7091DA79"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10</w:t>
            </w:r>
          </w:p>
        </w:tc>
      </w:tr>
      <w:tr w:rsidR="00413FA2" w:rsidRPr="00DF75A6" w14:paraId="69F0FEAF" w14:textId="77777777" w:rsidTr="00BD0EBB">
        <w:trPr>
          <w:trHeight w:val="278"/>
          <w:jc w:val="center"/>
        </w:trPr>
        <w:tc>
          <w:tcPr>
            <w:tcW w:w="2875" w:type="dxa"/>
            <w:vAlign w:val="center"/>
          </w:tcPr>
          <w:p w14:paraId="49FBA531" w14:textId="105119D6" w:rsidR="00413FA2" w:rsidRPr="00DF75A6" w:rsidRDefault="00413FA2" w:rsidP="00520D2D">
            <w:pPr>
              <w:pStyle w:val="ExhibitText"/>
              <w:keepNext/>
              <w:keepLines/>
              <w:rPr>
                <w:rFonts w:eastAsia="Calibri"/>
                <w:lang w:val="en-GB"/>
              </w:rPr>
            </w:pPr>
            <w:r w:rsidRPr="00DF75A6">
              <w:rPr>
                <w:rFonts w:eastAsia="Calibri"/>
                <w:lang w:val="en-GB"/>
              </w:rPr>
              <w:t xml:space="preserve">Easy </w:t>
            </w:r>
            <w:r w:rsidR="005D2436" w:rsidRPr="00DF75A6">
              <w:rPr>
                <w:rFonts w:eastAsia="Calibri"/>
                <w:lang w:val="en-GB"/>
              </w:rPr>
              <w:t>Repairs</w:t>
            </w:r>
          </w:p>
        </w:tc>
        <w:tc>
          <w:tcPr>
            <w:tcW w:w="1980" w:type="dxa"/>
            <w:vAlign w:val="center"/>
          </w:tcPr>
          <w:p w14:paraId="55FD24A9"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2</w:t>
            </w:r>
          </w:p>
        </w:tc>
        <w:tc>
          <w:tcPr>
            <w:tcW w:w="1710" w:type="dxa"/>
            <w:vAlign w:val="center"/>
          </w:tcPr>
          <w:p w14:paraId="6B745BC1"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7</w:t>
            </w:r>
          </w:p>
        </w:tc>
      </w:tr>
      <w:tr w:rsidR="00413FA2" w:rsidRPr="00DF75A6" w14:paraId="6814EE6E" w14:textId="77777777" w:rsidTr="00BD0EBB">
        <w:trPr>
          <w:jc w:val="center"/>
        </w:trPr>
        <w:tc>
          <w:tcPr>
            <w:tcW w:w="2875" w:type="dxa"/>
            <w:vAlign w:val="center"/>
          </w:tcPr>
          <w:p w14:paraId="5D677E47" w14:textId="7595E991" w:rsidR="00413FA2" w:rsidRPr="00DF75A6" w:rsidRDefault="00413FA2" w:rsidP="00520D2D">
            <w:pPr>
              <w:pStyle w:val="ExhibitText"/>
              <w:keepNext/>
              <w:keepLines/>
              <w:rPr>
                <w:rFonts w:eastAsia="Calibri"/>
                <w:lang w:val="en-GB"/>
              </w:rPr>
            </w:pPr>
            <w:r w:rsidRPr="00DF75A6">
              <w:rPr>
                <w:rFonts w:eastAsia="Calibri"/>
                <w:lang w:val="en-GB"/>
              </w:rPr>
              <w:t xml:space="preserve">High </w:t>
            </w:r>
            <w:r w:rsidR="005D2436" w:rsidRPr="00DF75A6">
              <w:rPr>
                <w:rFonts w:eastAsia="Calibri"/>
                <w:lang w:val="en-GB"/>
              </w:rPr>
              <w:t>Ground Clearance</w:t>
            </w:r>
          </w:p>
        </w:tc>
        <w:tc>
          <w:tcPr>
            <w:tcW w:w="1980" w:type="dxa"/>
            <w:vAlign w:val="center"/>
          </w:tcPr>
          <w:p w14:paraId="6664498D"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7</w:t>
            </w:r>
          </w:p>
        </w:tc>
        <w:tc>
          <w:tcPr>
            <w:tcW w:w="1710" w:type="dxa"/>
            <w:vAlign w:val="center"/>
          </w:tcPr>
          <w:p w14:paraId="3066854F"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14</w:t>
            </w:r>
          </w:p>
        </w:tc>
      </w:tr>
      <w:tr w:rsidR="00413FA2" w:rsidRPr="00DF75A6" w14:paraId="59228F44" w14:textId="77777777" w:rsidTr="00BD0EBB">
        <w:trPr>
          <w:jc w:val="center"/>
        </w:trPr>
        <w:tc>
          <w:tcPr>
            <w:tcW w:w="2875" w:type="dxa"/>
            <w:vAlign w:val="center"/>
          </w:tcPr>
          <w:p w14:paraId="060BDDC9" w14:textId="70F97C55" w:rsidR="00413FA2" w:rsidRPr="00DF75A6" w:rsidRDefault="00413FA2" w:rsidP="00520D2D">
            <w:pPr>
              <w:pStyle w:val="ExhibitText"/>
              <w:keepNext/>
              <w:keepLines/>
              <w:rPr>
                <w:rFonts w:eastAsia="Calibri"/>
                <w:lang w:val="en-GB"/>
              </w:rPr>
            </w:pPr>
            <w:r w:rsidRPr="00DF75A6">
              <w:rPr>
                <w:rFonts w:eastAsia="Calibri"/>
                <w:lang w:val="en-GB"/>
              </w:rPr>
              <w:t xml:space="preserve">Availability of </w:t>
            </w:r>
            <w:r w:rsidR="005D2436" w:rsidRPr="00DF75A6">
              <w:rPr>
                <w:rFonts w:eastAsia="Calibri"/>
                <w:lang w:val="en-GB"/>
              </w:rPr>
              <w:t>Spare Parts</w:t>
            </w:r>
          </w:p>
        </w:tc>
        <w:tc>
          <w:tcPr>
            <w:tcW w:w="1980" w:type="dxa"/>
            <w:vAlign w:val="center"/>
          </w:tcPr>
          <w:p w14:paraId="10482A1C"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7</w:t>
            </w:r>
          </w:p>
        </w:tc>
        <w:tc>
          <w:tcPr>
            <w:tcW w:w="1710" w:type="dxa"/>
            <w:vAlign w:val="center"/>
          </w:tcPr>
          <w:p w14:paraId="3B842F97"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9</w:t>
            </w:r>
          </w:p>
        </w:tc>
      </w:tr>
      <w:tr w:rsidR="00413FA2" w:rsidRPr="00DF75A6" w14:paraId="16FE45C5" w14:textId="77777777" w:rsidTr="00BD0EBB">
        <w:trPr>
          <w:jc w:val="center"/>
        </w:trPr>
        <w:tc>
          <w:tcPr>
            <w:tcW w:w="2875" w:type="dxa"/>
            <w:vAlign w:val="center"/>
          </w:tcPr>
          <w:p w14:paraId="1DDF149F" w14:textId="2E23C5DC" w:rsidR="00413FA2" w:rsidRPr="00DF75A6" w:rsidRDefault="00413FA2" w:rsidP="00520D2D">
            <w:pPr>
              <w:pStyle w:val="ExhibitText"/>
              <w:keepNext/>
              <w:keepLines/>
              <w:rPr>
                <w:rFonts w:eastAsia="Calibri"/>
                <w:lang w:val="en-GB"/>
              </w:rPr>
            </w:pPr>
            <w:r w:rsidRPr="00DF75A6">
              <w:rPr>
                <w:rFonts w:eastAsia="Calibri"/>
                <w:lang w:val="en-GB"/>
              </w:rPr>
              <w:t xml:space="preserve">Resale </w:t>
            </w:r>
            <w:r w:rsidR="005D2436" w:rsidRPr="00DF75A6">
              <w:rPr>
                <w:rFonts w:eastAsia="Calibri"/>
                <w:lang w:val="en-GB"/>
              </w:rPr>
              <w:t>Price</w:t>
            </w:r>
          </w:p>
        </w:tc>
        <w:tc>
          <w:tcPr>
            <w:tcW w:w="1980" w:type="dxa"/>
            <w:vAlign w:val="center"/>
          </w:tcPr>
          <w:p w14:paraId="1226E757"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8</w:t>
            </w:r>
          </w:p>
        </w:tc>
        <w:tc>
          <w:tcPr>
            <w:tcW w:w="1710" w:type="dxa"/>
            <w:vAlign w:val="center"/>
          </w:tcPr>
          <w:p w14:paraId="7985A455"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11</w:t>
            </w:r>
          </w:p>
        </w:tc>
      </w:tr>
      <w:tr w:rsidR="00413FA2" w:rsidRPr="00DF75A6" w14:paraId="74D4EB1F" w14:textId="77777777" w:rsidTr="00BD0EBB">
        <w:trPr>
          <w:jc w:val="center"/>
        </w:trPr>
        <w:tc>
          <w:tcPr>
            <w:tcW w:w="2875" w:type="dxa"/>
            <w:vAlign w:val="center"/>
          </w:tcPr>
          <w:p w14:paraId="33C757D4" w14:textId="2D6A61DD" w:rsidR="00413FA2" w:rsidRPr="00DF75A6" w:rsidRDefault="00413FA2" w:rsidP="00520D2D">
            <w:pPr>
              <w:pStyle w:val="ExhibitText"/>
              <w:keepNext/>
              <w:keepLines/>
              <w:rPr>
                <w:rFonts w:eastAsia="Calibri"/>
                <w:lang w:val="en-GB"/>
              </w:rPr>
            </w:pPr>
            <w:r w:rsidRPr="00DF75A6">
              <w:rPr>
                <w:rFonts w:eastAsia="Calibri"/>
                <w:lang w:val="en-GB"/>
              </w:rPr>
              <w:t xml:space="preserve">Brand </w:t>
            </w:r>
            <w:r w:rsidR="005D2436" w:rsidRPr="00DF75A6">
              <w:rPr>
                <w:rFonts w:eastAsia="Calibri"/>
                <w:lang w:val="en-GB"/>
              </w:rPr>
              <w:t>Value</w:t>
            </w:r>
          </w:p>
        </w:tc>
        <w:tc>
          <w:tcPr>
            <w:tcW w:w="1980" w:type="dxa"/>
            <w:vAlign w:val="center"/>
          </w:tcPr>
          <w:p w14:paraId="018141E0"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13</w:t>
            </w:r>
          </w:p>
        </w:tc>
        <w:tc>
          <w:tcPr>
            <w:tcW w:w="1710" w:type="dxa"/>
            <w:vAlign w:val="center"/>
          </w:tcPr>
          <w:p w14:paraId="56C8EA64" w14:textId="77777777" w:rsidR="00413FA2" w:rsidRPr="00DF75A6" w:rsidRDefault="00413FA2" w:rsidP="00BD0EBB">
            <w:pPr>
              <w:pStyle w:val="ExhibitText"/>
              <w:keepNext/>
              <w:keepLines/>
              <w:jc w:val="center"/>
              <w:rPr>
                <w:rFonts w:eastAsia="Calibri"/>
                <w:lang w:val="en-GB"/>
              </w:rPr>
            </w:pPr>
            <w:r w:rsidRPr="00DF75A6">
              <w:rPr>
                <w:rFonts w:eastAsia="Calibri"/>
                <w:lang w:val="en-GB"/>
              </w:rPr>
              <w:t>12</w:t>
            </w:r>
          </w:p>
        </w:tc>
      </w:tr>
    </w:tbl>
    <w:p w14:paraId="274D060A" w14:textId="77777777" w:rsidR="00413FA2" w:rsidRPr="00DF75A6" w:rsidRDefault="00413FA2" w:rsidP="00520D2D">
      <w:pPr>
        <w:pStyle w:val="Footnote"/>
        <w:keepNext/>
        <w:keepLines/>
        <w:rPr>
          <w:rFonts w:eastAsia="Calibri"/>
          <w:lang w:val="en-GB"/>
        </w:rPr>
      </w:pPr>
    </w:p>
    <w:p w14:paraId="50ED7830" w14:textId="5AF76C45" w:rsidR="00413FA2" w:rsidRPr="00DF75A6" w:rsidRDefault="00413FA2" w:rsidP="00520D2D">
      <w:pPr>
        <w:pStyle w:val="Footnote"/>
        <w:keepNext/>
        <w:keepLines/>
        <w:rPr>
          <w:rFonts w:eastAsia="Calibri"/>
          <w:i w:val="0"/>
          <w:lang w:val="en-GB"/>
        </w:rPr>
      </w:pPr>
      <w:r w:rsidRPr="00DF75A6">
        <w:rPr>
          <w:rFonts w:eastAsia="Calibri"/>
          <w:i w:val="0"/>
          <w:lang w:val="en-GB"/>
        </w:rPr>
        <w:t xml:space="preserve">Source: Created by </w:t>
      </w:r>
      <w:r w:rsidR="00C85AE9">
        <w:rPr>
          <w:rFonts w:eastAsia="Calibri"/>
          <w:i w:val="0"/>
          <w:lang w:val="en-GB"/>
        </w:rPr>
        <w:t xml:space="preserve">the </w:t>
      </w:r>
      <w:r w:rsidR="005C7BCC">
        <w:rPr>
          <w:rFonts w:eastAsia="Calibri"/>
          <w:i w:val="0"/>
          <w:lang w:val="en-GB"/>
        </w:rPr>
        <w:t xml:space="preserve">authors </w:t>
      </w:r>
      <w:r w:rsidR="005C7BCC">
        <w:rPr>
          <w:rFonts w:eastAsia="Calibri"/>
          <w:i w:val="0"/>
          <w:lang w:val="en-GB"/>
        </w:rPr>
        <w:t>based on company documents.</w:t>
      </w:r>
    </w:p>
    <w:p w14:paraId="67BC5BEF" w14:textId="77777777" w:rsidR="005D2436" w:rsidRPr="00DF75A6" w:rsidRDefault="005D2436" w:rsidP="00413FA2">
      <w:pPr>
        <w:pStyle w:val="Footnote"/>
        <w:rPr>
          <w:rFonts w:eastAsia="Calibri"/>
          <w:i w:val="0"/>
          <w:lang w:val="en-GB"/>
        </w:rPr>
      </w:pPr>
    </w:p>
    <w:p w14:paraId="401FD2D7" w14:textId="77777777" w:rsidR="005D2436" w:rsidRPr="00DF75A6" w:rsidRDefault="005D2436" w:rsidP="00413FA2">
      <w:pPr>
        <w:pStyle w:val="Footnote"/>
        <w:rPr>
          <w:rFonts w:eastAsia="Calibri"/>
          <w:i w:val="0"/>
          <w:lang w:val="en-GB"/>
        </w:rPr>
      </w:pPr>
    </w:p>
    <w:p w14:paraId="41289903" w14:textId="65392610" w:rsidR="00413FA2" w:rsidRPr="00DF75A6" w:rsidRDefault="00413FA2" w:rsidP="00413FA2">
      <w:pPr>
        <w:pStyle w:val="ExhibitHeading"/>
        <w:rPr>
          <w:rFonts w:eastAsia="Calibri"/>
          <w:lang w:val="en-GB"/>
        </w:rPr>
      </w:pPr>
      <w:r w:rsidRPr="00DF75A6">
        <w:rPr>
          <w:rFonts w:eastAsia="Calibri"/>
          <w:lang w:val="en-GB"/>
        </w:rPr>
        <w:t>Exhibit 4: Key purchase drivers for pickup customers</w:t>
      </w:r>
      <w:r w:rsidR="005D2436" w:rsidRPr="00DF75A6">
        <w:rPr>
          <w:rFonts w:eastAsia="Calibri"/>
          <w:lang w:val="en-GB"/>
        </w:rPr>
        <w:t>—</w:t>
      </w:r>
      <w:r w:rsidRPr="00DF75A6">
        <w:rPr>
          <w:rFonts w:eastAsia="Calibri"/>
          <w:lang w:val="en-GB"/>
        </w:rPr>
        <w:t>product attributes important to customer</w:t>
      </w:r>
      <w:r w:rsidR="005D2436" w:rsidRPr="00DF75A6">
        <w:rPr>
          <w:rFonts w:eastAsia="Calibri"/>
          <w:lang w:val="en-GB"/>
        </w:rPr>
        <w:t>s</w:t>
      </w:r>
    </w:p>
    <w:p w14:paraId="4D82DE2F" w14:textId="77777777" w:rsidR="00413FA2" w:rsidRPr="00DF75A6" w:rsidRDefault="00413FA2" w:rsidP="00413FA2">
      <w:pPr>
        <w:pStyle w:val="ExhibitText"/>
        <w:rPr>
          <w:rFonts w:eastAsia="Calibri"/>
          <w:lang w:val="en-GB"/>
        </w:rPr>
      </w:pPr>
    </w:p>
    <w:tbl>
      <w:tblPr>
        <w:tblStyle w:val="TableGrid"/>
        <w:tblW w:w="7645" w:type="dxa"/>
        <w:jc w:val="center"/>
        <w:tblLayout w:type="fixed"/>
        <w:tblLook w:val="04A0" w:firstRow="1" w:lastRow="0" w:firstColumn="1" w:lastColumn="0" w:noHBand="0" w:noVBand="1"/>
      </w:tblPr>
      <w:tblGrid>
        <w:gridCol w:w="1906"/>
        <w:gridCol w:w="1869"/>
        <w:gridCol w:w="2070"/>
        <w:gridCol w:w="1800"/>
      </w:tblGrid>
      <w:tr w:rsidR="00413FA2" w:rsidRPr="00DF75A6" w14:paraId="174294C3" w14:textId="77777777" w:rsidTr="00520D2D">
        <w:trPr>
          <w:jc w:val="center"/>
        </w:trPr>
        <w:tc>
          <w:tcPr>
            <w:tcW w:w="1906" w:type="dxa"/>
            <w:vAlign w:val="center"/>
          </w:tcPr>
          <w:p w14:paraId="30927F9A" w14:textId="77777777" w:rsidR="00413FA2" w:rsidRPr="00DF75A6" w:rsidRDefault="00413FA2" w:rsidP="00BD0EBB">
            <w:pPr>
              <w:pStyle w:val="ExhibitText"/>
              <w:jc w:val="center"/>
              <w:rPr>
                <w:rFonts w:eastAsia="Calibri"/>
                <w:b/>
                <w:lang w:val="en-GB"/>
              </w:rPr>
            </w:pPr>
            <w:r w:rsidRPr="00DF75A6">
              <w:rPr>
                <w:rFonts w:eastAsia="Calibri"/>
                <w:b/>
                <w:lang w:val="en-GB"/>
              </w:rPr>
              <w:t>Attribute</w:t>
            </w:r>
          </w:p>
        </w:tc>
        <w:tc>
          <w:tcPr>
            <w:tcW w:w="1869" w:type="dxa"/>
            <w:vAlign w:val="center"/>
          </w:tcPr>
          <w:p w14:paraId="7F35F834" w14:textId="5C76184A" w:rsidR="00413FA2" w:rsidRPr="00DF75A6" w:rsidRDefault="00413FA2" w:rsidP="007074E2">
            <w:pPr>
              <w:pStyle w:val="ExhibitText"/>
              <w:jc w:val="center"/>
              <w:rPr>
                <w:rFonts w:eastAsia="Calibri"/>
                <w:b/>
                <w:lang w:val="en-GB"/>
              </w:rPr>
            </w:pPr>
            <w:r w:rsidRPr="00DF75A6">
              <w:rPr>
                <w:rFonts w:eastAsia="Calibri"/>
                <w:b/>
                <w:lang w:val="en-GB"/>
              </w:rPr>
              <w:t xml:space="preserve">Percentage </w:t>
            </w:r>
            <w:r w:rsidR="005D2436" w:rsidRPr="00DF75A6">
              <w:rPr>
                <w:rFonts w:eastAsia="Calibri"/>
                <w:b/>
                <w:lang w:val="en-GB"/>
              </w:rPr>
              <w:t>Importance</w:t>
            </w:r>
          </w:p>
        </w:tc>
        <w:tc>
          <w:tcPr>
            <w:tcW w:w="2070" w:type="dxa"/>
            <w:vAlign w:val="center"/>
          </w:tcPr>
          <w:p w14:paraId="547FEB1C" w14:textId="77777777" w:rsidR="00413FA2" w:rsidRPr="00DF75A6" w:rsidRDefault="00413FA2" w:rsidP="003D416E">
            <w:pPr>
              <w:pStyle w:val="ExhibitText"/>
              <w:jc w:val="center"/>
              <w:rPr>
                <w:rFonts w:eastAsia="Calibri"/>
                <w:b/>
                <w:lang w:val="en-GB"/>
              </w:rPr>
            </w:pPr>
            <w:r w:rsidRPr="00DF75A6">
              <w:rPr>
                <w:rFonts w:eastAsia="Calibri"/>
                <w:b/>
                <w:lang w:val="en-GB"/>
              </w:rPr>
              <w:t>Attribute</w:t>
            </w:r>
          </w:p>
        </w:tc>
        <w:tc>
          <w:tcPr>
            <w:tcW w:w="1800" w:type="dxa"/>
            <w:vAlign w:val="center"/>
          </w:tcPr>
          <w:p w14:paraId="4A6B73B4" w14:textId="398EBEFA" w:rsidR="00413FA2" w:rsidRPr="00DF75A6" w:rsidRDefault="00413FA2" w:rsidP="007074E2">
            <w:pPr>
              <w:pStyle w:val="ExhibitText"/>
              <w:jc w:val="center"/>
              <w:rPr>
                <w:rFonts w:eastAsia="Calibri"/>
                <w:b/>
                <w:lang w:val="en-GB"/>
              </w:rPr>
            </w:pPr>
            <w:r w:rsidRPr="00DF75A6">
              <w:rPr>
                <w:rFonts w:eastAsia="Calibri"/>
                <w:b/>
                <w:lang w:val="en-GB"/>
              </w:rPr>
              <w:t xml:space="preserve">Percentage </w:t>
            </w:r>
            <w:r w:rsidR="005D2436" w:rsidRPr="00DF75A6">
              <w:rPr>
                <w:rFonts w:eastAsia="Calibri"/>
                <w:b/>
                <w:lang w:val="en-GB"/>
              </w:rPr>
              <w:t>Importance</w:t>
            </w:r>
          </w:p>
        </w:tc>
      </w:tr>
      <w:tr w:rsidR="00413FA2" w:rsidRPr="00DF75A6" w14:paraId="7938FD74" w14:textId="77777777" w:rsidTr="00BD0EBB">
        <w:trPr>
          <w:jc w:val="center"/>
        </w:trPr>
        <w:tc>
          <w:tcPr>
            <w:tcW w:w="1906" w:type="dxa"/>
            <w:vAlign w:val="center"/>
          </w:tcPr>
          <w:p w14:paraId="7051C48B" w14:textId="79CB1B6F" w:rsidR="00413FA2" w:rsidRPr="00DF75A6" w:rsidRDefault="00413FA2" w:rsidP="00520D2D">
            <w:pPr>
              <w:pStyle w:val="ExhibitText"/>
              <w:jc w:val="left"/>
              <w:rPr>
                <w:rFonts w:eastAsia="Calibri"/>
                <w:lang w:val="en-GB"/>
              </w:rPr>
            </w:pPr>
            <w:r w:rsidRPr="00DF75A6">
              <w:rPr>
                <w:rFonts w:eastAsia="Calibri"/>
                <w:lang w:val="en-GB"/>
              </w:rPr>
              <w:t xml:space="preserve">High </w:t>
            </w:r>
            <w:r w:rsidR="005D2436" w:rsidRPr="00DF75A6">
              <w:rPr>
                <w:rFonts w:eastAsia="Calibri"/>
                <w:lang w:val="en-GB"/>
              </w:rPr>
              <w:t>Load-Carrying Capacity</w:t>
            </w:r>
          </w:p>
        </w:tc>
        <w:tc>
          <w:tcPr>
            <w:tcW w:w="1869" w:type="dxa"/>
            <w:vAlign w:val="center"/>
          </w:tcPr>
          <w:p w14:paraId="0BEE022F" w14:textId="77777777" w:rsidR="00413FA2" w:rsidRPr="00DF75A6" w:rsidRDefault="00413FA2" w:rsidP="00BD0EBB">
            <w:pPr>
              <w:pStyle w:val="ExhibitText"/>
              <w:jc w:val="center"/>
              <w:rPr>
                <w:rFonts w:eastAsia="Calibri"/>
                <w:lang w:val="en-GB"/>
              </w:rPr>
            </w:pPr>
            <w:r w:rsidRPr="00DF75A6">
              <w:rPr>
                <w:rFonts w:eastAsia="Calibri"/>
                <w:lang w:val="en-GB"/>
              </w:rPr>
              <w:t>55</w:t>
            </w:r>
          </w:p>
        </w:tc>
        <w:tc>
          <w:tcPr>
            <w:tcW w:w="2070" w:type="dxa"/>
            <w:vAlign w:val="center"/>
          </w:tcPr>
          <w:p w14:paraId="44D677F3" w14:textId="77777777" w:rsidR="00413FA2" w:rsidRPr="00DF75A6" w:rsidRDefault="00413FA2" w:rsidP="00520D2D">
            <w:pPr>
              <w:pStyle w:val="ExhibitText"/>
              <w:jc w:val="left"/>
              <w:rPr>
                <w:rFonts w:eastAsia="Calibri"/>
                <w:lang w:val="en-GB"/>
              </w:rPr>
            </w:pPr>
            <w:r w:rsidRPr="00DF75A6">
              <w:rPr>
                <w:rFonts w:eastAsia="Calibri"/>
                <w:lang w:val="en-GB"/>
              </w:rPr>
              <w:t>High Speed</w:t>
            </w:r>
          </w:p>
        </w:tc>
        <w:tc>
          <w:tcPr>
            <w:tcW w:w="1800" w:type="dxa"/>
            <w:vAlign w:val="center"/>
          </w:tcPr>
          <w:p w14:paraId="72C48BED" w14:textId="77777777" w:rsidR="00413FA2" w:rsidRPr="00DF75A6" w:rsidRDefault="00413FA2" w:rsidP="00BD0EBB">
            <w:pPr>
              <w:pStyle w:val="ExhibitText"/>
              <w:jc w:val="center"/>
              <w:rPr>
                <w:rFonts w:eastAsia="Calibri"/>
                <w:lang w:val="en-GB"/>
              </w:rPr>
            </w:pPr>
            <w:r w:rsidRPr="00DF75A6">
              <w:rPr>
                <w:rFonts w:eastAsia="Calibri"/>
                <w:lang w:val="en-GB"/>
              </w:rPr>
              <w:t>11</w:t>
            </w:r>
          </w:p>
        </w:tc>
      </w:tr>
      <w:tr w:rsidR="00413FA2" w:rsidRPr="00DF75A6" w14:paraId="3BAB5429" w14:textId="77777777" w:rsidTr="00BD0EBB">
        <w:trPr>
          <w:jc w:val="center"/>
        </w:trPr>
        <w:tc>
          <w:tcPr>
            <w:tcW w:w="1906" w:type="dxa"/>
            <w:vAlign w:val="center"/>
          </w:tcPr>
          <w:p w14:paraId="1A603CCF" w14:textId="7FE85952" w:rsidR="00413FA2" w:rsidRPr="00DF75A6" w:rsidRDefault="00413FA2" w:rsidP="00520D2D">
            <w:pPr>
              <w:pStyle w:val="ExhibitText"/>
              <w:jc w:val="left"/>
              <w:rPr>
                <w:rFonts w:eastAsia="Calibri"/>
                <w:lang w:val="en-GB"/>
              </w:rPr>
            </w:pPr>
            <w:r w:rsidRPr="00DF75A6">
              <w:rPr>
                <w:rFonts w:eastAsia="Calibri"/>
                <w:lang w:val="en-GB"/>
              </w:rPr>
              <w:t xml:space="preserve">Fuel </w:t>
            </w:r>
            <w:r w:rsidR="005D2436" w:rsidRPr="00DF75A6">
              <w:rPr>
                <w:rFonts w:eastAsia="Calibri"/>
                <w:lang w:val="en-GB"/>
              </w:rPr>
              <w:t>Efficiency</w:t>
            </w:r>
          </w:p>
        </w:tc>
        <w:tc>
          <w:tcPr>
            <w:tcW w:w="1869" w:type="dxa"/>
            <w:vAlign w:val="center"/>
          </w:tcPr>
          <w:p w14:paraId="790999CD" w14:textId="77777777" w:rsidR="00413FA2" w:rsidRPr="00DF75A6" w:rsidRDefault="00413FA2" w:rsidP="00BD0EBB">
            <w:pPr>
              <w:pStyle w:val="ExhibitText"/>
              <w:jc w:val="center"/>
              <w:rPr>
                <w:rFonts w:eastAsia="Calibri"/>
                <w:lang w:val="en-GB"/>
              </w:rPr>
            </w:pPr>
            <w:r w:rsidRPr="00DF75A6">
              <w:rPr>
                <w:rFonts w:eastAsia="Calibri"/>
                <w:lang w:val="en-GB"/>
              </w:rPr>
              <w:t>40</w:t>
            </w:r>
          </w:p>
        </w:tc>
        <w:tc>
          <w:tcPr>
            <w:tcW w:w="2070" w:type="dxa"/>
            <w:vAlign w:val="center"/>
          </w:tcPr>
          <w:p w14:paraId="005E4E0E" w14:textId="1307C044" w:rsidR="00413FA2" w:rsidRPr="00DF75A6" w:rsidRDefault="00413FA2" w:rsidP="00520D2D">
            <w:pPr>
              <w:pStyle w:val="ExhibitText"/>
              <w:jc w:val="left"/>
              <w:rPr>
                <w:rFonts w:eastAsia="Calibri"/>
                <w:lang w:val="en-GB"/>
              </w:rPr>
            </w:pPr>
            <w:r w:rsidRPr="00DF75A6">
              <w:rPr>
                <w:rFonts w:eastAsia="Calibri"/>
                <w:lang w:val="en-GB"/>
              </w:rPr>
              <w:t xml:space="preserve">Easy </w:t>
            </w:r>
            <w:r w:rsidR="007074E2" w:rsidRPr="00DF75A6">
              <w:rPr>
                <w:rFonts w:eastAsia="Calibri"/>
                <w:lang w:val="en-GB"/>
              </w:rPr>
              <w:t>Financing</w:t>
            </w:r>
          </w:p>
        </w:tc>
        <w:tc>
          <w:tcPr>
            <w:tcW w:w="1800" w:type="dxa"/>
            <w:vAlign w:val="center"/>
          </w:tcPr>
          <w:p w14:paraId="3CE516E0" w14:textId="77777777" w:rsidR="00413FA2" w:rsidRPr="00DF75A6" w:rsidRDefault="00413FA2" w:rsidP="00BD0EBB">
            <w:pPr>
              <w:pStyle w:val="ExhibitText"/>
              <w:jc w:val="center"/>
              <w:rPr>
                <w:rFonts w:eastAsia="Calibri"/>
                <w:lang w:val="en-GB"/>
              </w:rPr>
            </w:pPr>
            <w:r w:rsidRPr="00DF75A6">
              <w:rPr>
                <w:rFonts w:eastAsia="Calibri"/>
                <w:lang w:val="en-GB"/>
              </w:rPr>
              <w:t>10</w:t>
            </w:r>
          </w:p>
        </w:tc>
      </w:tr>
      <w:tr w:rsidR="00413FA2" w:rsidRPr="00DF75A6" w14:paraId="7714D70F" w14:textId="77777777" w:rsidTr="00BD0EBB">
        <w:trPr>
          <w:jc w:val="center"/>
        </w:trPr>
        <w:tc>
          <w:tcPr>
            <w:tcW w:w="1906" w:type="dxa"/>
            <w:vAlign w:val="center"/>
          </w:tcPr>
          <w:p w14:paraId="36C88761" w14:textId="2B67999E" w:rsidR="00413FA2" w:rsidRPr="00DF75A6" w:rsidRDefault="00413FA2" w:rsidP="00520D2D">
            <w:pPr>
              <w:pStyle w:val="ExhibitText"/>
              <w:jc w:val="left"/>
              <w:rPr>
                <w:rFonts w:eastAsia="Calibri"/>
                <w:lang w:val="en-GB"/>
              </w:rPr>
            </w:pPr>
            <w:r w:rsidRPr="00DF75A6">
              <w:rPr>
                <w:rFonts w:eastAsia="Calibri"/>
                <w:lang w:val="en-GB"/>
              </w:rPr>
              <w:t>Good Pick-</w:t>
            </w:r>
            <w:r w:rsidR="005D2436" w:rsidRPr="00DF75A6">
              <w:rPr>
                <w:rFonts w:eastAsia="Calibri"/>
                <w:lang w:val="en-GB"/>
              </w:rPr>
              <w:t>Up</w:t>
            </w:r>
          </w:p>
        </w:tc>
        <w:tc>
          <w:tcPr>
            <w:tcW w:w="1869" w:type="dxa"/>
            <w:vAlign w:val="center"/>
          </w:tcPr>
          <w:p w14:paraId="45FE6FF3" w14:textId="77777777" w:rsidR="00413FA2" w:rsidRPr="00DF75A6" w:rsidRDefault="00413FA2" w:rsidP="00BD0EBB">
            <w:pPr>
              <w:pStyle w:val="ExhibitText"/>
              <w:jc w:val="center"/>
              <w:rPr>
                <w:rFonts w:eastAsia="Calibri"/>
                <w:lang w:val="en-GB"/>
              </w:rPr>
            </w:pPr>
            <w:r w:rsidRPr="00DF75A6">
              <w:rPr>
                <w:rFonts w:eastAsia="Calibri"/>
                <w:lang w:val="en-GB"/>
              </w:rPr>
              <w:t>32</w:t>
            </w:r>
          </w:p>
        </w:tc>
        <w:tc>
          <w:tcPr>
            <w:tcW w:w="2070" w:type="dxa"/>
            <w:vAlign w:val="center"/>
          </w:tcPr>
          <w:p w14:paraId="4D19A3B4" w14:textId="407CFC9E" w:rsidR="00413FA2" w:rsidRPr="00DF75A6" w:rsidRDefault="00413FA2" w:rsidP="00520D2D">
            <w:pPr>
              <w:pStyle w:val="ExhibitText"/>
              <w:jc w:val="left"/>
              <w:rPr>
                <w:rFonts w:eastAsia="Calibri"/>
                <w:lang w:val="en-GB"/>
              </w:rPr>
            </w:pPr>
            <w:r w:rsidRPr="00DF75A6">
              <w:rPr>
                <w:rFonts w:eastAsia="Calibri"/>
                <w:lang w:val="en-GB"/>
              </w:rPr>
              <w:t xml:space="preserve">Easy </w:t>
            </w:r>
            <w:r w:rsidR="007074E2" w:rsidRPr="00DF75A6">
              <w:rPr>
                <w:rFonts w:eastAsia="Calibri"/>
                <w:lang w:val="en-GB"/>
              </w:rPr>
              <w:t>R</w:t>
            </w:r>
            <w:r w:rsidRPr="00DF75A6">
              <w:rPr>
                <w:rFonts w:eastAsia="Calibri"/>
                <w:lang w:val="en-GB"/>
              </w:rPr>
              <w:t>epair</w:t>
            </w:r>
            <w:r w:rsidR="007074E2" w:rsidRPr="00DF75A6">
              <w:rPr>
                <w:rFonts w:eastAsia="Calibri"/>
                <w:lang w:val="en-GB"/>
              </w:rPr>
              <w:t>s</w:t>
            </w:r>
          </w:p>
        </w:tc>
        <w:tc>
          <w:tcPr>
            <w:tcW w:w="1800" w:type="dxa"/>
            <w:vAlign w:val="center"/>
          </w:tcPr>
          <w:p w14:paraId="6BAA15D7" w14:textId="77777777" w:rsidR="00413FA2" w:rsidRPr="00DF75A6" w:rsidRDefault="00413FA2" w:rsidP="00BD0EBB">
            <w:pPr>
              <w:pStyle w:val="ExhibitText"/>
              <w:jc w:val="center"/>
              <w:rPr>
                <w:rFonts w:eastAsia="Calibri"/>
                <w:lang w:val="en-GB"/>
              </w:rPr>
            </w:pPr>
            <w:r w:rsidRPr="00DF75A6">
              <w:rPr>
                <w:rFonts w:eastAsia="Calibri"/>
                <w:lang w:val="en-GB"/>
              </w:rPr>
              <w:t>8</w:t>
            </w:r>
          </w:p>
        </w:tc>
      </w:tr>
      <w:tr w:rsidR="00413FA2" w:rsidRPr="00DF75A6" w14:paraId="2A2BC148" w14:textId="77777777" w:rsidTr="00BD0EBB">
        <w:trPr>
          <w:jc w:val="center"/>
        </w:trPr>
        <w:tc>
          <w:tcPr>
            <w:tcW w:w="1906" w:type="dxa"/>
            <w:vAlign w:val="center"/>
          </w:tcPr>
          <w:p w14:paraId="758B4153" w14:textId="77777777" w:rsidR="00413FA2" w:rsidRPr="00DF75A6" w:rsidRDefault="00413FA2" w:rsidP="00520D2D">
            <w:pPr>
              <w:pStyle w:val="ExhibitText"/>
              <w:jc w:val="left"/>
              <w:rPr>
                <w:rFonts w:eastAsia="Calibri"/>
                <w:lang w:val="en-GB"/>
              </w:rPr>
            </w:pPr>
            <w:r w:rsidRPr="00DF75A6">
              <w:rPr>
                <w:rFonts w:eastAsia="Calibri"/>
                <w:lang w:val="en-GB"/>
              </w:rPr>
              <w:t>Low Maintenance</w:t>
            </w:r>
          </w:p>
        </w:tc>
        <w:tc>
          <w:tcPr>
            <w:tcW w:w="1869" w:type="dxa"/>
            <w:vAlign w:val="center"/>
          </w:tcPr>
          <w:p w14:paraId="7A55F620" w14:textId="77777777" w:rsidR="00413FA2" w:rsidRPr="00DF75A6" w:rsidRDefault="00413FA2" w:rsidP="00BD0EBB">
            <w:pPr>
              <w:pStyle w:val="ExhibitText"/>
              <w:jc w:val="center"/>
              <w:rPr>
                <w:rFonts w:eastAsia="Calibri"/>
                <w:lang w:val="en-GB"/>
              </w:rPr>
            </w:pPr>
            <w:r w:rsidRPr="00DF75A6">
              <w:rPr>
                <w:rFonts w:eastAsia="Calibri"/>
                <w:lang w:val="en-GB"/>
              </w:rPr>
              <w:t>20</w:t>
            </w:r>
          </w:p>
        </w:tc>
        <w:tc>
          <w:tcPr>
            <w:tcW w:w="2070" w:type="dxa"/>
            <w:vAlign w:val="center"/>
          </w:tcPr>
          <w:p w14:paraId="4ED015E5" w14:textId="505933E8" w:rsidR="00413FA2" w:rsidRPr="00DF75A6" w:rsidRDefault="00413FA2" w:rsidP="00520D2D">
            <w:pPr>
              <w:pStyle w:val="ExhibitText"/>
              <w:jc w:val="left"/>
              <w:rPr>
                <w:rFonts w:eastAsia="Calibri"/>
                <w:lang w:val="en-GB"/>
              </w:rPr>
            </w:pPr>
            <w:r w:rsidRPr="00DF75A6">
              <w:rPr>
                <w:rFonts w:eastAsia="Calibri"/>
                <w:lang w:val="en-GB"/>
              </w:rPr>
              <w:t xml:space="preserve">High </w:t>
            </w:r>
            <w:r w:rsidR="007074E2" w:rsidRPr="00DF75A6">
              <w:rPr>
                <w:rFonts w:eastAsia="Calibri"/>
                <w:lang w:val="en-GB"/>
              </w:rPr>
              <w:t>Ground Clearance</w:t>
            </w:r>
          </w:p>
        </w:tc>
        <w:tc>
          <w:tcPr>
            <w:tcW w:w="1800" w:type="dxa"/>
            <w:vAlign w:val="center"/>
          </w:tcPr>
          <w:p w14:paraId="1FE4DE2A" w14:textId="77777777" w:rsidR="00413FA2" w:rsidRPr="00DF75A6" w:rsidRDefault="00413FA2" w:rsidP="00BD0EBB">
            <w:pPr>
              <w:pStyle w:val="ExhibitText"/>
              <w:jc w:val="center"/>
              <w:rPr>
                <w:rFonts w:eastAsia="Calibri"/>
                <w:lang w:val="en-GB"/>
              </w:rPr>
            </w:pPr>
            <w:r w:rsidRPr="00DF75A6">
              <w:rPr>
                <w:rFonts w:eastAsia="Calibri"/>
                <w:lang w:val="en-GB"/>
              </w:rPr>
              <w:t>7</w:t>
            </w:r>
          </w:p>
        </w:tc>
      </w:tr>
      <w:tr w:rsidR="00413FA2" w:rsidRPr="00DF75A6" w14:paraId="4543EE30" w14:textId="77777777" w:rsidTr="00BD0EBB">
        <w:trPr>
          <w:jc w:val="center"/>
        </w:trPr>
        <w:tc>
          <w:tcPr>
            <w:tcW w:w="1906" w:type="dxa"/>
            <w:vAlign w:val="center"/>
          </w:tcPr>
          <w:p w14:paraId="6BA2C0B1" w14:textId="77777777" w:rsidR="00413FA2" w:rsidRPr="00DF75A6" w:rsidRDefault="00413FA2" w:rsidP="00520D2D">
            <w:pPr>
              <w:pStyle w:val="ExhibitText"/>
              <w:jc w:val="left"/>
              <w:rPr>
                <w:rFonts w:eastAsia="Calibri"/>
                <w:lang w:val="en-GB"/>
              </w:rPr>
            </w:pPr>
            <w:r w:rsidRPr="00DF75A6">
              <w:rPr>
                <w:rFonts w:eastAsia="Calibri"/>
                <w:lang w:val="en-GB"/>
              </w:rPr>
              <w:t>Price</w:t>
            </w:r>
          </w:p>
        </w:tc>
        <w:tc>
          <w:tcPr>
            <w:tcW w:w="1869" w:type="dxa"/>
            <w:vAlign w:val="center"/>
          </w:tcPr>
          <w:p w14:paraId="5DC748D3" w14:textId="77777777" w:rsidR="00413FA2" w:rsidRPr="00DF75A6" w:rsidRDefault="00413FA2" w:rsidP="00BD0EBB">
            <w:pPr>
              <w:pStyle w:val="ExhibitText"/>
              <w:jc w:val="center"/>
              <w:rPr>
                <w:rFonts w:eastAsia="Calibri"/>
                <w:lang w:val="en-GB"/>
              </w:rPr>
            </w:pPr>
            <w:r w:rsidRPr="00DF75A6">
              <w:rPr>
                <w:rFonts w:eastAsia="Calibri"/>
                <w:lang w:val="en-GB"/>
              </w:rPr>
              <w:t>16</w:t>
            </w:r>
          </w:p>
        </w:tc>
        <w:tc>
          <w:tcPr>
            <w:tcW w:w="2070" w:type="dxa"/>
            <w:vAlign w:val="center"/>
          </w:tcPr>
          <w:p w14:paraId="4141B0AD" w14:textId="0DD1E1C9" w:rsidR="00413FA2" w:rsidRPr="00DF75A6" w:rsidRDefault="00413FA2" w:rsidP="00520D2D">
            <w:pPr>
              <w:pStyle w:val="ExhibitText"/>
              <w:jc w:val="left"/>
              <w:rPr>
                <w:rFonts w:eastAsia="Calibri"/>
                <w:lang w:val="en-GB"/>
              </w:rPr>
            </w:pPr>
            <w:r w:rsidRPr="00DF75A6">
              <w:rPr>
                <w:rFonts w:eastAsia="Calibri"/>
                <w:lang w:val="en-GB"/>
              </w:rPr>
              <w:t xml:space="preserve">Availability of </w:t>
            </w:r>
            <w:r w:rsidR="007074E2" w:rsidRPr="00DF75A6">
              <w:rPr>
                <w:rFonts w:eastAsia="Calibri"/>
                <w:lang w:val="en-GB"/>
              </w:rPr>
              <w:t>Spare Parts</w:t>
            </w:r>
          </w:p>
        </w:tc>
        <w:tc>
          <w:tcPr>
            <w:tcW w:w="1800" w:type="dxa"/>
            <w:vAlign w:val="center"/>
          </w:tcPr>
          <w:p w14:paraId="1023B784" w14:textId="77777777" w:rsidR="00413FA2" w:rsidRPr="00DF75A6" w:rsidRDefault="00413FA2" w:rsidP="00BD0EBB">
            <w:pPr>
              <w:pStyle w:val="ExhibitText"/>
              <w:jc w:val="center"/>
              <w:rPr>
                <w:rFonts w:eastAsia="Calibri"/>
                <w:lang w:val="en-GB"/>
              </w:rPr>
            </w:pPr>
            <w:r w:rsidRPr="00DF75A6">
              <w:rPr>
                <w:rFonts w:eastAsia="Calibri"/>
                <w:lang w:val="en-GB"/>
              </w:rPr>
              <w:t>7</w:t>
            </w:r>
          </w:p>
        </w:tc>
      </w:tr>
      <w:tr w:rsidR="00413FA2" w:rsidRPr="00DF75A6" w14:paraId="37132122" w14:textId="77777777" w:rsidTr="00BD0EBB">
        <w:trPr>
          <w:jc w:val="center"/>
        </w:trPr>
        <w:tc>
          <w:tcPr>
            <w:tcW w:w="1906" w:type="dxa"/>
            <w:vAlign w:val="center"/>
          </w:tcPr>
          <w:p w14:paraId="5A1579DB" w14:textId="47CF9AF6" w:rsidR="00413FA2" w:rsidRPr="00DF75A6" w:rsidRDefault="00413FA2" w:rsidP="00520D2D">
            <w:pPr>
              <w:pStyle w:val="ExhibitText"/>
              <w:jc w:val="left"/>
              <w:rPr>
                <w:rFonts w:eastAsia="Calibri"/>
                <w:lang w:val="en-GB"/>
              </w:rPr>
            </w:pPr>
            <w:r w:rsidRPr="00DF75A6">
              <w:rPr>
                <w:rFonts w:eastAsia="Calibri"/>
                <w:lang w:val="en-GB"/>
              </w:rPr>
              <w:t xml:space="preserve">Loading </w:t>
            </w:r>
            <w:r w:rsidR="005D2436" w:rsidRPr="00DF75A6">
              <w:rPr>
                <w:rFonts w:eastAsia="Calibri"/>
                <w:lang w:val="en-GB"/>
              </w:rPr>
              <w:t>Area</w:t>
            </w:r>
          </w:p>
        </w:tc>
        <w:tc>
          <w:tcPr>
            <w:tcW w:w="1869" w:type="dxa"/>
            <w:vAlign w:val="center"/>
          </w:tcPr>
          <w:p w14:paraId="04F0BF46" w14:textId="77777777" w:rsidR="00413FA2" w:rsidRPr="00DF75A6" w:rsidRDefault="00413FA2" w:rsidP="00BD0EBB">
            <w:pPr>
              <w:pStyle w:val="ExhibitText"/>
              <w:jc w:val="center"/>
              <w:rPr>
                <w:rFonts w:eastAsia="Calibri"/>
                <w:lang w:val="en-GB"/>
              </w:rPr>
            </w:pPr>
            <w:r w:rsidRPr="00DF75A6">
              <w:rPr>
                <w:rFonts w:eastAsia="Calibri"/>
                <w:lang w:val="en-GB"/>
              </w:rPr>
              <w:t>15</w:t>
            </w:r>
          </w:p>
        </w:tc>
        <w:tc>
          <w:tcPr>
            <w:tcW w:w="2070" w:type="dxa"/>
            <w:vAlign w:val="center"/>
          </w:tcPr>
          <w:p w14:paraId="22E68572" w14:textId="02789907" w:rsidR="00413FA2" w:rsidRPr="00DF75A6" w:rsidRDefault="00413FA2" w:rsidP="00520D2D">
            <w:pPr>
              <w:pStyle w:val="ExhibitText"/>
              <w:jc w:val="left"/>
              <w:rPr>
                <w:rFonts w:eastAsia="Calibri"/>
                <w:lang w:val="en-GB"/>
              </w:rPr>
            </w:pPr>
            <w:r w:rsidRPr="00DF75A6">
              <w:rPr>
                <w:rFonts w:eastAsia="Calibri"/>
                <w:lang w:val="en-GB"/>
              </w:rPr>
              <w:t xml:space="preserve">Resale </w:t>
            </w:r>
            <w:r w:rsidR="007074E2" w:rsidRPr="00DF75A6">
              <w:rPr>
                <w:rFonts w:eastAsia="Calibri"/>
                <w:lang w:val="en-GB"/>
              </w:rPr>
              <w:t>Price</w:t>
            </w:r>
          </w:p>
        </w:tc>
        <w:tc>
          <w:tcPr>
            <w:tcW w:w="1800" w:type="dxa"/>
            <w:vAlign w:val="center"/>
          </w:tcPr>
          <w:p w14:paraId="009A35EB" w14:textId="77777777" w:rsidR="00413FA2" w:rsidRPr="00DF75A6" w:rsidRDefault="00413FA2" w:rsidP="00BD0EBB">
            <w:pPr>
              <w:pStyle w:val="ExhibitText"/>
              <w:jc w:val="center"/>
              <w:rPr>
                <w:rFonts w:eastAsia="Calibri"/>
                <w:lang w:val="en-GB"/>
              </w:rPr>
            </w:pPr>
            <w:r w:rsidRPr="00DF75A6">
              <w:rPr>
                <w:rFonts w:eastAsia="Calibri"/>
                <w:lang w:val="en-GB"/>
              </w:rPr>
              <w:t>4</w:t>
            </w:r>
          </w:p>
        </w:tc>
      </w:tr>
      <w:tr w:rsidR="00413FA2" w:rsidRPr="00DF75A6" w14:paraId="4A8FE231" w14:textId="77777777" w:rsidTr="00BD0EBB">
        <w:trPr>
          <w:jc w:val="center"/>
        </w:trPr>
        <w:tc>
          <w:tcPr>
            <w:tcW w:w="1906" w:type="dxa"/>
            <w:vAlign w:val="center"/>
          </w:tcPr>
          <w:p w14:paraId="73EAE7FF" w14:textId="679343DC" w:rsidR="00413FA2" w:rsidRPr="00DF75A6" w:rsidRDefault="00413FA2" w:rsidP="00520D2D">
            <w:pPr>
              <w:pStyle w:val="ExhibitText"/>
              <w:jc w:val="left"/>
              <w:rPr>
                <w:rFonts w:eastAsia="Calibri"/>
                <w:lang w:val="en-GB"/>
              </w:rPr>
            </w:pPr>
            <w:r w:rsidRPr="00DF75A6">
              <w:rPr>
                <w:rFonts w:eastAsia="Calibri"/>
                <w:lang w:val="en-GB"/>
              </w:rPr>
              <w:t xml:space="preserve">Driving </w:t>
            </w:r>
            <w:r w:rsidR="005D2436" w:rsidRPr="00DF75A6">
              <w:rPr>
                <w:rFonts w:eastAsia="Calibri"/>
                <w:lang w:val="en-GB"/>
              </w:rPr>
              <w:t>Comfort</w:t>
            </w:r>
          </w:p>
        </w:tc>
        <w:tc>
          <w:tcPr>
            <w:tcW w:w="1869" w:type="dxa"/>
            <w:vAlign w:val="center"/>
          </w:tcPr>
          <w:p w14:paraId="15D3145B" w14:textId="77777777" w:rsidR="00413FA2" w:rsidRPr="00DF75A6" w:rsidRDefault="00413FA2" w:rsidP="00BD0EBB">
            <w:pPr>
              <w:pStyle w:val="ExhibitText"/>
              <w:jc w:val="center"/>
              <w:rPr>
                <w:rFonts w:eastAsia="Calibri"/>
                <w:lang w:val="en-GB"/>
              </w:rPr>
            </w:pPr>
            <w:r w:rsidRPr="00DF75A6">
              <w:rPr>
                <w:rFonts w:eastAsia="Calibri"/>
                <w:lang w:val="en-GB"/>
              </w:rPr>
              <w:t>13</w:t>
            </w:r>
          </w:p>
        </w:tc>
        <w:tc>
          <w:tcPr>
            <w:tcW w:w="2070" w:type="dxa"/>
            <w:vAlign w:val="center"/>
          </w:tcPr>
          <w:p w14:paraId="5DC09E21" w14:textId="179F301C" w:rsidR="00413FA2" w:rsidRPr="00DF75A6" w:rsidRDefault="00413FA2" w:rsidP="00520D2D">
            <w:pPr>
              <w:pStyle w:val="ExhibitText"/>
              <w:jc w:val="left"/>
              <w:rPr>
                <w:rFonts w:eastAsia="Calibri"/>
                <w:lang w:val="en-GB"/>
              </w:rPr>
            </w:pPr>
            <w:r w:rsidRPr="00DF75A6">
              <w:rPr>
                <w:rFonts w:eastAsia="Calibri"/>
                <w:lang w:val="en-GB"/>
              </w:rPr>
              <w:t xml:space="preserve">Brand </w:t>
            </w:r>
            <w:r w:rsidR="007074E2" w:rsidRPr="00DF75A6">
              <w:rPr>
                <w:rFonts w:eastAsia="Calibri"/>
                <w:lang w:val="en-GB"/>
              </w:rPr>
              <w:t>Name</w:t>
            </w:r>
          </w:p>
        </w:tc>
        <w:tc>
          <w:tcPr>
            <w:tcW w:w="1800" w:type="dxa"/>
            <w:vAlign w:val="center"/>
          </w:tcPr>
          <w:p w14:paraId="417F453C" w14:textId="77777777" w:rsidR="00413FA2" w:rsidRPr="00DF75A6" w:rsidRDefault="00413FA2" w:rsidP="00BD0EBB">
            <w:pPr>
              <w:pStyle w:val="ExhibitText"/>
              <w:jc w:val="center"/>
              <w:rPr>
                <w:rFonts w:eastAsia="Calibri"/>
                <w:lang w:val="en-GB"/>
              </w:rPr>
            </w:pPr>
            <w:r w:rsidRPr="00DF75A6">
              <w:rPr>
                <w:rFonts w:eastAsia="Calibri"/>
                <w:lang w:val="en-GB"/>
              </w:rPr>
              <w:t>2</w:t>
            </w:r>
          </w:p>
        </w:tc>
      </w:tr>
      <w:tr w:rsidR="007074E2" w:rsidRPr="00DF75A6" w14:paraId="5A42770A" w14:textId="77777777" w:rsidTr="00BD0EBB">
        <w:trPr>
          <w:gridAfter w:val="2"/>
          <w:wAfter w:w="3870" w:type="dxa"/>
          <w:jc w:val="center"/>
        </w:trPr>
        <w:tc>
          <w:tcPr>
            <w:tcW w:w="1906" w:type="dxa"/>
            <w:vAlign w:val="center"/>
          </w:tcPr>
          <w:p w14:paraId="0CE55203" w14:textId="51055CD7" w:rsidR="007074E2" w:rsidRPr="00DF75A6" w:rsidRDefault="007074E2" w:rsidP="00520D2D">
            <w:pPr>
              <w:pStyle w:val="ExhibitText"/>
              <w:jc w:val="left"/>
              <w:rPr>
                <w:rFonts w:eastAsia="Calibri"/>
                <w:lang w:val="en-GB"/>
              </w:rPr>
            </w:pPr>
            <w:r w:rsidRPr="00DF75A6">
              <w:rPr>
                <w:rFonts w:eastAsia="Calibri"/>
                <w:lang w:val="en-GB"/>
              </w:rPr>
              <w:t>Engine Power</w:t>
            </w:r>
          </w:p>
        </w:tc>
        <w:tc>
          <w:tcPr>
            <w:tcW w:w="1869" w:type="dxa"/>
            <w:vAlign w:val="center"/>
          </w:tcPr>
          <w:p w14:paraId="5487F942" w14:textId="77777777" w:rsidR="007074E2" w:rsidRPr="00DF75A6" w:rsidRDefault="007074E2" w:rsidP="00BD0EBB">
            <w:pPr>
              <w:pStyle w:val="ExhibitText"/>
              <w:jc w:val="center"/>
              <w:rPr>
                <w:rFonts w:eastAsia="Calibri"/>
                <w:lang w:val="en-GB"/>
              </w:rPr>
            </w:pPr>
            <w:r w:rsidRPr="00DF75A6">
              <w:rPr>
                <w:rFonts w:eastAsia="Calibri"/>
                <w:lang w:val="en-GB"/>
              </w:rPr>
              <w:t>11</w:t>
            </w:r>
          </w:p>
        </w:tc>
      </w:tr>
    </w:tbl>
    <w:p w14:paraId="44CEE238" w14:textId="77777777" w:rsidR="00413FA2" w:rsidRPr="00520D2D" w:rsidRDefault="00413FA2" w:rsidP="00520D2D">
      <w:pPr>
        <w:pStyle w:val="Footnote"/>
        <w:rPr>
          <w:rFonts w:eastAsia="Calibri"/>
          <w:lang w:val="en-GB"/>
        </w:rPr>
      </w:pPr>
    </w:p>
    <w:p w14:paraId="4FC969CA" w14:textId="540EFE8A" w:rsidR="00413FA2" w:rsidRPr="00520D2D" w:rsidRDefault="00413FA2">
      <w:pPr>
        <w:pStyle w:val="Footnote"/>
        <w:rPr>
          <w:rFonts w:eastAsia="Calibri"/>
          <w:i w:val="0"/>
          <w:lang w:val="en-GB"/>
        </w:rPr>
      </w:pPr>
      <w:r w:rsidRPr="00520D2D">
        <w:rPr>
          <w:rFonts w:eastAsia="Calibri"/>
          <w:i w:val="0"/>
          <w:lang w:val="en-GB"/>
        </w:rPr>
        <w:t xml:space="preserve">Source: Created by </w:t>
      </w:r>
      <w:r w:rsidR="00C85AE9">
        <w:rPr>
          <w:rFonts w:eastAsia="Calibri"/>
          <w:i w:val="0"/>
          <w:lang w:val="en-GB"/>
        </w:rPr>
        <w:t xml:space="preserve">the </w:t>
      </w:r>
      <w:r w:rsidR="005C7BCC">
        <w:rPr>
          <w:rFonts w:eastAsia="Calibri"/>
          <w:i w:val="0"/>
          <w:lang w:val="en-GB"/>
        </w:rPr>
        <w:t xml:space="preserve">authors </w:t>
      </w:r>
      <w:r w:rsidR="005C7BCC">
        <w:rPr>
          <w:rFonts w:eastAsia="Calibri"/>
          <w:i w:val="0"/>
          <w:lang w:val="en-GB"/>
        </w:rPr>
        <w:t>based on company documents.</w:t>
      </w:r>
    </w:p>
    <w:p w14:paraId="7CEC565A" w14:textId="77777777" w:rsidR="00413FA2" w:rsidRPr="00DF75A6" w:rsidRDefault="00413FA2" w:rsidP="00413FA2">
      <w:pPr>
        <w:pStyle w:val="ExhibitText"/>
        <w:rPr>
          <w:rFonts w:eastAsia="Calibri"/>
          <w:lang w:val="en-GB"/>
        </w:rPr>
      </w:pPr>
    </w:p>
    <w:p w14:paraId="11B9B116" w14:textId="77777777" w:rsidR="00413FA2" w:rsidRPr="00DF75A6" w:rsidRDefault="00413FA2" w:rsidP="00413FA2">
      <w:pPr>
        <w:pStyle w:val="ExhibitText"/>
        <w:rPr>
          <w:rFonts w:eastAsia="Calibri"/>
          <w:lang w:val="en-GB"/>
        </w:rPr>
      </w:pPr>
    </w:p>
    <w:p w14:paraId="1BCB4C2C" w14:textId="77777777" w:rsidR="00413FA2" w:rsidRPr="00DF75A6" w:rsidRDefault="00413FA2" w:rsidP="00520D2D">
      <w:pPr>
        <w:pStyle w:val="ExhibitHeading"/>
        <w:keepNext/>
        <w:keepLines/>
        <w:rPr>
          <w:rFonts w:eastAsia="Calibri"/>
          <w:lang w:val="en-GB"/>
        </w:rPr>
      </w:pPr>
      <w:r w:rsidRPr="00DF75A6">
        <w:rPr>
          <w:rFonts w:eastAsia="Calibri"/>
          <w:lang w:val="en-GB"/>
        </w:rPr>
        <w:lastRenderedPageBreak/>
        <w:t>Exhibit 5: Segmentation for pickup market</w:t>
      </w:r>
    </w:p>
    <w:p w14:paraId="6135E9C8" w14:textId="77777777" w:rsidR="00413FA2" w:rsidRPr="00DF75A6" w:rsidRDefault="00413FA2" w:rsidP="00520D2D">
      <w:pPr>
        <w:pStyle w:val="ExhibitText"/>
        <w:keepNext/>
        <w:keepLines/>
        <w:rPr>
          <w:rFonts w:eastAsia="Calibri"/>
          <w:lang w:val="en-GB"/>
        </w:rPr>
      </w:pPr>
    </w:p>
    <w:tbl>
      <w:tblPr>
        <w:tblStyle w:val="TableGrid"/>
        <w:tblW w:w="0" w:type="auto"/>
        <w:jc w:val="center"/>
        <w:tblLook w:val="04A0" w:firstRow="1" w:lastRow="0" w:firstColumn="1" w:lastColumn="0" w:noHBand="0" w:noVBand="1"/>
      </w:tblPr>
      <w:tblGrid>
        <w:gridCol w:w="3055"/>
        <w:gridCol w:w="4590"/>
      </w:tblGrid>
      <w:tr w:rsidR="00413FA2" w:rsidRPr="00DF75A6" w14:paraId="0D8EA732" w14:textId="77777777" w:rsidTr="003D416E">
        <w:trPr>
          <w:jc w:val="center"/>
        </w:trPr>
        <w:tc>
          <w:tcPr>
            <w:tcW w:w="3055" w:type="dxa"/>
            <w:vAlign w:val="center"/>
          </w:tcPr>
          <w:p w14:paraId="6C568787" w14:textId="77777777" w:rsidR="00413FA2" w:rsidRPr="00DF75A6" w:rsidRDefault="00413FA2" w:rsidP="00BD0EBB">
            <w:pPr>
              <w:pStyle w:val="ExhibitText"/>
              <w:keepNext/>
              <w:keepLines/>
              <w:jc w:val="center"/>
              <w:rPr>
                <w:rFonts w:eastAsia="Calibri"/>
                <w:b/>
                <w:lang w:val="en-GB"/>
              </w:rPr>
            </w:pPr>
            <w:r w:rsidRPr="00DF75A6">
              <w:rPr>
                <w:rFonts w:eastAsia="Calibri"/>
                <w:b/>
                <w:lang w:val="en-GB"/>
              </w:rPr>
              <w:t>Segment</w:t>
            </w:r>
          </w:p>
        </w:tc>
        <w:tc>
          <w:tcPr>
            <w:tcW w:w="4590" w:type="dxa"/>
            <w:vAlign w:val="center"/>
          </w:tcPr>
          <w:p w14:paraId="4E9A3922" w14:textId="77777777" w:rsidR="00413FA2" w:rsidRPr="00DF75A6" w:rsidRDefault="00413FA2" w:rsidP="00520D2D">
            <w:pPr>
              <w:pStyle w:val="ExhibitText"/>
              <w:keepNext/>
              <w:keepLines/>
              <w:jc w:val="center"/>
              <w:rPr>
                <w:rFonts w:eastAsia="Calibri"/>
                <w:b/>
                <w:lang w:val="en-GB"/>
              </w:rPr>
            </w:pPr>
            <w:r w:rsidRPr="00DF75A6">
              <w:rPr>
                <w:rFonts w:eastAsia="Calibri"/>
                <w:b/>
                <w:lang w:val="en-GB"/>
              </w:rPr>
              <w:t>Primary Needs</w:t>
            </w:r>
          </w:p>
        </w:tc>
      </w:tr>
      <w:tr w:rsidR="00413FA2" w:rsidRPr="00DF75A6" w14:paraId="4182B95E" w14:textId="77777777" w:rsidTr="003D416E">
        <w:trPr>
          <w:jc w:val="center"/>
        </w:trPr>
        <w:tc>
          <w:tcPr>
            <w:tcW w:w="3055" w:type="dxa"/>
            <w:vAlign w:val="center"/>
          </w:tcPr>
          <w:p w14:paraId="34B0D479" w14:textId="77777777" w:rsidR="00413FA2" w:rsidRPr="00DF75A6" w:rsidRDefault="00413FA2" w:rsidP="00520D2D">
            <w:pPr>
              <w:pStyle w:val="ExhibitText"/>
              <w:keepNext/>
              <w:keepLines/>
              <w:jc w:val="left"/>
              <w:rPr>
                <w:rFonts w:eastAsia="Calibri"/>
                <w:lang w:val="en-GB"/>
              </w:rPr>
            </w:pPr>
            <w:r w:rsidRPr="00DF75A6">
              <w:rPr>
                <w:rFonts w:eastAsia="Calibri"/>
                <w:lang w:val="en-GB"/>
              </w:rPr>
              <w:t>Reliable Workmate (Performance Segment)</w:t>
            </w:r>
          </w:p>
        </w:tc>
        <w:tc>
          <w:tcPr>
            <w:tcW w:w="4590" w:type="dxa"/>
            <w:vAlign w:val="center"/>
          </w:tcPr>
          <w:p w14:paraId="7ED3FF58" w14:textId="77777777" w:rsidR="00413FA2" w:rsidRPr="00DF75A6" w:rsidRDefault="00413FA2" w:rsidP="00520D2D">
            <w:pPr>
              <w:pStyle w:val="ExhibitText"/>
              <w:keepNext/>
              <w:keepLines/>
              <w:numPr>
                <w:ilvl w:val="0"/>
                <w:numId w:val="12"/>
              </w:numPr>
              <w:rPr>
                <w:rFonts w:eastAsia="Calibri"/>
                <w:lang w:val="en-GB"/>
              </w:rPr>
            </w:pPr>
            <w:r w:rsidRPr="00DF75A6">
              <w:rPr>
                <w:rFonts w:eastAsia="Calibri"/>
                <w:lang w:val="en-GB"/>
              </w:rPr>
              <w:t>Powerful engine</w:t>
            </w:r>
          </w:p>
          <w:p w14:paraId="25F7C78F" w14:textId="62820FB6" w:rsidR="00413FA2" w:rsidRPr="00DF75A6" w:rsidRDefault="00413FA2" w:rsidP="00520D2D">
            <w:pPr>
              <w:pStyle w:val="ExhibitText"/>
              <w:keepNext/>
              <w:keepLines/>
              <w:numPr>
                <w:ilvl w:val="0"/>
                <w:numId w:val="12"/>
              </w:numPr>
              <w:rPr>
                <w:rFonts w:eastAsia="Calibri"/>
                <w:lang w:val="en-GB"/>
              </w:rPr>
            </w:pPr>
            <w:r w:rsidRPr="00DF75A6">
              <w:rPr>
                <w:rFonts w:eastAsia="Calibri"/>
                <w:lang w:val="en-GB"/>
              </w:rPr>
              <w:t xml:space="preserve">High capability to </w:t>
            </w:r>
            <w:r w:rsidR="00C71C77" w:rsidRPr="00DF75A6">
              <w:rPr>
                <w:rFonts w:eastAsia="Calibri"/>
                <w:lang w:val="en-GB"/>
              </w:rPr>
              <w:t>manoeuvre</w:t>
            </w:r>
            <w:r w:rsidRPr="00DF75A6">
              <w:rPr>
                <w:rFonts w:eastAsia="Calibri"/>
                <w:lang w:val="en-GB"/>
              </w:rPr>
              <w:t xml:space="preserve"> on rough terrain</w:t>
            </w:r>
          </w:p>
          <w:p w14:paraId="2DAF84B4" w14:textId="77777777" w:rsidR="00413FA2" w:rsidRPr="00DF75A6" w:rsidRDefault="00413FA2" w:rsidP="00520D2D">
            <w:pPr>
              <w:pStyle w:val="ExhibitText"/>
              <w:keepNext/>
              <w:keepLines/>
              <w:numPr>
                <w:ilvl w:val="0"/>
                <w:numId w:val="12"/>
              </w:numPr>
              <w:rPr>
                <w:rFonts w:eastAsia="Calibri"/>
                <w:lang w:val="en-GB"/>
              </w:rPr>
            </w:pPr>
            <w:r w:rsidRPr="00DF75A6">
              <w:rPr>
                <w:rFonts w:eastAsia="Calibri"/>
                <w:lang w:val="en-GB"/>
              </w:rPr>
              <w:t>Faster turnaround</w:t>
            </w:r>
          </w:p>
        </w:tc>
      </w:tr>
      <w:tr w:rsidR="00413FA2" w:rsidRPr="00DF75A6" w14:paraId="7CE60FAC" w14:textId="77777777" w:rsidTr="003D416E">
        <w:trPr>
          <w:jc w:val="center"/>
        </w:trPr>
        <w:tc>
          <w:tcPr>
            <w:tcW w:w="3055" w:type="dxa"/>
            <w:vAlign w:val="center"/>
          </w:tcPr>
          <w:p w14:paraId="4F0E2C08" w14:textId="32A1AB4F" w:rsidR="00413FA2" w:rsidRPr="00DF75A6" w:rsidRDefault="00413FA2" w:rsidP="00520D2D">
            <w:pPr>
              <w:pStyle w:val="ExhibitText"/>
              <w:keepNext/>
              <w:keepLines/>
              <w:jc w:val="left"/>
              <w:rPr>
                <w:rFonts w:eastAsia="Calibri"/>
                <w:lang w:val="en-GB"/>
              </w:rPr>
            </w:pPr>
            <w:r w:rsidRPr="00DF75A6">
              <w:rPr>
                <w:rFonts w:eastAsia="Calibri"/>
                <w:lang w:val="en-GB"/>
              </w:rPr>
              <w:t xml:space="preserve">Load King (Overload </w:t>
            </w:r>
            <w:r w:rsidR="007074E2" w:rsidRPr="00DF75A6">
              <w:rPr>
                <w:rFonts w:eastAsia="Calibri"/>
                <w:lang w:val="en-GB"/>
              </w:rPr>
              <w:t>Segment</w:t>
            </w:r>
            <w:r w:rsidRPr="00DF75A6">
              <w:rPr>
                <w:rFonts w:eastAsia="Calibri"/>
                <w:lang w:val="en-GB"/>
              </w:rPr>
              <w:t>)</w:t>
            </w:r>
          </w:p>
        </w:tc>
        <w:tc>
          <w:tcPr>
            <w:tcW w:w="4590" w:type="dxa"/>
            <w:vAlign w:val="center"/>
          </w:tcPr>
          <w:p w14:paraId="6DBC036C" w14:textId="7F35C8A4" w:rsidR="00413FA2" w:rsidRPr="00DF75A6" w:rsidRDefault="007074E2" w:rsidP="00520D2D">
            <w:pPr>
              <w:pStyle w:val="ExhibitText"/>
              <w:keepNext/>
              <w:keepLines/>
              <w:numPr>
                <w:ilvl w:val="0"/>
                <w:numId w:val="13"/>
              </w:numPr>
              <w:rPr>
                <w:rFonts w:eastAsia="Calibri"/>
                <w:lang w:val="en-GB"/>
              </w:rPr>
            </w:pPr>
            <w:r w:rsidRPr="00DF75A6">
              <w:rPr>
                <w:rFonts w:eastAsia="Calibri"/>
                <w:lang w:val="en-GB"/>
              </w:rPr>
              <w:t>H</w:t>
            </w:r>
            <w:r w:rsidR="00413FA2" w:rsidRPr="00DF75A6">
              <w:rPr>
                <w:rFonts w:eastAsia="Calibri"/>
                <w:lang w:val="en-GB"/>
              </w:rPr>
              <w:t>igh loading and overloading capability</w:t>
            </w:r>
          </w:p>
          <w:p w14:paraId="60DC423D" w14:textId="33B50662" w:rsidR="00413FA2" w:rsidRPr="00DF75A6" w:rsidRDefault="007074E2" w:rsidP="00520D2D">
            <w:pPr>
              <w:pStyle w:val="ExhibitText"/>
              <w:keepNext/>
              <w:keepLines/>
              <w:numPr>
                <w:ilvl w:val="0"/>
                <w:numId w:val="13"/>
              </w:numPr>
              <w:rPr>
                <w:rFonts w:eastAsia="Calibri"/>
                <w:lang w:val="en-GB"/>
              </w:rPr>
            </w:pPr>
            <w:r w:rsidRPr="00DF75A6">
              <w:rPr>
                <w:rFonts w:eastAsia="Calibri"/>
                <w:lang w:val="en-GB"/>
              </w:rPr>
              <w:t xml:space="preserve">Better drive quality (needed for </w:t>
            </w:r>
            <w:r w:rsidR="00413FA2" w:rsidRPr="00DF75A6">
              <w:rPr>
                <w:rFonts w:eastAsia="Calibri"/>
                <w:lang w:val="en-GB"/>
              </w:rPr>
              <w:t xml:space="preserve">longer </w:t>
            </w:r>
            <w:r w:rsidR="004C1B8F" w:rsidRPr="00DF75A6">
              <w:rPr>
                <w:rFonts w:eastAsia="Calibri"/>
                <w:lang w:val="en-GB"/>
              </w:rPr>
              <w:t xml:space="preserve">working </w:t>
            </w:r>
            <w:r w:rsidR="00413FA2" w:rsidRPr="00DF75A6">
              <w:rPr>
                <w:rFonts w:eastAsia="Calibri"/>
                <w:lang w:val="en-GB"/>
              </w:rPr>
              <w:t>hours</w:t>
            </w:r>
            <w:r w:rsidR="004C1B8F" w:rsidRPr="00DF75A6">
              <w:rPr>
                <w:rFonts w:eastAsia="Calibri"/>
                <w:lang w:val="en-GB"/>
              </w:rPr>
              <w:t>)</w:t>
            </w:r>
            <w:r w:rsidR="00413FA2" w:rsidRPr="00DF75A6">
              <w:rPr>
                <w:rFonts w:eastAsia="Calibri"/>
                <w:lang w:val="en-GB"/>
              </w:rPr>
              <w:t xml:space="preserve"> </w:t>
            </w:r>
          </w:p>
        </w:tc>
      </w:tr>
      <w:tr w:rsidR="00413FA2" w:rsidRPr="00DF75A6" w14:paraId="29F27315" w14:textId="77777777" w:rsidTr="003D416E">
        <w:trPr>
          <w:jc w:val="center"/>
        </w:trPr>
        <w:tc>
          <w:tcPr>
            <w:tcW w:w="3055" w:type="dxa"/>
            <w:vAlign w:val="center"/>
          </w:tcPr>
          <w:p w14:paraId="20F440CF" w14:textId="42C2B232" w:rsidR="00413FA2" w:rsidRPr="00DF75A6" w:rsidRDefault="00413FA2" w:rsidP="00520D2D">
            <w:pPr>
              <w:pStyle w:val="ExhibitText"/>
              <w:keepNext/>
              <w:keepLines/>
              <w:jc w:val="left"/>
              <w:rPr>
                <w:rFonts w:eastAsia="Calibri"/>
                <w:lang w:val="en-GB"/>
              </w:rPr>
            </w:pPr>
            <w:r w:rsidRPr="00DF75A6">
              <w:rPr>
                <w:rFonts w:eastAsia="Calibri"/>
                <w:lang w:val="en-GB"/>
              </w:rPr>
              <w:t xml:space="preserve">Mileage Optimizer (Value </w:t>
            </w:r>
            <w:r w:rsidR="007074E2" w:rsidRPr="00DF75A6">
              <w:rPr>
                <w:rFonts w:eastAsia="Calibri"/>
                <w:lang w:val="en-GB"/>
              </w:rPr>
              <w:t>Segment</w:t>
            </w:r>
            <w:r w:rsidRPr="00DF75A6">
              <w:rPr>
                <w:rFonts w:eastAsia="Calibri"/>
                <w:lang w:val="en-GB"/>
              </w:rPr>
              <w:t>)</w:t>
            </w:r>
          </w:p>
        </w:tc>
        <w:tc>
          <w:tcPr>
            <w:tcW w:w="4590" w:type="dxa"/>
            <w:vAlign w:val="center"/>
          </w:tcPr>
          <w:p w14:paraId="5566FA79" w14:textId="423B04C7" w:rsidR="00413FA2" w:rsidRPr="00DF75A6" w:rsidRDefault="004C1B8F" w:rsidP="00520D2D">
            <w:pPr>
              <w:pStyle w:val="ExhibitText"/>
              <w:keepNext/>
              <w:keepLines/>
              <w:numPr>
                <w:ilvl w:val="0"/>
                <w:numId w:val="14"/>
              </w:numPr>
              <w:rPr>
                <w:rFonts w:eastAsia="Calibri"/>
                <w:lang w:val="en-GB"/>
              </w:rPr>
            </w:pPr>
            <w:r w:rsidRPr="00DF75A6">
              <w:rPr>
                <w:rFonts w:eastAsia="Calibri"/>
                <w:lang w:val="en-GB"/>
              </w:rPr>
              <w:t>B</w:t>
            </w:r>
            <w:r w:rsidR="00413FA2" w:rsidRPr="00DF75A6">
              <w:rPr>
                <w:rFonts w:eastAsia="Calibri"/>
                <w:lang w:val="en-GB"/>
              </w:rPr>
              <w:t>alance between mileage and load</w:t>
            </w:r>
          </w:p>
          <w:p w14:paraId="6AA3D36A" w14:textId="67BFA545" w:rsidR="00413FA2" w:rsidRPr="00DF75A6" w:rsidRDefault="004C1B8F" w:rsidP="00520D2D">
            <w:pPr>
              <w:pStyle w:val="ExhibitText"/>
              <w:keepNext/>
              <w:keepLines/>
              <w:numPr>
                <w:ilvl w:val="0"/>
                <w:numId w:val="14"/>
              </w:numPr>
              <w:rPr>
                <w:rFonts w:eastAsia="Calibri"/>
                <w:lang w:val="en-GB"/>
              </w:rPr>
            </w:pPr>
            <w:r w:rsidRPr="00DF75A6">
              <w:rPr>
                <w:rFonts w:eastAsia="Calibri"/>
                <w:lang w:val="en-GB"/>
              </w:rPr>
              <w:t>Lower down-running costs (</w:t>
            </w:r>
            <w:r w:rsidR="00413FA2" w:rsidRPr="00DF75A6">
              <w:rPr>
                <w:rFonts w:eastAsia="Calibri"/>
                <w:lang w:val="en-GB"/>
              </w:rPr>
              <w:t>to maximize earnings</w:t>
            </w:r>
            <w:r w:rsidRPr="00DF75A6">
              <w:rPr>
                <w:rFonts w:eastAsia="Calibri"/>
                <w:lang w:val="en-GB"/>
              </w:rPr>
              <w:t>)</w:t>
            </w:r>
            <w:r w:rsidR="00413FA2" w:rsidRPr="00DF75A6">
              <w:rPr>
                <w:rFonts w:eastAsia="Calibri"/>
                <w:lang w:val="en-GB"/>
              </w:rPr>
              <w:t xml:space="preserve"> </w:t>
            </w:r>
          </w:p>
        </w:tc>
      </w:tr>
      <w:tr w:rsidR="00413FA2" w:rsidRPr="00DF75A6" w14:paraId="44C0E4D9" w14:textId="77777777" w:rsidTr="003D416E">
        <w:trPr>
          <w:trHeight w:val="827"/>
          <w:jc w:val="center"/>
        </w:trPr>
        <w:tc>
          <w:tcPr>
            <w:tcW w:w="3055" w:type="dxa"/>
            <w:vAlign w:val="center"/>
          </w:tcPr>
          <w:p w14:paraId="5535C3D8" w14:textId="74780B3F" w:rsidR="00413FA2" w:rsidRPr="00DF75A6" w:rsidRDefault="00413FA2" w:rsidP="00520D2D">
            <w:pPr>
              <w:pStyle w:val="ExhibitText"/>
              <w:keepNext/>
              <w:keepLines/>
              <w:jc w:val="left"/>
              <w:rPr>
                <w:rFonts w:eastAsia="Calibri"/>
                <w:lang w:val="en-GB"/>
              </w:rPr>
            </w:pPr>
            <w:r w:rsidRPr="00DF75A6">
              <w:rPr>
                <w:rFonts w:eastAsia="Calibri"/>
                <w:lang w:val="en-GB"/>
              </w:rPr>
              <w:t>Investment Optimizer (Price-</w:t>
            </w:r>
            <w:r w:rsidR="007074E2" w:rsidRPr="00DF75A6">
              <w:rPr>
                <w:rFonts w:eastAsia="Calibri"/>
                <w:lang w:val="en-GB"/>
              </w:rPr>
              <w:t>Sensitive Segment</w:t>
            </w:r>
            <w:r w:rsidRPr="00DF75A6">
              <w:rPr>
                <w:rFonts w:eastAsia="Calibri"/>
                <w:lang w:val="en-GB"/>
              </w:rPr>
              <w:t>)</w:t>
            </w:r>
          </w:p>
        </w:tc>
        <w:tc>
          <w:tcPr>
            <w:tcW w:w="4590" w:type="dxa"/>
            <w:vAlign w:val="center"/>
          </w:tcPr>
          <w:p w14:paraId="0AA71FCC" w14:textId="0E6B5362" w:rsidR="00413FA2" w:rsidRPr="00DF75A6" w:rsidRDefault="004C1B8F" w:rsidP="00520D2D">
            <w:pPr>
              <w:pStyle w:val="ExhibitText"/>
              <w:keepNext/>
              <w:keepLines/>
              <w:numPr>
                <w:ilvl w:val="0"/>
                <w:numId w:val="15"/>
              </w:numPr>
              <w:rPr>
                <w:rFonts w:eastAsia="Calibri"/>
                <w:lang w:val="en-GB"/>
              </w:rPr>
            </w:pPr>
            <w:r w:rsidRPr="00DF75A6">
              <w:rPr>
                <w:rFonts w:eastAsia="Calibri"/>
                <w:lang w:val="en-GB"/>
              </w:rPr>
              <w:t>V</w:t>
            </w:r>
            <w:r w:rsidR="00413FA2" w:rsidRPr="00DF75A6">
              <w:rPr>
                <w:rFonts w:eastAsia="Calibri"/>
                <w:lang w:val="en-GB"/>
              </w:rPr>
              <w:t>alue derive</w:t>
            </w:r>
            <w:r w:rsidRPr="00DF75A6">
              <w:rPr>
                <w:rFonts w:eastAsia="Calibri"/>
                <w:lang w:val="en-GB"/>
              </w:rPr>
              <w:t>d</w:t>
            </w:r>
            <w:r w:rsidR="00413FA2" w:rsidRPr="00DF75A6">
              <w:rPr>
                <w:rFonts w:eastAsia="Calibri"/>
                <w:lang w:val="en-GB"/>
              </w:rPr>
              <w:t xml:space="preserve"> from the product</w:t>
            </w:r>
            <w:r w:rsidRPr="00DF75A6">
              <w:rPr>
                <w:rFonts w:eastAsia="Calibri"/>
                <w:lang w:val="en-GB"/>
              </w:rPr>
              <w:t xml:space="preserve"> (price sensitivity)</w:t>
            </w:r>
          </w:p>
          <w:p w14:paraId="487B7EEB" w14:textId="02D7F511" w:rsidR="00413FA2" w:rsidRPr="00DF75A6" w:rsidRDefault="007074E2" w:rsidP="00520D2D">
            <w:pPr>
              <w:pStyle w:val="ExhibitText"/>
              <w:keepNext/>
              <w:keepLines/>
              <w:numPr>
                <w:ilvl w:val="0"/>
                <w:numId w:val="15"/>
              </w:numPr>
              <w:rPr>
                <w:rFonts w:eastAsia="Calibri"/>
                <w:lang w:val="en-GB"/>
              </w:rPr>
            </w:pPr>
            <w:r w:rsidRPr="00DF75A6">
              <w:rPr>
                <w:rFonts w:eastAsia="Calibri"/>
                <w:lang w:val="en-GB"/>
              </w:rPr>
              <w:t xml:space="preserve">Fewer </w:t>
            </w:r>
            <w:r w:rsidR="00413FA2" w:rsidRPr="00DF75A6">
              <w:rPr>
                <w:rFonts w:eastAsia="Calibri"/>
                <w:lang w:val="en-GB"/>
              </w:rPr>
              <w:t xml:space="preserve">expectations </w:t>
            </w:r>
            <w:r w:rsidRPr="00DF75A6">
              <w:rPr>
                <w:rFonts w:eastAsia="Calibri"/>
                <w:lang w:val="en-GB"/>
              </w:rPr>
              <w:t xml:space="preserve">of </w:t>
            </w:r>
            <w:r w:rsidR="00413FA2" w:rsidRPr="00DF75A6">
              <w:rPr>
                <w:rFonts w:eastAsia="Calibri"/>
                <w:lang w:val="en-GB"/>
              </w:rPr>
              <w:t>other vehicle features</w:t>
            </w:r>
          </w:p>
        </w:tc>
      </w:tr>
    </w:tbl>
    <w:p w14:paraId="37182CC1" w14:textId="77777777" w:rsidR="00413FA2" w:rsidRPr="00520D2D" w:rsidRDefault="00413FA2" w:rsidP="00520D2D">
      <w:pPr>
        <w:pStyle w:val="Footnote"/>
        <w:rPr>
          <w:rFonts w:eastAsia="Calibri"/>
          <w:lang w:val="en-GB"/>
        </w:rPr>
      </w:pPr>
    </w:p>
    <w:p w14:paraId="3579AC60" w14:textId="7ED2B2D3" w:rsidR="00413FA2" w:rsidRPr="00520D2D" w:rsidRDefault="00413FA2">
      <w:pPr>
        <w:pStyle w:val="Footnote"/>
        <w:rPr>
          <w:rFonts w:eastAsia="Calibri"/>
          <w:i w:val="0"/>
          <w:lang w:val="en-GB"/>
        </w:rPr>
      </w:pPr>
      <w:r w:rsidRPr="00520D2D">
        <w:rPr>
          <w:rFonts w:eastAsia="Calibri"/>
          <w:i w:val="0"/>
          <w:lang w:val="en-GB"/>
        </w:rPr>
        <w:t xml:space="preserve">Source: Created by </w:t>
      </w:r>
      <w:r w:rsidR="00B4557A">
        <w:rPr>
          <w:rFonts w:eastAsia="Calibri"/>
          <w:i w:val="0"/>
          <w:lang w:val="en-GB"/>
        </w:rPr>
        <w:t xml:space="preserve">the </w:t>
      </w:r>
      <w:r w:rsidR="005C7BCC">
        <w:rPr>
          <w:rFonts w:eastAsia="Calibri"/>
          <w:i w:val="0"/>
          <w:lang w:val="en-GB"/>
        </w:rPr>
        <w:t xml:space="preserve">authors </w:t>
      </w:r>
      <w:r w:rsidR="005C7BCC">
        <w:rPr>
          <w:rFonts w:eastAsia="Calibri"/>
          <w:i w:val="0"/>
          <w:lang w:val="en-GB"/>
        </w:rPr>
        <w:t>based on company documents.</w:t>
      </w:r>
    </w:p>
    <w:p w14:paraId="17D6A490" w14:textId="77777777" w:rsidR="00413FA2" w:rsidRPr="00DF75A6" w:rsidRDefault="00413FA2" w:rsidP="00413FA2">
      <w:pPr>
        <w:pStyle w:val="ExhibitText"/>
        <w:rPr>
          <w:rFonts w:eastAsia="Calibri"/>
          <w:sz w:val="16"/>
          <w:szCs w:val="16"/>
          <w:lang w:val="en-GB"/>
        </w:rPr>
      </w:pPr>
    </w:p>
    <w:p w14:paraId="2073D8F1" w14:textId="77777777" w:rsidR="00413FA2" w:rsidRPr="00DF75A6" w:rsidRDefault="00413FA2" w:rsidP="00413FA2">
      <w:pPr>
        <w:pStyle w:val="ExhibitText"/>
        <w:rPr>
          <w:rFonts w:eastAsia="Calibri"/>
          <w:sz w:val="16"/>
          <w:szCs w:val="16"/>
          <w:lang w:val="en-GB"/>
        </w:rPr>
      </w:pPr>
    </w:p>
    <w:p w14:paraId="17566AF9" w14:textId="44AAC200" w:rsidR="00413FA2" w:rsidRPr="00DF75A6" w:rsidRDefault="00413FA2" w:rsidP="00413FA2">
      <w:pPr>
        <w:pStyle w:val="ExhibitHeading"/>
        <w:rPr>
          <w:rFonts w:eastAsia="Calibri"/>
          <w:lang w:val="en-GB"/>
        </w:rPr>
      </w:pPr>
      <w:r w:rsidRPr="00DF75A6">
        <w:rPr>
          <w:rFonts w:eastAsia="Calibri"/>
          <w:lang w:val="en-GB"/>
        </w:rPr>
        <w:t xml:space="preserve">Exhibit 6: </w:t>
      </w:r>
      <w:r w:rsidR="001779F2" w:rsidRPr="00DF75A6">
        <w:rPr>
          <w:rFonts w:eastAsia="Calibri"/>
          <w:lang w:val="en-GB"/>
        </w:rPr>
        <w:t>Segment</w:t>
      </w:r>
      <w:r w:rsidR="001779F2">
        <w:rPr>
          <w:rFonts w:eastAsia="Calibri"/>
          <w:lang w:val="en-GB"/>
        </w:rPr>
        <w:t>-</w:t>
      </w:r>
      <w:r w:rsidRPr="00DF75A6">
        <w:rPr>
          <w:rFonts w:eastAsia="Calibri"/>
          <w:lang w:val="en-GB"/>
        </w:rPr>
        <w:t>wise sales in Pickup market, FY</w:t>
      </w:r>
      <w:r w:rsidR="007074E2" w:rsidRPr="00DF75A6">
        <w:rPr>
          <w:rFonts w:eastAsia="Calibri"/>
          <w:lang w:val="en-GB"/>
        </w:rPr>
        <w:t>20</w:t>
      </w:r>
      <w:r w:rsidRPr="00DF75A6">
        <w:rPr>
          <w:rFonts w:eastAsia="Calibri"/>
          <w:lang w:val="en-GB"/>
        </w:rPr>
        <w:t>11</w:t>
      </w:r>
      <w:r w:rsidR="007074E2" w:rsidRPr="00DF75A6">
        <w:rPr>
          <w:rFonts w:eastAsia="Calibri"/>
          <w:lang w:val="en-GB"/>
        </w:rPr>
        <w:t>–20</w:t>
      </w:r>
      <w:r w:rsidRPr="00DF75A6">
        <w:rPr>
          <w:rFonts w:eastAsia="Calibri"/>
          <w:lang w:val="en-GB"/>
        </w:rPr>
        <w:t>16</w:t>
      </w:r>
      <w:r w:rsidR="00B4557A">
        <w:rPr>
          <w:rFonts w:eastAsia="Calibri"/>
          <w:lang w:val="en-GB"/>
        </w:rPr>
        <w:t xml:space="preserve"> </w:t>
      </w:r>
    </w:p>
    <w:p w14:paraId="695288A1" w14:textId="77777777" w:rsidR="00413FA2" w:rsidRPr="00DF75A6" w:rsidRDefault="00413FA2" w:rsidP="00413FA2">
      <w:pPr>
        <w:pStyle w:val="ExhibitText"/>
        <w:rPr>
          <w:rFonts w:eastAsia="Calibri"/>
          <w:sz w:val="16"/>
          <w:szCs w:val="16"/>
          <w:lang w:val="en-GB"/>
        </w:rPr>
      </w:pPr>
    </w:p>
    <w:tbl>
      <w:tblPr>
        <w:tblStyle w:val="TableGrid"/>
        <w:tblW w:w="8971" w:type="dxa"/>
        <w:jc w:val="center"/>
        <w:tblLayout w:type="fixed"/>
        <w:tblLook w:val="04A0" w:firstRow="1" w:lastRow="0" w:firstColumn="1" w:lastColumn="0" w:noHBand="0" w:noVBand="1"/>
      </w:tblPr>
      <w:tblGrid>
        <w:gridCol w:w="2974"/>
        <w:gridCol w:w="810"/>
        <w:gridCol w:w="720"/>
        <w:gridCol w:w="810"/>
        <w:gridCol w:w="900"/>
        <w:gridCol w:w="810"/>
        <w:gridCol w:w="900"/>
        <w:gridCol w:w="1047"/>
      </w:tblGrid>
      <w:tr w:rsidR="00413FA2" w:rsidRPr="00DF75A6" w14:paraId="5C95191A" w14:textId="77777777" w:rsidTr="003D416E">
        <w:trPr>
          <w:jc w:val="center"/>
        </w:trPr>
        <w:tc>
          <w:tcPr>
            <w:tcW w:w="2974" w:type="dxa"/>
            <w:vAlign w:val="center"/>
          </w:tcPr>
          <w:p w14:paraId="1E506ED8" w14:textId="77777777" w:rsidR="00413FA2" w:rsidRPr="00DF75A6" w:rsidRDefault="00413FA2" w:rsidP="00BD0EBB">
            <w:pPr>
              <w:pStyle w:val="ExhibitText"/>
              <w:jc w:val="center"/>
              <w:rPr>
                <w:rFonts w:eastAsia="Calibri"/>
                <w:b/>
                <w:lang w:val="en-GB"/>
              </w:rPr>
            </w:pPr>
            <w:r w:rsidRPr="00DF75A6">
              <w:rPr>
                <w:rFonts w:eastAsia="Calibri"/>
                <w:b/>
                <w:lang w:val="en-GB"/>
              </w:rPr>
              <w:t>Segment</w:t>
            </w:r>
          </w:p>
        </w:tc>
        <w:tc>
          <w:tcPr>
            <w:tcW w:w="4950" w:type="dxa"/>
            <w:gridSpan w:val="6"/>
            <w:vAlign w:val="center"/>
          </w:tcPr>
          <w:p w14:paraId="0EB90C98" w14:textId="16F92451" w:rsidR="00413FA2" w:rsidRPr="00DF75A6" w:rsidRDefault="00413FA2">
            <w:pPr>
              <w:pStyle w:val="ExhibitText"/>
              <w:jc w:val="center"/>
              <w:rPr>
                <w:rFonts w:eastAsia="Calibri"/>
                <w:b/>
                <w:lang w:val="en-GB"/>
              </w:rPr>
            </w:pPr>
            <w:r w:rsidRPr="00DF75A6">
              <w:rPr>
                <w:rFonts w:eastAsia="Calibri"/>
                <w:b/>
                <w:lang w:val="en-GB"/>
              </w:rPr>
              <w:t xml:space="preserve">Percentage </w:t>
            </w:r>
            <w:r w:rsidR="007074E2" w:rsidRPr="00DF75A6">
              <w:rPr>
                <w:rFonts w:eastAsia="Calibri"/>
                <w:b/>
                <w:lang w:val="en-GB"/>
              </w:rPr>
              <w:t xml:space="preserve">Share </w:t>
            </w:r>
            <w:r w:rsidRPr="00DF75A6">
              <w:rPr>
                <w:rFonts w:eastAsia="Calibri"/>
                <w:b/>
                <w:lang w:val="en-GB"/>
              </w:rPr>
              <w:t xml:space="preserve">of </w:t>
            </w:r>
            <w:r w:rsidR="007074E2" w:rsidRPr="00DF75A6">
              <w:rPr>
                <w:rFonts w:eastAsia="Calibri"/>
                <w:b/>
                <w:lang w:val="en-GB"/>
              </w:rPr>
              <w:t>Segment Sales</w:t>
            </w:r>
          </w:p>
        </w:tc>
        <w:tc>
          <w:tcPr>
            <w:tcW w:w="1047" w:type="dxa"/>
          </w:tcPr>
          <w:p w14:paraId="6C24D891" w14:textId="77777777" w:rsidR="00413FA2" w:rsidRPr="00DF75A6" w:rsidRDefault="00413FA2" w:rsidP="003D416E">
            <w:pPr>
              <w:pStyle w:val="ExhibitText"/>
              <w:rPr>
                <w:rFonts w:eastAsia="Calibri"/>
                <w:lang w:val="en-GB"/>
              </w:rPr>
            </w:pPr>
          </w:p>
        </w:tc>
      </w:tr>
      <w:tr w:rsidR="00413FA2" w:rsidRPr="00DF75A6" w14:paraId="539AE6CB" w14:textId="77777777" w:rsidTr="003D416E">
        <w:trPr>
          <w:jc w:val="center"/>
        </w:trPr>
        <w:tc>
          <w:tcPr>
            <w:tcW w:w="2974" w:type="dxa"/>
            <w:vAlign w:val="center"/>
          </w:tcPr>
          <w:p w14:paraId="5EF0DFF9" w14:textId="77777777" w:rsidR="00413FA2" w:rsidRPr="00DF75A6" w:rsidRDefault="00413FA2" w:rsidP="003D416E">
            <w:pPr>
              <w:pStyle w:val="ExhibitText"/>
              <w:rPr>
                <w:rFonts w:eastAsia="Calibri"/>
                <w:lang w:val="en-GB"/>
              </w:rPr>
            </w:pPr>
          </w:p>
        </w:tc>
        <w:tc>
          <w:tcPr>
            <w:tcW w:w="810" w:type="dxa"/>
            <w:vAlign w:val="center"/>
          </w:tcPr>
          <w:p w14:paraId="59CD3204" w14:textId="03C7070A" w:rsidR="00413FA2" w:rsidRPr="00DF75A6" w:rsidRDefault="00413FA2">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11</w:t>
            </w:r>
          </w:p>
        </w:tc>
        <w:tc>
          <w:tcPr>
            <w:tcW w:w="720" w:type="dxa"/>
            <w:vAlign w:val="center"/>
          </w:tcPr>
          <w:p w14:paraId="3004A623" w14:textId="23AEFD26" w:rsidR="00413FA2" w:rsidRPr="00DF75A6" w:rsidRDefault="00413FA2" w:rsidP="003D416E">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12</w:t>
            </w:r>
          </w:p>
        </w:tc>
        <w:tc>
          <w:tcPr>
            <w:tcW w:w="810" w:type="dxa"/>
            <w:vAlign w:val="center"/>
          </w:tcPr>
          <w:p w14:paraId="3D6648A8" w14:textId="0B3250D5" w:rsidR="00413FA2" w:rsidRPr="00DF75A6" w:rsidRDefault="00413FA2" w:rsidP="003D416E">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13</w:t>
            </w:r>
          </w:p>
        </w:tc>
        <w:tc>
          <w:tcPr>
            <w:tcW w:w="900" w:type="dxa"/>
            <w:vAlign w:val="center"/>
          </w:tcPr>
          <w:p w14:paraId="17FE3ADD" w14:textId="2453AD6F" w:rsidR="00413FA2" w:rsidRPr="00DF75A6" w:rsidRDefault="00413FA2" w:rsidP="003D416E">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14</w:t>
            </w:r>
          </w:p>
        </w:tc>
        <w:tc>
          <w:tcPr>
            <w:tcW w:w="810" w:type="dxa"/>
            <w:vAlign w:val="center"/>
          </w:tcPr>
          <w:p w14:paraId="0F24DDFF" w14:textId="39313BB0" w:rsidR="00413FA2" w:rsidRPr="00DF75A6" w:rsidRDefault="00413FA2" w:rsidP="003D416E">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15</w:t>
            </w:r>
          </w:p>
        </w:tc>
        <w:tc>
          <w:tcPr>
            <w:tcW w:w="900" w:type="dxa"/>
            <w:vAlign w:val="center"/>
          </w:tcPr>
          <w:p w14:paraId="14652B79" w14:textId="30CBA9E7" w:rsidR="00413FA2" w:rsidRPr="00DF75A6" w:rsidRDefault="00413FA2" w:rsidP="003D416E">
            <w:pPr>
              <w:pStyle w:val="ExhibitText"/>
              <w:jc w:val="center"/>
              <w:rPr>
                <w:rFonts w:eastAsia="Calibri"/>
                <w:b/>
                <w:lang w:val="en-GB"/>
              </w:rPr>
            </w:pPr>
            <w:r w:rsidRPr="00DF75A6">
              <w:rPr>
                <w:rFonts w:eastAsia="Calibri"/>
                <w:b/>
                <w:lang w:val="en-GB"/>
              </w:rPr>
              <w:t>FY</w:t>
            </w:r>
            <w:r w:rsidR="007074E2" w:rsidRPr="00DF75A6">
              <w:rPr>
                <w:rFonts w:eastAsia="Calibri"/>
                <w:b/>
                <w:lang w:val="en-GB"/>
              </w:rPr>
              <w:t xml:space="preserve"> 20</w:t>
            </w:r>
            <w:r w:rsidRPr="00DF75A6">
              <w:rPr>
                <w:rFonts w:eastAsia="Calibri"/>
                <w:b/>
                <w:lang w:val="en-GB"/>
              </w:rPr>
              <w:t>16</w:t>
            </w:r>
          </w:p>
        </w:tc>
        <w:tc>
          <w:tcPr>
            <w:tcW w:w="1047" w:type="dxa"/>
            <w:vAlign w:val="center"/>
          </w:tcPr>
          <w:p w14:paraId="08417E67" w14:textId="3FAE102F" w:rsidR="00413FA2" w:rsidRPr="00DF75A6" w:rsidRDefault="00413FA2" w:rsidP="003D416E">
            <w:pPr>
              <w:pStyle w:val="ExhibitText"/>
              <w:jc w:val="center"/>
              <w:rPr>
                <w:rFonts w:eastAsia="Calibri"/>
                <w:b/>
                <w:lang w:val="en-GB"/>
              </w:rPr>
            </w:pPr>
            <w:r w:rsidRPr="00DF75A6">
              <w:rPr>
                <w:rFonts w:eastAsia="Calibri"/>
                <w:b/>
                <w:lang w:val="en-GB"/>
              </w:rPr>
              <w:t>%</w:t>
            </w:r>
            <w:r w:rsidR="007074E2" w:rsidRPr="00DF75A6">
              <w:rPr>
                <w:rFonts w:eastAsia="Calibri"/>
                <w:b/>
                <w:lang w:val="en-GB"/>
              </w:rPr>
              <w:t xml:space="preserve"> </w:t>
            </w:r>
            <w:r w:rsidRPr="00DF75A6">
              <w:rPr>
                <w:rFonts w:eastAsia="Calibri"/>
                <w:b/>
                <w:lang w:val="en-GB"/>
              </w:rPr>
              <w:t>CAGR</w:t>
            </w:r>
          </w:p>
        </w:tc>
      </w:tr>
      <w:tr w:rsidR="00413FA2" w:rsidRPr="00DF75A6" w14:paraId="6162CDA8" w14:textId="77777777" w:rsidTr="00BD0EBB">
        <w:trPr>
          <w:trHeight w:val="377"/>
          <w:jc w:val="center"/>
        </w:trPr>
        <w:tc>
          <w:tcPr>
            <w:tcW w:w="2974" w:type="dxa"/>
            <w:vAlign w:val="center"/>
          </w:tcPr>
          <w:p w14:paraId="7894EE7B" w14:textId="77777777" w:rsidR="00413FA2" w:rsidRPr="00DF75A6" w:rsidRDefault="00413FA2" w:rsidP="00520D2D">
            <w:pPr>
              <w:pStyle w:val="ExhibitText"/>
              <w:jc w:val="left"/>
              <w:rPr>
                <w:rFonts w:eastAsia="Calibri"/>
                <w:lang w:val="en-GB"/>
              </w:rPr>
            </w:pPr>
            <w:r w:rsidRPr="00DF75A6">
              <w:rPr>
                <w:rFonts w:eastAsia="Calibri"/>
                <w:lang w:val="en-GB"/>
              </w:rPr>
              <w:t>Load King</w:t>
            </w:r>
          </w:p>
        </w:tc>
        <w:tc>
          <w:tcPr>
            <w:tcW w:w="810" w:type="dxa"/>
            <w:vAlign w:val="center"/>
          </w:tcPr>
          <w:p w14:paraId="048DE4BD" w14:textId="77777777" w:rsidR="00413FA2" w:rsidRPr="00DF75A6" w:rsidRDefault="00413FA2" w:rsidP="00BD0EBB">
            <w:pPr>
              <w:pStyle w:val="ExhibitText"/>
              <w:jc w:val="center"/>
              <w:rPr>
                <w:rFonts w:eastAsia="Calibri"/>
                <w:lang w:val="en-GB"/>
              </w:rPr>
            </w:pPr>
            <w:r w:rsidRPr="00DF75A6">
              <w:rPr>
                <w:rFonts w:eastAsia="Calibri"/>
                <w:lang w:val="en-GB"/>
              </w:rPr>
              <w:t>71</w:t>
            </w:r>
          </w:p>
        </w:tc>
        <w:tc>
          <w:tcPr>
            <w:tcW w:w="720" w:type="dxa"/>
            <w:vAlign w:val="center"/>
          </w:tcPr>
          <w:p w14:paraId="528CEA78" w14:textId="77777777" w:rsidR="00413FA2" w:rsidRPr="00DF75A6" w:rsidRDefault="00413FA2" w:rsidP="00BD0EBB">
            <w:pPr>
              <w:pStyle w:val="ExhibitText"/>
              <w:jc w:val="center"/>
              <w:rPr>
                <w:rFonts w:eastAsia="Calibri"/>
                <w:lang w:val="en-GB"/>
              </w:rPr>
            </w:pPr>
            <w:r w:rsidRPr="00DF75A6">
              <w:rPr>
                <w:rFonts w:eastAsia="Calibri"/>
                <w:lang w:val="en-GB"/>
              </w:rPr>
              <w:t>59</w:t>
            </w:r>
          </w:p>
        </w:tc>
        <w:tc>
          <w:tcPr>
            <w:tcW w:w="810" w:type="dxa"/>
            <w:vAlign w:val="center"/>
          </w:tcPr>
          <w:p w14:paraId="030BE633" w14:textId="77777777" w:rsidR="00413FA2" w:rsidRPr="00DF75A6" w:rsidRDefault="00413FA2" w:rsidP="00BD0EBB">
            <w:pPr>
              <w:pStyle w:val="ExhibitText"/>
              <w:jc w:val="center"/>
              <w:rPr>
                <w:rFonts w:eastAsia="Calibri"/>
                <w:lang w:val="en-GB"/>
              </w:rPr>
            </w:pPr>
            <w:r w:rsidRPr="00DF75A6">
              <w:rPr>
                <w:rFonts w:eastAsia="Calibri"/>
                <w:lang w:val="en-GB"/>
              </w:rPr>
              <w:t>41</w:t>
            </w:r>
          </w:p>
        </w:tc>
        <w:tc>
          <w:tcPr>
            <w:tcW w:w="900" w:type="dxa"/>
            <w:vAlign w:val="center"/>
          </w:tcPr>
          <w:p w14:paraId="7A8AD584" w14:textId="77777777" w:rsidR="00413FA2" w:rsidRPr="00DF75A6" w:rsidRDefault="00413FA2" w:rsidP="00BD0EBB">
            <w:pPr>
              <w:pStyle w:val="ExhibitText"/>
              <w:jc w:val="center"/>
              <w:rPr>
                <w:rFonts w:eastAsia="Calibri"/>
                <w:lang w:val="en-GB"/>
              </w:rPr>
            </w:pPr>
            <w:r w:rsidRPr="00DF75A6">
              <w:rPr>
                <w:rFonts w:eastAsia="Calibri"/>
                <w:lang w:val="en-GB"/>
              </w:rPr>
              <w:t>40</w:t>
            </w:r>
          </w:p>
        </w:tc>
        <w:tc>
          <w:tcPr>
            <w:tcW w:w="810" w:type="dxa"/>
            <w:vAlign w:val="center"/>
          </w:tcPr>
          <w:p w14:paraId="3B2E227D" w14:textId="77777777" w:rsidR="00413FA2" w:rsidRPr="00DF75A6" w:rsidRDefault="00413FA2" w:rsidP="00BD0EBB">
            <w:pPr>
              <w:pStyle w:val="ExhibitText"/>
              <w:jc w:val="center"/>
              <w:rPr>
                <w:rFonts w:eastAsia="Calibri"/>
                <w:lang w:val="en-GB"/>
              </w:rPr>
            </w:pPr>
            <w:r w:rsidRPr="00DF75A6">
              <w:rPr>
                <w:rFonts w:eastAsia="Calibri"/>
                <w:lang w:val="en-GB"/>
              </w:rPr>
              <w:t>45</w:t>
            </w:r>
          </w:p>
        </w:tc>
        <w:tc>
          <w:tcPr>
            <w:tcW w:w="900" w:type="dxa"/>
            <w:vAlign w:val="center"/>
          </w:tcPr>
          <w:p w14:paraId="73EDF7CA" w14:textId="77777777" w:rsidR="00413FA2" w:rsidRPr="00DF75A6" w:rsidRDefault="00413FA2" w:rsidP="00BD0EBB">
            <w:pPr>
              <w:pStyle w:val="ExhibitText"/>
              <w:jc w:val="center"/>
              <w:rPr>
                <w:rFonts w:eastAsia="Calibri"/>
                <w:lang w:val="en-GB"/>
              </w:rPr>
            </w:pPr>
            <w:r w:rsidRPr="00DF75A6">
              <w:rPr>
                <w:rFonts w:eastAsia="Calibri"/>
                <w:lang w:val="en-GB"/>
              </w:rPr>
              <w:t>44</w:t>
            </w:r>
          </w:p>
        </w:tc>
        <w:tc>
          <w:tcPr>
            <w:tcW w:w="1047" w:type="dxa"/>
            <w:vAlign w:val="center"/>
          </w:tcPr>
          <w:p w14:paraId="0B47ED2F" w14:textId="77777777" w:rsidR="00413FA2" w:rsidRPr="00DF75A6" w:rsidRDefault="00413FA2" w:rsidP="00BD0EBB">
            <w:pPr>
              <w:pStyle w:val="ExhibitText"/>
              <w:jc w:val="center"/>
              <w:rPr>
                <w:rFonts w:eastAsia="Calibri"/>
                <w:lang w:val="en-GB"/>
              </w:rPr>
            </w:pPr>
            <w:r w:rsidRPr="00DF75A6">
              <w:rPr>
                <w:rFonts w:eastAsia="Calibri"/>
                <w:lang w:val="en-GB"/>
              </w:rPr>
              <w:t>6</w:t>
            </w:r>
          </w:p>
        </w:tc>
      </w:tr>
      <w:tr w:rsidR="00413FA2" w:rsidRPr="00DF75A6" w14:paraId="466F7E40" w14:textId="77777777" w:rsidTr="00BD0EBB">
        <w:trPr>
          <w:jc w:val="center"/>
        </w:trPr>
        <w:tc>
          <w:tcPr>
            <w:tcW w:w="2974" w:type="dxa"/>
            <w:vAlign w:val="center"/>
          </w:tcPr>
          <w:p w14:paraId="26789EF8" w14:textId="6EF2E488" w:rsidR="00413FA2" w:rsidRPr="00DF75A6" w:rsidRDefault="00413FA2" w:rsidP="00520D2D">
            <w:pPr>
              <w:pStyle w:val="ExhibitText"/>
              <w:jc w:val="left"/>
              <w:rPr>
                <w:rFonts w:eastAsia="Calibri"/>
                <w:lang w:val="en-GB"/>
              </w:rPr>
            </w:pPr>
            <w:r w:rsidRPr="00DF75A6">
              <w:rPr>
                <w:rFonts w:eastAsia="Calibri"/>
                <w:lang w:val="en-GB"/>
              </w:rPr>
              <w:t xml:space="preserve">Reliable </w:t>
            </w:r>
            <w:r w:rsidR="007074E2" w:rsidRPr="00DF75A6">
              <w:rPr>
                <w:rFonts w:eastAsia="Calibri"/>
                <w:lang w:val="en-GB"/>
              </w:rPr>
              <w:t>Workmate</w:t>
            </w:r>
          </w:p>
        </w:tc>
        <w:tc>
          <w:tcPr>
            <w:tcW w:w="810" w:type="dxa"/>
            <w:vAlign w:val="center"/>
          </w:tcPr>
          <w:p w14:paraId="7C774A03" w14:textId="77777777" w:rsidR="00413FA2" w:rsidRPr="00DF75A6" w:rsidRDefault="00413FA2" w:rsidP="00BD0EBB">
            <w:pPr>
              <w:pStyle w:val="ExhibitText"/>
              <w:jc w:val="center"/>
              <w:rPr>
                <w:rFonts w:eastAsia="Calibri"/>
                <w:lang w:val="en-GB"/>
              </w:rPr>
            </w:pPr>
            <w:r w:rsidRPr="00DF75A6">
              <w:rPr>
                <w:rFonts w:eastAsia="Calibri"/>
                <w:lang w:val="en-GB"/>
              </w:rPr>
              <w:t>4</w:t>
            </w:r>
          </w:p>
        </w:tc>
        <w:tc>
          <w:tcPr>
            <w:tcW w:w="720" w:type="dxa"/>
            <w:vAlign w:val="center"/>
          </w:tcPr>
          <w:p w14:paraId="075F3E98" w14:textId="77777777" w:rsidR="00413FA2" w:rsidRPr="00DF75A6" w:rsidRDefault="00413FA2" w:rsidP="00BD0EBB">
            <w:pPr>
              <w:pStyle w:val="ExhibitText"/>
              <w:jc w:val="center"/>
              <w:rPr>
                <w:rFonts w:eastAsia="Calibri"/>
                <w:lang w:val="en-GB"/>
              </w:rPr>
            </w:pPr>
            <w:r w:rsidRPr="00DF75A6">
              <w:rPr>
                <w:rFonts w:eastAsia="Calibri"/>
                <w:lang w:val="en-GB"/>
              </w:rPr>
              <w:t>10</w:t>
            </w:r>
          </w:p>
        </w:tc>
        <w:tc>
          <w:tcPr>
            <w:tcW w:w="810" w:type="dxa"/>
            <w:vAlign w:val="center"/>
          </w:tcPr>
          <w:p w14:paraId="6BF0F71A" w14:textId="77777777" w:rsidR="00413FA2" w:rsidRPr="00DF75A6" w:rsidRDefault="00413FA2" w:rsidP="00BD0EBB">
            <w:pPr>
              <w:pStyle w:val="ExhibitText"/>
              <w:jc w:val="center"/>
              <w:rPr>
                <w:rFonts w:eastAsia="Calibri"/>
                <w:lang w:val="en-GB"/>
              </w:rPr>
            </w:pPr>
            <w:r w:rsidRPr="00DF75A6">
              <w:rPr>
                <w:rFonts w:eastAsia="Calibri"/>
                <w:lang w:val="en-GB"/>
              </w:rPr>
              <w:t>7</w:t>
            </w:r>
          </w:p>
        </w:tc>
        <w:tc>
          <w:tcPr>
            <w:tcW w:w="900" w:type="dxa"/>
            <w:vAlign w:val="center"/>
          </w:tcPr>
          <w:p w14:paraId="16448EE4" w14:textId="77777777" w:rsidR="00413FA2" w:rsidRPr="00DF75A6" w:rsidRDefault="00413FA2" w:rsidP="00BD0EBB">
            <w:pPr>
              <w:pStyle w:val="ExhibitText"/>
              <w:jc w:val="center"/>
              <w:rPr>
                <w:rFonts w:eastAsia="Calibri"/>
                <w:lang w:val="en-GB"/>
              </w:rPr>
            </w:pPr>
            <w:r w:rsidRPr="00DF75A6">
              <w:rPr>
                <w:rFonts w:eastAsia="Calibri"/>
                <w:lang w:val="en-GB"/>
              </w:rPr>
              <w:t>9</w:t>
            </w:r>
          </w:p>
        </w:tc>
        <w:tc>
          <w:tcPr>
            <w:tcW w:w="810" w:type="dxa"/>
            <w:vAlign w:val="center"/>
          </w:tcPr>
          <w:p w14:paraId="5F2A90C6" w14:textId="77777777" w:rsidR="00413FA2" w:rsidRPr="00DF75A6" w:rsidRDefault="00413FA2" w:rsidP="00BD0EBB">
            <w:pPr>
              <w:pStyle w:val="ExhibitText"/>
              <w:jc w:val="center"/>
              <w:rPr>
                <w:rFonts w:eastAsia="Calibri"/>
                <w:lang w:val="en-GB"/>
              </w:rPr>
            </w:pPr>
            <w:r w:rsidRPr="00DF75A6">
              <w:rPr>
                <w:rFonts w:eastAsia="Calibri"/>
                <w:lang w:val="en-GB"/>
              </w:rPr>
              <w:t>5</w:t>
            </w:r>
          </w:p>
        </w:tc>
        <w:tc>
          <w:tcPr>
            <w:tcW w:w="900" w:type="dxa"/>
            <w:vAlign w:val="center"/>
          </w:tcPr>
          <w:p w14:paraId="7F00F4DC" w14:textId="77777777" w:rsidR="00413FA2" w:rsidRPr="00DF75A6" w:rsidRDefault="00413FA2" w:rsidP="00BD0EBB">
            <w:pPr>
              <w:pStyle w:val="ExhibitText"/>
              <w:jc w:val="center"/>
              <w:rPr>
                <w:rFonts w:eastAsia="Calibri"/>
                <w:lang w:val="en-GB"/>
              </w:rPr>
            </w:pPr>
            <w:r w:rsidRPr="00DF75A6">
              <w:rPr>
                <w:rFonts w:eastAsia="Calibri"/>
                <w:lang w:val="en-GB"/>
              </w:rPr>
              <w:t>4</w:t>
            </w:r>
          </w:p>
        </w:tc>
        <w:tc>
          <w:tcPr>
            <w:tcW w:w="1047" w:type="dxa"/>
            <w:vAlign w:val="center"/>
          </w:tcPr>
          <w:p w14:paraId="62BEA291" w14:textId="77777777" w:rsidR="00413FA2" w:rsidRPr="00DF75A6" w:rsidRDefault="00413FA2" w:rsidP="00BD0EBB">
            <w:pPr>
              <w:pStyle w:val="ExhibitText"/>
              <w:jc w:val="center"/>
              <w:rPr>
                <w:rFonts w:eastAsia="Calibri"/>
                <w:lang w:val="en-GB"/>
              </w:rPr>
            </w:pPr>
            <w:r w:rsidRPr="00DF75A6">
              <w:rPr>
                <w:rFonts w:eastAsia="Calibri"/>
                <w:lang w:val="en-GB"/>
              </w:rPr>
              <w:t>13</w:t>
            </w:r>
          </w:p>
        </w:tc>
      </w:tr>
      <w:tr w:rsidR="00413FA2" w:rsidRPr="00DF75A6" w14:paraId="1B65D102" w14:textId="77777777" w:rsidTr="00BD0EBB">
        <w:trPr>
          <w:trHeight w:val="359"/>
          <w:jc w:val="center"/>
        </w:trPr>
        <w:tc>
          <w:tcPr>
            <w:tcW w:w="2974" w:type="dxa"/>
            <w:vAlign w:val="center"/>
          </w:tcPr>
          <w:p w14:paraId="3E4B3478" w14:textId="77777777" w:rsidR="00413FA2" w:rsidRPr="00DF75A6" w:rsidRDefault="00413FA2" w:rsidP="00520D2D">
            <w:pPr>
              <w:pStyle w:val="ExhibitText"/>
              <w:jc w:val="left"/>
              <w:rPr>
                <w:rFonts w:eastAsia="Calibri"/>
                <w:lang w:val="en-GB"/>
              </w:rPr>
            </w:pPr>
            <w:r w:rsidRPr="00DF75A6">
              <w:rPr>
                <w:rFonts w:eastAsia="Calibri"/>
                <w:lang w:val="en-GB"/>
              </w:rPr>
              <w:t>Mileage Optimizer</w:t>
            </w:r>
          </w:p>
        </w:tc>
        <w:tc>
          <w:tcPr>
            <w:tcW w:w="810" w:type="dxa"/>
            <w:vAlign w:val="center"/>
          </w:tcPr>
          <w:p w14:paraId="6628A38D" w14:textId="77777777" w:rsidR="00413FA2" w:rsidRPr="00DF75A6" w:rsidRDefault="00413FA2" w:rsidP="00BD0EBB">
            <w:pPr>
              <w:pStyle w:val="ExhibitText"/>
              <w:jc w:val="center"/>
              <w:rPr>
                <w:rFonts w:eastAsia="Calibri"/>
                <w:lang w:val="en-GB"/>
              </w:rPr>
            </w:pPr>
            <w:r w:rsidRPr="00DF75A6">
              <w:rPr>
                <w:rFonts w:eastAsia="Calibri"/>
                <w:lang w:val="en-GB"/>
              </w:rPr>
              <w:t>20</w:t>
            </w:r>
          </w:p>
        </w:tc>
        <w:tc>
          <w:tcPr>
            <w:tcW w:w="720" w:type="dxa"/>
            <w:vAlign w:val="center"/>
          </w:tcPr>
          <w:p w14:paraId="40174EC2" w14:textId="77777777" w:rsidR="00413FA2" w:rsidRPr="00DF75A6" w:rsidRDefault="00413FA2" w:rsidP="00BD0EBB">
            <w:pPr>
              <w:pStyle w:val="ExhibitText"/>
              <w:jc w:val="center"/>
              <w:rPr>
                <w:rFonts w:eastAsia="Calibri"/>
                <w:lang w:val="en-GB"/>
              </w:rPr>
            </w:pPr>
            <w:r w:rsidRPr="00DF75A6">
              <w:rPr>
                <w:rFonts w:eastAsia="Calibri"/>
                <w:lang w:val="en-GB"/>
              </w:rPr>
              <w:t>21</w:t>
            </w:r>
          </w:p>
        </w:tc>
        <w:tc>
          <w:tcPr>
            <w:tcW w:w="810" w:type="dxa"/>
            <w:vAlign w:val="center"/>
          </w:tcPr>
          <w:p w14:paraId="59354FF4" w14:textId="77777777" w:rsidR="00413FA2" w:rsidRPr="00DF75A6" w:rsidRDefault="00413FA2" w:rsidP="00BD0EBB">
            <w:pPr>
              <w:pStyle w:val="ExhibitText"/>
              <w:jc w:val="center"/>
              <w:rPr>
                <w:rFonts w:eastAsia="Calibri"/>
                <w:lang w:val="en-GB"/>
              </w:rPr>
            </w:pPr>
            <w:r w:rsidRPr="00DF75A6">
              <w:rPr>
                <w:rFonts w:eastAsia="Calibri"/>
                <w:lang w:val="en-GB"/>
              </w:rPr>
              <w:t>36</w:t>
            </w:r>
          </w:p>
        </w:tc>
        <w:tc>
          <w:tcPr>
            <w:tcW w:w="900" w:type="dxa"/>
            <w:vAlign w:val="center"/>
          </w:tcPr>
          <w:p w14:paraId="6D49178F" w14:textId="77777777" w:rsidR="00413FA2" w:rsidRPr="00DF75A6" w:rsidRDefault="00413FA2" w:rsidP="00BD0EBB">
            <w:pPr>
              <w:pStyle w:val="ExhibitText"/>
              <w:jc w:val="center"/>
              <w:rPr>
                <w:rFonts w:eastAsia="Calibri"/>
                <w:lang w:val="en-GB"/>
              </w:rPr>
            </w:pPr>
            <w:r w:rsidRPr="00DF75A6">
              <w:rPr>
                <w:rFonts w:eastAsia="Calibri"/>
                <w:lang w:val="en-GB"/>
              </w:rPr>
              <w:t>38</w:t>
            </w:r>
          </w:p>
        </w:tc>
        <w:tc>
          <w:tcPr>
            <w:tcW w:w="810" w:type="dxa"/>
            <w:vAlign w:val="center"/>
          </w:tcPr>
          <w:p w14:paraId="2819B393" w14:textId="77777777" w:rsidR="00413FA2" w:rsidRPr="00DF75A6" w:rsidRDefault="00413FA2" w:rsidP="00BD0EBB">
            <w:pPr>
              <w:pStyle w:val="ExhibitText"/>
              <w:jc w:val="center"/>
              <w:rPr>
                <w:rFonts w:eastAsia="Calibri"/>
                <w:lang w:val="en-GB"/>
              </w:rPr>
            </w:pPr>
            <w:r w:rsidRPr="00DF75A6">
              <w:rPr>
                <w:rFonts w:eastAsia="Calibri"/>
                <w:lang w:val="en-GB"/>
              </w:rPr>
              <w:t>42</w:t>
            </w:r>
          </w:p>
        </w:tc>
        <w:tc>
          <w:tcPr>
            <w:tcW w:w="900" w:type="dxa"/>
            <w:vAlign w:val="center"/>
          </w:tcPr>
          <w:p w14:paraId="7D0AD428" w14:textId="77777777" w:rsidR="00413FA2" w:rsidRPr="00DF75A6" w:rsidRDefault="00413FA2" w:rsidP="00BD0EBB">
            <w:pPr>
              <w:pStyle w:val="ExhibitText"/>
              <w:jc w:val="center"/>
              <w:rPr>
                <w:rFonts w:eastAsia="Calibri"/>
                <w:lang w:val="en-GB"/>
              </w:rPr>
            </w:pPr>
            <w:r w:rsidRPr="00DF75A6">
              <w:rPr>
                <w:rFonts w:eastAsia="Calibri"/>
                <w:lang w:val="en-GB"/>
              </w:rPr>
              <w:t>43</w:t>
            </w:r>
          </w:p>
        </w:tc>
        <w:tc>
          <w:tcPr>
            <w:tcW w:w="1047" w:type="dxa"/>
            <w:vAlign w:val="center"/>
          </w:tcPr>
          <w:p w14:paraId="237A06DB" w14:textId="77777777" w:rsidR="00413FA2" w:rsidRPr="00DF75A6" w:rsidRDefault="00413FA2" w:rsidP="00BD0EBB">
            <w:pPr>
              <w:pStyle w:val="ExhibitText"/>
              <w:jc w:val="center"/>
              <w:rPr>
                <w:rFonts w:eastAsia="Calibri"/>
                <w:lang w:val="en-GB"/>
              </w:rPr>
            </w:pPr>
            <w:r w:rsidRPr="00DF75A6">
              <w:rPr>
                <w:rFonts w:eastAsia="Calibri"/>
                <w:lang w:val="en-GB"/>
              </w:rPr>
              <w:t>31</w:t>
            </w:r>
          </w:p>
        </w:tc>
      </w:tr>
      <w:tr w:rsidR="00413FA2" w:rsidRPr="00DF75A6" w14:paraId="2FD93930" w14:textId="77777777" w:rsidTr="00BD0EBB">
        <w:trPr>
          <w:jc w:val="center"/>
        </w:trPr>
        <w:tc>
          <w:tcPr>
            <w:tcW w:w="2974" w:type="dxa"/>
            <w:vAlign w:val="center"/>
          </w:tcPr>
          <w:p w14:paraId="2C0FFE36" w14:textId="77777777" w:rsidR="00413FA2" w:rsidRPr="00DF75A6" w:rsidRDefault="00413FA2" w:rsidP="00520D2D">
            <w:pPr>
              <w:pStyle w:val="ExhibitText"/>
              <w:jc w:val="left"/>
              <w:rPr>
                <w:rFonts w:eastAsia="Calibri"/>
                <w:lang w:val="en-GB"/>
              </w:rPr>
            </w:pPr>
            <w:r w:rsidRPr="00DF75A6">
              <w:rPr>
                <w:rFonts w:eastAsia="Calibri"/>
                <w:lang w:val="en-GB"/>
              </w:rPr>
              <w:t>Investment Optimizer</w:t>
            </w:r>
          </w:p>
        </w:tc>
        <w:tc>
          <w:tcPr>
            <w:tcW w:w="810" w:type="dxa"/>
            <w:vAlign w:val="center"/>
          </w:tcPr>
          <w:p w14:paraId="7C983834" w14:textId="77777777" w:rsidR="00413FA2" w:rsidRPr="00DF75A6" w:rsidRDefault="00413FA2" w:rsidP="00BD0EBB">
            <w:pPr>
              <w:pStyle w:val="ExhibitText"/>
              <w:jc w:val="center"/>
              <w:rPr>
                <w:rFonts w:eastAsia="Calibri"/>
                <w:lang w:val="en-GB"/>
              </w:rPr>
            </w:pPr>
            <w:r w:rsidRPr="00DF75A6">
              <w:rPr>
                <w:rFonts w:eastAsia="Calibri"/>
                <w:lang w:val="en-GB"/>
              </w:rPr>
              <w:t>6</w:t>
            </w:r>
          </w:p>
        </w:tc>
        <w:tc>
          <w:tcPr>
            <w:tcW w:w="720" w:type="dxa"/>
            <w:vAlign w:val="center"/>
          </w:tcPr>
          <w:p w14:paraId="76B113E1" w14:textId="77777777" w:rsidR="00413FA2" w:rsidRPr="00DF75A6" w:rsidRDefault="00413FA2" w:rsidP="00BD0EBB">
            <w:pPr>
              <w:pStyle w:val="ExhibitText"/>
              <w:jc w:val="center"/>
              <w:rPr>
                <w:rFonts w:eastAsia="Calibri"/>
                <w:lang w:val="en-GB"/>
              </w:rPr>
            </w:pPr>
            <w:r w:rsidRPr="00DF75A6">
              <w:rPr>
                <w:rFonts w:eastAsia="Calibri"/>
                <w:lang w:val="en-GB"/>
              </w:rPr>
              <w:t>10</w:t>
            </w:r>
          </w:p>
        </w:tc>
        <w:tc>
          <w:tcPr>
            <w:tcW w:w="810" w:type="dxa"/>
            <w:vAlign w:val="center"/>
          </w:tcPr>
          <w:p w14:paraId="02549BA6" w14:textId="77777777" w:rsidR="00413FA2" w:rsidRPr="00DF75A6" w:rsidRDefault="00413FA2" w:rsidP="00BD0EBB">
            <w:pPr>
              <w:pStyle w:val="ExhibitText"/>
              <w:jc w:val="center"/>
              <w:rPr>
                <w:rFonts w:eastAsia="Calibri"/>
                <w:lang w:val="en-GB"/>
              </w:rPr>
            </w:pPr>
            <w:r w:rsidRPr="00DF75A6">
              <w:rPr>
                <w:rFonts w:eastAsia="Calibri"/>
                <w:lang w:val="en-GB"/>
              </w:rPr>
              <w:t>17</w:t>
            </w:r>
          </w:p>
        </w:tc>
        <w:tc>
          <w:tcPr>
            <w:tcW w:w="900" w:type="dxa"/>
            <w:vAlign w:val="center"/>
          </w:tcPr>
          <w:p w14:paraId="02E3DAFE" w14:textId="77777777" w:rsidR="00413FA2" w:rsidRPr="00DF75A6" w:rsidRDefault="00413FA2" w:rsidP="00BD0EBB">
            <w:pPr>
              <w:pStyle w:val="ExhibitText"/>
              <w:jc w:val="center"/>
              <w:rPr>
                <w:rFonts w:eastAsia="Calibri"/>
                <w:lang w:val="en-GB"/>
              </w:rPr>
            </w:pPr>
            <w:r w:rsidRPr="00DF75A6">
              <w:rPr>
                <w:rFonts w:eastAsia="Calibri"/>
                <w:lang w:val="en-GB"/>
              </w:rPr>
              <w:t>13</w:t>
            </w:r>
          </w:p>
        </w:tc>
        <w:tc>
          <w:tcPr>
            <w:tcW w:w="810" w:type="dxa"/>
            <w:vAlign w:val="center"/>
          </w:tcPr>
          <w:p w14:paraId="7A54F1C7" w14:textId="77777777" w:rsidR="00413FA2" w:rsidRPr="00DF75A6" w:rsidRDefault="00413FA2" w:rsidP="00BD0EBB">
            <w:pPr>
              <w:pStyle w:val="ExhibitText"/>
              <w:jc w:val="center"/>
              <w:rPr>
                <w:rFonts w:eastAsia="Calibri"/>
                <w:lang w:val="en-GB"/>
              </w:rPr>
            </w:pPr>
            <w:r w:rsidRPr="00DF75A6">
              <w:rPr>
                <w:rFonts w:eastAsia="Calibri"/>
                <w:lang w:val="en-GB"/>
              </w:rPr>
              <w:t>7</w:t>
            </w:r>
          </w:p>
        </w:tc>
        <w:tc>
          <w:tcPr>
            <w:tcW w:w="900" w:type="dxa"/>
            <w:vAlign w:val="center"/>
          </w:tcPr>
          <w:p w14:paraId="27CC5647" w14:textId="77777777" w:rsidR="00413FA2" w:rsidRPr="00DF75A6" w:rsidRDefault="00413FA2" w:rsidP="00BD0EBB">
            <w:pPr>
              <w:pStyle w:val="ExhibitText"/>
              <w:jc w:val="center"/>
              <w:rPr>
                <w:rFonts w:eastAsia="Calibri"/>
                <w:lang w:val="en-GB"/>
              </w:rPr>
            </w:pPr>
            <w:r w:rsidRPr="00DF75A6">
              <w:rPr>
                <w:rFonts w:eastAsia="Calibri"/>
                <w:lang w:val="en-GB"/>
              </w:rPr>
              <w:t>12</w:t>
            </w:r>
          </w:p>
        </w:tc>
        <w:tc>
          <w:tcPr>
            <w:tcW w:w="1047" w:type="dxa"/>
            <w:vAlign w:val="center"/>
          </w:tcPr>
          <w:p w14:paraId="65169EDC" w14:textId="77777777" w:rsidR="00413FA2" w:rsidRPr="00DF75A6" w:rsidRDefault="00413FA2" w:rsidP="00BD0EBB">
            <w:pPr>
              <w:pStyle w:val="ExhibitText"/>
              <w:jc w:val="center"/>
              <w:rPr>
                <w:rFonts w:eastAsia="Calibri"/>
                <w:lang w:val="en-GB"/>
              </w:rPr>
            </w:pPr>
            <w:r w:rsidRPr="00DF75A6">
              <w:rPr>
                <w:rFonts w:eastAsia="Calibri"/>
                <w:lang w:val="en-GB"/>
              </w:rPr>
              <w:t>30</w:t>
            </w:r>
          </w:p>
        </w:tc>
      </w:tr>
      <w:tr w:rsidR="00413FA2" w:rsidRPr="00DF75A6" w14:paraId="503B8413" w14:textId="77777777" w:rsidTr="00BD0EBB">
        <w:trPr>
          <w:trHeight w:val="314"/>
          <w:jc w:val="center"/>
        </w:trPr>
        <w:tc>
          <w:tcPr>
            <w:tcW w:w="2974" w:type="dxa"/>
            <w:vAlign w:val="center"/>
          </w:tcPr>
          <w:p w14:paraId="3B73A30E" w14:textId="21953CDC" w:rsidR="00413FA2" w:rsidRPr="00DF75A6" w:rsidRDefault="007074E2" w:rsidP="00B4557A">
            <w:pPr>
              <w:pStyle w:val="ExhibitText"/>
              <w:jc w:val="left"/>
              <w:rPr>
                <w:rFonts w:eastAsia="Calibri"/>
                <w:lang w:val="en-GB"/>
              </w:rPr>
            </w:pPr>
            <w:r w:rsidRPr="00DF75A6">
              <w:rPr>
                <w:rFonts w:eastAsia="Calibri"/>
                <w:lang w:val="en-GB"/>
              </w:rPr>
              <w:t>Segment-W</w:t>
            </w:r>
            <w:r w:rsidR="00413FA2" w:rsidRPr="00DF75A6">
              <w:rPr>
                <w:rFonts w:eastAsia="Calibri"/>
                <w:lang w:val="en-GB"/>
              </w:rPr>
              <w:t xml:space="preserve">ise </w:t>
            </w:r>
            <w:r w:rsidRPr="00DF75A6">
              <w:rPr>
                <w:rFonts w:eastAsia="Calibri"/>
                <w:lang w:val="en-GB"/>
              </w:rPr>
              <w:t xml:space="preserve">Sales </w:t>
            </w:r>
            <w:r w:rsidR="00413FA2" w:rsidRPr="00DF75A6">
              <w:rPr>
                <w:rFonts w:eastAsia="Calibri"/>
                <w:lang w:val="en-GB"/>
              </w:rPr>
              <w:t>(000 units)</w:t>
            </w:r>
          </w:p>
        </w:tc>
        <w:tc>
          <w:tcPr>
            <w:tcW w:w="810" w:type="dxa"/>
            <w:vAlign w:val="center"/>
          </w:tcPr>
          <w:p w14:paraId="5E4327E6" w14:textId="77777777" w:rsidR="00413FA2" w:rsidRPr="00DF75A6" w:rsidRDefault="00413FA2" w:rsidP="00BD0EBB">
            <w:pPr>
              <w:pStyle w:val="ExhibitText"/>
              <w:jc w:val="center"/>
              <w:rPr>
                <w:rFonts w:eastAsia="Calibri"/>
                <w:lang w:val="en-GB"/>
              </w:rPr>
            </w:pPr>
            <w:r w:rsidRPr="00DF75A6">
              <w:rPr>
                <w:rFonts w:eastAsia="Calibri"/>
                <w:lang w:val="en-GB"/>
              </w:rPr>
              <w:t>78</w:t>
            </w:r>
          </w:p>
        </w:tc>
        <w:tc>
          <w:tcPr>
            <w:tcW w:w="720" w:type="dxa"/>
            <w:vAlign w:val="center"/>
          </w:tcPr>
          <w:p w14:paraId="515E9E43" w14:textId="77777777" w:rsidR="00413FA2" w:rsidRPr="00DF75A6" w:rsidRDefault="00413FA2" w:rsidP="00BD0EBB">
            <w:pPr>
              <w:pStyle w:val="ExhibitText"/>
              <w:jc w:val="center"/>
              <w:rPr>
                <w:rFonts w:eastAsia="Calibri"/>
                <w:lang w:val="en-GB"/>
              </w:rPr>
            </w:pPr>
            <w:r w:rsidRPr="00DF75A6">
              <w:rPr>
                <w:rFonts w:eastAsia="Calibri"/>
                <w:lang w:val="en-GB"/>
              </w:rPr>
              <w:t>107</w:t>
            </w:r>
          </w:p>
        </w:tc>
        <w:tc>
          <w:tcPr>
            <w:tcW w:w="810" w:type="dxa"/>
            <w:vAlign w:val="center"/>
          </w:tcPr>
          <w:p w14:paraId="35EA45E9" w14:textId="77777777" w:rsidR="00413FA2" w:rsidRPr="00DF75A6" w:rsidRDefault="00413FA2" w:rsidP="00BD0EBB">
            <w:pPr>
              <w:pStyle w:val="ExhibitText"/>
              <w:jc w:val="center"/>
              <w:rPr>
                <w:rFonts w:eastAsia="Calibri"/>
                <w:lang w:val="en-GB"/>
              </w:rPr>
            </w:pPr>
            <w:r w:rsidRPr="00DF75A6">
              <w:rPr>
                <w:rFonts w:eastAsia="Calibri"/>
                <w:lang w:val="en-GB"/>
              </w:rPr>
              <w:t>189</w:t>
            </w:r>
          </w:p>
        </w:tc>
        <w:tc>
          <w:tcPr>
            <w:tcW w:w="900" w:type="dxa"/>
            <w:vAlign w:val="center"/>
          </w:tcPr>
          <w:p w14:paraId="7788BFC0" w14:textId="77777777" w:rsidR="00413FA2" w:rsidRPr="00DF75A6" w:rsidRDefault="00413FA2" w:rsidP="00BD0EBB">
            <w:pPr>
              <w:pStyle w:val="ExhibitText"/>
              <w:jc w:val="center"/>
              <w:rPr>
                <w:rFonts w:eastAsia="Calibri"/>
                <w:lang w:val="en-GB"/>
              </w:rPr>
            </w:pPr>
            <w:r w:rsidRPr="00DF75A6">
              <w:rPr>
                <w:rFonts w:eastAsia="Calibri"/>
                <w:lang w:val="en-GB"/>
              </w:rPr>
              <w:t>193</w:t>
            </w:r>
          </w:p>
        </w:tc>
        <w:tc>
          <w:tcPr>
            <w:tcW w:w="810" w:type="dxa"/>
            <w:vAlign w:val="center"/>
          </w:tcPr>
          <w:p w14:paraId="54312D39" w14:textId="77777777" w:rsidR="00413FA2" w:rsidRPr="00DF75A6" w:rsidRDefault="00413FA2" w:rsidP="00BD0EBB">
            <w:pPr>
              <w:pStyle w:val="ExhibitText"/>
              <w:jc w:val="center"/>
              <w:rPr>
                <w:rFonts w:eastAsia="Calibri"/>
                <w:lang w:val="en-GB"/>
              </w:rPr>
            </w:pPr>
            <w:r w:rsidRPr="00DF75A6">
              <w:rPr>
                <w:rFonts w:eastAsia="Calibri"/>
                <w:lang w:val="en-GB"/>
              </w:rPr>
              <w:t>176</w:t>
            </w:r>
          </w:p>
        </w:tc>
        <w:tc>
          <w:tcPr>
            <w:tcW w:w="900" w:type="dxa"/>
            <w:vAlign w:val="center"/>
          </w:tcPr>
          <w:p w14:paraId="7DA0C2F0" w14:textId="77777777" w:rsidR="00413FA2" w:rsidRPr="00DF75A6" w:rsidRDefault="00413FA2" w:rsidP="00BD0EBB">
            <w:pPr>
              <w:pStyle w:val="ExhibitText"/>
              <w:jc w:val="center"/>
              <w:rPr>
                <w:rFonts w:eastAsia="Calibri"/>
                <w:lang w:val="en-GB"/>
              </w:rPr>
            </w:pPr>
            <w:r w:rsidRPr="00DF75A6">
              <w:rPr>
                <w:rFonts w:eastAsia="Calibri"/>
                <w:lang w:val="en-GB"/>
              </w:rPr>
              <w:t>182</w:t>
            </w:r>
          </w:p>
        </w:tc>
        <w:tc>
          <w:tcPr>
            <w:tcW w:w="1047" w:type="dxa"/>
            <w:vAlign w:val="center"/>
          </w:tcPr>
          <w:p w14:paraId="1B636C39" w14:textId="77777777" w:rsidR="00413FA2" w:rsidRPr="00DF75A6" w:rsidRDefault="00413FA2" w:rsidP="00BD0EBB">
            <w:pPr>
              <w:pStyle w:val="ExhibitText"/>
              <w:jc w:val="center"/>
              <w:rPr>
                <w:rFonts w:eastAsia="Calibri"/>
                <w:lang w:val="en-GB"/>
              </w:rPr>
            </w:pPr>
          </w:p>
        </w:tc>
      </w:tr>
    </w:tbl>
    <w:p w14:paraId="16469DAE" w14:textId="77777777" w:rsidR="00413FA2" w:rsidRPr="00DF75A6" w:rsidRDefault="00413FA2" w:rsidP="00413FA2">
      <w:pPr>
        <w:pStyle w:val="Footnote"/>
        <w:rPr>
          <w:rFonts w:eastAsia="Calibri"/>
          <w:i w:val="0"/>
          <w:sz w:val="14"/>
          <w:szCs w:val="14"/>
          <w:lang w:val="en-GB"/>
        </w:rPr>
      </w:pPr>
    </w:p>
    <w:p w14:paraId="65AA49B9" w14:textId="6A79CB38" w:rsidR="00B4557A" w:rsidRDefault="00B4557A" w:rsidP="00EB0DD8">
      <w:pPr>
        <w:pStyle w:val="Footnote"/>
        <w:rPr>
          <w:rFonts w:eastAsia="Calibri"/>
          <w:i w:val="0"/>
          <w:lang w:val="en-GB"/>
        </w:rPr>
      </w:pPr>
      <w:r>
        <w:rPr>
          <w:rFonts w:eastAsia="Calibri"/>
          <w:i w:val="0"/>
          <w:lang w:val="en-GB"/>
        </w:rPr>
        <w:t>Note: FY = fiscal year; CAGR = compound annual growth rate</w:t>
      </w:r>
    </w:p>
    <w:p w14:paraId="234B317D" w14:textId="6D378D6A" w:rsidR="00465348" w:rsidRPr="00DF75A6" w:rsidRDefault="00413FA2" w:rsidP="00EB0DD8">
      <w:pPr>
        <w:pStyle w:val="Footnote"/>
        <w:rPr>
          <w:rFonts w:eastAsia="Calibri"/>
          <w:lang w:val="en-GB"/>
        </w:rPr>
      </w:pPr>
      <w:r w:rsidRPr="00DF75A6">
        <w:rPr>
          <w:rFonts w:eastAsia="Calibri"/>
          <w:i w:val="0"/>
          <w:lang w:val="en-GB"/>
        </w:rPr>
        <w:t xml:space="preserve">Source: Created by </w:t>
      </w:r>
      <w:r w:rsidR="00B4557A">
        <w:rPr>
          <w:rFonts w:eastAsia="Calibri"/>
          <w:i w:val="0"/>
          <w:lang w:val="en-GB"/>
        </w:rPr>
        <w:t xml:space="preserve">the </w:t>
      </w:r>
      <w:r w:rsidRPr="00DF75A6">
        <w:rPr>
          <w:rFonts w:eastAsia="Calibri"/>
          <w:i w:val="0"/>
          <w:lang w:val="en-GB"/>
        </w:rPr>
        <w:t>autho</w:t>
      </w:r>
      <w:r w:rsidR="00535707" w:rsidRPr="00DF75A6">
        <w:rPr>
          <w:rFonts w:eastAsia="Calibri"/>
          <w:i w:val="0"/>
          <w:lang w:val="en-GB"/>
        </w:rPr>
        <w:t>r</w:t>
      </w:r>
      <w:r w:rsidR="007074E2" w:rsidRPr="00DF75A6">
        <w:rPr>
          <w:rFonts w:eastAsia="Calibri"/>
          <w:i w:val="0"/>
          <w:lang w:val="en-GB"/>
        </w:rPr>
        <w:t>s</w:t>
      </w:r>
      <w:r w:rsidR="005C7BCC">
        <w:rPr>
          <w:rFonts w:eastAsia="Calibri"/>
          <w:i w:val="0"/>
          <w:lang w:val="en-GB"/>
        </w:rPr>
        <w:t xml:space="preserve"> </w:t>
      </w:r>
      <w:r w:rsidR="005C7BCC">
        <w:rPr>
          <w:rFonts w:eastAsia="Calibri"/>
          <w:i w:val="0"/>
          <w:lang w:val="en-GB"/>
        </w:rPr>
        <w:t>based on company documents.</w:t>
      </w:r>
    </w:p>
    <w:sectPr w:rsidR="00465348" w:rsidRPr="00DF75A6"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656F0" w16cid:durableId="1DFB3625"/>
  <w16cid:commentId w16cid:paraId="6C31F673" w16cid:durableId="1DFA1A41"/>
  <w16cid:commentId w16cid:paraId="53C87BA2" w16cid:durableId="1DFA1AD9"/>
  <w16cid:commentId w16cid:paraId="4D3BD862" w16cid:durableId="1DFA1AFB"/>
  <w16cid:commentId w16cid:paraId="0C11E995" w16cid:durableId="1DFA1B16"/>
  <w16cid:commentId w16cid:paraId="263AAC02" w16cid:durableId="1DFB36F6"/>
  <w16cid:commentId w16cid:paraId="33E58904" w16cid:durableId="1DFA1BC4"/>
  <w16cid:commentId w16cid:paraId="07C63274" w16cid:durableId="1DFA1BC0"/>
  <w16cid:commentId w16cid:paraId="598A3101" w16cid:durableId="1DFA1BFC"/>
  <w16cid:commentId w16cid:paraId="2586DB4A" w16cid:durableId="1DFA1C24"/>
  <w16cid:commentId w16cid:paraId="41977D40" w16cid:durableId="1DFA1C77"/>
  <w16cid:commentId w16cid:paraId="6BACD225" w16cid:durableId="1DFA1CAE"/>
  <w16cid:commentId w16cid:paraId="6006C3BC" w16cid:durableId="1DFA1D13"/>
  <w16cid:commentId w16cid:paraId="7E8FEB85" w16cid:durableId="1DFA1D93"/>
  <w16cid:commentId w16cid:paraId="724B408E" w16cid:durableId="1DFA1DB2"/>
  <w16cid:commentId w16cid:paraId="4BF86F83" w16cid:durableId="1DFB37A4"/>
  <w16cid:commentId w16cid:paraId="14DACC09" w16cid:durableId="1DFA1DF7"/>
  <w16cid:commentId w16cid:paraId="28D227C6" w16cid:durableId="1DFA1E13"/>
  <w16cid:commentId w16cid:paraId="214C9ABE" w16cid:durableId="1DFA1E69"/>
  <w16cid:commentId w16cid:paraId="12D92D43" w16cid:durableId="1DFA1EC7"/>
  <w16cid:commentId w16cid:paraId="30AA2CB2" w16cid:durableId="1DFA2012"/>
  <w16cid:commentId w16cid:paraId="0B817BD7" w16cid:durableId="1DFA2031"/>
  <w16cid:commentId w16cid:paraId="01788C0D" w16cid:durableId="1DFB3884"/>
  <w16cid:commentId w16cid:paraId="08A170E5" w16cid:durableId="1DFA20DA"/>
  <w16cid:commentId w16cid:paraId="3474AE13" w16cid:durableId="1DFA21D9"/>
  <w16cid:commentId w16cid:paraId="7B46ECAC" w16cid:durableId="1DFA2223"/>
  <w16cid:commentId w16cid:paraId="6AF27BE7" w16cid:durableId="1DFB3B2D"/>
  <w16cid:commentId w16cid:paraId="7388476C" w16cid:durableId="1DFA231C"/>
  <w16cid:commentId w16cid:paraId="4E28F9D6" w16cid:durableId="1DFA2330"/>
  <w16cid:commentId w16cid:paraId="15056D79" w16cid:durableId="1DFA2342"/>
  <w16cid:commentId w16cid:paraId="0C456F8F" w16cid:durableId="1DFA2373"/>
  <w16cid:commentId w16cid:paraId="5ED5880E" w16cid:durableId="1DFB3FD0"/>
  <w16cid:commentId w16cid:paraId="40D16963" w16cid:durableId="1DFB405D"/>
  <w16cid:commentId w16cid:paraId="3CC4CECF" w16cid:durableId="1DFB416A"/>
  <w16cid:commentId w16cid:paraId="653EBEDA" w16cid:durableId="1DFA23E1"/>
  <w16cid:commentId w16cid:paraId="332CA15D" w16cid:durableId="1DFA23FF"/>
  <w16cid:commentId w16cid:paraId="52374367" w16cid:durableId="1DFA2484"/>
  <w16cid:commentId w16cid:paraId="2D219F5C" w16cid:durableId="1DFA24B7"/>
  <w16cid:commentId w16cid:paraId="7DEB5732" w16cid:durableId="1DFA2519"/>
  <w16cid:commentId w16cid:paraId="487D2402" w16cid:durableId="1DFA25EF"/>
  <w16cid:commentId w16cid:paraId="03DB2A89" w16cid:durableId="1DFA263A"/>
  <w16cid:commentId w16cid:paraId="09FB7A07" w16cid:durableId="1DFA2648"/>
  <w16cid:commentId w16cid:paraId="0F85111F" w16cid:durableId="1DFA2656"/>
  <w16cid:commentId w16cid:paraId="7EEE9D09" w16cid:durableId="1DFA2717"/>
  <w16cid:commentId w16cid:paraId="41D0CF39" w16cid:durableId="1DFA275E"/>
  <w16cid:commentId w16cid:paraId="02AA96A7" w16cid:durableId="1DFA27CD"/>
  <w16cid:commentId w16cid:paraId="65622915" w16cid:durableId="1DFA2801"/>
  <w16cid:commentId w16cid:paraId="01CEEF1D" w16cid:durableId="1DFA2838"/>
  <w16cid:commentId w16cid:paraId="7AB7E5E7" w16cid:durableId="1DFA2869"/>
  <w16cid:commentId w16cid:paraId="7BFBBBDD" w16cid:durableId="1DFA7B53"/>
  <w16cid:commentId w16cid:paraId="03630241" w16cid:durableId="1DFB4276"/>
  <w16cid:commentId w16cid:paraId="085A198F" w16cid:durableId="1DFB3CC3"/>
  <w16cid:commentId w16cid:paraId="0393414B" w16cid:durableId="1DFA7BC2"/>
  <w16cid:commentId w16cid:paraId="433C9284" w16cid:durableId="1DFA7C96"/>
  <w16cid:commentId w16cid:paraId="05CDBB9B" w16cid:durableId="1DFA7CB5"/>
  <w16cid:commentId w16cid:paraId="40A2E121" w16cid:durableId="1DFA7D11"/>
  <w16cid:commentId w16cid:paraId="43A39531" w16cid:durableId="1DFB3D3B"/>
  <w16cid:commentId w16cid:paraId="759F4959" w16cid:durableId="1DFA7DE3"/>
  <w16cid:commentId w16cid:paraId="7ACDBF48" w16cid:durableId="1DFA7DEB"/>
  <w16cid:commentId w16cid:paraId="42303959" w16cid:durableId="1DFB3E07"/>
  <w16cid:commentId w16cid:paraId="755A88BA" w16cid:durableId="1DFB3E51"/>
  <w16cid:commentId w16cid:paraId="2D3C4620" w16cid:durableId="1DFA7E27"/>
  <w16cid:commentId w16cid:paraId="7C5B0B85" w16cid:durableId="1DFB3EAD"/>
  <w16cid:commentId w16cid:paraId="4BD5DB9C" w16cid:durableId="1DFA7EAB"/>
  <w16cid:commentId w16cid:paraId="6656D7E5" w16cid:durableId="1DFA7EDB"/>
  <w16cid:commentId w16cid:paraId="2CA55F6F" w16cid:durableId="1DFA7F6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94109" w14:textId="77777777" w:rsidR="006B1049" w:rsidRDefault="006B1049" w:rsidP="00D75295">
      <w:r>
        <w:separator/>
      </w:r>
    </w:p>
  </w:endnote>
  <w:endnote w:type="continuationSeparator" w:id="0">
    <w:p w14:paraId="55AF1CB2" w14:textId="77777777" w:rsidR="006B1049" w:rsidRDefault="006B104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0033F" w14:textId="77777777" w:rsidR="006B1049" w:rsidRDefault="006B1049" w:rsidP="00D75295">
      <w:r>
        <w:separator/>
      </w:r>
    </w:p>
  </w:footnote>
  <w:footnote w:type="continuationSeparator" w:id="0">
    <w:p w14:paraId="21AB83A4" w14:textId="77777777" w:rsidR="006B1049" w:rsidRDefault="006B1049" w:rsidP="00D75295">
      <w:r>
        <w:continuationSeparator/>
      </w:r>
    </w:p>
  </w:footnote>
  <w:footnote w:id="1">
    <w:p w14:paraId="6EB6B39D" w14:textId="523B6A89" w:rsidR="006C02DC" w:rsidRPr="00520D2D" w:rsidRDefault="006C02DC" w:rsidP="00520D2D">
      <w:pPr>
        <w:pStyle w:val="Footnote"/>
        <w:rPr>
          <w:lang w:val="en-CA"/>
        </w:rPr>
      </w:pPr>
      <w:r w:rsidRPr="00520D2D">
        <w:rPr>
          <w:rStyle w:val="FootnoteReference"/>
          <w:i w:val="0"/>
        </w:rPr>
        <w:footnoteRef/>
      </w:r>
      <w:r w:rsidRPr="00520D2D">
        <w:rPr>
          <w:i w:val="0"/>
        </w:rPr>
        <w:t xml:space="preserve"> </w:t>
      </w:r>
      <w:r w:rsidRPr="00520D2D">
        <w:rPr>
          <w:i w:val="0"/>
          <w:lang w:val="en-CA"/>
        </w:rPr>
        <w:t xml:space="preserve">₹ = INR = Indian rupee; all currency amounts are in ₹ unless otherwise specified; </w:t>
      </w:r>
      <w:r w:rsidR="005C7BCC">
        <w:rPr>
          <w:i w:val="0"/>
          <w:lang w:val="en-CA"/>
        </w:rPr>
        <w:t>₹1.00</w:t>
      </w:r>
      <w:r w:rsidR="005C7BCC" w:rsidRPr="00520D2D">
        <w:rPr>
          <w:i w:val="0"/>
          <w:lang w:val="en-CA"/>
        </w:rPr>
        <w:t xml:space="preserve"> </w:t>
      </w:r>
      <w:r w:rsidR="005C7BCC">
        <w:rPr>
          <w:i w:val="0"/>
          <w:lang w:val="en-CA"/>
        </w:rPr>
        <w:t xml:space="preserve">= US$0.02 </w:t>
      </w:r>
      <w:r>
        <w:rPr>
          <w:i w:val="0"/>
          <w:lang w:val="en-CA"/>
        </w:rPr>
        <w:t>in</w:t>
      </w:r>
      <w:r w:rsidRPr="00520D2D">
        <w:rPr>
          <w:i w:val="0"/>
          <w:lang w:val="en-CA"/>
        </w:rPr>
        <w:t xml:space="preserve"> January 2016.</w:t>
      </w:r>
    </w:p>
  </w:footnote>
  <w:footnote w:id="2">
    <w:p w14:paraId="36AB1A07" w14:textId="567B6E97" w:rsidR="0000534A" w:rsidRPr="00CE1B83" w:rsidRDefault="0000534A" w:rsidP="00CE1B83">
      <w:pPr>
        <w:pStyle w:val="Footnote"/>
        <w:rPr>
          <w:i w:val="0"/>
        </w:rPr>
      </w:pPr>
      <w:r w:rsidRPr="00CE1B83">
        <w:rPr>
          <w:rStyle w:val="FootnoteReference"/>
          <w:i w:val="0"/>
        </w:rPr>
        <w:footnoteRef/>
      </w:r>
      <w:r w:rsidRPr="00CE1B83">
        <w:rPr>
          <w:i w:val="0"/>
        </w:rPr>
        <w:t xml:space="preserve"> </w:t>
      </w:r>
      <w:r w:rsidR="00CE1B83" w:rsidRPr="00CE1B83">
        <w:rPr>
          <w:i w:val="0"/>
          <w:spacing w:val="-4"/>
          <w:kern w:val="17"/>
        </w:rPr>
        <w:t xml:space="preserve">Kiran </w:t>
      </w:r>
      <w:proofErr w:type="spellStart"/>
      <w:r w:rsidR="00CE1B83" w:rsidRPr="00CE1B83">
        <w:rPr>
          <w:i w:val="0"/>
          <w:spacing w:val="-4"/>
          <w:kern w:val="17"/>
        </w:rPr>
        <w:t>Bajad</w:t>
      </w:r>
      <w:proofErr w:type="spellEnd"/>
      <w:r w:rsidR="00CE1B83" w:rsidRPr="00CE1B83">
        <w:rPr>
          <w:i w:val="0"/>
          <w:spacing w:val="-4"/>
          <w:kern w:val="17"/>
        </w:rPr>
        <w:t xml:space="preserve">, “Mahindra &amp; Mahindra keeps rivals at bay in </w:t>
      </w:r>
      <w:proofErr w:type="spellStart"/>
      <w:r w:rsidR="00CE1B83" w:rsidRPr="00CE1B83">
        <w:rPr>
          <w:i w:val="0"/>
          <w:spacing w:val="-4"/>
          <w:kern w:val="17"/>
        </w:rPr>
        <w:t>Inida’s</w:t>
      </w:r>
      <w:proofErr w:type="spellEnd"/>
      <w:r w:rsidR="00CE1B83" w:rsidRPr="00CE1B83">
        <w:rPr>
          <w:i w:val="0"/>
          <w:spacing w:val="-4"/>
          <w:kern w:val="17"/>
        </w:rPr>
        <w:t xml:space="preserve"> pick-up market,” </w:t>
      </w:r>
      <w:proofErr w:type="spellStart"/>
      <w:r w:rsidR="00CE1B83" w:rsidRPr="00CE1B83">
        <w:rPr>
          <w:i w:val="0"/>
          <w:spacing w:val="-4"/>
          <w:kern w:val="17"/>
        </w:rPr>
        <w:t>Autocar</w:t>
      </w:r>
      <w:proofErr w:type="spellEnd"/>
      <w:r w:rsidR="00CE1B83" w:rsidRPr="00CE1B83">
        <w:rPr>
          <w:i w:val="0"/>
          <w:spacing w:val="-4"/>
          <w:kern w:val="17"/>
        </w:rPr>
        <w:t xml:space="preserve"> Professional, May 12, 2017, accessed February 5, 2018, </w:t>
      </w:r>
      <w:hyperlink r:id="rId1" w:history="1">
        <w:r w:rsidR="00CE1B83" w:rsidRPr="00CE1B83">
          <w:rPr>
            <w:rStyle w:val="Hyperlink"/>
            <w:i w:val="0"/>
            <w:color w:val="auto"/>
            <w:spacing w:val="-4"/>
            <w:kern w:val="17"/>
            <w:u w:val="none"/>
          </w:rPr>
          <w:t>http://www.autocarpro.in/analysis-reports/mahindra-mahindra-rivals-bay-indias-pick-market-24649</w:t>
        </w:r>
      </w:hyperlink>
      <w:r w:rsidR="00CE1B83" w:rsidRPr="00CE1B83">
        <w:rPr>
          <w:i w:val="0"/>
          <w:spacing w:val="-4"/>
          <w:kern w:val="17"/>
        </w:rPr>
        <w:t>.</w:t>
      </w:r>
    </w:p>
  </w:footnote>
  <w:footnote w:id="3">
    <w:p w14:paraId="5F4AE6BC" w14:textId="1F683CC1" w:rsidR="006C02DC" w:rsidRPr="003226F9" w:rsidRDefault="006C02DC" w:rsidP="003226F9">
      <w:pPr>
        <w:pStyle w:val="Footnote"/>
        <w:rPr>
          <w:i w:val="0"/>
        </w:rPr>
      </w:pPr>
      <w:r w:rsidRPr="003226F9">
        <w:rPr>
          <w:i w:val="0"/>
          <w:vertAlign w:val="superscript"/>
        </w:rPr>
        <w:footnoteRef/>
      </w:r>
      <w:r w:rsidRPr="003226F9">
        <w:rPr>
          <w:i w:val="0"/>
        </w:rPr>
        <w:t xml:space="preserve"> Society of Indian Automobile Manufacturers, </w:t>
      </w:r>
      <w:r w:rsidR="005C7BCC">
        <w:rPr>
          <w:i w:val="0"/>
        </w:rPr>
        <w:t>“</w:t>
      </w:r>
      <w:r w:rsidRPr="005C7BCC">
        <w:rPr>
          <w:i w:val="0"/>
        </w:rPr>
        <w:t>Automobile Sales in India</w:t>
      </w:r>
      <w:r w:rsidRPr="003226F9">
        <w:rPr>
          <w:i w:val="0"/>
        </w:rPr>
        <w:t>,</w:t>
      </w:r>
      <w:r w:rsidR="005C7BCC">
        <w:rPr>
          <w:i w:val="0"/>
        </w:rPr>
        <w:t>”</w:t>
      </w:r>
      <w:r w:rsidRPr="003226F9">
        <w:rPr>
          <w:i w:val="0"/>
        </w:rPr>
        <w:t xml:space="preserve"> accessed December 2014.</w:t>
      </w:r>
    </w:p>
  </w:footnote>
  <w:footnote w:id="4">
    <w:p w14:paraId="5782AA17" w14:textId="52A574A1" w:rsidR="006C02DC" w:rsidRPr="00E819D3" w:rsidRDefault="006C02DC" w:rsidP="00E819D3">
      <w:pPr>
        <w:pStyle w:val="Footnote"/>
        <w:rPr>
          <w:i w:val="0"/>
        </w:rPr>
      </w:pPr>
      <w:r w:rsidRPr="00E819D3">
        <w:rPr>
          <w:rStyle w:val="FootnoteReference"/>
          <w:i w:val="0"/>
          <w:sz w:val="18"/>
          <w:szCs w:val="18"/>
        </w:rPr>
        <w:footnoteRef/>
      </w:r>
      <w:r w:rsidRPr="00E819D3">
        <w:rPr>
          <w:i w:val="0"/>
        </w:rPr>
        <w:t xml:space="preserve"> </w:t>
      </w:r>
      <w:r w:rsidR="005C7BCC">
        <w:rPr>
          <w:i w:val="0"/>
        </w:rP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0E7E" w14:textId="1FB975BB" w:rsidR="006C02DC" w:rsidRPr="00C92CC4" w:rsidRDefault="006C02D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59D7">
      <w:rPr>
        <w:rFonts w:ascii="Arial" w:hAnsi="Arial"/>
        <w:b/>
        <w:noProof/>
      </w:rPr>
      <w:t>8</w:t>
    </w:r>
    <w:r>
      <w:rPr>
        <w:rFonts w:ascii="Arial" w:hAnsi="Arial"/>
        <w:b/>
      </w:rPr>
      <w:fldChar w:fldCharType="end"/>
    </w:r>
    <w:r>
      <w:rPr>
        <w:rFonts w:ascii="Arial" w:hAnsi="Arial"/>
        <w:b/>
      </w:rPr>
      <w:tab/>
    </w:r>
    <w:r w:rsidR="00414E3B">
      <w:rPr>
        <w:rFonts w:ascii="Arial" w:hAnsi="Arial"/>
        <w:b/>
      </w:rPr>
      <w:t>9B18A012</w:t>
    </w:r>
  </w:p>
  <w:p w14:paraId="5E6CE551" w14:textId="77777777" w:rsidR="006C02DC" w:rsidRDefault="006C02DC" w:rsidP="00D13667">
    <w:pPr>
      <w:pStyle w:val="Header"/>
      <w:tabs>
        <w:tab w:val="clear" w:pos="4680"/>
      </w:tabs>
      <w:rPr>
        <w:sz w:val="18"/>
        <w:szCs w:val="18"/>
      </w:rPr>
    </w:pPr>
  </w:p>
  <w:p w14:paraId="12A643B3" w14:textId="77777777" w:rsidR="006C02DC" w:rsidRPr="00C92CC4" w:rsidRDefault="006C02D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D7BC9"/>
    <w:multiLevelType w:val="hybridMultilevel"/>
    <w:tmpl w:val="38E27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224FD6"/>
    <w:multiLevelType w:val="hybridMultilevel"/>
    <w:tmpl w:val="9DC2A20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7160C9"/>
    <w:multiLevelType w:val="hybridMultilevel"/>
    <w:tmpl w:val="83B64F3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0F2144"/>
    <w:multiLevelType w:val="hybridMultilevel"/>
    <w:tmpl w:val="A9B4E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86299C"/>
    <w:multiLevelType w:val="hybridMultilevel"/>
    <w:tmpl w:val="FF88C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A26002"/>
    <w:multiLevelType w:val="hybridMultilevel"/>
    <w:tmpl w:val="E22C7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564E3E"/>
    <w:multiLevelType w:val="hybridMultilevel"/>
    <w:tmpl w:val="AA085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D22FE7"/>
    <w:multiLevelType w:val="hybridMultilevel"/>
    <w:tmpl w:val="EA3EECD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216673"/>
    <w:multiLevelType w:val="hybridMultilevel"/>
    <w:tmpl w:val="279C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F7624"/>
    <w:multiLevelType w:val="hybridMultilevel"/>
    <w:tmpl w:val="1DD02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4C0758"/>
    <w:multiLevelType w:val="hybridMultilevel"/>
    <w:tmpl w:val="BC3E14A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075D6D"/>
    <w:multiLevelType w:val="hybridMultilevel"/>
    <w:tmpl w:val="B24C9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1242DE"/>
    <w:multiLevelType w:val="hybridMultilevel"/>
    <w:tmpl w:val="21C87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E945F6"/>
    <w:multiLevelType w:val="hybridMultilevel"/>
    <w:tmpl w:val="8092E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D025D8"/>
    <w:multiLevelType w:val="hybridMultilevel"/>
    <w:tmpl w:val="EC9CE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656590"/>
    <w:multiLevelType w:val="hybridMultilevel"/>
    <w:tmpl w:val="1F46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43252F"/>
    <w:multiLevelType w:val="hybridMultilevel"/>
    <w:tmpl w:val="0AC4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61316E"/>
    <w:multiLevelType w:val="hybridMultilevel"/>
    <w:tmpl w:val="E7180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097328"/>
    <w:multiLevelType w:val="hybridMultilevel"/>
    <w:tmpl w:val="236A0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3"/>
  </w:num>
  <w:num w:numId="4">
    <w:abstractNumId w:val="4"/>
  </w:num>
  <w:num w:numId="5">
    <w:abstractNumId w:val="16"/>
  </w:num>
  <w:num w:numId="6">
    <w:abstractNumId w:val="8"/>
  </w:num>
  <w:num w:numId="7">
    <w:abstractNumId w:val="17"/>
  </w:num>
  <w:num w:numId="8">
    <w:abstractNumId w:val="14"/>
  </w:num>
  <w:num w:numId="9">
    <w:abstractNumId w:val="11"/>
  </w:num>
  <w:num w:numId="10">
    <w:abstractNumId w:val="5"/>
  </w:num>
  <w:num w:numId="11">
    <w:abstractNumId w:val="15"/>
  </w:num>
  <w:num w:numId="12">
    <w:abstractNumId w:val="0"/>
  </w:num>
  <w:num w:numId="13">
    <w:abstractNumId w:val="18"/>
  </w:num>
  <w:num w:numId="14">
    <w:abstractNumId w:val="6"/>
  </w:num>
  <w:num w:numId="15">
    <w:abstractNumId w:val="12"/>
  </w:num>
  <w:num w:numId="16">
    <w:abstractNumId w:val="10"/>
  </w:num>
  <w:num w:numId="17">
    <w:abstractNumId w:val="7"/>
  </w:num>
  <w:num w:numId="18">
    <w:abstractNumId w:val="1"/>
  </w:num>
  <w:num w:numId="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34A"/>
    <w:rsid w:val="00013360"/>
    <w:rsid w:val="00013A80"/>
    <w:rsid w:val="00016759"/>
    <w:rsid w:val="000216CE"/>
    <w:rsid w:val="00024ED4"/>
    <w:rsid w:val="00025DC7"/>
    <w:rsid w:val="00035F09"/>
    <w:rsid w:val="00044ECC"/>
    <w:rsid w:val="000531D3"/>
    <w:rsid w:val="0005646B"/>
    <w:rsid w:val="000774FC"/>
    <w:rsid w:val="0008102D"/>
    <w:rsid w:val="00083916"/>
    <w:rsid w:val="00086525"/>
    <w:rsid w:val="00092319"/>
    <w:rsid w:val="00094C0E"/>
    <w:rsid w:val="00097E3B"/>
    <w:rsid w:val="000D15A3"/>
    <w:rsid w:val="000D67B9"/>
    <w:rsid w:val="000D7091"/>
    <w:rsid w:val="000F0C22"/>
    <w:rsid w:val="000F6B09"/>
    <w:rsid w:val="000F6FDC"/>
    <w:rsid w:val="000F7067"/>
    <w:rsid w:val="00104567"/>
    <w:rsid w:val="00104916"/>
    <w:rsid w:val="00104AA7"/>
    <w:rsid w:val="0012732D"/>
    <w:rsid w:val="00143F25"/>
    <w:rsid w:val="00152682"/>
    <w:rsid w:val="00154FC9"/>
    <w:rsid w:val="001779F2"/>
    <w:rsid w:val="0019241A"/>
    <w:rsid w:val="001A22D1"/>
    <w:rsid w:val="001A752D"/>
    <w:rsid w:val="001A757E"/>
    <w:rsid w:val="001B3DE0"/>
    <w:rsid w:val="001B42D2"/>
    <w:rsid w:val="001B5032"/>
    <w:rsid w:val="001B78F5"/>
    <w:rsid w:val="001C7777"/>
    <w:rsid w:val="001D28FC"/>
    <w:rsid w:val="001D2CE8"/>
    <w:rsid w:val="001D438F"/>
    <w:rsid w:val="001E364F"/>
    <w:rsid w:val="001E6213"/>
    <w:rsid w:val="00203AA1"/>
    <w:rsid w:val="00213E98"/>
    <w:rsid w:val="00220CC6"/>
    <w:rsid w:val="0023081A"/>
    <w:rsid w:val="002457D1"/>
    <w:rsid w:val="002A2B8F"/>
    <w:rsid w:val="002D42B8"/>
    <w:rsid w:val="002E517A"/>
    <w:rsid w:val="002F460C"/>
    <w:rsid w:val="002F48D6"/>
    <w:rsid w:val="00317391"/>
    <w:rsid w:val="003226F9"/>
    <w:rsid w:val="00326216"/>
    <w:rsid w:val="003309B1"/>
    <w:rsid w:val="00336580"/>
    <w:rsid w:val="00343DB5"/>
    <w:rsid w:val="003509CC"/>
    <w:rsid w:val="00354899"/>
    <w:rsid w:val="00355FD6"/>
    <w:rsid w:val="003564CA"/>
    <w:rsid w:val="0036140F"/>
    <w:rsid w:val="00364A5C"/>
    <w:rsid w:val="00373FB1"/>
    <w:rsid w:val="00391469"/>
    <w:rsid w:val="003917C9"/>
    <w:rsid w:val="003966AE"/>
    <w:rsid w:val="00396C76"/>
    <w:rsid w:val="003A12DE"/>
    <w:rsid w:val="003B30D8"/>
    <w:rsid w:val="003B33F9"/>
    <w:rsid w:val="003B7EF2"/>
    <w:rsid w:val="003C3FA4"/>
    <w:rsid w:val="003D416E"/>
    <w:rsid w:val="003D5B70"/>
    <w:rsid w:val="003E718E"/>
    <w:rsid w:val="003F2B0C"/>
    <w:rsid w:val="004105B2"/>
    <w:rsid w:val="00413FA2"/>
    <w:rsid w:val="00414E3B"/>
    <w:rsid w:val="00415B29"/>
    <w:rsid w:val="00420EEF"/>
    <w:rsid w:val="004221E4"/>
    <w:rsid w:val="004273F8"/>
    <w:rsid w:val="00435186"/>
    <w:rsid w:val="004355A3"/>
    <w:rsid w:val="00446546"/>
    <w:rsid w:val="00452769"/>
    <w:rsid w:val="00465348"/>
    <w:rsid w:val="00474ED6"/>
    <w:rsid w:val="004806EA"/>
    <w:rsid w:val="004851BC"/>
    <w:rsid w:val="00492E80"/>
    <w:rsid w:val="004B1CCB"/>
    <w:rsid w:val="004B632F"/>
    <w:rsid w:val="004C1B8F"/>
    <w:rsid w:val="004C5504"/>
    <w:rsid w:val="004C60BC"/>
    <w:rsid w:val="004D3FB1"/>
    <w:rsid w:val="004D6F21"/>
    <w:rsid w:val="004D73A5"/>
    <w:rsid w:val="004E167C"/>
    <w:rsid w:val="004E4176"/>
    <w:rsid w:val="0051015D"/>
    <w:rsid w:val="005148F3"/>
    <w:rsid w:val="005160F1"/>
    <w:rsid w:val="00520D2D"/>
    <w:rsid w:val="00524F2F"/>
    <w:rsid w:val="00527E5C"/>
    <w:rsid w:val="00532CF5"/>
    <w:rsid w:val="00535707"/>
    <w:rsid w:val="005528CB"/>
    <w:rsid w:val="00566771"/>
    <w:rsid w:val="00581E2E"/>
    <w:rsid w:val="00581EF9"/>
    <w:rsid w:val="00582CA1"/>
    <w:rsid w:val="00584F15"/>
    <w:rsid w:val="00587D57"/>
    <w:rsid w:val="0059514B"/>
    <w:rsid w:val="005A1B0F"/>
    <w:rsid w:val="005A47A5"/>
    <w:rsid w:val="005A68FA"/>
    <w:rsid w:val="005C7BCC"/>
    <w:rsid w:val="005D2436"/>
    <w:rsid w:val="005F7737"/>
    <w:rsid w:val="006163F7"/>
    <w:rsid w:val="00627C63"/>
    <w:rsid w:val="0063350B"/>
    <w:rsid w:val="00645AC2"/>
    <w:rsid w:val="00652606"/>
    <w:rsid w:val="006710E3"/>
    <w:rsid w:val="006754DD"/>
    <w:rsid w:val="0068372D"/>
    <w:rsid w:val="006946EE"/>
    <w:rsid w:val="006A58A9"/>
    <w:rsid w:val="006A5F1B"/>
    <w:rsid w:val="006A606D"/>
    <w:rsid w:val="006B1049"/>
    <w:rsid w:val="006C02DC"/>
    <w:rsid w:val="006C0371"/>
    <w:rsid w:val="006C08B6"/>
    <w:rsid w:val="006C0B1A"/>
    <w:rsid w:val="006C6065"/>
    <w:rsid w:val="006C7F9F"/>
    <w:rsid w:val="006D028C"/>
    <w:rsid w:val="006D4FDD"/>
    <w:rsid w:val="006D6976"/>
    <w:rsid w:val="006E16B2"/>
    <w:rsid w:val="006E2F6D"/>
    <w:rsid w:val="006E58F6"/>
    <w:rsid w:val="006E77E1"/>
    <w:rsid w:val="006F131D"/>
    <w:rsid w:val="007074E2"/>
    <w:rsid w:val="00711642"/>
    <w:rsid w:val="00723A83"/>
    <w:rsid w:val="00724ACB"/>
    <w:rsid w:val="00735B1F"/>
    <w:rsid w:val="007418BF"/>
    <w:rsid w:val="007507C6"/>
    <w:rsid w:val="00751E0B"/>
    <w:rsid w:val="00752BCD"/>
    <w:rsid w:val="00753B63"/>
    <w:rsid w:val="007541EA"/>
    <w:rsid w:val="00766DA1"/>
    <w:rsid w:val="007733C4"/>
    <w:rsid w:val="00780D94"/>
    <w:rsid w:val="007866A6"/>
    <w:rsid w:val="007A130D"/>
    <w:rsid w:val="007B49BA"/>
    <w:rsid w:val="007C1D1C"/>
    <w:rsid w:val="007D1A2D"/>
    <w:rsid w:val="007D4102"/>
    <w:rsid w:val="007E59A6"/>
    <w:rsid w:val="007F43B7"/>
    <w:rsid w:val="00817D53"/>
    <w:rsid w:val="00821FFC"/>
    <w:rsid w:val="008271CA"/>
    <w:rsid w:val="00833946"/>
    <w:rsid w:val="008467D5"/>
    <w:rsid w:val="00867438"/>
    <w:rsid w:val="00892E8B"/>
    <w:rsid w:val="00895E7D"/>
    <w:rsid w:val="008A092A"/>
    <w:rsid w:val="008A4DC4"/>
    <w:rsid w:val="008B438C"/>
    <w:rsid w:val="008D06CA"/>
    <w:rsid w:val="008D3A46"/>
    <w:rsid w:val="009067A4"/>
    <w:rsid w:val="0091522C"/>
    <w:rsid w:val="00926CAF"/>
    <w:rsid w:val="00931FB3"/>
    <w:rsid w:val="00933D68"/>
    <w:rsid w:val="009340DB"/>
    <w:rsid w:val="00943A93"/>
    <w:rsid w:val="0094618C"/>
    <w:rsid w:val="0095684B"/>
    <w:rsid w:val="00966C7D"/>
    <w:rsid w:val="00967413"/>
    <w:rsid w:val="00972498"/>
    <w:rsid w:val="0097481F"/>
    <w:rsid w:val="00974CC6"/>
    <w:rsid w:val="00976AD4"/>
    <w:rsid w:val="009867BF"/>
    <w:rsid w:val="00995547"/>
    <w:rsid w:val="009A312F"/>
    <w:rsid w:val="009A5348"/>
    <w:rsid w:val="009A59F4"/>
    <w:rsid w:val="009B0AB7"/>
    <w:rsid w:val="009B5DE1"/>
    <w:rsid w:val="009B62D8"/>
    <w:rsid w:val="009C76D5"/>
    <w:rsid w:val="009E761D"/>
    <w:rsid w:val="009F53D9"/>
    <w:rsid w:val="009F7AA4"/>
    <w:rsid w:val="00A0595E"/>
    <w:rsid w:val="00A10AD7"/>
    <w:rsid w:val="00A422A4"/>
    <w:rsid w:val="00A422C3"/>
    <w:rsid w:val="00A559DB"/>
    <w:rsid w:val="00A569EA"/>
    <w:rsid w:val="00A74000"/>
    <w:rsid w:val="00A7533B"/>
    <w:rsid w:val="00AA2DB9"/>
    <w:rsid w:val="00AF35FC"/>
    <w:rsid w:val="00AF5556"/>
    <w:rsid w:val="00B03639"/>
    <w:rsid w:val="00B064D8"/>
    <w:rsid w:val="00B0652A"/>
    <w:rsid w:val="00B33128"/>
    <w:rsid w:val="00B40937"/>
    <w:rsid w:val="00B4135E"/>
    <w:rsid w:val="00B423EF"/>
    <w:rsid w:val="00B453DE"/>
    <w:rsid w:val="00B4557A"/>
    <w:rsid w:val="00B72597"/>
    <w:rsid w:val="00B74BF3"/>
    <w:rsid w:val="00B901F9"/>
    <w:rsid w:val="00BA1033"/>
    <w:rsid w:val="00BA4AFC"/>
    <w:rsid w:val="00BB5FA6"/>
    <w:rsid w:val="00BC1926"/>
    <w:rsid w:val="00BC58C8"/>
    <w:rsid w:val="00BD0EBB"/>
    <w:rsid w:val="00BD4922"/>
    <w:rsid w:val="00BD6EFB"/>
    <w:rsid w:val="00BE0E49"/>
    <w:rsid w:val="00BF2C7D"/>
    <w:rsid w:val="00C02E11"/>
    <w:rsid w:val="00C03F09"/>
    <w:rsid w:val="00C1584D"/>
    <w:rsid w:val="00C15BE2"/>
    <w:rsid w:val="00C259D7"/>
    <w:rsid w:val="00C32B8D"/>
    <w:rsid w:val="00C3447F"/>
    <w:rsid w:val="00C47B58"/>
    <w:rsid w:val="00C57D37"/>
    <w:rsid w:val="00C64AE2"/>
    <w:rsid w:val="00C67102"/>
    <w:rsid w:val="00C71C77"/>
    <w:rsid w:val="00C74DC6"/>
    <w:rsid w:val="00C81491"/>
    <w:rsid w:val="00C81676"/>
    <w:rsid w:val="00C85AE9"/>
    <w:rsid w:val="00C85C5D"/>
    <w:rsid w:val="00C92CC4"/>
    <w:rsid w:val="00CA0AFB"/>
    <w:rsid w:val="00CA2CE1"/>
    <w:rsid w:val="00CA3976"/>
    <w:rsid w:val="00CA50E3"/>
    <w:rsid w:val="00CA757B"/>
    <w:rsid w:val="00CB1504"/>
    <w:rsid w:val="00CC1787"/>
    <w:rsid w:val="00CC182C"/>
    <w:rsid w:val="00CD0824"/>
    <w:rsid w:val="00CD2908"/>
    <w:rsid w:val="00CE1B83"/>
    <w:rsid w:val="00CE5DD0"/>
    <w:rsid w:val="00D03A82"/>
    <w:rsid w:val="00D13667"/>
    <w:rsid w:val="00D15344"/>
    <w:rsid w:val="00D23F57"/>
    <w:rsid w:val="00D31BEC"/>
    <w:rsid w:val="00D34630"/>
    <w:rsid w:val="00D470D7"/>
    <w:rsid w:val="00D63150"/>
    <w:rsid w:val="00D636BA"/>
    <w:rsid w:val="00D64A32"/>
    <w:rsid w:val="00D64EFC"/>
    <w:rsid w:val="00D75295"/>
    <w:rsid w:val="00D76CE9"/>
    <w:rsid w:val="00D90B10"/>
    <w:rsid w:val="00D97F12"/>
    <w:rsid w:val="00DA6095"/>
    <w:rsid w:val="00DB42E7"/>
    <w:rsid w:val="00DC64A3"/>
    <w:rsid w:val="00DE01A6"/>
    <w:rsid w:val="00DE7A98"/>
    <w:rsid w:val="00DF32C2"/>
    <w:rsid w:val="00DF75A6"/>
    <w:rsid w:val="00E32289"/>
    <w:rsid w:val="00E3251A"/>
    <w:rsid w:val="00E331B6"/>
    <w:rsid w:val="00E471A7"/>
    <w:rsid w:val="00E635CF"/>
    <w:rsid w:val="00E65E9A"/>
    <w:rsid w:val="00E807AC"/>
    <w:rsid w:val="00E819D3"/>
    <w:rsid w:val="00E93867"/>
    <w:rsid w:val="00E9423C"/>
    <w:rsid w:val="00E9586F"/>
    <w:rsid w:val="00EA003D"/>
    <w:rsid w:val="00EB0DD8"/>
    <w:rsid w:val="00EB14A3"/>
    <w:rsid w:val="00EC6E0A"/>
    <w:rsid w:val="00ED4E18"/>
    <w:rsid w:val="00EE1F37"/>
    <w:rsid w:val="00EE7A49"/>
    <w:rsid w:val="00EF4395"/>
    <w:rsid w:val="00EF6A7A"/>
    <w:rsid w:val="00F0159C"/>
    <w:rsid w:val="00F105B7"/>
    <w:rsid w:val="00F13220"/>
    <w:rsid w:val="00F16FF1"/>
    <w:rsid w:val="00F17A21"/>
    <w:rsid w:val="00F37B27"/>
    <w:rsid w:val="00F46556"/>
    <w:rsid w:val="00F50E91"/>
    <w:rsid w:val="00F51852"/>
    <w:rsid w:val="00F57D29"/>
    <w:rsid w:val="00F64DCA"/>
    <w:rsid w:val="00F96201"/>
    <w:rsid w:val="00F97A51"/>
    <w:rsid w:val="00FC0B09"/>
    <w:rsid w:val="00FC16B3"/>
    <w:rsid w:val="00FC374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96107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Cs w:val="16"/>
    </w:rPr>
  </w:style>
  <w:style w:type="character" w:customStyle="1" w:styleId="BalloonTextChar">
    <w:name w:val="Balloon Text Char"/>
    <w:basedOn w:val="DefaultParagraphFont"/>
    <w:link w:val="BalloonText"/>
    <w:uiPriority w:val="99"/>
    <w:semiHidden/>
    <w:rsid w:val="008467D5"/>
    <w:rPr>
      <w:rFonts w:ascii="Tahoma" w:eastAsia="Times New Roman" w:hAnsi="Tahoma" w:cs="Tahoma"/>
      <w:sz w:val="20"/>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9944">
      <w:bodyDiv w:val="1"/>
      <w:marLeft w:val="0"/>
      <w:marRight w:val="0"/>
      <w:marTop w:val="0"/>
      <w:marBottom w:val="0"/>
      <w:divBdr>
        <w:top w:val="none" w:sz="0" w:space="0" w:color="auto"/>
        <w:left w:val="none" w:sz="0" w:space="0" w:color="auto"/>
        <w:bottom w:val="none" w:sz="0" w:space="0" w:color="auto"/>
        <w:right w:val="none" w:sz="0" w:space="0" w:color="auto"/>
      </w:divBdr>
    </w:div>
    <w:div w:id="322859728">
      <w:bodyDiv w:val="1"/>
      <w:marLeft w:val="0"/>
      <w:marRight w:val="0"/>
      <w:marTop w:val="0"/>
      <w:marBottom w:val="0"/>
      <w:divBdr>
        <w:top w:val="none" w:sz="0" w:space="0" w:color="auto"/>
        <w:left w:val="none" w:sz="0" w:space="0" w:color="auto"/>
        <w:bottom w:val="none" w:sz="0" w:space="0" w:color="auto"/>
        <w:right w:val="none" w:sz="0" w:space="0" w:color="auto"/>
      </w:divBdr>
    </w:div>
    <w:div w:id="344792965">
      <w:bodyDiv w:val="1"/>
      <w:marLeft w:val="0"/>
      <w:marRight w:val="0"/>
      <w:marTop w:val="0"/>
      <w:marBottom w:val="0"/>
      <w:divBdr>
        <w:top w:val="none" w:sz="0" w:space="0" w:color="auto"/>
        <w:left w:val="none" w:sz="0" w:space="0" w:color="auto"/>
        <w:bottom w:val="none" w:sz="0" w:space="0" w:color="auto"/>
        <w:right w:val="none" w:sz="0" w:space="0" w:color="auto"/>
      </w:divBdr>
    </w:div>
    <w:div w:id="12477629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utocarpro.in/analysis-reports/mahindra-mahindra-rivals-bay-indias-pick-market-24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DDCD18-3B5B-4140-B2A6-3A9FA747EDA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F30CB90-0CEE-4604-8915-B0210C6ACE9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EAE04-7ED7-4C22-A52C-DDF0B0F6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2018-02-20T17:54:00Z</cp:lastPrinted>
  <dcterms:created xsi:type="dcterms:W3CDTF">2018-02-20T17:53:00Z</dcterms:created>
  <dcterms:modified xsi:type="dcterms:W3CDTF">2018-03-02T14:55:00Z</dcterms:modified>
</cp:coreProperties>
</file>