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93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7"/>
        <w:gridCol w:w="4579"/>
      </w:tblGrid>
      <w:tr w:rsidR="008D27CB" w:rsidRPr="008D27CB" w14:paraId="68A4D544" w14:textId="77777777" w:rsidTr="00701614">
        <w:trPr>
          <w:jc w:val="center"/>
        </w:trPr>
        <w:tc>
          <w:tcPr>
            <w:tcW w:w="4788" w:type="dxa"/>
          </w:tcPr>
          <w:p w14:paraId="7E72A744" w14:textId="77777777" w:rsidR="008D27CB" w:rsidRPr="008D27CB" w:rsidRDefault="008D27CB" w:rsidP="00701614">
            <w:pPr>
              <w:tabs>
                <w:tab w:val="left" w:pos="-1440"/>
                <w:tab w:val="left" w:pos="-720"/>
                <w:tab w:val="left" w:pos="1"/>
              </w:tabs>
              <w:jc w:val="both"/>
              <w:rPr>
                <w:rFonts w:ascii="Arial" w:hAnsi="Arial"/>
                <w:b/>
                <w:sz w:val="24"/>
              </w:rPr>
            </w:pPr>
            <w:r w:rsidRPr="008D27CB">
              <w:rPr>
                <w:rFonts w:ascii="Arial" w:hAnsi="Arial"/>
                <w:b/>
                <w:noProof/>
                <w:sz w:val="24"/>
                <w:lang w:eastAsia="en-GB"/>
              </w:rPr>
              <w:drawing>
                <wp:inline distT="0" distB="0" distL="0" distR="0" wp14:anchorId="16968971" wp14:editId="28237192">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0F87D28B" w14:textId="02C9C58C" w:rsidR="008D27CB" w:rsidRPr="008D27CB" w:rsidRDefault="008D27CB" w:rsidP="00701614">
            <w:pPr>
              <w:tabs>
                <w:tab w:val="left" w:pos="-1440"/>
                <w:tab w:val="left" w:pos="-720"/>
                <w:tab w:val="left" w:pos="1"/>
              </w:tabs>
              <w:jc w:val="right"/>
              <w:rPr>
                <w:rFonts w:ascii="Arial" w:hAnsi="Arial"/>
                <w:b/>
                <w:sz w:val="24"/>
              </w:rPr>
            </w:pPr>
          </w:p>
        </w:tc>
      </w:tr>
    </w:tbl>
    <w:p w14:paraId="51D1AAFD" w14:textId="77777777" w:rsidR="00856D9F" w:rsidRPr="008D27CB" w:rsidRDefault="00856D9F" w:rsidP="008467D5">
      <w:pPr>
        <w:pBdr>
          <w:bottom w:val="single" w:sz="18" w:space="1" w:color="auto"/>
        </w:pBdr>
        <w:tabs>
          <w:tab w:val="left" w:pos="-1440"/>
          <w:tab w:val="left" w:pos="-720"/>
          <w:tab w:val="left" w:pos="1"/>
        </w:tabs>
        <w:jc w:val="both"/>
        <w:rPr>
          <w:rFonts w:ascii="Arial" w:hAnsi="Arial"/>
          <w:b/>
          <w:sz w:val="2"/>
        </w:rPr>
      </w:pPr>
    </w:p>
    <w:p w14:paraId="739996D4" w14:textId="0F985683" w:rsidR="00D75295" w:rsidRPr="008D27CB" w:rsidRDefault="008D27CB" w:rsidP="00F105B7">
      <w:pPr>
        <w:pStyle w:val="ProductNumber"/>
      </w:pPr>
      <w:r w:rsidRPr="008D27CB">
        <w:t>9B18A</w:t>
      </w:r>
      <w:r w:rsidR="00A326A2">
        <w:t>018</w:t>
      </w:r>
    </w:p>
    <w:p w14:paraId="663C4AEF" w14:textId="77777777" w:rsidR="00D75295" w:rsidRPr="008D27CB" w:rsidRDefault="00D75295" w:rsidP="00D75295">
      <w:pPr>
        <w:jc w:val="right"/>
        <w:rPr>
          <w:rFonts w:ascii="Arial" w:hAnsi="Arial"/>
          <w:b/>
          <w:sz w:val="28"/>
          <w:szCs w:val="28"/>
        </w:rPr>
      </w:pPr>
    </w:p>
    <w:p w14:paraId="32139FD9" w14:textId="77777777" w:rsidR="00866F6D" w:rsidRPr="008D27CB" w:rsidRDefault="00866F6D" w:rsidP="00D75295">
      <w:pPr>
        <w:jc w:val="right"/>
        <w:rPr>
          <w:rFonts w:ascii="Arial" w:hAnsi="Arial"/>
          <w:b/>
          <w:sz w:val="28"/>
          <w:szCs w:val="28"/>
        </w:rPr>
      </w:pPr>
    </w:p>
    <w:p w14:paraId="35E80653" w14:textId="77777777" w:rsidR="00013360" w:rsidRPr="008D27CB" w:rsidRDefault="006F1D2C" w:rsidP="00013360">
      <w:pPr>
        <w:pStyle w:val="CaseTitle"/>
        <w:spacing w:after="0" w:line="240" w:lineRule="auto"/>
        <w:rPr>
          <w:color w:val="auto"/>
        </w:rPr>
      </w:pPr>
      <w:r w:rsidRPr="008D27CB">
        <w:rPr>
          <w:color w:val="auto"/>
        </w:rPr>
        <w:t>Clic</w:t>
      </w:r>
      <w:r w:rsidRPr="00ED4036">
        <w:rPr>
          <w:color w:val="auto"/>
          <w:spacing w:val="20"/>
        </w:rPr>
        <w:t>k</w:t>
      </w:r>
      <w:r w:rsidRPr="008D27CB">
        <w:rPr>
          <w:color w:val="auto"/>
        </w:rPr>
        <w:t>Dishes: Serving New Cities</w:t>
      </w:r>
    </w:p>
    <w:p w14:paraId="4AE1FED4" w14:textId="77777777" w:rsidR="00CA3976" w:rsidRPr="008D27CB" w:rsidRDefault="00CA3976" w:rsidP="00013360">
      <w:pPr>
        <w:pStyle w:val="CaseTitle"/>
        <w:spacing w:after="0" w:line="240" w:lineRule="auto"/>
        <w:rPr>
          <w:color w:val="auto"/>
          <w:sz w:val="20"/>
          <w:szCs w:val="20"/>
        </w:rPr>
      </w:pPr>
    </w:p>
    <w:p w14:paraId="5AF9E9F3" w14:textId="77777777" w:rsidR="00013360" w:rsidRPr="008D27CB" w:rsidRDefault="00013360" w:rsidP="00013360">
      <w:pPr>
        <w:pStyle w:val="CaseTitle"/>
        <w:spacing w:after="0" w:line="240" w:lineRule="auto"/>
        <w:rPr>
          <w:color w:val="auto"/>
          <w:sz w:val="20"/>
          <w:szCs w:val="20"/>
        </w:rPr>
      </w:pPr>
    </w:p>
    <w:p w14:paraId="4090EE70" w14:textId="36D5160C" w:rsidR="00013360" w:rsidRPr="008D27CB" w:rsidRDefault="00154F6D" w:rsidP="00104567">
      <w:pPr>
        <w:pStyle w:val="StyleCopyrightStatementAfter0ptBottomSinglesolidline1"/>
        <w:rPr>
          <w:color w:val="auto"/>
        </w:rPr>
      </w:pPr>
      <w:r w:rsidRPr="008D27CB">
        <w:rPr>
          <w:color w:val="auto"/>
        </w:rPr>
        <w:t xml:space="preserve">Professors William Wei, Lei </w:t>
      </w:r>
      <w:proofErr w:type="spellStart"/>
      <w:r w:rsidRPr="008D27CB">
        <w:rPr>
          <w:color w:val="auto"/>
        </w:rPr>
        <w:t>Jin</w:t>
      </w:r>
      <w:proofErr w:type="spellEnd"/>
      <w:r w:rsidR="00A06552" w:rsidRPr="008D27CB">
        <w:rPr>
          <w:color w:val="auto"/>
        </w:rPr>
        <w:t>,</w:t>
      </w:r>
      <w:r w:rsidRPr="008D27CB">
        <w:rPr>
          <w:color w:val="auto"/>
        </w:rPr>
        <w:t xml:space="preserve"> and </w:t>
      </w:r>
      <w:r w:rsidR="006F1D2C" w:rsidRPr="008D27CB">
        <w:rPr>
          <w:color w:val="auto"/>
        </w:rPr>
        <w:t>Etayankara Muralidharan</w:t>
      </w:r>
      <w:r w:rsidR="007E5921" w:rsidRPr="008D27CB">
        <w:rPr>
          <w:color w:val="auto"/>
        </w:rPr>
        <w:t xml:space="preserve"> wrote this case sol</w:t>
      </w:r>
      <w:r w:rsidR="00D75295" w:rsidRPr="008D27CB">
        <w:rPr>
          <w:color w:val="auto"/>
        </w:rPr>
        <w:t>ely to provide material f</w:t>
      </w:r>
      <w:r w:rsidR="001A04F0" w:rsidRPr="008D27CB">
        <w:rPr>
          <w:color w:val="auto"/>
        </w:rPr>
        <w:t>or class discussion. The author</w:t>
      </w:r>
      <w:r w:rsidR="004A5B77" w:rsidRPr="008D27CB">
        <w:rPr>
          <w:color w:val="auto"/>
        </w:rPr>
        <w:t>s</w:t>
      </w:r>
      <w:r w:rsidR="00D75295" w:rsidRPr="008D27CB">
        <w:rPr>
          <w:color w:val="auto"/>
        </w:rPr>
        <w:t xml:space="preserve"> do not intend to illustrate either effective or ineffective handling of a managerial situation. The authors may have disguised certain names and other identifying information to protect confidentiality.</w:t>
      </w:r>
    </w:p>
    <w:p w14:paraId="13180C64" w14:textId="77777777" w:rsidR="00013360" w:rsidRPr="008D27CB" w:rsidRDefault="00013360" w:rsidP="00104567">
      <w:pPr>
        <w:pStyle w:val="StyleCopyrightStatementAfter0ptBottomSinglesolidline1"/>
        <w:rPr>
          <w:color w:val="auto"/>
        </w:rPr>
      </w:pPr>
    </w:p>
    <w:p w14:paraId="7AB94A9F" w14:textId="694B1EC3" w:rsidR="008D27CB" w:rsidRPr="008D27CB" w:rsidRDefault="008D27CB" w:rsidP="0050100D">
      <w:pPr>
        <w:jc w:val="both"/>
        <w:rPr>
          <w:rFonts w:ascii="Arial" w:hAnsi="Arial" w:cs="Arial"/>
          <w:i/>
          <w:iCs/>
          <w:sz w:val="16"/>
          <w:szCs w:val="16"/>
        </w:rPr>
      </w:pPr>
      <w:r w:rsidRPr="008D27CB">
        <w:rPr>
          <w:rFonts w:ascii="Arial" w:hAnsi="Arial" w:cs="Arial"/>
          <w:i/>
          <w:iCs/>
          <w:sz w:val="16"/>
          <w:szCs w:val="16"/>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3170BDD5" w14:textId="77777777" w:rsidR="008D27CB" w:rsidRPr="008D27CB" w:rsidRDefault="008D27CB" w:rsidP="0050100D">
      <w:pPr>
        <w:pStyle w:val="StyleCopyrightStatementAfter0ptBottomSinglesolidline1"/>
        <w:pBdr>
          <w:top w:val="none" w:sz="0" w:space="0" w:color="auto"/>
        </w:pBdr>
      </w:pPr>
    </w:p>
    <w:p w14:paraId="0C1F6448" w14:textId="09869C42" w:rsidR="003B7EF2" w:rsidRPr="008D27CB" w:rsidRDefault="008D27CB" w:rsidP="003B7EF2">
      <w:pPr>
        <w:pStyle w:val="StyleStyleCopyrightStatementAfter0ptBottomSinglesolid"/>
      </w:pPr>
      <w:r w:rsidRPr="008D27CB">
        <w:t>Copyright © 2018, Ivey Business School Foundation</w:t>
      </w:r>
      <w:r w:rsidR="003B7EF2" w:rsidRPr="008D27CB">
        <w:rPr>
          <w:color w:val="auto"/>
        </w:rPr>
        <w:tab/>
        <w:t xml:space="preserve">Version: </w:t>
      </w:r>
      <w:r w:rsidR="00361C8E" w:rsidRPr="008D27CB">
        <w:rPr>
          <w:color w:val="auto"/>
        </w:rPr>
        <w:t>201</w:t>
      </w:r>
      <w:r w:rsidR="00026D95" w:rsidRPr="008D27CB">
        <w:rPr>
          <w:color w:val="auto"/>
        </w:rPr>
        <w:t>8</w:t>
      </w:r>
      <w:r w:rsidR="00361C8E" w:rsidRPr="008D27CB">
        <w:rPr>
          <w:color w:val="auto"/>
        </w:rPr>
        <w:t>-</w:t>
      </w:r>
      <w:r w:rsidR="00026D95" w:rsidRPr="008D27CB">
        <w:rPr>
          <w:color w:val="auto"/>
        </w:rPr>
        <w:t>0</w:t>
      </w:r>
      <w:r w:rsidR="00A326A2">
        <w:rPr>
          <w:color w:val="auto"/>
        </w:rPr>
        <w:t>3</w:t>
      </w:r>
      <w:r w:rsidR="00361C8E" w:rsidRPr="008D27CB">
        <w:rPr>
          <w:color w:val="auto"/>
        </w:rPr>
        <w:t>-</w:t>
      </w:r>
      <w:r w:rsidR="00CD6DFB">
        <w:rPr>
          <w:color w:val="auto"/>
        </w:rPr>
        <w:t>13</w:t>
      </w:r>
    </w:p>
    <w:p w14:paraId="2B56D5D4" w14:textId="77777777" w:rsidR="003B7EF2" w:rsidRPr="008D27CB" w:rsidRDefault="003B7EF2" w:rsidP="00104567">
      <w:pPr>
        <w:pStyle w:val="StyleCopyrightStatementAfter0ptBottomSinglesolidline1"/>
        <w:rPr>
          <w:rFonts w:ascii="Times New Roman" w:hAnsi="Times New Roman"/>
          <w:color w:val="auto"/>
          <w:sz w:val="20"/>
        </w:rPr>
      </w:pPr>
    </w:p>
    <w:p w14:paraId="3D55FE48" w14:textId="77777777" w:rsidR="003B7EF2" w:rsidRPr="008D27CB" w:rsidRDefault="003B7EF2" w:rsidP="006F1D9E">
      <w:pPr>
        <w:pStyle w:val="Footnote"/>
      </w:pPr>
    </w:p>
    <w:p w14:paraId="2708E8F3" w14:textId="0BD94310" w:rsidR="006F1D2C" w:rsidRPr="008D27CB" w:rsidRDefault="006F1D2C" w:rsidP="006F1D2C">
      <w:pPr>
        <w:pStyle w:val="BodyTextMain"/>
      </w:pPr>
      <w:r w:rsidRPr="008D27CB">
        <w:t xml:space="preserve">The </w:t>
      </w:r>
      <w:r w:rsidR="00371505" w:rsidRPr="008D27CB">
        <w:t xml:space="preserve">lengthy </w:t>
      </w:r>
      <w:r w:rsidRPr="008D27CB">
        <w:t xml:space="preserve">drive between Alberta’s two largest cities, Edmonton and Calgary, gave drivers ample time to think. Alec Wang, principal owner and chief executive officer of </w:t>
      </w:r>
      <w:proofErr w:type="spellStart"/>
      <w:r w:rsidRPr="008D27CB">
        <w:t>ClickDishes</w:t>
      </w:r>
      <w:proofErr w:type="spellEnd"/>
      <w:r w:rsidRPr="008D27CB">
        <w:t xml:space="preserve"> Inc.</w:t>
      </w:r>
      <w:r w:rsidR="00CD6DFB">
        <w:t xml:space="preserve"> (</w:t>
      </w:r>
      <w:proofErr w:type="spellStart"/>
      <w:r w:rsidR="00CD6DFB">
        <w:t>ClickDishes</w:t>
      </w:r>
      <w:proofErr w:type="spellEnd"/>
      <w:r w:rsidR="00CD6DFB">
        <w:t>)</w:t>
      </w:r>
      <w:r w:rsidRPr="008D27CB">
        <w:t>, was no exception as he drove patiently behind a long line of cars on the icy highway. It was</w:t>
      </w:r>
      <w:r w:rsidR="008D27CB" w:rsidRPr="008D27CB">
        <w:t xml:space="preserve"> </w:t>
      </w:r>
      <w:r w:rsidR="00815E0E" w:rsidRPr="008D27CB">
        <w:t>November</w:t>
      </w:r>
      <w:r w:rsidR="005B1E1C">
        <w:t xml:space="preserve"> </w:t>
      </w:r>
      <w:r w:rsidRPr="008D27CB">
        <w:t>2017, and Wang needed to consider the strategic direction of his company and</w:t>
      </w:r>
      <w:r w:rsidR="005B1E1C">
        <w:t>,</w:t>
      </w:r>
      <w:r w:rsidRPr="008D27CB">
        <w:t xml:space="preserve"> in particular, the company’s most recent start-up.</w:t>
      </w:r>
    </w:p>
    <w:p w14:paraId="1BDD6F1F" w14:textId="77777777" w:rsidR="006F1D2C" w:rsidRPr="008D27CB" w:rsidRDefault="006F1D2C" w:rsidP="006F1D2C">
      <w:pPr>
        <w:pStyle w:val="BodyTextMain"/>
      </w:pPr>
    </w:p>
    <w:p w14:paraId="18FCBE9F" w14:textId="08141CFD" w:rsidR="006F1D2C" w:rsidRPr="008D27CB" w:rsidRDefault="006F1D2C" w:rsidP="006F1D2C">
      <w:pPr>
        <w:pStyle w:val="BodyTextMain"/>
      </w:pPr>
      <w:proofErr w:type="spellStart"/>
      <w:r w:rsidRPr="008D27CB">
        <w:t>ClickDishes</w:t>
      </w:r>
      <w:proofErr w:type="spellEnd"/>
      <w:r w:rsidRPr="008D27CB">
        <w:t>’ main product was a food</w:t>
      </w:r>
      <w:r w:rsidR="008D0880" w:rsidRPr="008D27CB">
        <w:t xml:space="preserve"> </w:t>
      </w:r>
      <w:r w:rsidRPr="008D27CB">
        <w:t xml:space="preserve">service mobile application (app) that management hoped would revolutionize the way people ordered food and looked for new places to eat. Although Wang had high hopes for the app, he was also acutely aware that the food app space was extremely fast moving, and that after entering the market, similar services would pop up almost immediately. As such, </w:t>
      </w:r>
      <w:proofErr w:type="spellStart"/>
      <w:r w:rsidRPr="008D27CB">
        <w:t>ClickDishes</w:t>
      </w:r>
      <w:proofErr w:type="spellEnd"/>
      <w:r w:rsidRPr="008D27CB">
        <w:t xml:space="preserve"> had chosen its first Canadian focal cities carefully in order to maximize its first-mover advantage</w:t>
      </w:r>
      <w:r w:rsidR="00C93BEE" w:rsidRPr="008D27CB">
        <w:t>;</w:t>
      </w:r>
      <w:r w:rsidRPr="008D27CB">
        <w:t xml:space="preserve"> </w:t>
      </w:r>
      <w:r w:rsidR="00C93BEE" w:rsidRPr="008D27CB">
        <w:t>t</w:t>
      </w:r>
      <w:r w:rsidRPr="008D27CB">
        <w:t xml:space="preserve">he product was launched in Vancouver (where </w:t>
      </w:r>
      <w:proofErr w:type="spellStart"/>
      <w:r w:rsidRPr="008D27CB">
        <w:t>ClickDishes</w:t>
      </w:r>
      <w:proofErr w:type="spellEnd"/>
      <w:r w:rsidRPr="008D27CB">
        <w:t xml:space="preserve"> had an established presence based on another product line launched there), Edmonton, and Calgary. </w:t>
      </w:r>
      <w:r w:rsidR="005F1063" w:rsidRPr="008D27CB">
        <w:t>As o</w:t>
      </w:r>
      <w:r w:rsidR="00C93BEE" w:rsidRPr="008D27CB">
        <w:t>f</w:t>
      </w:r>
      <w:r w:rsidR="005F1063" w:rsidRPr="008D27CB">
        <w:t xml:space="preserve"> November 2017</w:t>
      </w:r>
      <w:r w:rsidR="00C93BEE" w:rsidRPr="008D27CB">
        <w:t>,</w:t>
      </w:r>
      <w:r w:rsidR="005F1063" w:rsidRPr="008D27CB">
        <w:t xml:space="preserve"> the firm ha</w:t>
      </w:r>
      <w:r w:rsidR="00C93BEE" w:rsidRPr="008D27CB">
        <w:t>d</w:t>
      </w:r>
      <w:r w:rsidR="005F1063" w:rsidRPr="008D27CB">
        <w:t xml:space="preserve"> signed up more than 350 restaurants</w:t>
      </w:r>
      <w:r w:rsidR="00C93BEE" w:rsidRPr="008D27CB">
        <w:t xml:space="preserve"> and had </w:t>
      </w:r>
      <w:r w:rsidR="005F1063" w:rsidRPr="008D27CB">
        <w:t>12 full</w:t>
      </w:r>
      <w:r w:rsidR="00C93BEE" w:rsidRPr="008D27CB">
        <w:t>-</w:t>
      </w:r>
      <w:r w:rsidR="005F1063" w:rsidRPr="008D27CB">
        <w:t>time staff managing</w:t>
      </w:r>
      <w:r w:rsidR="00C93BEE" w:rsidRPr="008D27CB">
        <w:t xml:space="preserve"> its</w:t>
      </w:r>
      <w:r w:rsidR="005F1063" w:rsidRPr="008D27CB">
        <w:t xml:space="preserve"> technology and marketing</w:t>
      </w:r>
      <w:r w:rsidR="00C93BEE" w:rsidRPr="008D27CB">
        <w:t xml:space="preserve"> functions</w:t>
      </w:r>
      <w:r w:rsidR="005F1063" w:rsidRPr="008D27CB">
        <w:t xml:space="preserve">. </w:t>
      </w:r>
      <w:r w:rsidRPr="008D27CB">
        <w:t xml:space="preserve">Wang was considering how to position the food app and further develop </w:t>
      </w:r>
      <w:proofErr w:type="spellStart"/>
      <w:r w:rsidRPr="008D27CB">
        <w:t>ClickDishes</w:t>
      </w:r>
      <w:proofErr w:type="spellEnd"/>
      <w:r w:rsidRPr="008D27CB">
        <w:t xml:space="preserve">’ marketing mix to achieve growth so that the </w:t>
      </w:r>
      <w:r w:rsidR="00C93BEE" w:rsidRPr="008D27CB">
        <w:t>company</w:t>
      </w:r>
      <w:r w:rsidRPr="008D27CB">
        <w:t xml:space="preserve"> could reap the full benefits of being the first mover in this market</w:t>
      </w:r>
      <w:r w:rsidR="005B1E1C">
        <w:t>.</w:t>
      </w:r>
      <w:r w:rsidR="00BA7990" w:rsidRPr="008D27CB">
        <w:rPr>
          <w:rFonts w:eastAsiaTheme="minorEastAsia"/>
        </w:rPr>
        <w:t xml:space="preserve"> </w:t>
      </w:r>
      <w:r w:rsidR="005B1E1C">
        <w:rPr>
          <w:rFonts w:eastAsiaTheme="minorEastAsia"/>
        </w:rPr>
        <w:t>T</w:t>
      </w:r>
      <w:r w:rsidR="00BA7990" w:rsidRPr="008D27CB">
        <w:rPr>
          <w:rFonts w:eastAsiaTheme="minorEastAsia"/>
        </w:rPr>
        <w:t xml:space="preserve">o do so, he would need to overcome </w:t>
      </w:r>
      <w:proofErr w:type="spellStart"/>
      <w:r w:rsidR="00BA7990" w:rsidRPr="008D27CB">
        <w:rPr>
          <w:rFonts w:eastAsiaTheme="minorEastAsia"/>
        </w:rPr>
        <w:t>ClickDishes</w:t>
      </w:r>
      <w:proofErr w:type="spellEnd"/>
      <w:r w:rsidR="00BA7990" w:rsidRPr="008D27CB">
        <w:rPr>
          <w:rFonts w:eastAsiaTheme="minorEastAsia"/>
        </w:rPr>
        <w:t>’ limited capital and brand awareness.</w:t>
      </w:r>
    </w:p>
    <w:p w14:paraId="3329A2BE" w14:textId="77777777" w:rsidR="006F1D2C" w:rsidRPr="008D27CB" w:rsidRDefault="006F1D2C" w:rsidP="006F1D2C">
      <w:pPr>
        <w:pStyle w:val="BodyTextMain"/>
      </w:pPr>
    </w:p>
    <w:p w14:paraId="5F5529B7" w14:textId="77777777" w:rsidR="006F1D2C" w:rsidRPr="008D27CB" w:rsidRDefault="006F1D2C" w:rsidP="00ED4036">
      <w:pPr>
        <w:pStyle w:val="BodyTextMain"/>
      </w:pPr>
    </w:p>
    <w:p w14:paraId="612E3163" w14:textId="77777777" w:rsidR="006F1D2C" w:rsidRPr="00546143" w:rsidRDefault="006F1D2C" w:rsidP="00930363">
      <w:pPr>
        <w:pStyle w:val="Casehead1"/>
      </w:pPr>
      <w:r w:rsidRPr="00546143">
        <w:t>THE FOOD SERVICE INDUSTRY</w:t>
      </w:r>
    </w:p>
    <w:p w14:paraId="44298FFC" w14:textId="77777777" w:rsidR="006F1D2C" w:rsidRPr="008D27CB" w:rsidRDefault="006F1D2C" w:rsidP="006F1D2C">
      <w:pPr>
        <w:pStyle w:val="BodyTextMain"/>
      </w:pPr>
    </w:p>
    <w:p w14:paraId="09859B67" w14:textId="4309C2DD" w:rsidR="006F1D2C" w:rsidRPr="008D27CB" w:rsidRDefault="006F1D2C" w:rsidP="00930363">
      <w:pPr>
        <w:pStyle w:val="BodyTextMain"/>
      </w:pPr>
      <w:r w:rsidRPr="00546143">
        <w:t>The global and North American food service industries were expected to grow at compound</w:t>
      </w:r>
      <w:r w:rsidR="00C93BEE" w:rsidRPr="00546143">
        <w:t xml:space="preserve"> annual</w:t>
      </w:r>
      <w:r w:rsidRPr="00546143">
        <w:t xml:space="preserve"> growth rates (CAGR</w:t>
      </w:r>
      <w:r w:rsidR="00C93BEE" w:rsidRPr="00546143">
        <w:t>s</w:t>
      </w:r>
      <w:r w:rsidRPr="00546143">
        <w:t>) of 5.9 per cent and 2.5 per cent, respectively (see Exhibits 1 and 2). As of 2016, the restaurant industry was worth US$75 billion</w:t>
      </w:r>
      <w:r w:rsidRPr="008D27CB">
        <w:rPr>
          <w:rStyle w:val="FootnoteReference"/>
        </w:rPr>
        <w:footnoteReference w:id="1"/>
      </w:r>
      <w:r w:rsidRPr="00546143">
        <w:t xml:space="preserve"> in Canada and $738 billion in the United States. One-third of the U.S. food dollar was spent on eating out</w:t>
      </w:r>
      <w:r w:rsidR="005B1E1C">
        <w:t xml:space="preserve"> and </w:t>
      </w:r>
      <w:r w:rsidRPr="00546143">
        <w:t xml:space="preserve">restaurant services. The demanding and competitive nature of the restaurant industry ensured its sustainability. Moreover, in comparison to virtually all other industries, the restaurant industry had the highest level of direct, frequent, and personal connections with consumers. </w:t>
      </w:r>
    </w:p>
    <w:p w14:paraId="65A784A0" w14:textId="77777777" w:rsidR="006F1D2C" w:rsidRPr="008D27CB" w:rsidRDefault="006F1D2C" w:rsidP="00F731C0">
      <w:pPr>
        <w:pStyle w:val="BodyTextMain"/>
      </w:pPr>
    </w:p>
    <w:p w14:paraId="6697CF88" w14:textId="06A859B5" w:rsidR="00AC78FB" w:rsidRDefault="00AC78FB" w:rsidP="00ED4036">
      <w:pPr>
        <w:pStyle w:val="BodyTextMain"/>
      </w:pPr>
      <w:r>
        <w:br w:type="page"/>
      </w:r>
    </w:p>
    <w:p w14:paraId="69017357" w14:textId="1E01CD5E" w:rsidR="006F1D2C" w:rsidRPr="008D27CB" w:rsidRDefault="006F1D2C" w:rsidP="00F26201">
      <w:pPr>
        <w:pStyle w:val="Casehead2"/>
      </w:pPr>
      <w:r w:rsidRPr="008D27CB">
        <w:lastRenderedPageBreak/>
        <w:t>The Food Service Industry in Canada</w:t>
      </w:r>
    </w:p>
    <w:p w14:paraId="77B2AFC3" w14:textId="77777777" w:rsidR="006F1D2C" w:rsidRPr="008D27CB" w:rsidRDefault="006F1D2C" w:rsidP="00ED4036">
      <w:pPr>
        <w:pStyle w:val="BodyTextMain"/>
      </w:pPr>
    </w:p>
    <w:p w14:paraId="1D0DBFE8" w14:textId="77777777" w:rsidR="006F1D2C" w:rsidRPr="008D27CB" w:rsidRDefault="006F1D2C" w:rsidP="006F1D2C">
      <w:pPr>
        <w:pStyle w:val="BodyTextMain"/>
      </w:pPr>
      <w:r w:rsidRPr="008D27CB">
        <w:t xml:space="preserve">Like the overall food service industry, the Canadian restaurant industry had experienced strong growth from 2011, which was expected to continue. This growth was further enhanced by the changing lifestyles of Canadian consumers: busier lifestyles (and less time for cooking at home) made consumers increasingly likely to choose food service options for their meals. Canada’s food service industry showed revenues of $52.5 billion in 2015, and a CAGR of 4.9 per cent between 2011 and 2015 (compared to U.S. and Mexican CAGRs of 3.4 per cent and 3.9 per cent, respectively, for the same period). While full-service restaurants represented the largest segment in the Canadian food service industry (at 38.9 per cent), quick-service restaurants and fast food accounted for 38.8 per cent of the market. Overall growth was expected to follow a CAGR of 5.5 per cent, to reach $68.5 billion by 2020. </w:t>
      </w:r>
    </w:p>
    <w:p w14:paraId="3387E8B2" w14:textId="77777777" w:rsidR="006F1D2C" w:rsidRPr="008D27CB" w:rsidRDefault="006F1D2C" w:rsidP="006F1D2C">
      <w:pPr>
        <w:pStyle w:val="BodyTextMain"/>
      </w:pPr>
    </w:p>
    <w:p w14:paraId="7FF6BE17" w14:textId="493D88A9" w:rsidR="006F1D2C" w:rsidRPr="008D27CB" w:rsidRDefault="006F1D2C" w:rsidP="006F1D2C">
      <w:pPr>
        <w:pStyle w:val="BodyTextMain"/>
      </w:pPr>
      <w:r w:rsidRPr="008D27CB">
        <w:t xml:space="preserve">Yet despite its impressive growth to date, in 2016, the Canadian food service industry suffered a drop in pre-tax profit to 4.2 per cent </w:t>
      </w:r>
      <w:r w:rsidR="00E95055" w:rsidRPr="008D27CB">
        <w:t>(</w:t>
      </w:r>
      <w:r w:rsidRPr="008D27CB">
        <w:t>compared to 5.8 per cent in 2011</w:t>
      </w:r>
      <w:r w:rsidR="00E95055" w:rsidRPr="008D27CB">
        <w:t>)</w:t>
      </w:r>
      <w:r w:rsidRPr="008D27CB">
        <w:t xml:space="preserve">, mainly due to increasing labour, food, and beverage costs. Under these circumstances, large multinational corporations such as McDonald’s </w:t>
      </w:r>
      <w:r w:rsidR="005B1E1C">
        <w:t xml:space="preserve">Corporation </w:t>
      </w:r>
      <w:r w:rsidRPr="008D27CB">
        <w:t>and Doctor’s Associates Inc. (owner of Subway) were able to take advantage of economies of scale and negotiate better terms with their suppliers to offer competitive</w:t>
      </w:r>
      <w:r w:rsidR="00E95055" w:rsidRPr="008D27CB">
        <w:t>ly priced</w:t>
      </w:r>
      <w:r w:rsidRPr="008D27CB">
        <w:t xml:space="preserve"> </w:t>
      </w:r>
      <w:r w:rsidR="00E95055" w:rsidRPr="008D27CB">
        <w:t xml:space="preserve">options </w:t>
      </w:r>
      <w:r w:rsidRPr="008D27CB">
        <w:t>to their customers.</w:t>
      </w:r>
    </w:p>
    <w:p w14:paraId="37E778DC" w14:textId="77777777" w:rsidR="006F1D2C" w:rsidRPr="008D27CB" w:rsidRDefault="006F1D2C" w:rsidP="006F1D2C">
      <w:pPr>
        <w:pStyle w:val="BodyTextMain"/>
      </w:pPr>
    </w:p>
    <w:p w14:paraId="4614572E" w14:textId="613AECA6" w:rsidR="006F1D2C" w:rsidRPr="008D27CB" w:rsidRDefault="006F1D2C" w:rsidP="006F1D2C">
      <w:pPr>
        <w:pStyle w:val="BodyTextMain"/>
      </w:pPr>
      <w:r w:rsidRPr="008D27CB">
        <w:t>In view of the potential risks to human health</w:t>
      </w:r>
      <w:r w:rsidR="00482443" w:rsidRPr="008D27CB">
        <w:t xml:space="preserve"> involved</w:t>
      </w:r>
      <w:r w:rsidRPr="008D27CB">
        <w:t xml:space="preserve">, the food service industry was subject to very tight hygiene regulations. In Canada, these standards were enforced by the Canadian Food Inspection Agency. The industry was also labour intensive, relying on large numbers of unskilled—and, in many cases, temporary—workers. Despite barriers to entry such as the minimum wage legislation in Canada, the likelihood of new entrants in this industry was high. </w:t>
      </w:r>
    </w:p>
    <w:p w14:paraId="15614F96" w14:textId="77777777" w:rsidR="006F1D2C" w:rsidRPr="008D27CB" w:rsidRDefault="006F1D2C" w:rsidP="006F1D2C">
      <w:pPr>
        <w:pStyle w:val="BodyTextMain"/>
        <w:rPr>
          <w:b/>
        </w:rPr>
      </w:pPr>
    </w:p>
    <w:p w14:paraId="5136F918" w14:textId="77777777" w:rsidR="006F1D2C" w:rsidRPr="008D27CB" w:rsidRDefault="006F1D2C" w:rsidP="00ED4036">
      <w:pPr>
        <w:pStyle w:val="BodyTextMain"/>
      </w:pPr>
    </w:p>
    <w:p w14:paraId="44FEF21F" w14:textId="77777777" w:rsidR="006F1D2C" w:rsidRPr="008D27CB" w:rsidRDefault="006F1D2C" w:rsidP="00F26201">
      <w:pPr>
        <w:pStyle w:val="Casehead2"/>
      </w:pPr>
      <w:r w:rsidRPr="008D27CB">
        <w:t>The Food Service Industry in Alberta</w:t>
      </w:r>
    </w:p>
    <w:p w14:paraId="039B7864" w14:textId="77777777" w:rsidR="006F1D2C" w:rsidRPr="008D27CB" w:rsidRDefault="006F1D2C" w:rsidP="00ED4036">
      <w:pPr>
        <w:pStyle w:val="BodyTextMain"/>
      </w:pPr>
    </w:p>
    <w:p w14:paraId="7E6641BB" w14:textId="3136FD55" w:rsidR="006F1D2C" w:rsidRPr="008D27CB" w:rsidRDefault="006F1D2C" w:rsidP="006F1D2C">
      <w:pPr>
        <w:pStyle w:val="BodyTextMain"/>
      </w:pPr>
      <w:r w:rsidRPr="008D27CB">
        <w:t xml:space="preserve">Alberta was an ideal incubation space for food-related start-ups like </w:t>
      </w:r>
      <w:proofErr w:type="spellStart"/>
      <w:r w:rsidRPr="008D27CB">
        <w:t>ClickDishes</w:t>
      </w:r>
      <w:proofErr w:type="spellEnd"/>
      <w:r w:rsidRPr="008D27CB">
        <w:t>. In June 2015, the province had a gross domestic product (GDP) of over C</w:t>
      </w:r>
      <w:r w:rsidR="0065528D" w:rsidRPr="008D27CB">
        <w:t>A$</w:t>
      </w:r>
      <w:r w:rsidRPr="008D27CB">
        <w:rPr>
          <w:shd w:val="clear" w:color="auto" w:fill="FFFFFF"/>
          <w:lang w:eastAsia="zh-CN"/>
        </w:rPr>
        <w:t>326.4 billion and a GDP per capita of</w:t>
      </w:r>
      <w:r w:rsidRPr="008D27CB">
        <w:t xml:space="preserve"> CA</w:t>
      </w:r>
      <w:r w:rsidR="0065528D" w:rsidRPr="008D27CB">
        <w:t>$</w:t>
      </w:r>
      <w:r w:rsidRPr="008D27CB">
        <w:t>78,100.</w:t>
      </w:r>
      <w:r w:rsidRPr="008D27CB">
        <w:rPr>
          <w:rStyle w:val="FootnoteReference"/>
        </w:rPr>
        <w:footnoteReference w:id="2"/>
      </w:r>
      <w:r w:rsidRPr="008D27CB">
        <w:t xml:space="preserve"> These figures confirmed that Alberta had the third-largest provincial GDP in Canada (behind those of Quebec and Ontario), and Albertans’ higher incomes were reflected in their spending habits. In 2015, the average Canadian household spent 14.3 per cent of its budget on food (an average of CA</w:t>
      </w:r>
      <w:r w:rsidR="0065528D" w:rsidRPr="008D27CB">
        <w:t>$</w:t>
      </w:r>
      <w:r w:rsidRPr="008D27CB">
        <w:t>8,629), of which CA</w:t>
      </w:r>
      <w:r w:rsidR="0065528D" w:rsidRPr="008D27CB">
        <w:t>$</w:t>
      </w:r>
      <w:r w:rsidRPr="008D27CB">
        <w:t>2,502 was spent at restaurants. Households in Alberta spent only 13.3 per cent of their budget on food, but had the highest average expenditure amount, CA</w:t>
      </w:r>
      <w:r w:rsidR="0065528D" w:rsidRPr="008D27CB">
        <w:t>$</w:t>
      </w:r>
      <w:r w:rsidRPr="008D27CB">
        <w:t>10,171 per year.</w:t>
      </w:r>
      <w:r w:rsidRPr="008D27CB">
        <w:rPr>
          <w:rStyle w:val="FootnoteReference"/>
        </w:rPr>
        <w:footnoteReference w:id="3"/>
      </w:r>
      <w:r w:rsidRPr="008D27CB">
        <w:t xml:space="preserve"> As a further incentive to stay headquartered in Alberta, </w:t>
      </w:r>
      <w:proofErr w:type="spellStart"/>
      <w:r w:rsidRPr="008D27CB">
        <w:t>ClickDishes</w:t>
      </w:r>
      <w:proofErr w:type="spellEnd"/>
      <w:r w:rsidRPr="008D27CB">
        <w:t xml:space="preserve">’ parent company, Meta-universe Technology Inc. (Meta-universe), had received several tax breaks from the provincial government. </w:t>
      </w:r>
    </w:p>
    <w:p w14:paraId="33F4A5FC" w14:textId="77777777" w:rsidR="006F1D2C" w:rsidRPr="008D27CB" w:rsidRDefault="006F1D2C" w:rsidP="00ED4036">
      <w:pPr>
        <w:pStyle w:val="BodyTextMain"/>
      </w:pPr>
    </w:p>
    <w:p w14:paraId="4B90828C" w14:textId="77777777" w:rsidR="006F1D2C" w:rsidRPr="008D27CB" w:rsidRDefault="006F1D2C" w:rsidP="00ED4036">
      <w:pPr>
        <w:pStyle w:val="BodyTextMain"/>
      </w:pPr>
    </w:p>
    <w:p w14:paraId="01ED1213" w14:textId="77777777" w:rsidR="006F1D2C" w:rsidRPr="008D27CB" w:rsidRDefault="006F1D2C" w:rsidP="006F1D2C">
      <w:pPr>
        <w:pStyle w:val="Casehead1"/>
      </w:pPr>
      <w:r w:rsidRPr="008D27CB">
        <w:t>CLIC</w:t>
      </w:r>
      <w:r w:rsidRPr="00ED4036">
        <w:rPr>
          <w:spacing w:val="20"/>
        </w:rPr>
        <w:t>K</w:t>
      </w:r>
      <w:r w:rsidRPr="008D27CB">
        <w:t>DISHES</w:t>
      </w:r>
    </w:p>
    <w:p w14:paraId="7EDB14E0" w14:textId="77777777" w:rsidR="006F1D2C" w:rsidRPr="00546143" w:rsidRDefault="006F1D2C" w:rsidP="006F1D2C">
      <w:pPr>
        <w:pStyle w:val="BodyTextMain"/>
      </w:pPr>
    </w:p>
    <w:p w14:paraId="35BCDB80" w14:textId="12559E20" w:rsidR="006F1D2C" w:rsidRPr="008D27CB" w:rsidRDefault="006F1D2C" w:rsidP="006F1D2C">
      <w:pPr>
        <w:pStyle w:val="BodyTextMain"/>
      </w:pPr>
      <w:proofErr w:type="spellStart"/>
      <w:r w:rsidRPr="008D27CB">
        <w:t>ClickDishes</w:t>
      </w:r>
      <w:proofErr w:type="spellEnd"/>
      <w:r w:rsidRPr="008D27CB">
        <w:t xml:space="preserve"> was a food service app that acted as a platform for customers to order and pay for food from their favourite restaurants. Headquartered out of the Meta-universe offices in Calgary, Alberta, the app had two services, “</w:t>
      </w:r>
      <w:proofErr w:type="spellStart"/>
      <w:r w:rsidRPr="008D27CB">
        <w:t>Grab&amp;Go</w:t>
      </w:r>
      <w:proofErr w:type="spellEnd"/>
      <w:r w:rsidRPr="008D27CB">
        <w:t>” and “Dine-In.” Both services were completely free for users, and there were no on-boarding costs (e.g., equipment</w:t>
      </w:r>
      <w:r w:rsidR="00040990">
        <w:t xml:space="preserve"> or</w:t>
      </w:r>
      <w:r w:rsidRPr="008D27CB">
        <w:t xml:space="preserve"> licensing fees) for partner restaurants. The company’s business model </w:t>
      </w:r>
      <w:proofErr w:type="gramStart"/>
      <w:r w:rsidRPr="008D27CB">
        <w:lastRenderedPageBreak/>
        <w:t>was</w:t>
      </w:r>
      <w:proofErr w:type="gramEnd"/>
      <w:r w:rsidRPr="008D27CB">
        <w:t xml:space="preserve"> based on hybrid fees charged to restaurants once they started making money from the platform. The lack of financial risk for restaurants to join the platform was a key factor in </w:t>
      </w:r>
      <w:proofErr w:type="spellStart"/>
      <w:r w:rsidRPr="008D27CB">
        <w:t>ClickDishes</w:t>
      </w:r>
      <w:proofErr w:type="spellEnd"/>
      <w:r w:rsidRPr="008D27CB">
        <w:t>’ aggressive market expansion plan and made the app unique among its competitors.</w:t>
      </w:r>
    </w:p>
    <w:p w14:paraId="293D8D4D" w14:textId="77777777" w:rsidR="006F1D2C" w:rsidRPr="00546143" w:rsidRDefault="006F1D2C" w:rsidP="006F1D2C">
      <w:pPr>
        <w:pStyle w:val="BodyTextMain"/>
      </w:pPr>
    </w:p>
    <w:p w14:paraId="4A2344F5" w14:textId="25A1857D" w:rsidR="003528A1" w:rsidRPr="00546143" w:rsidRDefault="006F1D2C" w:rsidP="003528A1">
      <w:pPr>
        <w:pStyle w:val="BodyTextMain"/>
      </w:pPr>
      <w:proofErr w:type="spellStart"/>
      <w:r w:rsidRPr="00546143">
        <w:t>ClickDishes</w:t>
      </w:r>
      <w:proofErr w:type="spellEnd"/>
      <w:r w:rsidRPr="00546143">
        <w:t xml:space="preserve"> targeted consumers aged 16–40 living in fast-paced, urban settings. The company’s restaurant partners ranged from coffee shops to food court counters to dine-in restaurants, with a focus on franchises. Operating as an intermediary between restaurant merchants and consumers, the </w:t>
      </w:r>
      <w:proofErr w:type="spellStart"/>
      <w:r w:rsidRPr="008D27CB">
        <w:t>ClickDishes</w:t>
      </w:r>
      <w:proofErr w:type="spellEnd"/>
      <w:r w:rsidRPr="008D27CB">
        <w:t xml:space="preserve"> mobile app and ordering platform was developed by Meta-universe, which had also developed and operated an app called </w:t>
      </w:r>
      <w:proofErr w:type="spellStart"/>
      <w:r w:rsidRPr="008D27CB">
        <w:t>Nomme</w:t>
      </w:r>
      <w:proofErr w:type="spellEnd"/>
      <w:r w:rsidRPr="008D27CB">
        <w:t xml:space="preserve">. </w:t>
      </w:r>
      <w:proofErr w:type="spellStart"/>
      <w:r w:rsidRPr="008D27CB">
        <w:t>ClickDishes</w:t>
      </w:r>
      <w:proofErr w:type="spellEnd"/>
      <w:r w:rsidRPr="008D27CB">
        <w:t xml:space="preserve"> was intended to revolutionize the </w:t>
      </w:r>
      <w:r w:rsidRPr="00546143">
        <w:t xml:space="preserve">practices of ordering food, processing transactions, and managing restaurant operations by leveraging self-service technology to streamline the consumer dining process and optimize labour efficiency with comprehensive solutions to handle both in-restaurant and takeout services. </w:t>
      </w:r>
    </w:p>
    <w:p w14:paraId="519E2DB6" w14:textId="77777777" w:rsidR="003528A1" w:rsidRPr="00546143" w:rsidRDefault="003528A1" w:rsidP="003528A1">
      <w:pPr>
        <w:pStyle w:val="BodyTextMain"/>
      </w:pPr>
    </w:p>
    <w:p w14:paraId="4C9DD425" w14:textId="0BFE764F" w:rsidR="001B2FA7" w:rsidRPr="008D27CB" w:rsidRDefault="006F1D2C" w:rsidP="003528A1">
      <w:pPr>
        <w:pStyle w:val="BodyTextMain"/>
        <w:rPr>
          <w:rFonts w:eastAsiaTheme="minorEastAsia"/>
        </w:rPr>
      </w:pPr>
      <w:r w:rsidRPr="00546143">
        <w:t>The app strived to empower partner restaurants by enhancing their hospitality</w:t>
      </w:r>
      <w:r w:rsidR="003528A1" w:rsidRPr="00546143">
        <w:t>,</w:t>
      </w:r>
      <w:r w:rsidRPr="00546143">
        <w:t xml:space="preserve"> providing experiential dining for their customers</w:t>
      </w:r>
      <w:r w:rsidR="003528A1" w:rsidRPr="00546143">
        <w:t>,</w:t>
      </w:r>
      <w:r w:rsidR="001B2FA7" w:rsidRPr="008D27CB">
        <w:rPr>
          <w:rFonts w:eastAsiaTheme="minorEastAsia"/>
        </w:rPr>
        <w:t xml:space="preserve"> </w:t>
      </w:r>
      <w:r w:rsidR="003528A1" w:rsidRPr="008D27CB">
        <w:rPr>
          <w:rFonts w:eastAsiaTheme="minorEastAsia"/>
        </w:rPr>
        <w:t xml:space="preserve">and </w:t>
      </w:r>
      <w:r w:rsidR="001B2FA7" w:rsidRPr="008D27CB">
        <w:rPr>
          <w:rFonts w:eastAsiaTheme="minorEastAsia"/>
        </w:rPr>
        <w:t>provid</w:t>
      </w:r>
      <w:r w:rsidR="003528A1" w:rsidRPr="008D27CB">
        <w:rPr>
          <w:rFonts w:eastAsiaTheme="minorEastAsia"/>
        </w:rPr>
        <w:t>ing</w:t>
      </w:r>
      <w:r w:rsidR="001B2FA7" w:rsidRPr="008D27CB">
        <w:rPr>
          <w:rFonts w:eastAsiaTheme="minorEastAsia"/>
        </w:rPr>
        <w:t xml:space="preserve"> mobile ordering solutions for restaurants </w:t>
      </w:r>
      <w:r w:rsidR="00B95092" w:rsidRPr="008D27CB">
        <w:rPr>
          <w:rFonts w:eastAsiaTheme="minorEastAsia"/>
        </w:rPr>
        <w:t>that did</w:t>
      </w:r>
      <w:r w:rsidR="001B2FA7" w:rsidRPr="008D27CB">
        <w:rPr>
          <w:rFonts w:eastAsiaTheme="minorEastAsia"/>
        </w:rPr>
        <w:t xml:space="preserve"> not have the resources and capital to develop their own app</w:t>
      </w:r>
      <w:r w:rsidR="00B95092" w:rsidRPr="008D27CB">
        <w:rPr>
          <w:rFonts w:eastAsiaTheme="minorEastAsia"/>
        </w:rPr>
        <w:t>s</w:t>
      </w:r>
      <w:r w:rsidR="001B2FA7" w:rsidRPr="008D27CB">
        <w:rPr>
          <w:rFonts w:eastAsiaTheme="minorEastAsia"/>
        </w:rPr>
        <w:t xml:space="preserve">. </w:t>
      </w:r>
      <w:r w:rsidR="00583FCC" w:rsidRPr="008D27CB">
        <w:rPr>
          <w:rFonts w:eastAsiaTheme="minorEastAsia"/>
        </w:rPr>
        <w:t>U</w:t>
      </w:r>
      <w:r w:rsidR="001B2FA7" w:rsidRPr="008D27CB">
        <w:rPr>
          <w:rFonts w:eastAsiaTheme="minorEastAsia"/>
        </w:rPr>
        <w:t xml:space="preserve">sing </w:t>
      </w:r>
      <w:proofErr w:type="spellStart"/>
      <w:r w:rsidR="001B2FA7" w:rsidRPr="008D27CB">
        <w:rPr>
          <w:rFonts w:eastAsiaTheme="minorEastAsia"/>
        </w:rPr>
        <w:t>ClickDishes</w:t>
      </w:r>
      <w:proofErr w:type="spellEnd"/>
      <w:r w:rsidR="001B2FA7" w:rsidRPr="008D27CB">
        <w:rPr>
          <w:rFonts w:eastAsiaTheme="minorEastAsia"/>
        </w:rPr>
        <w:t>’ technology</w:t>
      </w:r>
      <w:r w:rsidR="00583FCC" w:rsidRPr="008D27CB">
        <w:rPr>
          <w:rFonts w:eastAsiaTheme="minorEastAsia"/>
        </w:rPr>
        <w:t xml:space="preserve"> enabled</w:t>
      </w:r>
      <w:r w:rsidR="007C0C38" w:rsidRPr="008D27CB">
        <w:rPr>
          <w:rFonts w:eastAsiaTheme="minorEastAsia"/>
        </w:rPr>
        <w:t xml:space="preserve"> </w:t>
      </w:r>
      <w:r w:rsidR="001B2FA7" w:rsidRPr="008D27CB">
        <w:rPr>
          <w:rFonts w:eastAsiaTheme="minorEastAsia"/>
        </w:rPr>
        <w:t xml:space="preserve">restaurant partners </w:t>
      </w:r>
      <w:r w:rsidR="00583FCC" w:rsidRPr="008D27CB">
        <w:rPr>
          <w:rFonts w:eastAsiaTheme="minorEastAsia"/>
        </w:rPr>
        <w:t xml:space="preserve">to </w:t>
      </w:r>
      <w:r w:rsidR="001B2FA7" w:rsidRPr="008D27CB">
        <w:rPr>
          <w:rFonts w:eastAsiaTheme="minorEastAsia"/>
        </w:rPr>
        <w:t xml:space="preserve">focus on their operations and become more competitive. For consumers, </w:t>
      </w:r>
      <w:proofErr w:type="spellStart"/>
      <w:r w:rsidR="001B2FA7" w:rsidRPr="008D27CB">
        <w:rPr>
          <w:rFonts w:eastAsiaTheme="minorEastAsia"/>
        </w:rPr>
        <w:t>ClickDishes</w:t>
      </w:r>
      <w:proofErr w:type="spellEnd"/>
      <w:r w:rsidR="001B2FA7" w:rsidRPr="008D27CB">
        <w:rPr>
          <w:rFonts w:eastAsiaTheme="minorEastAsia"/>
        </w:rPr>
        <w:t xml:space="preserve"> consolidate</w:t>
      </w:r>
      <w:r w:rsidR="00583FCC" w:rsidRPr="008D27CB">
        <w:rPr>
          <w:rFonts w:eastAsiaTheme="minorEastAsia"/>
        </w:rPr>
        <w:t>d</w:t>
      </w:r>
      <w:r w:rsidR="001B2FA7" w:rsidRPr="008D27CB">
        <w:rPr>
          <w:rFonts w:eastAsiaTheme="minorEastAsia"/>
        </w:rPr>
        <w:t xml:space="preserve"> a variety of different restaurants</w:t>
      </w:r>
      <w:r w:rsidR="00583FCC" w:rsidRPr="008D27CB">
        <w:rPr>
          <w:rFonts w:eastAsiaTheme="minorEastAsia"/>
        </w:rPr>
        <w:t>,</w:t>
      </w:r>
      <w:r w:rsidR="001B2FA7" w:rsidRPr="008D27CB">
        <w:rPr>
          <w:rFonts w:eastAsiaTheme="minorEastAsia"/>
        </w:rPr>
        <w:t xml:space="preserve"> ranging from small restaurants to national chains, into a single app. The key product applications </w:t>
      </w:r>
      <w:r w:rsidR="00583FCC" w:rsidRPr="008D27CB">
        <w:rPr>
          <w:rFonts w:eastAsiaTheme="minorEastAsia"/>
        </w:rPr>
        <w:t>included the following:</w:t>
      </w:r>
      <w:r w:rsidR="001B2FA7" w:rsidRPr="008D27CB">
        <w:rPr>
          <w:rFonts w:eastAsiaTheme="minorEastAsia"/>
        </w:rPr>
        <w:t xml:space="preserve"> </w:t>
      </w:r>
    </w:p>
    <w:p w14:paraId="740E54E1" w14:textId="77777777" w:rsidR="001B2FA7" w:rsidRPr="008D27CB" w:rsidRDefault="001B2FA7" w:rsidP="00026D95">
      <w:pPr>
        <w:pStyle w:val="BodyTextMain"/>
        <w:rPr>
          <w:rFonts w:eastAsiaTheme="minorEastAsia"/>
        </w:rPr>
      </w:pPr>
    </w:p>
    <w:p w14:paraId="5DE07C63" w14:textId="799FEADE" w:rsidR="001B2FA7" w:rsidRPr="008D27CB" w:rsidRDefault="00981366" w:rsidP="00026D95">
      <w:pPr>
        <w:pStyle w:val="BodyTextMain"/>
        <w:numPr>
          <w:ilvl w:val="0"/>
          <w:numId w:val="30"/>
        </w:numPr>
        <w:rPr>
          <w:rFonts w:eastAsiaTheme="minorEastAsia"/>
        </w:rPr>
      </w:pPr>
      <w:r w:rsidRPr="008D27CB">
        <w:rPr>
          <w:rFonts w:eastAsiaTheme="minorEastAsia"/>
        </w:rPr>
        <w:t xml:space="preserve">The </w:t>
      </w:r>
      <w:proofErr w:type="spellStart"/>
      <w:r w:rsidR="001B2FA7" w:rsidRPr="008D27CB">
        <w:rPr>
          <w:rFonts w:eastAsiaTheme="minorEastAsia"/>
        </w:rPr>
        <w:t>ClickDishes</w:t>
      </w:r>
      <w:proofErr w:type="spellEnd"/>
      <w:r w:rsidR="001B2FA7" w:rsidRPr="008D27CB">
        <w:rPr>
          <w:rFonts w:eastAsiaTheme="minorEastAsia"/>
        </w:rPr>
        <w:t xml:space="preserve"> </w:t>
      </w:r>
      <w:r w:rsidR="008E093E" w:rsidRPr="008D27CB">
        <w:rPr>
          <w:rFonts w:eastAsiaTheme="minorEastAsia"/>
        </w:rPr>
        <w:t>c</w:t>
      </w:r>
      <w:r w:rsidR="001B2FA7" w:rsidRPr="008D27CB">
        <w:rPr>
          <w:rFonts w:eastAsiaTheme="minorEastAsia"/>
        </w:rPr>
        <w:t xml:space="preserve">onsumer </w:t>
      </w:r>
      <w:r w:rsidR="008E093E" w:rsidRPr="008D27CB">
        <w:rPr>
          <w:rFonts w:eastAsiaTheme="minorEastAsia"/>
        </w:rPr>
        <w:t>a</w:t>
      </w:r>
      <w:r w:rsidR="001B2FA7" w:rsidRPr="008D27CB">
        <w:rPr>
          <w:rFonts w:eastAsiaTheme="minorEastAsia"/>
        </w:rPr>
        <w:t xml:space="preserve">pp, available for free on </w:t>
      </w:r>
      <w:r w:rsidR="00EE282A" w:rsidRPr="008D27CB">
        <w:rPr>
          <w:rFonts w:eastAsiaTheme="minorEastAsia"/>
        </w:rPr>
        <w:t>Apple</w:t>
      </w:r>
      <w:r w:rsidR="001B2FA7" w:rsidRPr="008D27CB">
        <w:rPr>
          <w:rFonts w:eastAsiaTheme="minorEastAsia"/>
        </w:rPr>
        <w:t xml:space="preserve"> and Android devices</w:t>
      </w:r>
      <w:r w:rsidRPr="008D27CB">
        <w:rPr>
          <w:rFonts w:eastAsiaTheme="minorEastAsia"/>
        </w:rPr>
        <w:t>,</w:t>
      </w:r>
      <w:r w:rsidR="001B2FA7" w:rsidRPr="008D27CB">
        <w:rPr>
          <w:rFonts w:eastAsiaTheme="minorEastAsia"/>
        </w:rPr>
        <w:t xml:space="preserve"> allow</w:t>
      </w:r>
      <w:r w:rsidR="00EE282A" w:rsidRPr="008D27CB">
        <w:rPr>
          <w:rFonts w:eastAsiaTheme="minorEastAsia"/>
        </w:rPr>
        <w:t>ed</w:t>
      </w:r>
      <w:r w:rsidR="001B2FA7" w:rsidRPr="008D27CB">
        <w:rPr>
          <w:rFonts w:eastAsiaTheme="minorEastAsia"/>
        </w:rPr>
        <w:t xml:space="preserve"> consumers to pre-order and pre-pay their meal in advance to avoid peak dining time</w:t>
      </w:r>
      <w:r w:rsidRPr="008D27CB">
        <w:rPr>
          <w:rFonts w:eastAsiaTheme="minorEastAsia"/>
        </w:rPr>
        <w:t>s</w:t>
      </w:r>
      <w:r w:rsidR="001B2FA7" w:rsidRPr="008D27CB">
        <w:rPr>
          <w:rFonts w:eastAsiaTheme="minorEastAsia"/>
        </w:rPr>
        <w:t xml:space="preserve"> at quick-service restaurants.</w:t>
      </w:r>
      <w:r w:rsidR="008F531D">
        <w:rPr>
          <w:rFonts w:eastAsiaTheme="minorEastAsia"/>
        </w:rPr>
        <w:t xml:space="preserve"> </w:t>
      </w:r>
    </w:p>
    <w:p w14:paraId="0810BFDB" w14:textId="07023E2A" w:rsidR="001B2FA7" w:rsidRPr="008D27CB" w:rsidRDefault="00981366" w:rsidP="00026D95">
      <w:pPr>
        <w:pStyle w:val="BodyTextMain"/>
        <w:numPr>
          <w:ilvl w:val="0"/>
          <w:numId w:val="30"/>
        </w:numPr>
        <w:rPr>
          <w:rFonts w:eastAsiaTheme="minorEastAsia"/>
        </w:rPr>
      </w:pPr>
      <w:r w:rsidRPr="008D27CB">
        <w:rPr>
          <w:rFonts w:eastAsiaTheme="minorEastAsia"/>
        </w:rPr>
        <w:t xml:space="preserve">The </w:t>
      </w:r>
      <w:proofErr w:type="spellStart"/>
      <w:r w:rsidR="001B2FA7" w:rsidRPr="008D27CB">
        <w:rPr>
          <w:rFonts w:eastAsiaTheme="minorEastAsia"/>
        </w:rPr>
        <w:t>ClickDishes</w:t>
      </w:r>
      <w:proofErr w:type="spellEnd"/>
      <w:r w:rsidR="001B2FA7" w:rsidRPr="008D27CB">
        <w:rPr>
          <w:rFonts w:eastAsiaTheme="minorEastAsia"/>
        </w:rPr>
        <w:t xml:space="preserve"> </w:t>
      </w:r>
      <w:r w:rsidR="008E093E" w:rsidRPr="008D27CB">
        <w:rPr>
          <w:rFonts w:eastAsiaTheme="minorEastAsia"/>
        </w:rPr>
        <w:t>m</w:t>
      </w:r>
      <w:r w:rsidR="001B2FA7" w:rsidRPr="008D27CB">
        <w:rPr>
          <w:rFonts w:eastAsiaTheme="minorEastAsia"/>
        </w:rPr>
        <w:t xml:space="preserve">erchant </w:t>
      </w:r>
      <w:r w:rsidR="008E093E" w:rsidRPr="008D27CB">
        <w:rPr>
          <w:rFonts w:eastAsiaTheme="minorEastAsia"/>
        </w:rPr>
        <w:t>a</w:t>
      </w:r>
      <w:r w:rsidR="001B2FA7" w:rsidRPr="008D27CB">
        <w:rPr>
          <w:rFonts w:eastAsiaTheme="minorEastAsia"/>
        </w:rPr>
        <w:t>pp, available for free to restaurant partners on Android devices</w:t>
      </w:r>
      <w:r w:rsidRPr="008D27CB">
        <w:rPr>
          <w:rFonts w:eastAsiaTheme="minorEastAsia"/>
        </w:rPr>
        <w:t>,</w:t>
      </w:r>
      <w:r w:rsidR="001B2FA7" w:rsidRPr="008D27CB">
        <w:rPr>
          <w:rFonts w:eastAsiaTheme="minorEastAsia"/>
        </w:rPr>
        <w:t xml:space="preserve"> provide</w:t>
      </w:r>
      <w:r w:rsidRPr="008D27CB">
        <w:rPr>
          <w:rFonts w:eastAsiaTheme="minorEastAsia"/>
        </w:rPr>
        <w:t>d</w:t>
      </w:r>
      <w:r w:rsidR="001B2FA7" w:rsidRPr="008D27CB">
        <w:rPr>
          <w:rFonts w:eastAsiaTheme="minorEastAsia"/>
        </w:rPr>
        <w:t xml:space="preserve"> real-time order</w:t>
      </w:r>
      <w:r w:rsidRPr="008D27CB">
        <w:rPr>
          <w:rFonts w:eastAsiaTheme="minorEastAsia"/>
        </w:rPr>
        <w:t>-</w:t>
      </w:r>
      <w:r w:rsidR="001B2FA7" w:rsidRPr="008D27CB">
        <w:rPr>
          <w:rFonts w:eastAsiaTheme="minorEastAsia"/>
        </w:rPr>
        <w:t>handling functions</w:t>
      </w:r>
      <w:r w:rsidRPr="008D27CB">
        <w:rPr>
          <w:rFonts w:eastAsiaTheme="minorEastAsia"/>
        </w:rPr>
        <w:t>,</w:t>
      </w:r>
      <w:r w:rsidR="001B2FA7" w:rsidRPr="008D27CB">
        <w:rPr>
          <w:rFonts w:eastAsiaTheme="minorEastAsia"/>
        </w:rPr>
        <w:t xml:space="preserve"> including accepting orders, delay</w:t>
      </w:r>
      <w:r w:rsidRPr="008D27CB">
        <w:rPr>
          <w:rFonts w:eastAsiaTheme="minorEastAsia"/>
        </w:rPr>
        <w:t>ing</w:t>
      </w:r>
      <w:r w:rsidR="001B2FA7" w:rsidRPr="008D27CB">
        <w:rPr>
          <w:rFonts w:eastAsiaTheme="minorEastAsia"/>
        </w:rPr>
        <w:t xml:space="preserve"> orders, </w:t>
      </w:r>
      <w:r w:rsidRPr="008D27CB">
        <w:rPr>
          <w:rFonts w:eastAsiaTheme="minorEastAsia"/>
        </w:rPr>
        <w:t xml:space="preserve">indicating </w:t>
      </w:r>
      <w:r w:rsidR="001B2FA7" w:rsidRPr="008D27CB">
        <w:rPr>
          <w:rFonts w:eastAsiaTheme="minorEastAsia"/>
        </w:rPr>
        <w:t>sold</w:t>
      </w:r>
      <w:r w:rsidRPr="008D27CB">
        <w:rPr>
          <w:rFonts w:eastAsiaTheme="minorEastAsia"/>
        </w:rPr>
        <w:t>-</w:t>
      </w:r>
      <w:r w:rsidR="001B2FA7" w:rsidRPr="008D27CB">
        <w:rPr>
          <w:rFonts w:eastAsiaTheme="minorEastAsia"/>
        </w:rPr>
        <w:t>out items</w:t>
      </w:r>
      <w:r w:rsidRPr="008D27CB">
        <w:rPr>
          <w:rFonts w:eastAsiaTheme="minorEastAsia"/>
        </w:rPr>
        <w:t>,</w:t>
      </w:r>
      <w:r w:rsidR="001B2FA7" w:rsidRPr="008D27CB">
        <w:rPr>
          <w:rFonts w:eastAsiaTheme="minorEastAsia"/>
        </w:rPr>
        <w:t xml:space="preserve"> and reporting services.</w:t>
      </w:r>
      <w:r w:rsidR="008F531D">
        <w:rPr>
          <w:rFonts w:eastAsiaTheme="minorEastAsia"/>
        </w:rPr>
        <w:t xml:space="preserve"> </w:t>
      </w:r>
    </w:p>
    <w:p w14:paraId="059CD887" w14:textId="7C1779F1" w:rsidR="001B2FA7" w:rsidRPr="008D27CB" w:rsidRDefault="00981366" w:rsidP="00026D95">
      <w:pPr>
        <w:pStyle w:val="BodyTextMain"/>
        <w:numPr>
          <w:ilvl w:val="0"/>
          <w:numId w:val="30"/>
        </w:numPr>
        <w:rPr>
          <w:rFonts w:eastAsiaTheme="minorEastAsia"/>
        </w:rPr>
      </w:pPr>
      <w:r w:rsidRPr="008D27CB">
        <w:rPr>
          <w:rFonts w:eastAsiaTheme="minorEastAsia"/>
        </w:rPr>
        <w:t xml:space="preserve">The </w:t>
      </w:r>
      <w:proofErr w:type="spellStart"/>
      <w:r w:rsidR="001B2FA7" w:rsidRPr="008D27CB">
        <w:rPr>
          <w:rFonts w:eastAsiaTheme="minorEastAsia"/>
        </w:rPr>
        <w:t>ClickDishes</w:t>
      </w:r>
      <w:proofErr w:type="spellEnd"/>
      <w:r w:rsidR="001B2FA7" w:rsidRPr="008D27CB">
        <w:rPr>
          <w:rFonts w:eastAsiaTheme="minorEastAsia"/>
        </w:rPr>
        <w:t xml:space="preserve"> </w:t>
      </w:r>
      <w:r w:rsidR="008E093E" w:rsidRPr="008D27CB">
        <w:rPr>
          <w:rFonts w:eastAsiaTheme="minorEastAsia"/>
        </w:rPr>
        <w:t>m</w:t>
      </w:r>
      <w:r w:rsidR="001B2FA7" w:rsidRPr="008D27CB">
        <w:rPr>
          <w:rFonts w:eastAsiaTheme="minorEastAsia"/>
        </w:rPr>
        <w:t xml:space="preserve">erchant </w:t>
      </w:r>
      <w:r w:rsidR="008E093E" w:rsidRPr="008D27CB">
        <w:rPr>
          <w:rFonts w:eastAsiaTheme="minorEastAsia"/>
        </w:rPr>
        <w:t>t</w:t>
      </w:r>
      <w:r w:rsidR="001B2FA7" w:rsidRPr="008D27CB">
        <w:rPr>
          <w:rFonts w:eastAsiaTheme="minorEastAsia"/>
        </w:rPr>
        <w:t xml:space="preserve">ablet </w:t>
      </w:r>
      <w:r w:rsidR="001625AB" w:rsidRPr="008D27CB">
        <w:rPr>
          <w:rFonts w:eastAsiaTheme="minorEastAsia"/>
        </w:rPr>
        <w:t>wa</w:t>
      </w:r>
      <w:r w:rsidR="001B2FA7" w:rsidRPr="008D27CB">
        <w:rPr>
          <w:rFonts w:eastAsiaTheme="minorEastAsia"/>
        </w:rPr>
        <w:t xml:space="preserve">s a </w:t>
      </w:r>
      <w:r w:rsidRPr="008D27CB">
        <w:rPr>
          <w:rFonts w:eastAsiaTheme="minorEastAsia"/>
        </w:rPr>
        <w:t>two-in-one</w:t>
      </w:r>
      <w:r w:rsidR="001B2FA7" w:rsidRPr="008D27CB">
        <w:rPr>
          <w:rFonts w:eastAsiaTheme="minorEastAsia"/>
        </w:rPr>
        <w:t xml:space="preserve"> printer-tablet device available for free to restaurant partners </w:t>
      </w:r>
      <w:r w:rsidRPr="008D27CB">
        <w:rPr>
          <w:rFonts w:eastAsiaTheme="minorEastAsia"/>
        </w:rPr>
        <w:t xml:space="preserve">so </w:t>
      </w:r>
      <w:r w:rsidR="001B2FA7" w:rsidRPr="008D27CB">
        <w:rPr>
          <w:rFonts w:eastAsiaTheme="minorEastAsia"/>
        </w:rPr>
        <w:t xml:space="preserve">they </w:t>
      </w:r>
      <w:r w:rsidRPr="008D27CB">
        <w:rPr>
          <w:rFonts w:eastAsiaTheme="minorEastAsia"/>
        </w:rPr>
        <w:t>could</w:t>
      </w:r>
      <w:r w:rsidR="001B2FA7" w:rsidRPr="008D27CB">
        <w:rPr>
          <w:rFonts w:eastAsiaTheme="minorEastAsia"/>
        </w:rPr>
        <w:t xml:space="preserve"> run the </w:t>
      </w:r>
      <w:proofErr w:type="spellStart"/>
      <w:r w:rsidR="001B2FA7" w:rsidRPr="008D27CB">
        <w:rPr>
          <w:rFonts w:eastAsiaTheme="minorEastAsia"/>
        </w:rPr>
        <w:t>ClickDishes</w:t>
      </w:r>
      <w:proofErr w:type="spellEnd"/>
      <w:r w:rsidR="001B2FA7" w:rsidRPr="008D27CB">
        <w:rPr>
          <w:rFonts w:eastAsiaTheme="minorEastAsia"/>
        </w:rPr>
        <w:t xml:space="preserve"> Merchant App.</w:t>
      </w:r>
      <w:r w:rsidR="008F531D">
        <w:rPr>
          <w:rFonts w:eastAsiaTheme="minorEastAsia"/>
        </w:rPr>
        <w:t xml:space="preserve"> </w:t>
      </w:r>
    </w:p>
    <w:p w14:paraId="6D2B6DB6" w14:textId="77777777" w:rsidR="001B2FA7" w:rsidRPr="008D27CB" w:rsidRDefault="001B2FA7" w:rsidP="00026D95">
      <w:pPr>
        <w:pStyle w:val="BodyTextMain"/>
        <w:rPr>
          <w:rFonts w:eastAsiaTheme="minorEastAsia"/>
        </w:rPr>
      </w:pPr>
    </w:p>
    <w:p w14:paraId="361CC193" w14:textId="7E6255D0" w:rsidR="001B2FA7" w:rsidRPr="008D27CB" w:rsidRDefault="00981366" w:rsidP="00026D95">
      <w:pPr>
        <w:pStyle w:val="BodyTextMain"/>
        <w:rPr>
          <w:rFonts w:eastAsiaTheme="minorEastAsia"/>
        </w:rPr>
      </w:pPr>
      <w:r w:rsidRPr="008D27CB">
        <w:rPr>
          <w:rFonts w:eastAsiaTheme="minorEastAsia"/>
        </w:rPr>
        <w:t>By</w:t>
      </w:r>
      <w:r w:rsidR="001B2FA7" w:rsidRPr="008D27CB">
        <w:rPr>
          <w:rFonts w:eastAsiaTheme="minorEastAsia"/>
        </w:rPr>
        <w:t xml:space="preserve"> November 2017, </w:t>
      </w:r>
      <w:proofErr w:type="spellStart"/>
      <w:r w:rsidRPr="008D27CB">
        <w:rPr>
          <w:rFonts w:eastAsiaTheme="minorEastAsia"/>
        </w:rPr>
        <w:t>ClickDishes</w:t>
      </w:r>
      <w:proofErr w:type="spellEnd"/>
      <w:r w:rsidRPr="008D27CB">
        <w:rPr>
          <w:rFonts w:eastAsiaTheme="minorEastAsia"/>
        </w:rPr>
        <w:t xml:space="preserve"> had been in operation for four months and had signed</w:t>
      </w:r>
      <w:r w:rsidR="001B2FA7" w:rsidRPr="008D27CB">
        <w:rPr>
          <w:rFonts w:eastAsiaTheme="minorEastAsia"/>
        </w:rPr>
        <w:t xml:space="preserve"> more than 3</w:t>
      </w:r>
      <w:r w:rsidR="005F1063" w:rsidRPr="008D27CB">
        <w:rPr>
          <w:rFonts w:eastAsiaTheme="minorEastAsia"/>
        </w:rPr>
        <w:t>50</w:t>
      </w:r>
      <w:r w:rsidR="001B2FA7" w:rsidRPr="008D27CB">
        <w:rPr>
          <w:rFonts w:eastAsiaTheme="minorEastAsia"/>
        </w:rPr>
        <w:t xml:space="preserve"> restaurant partners in Vancouver, Edmonton</w:t>
      </w:r>
      <w:r w:rsidRPr="008D27CB">
        <w:rPr>
          <w:rFonts w:eastAsiaTheme="minorEastAsia"/>
        </w:rPr>
        <w:t>,</w:t>
      </w:r>
      <w:r w:rsidR="001B2FA7" w:rsidRPr="008D27CB">
        <w:rPr>
          <w:rFonts w:eastAsiaTheme="minorEastAsia"/>
        </w:rPr>
        <w:t xml:space="preserve"> and Calgary</w:t>
      </w:r>
      <w:r w:rsidRPr="008D27CB">
        <w:rPr>
          <w:rFonts w:eastAsiaTheme="minorEastAsia"/>
        </w:rPr>
        <w:t xml:space="preserve"> in that time</w:t>
      </w:r>
      <w:r w:rsidR="001B2FA7" w:rsidRPr="008D27CB">
        <w:rPr>
          <w:rFonts w:eastAsiaTheme="minorEastAsia"/>
        </w:rPr>
        <w:t>. The</w:t>
      </w:r>
      <w:r w:rsidRPr="008D27CB">
        <w:rPr>
          <w:rFonts w:eastAsiaTheme="minorEastAsia"/>
        </w:rPr>
        <w:t>se</w:t>
      </w:r>
      <w:r w:rsidR="001B2FA7" w:rsidRPr="008D27CB">
        <w:rPr>
          <w:rFonts w:eastAsiaTheme="minorEastAsia"/>
        </w:rPr>
        <w:t xml:space="preserve"> partners include</w:t>
      </w:r>
      <w:r w:rsidRPr="008D27CB">
        <w:rPr>
          <w:rFonts w:eastAsiaTheme="minorEastAsia"/>
        </w:rPr>
        <w:t>d</w:t>
      </w:r>
      <w:r w:rsidR="001B2FA7" w:rsidRPr="008D27CB">
        <w:rPr>
          <w:rFonts w:eastAsiaTheme="minorEastAsia"/>
        </w:rPr>
        <w:t xml:space="preserve"> brands such as Fat Burger, Burger Priest, and La Prep. The firm ha</w:t>
      </w:r>
      <w:r w:rsidRPr="008D27CB">
        <w:rPr>
          <w:rFonts w:eastAsiaTheme="minorEastAsia"/>
        </w:rPr>
        <w:t>d</w:t>
      </w:r>
      <w:r w:rsidR="001B2FA7" w:rsidRPr="008D27CB">
        <w:rPr>
          <w:rFonts w:eastAsiaTheme="minorEastAsia"/>
        </w:rPr>
        <w:t xml:space="preserve"> also partnered with </w:t>
      </w:r>
      <w:r w:rsidRPr="008D27CB">
        <w:rPr>
          <w:rFonts w:eastAsiaTheme="minorEastAsia"/>
        </w:rPr>
        <w:t>large</w:t>
      </w:r>
      <w:r w:rsidR="001B2FA7" w:rsidRPr="008D27CB">
        <w:rPr>
          <w:rFonts w:eastAsiaTheme="minorEastAsia"/>
        </w:rPr>
        <w:t xml:space="preserve"> commercial real estate companies to have</w:t>
      </w:r>
      <w:r w:rsidRPr="008D27CB">
        <w:rPr>
          <w:rFonts w:eastAsiaTheme="minorEastAsia"/>
        </w:rPr>
        <w:t xml:space="preserve"> its</w:t>
      </w:r>
      <w:r w:rsidR="001B2FA7" w:rsidRPr="008D27CB">
        <w:rPr>
          <w:rFonts w:eastAsiaTheme="minorEastAsia"/>
        </w:rPr>
        <w:t xml:space="preserve"> app used in their food court</w:t>
      </w:r>
      <w:r w:rsidRPr="008D27CB">
        <w:rPr>
          <w:rFonts w:eastAsiaTheme="minorEastAsia"/>
        </w:rPr>
        <w:t>s</w:t>
      </w:r>
      <w:r w:rsidR="001B2FA7" w:rsidRPr="008D27CB">
        <w:rPr>
          <w:rFonts w:eastAsiaTheme="minorEastAsia"/>
        </w:rPr>
        <w:t>.</w:t>
      </w:r>
      <w:r w:rsidR="008F531D">
        <w:rPr>
          <w:rFonts w:eastAsiaTheme="minorEastAsia"/>
        </w:rPr>
        <w:t xml:space="preserve"> </w:t>
      </w:r>
      <w:r w:rsidRPr="008D27CB">
        <w:rPr>
          <w:rFonts w:eastAsiaTheme="minorEastAsia"/>
        </w:rPr>
        <w:t xml:space="preserve">However, </w:t>
      </w:r>
      <w:r w:rsidR="001B2FA7" w:rsidRPr="008D27CB">
        <w:rPr>
          <w:rFonts w:eastAsiaTheme="minorEastAsia"/>
        </w:rPr>
        <w:t>challenge</w:t>
      </w:r>
      <w:r w:rsidRPr="008D27CB">
        <w:rPr>
          <w:rFonts w:eastAsiaTheme="minorEastAsia"/>
        </w:rPr>
        <w:t>s remained</w:t>
      </w:r>
      <w:r w:rsidR="001B2FA7" w:rsidRPr="008D27CB">
        <w:rPr>
          <w:rFonts w:eastAsiaTheme="minorEastAsia"/>
        </w:rPr>
        <w:t xml:space="preserve"> for </w:t>
      </w:r>
      <w:proofErr w:type="spellStart"/>
      <w:r w:rsidR="001B2FA7" w:rsidRPr="008D27CB">
        <w:rPr>
          <w:rFonts w:eastAsiaTheme="minorEastAsia"/>
        </w:rPr>
        <w:t>ClickDishes</w:t>
      </w:r>
      <w:proofErr w:type="spellEnd"/>
      <w:r w:rsidRPr="008D27CB">
        <w:rPr>
          <w:rFonts w:eastAsiaTheme="minorEastAsia"/>
        </w:rPr>
        <w:t>: the company had</w:t>
      </w:r>
      <w:r w:rsidR="001B2FA7" w:rsidRPr="008D27CB">
        <w:rPr>
          <w:rFonts w:eastAsiaTheme="minorEastAsia"/>
        </w:rPr>
        <w:t xml:space="preserve"> limited capital compared to </w:t>
      </w:r>
      <w:r w:rsidRPr="008D27CB">
        <w:rPr>
          <w:rFonts w:eastAsiaTheme="minorEastAsia"/>
        </w:rPr>
        <w:t>most</w:t>
      </w:r>
      <w:r w:rsidR="001B2FA7" w:rsidRPr="008D27CB">
        <w:rPr>
          <w:rFonts w:eastAsiaTheme="minorEastAsia"/>
        </w:rPr>
        <w:t xml:space="preserve"> established technology firms</w:t>
      </w:r>
      <w:r w:rsidRPr="008D27CB">
        <w:rPr>
          <w:rFonts w:eastAsiaTheme="minorEastAsia"/>
        </w:rPr>
        <w:t>, and</w:t>
      </w:r>
      <w:r w:rsidR="001B2FA7" w:rsidRPr="008D27CB">
        <w:rPr>
          <w:rFonts w:eastAsiaTheme="minorEastAsia"/>
        </w:rPr>
        <w:t xml:space="preserve"> </w:t>
      </w:r>
      <w:r w:rsidRPr="008D27CB">
        <w:rPr>
          <w:rFonts w:eastAsiaTheme="minorEastAsia"/>
        </w:rPr>
        <w:t>as</w:t>
      </w:r>
      <w:r w:rsidR="001B2FA7" w:rsidRPr="008D27CB">
        <w:rPr>
          <w:rFonts w:eastAsiaTheme="minorEastAsia"/>
        </w:rPr>
        <w:t xml:space="preserve"> a start</w:t>
      </w:r>
      <w:r w:rsidRPr="008D27CB">
        <w:rPr>
          <w:rFonts w:eastAsiaTheme="minorEastAsia"/>
        </w:rPr>
        <w:t>-</w:t>
      </w:r>
      <w:r w:rsidR="001B2FA7" w:rsidRPr="008D27CB">
        <w:rPr>
          <w:rFonts w:eastAsiaTheme="minorEastAsia"/>
        </w:rPr>
        <w:t xml:space="preserve">up, </w:t>
      </w:r>
      <w:r w:rsidR="005F1063" w:rsidRPr="008D27CB">
        <w:rPr>
          <w:rFonts w:eastAsiaTheme="minorEastAsia"/>
        </w:rPr>
        <w:t>it</w:t>
      </w:r>
      <w:r w:rsidR="00BA7990" w:rsidRPr="008D27CB">
        <w:rPr>
          <w:rFonts w:eastAsiaTheme="minorEastAsia"/>
        </w:rPr>
        <w:t xml:space="preserve"> also</w:t>
      </w:r>
      <w:r w:rsidR="005F1063" w:rsidRPr="008D27CB">
        <w:rPr>
          <w:rFonts w:eastAsiaTheme="minorEastAsia"/>
        </w:rPr>
        <w:t xml:space="preserve"> </w:t>
      </w:r>
      <w:r w:rsidRPr="008D27CB">
        <w:rPr>
          <w:rFonts w:eastAsiaTheme="minorEastAsia"/>
        </w:rPr>
        <w:t>lacked reputation and brand awareness</w:t>
      </w:r>
      <w:r w:rsidR="005F1063" w:rsidRPr="008D27CB">
        <w:rPr>
          <w:rFonts w:eastAsiaTheme="minorEastAsia"/>
        </w:rPr>
        <w:t xml:space="preserve"> </w:t>
      </w:r>
      <w:r w:rsidR="00BA7990" w:rsidRPr="008D27CB">
        <w:rPr>
          <w:rFonts w:eastAsiaTheme="minorEastAsia"/>
        </w:rPr>
        <w:t>in the food service industry.</w:t>
      </w:r>
    </w:p>
    <w:p w14:paraId="356B2D41" w14:textId="4C8EF650" w:rsidR="001B2FA7" w:rsidRPr="00546143" w:rsidRDefault="001B2FA7" w:rsidP="006F1D2C">
      <w:pPr>
        <w:pStyle w:val="BodyTextMain"/>
      </w:pPr>
    </w:p>
    <w:p w14:paraId="46D23AFB" w14:textId="77777777" w:rsidR="00D2150A" w:rsidRPr="008D27CB" w:rsidRDefault="00D2150A" w:rsidP="00ED4036">
      <w:pPr>
        <w:pStyle w:val="BodyTextMain"/>
      </w:pPr>
    </w:p>
    <w:p w14:paraId="59B02247" w14:textId="14ACDE20" w:rsidR="006F1D2C" w:rsidRPr="008D27CB" w:rsidRDefault="006F1D2C" w:rsidP="00F26201">
      <w:pPr>
        <w:pStyle w:val="Casehead2"/>
      </w:pPr>
      <w:r w:rsidRPr="008D27CB">
        <w:t>Business Model</w:t>
      </w:r>
    </w:p>
    <w:p w14:paraId="551FEF15" w14:textId="77777777" w:rsidR="006F1D2C" w:rsidRPr="008D27CB" w:rsidRDefault="006F1D2C" w:rsidP="006F1D2C">
      <w:pPr>
        <w:pStyle w:val="BodyTextMain"/>
      </w:pPr>
    </w:p>
    <w:p w14:paraId="4523EB0B" w14:textId="05FC6684" w:rsidR="006F1D2C" w:rsidRPr="008D27CB" w:rsidRDefault="006F1D2C" w:rsidP="006F1D2C">
      <w:pPr>
        <w:pStyle w:val="BodyTextMain"/>
      </w:pPr>
      <w:proofErr w:type="spellStart"/>
      <w:r w:rsidRPr="008D27CB">
        <w:t>ClickDishes</w:t>
      </w:r>
      <w:proofErr w:type="spellEnd"/>
      <w:r w:rsidRPr="008D27CB">
        <w:t xml:space="preserve"> had structured its revenue to come from three main streams: commission, fees, and subscriptions. The </w:t>
      </w:r>
      <w:r w:rsidR="00665298" w:rsidRPr="008D27CB">
        <w:t xml:space="preserve">company’s </w:t>
      </w:r>
      <w:proofErr w:type="spellStart"/>
      <w:r w:rsidRPr="008D27CB">
        <w:t>Grab&amp;Go</w:t>
      </w:r>
      <w:proofErr w:type="spellEnd"/>
      <w:r w:rsidRPr="008D27CB">
        <w:t xml:space="preserve"> </w:t>
      </w:r>
      <w:r w:rsidR="00665298" w:rsidRPr="008D27CB">
        <w:t xml:space="preserve">service </w:t>
      </w:r>
      <w:r w:rsidRPr="008D27CB">
        <w:t>worked completely off commission</w:t>
      </w:r>
      <w:r w:rsidR="00665298" w:rsidRPr="008D27CB">
        <w:t>;</w:t>
      </w:r>
      <w:r w:rsidRPr="008D27CB">
        <w:t xml:space="preserve"> </w:t>
      </w:r>
      <w:proofErr w:type="spellStart"/>
      <w:r w:rsidRPr="008D27CB">
        <w:t>ClickDishes</w:t>
      </w:r>
      <w:proofErr w:type="spellEnd"/>
      <w:r w:rsidRPr="008D27CB">
        <w:t xml:space="preserve"> collected a small commission from each restaurant on the cost of goods sold through the platform. This model was far less expensive than substitute services. </w:t>
      </w:r>
      <w:r w:rsidR="00665298" w:rsidRPr="008D27CB">
        <w:t>Contrastingly, t</w:t>
      </w:r>
      <w:r w:rsidRPr="008D27CB">
        <w:t xml:space="preserve">he Dine-In function worked on a fee structure where the restaurant was charged a dollar amount for each table processed, regardless of the value of the transactions at that table. For restaurants that </w:t>
      </w:r>
      <w:r w:rsidR="00665298" w:rsidRPr="008D27CB">
        <w:t>registered</w:t>
      </w:r>
      <w:r w:rsidRPr="008D27CB">
        <w:t xml:space="preserve"> a large volume of transactions </w:t>
      </w:r>
      <w:r w:rsidR="00665298" w:rsidRPr="008D27CB">
        <w:t>through</w:t>
      </w:r>
      <w:r w:rsidRPr="008D27CB">
        <w:t xml:space="preserve"> the </w:t>
      </w:r>
      <w:proofErr w:type="spellStart"/>
      <w:r w:rsidRPr="008D27CB">
        <w:t>ClickDishes</w:t>
      </w:r>
      <w:proofErr w:type="spellEnd"/>
      <w:r w:rsidRPr="008D27CB">
        <w:t xml:space="preserve"> app, there were several subscription options that allowed for a larger number of transactions for a flat monthly fee (not unlike upgrading a chequing account to </w:t>
      </w:r>
      <w:r w:rsidR="00665298" w:rsidRPr="008D27CB">
        <w:t>allow</w:t>
      </w:r>
      <w:r w:rsidRPr="008D27CB">
        <w:t xml:space="preserve"> a greater number of transactions </w:t>
      </w:r>
      <w:r w:rsidR="00665298" w:rsidRPr="008D27CB">
        <w:t>each</w:t>
      </w:r>
      <w:r w:rsidRPr="008D27CB">
        <w:t xml:space="preserve"> month without incurring additional bank fees). </w:t>
      </w:r>
    </w:p>
    <w:p w14:paraId="0DFCECDA" w14:textId="77777777" w:rsidR="006F1D2C" w:rsidRPr="008D27CB" w:rsidRDefault="006F1D2C" w:rsidP="006F1D2C">
      <w:pPr>
        <w:pStyle w:val="BodyTextMain"/>
      </w:pPr>
    </w:p>
    <w:p w14:paraId="3B17113B" w14:textId="1D82FED5" w:rsidR="006F1D2C" w:rsidRPr="008D27CB" w:rsidRDefault="006F1D2C" w:rsidP="006F1D2C">
      <w:pPr>
        <w:pStyle w:val="BodyTextMain"/>
      </w:pPr>
      <w:r w:rsidRPr="008D27CB">
        <w:lastRenderedPageBreak/>
        <w:t xml:space="preserve">Importantly, </w:t>
      </w:r>
      <w:proofErr w:type="spellStart"/>
      <w:r w:rsidRPr="008D27CB">
        <w:rPr>
          <w:shd w:val="clear" w:color="auto" w:fill="FFFFFF"/>
        </w:rPr>
        <w:t>ClickDishes</w:t>
      </w:r>
      <w:proofErr w:type="spellEnd"/>
      <w:r w:rsidRPr="008D27CB">
        <w:rPr>
          <w:shd w:val="clear" w:color="auto" w:fill="FFFFFF"/>
        </w:rPr>
        <w:t xml:space="preserve"> was completely free for consumers</w:t>
      </w:r>
      <w:r w:rsidR="0099525E">
        <w:rPr>
          <w:shd w:val="clear" w:color="auto" w:fill="FFFFFF"/>
        </w:rPr>
        <w:t>;</w:t>
      </w:r>
      <w:r w:rsidRPr="008D27CB">
        <w:rPr>
          <w:shd w:val="clear" w:color="auto" w:fill="FFFFFF"/>
        </w:rPr>
        <w:t xml:space="preserve"> there were no add-on fees or additional costs for them to order through the app.</w:t>
      </w:r>
      <w:r w:rsidRPr="008D27CB">
        <w:t xml:space="preserve"> Because consumers paid for their food through the app, the restaurant did not immediately receive compensation for the goods sold. Instead, </w:t>
      </w:r>
      <w:proofErr w:type="spellStart"/>
      <w:r w:rsidRPr="008D27CB">
        <w:t>ClickDishes</w:t>
      </w:r>
      <w:proofErr w:type="spellEnd"/>
      <w:r w:rsidRPr="008D27CB">
        <w:t xml:space="preserve"> accepted payment on the restaurant’s behalf. </w:t>
      </w:r>
      <w:proofErr w:type="spellStart"/>
      <w:r w:rsidRPr="008D27CB">
        <w:t>ClickDishes</w:t>
      </w:r>
      <w:proofErr w:type="spellEnd"/>
      <w:r w:rsidRPr="008D27CB">
        <w:t xml:space="preserve"> would then take the appropriate fees from that amount and pay the restaurant the balance on a weekly or bi-weekly basis, depending on the restaurant’s preferences. This system was widely used and accepted in the food app industry. </w:t>
      </w:r>
    </w:p>
    <w:p w14:paraId="71C0384E" w14:textId="77777777" w:rsidR="0002382B" w:rsidRPr="008D27CB" w:rsidRDefault="0002382B" w:rsidP="00ED4036">
      <w:pPr>
        <w:pStyle w:val="BodyTextMain"/>
      </w:pPr>
    </w:p>
    <w:p w14:paraId="32452880" w14:textId="77777777" w:rsidR="006F1D2C" w:rsidRPr="00546143" w:rsidRDefault="006F1D2C" w:rsidP="00ED4036">
      <w:pPr>
        <w:pStyle w:val="BodyTextMain"/>
      </w:pPr>
    </w:p>
    <w:p w14:paraId="14CBAD26" w14:textId="763D0550" w:rsidR="0002382B" w:rsidRPr="008D27CB" w:rsidRDefault="0002382B" w:rsidP="00F26201">
      <w:pPr>
        <w:pStyle w:val="Casehead2"/>
      </w:pPr>
      <w:r w:rsidRPr="008D27CB">
        <w:t>Response to Market Opportunities in the Restaurant Industry</w:t>
      </w:r>
    </w:p>
    <w:p w14:paraId="74D1FA83" w14:textId="77777777" w:rsidR="0002382B" w:rsidRPr="00546143" w:rsidRDefault="0002382B" w:rsidP="006F1D2C">
      <w:pPr>
        <w:pStyle w:val="BodyTextMain"/>
      </w:pPr>
    </w:p>
    <w:p w14:paraId="222F7212" w14:textId="7D3C36F8" w:rsidR="006F1D2C" w:rsidRPr="00546143" w:rsidRDefault="006F1D2C" w:rsidP="006F1D2C">
      <w:pPr>
        <w:pStyle w:val="BodyTextMain"/>
      </w:pPr>
      <w:r w:rsidRPr="00546143">
        <w:t xml:space="preserve">Wait times were a constant concern for those ordering food or dining in restaurants. For many busy students and professionals, the time required to order and receive food was enough to make them avoid going out for meals entirely, especially in busy downtown areas. </w:t>
      </w:r>
      <w:r w:rsidR="00653DDA" w:rsidRPr="00546143">
        <w:t>According to a</w:t>
      </w:r>
      <w:r w:rsidR="002E72BE" w:rsidRPr="00546143">
        <w:t xml:space="preserve"> 2014</w:t>
      </w:r>
      <w:r w:rsidR="00653DDA" w:rsidRPr="00546143">
        <w:t xml:space="preserve"> Consumer Reports survey of American customers, t</w:t>
      </w:r>
      <w:r w:rsidRPr="00546143">
        <w:t>he most common restaurant complaints</w:t>
      </w:r>
      <w:r w:rsidR="00653DDA" w:rsidRPr="00546143">
        <w:t xml:space="preserve"> included poor customer service</w:t>
      </w:r>
      <w:r w:rsidR="00673D03" w:rsidRPr="00546143">
        <w:t xml:space="preserve"> (impolite or condescending service</w:t>
      </w:r>
      <w:r w:rsidR="0099525E">
        <w:t xml:space="preserve">, </w:t>
      </w:r>
      <w:r w:rsidR="00653DDA" w:rsidRPr="00546143">
        <w:t>72 per cent)</w:t>
      </w:r>
      <w:r w:rsidR="00673D03" w:rsidRPr="00546143">
        <w:t xml:space="preserve"> and</w:t>
      </w:r>
      <w:r w:rsidR="00653DDA" w:rsidRPr="00546143">
        <w:t xml:space="preserve"> inaccurate orders (</w:t>
      </w:r>
      <w:r w:rsidR="00673D03" w:rsidRPr="00546143">
        <w:t xml:space="preserve">62 </w:t>
      </w:r>
      <w:r w:rsidR="00653DDA" w:rsidRPr="00546143">
        <w:t>per cent</w:t>
      </w:r>
      <w:r w:rsidR="008D27CB" w:rsidRPr="00546143">
        <w:t>)</w:t>
      </w:r>
      <w:r w:rsidR="00653DDA" w:rsidRPr="00546143">
        <w:t>.</w:t>
      </w:r>
      <w:r w:rsidRPr="008D27CB">
        <w:rPr>
          <w:rStyle w:val="FootnoteReference"/>
        </w:rPr>
        <w:footnoteReference w:id="4"/>
      </w:r>
    </w:p>
    <w:p w14:paraId="1137DF87" w14:textId="77777777" w:rsidR="006F1D2C" w:rsidRPr="00546143" w:rsidRDefault="006F1D2C" w:rsidP="006F1D2C">
      <w:pPr>
        <w:pStyle w:val="BodyTextMain"/>
      </w:pPr>
    </w:p>
    <w:p w14:paraId="2787005B" w14:textId="7F646C5B" w:rsidR="006F1D2C" w:rsidRPr="00546143" w:rsidRDefault="006F1D2C" w:rsidP="006F1D2C">
      <w:pPr>
        <w:pStyle w:val="BodyTextMain"/>
      </w:pPr>
      <w:r w:rsidRPr="00546143">
        <w:t>Due to market saturation, the restaurant industry was highly competitive and fast paced. Restaurants faced mounting pressure to satisfy consumer demands and increasingly high standards, all while navigating high labour and food costs</w:t>
      </w:r>
      <w:r w:rsidR="0099525E">
        <w:t>.</w:t>
      </w:r>
      <w:r w:rsidRPr="00546143">
        <w:t xml:space="preserve"> </w:t>
      </w:r>
      <w:r w:rsidR="0099525E">
        <w:t>T</w:t>
      </w:r>
      <w:r w:rsidRPr="00546143">
        <w:t>heir additional concerns included menus (presentation, updates, and menu sizing), marketing, hiring</w:t>
      </w:r>
      <w:r w:rsidR="002E72BE" w:rsidRPr="00546143">
        <w:t xml:space="preserve"> and </w:t>
      </w:r>
      <w:r w:rsidRPr="00546143">
        <w:t xml:space="preserve">training staff, and general management. These pressures often led to inefficient operations management within restaurants. </w:t>
      </w:r>
    </w:p>
    <w:p w14:paraId="3C329DD8" w14:textId="77777777" w:rsidR="006F1D2C" w:rsidRPr="00546143" w:rsidRDefault="006F1D2C" w:rsidP="00ED4036">
      <w:pPr>
        <w:pStyle w:val="BodyTextMain"/>
      </w:pPr>
    </w:p>
    <w:p w14:paraId="7CDE34CB" w14:textId="78FE3E74" w:rsidR="006F1D2C" w:rsidRPr="00546143" w:rsidRDefault="006F1D2C" w:rsidP="006F1D2C">
      <w:pPr>
        <w:pStyle w:val="BodyTextMain"/>
      </w:pPr>
      <w:proofErr w:type="spellStart"/>
      <w:r w:rsidRPr="00546143">
        <w:t>ClickDishes</w:t>
      </w:r>
      <w:proofErr w:type="spellEnd"/>
      <w:r w:rsidRPr="00546143">
        <w:t xml:space="preserve"> considered the many challenges facing restaurant managers to be market opportunities. To address these challenges, </w:t>
      </w:r>
      <w:proofErr w:type="spellStart"/>
      <w:r w:rsidRPr="00546143">
        <w:t>ClickDishes</w:t>
      </w:r>
      <w:proofErr w:type="spellEnd"/>
      <w:r w:rsidRPr="00546143">
        <w:t xml:space="preserve"> developed two </w:t>
      </w:r>
      <w:r w:rsidR="002E72BE" w:rsidRPr="00546143">
        <w:t xml:space="preserve">services </w:t>
      </w:r>
      <w:r w:rsidRPr="00546143">
        <w:t xml:space="preserve">within its app: </w:t>
      </w:r>
      <w:proofErr w:type="spellStart"/>
      <w:r w:rsidRPr="00546143">
        <w:t>Grab&amp;Go</w:t>
      </w:r>
      <w:proofErr w:type="spellEnd"/>
      <w:r w:rsidRPr="00546143">
        <w:t xml:space="preserve"> and Dine-In. </w:t>
      </w:r>
    </w:p>
    <w:p w14:paraId="739C3AF7" w14:textId="77777777" w:rsidR="006F1D2C" w:rsidRPr="008D27CB" w:rsidRDefault="006F1D2C" w:rsidP="006F1D2C">
      <w:pPr>
        <w:pStyle w:val="BodyTextMain"/>
        <w:rPr>
          <w:b/>
          <w:i/>
        </w:rPr>
      </w:pPr>
    </w:p>
    <w:p w14:paraId="1E3BB604" w14:textId="77777777" w:rsidR="002E72BE" w:rsidRPr="008D27CB" w:rsidRDefault="002E72BE" w:rsidP="006F1D2C">
      <w:pPr>
        <w:pStyle w:val="BodyTextMain"/>
        <w:rPr>
          <w:b/>
          <w:i/>
        </w:rPr>
      </w:pPr>
    </w:p>
    <w:p w14:paraId="4AE1C83A" w14:textId="77777777" w:rsidR="006F1D2C" w:rsidRPr="008D27CB" w:rsidRDefault="006F1D2C" w:rsidP="0099525E">
      <w:pPr>
        <w:pStyle w:val="Casehead3"/>
      </w:pPr>
      <w:proofErr w:type="spellStart"/>
      <w:r w:rsidRPr="008D27CB">
        <w:t>Grab&amp;Go</w:t>
      </w:r>
      <w:proofErr w:type="spellEnd"/>
    </w:p>
    <w:p w14:paraId="52CB3455" w14:textId="77777777" w:rsidR="006F1D2C" w:rsidRPr="008D27CB" w:rsidRDefault="006F1D2C" w:rsidP="00ED4036">
      <w:pPr>
        <w:pStyle w:val="BodyTextMain"/>
      </w:pPr>
    </w:p>
    <w:p w14:paraId="54A03601" w14:textId="4A9DD119" w:rsidR="006F1D2C" w:rsidRPr="008D27CB" w:rsidRDefault="006F1D2C" w:rsidP="006F1D2C">
      <w:pPr>
        <w:pStyle w:val="BodyTextMain"/>
      </w:pPr>
      <w:proofErr w:type="spellStart"/>
      <w:r w:rsidRPr="00546143">
        <w:t>Grab&amp;Go</w:t>
      </w:r>
      <w:proofErr w:type="spellEnd"/>
      <w:r w:rsidRPr="00546143">
        <w:t xml:space="preserve"> allowed users to order food from local restaurants and pre-pay online, then simply pick up their meal in an express line. In this way, long waits in lines were completely bypassed. </w:t>
      </w:r>
      <w:r w:rsidRPr="008D27CB">
        <w:t xml:space="preserve">As the simpler of </w:t>
      </w:r>
      <w:proofErr w:type="spellStart"/>
      <w:r w:rsidRPr="008D27CB">
        <w:t>ClickDishes</w:t>
      </w:r>
      <w:proofErr w:type="spellEnd"/>
      <w:r w:rsidRPr="008D27CB">
        <w:t xml:space="preserve">’ two services, </w:t>
      </w:r>
      <w:proofErr w:type="spellStart"/>
      <w:r w:rsidRPr="008D27CB">
        <w:t>Grab&amp;Go</w:t>
      </w:r>
      <w:proofErr w:type="spellEnd"/>
      <w:r w:rsidRPr="008D27CB">
        <w:t xml:space="preserve"> had several substitutes. The service was designed for people who were in rush and</w:t>
      </w:r>
      <w:r w:rsidR="0099525E">
        <w:t xml:space="preserve"> </w:t>
      </w:r>
      <w:r w:rsidRPr="008D27CB">
        <w:t xml:space="preserve">people who lived a generally busy lifestyle. </w:t>
      </w:r>
      <w:r w:rsidR="004E4926" w:rsidRPr="008D27CB">
        <w:t>It</w:t>
      </w:r>
      <w:r w:rsidRPr="008D27CB">
        <w:t xml:space="preserve"> replaced the traditional way of ordering at a quick service restaurant (i.e., approaching the restaurant ordering counter, deciding what to eat on the spot, dealing with payment, and waiting for the food to be prepared before collecting it). Instead, a customer could open the </w:t>
      </w:r>
      <w:proofErr w:type="spellStart"/>
      <w:r w:rsidRPr="008D27CB">
        <w:t>ClickDishes</w:t>
      </w:r>
      <w:proofErr w:type="spellEnd"/>
      <w:r w:rsidRPr="008D27CB">
        <w:t xml:space="preserve"> app and choose the </w:t>
      </w:r>
      <w:proofErr w:type="spellStart"/>
      <w:r w:rsidRPr="008D27CB">
        <w:t>Grab&amp;Go</w:t>
      </w:r>
      <w:proofErr w:type="spellEnd"/>
      <w:r w:rsidRPr="008D27CB">
        <w:t xml:space="preserve"> service. The app would then use the geo-positioning capability of the user’s phone to recommend partner restaurants in the vicinity. After choosing a restaurant, the user would select food items and add these choices to a “cart.” Once they were satisfied with their selection</w:t>
      </w:r>
      <w:r w:rsidR="004E4926" w:rsidRPr="008D27CB">
        <w:t>s</w:t>
      </w:r>
      <w:r w:rsidRPr="008D27CB">
        <w:t xml:space="preserve">, users could add requests or notes to their order (e.g., notes regarding allergies) and pay using a credit card attached to their </w:t>
      </w:r>
      <w:proofErr w:type="spellStart"/>
      <w:r w:rsidRPr="008D27CB">
        <w:t>ClickDishes</w:t>
      </w:r>
      <w:proofErr w:type="spellEnd"/>
      <w:r w:rsidRPr="008D27CB">
        <w:t xml:space="preserve"> account. </w:t>
      </w:r>
    </w:p>
    <w:p w14:paraId="214499EF" w14:textId="77777777" w:rsidR="006F1D2C" w:rsidRPr="008D27CB" w:rsidRDefault="006F1D2C" w:rsidP="006F1D2C">
      <w:pPr>
        <w:pStyle w:val="BodyTextMain"/>
      </w:pPr>
    </w:p>
    <w:p w14:paraId="5FD229EF" w14:textId="236B979B" w:rsidR="006F1D2C" w:rsidRPr="008D27CB" w:rsidRDefault="006F1D2C" w:rsidP="006F1D2C">
      <w:pPr>
        <w:pStyle w:val="BodyTextMain"/>
      </w:pPr>
      <w:r w:rsidRPr="008D27CB">
        <w:t xml:space="preserve">After payment for the food had been processed, </w:t>
      </w:r>
      <w:r w:rsidR="004E4926" w:rsidRPr="008D27CB">
        <w:t xml:space="preserve">the </w:t>
      </w:r>
      <w:proofErr w:type="spellStart"/>
      <w:r w:rsidR="004E4926" w:rsidRPr="008D27CB">
        <w:rPr>
          <w:rFonts w:eastAsiaTheme="minorEastAsia"/>
        </w:rPr>
        <w:t>ClickDishes</w:t>
      </w:r>
      <w:proofErr w:type="spellEnd"/>
      <w:r w:rsidR="004E4926" w:rsidRPr="008D27CB">
        <w:rPr>
          <w:rFonts w:eastAsiaTheme="minorEastAsia"/>
        </w:rPr>
        <w:t xml:space="preserve"> merchant </w:t>
      </w:r>
      <w:r w:rsidRPr="008D27CB">
        <w:t xml:space="preserve">tablet in the partner restaurant would alert staff that an order had been placed. Staff members could then choose to either accept or decline the order (with the understanding that they should only decline the order if they did not have the capacity to prepare it). After accepting the order, staff would choose a timeframe for its preparation (ranging from </w:t>
      </w:r>
      <w:r w:rsidR="0099525E">
        <w:t>5 </w:t>
      </w:r>
      <w:r w:rsidRPr="008D27CB">
        <w:t>to 20 minutes), and the app would relay this information to customers so they knew when to arrive. At this point, a receipt would be printed in the restaurant’s kitchen that would outline the order, the expected time of arrival, and the customer’s name and phone number.</w:t>
      </w:r>
    </w:p>
    <w:p w14:paraId="30FB170F" w14:textId="371D8D5E" w:rsidR="006F1D2C" w:rsidRPr="008D27CB" w:rsidRDefault="006F1D2C" w:rsidP="006F1D2C">
      <w:pPr>
        <w:pStyle w:val="BodyTextMain"/>
      </w:pPr>
      <w:r w:rsidRPr="008D27CB">
        <w:lastRenderedPageBreak/>
        <w:t xml:space="preserve">When </w:t>
      </w:r>
      <w:proofErr w:type="spellStart"/>
      <w:r w:rsidRPr="008D27CB">
        <w:t>Grab&amp;Go</w:t>
      </w:r>
      <w:proofErr w:type="spellEnd"/>
      <w:r w:rsidRPr="008D27CB">
        <w:t xml:space="preserve"> customers arrived, they could ask for their order using their name or</w:t>
      </w:r>
      <w:r w:rsidR="002C0ACC" w:rsidRPr="008D27CB">
        <w:t xml:space="preserve"> phone</w:t>
      </w:r>
      <w:r w:rsidRPr="008D27CB">
        <w:t xml:space="preserve"> number. The service was ideal for consumers that were between obligations or had strict timetables</w:t>
      </w:r>
      <w:r w:rsidR="00A242A9">
        <w:t xml:space="preserve"> because</w:t>
      </w:r>
      <w:r w:rsidRPr="008D27CB">
        <w:t xml:space="preserve"> it was extremely fast and easy to use. For restaurants, </w:t>
      </w:r>
      <w:proofErr w:type="spellStart"/>
      <w:r w:rsidRPr="008D27CB">
        <w:t>Grab&amp;Go</w:t>
      </w:r>
      <w:proofErr w:type="spellEnd"/>
      <w:r w:rsidRPr="008D27CB">
        <w:t xml:space="preserve"> allowed their staff to spend less time taking orders, provided a new platform for advertising, and</w:t>
      </w:r>
      <w:r w:rsidR="002C0ACC" w:rsidRPr="008D27CB">
        <w:t xml:space="preserve"> </w:t>
      </w:r>
      <w:r w:rsidRPr="008D27CB">
        <w:t>relieved bottlenecks that occurred during busy periods (e.g., long lines during the lunch hour).</w:t>
      </w:r>
    </w:p>
    <w:p w14:paraId="2BB06F1F" w14:textId="77777777" w:rsidR="006F1D2C" w:rsidRPr="008D27CB" w:rsidRDefault="006F1D2C" w:rsidP="006F1D2C">
      <w:pPr>
        <w:pStyle w:val="BodyTextMain"/>
      </w:pPr>
    </w:p>
    <w:p w14:paraId="2AA3B57B" w14:textId="4ECAF6AD" w:rsidR="006F1D2C" w:rsidRPr="008D27CB" w:rsidRDefault="006F1D2C" w:rsidP="006F1D2C">
      <w:pPr>
        <w:pStyle w:val="BodyTextMain"/>
      </w:pPr>
      <w:r w:rsidRPr="008D27CB">
        <w:t xml:space="preserve">Another feature that distinguished </w:t>
      </w:r>
      <w:proofErr w:type="spellStart"/>
      <w:r w:rsidRPr="008D27CB">
        <w:t>ClickDishes</w:t>
      </w:r>
      <w:proofErr w:type="spellEnd"/>
      <w:r w:rsidRPr="008D27CB">
        <w:t xml:space="preserve"> from other food-ordering apps was its unique so</w:t>
      </w:r>
      <w:r w:rsidR="00CD6DFB">
        <w:t>cial feature, “</w:t>
      </w:r>
      <w:proofErr w:type="spellStart"/>
      <w:r w:rsidR="00CD6DFB">
        <w:t>Grab&amp;Go</w:t>
      </w:r>
      <w:proofErr w:type="spellEnd"/>
      <w:r w:rsidR="00CD6DFB">
        <w:t xml:space="preserve"> +”</w:t>
      </w:r>
      <w:r w:rsidRPr="008D27CB">
        <w:t xml:space="preserve">. </w:t>
      </w:r>
      <w:proofErr w:type="spellStart"/>
      <w:r w:rsidRPr="008D27CB">
        <w:t>Grab&amp;Go</w:t>
      </w:r>
      <w:proofErr w:type="spellEnd"/>
      <w:r w:rsidRPr="008D27CB">
        <w:t xml:space="preserve"> + was an invitation function that allowed users to invite friends to place orders with them. This innovative feature not only enabled users to extend a favour to their friends or colleagues by offering to pick up food for them</w:t>
      </w:r>
      <w:r w:rsidR="00A242A9">
        <w:t xml:space="preserve">, </w:t>
      </w:r>
      <w:r w:rsidRPr="008D27CB">
        <w:t xml:space="preserve">it also brought incremental sales to restaurants. The invitations could be activated at any time during the ordering process. When the initial customer decided to order, or had already placed an order, then an invitation could be extended to </w:t>
      </w:r>
      <w:r w:rsidR="00A242A9">
        <w:t xml:space="preserve">one or more </w:t>
      </w:r>
      <w:r w:rsidRPr="008D27CB">
        <w:t xml:space="preserve">contacts </w:t>
      </w:r>
      <w:r w:rsidR="00A242A9">
        <w:t>by</w:t>
      </w:r>
      <w:r w:rsidR="00A242A9" w:rsidRPr="008D27CB">
        <w:t xml:space="preserve"> </w:t>
      </w:r>
      <w:r w:rsidRPr="008D27CB">
        <w:t xml:space="preserve">text message or through an in-app push notification. If the invitation was accepted, the invitee would then order and pay at the same restaurant. All the initial customer needed to do was to pick up the order on behalf of other invitees. </w:t>
      </w:r>
    </w:p>
    <w:p w14:paraId="6575F285" w14:textId="77777777" w:rsidR="006F1D2C" w:rsidRPr="008D27CB" w:rsidRDefault="006F1D2C" w:rsidP="006F1D2C">
      <w:pPr>
        <w:pStyle w:val="BodyTextMain"/>
      </w:pPr>
    </w:p>
    <w:p w14:paraId="78E5B30D" w14:textId="4EBF390A" w:rsidR="006F1D2C" w:rsidRPr="008D27CB" w:rsidRDefault="006F1D2C" w:rsidP="006F1D2C">
      <w:pPr>
        <w:pStyle w:val="BodyTextMain"/>
      </w:pPr>
      <w:r w:rsidRPr="008D27CB">
        <w:t xml:space="preserve">In this way, </w:t>
      </w:r>
      <w:proofErr w:type="spellStart"/>
      <w:r w:rsidRPr="008D27CB">
        <w:t>Grab&amp;Go</w:t>
      </w:r>
      <w:proofErr w:type="spellEnd"/>
      <w:r w:rsidRPr="008D27CB">
        <w:t xml:space="preserve"> + made the initial customer a kind of incidental—but ideal—delivery person of other customers’ orders. Unlike </w:t>
      </w:r>
      <w:r w:rsidR="00CC05B3" w:rsidRPr="008D27CB">
        <w:t>a designated</w:t>
      </w:r>
      <w:r w:rsidR="00A242A9">
        <w:t xml:space="preserve"> or </w:t>
      </w:r>
      <w:r w:rsidR="00CC05B3" w:rsidRPr="008D27CB">
        <w:t>regular</w:t>
      </w:r>
      <w:r w:rsidRPr="008D27CB">
        <w:t xml:space="preserve"> delivery person, the </w:t>
      </w:r>
      <w:proofErr w:type="spellStart"/>
      <w:r w:rsidRPr="008D27CB">
        <w:t>Grab&amp;Go</w:t>
      </w:r>
      <w:proofErr w:type="spellEnd"/>
      <w:r w:rsidRPr="008D27CB">
        <w:t xml:space="preserve"> + “delivery person” did not need to wait in </w:t>
      </w:r>
      <w:r w:rsidR="00CC05B3" w:rsidRPr="008D27CB">
        <w:t>an office</w:t>
      </w:r>
      <w:r w:rsidRPr="008D27CB">
        <w:t xml:space="preserve"> building’s lobby or pass through security, and knew exactly which area or desk the orders had to be delivered to, because this person also worked in the building</w:t>
      </w:r>
      <w:r w:rsidR="00CC05B3" w:rsidRPr="008D27CB">
        <w:t>. These features</w:t>
      </w:r>
      <w:r w:rsidRPr="008D27CB">
        <w:t xml:space="preserve"> ma</w:t>
      </w:r>
      <w:r w:rsidR="00CC05B3" w:rsidRPr="008D27CB">
        <w:t>de</w:t>
      </w:r>
      <w:r w:rsidRPr="008D27CB">
        <w:t xml:space="preserve"> </w:t>
      </w:r>
      <w:proofErr w:type="spellStart"/>
      <w:r w:rsidRPr="008D27CB">
        <w:t>Grab&amp;Go</w:t>
      </w:r>
      <w:proofErr w:type="spellEnd"/>
      <w:r w:rsidRPr="008D27CB">
        <w:t xml:space="preserve"> + an excellent near-distance delivery solution. </w:t>
      </w:r>
    </w:p>
    <w:p w14:paraId="1F12F8A7" w14:textId="77777777" w:rsidR="006F1D2C" w:rsidRPr="008D27CB" w:rsidRDefault="006F1D2C" w:rsidP="006F1D2C">
      <w:pPr>
        <w:pStyle w:val="BodyTextMain"/>
      </w:pPr>
    </w:p>
    <w:p w14:paraId="35D9ED1E" w14:textId="77777777" w:rsidR="006F1D2C" w:rsidRPr="008D27CB" w:rsidRDefault="006F1D2C" w:rsidP="00ED4036">
      <w:pPr>
        <w:pStyle w:val="BodyTextMain"/>
      </w:pPr>
    </w:p>
    <w:p w14:paraId="046A788F" w14:textId="77777777" w:rsidR="006F1D2C" w:rsidRPr="008D27CB" w:rsidRDefault="006F1D2C" w:rsidP="00F26201">
      <w:pPr>
        <w:pStyle w:val="Casehead3"/>
      </w:pPr>
      <w:r w:rsidRPr="008D27CB">
        <w:t>Dine-In</w:t>
      </w:r>
    </w:p>
    <w:p w14:paraId="039FC591" w14:textId="77777777" w:rsidR="006F1D2C" w:rsidRPr="008D27CB" w:rsidRDefault="006F1D2C" w:rsidP="00ED4036">
      <w:pPr>
        <w:pStyle w:val="BodyTextMain"/>
      </w:pPr>
    </w:p>
    <w:p w14:paraId="236B0752" w14:textId="07E69984" w:rsidR="006F1D2C" w:rsidRPr="00546143" w:rsidRDefault="006F1D2C" w:rsidP="006F1D2C">
      <w:pPr>
        <w:pStyle w:val="BodyTextMain"/>
      </w:pPr>
      <w:proofErr w:type="spellStart"/>
      <w:r w:rsidRPr="00546143">
        <w:t>ClickDishes</w:t>
      </w:r>
      <w:proofErr w:type="spellEnd"/>
      <w:r w:rsidRPr="00546143">
        <w:t>’ other function, Dine-In, enabled users to complete the entire in-restaurant process within the app without having to wait on a server, from placing orders to processing payment</w:t>
      </w:r>
      <w:r w:rsidR="003C0EDC" w:rsidRPr="00546143">
        <w:t>s</w:t>
      </w:r>
      <w:r w:rsidRPr="00546143">
        <w:t xml:space="preserve">, and all requests in between. Key features included group ordering in real time and splitting payment options. The intention behind Dine-In was that time traditionally spent seeking out or engaging with a server could instead be spent enjoying the dining experience and communicating with friends and family. </w:t>
      </w:r>
    </w:p>
    <w:p w14:paraId="5C049EBE" w14:textId="77777777" w:rsidR="006F1D2C" w:rsidRPr="008D27CB" w:rsidRDefault="006F1D2C" w:rsidP="006F1D2C">
      <w:pPr>
        <w:pStyle w:val="BodyTextMain"/>
      </w:pPr>
      <w:r w:rsidRPr="008D27CB">
        <w:t xml:space="preserve"> </w:t>
      </w:r>
    </w:p>
    <w:p w14:paraId="384AC394" w14:textId="6E1C9475" w:rsidR="006F1D2C" w:rsidRPr="008D27CB" w:rsidRDefault="006F1D2C" w:rsidP="006F1D2C">
      <w:pPr>
        <w:pStyle w:val="BodyTextMain"/>
      </w:pPr>
      <w:r w:rsidRPr="008D27CB">
        <w:t xml:space="preserve">Although Wang believed the </w:t>
      </w:r>
      <w:proofErr w:type="spellStart"/>
      <w:r w:rsidRPr="008D27CB">
        <w:t>Grab&amp;Go</w:t>
      </w:r>
      <w:proofErr w:type="spellEnd"/>
      <w:r w:rsidRPr="008D27CB">
        <w:t xml:space="preserve"> function to be a significant improvement over what was offered by competitors, he felt that Dine-In would truly make </w:t>
      </w:r>
      <w:proofErr w:type="spellStart"/>
      <w:r w:rsidRPr="008D27CB">
        <w:t>ClickDishes</w:t>
      </w:r>
      <w:proofErr w:type="spellEnd"/>
      <w:r w:rsidRPr="008D27CB">
        <w:t xml:space="preserve"> a game changer in the restaurant industry. </w:t>
      </w:r>
      <w:r w:rsidR="00976A54" w:rsidRPr="008D27CB">
        <w:t>Ultimately, t</w:t>
      </w:r>
      <w:r w:rsidRPr="008D27CB">
        <w:t xml:space="preserve">he function </w:t>
      </w:r>
      <w:r w:rsidR="00976A54" w:rsidRPr="008D27CB">
        <w:t>c</w:t>
      </w:r>
      <w:r w:rsidRPr="008D27CB">
        <w:t>ould supplement or replace the traditional method of ordering through a server</w:t>
      </w:r>
      <w:r w:rsidR="00976A54" w:rsidRPr="008D27CB">
        <w:t xml:space="preserve"> at a restaurant</w:t>
      </w:r>
      <w:r w:rsidRPr="008D27CB">
        <w:t xml:space="preserve">. In each group of customers, one person would elect themselves as the table’s “host,” and this host would invite the other customers to join the table. </w:t>
      </w:r>
    </w:p>
    <w:p w14:paraId="273DD577" w14:textId="77777777" w:rsidR="006F1D2C" w:rsidRPr="008D27CB" w:rsidRDefault="006F1D2C" w:rsidP="006F1D2C">
      <w:pPr>
        <w:pStyle w:val="BodyTextMain"/>
      </w:pPr>
    </w:p>
    <w:p w14:paraId="0A3301C3" w14:textId="67B46F8A" w:rsidR="006F1D2C" w:rsidRPr="00A326A2" w:rsidRDefault="006F1D2C" w:rsidP="006F1D2C">
      <w:pPr>
        <w:pStyle w:val="BodyTextMain"/>
        <w:rPr>
          <w:spacing w:val="-2"/>
          <w:kern w:val="22"/>
        </w:rPr>
      </w:pPr>
      <w:r w:rsidRPr="00A326A2">
        <w:rPr>
          <w:spacing w:val="-2"/>
          <w:kern w:val="22"/>
        </w:rPr>
        <w:t>Once everyone in a group had joined the same table, they could browse through the restaurant’s menu and select what they wanted to order. Selections would be added to an open tab that could be seen in the app, with all items sorted according to who had ordered them. After everyone had made their selection</w:t>
      </w:r>
      <w:r w:rsidR="00183069" w:rsidRPr="00A326A2">
        <w:rPr>
          <w:spacing w:val="-2"/>
          <w:kern w:val="22"/>
        </w:rPr>
        <w:t>s</w:t>
      </w:r>
      <w:r w:rsidRPr="00A326A2">
        <w:rPr>
          <w:spacing w:val="-2"/>
          <w:kern w:val="22"/>
        </w:rPr>
        <w:t>, the table’s host would send the group’s order to the kitchen. If anyone wanted to add to the tab during the meal, this process could be repeated, making the function extremely well suited to multi-course-orientated restaurants.</w:t>
      </w:r>
    </w:p>
    <w:p w14:paraId="61D74CE9" w14:textId="77777777" w:rsidR="006F1D2C" w:rsidRPr="008D27CB" w:rsidRDefault="006F1D2C" w:rsidP="006F1D2C">
      <w:pPr>
        <w:pStyle w:val="BodyTextMain"/>
      </w:pPr>
    </w:p>
    <w:p w14:paraId="1BAE73E4" w14:textId="18FC1944" w:rsidR="006F1D2C" w:rsidRPr="008D27CB" w:rsidRDefault="006F1D2C" w:rsidP="006F1D2C">
      <w:pPr>
        <w:pStyle w:val="BodyTextMain"/>
      </w:pPr>
      <w:r w:rsidRPr="008D27CB">
        <w:t xml:space="preserve">When the group was finished, the host could choose how to split the bill (e.g., everyone could pay for what they individually ordered or pay equal portions, or maybe the host would pay for everyone’s meal). After the table’s balance was cleared </w:t>
      </w:r>
      <w:r w:rsidR="00F614DC">
        <w:t>through</w:t>
      </w:r>
      <w:r w:rsidR="00F614DC" w:rsidRPr="008D27CB">
        <w:t xml:space="preserve"> </w:t>
      </w:r>
      <w:r w:rsidRPr="008D27CB">
        <w:t xml:space="preserve">the app, the group would be ready to leave. The entirety of the ordering pipeline could be monitored by restaurant staff through a “Server’s Portal” set up on the same tablet as the </w:t>
      </w:r>
      <w:proofErr w:type="spellStart"/>
      <w:r w:rsidRPr="008D27CB">
        <w:t>Grab&amp;Go</w:t>
      </w:r>
      <w:proofErr w:type="spellEnd"/>
      <w:r w:rsidRPr="008D27CB">
        <w:t xml:space="preserve"> function. This companion app let staff know if customers were using </w:t>
      </w:r>
      <w:proofErr w:type="spellStart"/>
      <w:r w:rsidRPr="008D27CB">
        <w:t>ClickDishes</w:t>
      </w:r>
      <w:proofErr w:type="spellEnd"/>
      <w:r w:rsidRPr="008D27CB">
        <w:t xml:space="preserve">, if they had ordered, and when they had paid. </w:t>
      </w:r>
    </w:p>
    <w:p w14:paraId="48BAFBEA" w14:textId="0E07F39F" w:rsidR="006F1D2C" w:rsidRPr="00A326A2" w:rsidRDefault="006F1D2C" w:rsidP="006F1D2C">
      <w:pPr>
        <w:pStyle w:val="BodyTextMain"/>
        <w:rPr>
          <w:spacing w:val="-2"/>
          <w:kern w:val="22"/>
        </w:rPr>
      </w:pPr>
      <w:r w:rsidRPr="00A326A2">
        <w:rPr>
          <w:spacing w:val="-2"/>
          <w:kern w:val="22"/>
        </w:rPr>
        <w:lastRenderedPageBreak/>
        <w:t xml:space="preserve">Depending on the needs of the individual restaurant, there was a great degree of flexibility </w:t>
      </w:r>
      <w:r w:rsidR="00694D27" w:rsidRPr="00A326A2">
        <w:rPr>
          <w:spacing w:val="-2"/>
          <w:kern w:val="22"/>
        </w:rPr>
        <w:t>regarding</w:t>
      </w:r>
      <w:r w:rsidRPr="00A326A2">
        <w:rPr>
          <w:spacing w:val="-2"/>
          <w:kern w:val="22"/>
        </w:rPr>
        <w:t xml:space="preserve"> how the app could be </w:t>
      </w:r>
      <w:r w:rsidR="00F614DC" w:rsidRPr="00A326A2">
        <w:rPr>
          <w:spacing w:val="-2"/>
          <w:kern w:val="22"/>
        </w:rPr>
        <w:t>used</w:t>
      </w:r>
      <w:r w:rsidRPr="00A326A2">
        <w:rPr>
          <w:spacing w:val="-2"/>
          <w:kern w:val="22"/>
        </w:rPr>
        <w:t xml:space="preserve">. </w:t>
      </w:r>
      <w:r w:rsidR="00694D27" w:rsidRPr="00A326A2">
        <w:rPr>
          <w:spacing w:val="-2"/>
          <w:kern w:val="22"/>
        </w:rPr>
        <w:t>Restaurants</w:t>
      </w:r>
      <w:r w:rsidRPr="00A326A2">
        <w:rPr>
          <w:spacing w:val="-2"/>
          <w:kern w:val="22"/>
        </w:rPr>
        <w:t xml:space="preserve"> that were volume oriented would likely see the platform as an opportunity to maximize the efficiency of their staff by assigning larger table sections, while speeding up table turnover by removing ordering and payment processes as bottlenecks. Other more quality-oriented restaurants would see the advantage of having serving staff spend more time helping patrons through their selections and waiting on them</w:t>
      </w:r>
      <w:r w:rsidR="00F614DC" w:rsidRPr="00A326A2">
        <w:rPr>
          <w:spacing w:val="-2"/>
          <w:kern w:val="22"/>
        </w:rPr>
        <w:t xml:space="preserve"> because</w:t>
      </w:r>
      <w:r w:rsidRPr="00A326A2">
        <w:rPr>
          <w:spacing w:val="-2"/>
          <w:kern w:val="22"/>
        </w:rPr>
        <w:t xml:space="preserve"> less time would have to be spent running to and from a point of service. </w:t>
      </w:r>
    </w:p>
    <w:p w14:paraId="485F228A" w14:textId="77777777" w:rsidR="006F1D2C" w:rsidRPr="008D27CB" w:rsidRDefault="006F1D2C" w:rsidP="006F1D2C">
      <w:pPr>
        <w:pStyle w:val="BodyTextMain"/>
      </w:pPr>
    </w:p>
    <w:p w14:paraId="04BCDC82" w14:textId="686058C4" w:rsidR="006F1D2C" w:rsidRPr="008D27CB" w:rsidRDefault="006F1D2C" w:rsidP="006F1D2C">
      <w:pPr>
        <w:pStyle w:val="BodyTextMain"/>
      </w:pPr>
      <w:r w:rsidRPr="008D27CB">
        <w:t xml:space="preserve">For customers, the benefits of Dine-In were speed, consistency, and convenience. </w:t>
      </w:r>
      <w:r w:rsidR="00673D03" w:rsidRPr="008D27CB">
        <w:t>As mentioned earlier, in the</w:t>
      </w:r>
      <w:r w:rsidR="008F531D">
        <w:t xml:space="preserve"> </w:t>
      </w:r>
      <w:r w:rsidRPr="008D27CB">
        <w:t>2014 exit study of restaurant patrons</w:t>
      </w:r>
      <w:r w:rsidR="00673D03" w:rsidRPr="00546143">
        <w:t>, slow service (51 per cent), incorrect calc</w:t>
      </w:r>
      <w:r w:rsidR="00CD6DFB">
        <w:t xml:space="preserve">ulation of bills (48 per cent) </w:t>
      </w:r>
      <w:r w:rsidR="00673D03" w:rsidRPr="00546143">
        <w:t xml:space="preserve">and feeling rushed </w:t>
      </w:r>
      <w:r w:rsidR="00F614DC" w:rsidRPr="00546143">
        <w:t xml:space="preserve">by the server </w:t>
      </w:r>
      <w:r w:rsidR="00673D03" w:rsidRPr="00546143">
        <w:t>to finish (61 per cent) were important irritants</w:t>
      </w:r>
      <w:r w:rsidRPr="008D27CB">
        <w:t>. The Dine-In function hoped to address these concerns, creating a win</w:t>
      </w:r>
      <w:r w:rsidR="00F614DC">
        <w:t>–</w:t>
      </w:r>
      <w:r w:rsidRPr="008D27CB">
        <w:t>win scenario for</w:t>
      </w:r>
      <w:r w:rsidR="00E40601" w:rsidRPr="008D27CB">
        <w:t xml:space="preserve"> both</w:t>
      </w:r>
      <w:r w:rsidRPr="008D27CB">
        <w:t xml:space="preserve"> restaurants </w:t>
      </w:r>
      <w:r w:rsidR="00E40601" w:rsidRPr="008D27CB">
        <w:t>and</w:t>
      </w:r>
      <w:r w:rsidRPr="008D27CB">
        <w:t xml:space="preserve"> patrons. </w:t>
      </w:r>
    </w:p>
    <w:p w14:paraId="5C640891" w14:textId="77777777" w:rsidR="006F1D2C" w:rsidRPr="008D27CB" w:rsidRDefault="006F1D2C" w:rsidP="006F1D2C">
      <w:pPr>
        <w:pStyle w:val="BodyTextMain"/>
      </w:pPr>
    </w:p>
    <w:p w14:paraId="04A99C5D" w14:textId="77777777" w:rsidR="006F1D2C" w:rsidRPr="008D27CB" w:rsidRDefault="006F1D2C" w:rsidP="00ED4036">
      <w:pPr>
        <w:pStyle w:val="BodyTextMain"/>
      </w:pPr>
    </w:p>
    <w:p w14:paraId="79E04EA9" w14:textId="77777777" w:rsidR="006F1D2C" w:rsidRPr="008D27CB" w:rsidRDefault="006F1D2C" w:rsidP="00F26201">
      <w:pPr>
        <w:pStyle w:val="Casehead2"/>
      </w:pPr>
      <w:r w:rsidRPr="008D27CB">
        <w:t>Competitors</w:t>
      </w:r>
    </w:p>
    <w:p w14:paraId="2D36900C" w14:textId="77777777" w:rsidR="006F1D2C" w:rsidRPr="008D27CB" w:rsidRDefault="006F1D2C" w:rsidP="00ED4036">
      <w:pPr>
        <w:pStyle w:val="BodyTextMain"/>
      </w:pPr>
    </w:p>
    <w:p w14:paraId="2140F082" w14:textId="4271535A" w:rsidR="006F1D2C" w:rsidRPr="008D27CB" w:rsidRDefault="006F1D2C" w:rsidP="006F1D2C">
      <w:pPr>
        <w:pStyle w:val="BodyTextMain"/>
      </w:pPr>
      <w:proofErr w:type="spellStart"/>
      <w:r w:rsidRPr="008D27CB">
        <w:t>ClickDishes</w:t>
      </w:r>
      <w:proofErr w:type="spellEnd"/>
      <w:r w:rsidRPr="008D27CB">
        <w:t xml:space="preserve">’ competitors were split according to </w:t>
      </w:r>
      <w:r w:rsidR="00A326A2">
        <w:t xml:space="preserve">their </w:t>
      </w:r>
      <w:r w:rsidRPr="008D27CB">
        <w:t>product offerings.</w:t>
      </w:r>
    </w:p>
    <w:p w14:paraId="6C5D181B" w14:textId="77777777" w:rsidR="00DE0F49" w:rsidRPr="008D27CB" w:rsidRDefault="00DE0F49" w:rsidP="006F1D2C">
      <w:pPr>
        <w:pStyle w:val="BodyTextMain"/>
      </w:pPr>
    </w:p>
    <w:p w14:paraId="53575E07" w14:textId="77777777" w:rsidR="006F1D2C" w:rsidRPr="008D27CB" w:rsidRDefault="006F1D2C" w:rsidP="00ED4036">
      <w:pPr>
        <w:pStyle w:val="BodyTextMain"/>
      </w:pPr>
    </w:p>
    <w:p w14:paraId="122B1330" w14:textId="77777777" w:rsidR="006F1D2C" w:rsidRPr="008D27CB" w:rsidRDefault="006F1D2C" w:rsidP="00F26201">
      <w:pPr>
        <w:pStyle w:val="Casehead3"/>
      </w:pPr>
      <w:proofErr w:type="spellStart"/>
      <w:r w:rsidRPr="008D27CB">
        <w:t>Grab&amp;Go</w:t>
      </w:r>
      <w:proofErr w:type="spellEnd"/>
    </w:p>
    <w:p w14:paraId="198BE34B" w14:textId="77777777" w:rsidR="006F1D2C" w:rsidRPr="008D27CB" w:rsidRDefault="006F1D2C" w:rsidP="00ED4036">
      <w:pPr>
        <w:pStyle w:val="BodyTextMain"/>
      </w:pPr>
    </w:p>
    <w:p w14:paraId="269B7955" w14:textId="73C826C4" w:rsidR="006F1D2C" w:rsidRPr="008D27CB" w:rsidRDefault="006F1D2C" w:rsidP="006F1D2C">
      <w:pPr>
        <w:pStyle w:val="BodyTextMain"/>
      </w:pPr>
      <w:r w:rsidRPr="008D27CB">
        <w:t xml:space="preserve">The main competition for the </w:t>
      </w:r>
      <w:proofErr w:type="spellStart"/>
      <w:r w:rsidRPr="008D27CB">
        <w:t>Grab&amp;Go</w:t>
      </w:r>
      <w:proofErr w:type="spellEnd"/>
      <w:r w:rsidRPr="008D27CB">
        <w:t xml:space="preserve"> function was </w:t>
      </w:r>
      <w:proofErr w:type="spellStart"/>
      <w:r w:rsidRPr="008D27CB">
        <w:t>Grabb</w:t>
      </w:r>
      <w:proofErr w:type="spellEnd"/>
      <w:r w:rsidRPr="008D27CB">
        <w:t xml:space="preserve">, an app providing </w:t>
      </w:r>
      <w:r w:rsidR="00A326A2">
        <w:t>online ordering</w:t>
      </w:r>
      <w:r w:rsidR="006D1499" w:rsidRPr="008D27CB">
        <w:t>,</w:t>
      </w:r>
      <w:r w:rsidRPr="008D27CB">
        <w:t xml:space="preserve"> launched in Toronto in 2014. </w:t>
      </w:r>
      <w:proofErr w:type="spellStart"/>
      <w:r w:rsidRPr="008D27CB">
        <w:t>Grabb</w:t>
      </w:r>
      <w:proofErr w:type="spellEnd"/>
      <w:r w:rsidRPr="008D27CB">
        <w:t xml:space="preserve"> only targeted the Toronto market, whereas </w:t>
      </w:r>
      <w:proofErr w:type="spellStart"/>
      <w:r w:rsidRPr="008D27CB">
        <w:t>ClickDishes</w:t>
      </w:r>
      <w:proofErr w:type="spellEnd"/>
      <w:r w:rsidRPr="008D27CB">
        <w:t xml:space="preserve"> had a larger target market comprising several major cities in North America</w:t>
      </w:r>
      <w:r w:rsidR="006D1499" w:rsidRPr="008D27CB">
        <w:t xml:space="preserve"> (</w:t>
      </w:r>
      <w:r w:rsidRPr="008D27CB">
        <w:t xml:space="preserve">which </w:t>
      </w:r>
      <w:proofErr w:type="spellStart"/>
      <w:r w:rsidR="006D1499" w:rsidRPr="008D27CB">
        <w:t>ClickDishes</w:t>
      </w:r>
      <w:proofErr w:type="spellEnd"/>
      <w:r w:rsidRPr="008D27CB">
        <w:t xml:space="preserve"> hoped would generate greater market share and growth opportunities</w:t>
      </w:r>
      <w:r w:rsidR="006D1499" w:rsidRPr="008D27CB">
        <w:t>)</w:t>
      </w:r>
      <w:r w:rsidRPr="008D27CB">
        <w:t>.</w:t>
      </w:r>
    </w:p>
    <w:p w14:paraId="358A777D" w14:textId="77777777" w:rsidR="006F1D2C" w:rsidRPr="008D27CB" w:rsidRDefault="006F1D2C" w:rsidP="006F1D2C">
      <w:pPr>
        <w:pStyle w:val="BodyTextMain"/>
      </w:pPr>
    </w:p>
    <w:p w14:paraId="1C16C670" w14:textId="4A9A56CC" w:rsidR="006F1D2C" w:rsidRPr="00A326A2" w:rsidRDefault="006F1D2C" w:rsidP="006F1D2C">
      <w:pPr>
        <w:pStyle w:val="BodyTextMain"/>
        <w:rPr>
          <w:bCs/>
        </w:rPr>
      </w:pPr>
      <w:r w:rsidRPr="008D27CB">
        <w:t>Another competitor was Ritual, which</w:t>
      </w:r>
      <w:r w:rsidR="006D1499" w:rsidRPr="008D27CB">
        <w:t xml:space="preserve"> also</w:t>
      </w:r>
      <w:r w:rsidRPr="008D27CB">
        <w:t xml:space="preserve"> provided a similar service</w:t>
      </w:r>
      <w:r w:rsidR="006D1499" w:rsidRPr="008D27CB">
        <w:t xml:space="preserve"> to </w:t>
      </w:r>
      <w:proofErr w:type="spellStart"/>
      <w:r w:rsidR="006D1499" w:rsidRPr="008D27CB">
        <w:t>Grab&amp;Go</w:t>
      </w:r>
      <w:proofErr w:type="spellEnd"/>
      <w:r w:rsidRPr="008D27CB">
        <w:t xml:space="preserve"> in Toronto, Chicago, and New York. Although Ritual’s app was user friendly and had a large selection of restaurants, its menus did not include images. </w:t>
      </w:r>
      <w:proofErr w:type="spellStart"/>
      <w:r w:rsidRPr="008D27CB">
        <w:t>ClickDishes</w:t>
      </w:r>
      <w:proofErr w:type="spellEnd"/>
      <w:r w:rsidRPr="008D27CB">
        <w:t>’ menu featured high-quality images, which provided users with an aesthetic visual of their orders.</w:t>
      </w:r>
      <w:r w:rsidR="004D1117" w:rsidRPr="008D27CB">
        <w:rPr>
          <w:bCs/>
        </w:rPr>
        <w:t xml:space="preserve"> The </w:t>
      </w:r>
      <w:proofErr w:type="spellStart"/>
      <w:r w:rsidR="004D1117" w:rsidRPr="008D27CB">
        <w:rPr>
          <w:bCs/>
        </w:rPr>
        <w:t>Grab&amp;Go</w:t>
      </w:r>
      <w:proofErr w:type="spellEnd"/>
      <w:r w:rsidR="004D1117" w:rsidRPr="008D27CB">
        <w:rPr>
          <w:bCs/>
        </w:rPr>
        <w:t xml:space="preserve"> + feature was still patent pending as of November 2017.</w:t>
      </w:r>
    </w:p>
    <w:p w14:paraId="30C769DD" w14:textId="77777777" w:rsidR="006F1D2C" w:rsidRPr="008D27CB" w:rsidRDefault="006F1D2C" w:rsidP="006F1D2C">
      <w:pPr>
        <w:pStyle w:val="BodyTextMain"/>
      </w:pPr>
    </w:p>
    <w:p w14:paraId="7729EBD1" w14:textId="77777777" w:rsidR="0002382B" w:rsidRPr="008D27CB" w:rsidRDefault="0002382B" w:rsidP="006F1D2C">
      <w:pPr>
        <w:pStyle w:val="BodyTextMain"/>
      </w:pPr>
    </w:p>
    <w:p w14:paraId="2A04424A" w14:textId="77777777" w:rsidR="006F1D2C" w:rsidRPr="008D27CB" w:rsidRDefault="006F1D2C" w:rsidP="00F26201">
      <w:pPr>
        <w:pStyle w:val="Casehead3"/>
      </w:pPr>
      <w:r w:rsidRPr="008D27CB">
        <w:t>Dine-In</w:t>
      </w:r>
    </w:p>
    <w:p w14:paraId="006FDDB0" w14:textId="77777777" w:rsidR="006F1D2C" w:rsidRPr="008D27CB" w:rsidRDefault="006F1D2C" w:rsidP="00ED4036">
      <w:pPr>
        <w:pStyle w:val="BodyTextMain"/>
      </w:pPr>
    </w:p>
    <w:p w14:paraId="5E986361" w14:textId="2EEA1866" w:rsidR="006F1D2C" w:rsidRPr="008D27CB" w:rsidRDefault="006F1D2C" w:rsidP="006F1D2C">
      <w:pPr>
        <w:pStyle w:val="BodyTextMain"/>
      </w:pPr>
      <w:r w:rsidRPr="008D27CB">
        <w:t>Wang knew of no direct competitors for</w:t>
      </w:r>
      <w:r w:rsidR="006D1499" w:rsidRPr="008D27CB">
        <w:t xml:space="preserve"> the</w:t>
      </w:r>
      <w:r w:rsidRPr="008D27CB">
        <w:t xml:space="preserve"> Dine-In </w:t>
      </w:r>
      <w:r w:rsidR="006D1499" w:rsidRPr="008D27CB">
        <w:t xml:space="preserve">function </w:t>
      </w:r>
      <w:r w:rsidRPr="008D27CB">
        <w:t>in North America</w:t>
      </w:r>
      <w:r w:rsidR="00C85798">
        <w:t>.</w:t>
      </w:r>
      <w:r w:rsidRPr="008D27CB">
        <w:t xml:space="preserve"> </w:t>
      </w:r>
      <w:proofErr w:type="spellStart"/>
      <w:r w:rsidRPr="008D27CB">
        <w:t>ClickDishes</w:t>
      </w:r>
      <w:proofErr w:type="spellEnd"/>
      <w:r w:rsidRPr="008D27CB">
        <w:t xml:space="preserve"> was a pioneer in offering this particular dining experience. </w:t>
      </w:r>
      <w:r w:rsidR="00C85798">
        <w:t>Wang</w:t>
      </w:r>
      <w:r w:rsidR="00C85798" w:rsidRPr="008D27CB">
        <w:t xml:space="preserve"> </w:t>
      </w:r>
      <w:r w:rsidRPr="008D27CB">
        <w:t>believed the firm’s competitive edge lay in its exclusive features of group ordering in real time and splitting payment options effortlessly.</w:t>
      </w:r>
    </w:p>
    <w:p w14:paraId="59437679" w14:textId="55A09447" w:rsidR="005F1063" w:rsidRPr="008D27CB" w:rsidRDefault="005F1063" w:rsidP="00ED4036">
      <w:pPr>
        <w:pStyle w:val="BodyTextMain"/>
      </w:pPr>
    </w:p>
    <w:p w14:paraId="0EE54BC2" w14:textId="54F8DEA6" w:rsidR="005F1063" w:rsidRPr="00A326A2" w:rsidRDefault="00527870" w:rsidP="00ED4036">
      <w:pPr>
        <w:pStyle w:val="BodyTextMain"/>
        <w:rPr>
          <w:spacing w:val="-2"/>
          <w:kern w:val="22"/>
        </w:rPr>
      </w:pPr>
      <w:r w:rsidRPr="00A326A2">
        <w:rPr>
          <w:spacing w:val="-2"/>
          <w:kern w:val="22"/>
        </w:rPr>
        <w:t xml:space="preserve">The </w:t>
      </w:r>
      <w:r w:rsidR="00C85798" w:rsidRPr="00A326A2">
        <w:rPr>
          <w:spacing w:val="-2"/>
          <w:kern w:val="22"/>
        </w:rPr>
        <w:t xml:space="preserve">X </w:t>
      </w:r>
      <w:r w:rsidRPr="00A326A2">
        <w:rPr>
          <w:spacing w:val="-2"/>
          <w:kern w:val="22"/>
        </w:rPr>
        <w:t>applications c</w:t>
      </w:r>
      <w:r w:rsidR="008E093E" w:rsidRPr="00A326A2">
        <w:rPr>
          <w:spacing w:val="-2"/>
          <w:kern w:val="22"/>
        </w:rPr>
        <w:t xml:space="preserve">ould </w:t>
      </w:r>
      <w:r w:rsidRPr="00A326A2">
        <w:rPr>
          <w:spacing w:val="-2"/>
          <w:kern w:val="22"/>
        </w:rPr>
        <w:t xml:space="preserve">not be copied easily since </w:t>
      </w:r>
      <w:r w:rsidR="008E093E" w:rsidRPr="00A326A2">
        <w:rPr>
          <w:spacing w:val="-2"/>
          <w:kern w:val="22"/>
        </w:rPr>
        <w:t>they</w:t>
      </w:r>
      <w:r w:rsidRPr="00A326A2">
        <w:rPr>
          <w:spacing w:val="-2"/>
          <w:kern w:val="22"/>
        </w:rPr>
        <w:t xml:space="preserve"> contain</w:t>
      </w:r>
      <w:r w:rsidR="008E093E" w:rsidRPr="00A326A2">
        <w:rPr>
          <w:spacing w:val="-2"/>
          <w:kern w:val="22"/>
        </w:rPr>
        <w:t>ed</w:t>
      </w:r>
      <w:r w:rsidRPr="00A326A2">
        <w:rPr>
          <w:spacing w:val="-2"/>
          <w:kern w:val="22"/>
        </w:rPr>
        <w:t xml:space="preserve"> different</w:t>
      </w:r>
      <w:r w:rsidR="008F531D" w:rsidRPr="00A326A2">
        <w:rPr>
          <w:spacing w:val="-2"/>
          <w:kern w:val="22"/>
        </w:rPr>
        <w:t xml:space="preserve"> </w:t>
      </w:r>
      <w:r w:rsidRPr="00A326A2">
        <w:rPr>
          <w:spacing w:val="-2"/>
          <w:kern w:val="22"/>
        </w:rPr>
        <w:t xml:space="preserve">components </w:t>
      </w:r>
      <w:r w:rsidR="008E093E" w:rsidRPr="00A326A2">
        <w:rPr>
          <w:spacing w:val="-2"/>
          <w:kern w:val="22"/>
        </w:rPr>
        <w:t xml:space="preserve">(e.g., the </w:t>
      </w:r>
      <w:r w:rsidRPr="00A326A2">
        <w:rPr>
          <w:spacing w:val="-2"/>
          <w:kern w:val="22"/>
        </w:rPr>
        <w:t>consumer app, merchant app, administrator</w:t>
      </w:r>
      <w:r w:rsidR="008F531D" w:rsidRPr="00A326A2">
        <w:rPr>
          <w:spacing w:val="-2"/>
          <w:kern w:val="22"/>
        </w:rPr>
        <w:t xml:space="preserve"> </w:t>
      </w:r>
      <w:r w:rsidRPr="00A326A2">
        <w:rPr>
          <w:spacing w:val="-2"/>
          <w:kern w:val="22"/>
        </w:rPr>
        <w:t xml:space="preserve">portal, </w:t>
      </w:r>
      <w:r w:rsidR="008E093E" w:rsidRPr="00A326A2">
        <w:rPr>
          <w:spacing w:val="-2"/>
          <w:kern w:val="22"/>
        </w:rPr>
        <w:t>and</w:t>
      </w:r>
      <w:r w:rsidRPr="00A326A2">
        <w:rPr>
          <w:spacing w:val="-2"/>
          <w:kern w:val="22"/>
        </w:rPr>
        <w:t xml:space="preserve"> sophisticated backend system that integrate</w:t>
      </w:r>
      <w:r w:rsidR="008E093E" w:rsidRPr="00A326A2">
        <w:rPr>
          <w:spacing w:val="-2"/>
          <w:kern w:val="22"/>
        </w:rPr>
        <w:t>d</w:t>
      </w:r>
      <w:r w:rsidRPr="00A326A2">
        <w:rPr>
          <w:spacing w:val="-2"/>
          <w:kern w:val="22"/>
        </w:rPr>
        <w:t xml:space="preserve"> the whole system</w:t>
      </w:r>
      <w:r w:rsidR="008E093E" w:rsidRPr="00A326A2">
        <w:rPr>
          <w:spacing w:val="-2"/>
          <w:kern w:val="22"/>
        </w:rPr>
        <w:t>)</w:t>
      </w:r>
      <w:r w:rsidRPr="00A326A2">
        <w:rPr>
          <w:spacing w:val="-2"/>
          <w:kern w:val="22"/>
        </w:rPr>
        <w:t xml:space="preserve">. </w:t>
      </w:r>
      <w:r w:rsidR="006D1499" w:rsidRPr="00A326A2">
        <w:rPr>
          <w:spacing w:val="-2"/>
          <w:kern w:val="22"/>
        </w:rPr>
        <w:t>Nevertheless,</w:t>
      </w:r>
      <w:r w:rsidR="005F1063" w:rsidRPr="00A326A2">
        <w:rPr>
          <w:spacing w:val="-2"/>
          <w:kern w:val="22"/>
        </w:rPr>
        <w:t xml:space="preserve"> </w:t>
      </w:r>
      <w:proofErr w:type="spellStart"/>
      <w:r w:rsidR="005F1063" w:rsidRPr="00A326A2">
        <w:rPr>
          <w:spacing w:val="-2"/>
          <w:kern w:val="22"/>
        </w:rPr>
        <w:t>ClickDishes</w:t>
      </w:r>
      <w:proofErr w:type="spellEnd"/>
      <w:r w:rsidR="005F1063" w:rsidRPr="00A326A2">
        <w:rPr>
          <w:spacing w:val="-2"/>
          <w:kern w:val="22"/>
        </w:rPr>
        <w:t xml:space="preserve"> </w:t>
      </w:r>
      <w:r w:rsidR="006D1499" w:rsidRPr="00A326A2">
        <w:rPr>
          <w:spacing w:val="-2"/>
          <w:kern w:val="22"/>
        </w:rPr>
        <w:t>w</w:t>
      </w:r>
      <w:r w:rsidR="005F1063" w:rsidRPr="00A326A2">
        <w:rPr>
          <w:spacing w:val="-2"/>
          <w:kern w:val="22"/>
        </w:rPr>
        <w:t xml:space="preserve">ould face stiff competition from </w:t>
      </w:r>
      <w:proofErr w:type="spellStart"/>
      <w:r w:rsidR="005F1063" w:rsidRPr="00A326A2">
        <w:rPr>
          <w:spacing w:val="-2"/>
          <w:kern w:val="22"/>
        </w:rPr>
        <w:t>Grabb</w:t>
      </w:r>
      <w:proofErr w:type="spellEnd"/>
      <w:r w:rsidR="005F1063" w:rsidRPr="00A326A2">
        <w:rPr>
          <w:spacing w:val="-2"/>
          <w:kern w:val="22"/>
        </w:rPr>
        <w:t xml:space="preserve"> and Ritual if they decide</w:t>
      </w:r>
      <w:r w:rsidR="006D1499" w:rsidRPr="00A326A2">
        <w:rPr>
          <w:spacing w:val="-2"/>
          <w:kern w:val="22"/>
        </w:rPr>
        <w:t>d</w:t>
      </w:r>
      <w:r w:rsidR="005F1063" w:rsidRPr="00A326A2">
        <w:rPr>
          <w:spacing w:val="-2"/>
          <w:kern w:val="22"/>
        </w:rPr>
        <w:t xml:space="preserve"> to enter Vancouver, Calgary, </w:t>
      </w:r>
      <w:r w:rsidR="006D1499" w:rsidRPr="00A326A2">
        <w:rPr>
          <w:spacing w:val="-2"/>
          <w:kern w:val="22"/>
        </w:rPr>
        <w:t>or</w:t>
      </w:r>
      <w:r w:rsidR="005F1063" w:rsidRPr="00A326A2">
        <w:rPr>
          <w:spacing w:val="-2"/>
          <w:kern w:val="22"/>
        </w:rPr>
        <w:t xml:space="preserve"> Edmonton </w:t>
      </w:r>
      <w:r w:rsidRPr="00A326A2">
        <w:rPr>
          <w:spacing w:val="-2"/>
          <w:kern w:val="22"/>
        </w:rPr>
        <w:t>with substitute applications.</w:t>
      </w:r>
      <w:r w:rsidR="005F1063" w:rsidRPr="00A326A2">
        <w:rPr>
          <w:spacing w:val="-2"/>
          <w:kern w:val="22"/>
        </w:rPr>
        <w:t xml:space="preserve"> There </w:t>
      </w:r>
      <w:r w:rsidR="004D1117" w:rsidRPr="00A326A2">
        <w:rPr>
          <w:spacing w:val="-2"/>
          <w:kern w:val="22"/>
        </w:rPr>
        <w:t>was</w:t>
      </w:r>
      <w:r w:rsidR="005F1063" w:rsidRPr="00A326A2">
        <w:rPr>
          <w:spacing w:val="-2"/>
          <w:kern w:val="22"/>
        </w:rPr>
        <w:t xml:space="preserve"> also</w:t>
      </w:r>
      <w:r w:rsidR="004D1117" w:rsidRPr="00A326A2">
        <w:rPr>
          <w:spacing w:val="-2"/>
          <w:kern w:val="22"/>
        </w:rPr>
        <w:t xml:space="preserve"> the</w:t>
      </w:r>
      <w:r w:rsidR="005F1063" w:rsidRPr="00A326A2">
        <w:rPr>
          <w:spacing w:val="-2"/>
          <w:kern w:val="22"/>
        </w:rPr>
        <w:t xml:space="preserve"> possibility </w:t>
      </w:r>
      <w:r w:rsidR="004D1117" w:rsidRPr="00A326A2">
        <w:rPr>
          <w:spacing w:val="-2"/>
          <w:kern w:val="22"/>
        </w:rPr>
        <w:t>that</w:t>
      </w:r>
      <w:r w:rsidR="005F1063" w:rsidRPr="00A326A2">
        <w:rPr>
          <w:spacing w:val="-2"/>
          <w:kern w:val="22"/>
        </w:rPr>
        <w:t xml:space="preserve"> large restaurant brands</w:t>
      </w:r>
      <w:r w:rsidR="004D1117" w:rsidRPr="00A326A2">
        <w:rPr>
          <w:spacing w:val="-2"/>
          <w:kern w:val="22"/>
        </w:rPr>
        <w:t xml:space="preserve"> </w:t>
      </w:r>
      <w:r w:rsidR="005F1063" w:rsidRPr="00A326A2">
        <w:rPr>
          <w:spacing w:val="-2"/>
          <w:kern w:val="22"/>
        </w:rPr>
        <w:t>with deep pockets</w:t>
      </w:r>
      <w:r w:rsidR="004D1117" w:rsidRPr="00A326A2">
        <w:rPr>
          <w:spacing w:val="-2"/>
          <w:kern w:val="22"/>
        </w:rPr>
        <w:t xml:space="preserve"> could </w:t>
      </w:r>
      <w:r w:rsidR="005F1063" w:rsidRPr="00A326A2">
        <w:rPr>
          <w:spacing w:val="-2"/>
          <w:kern w:val="22"/>
        </w:rPr>
        <w:t>enter the</w:t>
      </w:r>
      <w:r w:rsidR="004D1117" w:rsidRPr="00A326A2">
        <w:rPr>
          <w:spacing w:val="-2"/>
          <w:kern w:val="22"/>
        </w:rPr>
        <w:t>se</w:t>
      </w:r>
      <w:r w:rsidR="005F1063" w:rsidRPr="00A326A2">
        <w:rPr>
          <w:spacing w:val="-2"/>
          <w:kern w:val="22"/>
        </w:rPr>
        <w:t xml:space="preserve"> market</w:t>
      </w:r>
      <w:r w:rsidR="004D1117" w:rsidRPr="00A326A2">
        <w:rPr>
          <w:spacing w:val="-2"/>
          <w:kern w:val="22"/>
        </w:rPr>
        <w:t>s</w:t>
      </w:r>
      <w:r w:rsidR="005F1063" w:rsidRPr="00A326A2">
        <w:rPr>
          <w:spacing w:val="-2"/>
          <w:kern w:val="22"/>
        </w:rPr>
        <w:t xml:space="preserve"> with investments in </w:t>
      </w:r>
      <w:r w:rsidRPr="00A326A2">
        <w:rPr>
          <w:spacing w:val="-2"/>
          <w:kern w:val="22"/>
        </w:rPr>
        <w:t>substitute applications</w:t>
      </w:r>
      <w:r w:rsidR="005F1063" w:rsidRPr="00A326A2">
        <w:rPr>
          <w:spacing w:val="-2"/>
          <w:kern w:val="22"/>
        </w:rPr>
        <w:t xml:space="preserve">. </w:t>
      </w:r>
    </w:p>
    <w:p w14:paraId="742725CB" w14:textId="77777777" w:rsidR="00C93BEE" w:rsidRPr="008D27CB" w:rsidRDefault="00C93BEE" w:rsidP="00ED4036">
      <w:pPr>
        <w:pStyle w:val="BodyTextMain"/>
      </w:pPr>
    </w:p>
    <w:p w14:paraId="2C59E166" w14:textId="77777777" w:rsidR="006F1D2C" w:rsidRPr="008D27CB" w:rsidRDefault="006F1D2C" w:rsidP="00ED4036">
      <w:pPr>
        <w:pStyle w:val="BodyTextMain"/>
      </w:pPr>
    </w:p>
    <w:p w14:paraId="0F28C8BF" w14:textId="6A826456" w:rsidR="006F1D2C" w:rsidRPr="008D27CB" w:rsidRDefault="006F1D2C" w:rsidP="00F26201">
      <w:pPr>
        <w:pStyle w:val="Casehead2"/>
      </w:pPr>
      <w:r w:rsidRPr="008D27CB">
        <w:t>Financial Forecast and Options</w:t>
      </w:r>
    </w:p>
    <w:p w14:paraId="2AA9EDD4" w14:textId="77777777" w:rsidR="006F1D2C" w:rsidRPr="008D27CB" w:rsidRDefault="006F1D2C" w:rsidP="00ED4036">
      <w:pPr>
        <w:pStyle w:val="BodyTextMain"/>
      </w:pPr>
    </w:p>
    <w:p w14:paraId="54159875" w14:textId="275035DF" w:rsidR="006F1D2C" w:rsidRPr="008D27CB" w:rsidRDefault="006F1D2C" w:rsidP="006F1D2C">
      <w:pPr>
        <w:pStyle w:val="BodyTextMain"/>
      </w:pPr>
      <w:proofErr w:type="spellStart"/>
      <w:r w:rsidRPr="008D27CB">
        <w:t>ClickDishes</w:t>
      </w:r>
      <w:proofErr w:type="spellEnd"/>
      <w:r w:rsidRPr="008D27CB">
        <w:t xml:space="preserve"> had compiled financial forecasts in terms of its</w:t>
      </w:r>
      <w:r w:rsidR="00AC4073" w:rsidRPr="008D27CB">
        <w:t xml:space="preserve"> projected profits and</w:t>
      </w:r>
      <w:r w:rsidRPr="008D27CB">
        <w:t xml:space="preserve"> revenue (see Exhibits 3 and 4). As Wang saw it, there were four possible market growth strategies that </w:t>
      </w:r>
      <w:proofErr w:type="spellStart"/>
      <w:r w:rsidRPr="008D27CB">
        <w:t>ClickDishes</w:t>
      </w:r>
      <w:proofErr w:type="spellEnd"/>
      <w:r w:rsidRPr="008D27CB">
        <w:t xml:space="preserve"> could </w:t>
      </w:r>
      <w:r w:rsidR="00825905" w:rsidRPr="008D27CB">
        <w:t>use</w:t>
      </w:r>
      <w:r w:rsidRPr="008D27CB">
        <w:t xml:space="preserve"> to pursue </w:t>
      </w:r>
      <w:r w:rsidR="00825905" w:rsidRPr="008D27CB">
        <w:t xml:space="preserve">its </w:t>
      </w:r>
      <w:r w:rsidRPr="008D27CB">
        <w:t>financial goals</w:t>
      </w:r>
      <w:r w:rsidR="00825905" w:rsidRPr="008D27CB">
        <w:t>:</w:t>
      </w:r>
      <w:r w:rsidRPr="008D27CB">
        <w:t xml:space="preserve"> </w:t>
      </w:r>
      <w:r w:rsidR="00825905" w:rsidRPr="008D27CB">
        <w:t>(</w:t>
      </w:r>
      <w:r w:rsidRPr="008D27CB">
        <w:t>1</w:t>
      </w:r>
      <w:r w:rsidR="00825905" w:rsidRPr="008D27CB">
        <w:t>)</w:t>
      </w:r>
      <w:r w:rsidRPr="008D27CB">
        <w:t xml:space="preserve"> </w:t>
      </w:r>
      <w:r w:rsidR="00825905" w:rsidRPr="008D27CB">
        <w:t>a</w:t>
      </w:r>
      <w:r w:rsidRPr="008D27CB">
        <w:t xml:space="preserve">ggressively market the app </w:t>
      </w:r>
      <w:r w:rsidR="00825905" w:rsidRPr="008D27CB">
        <w:t>within</w:t>
      </w:r>
      <w:r w:rsidRPr="008D27CB">
        <w:t xml:space="preserve"> its existing markets </w:t>
      </w:r>
      <w:r w:rsidR="00825905" w:rsidRPr="008D27CB">
        <w:t>(</w:t>
      </w:r>
      <w:r w:rsidRPr="008D27CB">
        <w:t>i.e.</w:t>
      </w:r>
      <w:r w:rsidR="00825905" w:rsidRPr="008D27CB">
        <w:t>,</w:t>
      </w:r>
      <w:r w:rsidRPr="008D27CB">
        <w:t xml:space="preserve"> Vancouver, Calgary</w:t>
      </w:r>
      <w:r w:rsidR="00527870" w:rsidRPr="008D27CB">
        <w:t>,</w:t>
      </w:r>
      <w:r w:rsidRPr="008D27CB">
        <w:t xml:space="preserve"> and Edmonton</w:t>
      </w:r>
      <w:r w:rsidR="00825905" w:rsidRPr="008D27CB">
        <w:t>); (</w:t>
      </w:r>
      <w:r w:rsidRPr="008D27CB">
        <w:t>2</w:t>
      </w:r>
      <w:r w:rsidR="00825905" w:rsidRPr="008D27CB">
        <w:t>)</w:t>
      </w:r>
      <w:r w:rsidRPr="008D27CB">
        <w:t xml:space="preserve"> </w:t>
      </w:r>
      <w:r w:rsidR="00825905" w:rsidRPr="008D27CB">
        <w:t>l</w:t>
      </w:r>
      <w:r w:rsidRPr="008D27CB">
        <w:t>aunch the app in other Canadian markets</w:t>
      </w:r>
      <w:r w:rsidR="00825905" w:rsidRPr="008D27CB">
        <w:t>,</w:t>
      </w:r>
      <w:r w:rsidRPr="008D27CB">
        <w:t xml:space="preserve"> such as Toronto and Montreal</w:t>
      </w:r>
      <w:r w:rsidR="00825905" w:rsidRPr="008D27CB">
        <w:t xml:space="preserve">; </w:t>
      </w:r>
      <w:r w:rsidR="00825905" w:rsidRPr="008D27CB">
        <w:lastRenderedPageBreak/>
        <w:t>(</w:t>
      </w:r>
      <w:r w:rsidRPr="008D27CB">
        <w:t>3</w:t>
      </w:r>
      <w:r w:rsidR="00825905" w:rsidRPr="008D27CB">
        <w:t>)</w:t>
      </w:r>
      <w:r w:rsidR="00E83B28">
        <w:t> </w:t>
      </w:r>
      <w:r w:rsidRPr="008D27CB">
        <w:t>launch the product in international markets</w:t>
      </w:r>
      <w:r w:rsidR="004A4E28" w:rsidRPr="008D27CB">
        <w:t>,</w:t>
      </w:r>
      <w:r w:rsidRPr="008D27CB">
        <w:t xml:space="preserve"> such as the United States and China</w:t>
      </w:r>
      <w:r w:rsidR="00825905" w:rsidRPr="008D27CB">
        <w:t>; and (</w:t>
      </w:r>
      <w:r w:rsidRPr="008D27CB">
        <w:t>4</w:t>
      </w:r>
      <w:r w:rsidR="00825905" w:rsidRPr="008D27CB">
        <w:t>) d</w:t>
      </w:r>
      <w:r w:rsidRPr="008D27CB">
        <w:t>evelop additional features in the app.</w:t>
      </w:r>
    </w:p>
    <w:p w14:paraId="5B86B46B" w14:textId="77777777" w:rsidR="006F1D2C" w:rsidRPr="008D27CB" w:rsidRDefault="006F1D2C" w:rsidP="00ED4036">
      <w:pPr>
        <w:pStyle w:val="BodyTextMain"/>
      </w:pPr>
    </w:p>
    <w:p w14:paraId="59C446A2" w14:textId="77777777" w:rsidR="006F1D2C" w:rsidRPr="008D27CB" w:rsidRDefault="006F1D2C" w:rsidP="00ED4036">
      <w:pPr>
        <w:pStyle w:val="BodyTextMain"/>
      </w:pPr>
    </w:p>
    <w:p w14:paraId="59D6A5EB" w14:textId="0D6F86A2" w:rsidR="006F1D2C" w:rsidRPr="008D27CB" w:rsidRDefault="006F1D2C" w:rsidP="00F26201">
      <w:pPr>
        <w:pStyle w:val="Casehead3"/>
      </w:pPr>
      <w:r w:rsidRPr="008D27CB">
        <w:t>P</w:t>
      </w:r>
      <w:r w:rsidR="002D1C74" w:rsidRPr="008D27CB">
        <w:t>lans for Future Expansion</w:t>
      </w:r>
    </w:p>
    <w:p w14:paraId="1AA805E2" w14:textId="77777777" w:rsidR="006F1D2C" w:rsidRPr="008D27CB" w:rsidRDefault="006F1D2C" w:rsidP="006F1D2C">
      <w:pPr>
        <w:pStyle w:val="BodyTextMain"/>
      </w:pPr>
    </w:p>
    <w:p w14:paraId="3AF67CF4" w14:textId="0A8CB30C" w:rsidR="006F1D2C" w:rsidRPr="008D27CB" w:rsidRDefault="006F1D2C" w:rsidP="006F1D2C">
      <w:pPr>
        <w:pStyle w:val="BodyTextMain"/>
      </w:pPr>
      <w:r w:rsidRPr="008D27CB">
        <w:t xml:space="preserve">The </w:t>
      </w:r>
      <w:proofErr w:type="spellStart"/>
      <w:r w:rsidRPr="008D27CB">
        <w:t>ClickDishes</w:t>
      </w:r>
      <w:proofErr w:type="spellEnd"/>
      <w:r w:rsidRPr="008D27CB">
        <w:t xml:space="preserve"> team was cautiously optimistic that its app would be a disruptive force in the markets that it entered, due to the platform’s extensive value proposition and the fact that it had few competitors. However, other apps had served as cautionary examples of how quickly the market could adapt to new concepts. For instance, with the creation of Uber Technologies Inc. came large competitors such as Lyft, as well as myriad local competitors like </w:t>
      </w:r>
      <w:proofErr w:type="spellStart"/>
      <w:r w:rsidRPr="008D27CB">
        <w:t>TappCar</w:t>
      </w:r>
      <w:proofErr w:type="spellEnd"/>
      <w:r w:rsidRPr="008D27CB">
        <w:t xml:space="preserve"> in Edmonton, </w:t>
      </w:r>
      <w:proofErr w:type="spellStart"/>
      <w:r w:rsidRPr="008D27CB">
        <w:t>eCab</w:t>
      </w:r>
      <w:proofErr w:type="spellEnd"/>
      <w:r w:rsidRPr="008D27CB">
        <w:t xml:space="preserve"> in Ottawa, and </w:t>
      </w:r>
      <w:proofErr w:type="spellStart"/>
      <w:r w:rsidRPr="008D27CB">
        <w:t>Gett</w:t>
      </w:r>
      <w:proofErr w:type="spellEnd"/>
      <w:r w:rsidRPr="008D27CB">
        <w:t xml:space="preserve"> in New York. With the explosion in Uber’s value came a further rush of local competitors that sought to differentiate themselves by addressing niche, area-specific needs, or by establishing themselves in their native markets </w:t>
      </w:r>
      <w:r w:rsidRPr="008D27CB">
        <w:rPr>
          <w:i/>
        </w:rPr>
        <w:t>before</w:t>
      </w:r>
      <w:r w:rsidRPr="008D27CB">
        <w:t xml:space="preserve"> Uber could enter, raising significant barriers to entry in these markets. </w:t>
      </w:r>
    </w:p>
    <w:p w14:paraId="1D246BEB" w14:textId="77777777" w:rsidR="006F1D2C" w:rsidRPr="008D27CB" w:rsidRDefault="006F1D2C" w:rsidP="006F1D2C">
      <w:pPr>
        <w:pStyle w:val="BodyTextMain"/>
      </w:pPr>
    </w:p>
    <w:p w14:paraId="194CD098" w14:textId="0BC2CC92" w:rsidR="006F1D2C" w:rsidRPr="008D27CB" w:rsidRDefault="006F1D2C" w:rsidP="006F1D2C">
      <w:pPr>
        <w:pStyle w:val="BodyTextMain"/>
      </w:pPr>
      <w:r w:rsidRPr="008D27CB">
        <w:t>The food service industry had seen a similar situation in 2001 with the creation of Just Eat in Denmark. This food delivery app connected restaurants to consumers and provided a fleet of drivers that facilitated delivery from the partner restaurants to paying patrons. Just Eat was extremely successful and expanded to various international markets rapidly, but it was met with resistance in the Canadian market</w:t>
      </w:r>
      <w:r w:rsidR="00E83B28">
        <w:t xml:space="preserve">, </w:t>
      </w:r>
      <w:r w:rsidRPr="008D27CB">
        <w:t xml:space="preserve">largely due to the existence of a Saskatchewan-based competitor, </w:t>
      </w:r>
      <w:proofErr w:type="spellStart"/>
      <w:r w:rsidRPr="008D27CB">
        <w:t>SkipTheDishes</w:t>
      </w:r>
      <w:proofErr w:type="spellEnd"/>
      <w:r w:rsidRPr="008D27CB">
        <w:t xml:space="preserve">, founded in 2012. The local firm had already penetrated the major Canadian economic hubs, and there was not enough to distinguish between the two apps to </w:t>
      </w:r>
      <w:r w:rsidR="00E83B28">
        <w:t>motivate</w:t>
      </w:r>
      <w:r w:rsidR="00E83B28" w:rsidRPr="008D27CB">
        <w:t xml:space="preserve"> </w:t>
      </w:r>
      <w:r w:rsidRPr="008D27CB">
        <w:t xml:space="preserve">restaurants to leave </w:t>
      </w:r>
      <w:proofErr w:type="spellStart"/>
      <w:r w:rsidRPr="008D27CB">
        <w:t>SkipTheDishes</w:t>
      </w:r>
      <w:proofErr w:type="spellEnd"/>
      <w:r w:rsidRPr="008D27CB">
        <w:t xml:space="preserve"> for Just Eat. This situation culminated in Just Eat purchasing </w:t>
      </w:r>
      <w:proofErr w:type="spellStart"/>
      <w:r w:rsidRPr="008D27CB">
        <w:t>SkipTheDishes</w:t>
      </w:r>
      <w:proofErr w:type="spellEnd"/>
      <w:r w:rsidRPr="008D27CB">
        <w:t xml:space="preserve"> for $110 million in 2016. </w:t>
      </w:r>
    </w:p>
    <w:p w14:paraId="32EB0FDE" w14:textId="77777777" w:rsidR="006F1D2C" w:rsidRPr="008D27CB" w:rsidRDefault="006F1D2C" w:rsidP="006F1D2C">
      <w:pPr>
        <w:pStyle w:val="BodyTextMain"/>
      </w:pPr>
    </w:p>
    <w:p w14:paraId="7ECC7769" w14:textId="4B2EC618" w:rsidR="006F1D2C" w:rsidRPr="008D27CB" w:rsidRDefault="006F1D2C" w:rsidP="006F1D2C">
      <w:pPr>
        <w:pStyle w:val="BodyTextMain"/>
      </w:pPr>
      <w:r w:rsidRPr="008D27CB">
        <w:t xml:space="preserve">Wang and his team did not want to enter a region only to be forced out or bought by a competitor. Yet, as a start-up, </w:t>
      </w:r>
      <w:proofErr w:type="spellStart"/>
      <w:r w:rsidRPr="008D27CB">
        <w:t>ClickDishes</w:t>
      </w:r>
      <w:proofErr w:type="spellEnd"/>
      <w:r w:rsidRPr="008D27CB">
        <w:t xml:space="preserve"> had limited resources—both financial and human—to invest in launching</w:t>
      </w:r>
      <w:r w:rsidR="00392796" w:rsidRPr="008D27CB">
        <w:t xml:space="preserve"> its products</w:t>
      </w:r>
      <w:r w:rsidRPr="008D27CB">
        <w:t xml:space="preserve"> in new markets. Given the stage that the company was in, which marketing strategy should Wang adopt in order to grow and secure </w:t>
      </w:r>
      <w:proofErr w:type="spellStart"/>
      <w:r w:rsidR="00392796" w:rsidRPr="008D27CB">
        <w:t>ClickDishes</w:t>
      </w:r>
      <w:proofErr w:type="spellEnd"/>
      <w:r w:rsidR="00392796" w:rsidRPr="008D27CB">
        <w:t>’</w:t>
      </w:r>
      <w:r w:rsidRPr="008D27CB">
        <w:t xml:space="preserve"> position?</w:t>
      </w:r>
    </w:p>
    <w:p w14:paraId="050DE717" w14:textId="5671A4C7" w:rsidR="006F1D2C" w:rsidRDefault="006F1D2C" w:rsidP="006F1D2C">
      <w:pPr>
        <w:pStyle w:val="BodyTextMain"/>
      </w:pPr>
    </w:p>
    <w:p w14:paraId="398DDC85" w14:textId="5746C108" w:rsidR="00E83B28" w:rsidRDefault="00CD6DFB" w:rsidP="006F1D2C">
      <w:pPr>
        <w:pStyle w:val="BodyTextMain"/>
      </w:pPr>
      <w:r>
        <w:rPr>
          <w:noProof/>
          <w:lang w:eastAsia="en-GB"/>
        </w:rPr>
        <mc:AlternateContent>
          <mc:Choice Requires="wps">
            <w:drawing>
              <wp:anchor distT="45720" distB="45720" distL="114300" distR="114300" simplePos="0" relativeHeight="251659264" behindDoc="0" locked="0" layoutInCell="1" allowOverlap="1" wp14:anchorId="6984A1CC" wp14:editId="3F3AFD88">
                <wp:simplePos x="0" y="0"/>
                <wp:positionH relativeFrom="margin">
                  <wp:align>center</wp:align>
                </wp:positionH>
                <wp:positionV relativeFrom="paragraph">
                  <wp:posOffset>6350</wp:posOffset>
                </wp:positionV>
                <wp:extent cx="4293870" cy="1404620"/>
                <wp:effectExtent l="0" t="0" r="1143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1404620"/>
                        </a:xfrm>
                        <a:prstGeom prst="rect">
                          <a:avLst/>
                        </a:prstGeom>
                        <a:solidFill>
                          <a:srgbClr val="FFFFFF"/>
                        </a:solidFill>
                        <a:ln w="9525">
                          <a:solidFill>
                            <a:srgbClr val="000000"/>
                          </a:solidFill>
                          <a:miter lim="800000"/>
                          <a:headEnd/>
                          <a:tailEnd/>
                        </a:ln>
                      </wps:spPr>
                      <wps:txbx>
                        <w:txbxContent>
                          <w:p w14:paraId="3040C1F5" w14:textId="3C79AAAF" w:rsidR="00CD6DFB" w:rsidRDefault="00CD6DFB" w:rsidP="00CD6DFB">
                            <w:pPr>
                              <w:pStyle w:val="Footnote"/>
                            </w:pPr>
                            <w:r w:rsidRPr="00CD6DFB">
                              <w:t>The authors would like to thank the School of Business Administration, China University of Petroleum-Beijing for the valuable support during the development of this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84A1CC" id="_x0000_t202" coordsize="21600,21600" o:spt="202" path="m,l,21600r21600,l21600,xe">
                <v:stroke joinstyle="miter"/>
                <v:path gradientshapeok="t" o:connecttype="rect"/>
              </v:shapetype>
              <v:shape id="Text Box 2" o:spid="_x0000_s1026" type="#_x0000_t202" style="position:absolute;left:0;text-align:left;margin-left:0;margin-top:.5pt;width:338.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">
                <v:textbox style="mso-fit-shape-to-text:t">
                  <w:txbxContent>
                    <w:p w14:paraId="3040C1F5" w14:textId="3C79AAAF" w:rsidR="00CD6DFB" w:rsidRDefault="00CD6DFB" w:rsidP="00CD6DFB">
                      <w:pPr>
                        <w:pStyle w:val="Footnote"/>
                      </w:pPr>
                      <w:r w:rsidRPr="00CD6DFB">
                        <w:t>The authors would like to thank the School of Business Administration, China University of Petroleum-Beijing for the valuable support during the development of this case.</w:t>
                      </w:r>
                    </w:p>
                  </w:txbxContent>
                </v:textbox>
                <w10:wrap type="square" anchorx="margin"/>
              </v:shape>
            </w:pict>
          </mc:Fallback>
        </mc:AlternateContent>
      </w:r>
    </w:p>
    <w:p w14:paraId="0CCDE372" w14:textId="15F79CCA" w:rsidR="00E83B28" w:rsidRPr="008D27CB" w:rsidRDefault="00E83B28" w:rsidP="006F1D2C">
      <w:pPr>
        <w:pStyle w:val="BodyTextMain"/>
      </w:pPr>
    </w:p>
    <w:p w14:paraId="0254C07A" w14:textId="3D1FDF43" w:rsidR="004A5B77" w:rsidRPr="008D27CB" w:rsidRDefault="004A5B77" w:rsidP="00ED4036">
      <w:pPr>
        <w:pStyle w:val="BodyTextMain"/>
      </w:pPr>
    </w:p>
    <w:p w14:paraId="01671F39" w14:textId="6B62F925" w:rsidR="006F1D2C" w:rsidRPr="008D27CB" w:rsidRDefault="006F1D2C" w:rsidP="00ED4036">
      <w:pPr>
        <w:pStyle w:val="BodyTextMain"/>
      </w:pPr>
      <w:r w:rsidRPr="008D27CB">
        <w:br w:type="page"/>
      </w:r>
    </w:p>
    <w:p w14:paraId="6C7DA48C" w14:textId="77777777" w:rsidR="00CD6DFB" w:rsidRDefault="006F1D2C" w:rsidP="006F1D2C">
      <w:pPr>
        <w:pStyle w:val="ExhibitHeading"/>
      </w:pPr>
      <w:r w:rsidRPr="008D27CB">
        <w:lastRenderedPageBreak/>
        <w:t>Exhibit 1: Annual Growth in the Global Food Service Industry (2015–2020)</w:t>
      </w:r>
    </w:p>
    <w:p w14:paraId="6C257438" w14:textId="29B769F8" w:rsidR="006F1D2C" w:rsidRPr="008D27CB" w:rsidRDefault="00CD6DFB" w:rsidP="006F1D2C">
      <w:pPr>
        <w:pStyle w:val="ExhibitHeading"/>
      </w:pPr>
      <w:r>
        <w:t>(US$ BILLIONS)</w:t>
      </w:r>
    </w:p>
    <w:p w14:paraId="73E8701E" w14:textId="77777777" w:rsidR="006F1D2C" w:rsidRPr="008D27CB" w:rsidRDefault="006F1D2C" w:rsidP="00ED4036">
      <w:pPr>
        <w:pStyle w:val="ExhibitText"/>
      </w:pPr>
    </w:p>
    <w:tbl>
      <w:tblPr>
        <w:tblW w:w="2689" w:type="dxa"/>
        <w:jc w:val="center"/>
        <w:tblLook w:val="04A0" w:firstRow="1" w:lastRow="0" w:firstColumn="1" w:lastColumn="0" w:noHBand="0" w:noVBand="1"/>
      </w:tblPr>
      <w:tblGrid>
        <w:gridCol w:w="1143"/>
        <w:gridCol w:w="1546"/>
      </w:tblGrid>
      <w:tr w:rsidR="00026D95" w:rsidRPr="008D27CB" w14:paraId="71402127" w14:textId="77777777" w:rsidTr="006F1D2C">
        <w:trPr>
          <w:trHeight w:val="315"/>
          <w:jc w:val="center"/>
        </w:trPr>
        <w:tc>
          <w:tcPr>
            <w:tcW w:w="11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22A4E" w14:textId="20D9DA91" w:rsidR="006F1D2C" w:rsidRPr="008D27CB" w:rsidRDefault="00CD6DFB" w:rsidP="00CD6DFB">
            <w:pPr>
              <w:pStyle w:val="ExhibitText"/>
              <w:jc w:val="center"/>
            </w:pPr>
            <w:r>
              <w:t>Year</w:t>
            </w:r>
          </w:p>
        </w:tc>
        <w:tc>
          <w:tcPr>
            <w:tcW w:w="1546" w:type="dxa"/>
            <w:tcBorders>
              <w:top w:val="single" w:sz="4" w:space="0" w:color="auto"/>
              <w:left w:val="nil"/>
              <w:bottom w:val="single" w:sz="4" w:space="0" w:color="auto"/>
              <w:right w:val="single" w:sz="4" w:space="0" w:color="auto"/>
            </w:tcBorders>
            <w:shd w:val="clear" w:color="auto" w:fill="auto"/>
            <w:noWrap/>
            <w:vAlign w:val="bottom"/>
            <w:hideMark/>
          </w:tcPr>
          <w:p w14:paraId="34BDD278" w14:textId="06E74316" w:rsidR="006F1D2C" w:rsidRPr="008D27CB" w:rsidRDefault="00CD6DFB" w:rsidP="00CD6DFB">
            <w:pPr>
              <w:pStyle w:val="ExhibitText"/>
              <w:jc w:val="center"/>
            </w:pPr>
            <w:r>
              <w:t>Growth</w:t>
            </w:r>
            <w:r w:rsidR="006F1D2C" w:rsidRPr="008D27CB">
              <w:t>s</w:t>
            </w:r>
          </w:p>
        </w:tc>
      </w:tr>
      <w:tr w:rsidR="00026D95" w:rsidRPr="008D27CB" w14:paraId="0D57A54E" w14:textId="77777777" w:rsidTr="006F1D2C">
        <w:trPr>
          <w:trHeight w:val="315"/>
          <w:jc w:val="center"/>
        </w:trPr>
        <w:tc>
          <w:tcPr>
            <w:tcW w:w="1143" w:type="dxa"/>
            <w:tcBorders>
              <w:top w:val="nil"/>
              <w:left w:val="single" w:sz="4" w:space="0" w:color="auto"/>
              <w:bottom w:val="single" w:sz="4" w:space="0" w:color="auto"/>
              <w:right w:val="single" w:sz="4" w:space="0" w:color="auto"/>
            </w:tcBorders>
            <w:shd w:val="clear" w:color="auto" w:fill="auto"/>
            <w:noWrap/>
            <w:vAlign w:val="bottom"/>
            <w:hideMark/>
          </w:tcPr>
          <w:p w14:paraId="4444D406" w14:textId="77777777" w:rsidR="006F1D2C" w:rsidRPr="008D27CB" w:rsidRDefault="006F1D2C" w:rsidP="006F1D2C">
            <w:pPr>
              <w:pStyle w:val="ExhibitText"/>
            </w:pPr>
            <w:r w:rsidRPr="008D27CB">
              <w:t>2015</w:t>
            </w:r>
          </w:p>
        </w:tc>
        <w:tc>
          <w:tcPr>
            <w:tcW w:w="1546" w:type="dxa"/>
            <w:tcBorders>
              <w:top w:val="nil"/>
              <w:left w:val="nil"/>
              <w:bottom w:val="single" w:sz="4" w:space="0" w:color="auto"/>
              <w:right w:val="single" w:sz="4" w:space="0" w:color="auto"/>
            </w:tcBorders>
            <w:shd w:val="clear" w:color="auto" w:fill="auto"/>
            <w:noWrap/>
            <w:vAlign w:val="bottom"/>
            <w:hideMark/>
          </w:tcPr>
          <w:p w14:paraId="1F86B197" w14:textId="77777777" w:rsidR="006F1D2C" w:rsidRPr="008D27CB" w:rsidRDefault="006F1D2C" w:rsidP="006F1D2C">
            <w:pPr>
              <w:pStyle w:val="ExhibitText"/>
              <w:jc w:val="center"/>
            </w:pPr>
            <w:r w:rsidRPr="008D27CB">
              <w:t>2,850</w:t>
            </w:r>
          </w:p>
        </w:tc>
      </w:tr>
      <w:tr w:rsidR="00026D95" w:rsidRPr="008D27CB" w14:paraId="32C96528" w14:textId="77777777" w:rsidTr="006F1D2C">
        <w:trPr>
          <w:trHeight w:val="315"/>
          <w:jc w:val="center"/>
        </w:trPr>
        <w:tc>
          <w:tcPr>
            <w:tcW w:w="1143" w:type="dxa"/>
            <w:tcBorders>
              <w:top w:val="nil"/>
              <w:left w:val="single" w:sz="4" w:space="0" w:color="auto"/>
              <w:bottom w:val="single" w:sz="4" w:space="0" w:color="auto"/>
              <w:right w:val="single" w:sz="4" w:space="0" w:color="auto"/>
            </w:tcBorders>
            <w:shd w:val="clear" w:color="auto" w:fill="auto"/>
            <w:noWrap/>
            <w:vAlign w:val="bottom"/>
            <w:hideMark/>
          </w:tcPr>
          <w:p w14:paraId="766D64B2" w14:textId="77777777" w:rsidR="006F1D2C" w:rsidRPr="008D27CB" w:rsidRDefault="006F1D2C" w:rsidP="006F1D2C">
            <w:pPr>
              <w:pStyle w:val="ExhibitText"/>
            </w:pPr>
            <w:r w:rsidRPr="008D27CB">
              <w:t>2016</w:t>
            </w:r>
          </w:p>
        </w:tc>
        <w:tc>
          <w:tcPr>
            <w:tcW w:w="1546" w:type="dxa"/>
            <w:tcBorders>
              <w:top w:val="nil"/>
              <w:left w:val="nil"/>
              <w:bottom w:val="single" w:sz="4" w:space="0" w:color="auto"/>
              <w:right w:val="single" w:sz="4" w:space="0" w:color="auto"/>
            </w:tcBorders>
            <w:shd w:val="clear" w:color="auto" w:fill="auto"/>
            <w:noWrap/>
            <w:vAlign w:val="bottom"/>
            <w:hideMark/>
          </w:tcPr>
          <w:p w14:paraId="5DBCE5D1" w14:textId="77777777" w:rsidR="006F1D2C" w:rsidRPr="008D27CB" w:rsidRDefault="006F1D2C" w:rsidP="006F1D2C">
            <w:pPr>
              <w:pStyle w:val="ExhibitText"/>
              <w:jc w:val="center"/>
            </w:pPr>
            <w:r w:rsidRPr="008D27CB">
              <w:t>3,006</w:t>
            </w:r>
          </w:p>
        </w:tc>
      </w:tr>
      <w:tr w:rsidR="00026D95" w:rsidRPr="008D27CB" w14:paraId="3B844237" w14:textId="77777777" w:rsidTr="006F1D2C">
        <w:trPr>
          <w:trHeight w:val="315"/>
          <w:jc w:val="center"/>
        </w:trPr>
        <w:tc>
          <w:tcPr>
            <w:tcW w:w="1143" w:type="dxa"/>
            <w:tcBorders>
              <w:top w:val="nil"/>
              <w:left w:val="single" w:sz="4" w:space="0" w:color="auto"/>
              <w:bottom w:val="single" w:sz="4" w:space="0" w:color="auto"/>
              <w:right w:val="single" w:sz="4" w:space="0" w:color="auto"/>
            </w:tcBorders>
            <w:shd w:val="clear" w:color="auto" w:fill="auto"/>
            <w:noWrap/>
            <w:vAlign w:val="bottom"/>
            <w:hideMark/>
          </w:tcPr>
          <w:p w14:paraId="733A8E63" w14:textId="77777777" w:rsidR="006F1D2C" w:rsidRPr="008D27CB" w:rsidRDefault="006F1D2C" w:rsidP="006F1D2C">
            <w:pPr>
              <w:pStyle w:val="ExhibitText"/>
            </w:pPr>
            <w:r w:rsidRPr="008D27CB">
              <w:t>2017</w:t>
            </w:r>
          </w:p>
        </w:tc>
        <w:tc>
          <w:tcPr>
            <w:tcW w:w="1546" w:type="dxa"/>
            <w:tcBorders>
              <w:top w:val="nil"/>
              <w:left w:val="nil"/>
              <w:bottom w:val="single" w:sz="4" w:space="0" w:color="auto"/>
              <w:right w:val="single" w:sz="4" w:space="0" w:color="auto"/>
            </w:tcBorders>
            <w:shd w:val="clear" w:color="auto" w:fill="auto"/>
            <w:noWrap/>
            <w:vAlign w:val="bottom"/>
            <w:hideMark/>
          </w:tcPr>
          <w:p w14:paraId="28756A85" w14:textId="77777777" w:rsidR="006F1D2C" w:rsidRPr="008D27CB" w:rsidRDefault="006F1D2C" w:rsidP="006F1D2C">
            <w:pPr>
              <w:pStyle w:val="ExhibitText"/>
              <w:jc w:val="center"/>
            </w:pPr>
            <w:r w:rsidRPr="008D27CB">
              <w:t>3,177</w:t>
            </w:r>
          </w:p>
        </w:tc>
      </w:tr>
      <w:tr w:rsidR="00026D95" w:rsidRPr="008D27CB" w14:paraId="7B10B8E3" w14:textId="77777777" w:rsidTr="006F1D2C">
        <w:trPr>
          <w:trHeight w:val="315"/>
          <w:jc w:val="center"/>
        </w:trPr>
        <w:tc>
          <w:tcPr>
            <w:tcW w:w="1143" w:type="dxa"/>
            <w:tcBorders>
              <w:top w:val="nil"/>
              <w:left w:val="single" w:sz="4" w:space="0" w:color="auto"/>
              <w:bottom w:val="single" w:sz="4" w:space="0" w:color="auto"/>
              <w:right w:val="single" w:sz="4" w:space="0" w:color="auto"/>
            </w:tcBorders>
            <w:shd w:val="clear" w:color="auto" w:fill="auto"/>
            <w:noWrap/>
            <w:vAlign w:val="bottom"/>
            <w:hideMark/>
          </w:tcPr>
          <w:p w14:paraId="5BECFFE9" w14:textId="77777777" w:rsidR="006F1D2C" w:rsidRPr="008D27CB" w:rsidRDefault="006F1D2C" w:rsidP="006F1D2C">
            <w:pPr>
              <w:pStyle w:val="ExhibitText"/>
            </w:pPr>
            <w:r w:rsidRPr="008D27CB">
              <w:t>2018</w:t>
            </w:r>
          </w:p>
        </w:tc>
        <w:tc>
          <w:tcPr>
            <w:tcW w:w="1546" w:type="dxa"/>
            <w:tcBorders>
              <w:top w:val="nil"/>
              <w:left w:val="nil"/>
              <w:bottom w:val="single" w:sz="4" w:space="0" w:color="auto"/>
              <w:right w:val="single" w:sz="4" w:space="0" w:color="auto"/>
            </w:tcBorders>
            <w:shd w:val="clear" w:color="auto" w:fill="auto"/>
            <w:noWrap/>
            <w:vAlign w:val="bottom"/>
            <w:hideMark/>
          </w:tcPr>
          <w:p w14:paraId="2E2275DF" w14:textId="77777777" w:rsidR="006F1D2C" w:rsidRPr="008D27CB" w:rsidRDefault="006F1D2C" w:rsidP="006F1D2C">
            <w:pPr>
              <w:pStyle w:val="ExhibitText"/>
              <w:jc w:val="center"/>
            </w:pPr>
            <w:r w:rsidRPr="008D27CB">
              <w:t>3,364</w:t>
            </w:r>
          </w:p>
        </w:tc>
      </w:tr>
      <w:tr w:rsidR="00026D95" w:rsidRPr="008D27CB" w14:paraId="683215A6" w14:textId="77777777" w:rsidTr="006F1D2C">
        <w:trPr>
          <w:trHeight w:val="315"/>
          <w:jc w:val="center"/>
        </w:trPr>
        <w:tc>
          <w:tcPr>
            <w:tcW w:w="1143" w:type="dxa"/>
            <w:tcBorders>
              <w:top w:val="nil"/>
              <w:left w:val="single" w:sz="4" w:space="0" w:color="auto"/>
              <w:bottom w:val="single" w:sz="4" w:space="0" w:color="auto"/>
              <w:right w:val="single" w:sz="4" w:space="0" w:color="auto"/>
            </w:tcBorders>
            <w:shd w:val="clear" w:color="auto" w:fill="auto"/>
            <w:noWrap/>
            <w:vAlign w:val="bottom"/>
            <w:hideMark/>
          </w:tcPr>
          <w:p w14:paraId="4B91C43D" w14:textId="77777777" w:rsidR="006F1D2C" w:rsidRPr="008D27CB" w:rsidRDefault="006F1D2C" w:rsidP="006F1D2C">
            <w:pPr>
              <w:pStyle w:val="ExhibitText"/>
            </w:pPr>
            <w:r w:rsidRPr="008D27CB">
              <w:t>2019</w:t>
            </w:r>
          </w:p>
        </w:tc>
        <w:tc>
          <w:tcPr>
            <w:tcW w:w="1546" w:type="dxa"/>
            <w:tcBorders>
              <w:top w:val="nil"/>
              <w:left w:val="nil"/>
              <w:bottom w:val="single" w:sz="4" w:space="0" w:color="auto"/>
              <w:right w:val="single" w:sz="4" w:space="0" w:color="auto"/>
            </w:tcBorders>
            <w:shd w:val="clear" w:color="auto" w:fill="auto"/>
            <w:noWrap/>
            <w:vAlign w:val="bottom"/>
            <w:hideMark/>
          </w:tcPr>
          <w:p w14:paraId="32224807" w14:textId="77777777" w:rsidR="006F1D2C" w:rsidRPr="008D27CB" w:rsidRDefault="006F1D2C" w:rsidP="006F1D2C">
            <w:pPr>
              <w:pStyle w:val="ExhibitText"/>
              <w:jc w:val="center"/>
            </w:pPr>
            <w:r w:rsidRPr="008D27CB">
              <w:t>3,569</w:t>
            </w:r>
          </w:p>
        </w:tc>
      </w:tr>
      <w:tr w:rsidR="006F1D2C" w:rsidRPr="008D27CB" w14:paraId="2D14772F" w14:textId="77777777" w:rsidTr="006F1D2C">
        <w:trPr>
          <w:trHeight w:val="315"/>
          <w:jc w:val="center"/>
        </w:trPr>
        <w:tc>
          <w:tcPr>
            <w:tcW w:w="1143" w:type="dxa"/>
            <w:tcBorders>
              <w:top w:val="nil"/>
              <w:left w:val="single" w:sz="4" w:space="0" w:color="auto"/>
              <w:bottom w:val="single" w:sz="4" w:space="0" w:color="auto"/>
              <w:right w:val="single" w:sz="4" w:space="0" w:color="auto"/>
            </w:tcBorders>
            <w:shd w:val="clear" w:color="auto" w:fill="auto"/>
            <w:noWrap/>
            <w:vAlign w:val="bottom"/>
            <w:hideMark/>
          </w:tcPr>
          <w:p w14:paraId="64756ABA" w14:textId="77777777" w:rsidR="006F1D2C" w:rsidRPr="008D27CB" w:rsidRDefault="006F1D2C" w:rsidP="006F1D2C">
            <w:pPr>
              <w:pStyle w:val="ExhibitText"/>
            </w:pPr>
            <w:r w:rsidRPr="008D27CB">
              <w:t>2020</w:t>
            </w:r>
          </w:p>
        </w:tc>
        <w:tc>
          <w:tcPr>
            <w:tcW w:w="1546" w:type="dxa"/>
            <w:tcBorders>
              <w:top w:val="nil"/>
              <w:left w:val="nil"/>
              <w:bottom w:val="single" w:sz="4" w:space="0" w:color="auto"/>
              <w:right w:val="single" w:sz="4" w:space="0" w:color="auto"/>
            </w:tcBorders>
            <w:shd w:val="clear" w:color="auto" w:fill="auto"/>
            <w:noWrap/>
            <w:vAlign w:val="bottom"/>
            <w:hideMark/>
          </w:tcPr>
          <w:p w14:paraId="078C5138" w14:textId="77777777" w:rsidR="006F1D2C" w:rsidRPr="008D27CB" w:rsidRDefault="006F1D2C" w:rsidP="006F1D2C">
            <w:pPr>
              <w:pStyle w:val="ExhibitText"/>
              <w:jc w:val="center"/>
            </w:pPr>
            <w:r w:rsidRPr="008D27CB">
              <w:t>3,794</w:t>
            </w:r>
          </w:p>
        </w:tc>
      </w:tr>
    </w:tbl>
    <w:p w14:paraId="052D1581" w14:textId="77777777" w:rsidR="006F1D2C" w:rsidRPr="008D27CB" w:rsidRDefault="006F1D2C" w:rsidP="00ED4036">
      <w:pPr>
        <w:pStyle w:val="ExhibitText"/>
      </w:pPr>
    </w:p>
    <w:p w14:paraId="1CEBCAA6" w14:textId="3E972E05" w:rsidR="002D1C74" w:rsidRPr="008D27CB" w:rsidRDefault="006F1D2C" w:rsidP="00F26201">
      <w:pPr>
        <w:pStyle w:val="Footnote"/>
      </w:pPr>
      <w:r w:rsidRPr="00A326A2">
        <w:t xml:space="preserve">Source: </w:t>
      </w:r>
      <w:r w:rsidR="00A326A2">
        <w:t xml:space="preserve">Created by the authors. </w:t>
      </w:r>
    </w:p>
    <w:p w14:paraId="2D9E97A8" w14:textId="225136D3" w:rsidR="006F1D2C" w:rsidRPr="008D27CB" w:rsidRDefault="006F1D2C" w:rsidP="00ED4036">
      <w:pPr>
        <w:pStyle w:val="ExhibitText"/>
      </w:pPr>
    </w:p>
    <w:p w14:paraId="2C6C1EFD" w14:textId="77777777" w:rsidR="006F1D2C" w:rsidRPr="008D27CB" w:rsidRDefault="006F1D2C" w:rsidP="00ED4036">
      <w:pPr>
        <w:pStyle w:val="ExhibitText"/>
      </w:pPr>
    </w:p>
    <w:p w14:paraId="4AED9272" w14:textId="5B547B41" w:rsidR="006F1D2C" w:rsidRPr="008D27CB" w:rsidRDefault="006F1D2C" w:rsidP="006F1D2C">
      <w:pPr>
        <w:pStyle w:val="ExhibitHeading"/>
      </w:pPr>
      <w:r w:rsidRPr="008D27CB">
        <w:t>Exhibit 2: Annual Growth in the North American Food Service Industry (2015–2020)</w:t>
      </w:r>
      <w:r w:rsidR="00CD6DFB">
        <w:t xml:space="preserve"> (US$ BILLIONS)</w:t>
      </w:r>
    </w:p>
    <w:p w14:paraId="171804A5" w14:textId="77777777" w:rsidR="006F1D2C" w:rsidRPr="008D27CB" w:rsidRDefault="006F1D2C" w:rsidP="00ED4036">
      <w:pPr>
        <w:pStyle w:val="ExhibitText"/>
      </w:pPr>
    </w:p>
    <w:tbl>
      <w:tblPr>
        <w:tblW w:w="2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4"/>
        <w:gridCol w:w="1686"/>
      </w:tblGrid>
      <w:tr w:rsidR="00026D95" w:rsidRPr="008D27CB" w14:paraId="764280B0" w14:textId="77777777" w:rsidTr="006F1D2C">
        <w:trPr>
          <w:trHeight w:val="315"/>
          <w:jc w:val="center"/>
        </w:trPr>
        <w:tc>
          <w:tcPr>
            <w:tcW w:w="1144" w:type="dxa"/>
            <w:shd w:val="clear" w:color="auto" w:fill="auto"/>
            <w:noWrap/>
            <w:vAlign w:val="bottom"/>
            <w:hideMark/>
          </w:tcPr>
          <w:p w14:paraId="0F76F0A2" w14:textId="43B325B7" w:rsidR="006F1D2C" w:rsidRPr="008D27CB" w:rsidRDefault="00CD6DFB" w:rsidP="00CD6DFB">
            <w:pPr>
              <w:pStyle w:val="ExhibitText"/>
              <w:jc w:val="center"/>
            </w:pPr>
            <w:r>
              <w:t>Year</w:t>
            </w:r>
          </w:p>
        </w:tc>
        <w:tc>
          <w:tcPr>
            <w:tcW w:w="1686" w:type="dxa"/>
            <w:shd w:val="clear" w:color="auto" w:fill="auto"/>
            <w:noWrap/>
            <w:vAlign w:val="bottom"/>
            <w:hideMark/>
          </w:tcPr>
          <w:p w14:paraId="60FA1D4A" w14:textId="1A28F888" w:rsidR="006F1D2C" w:rsidRPr="008D27CB" w:rsidRDefault="00CD6DFB" w:rsidP="00CD6DFB">
            <w:pPr>
              <w:pStyle w:val="ExhibitText"/>
              <w:jc w:val="center"/>
            </w:pPr>
            <w:r>
              <w:t>Growth</w:t>
            </w:r>
          </w:p>
        </w:tc>
      </w:tr>
      <w:tr w:rsidR="00026D95" w:rsidRPr="008D27CB" w14:paraId="46C92704" w14:textId="77777777" w:rsidTr="00ED4036">
        <w:trPr>
          <w:trHeight w:val="315"/>
          <w:jc w:val="center"/>
        </w:trPr>
        <w:tc>
          <w:tcPr>
            <w:tcW w:w="1144" w:type="dxa"/>
            <w:shd w:val="clear" w:color="auto" w:fill="auto"/>
            <w:noWrap/>
            <w:vAlign w:val="bottom"/>
            <w:hideMark/>
          </w:tcPr>
          <w:p w14:paraId="704FD3D9" w14:textId="77777777" w:rsidR="006F1D2C" w:rsidRPr="008D27CB" w:rsidRDefault="006F1D2C" w:rsidP="006F1D2C">
            <w:pPr>
              <w:pStyle w:val="ExhibitText"/>
            </w:pPr>
            <w:r w:rsidRPr="008D27CB">
              <w:t>2015</w:t>
            </w:r>
          </w:p>
        </w:tc>
        <w:tc>
          <w:tcPr>
            <w:tcW w:w="1686" w:type="dxa"/>
            <w:shd w:val="clear" w:color="auto" w:fill="auto"/>
            <w:noWrap/>
            <w:vAlign w:val="bottom"/>
            <w:hideMark/>
          </w:tcPr>
          <w:p w14:paraId="417F2C09" w14:textId="77777777" w:rsidR="006F1D2C" w:rsidRPr="008D27CB" w:rsidRDefault="006F1D2C" w:rsidP="00ED4036">
            <w:pPr>
              <w:pStyle w:val="ExhibitText"/>
              <w:jc w:val="center"/>
            </w:pPr>
            <w:r w:rsidRPr="008D27CB">
              <w:t>683</w:t>
            </w:r>
          </w:p>
        </w:tc>
      </w:tr>
      <w:tr w:rsidR="00026D95" w:rsidRPr="008D27CB" w14:paraId="24CB3140" w14:textId="77777777" w:rsidTr="00ED4036">
        <w:trPr>
          <w:trHeight w:val="315"/>
          <w:jc w:val="center"/>
        </w:trPr>
        <w:tc>
          <w:tcPr>
            <w:tcW w:w="1144" w:type="dxa"/>
            <w:shd w:val="clear" w:color="auto" w:fill="auto"/>
            <w:noWrap/>
            <w:vAlign w:val="bottom"/>
            <w:hideMark/>
          </w:tcPr>
          <w:p w14:paraId="2DEAA4D0" w14:textId="77777777" w:rsidR="006F1D2C" w:rsidRPr="008D27CB" w:rsidRDefault="006F1D2C" w:rsidP="006F1D2C">
            <w:pPr>
              <w:pStyle w:val="ExhibitText"/>
            </w:pPr>
            <w:r w:rsidRPr="008D27CB">
              <w:t>2016</w:t>
            </w:r>
          </w:p>
        </w:tc>
        <w:tc>
          <w:tcPr>
            <w:tcW w:w="1686" w:type="dxa"/>
            <w:shd w:val="clear" w:color="auto" w:fill="auto"/>
            <w:noWrap/>
            <w:vAlign w:val="bottom"/>
            <w:hideMark/>
          </w:tcPr>
          <w:p w14:paraId="1DC189AB" w14:textId="77777777" w:rsidR="006F1D2C" w:rsidRPr="008D27CB" w:rsidRDefault="006F1D2C" w:rsidP="00ED4036">
            <w:pPr>
              <w:pStyle w:val="ExhibitText"/>
              <w:jc w:val="center"/>
            </w:pPr>
            <w:r w:rsidRPr="008D27CB">
              <w:t>708</w:t>
            </w:r>
          </w:p>
        </w:tc>
      </w:tr>
      <w:tr w:rsidR="00026D95" w:rsidRPr="008D27CB" w14:paraId="688A514C" w14:textId="77777777" w:rsidTr="00ED4036">
        <w:trPr>
          <w:trHeight w:val="315"/>
          <w:jc w:val="center"/>
        </w:trPr>
        <w:tc>
          <w:tcPr>
            <w:tcW w:w="1144" w:type="dxa"/>
            <w:shd w:val="clear" w:color="auto" w:fill="auto"/>
            <w:noWrap/>
            <w:vAlign w:val="bottom"/>
            <w:hideMark/>
          </w:tcPr>
          <w:p w14:paraId="222D2CB5" w14:textId="77777777" w:rsidR="006F1D2C" w:rsidRPr="008D27CB" w:rsidRDefault="006F1D2C" w:rsidP="006F1D2C">
            <w:pPr>
              <w:pStyle w:val="ExhibitText"/>
            </w:pPr>
            <w:r w:rsidRPr="008D27CB">
              <w:t>2017</w:t>
            </w:r>
          </w:p>
        </w:tc>
        <w:tc>
          <w:tcPr>
            <w:tcW w:w="1686" w:type="dxa"/>
            <w:shd w:val="clear" w:color="auto" w:fill="auto"/>
            <w:noWrap/>
            <w:vAlign w:val="bottom"/>
            <w:hideMark/>
          </w:tcPr>
          <w:p w14:paraId="3A18E808" w14:textId="77777777" w:rsidR="006F1D2C" w:rsidRPr="008D27CB" w:rsidRDefault="006F1D2C" w:rsidP="00ED4036">
            <w:pPr>
              <w:pStyle w:val="ExhibitText"/>
              <w:jc w:val="center"/>
            </w:pPr>
            <w:r w:rsidRPr="008D27CB">
              <w:t>736</w:t>
            </w:r>
          </w:p>
        </w:tc>
      </w:tr>
      <w:tr w:rsidR="00026D95" w:rsidRPr="008D27CB" w14:paraId="28CCB201" w14:textId="77777777" w:rsidTr="00ED4036">
        <w:trPr>
          <w:trHeight w:val="315"/>
          <w:jc w:val="center"/>
        </w:trPr>
        <w:tc>
          <w:tcPr>
            <w:tcW w:w="1144" w:type="dxa"/>
            <w:shd w:val="clear" w:color="auto" w:fill="auto"/>
            <w:noWrap/>
            <w:vAlign w:val="bottom"/>
            <w:hideMark/>
          </w:tcPr>
          <w:p w14:paraId="1D5DBB03" w14:textId="77777777" w:rsidR="006F1D2C" w:rsidRPr="008D27CB" w:rsidRDefault="006F1D2C" w:rsidP="006F1D2C">
            <w:pPr>
              <w:pStyle w:val="ExhibitText"/>
            </w:pPr>
            <w:r w:rsidRPr="008D27CB">
              <w:t>2018</w:t>
            </w:r>
          </w:p>
        </w:tc>
        <w:tc>
          <w:tcPr>
            <w:tcW w:w="1686" w:type="dxa"/>
            <w:shd w:val="clear" w:color="auto" w:fill="auto"/>
            <w:noWrap/>
            <w:vAlign w:val="bottom"/>
            <w:hideMark/>
          </w:tcPr>
          <w:p w14:paraId="2FDC12DF" w14:textId="77777777" w:rsidR="006F1D2C" w:rsidRPr="008D27CB" w:rsidRDefault="006F1D2C" w:rsidP="00ED4036">
            <w:pPr>
              <w:pStyle w:val="ExhibitText"/>
              <w:jc w:val="center"/>
            </w:pPr>
            <w:r w:rsidRPr="008D27CB">
              <w:t>764</w:t>
            </w:r>
          </w:p>
        </w:tc>
      </w:tr>
      <w:tr w:rsidR="00026D95" w:rsidRPr="008D27CB" w14:paraId="63B0F7CB" w14:textId="77777777" w:rsidTr="00ED4036">
        <w:trPr>
          <w:trHeight w:val="315"/>
          <w:jc w:val="center"/>
        </w:trPr>
        <w:tc>
          <w:tcPr>
            <w:tcW w:w="1144" w:type="dxa"/>
            <w:shd w:val="clear" w:color="auto" w:fill="auto"/>
            <w:noWrap/>
            <w:vAlign w:val="bottom"/>
            <w:hideMark/>
          </w:tcPr>
          <w:p w14:paraId="4FD5A4A8" w14:textId="77777777" w:rsidR="006F1D2C" w:rsidRPr="008D27CB" w:rsidRDefault="006F1D2C" w:rsidP="006F1D2C">
            <w:pPr>
              <w:pStyle w:val="ExhibitText"/>
            </w:pPr>
            <w:r w:rsidRPr="008D27CB">
              <w:t>2019</w:t>
            </w:r>
          </w:p>
        </w:tc>
        <w:tc>
          <w:tcPr>
            <w:tcW w:w="1686" w:type="dxa"/>
            <w:shd w:val="clear" w:color="auto" w:fill="auto"/>
            <w:noWrap/>
            <w:vAlign w:val="bottom"/>
            <w:hideMark/>
          </w:tcPr>
          <w:p w14:paraId="521AA822" w14:textId="77777777" w:rsidR="006F1D2C" w:rsidRPr="008D27CB" w:rsidRDefault="006F1D2C" w:rsidP="00ED4036">
            <w:pPr>
              <w:pStyle w:val="ExhibitText"/>
              <w:jc w:val="center"/>
            </w:pPr>
            <w:r w:rsidRPr="008D27CB">
              <w:t>796</w:t>
            </w:r>
          </w:p>
        </w:tc>
      </w:tr>
      <w:tr w:rsidR="006F1D2C" w:rsidRPr="008D27CB" w14:paraId="24F16012" w14:textId="77777777" w:rsidTr="00ED4036">
        <w:trPr>
          <w:trHeight w:val="315"/>
          <w:jc w:val="center"/>
        </w:trPr>
        <w:tc>
          <w:tcPr>
            <w:tcW w:w="1144" w:type="dxa"/>
            <w:shd w:val="clear" w:color="auto" w:fill="auto"/>
            <w:noWrap/>
            <w:vAlign w:val="bottom"/>
            <w:hideMark/>
          </w:tcPr>
          <w:p w14:paraId="171EFF9D" w14:textId="77777777" w:rsidR="006F1D2C" w:rsidRPr="008D27CB" w:rsidRDefault="006F1D2C" w:rsidP="006F1D2C">
            <w:pPr>
              <w:pStyle w:val="ExhibitText"/>
            </w:pPr>
            <w:r w:rsidRPr="008D27CB">
              <w:t>2020</w:t>
            </w:r>
          </w:p>
        </w:tc>
        <w:tc>
          <w:tcPr>
            <w:tcW w:w="1686" w:type="dxa"/>
            <w:shd w:val="clear" w:color="auto" w:fill="auto"/>
            <w:noWrap/>
            <w:vAlign w:val="bottom"/>
            <w:hideMark/>
          </w:tcPr>
          <w:p w14:paraId="1B40EDD9" w14:textId="77777777" w:rsidR="006F1D2C" w:rsidRPr="008D27CB" w:rsidRDefault="006F1D2C" w:rsidP="00ED4036">
            <w:pPr>
              <w:pStyle w:val="ExhibitText"/>
              <w:jc w:val="center"/>
            </w:pPr>
            <w:r w:rsidRPr="008D27CB">
              <w:t>830</w:t>
            </w:r>
          </w:p>
        </w:tc>
      </w:tr>
    </w:tbl>
    <w:p w14:paraId="5AFF5BE4" w14:textId="77777777" w:rsidR="006F1D2C" w:rsidRPr="008D27CB" w:rsidRDefault="006F1D2C" w:rsidP="00ED4036">
      <w:pPr>
        <w:pStyle w:val="ExhibitText"/>
      </w:pPr>
    </w:p>
    <w:p w14:paraId="1175335D" w14:textId="7A79B08D" w:rsidR="006F1D2C" w:rsidRPr="008D27CB" w:rsidRDefault="006F1D2C" w:rsidP="006F1D2C">
      <w:pPr>
        <w:pStyle w:val="Footnote"/>
      </w:pPr>
      <w:r w:rsidRPr="00A326A2">
        <w:t xml:space="preserve">Source: </w:t>
      </w:r>
      <w:r w:rsidR="00A326A2">
        <w:t xml:space="preserve">Created by the authors. </w:t>
      </w:r>
    </w:p>
    <w:p w14:paraId="58404216" w14:textId="77777777" w:rsidR="006F1D2C" w:rsidRPr="008D27CB" w:rsidRDefault="006F1D2C" w:rsidP="00ED4036">
      <w:pPr>
        <w:pStyle w:val="ExhibitText"/>
      </w:pPr>
    </w:p>
    <w:p w14:paraId="343434E3" w14:textId="1103813F" w:rsidR="008D27CB" w:rsidRPr="008D27CB" w:rsidRDefault="008D27CB" w:rsidP="00ED4036">
      <w:pPr>
        <w:pStyle w:val="ExhibitText"/>
      </w:pPr>
      <w:r w:rsidRPr="008D27CB">
        <w:br w:type="page"/>
      </w:r>
    </w:p>
    <w:p w14:paraId="51DDBBB6" w14:textId="2B2DBD72" w:rsidR="006F1D2C" w:rsidRPr="008D27CB" w:rsidRDefault="006F1D2C" w:rsidP="006F1D2C">
      <w:pPr>
        <w:pStyle w:val="ExhibitHeading"/>
      </w:pPr>
      <w:r w:rsidRPr="008D27CB">
        <w:lastRenderedPageBreak/>
        <w:t xml:space="preserve">Exhibit 3: ClickDishes’ Projected </w:t>
      </w:r>
      <w:r w:rsidR="004A5B77" w:rsidRPr="008D27CB">
        <w:t xml:space="preserve">NET PROFIT </w:t>
      </w:r>
      <w:r w:rsidR="00026D95" w:rsidRPr="008D27CB">
        <w:t xml:space="preserve">(In </w:t>
      </w:r>
      <w:r w:rsidR="002D1C74" w:rsidRPr="008D27CB">
        <w:t>US$</w:t>
      </w:r>
      <w:r w:rsidR="006E4FE7">
        <w:t>)</w:t>
      </w:r>
    </w:p>
    <w:p w14:paraId="42770763" w14:textId="77777777" w:rsidR="006F1D2C" w:rsidRPr="008D27CB" w:rsidRDefault="006F1D2C" w:rsidP="00ED4036">
      <w:pPr>
        <w:pStyle w:val="ExhibitText"/>
      </w:pPr>
    </w:p>
    <w:p w14:paraId="00534C20" w14:textId="77777777" w:rsidR="00F731C0" w:rsidRDefault="00F731C0" w:rsidP="00ED4036">
      <w:pPr>
        <w:pStyle w:val="ExhibitText"/>
      </w:pPr>
    </w:p>
    <w:p w14:paraId="290349E8" w14:textId="304C75E3" w:rsidR="006F1D2C" w:rsidRPr="008D27CB" w:rsidRDefault="006F1D2C" w:rsidP="00ED4036">
      <w:pPr>
        <w:pStyle w:val="ExhibitText"/>
      </w:pPr>
      <w:r w:rsidRPr="008D27CB">
        <w:rPr>
          <w:noProof/>
          <w:lang w:eastAsia="en-GB"/>
        </w:rPr>
        <w:drawing>
          <wp:inline distT="0" distB="0" distL="0" distR="0" wp14:anchorId="12D512C0" wp14:editId="6B160CDB">
            <wp:extent cx="6400800" cy="2743200"/>
            <wp:effectExtent l="0" t="0" r="0" b="0"/>
            <wp:docPr id="1" name="Picture 1" descr="C:\Users\muralidharane\AppData\Local\Microsoft\Windows\Temporary Internet Files\Content.Outlook\D977NZ49\1 (0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muralidharane\AppData\Local\Microsoft\Windows\Temporary Internet Files\Content.Outlook\D977NZ49\1 (002).PNG"/>
                    <pic:cNvPicPr>
                      <a:picLocks noChangeAspect="1" noChangeArrowheads="1"/>
                    </pic:cNvPicPr>
                  </pic:nvPicPr>
                  <pic:blipFill rotWithShape="1">
                    <a:blip r:embed="rId9">
                      <a:grayscl/>
                      <a:extLst>
                        <a:ext uri="{28A0092B-C50C-407E-A947-70E740481C1C}">
                          <a14:useLocalDpi xmlns:a14="http://schemas.microsoft.com/office/drawing/2010/main" val="0"/>
                        </a:ext>
                      </a:extLst>
                    </a:blip>
                    <a:srcRect t="21770"/>
                    <a:stretch/>
                  </pic:blipFill>
                  <pic:spPr bwMode="auto">
                    <a:xfrm>
                      <a:off x="0" y="0"/>
                      <a:ext cx="6400800"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7E371F72" w14:textId="3016CD24" w:rsidR="006F1D2C" w:rsidRPr="008D27CB" w:rsidRDefault="006F1D2C" w:rsidP="006F1D2C">
      <w:pPr>
        <w:pStyle w:val="Footnote"/>
      </w:pPr>
      <w:r w:rsidRPr="008D27CB">
        <w:t xml:space="preserve">Source: </w:t>
      </w:r>
      <w:r w:rsidR="00A326A2">
        <w:t xml:space="preserve">Company documents. </w:t>
      </w:r>
    </w:p>
    <w:p w14:paraId="23BE5446" w14:textId="77777777" w:rsidR="006F1D2C" w:rsidRPr="008D27CB" w:rsidRDefault="006F1D2C" w:rsidP="00ED4036">
      <w:pPr>
        <w:pStyle w:val="ExhibitText"/>
      </w:pPr>
      <w:bookmarkStart w:id="0" w:name="_GoBack"/>
      <w:bookmarkEnd w:id="0"/>
    </w:p>
    <w:p w14:paraId="57B3BEA5" w14:textId="77777777" w:rsidR="006F1D2C" w:rsidRPr="008D27CB" w:rsidRDefault="006F1D2C" w:rsidP="00ED4036">
      <w:pPr>
        <w:pStyle w:val="ExhibitText"/>
        <w:rPr>
          <w:b/>
        </w:rPr>
      </w:pPr>
    </w:p>
    <w:p w14:paraId="25A5A925" w14:textId="07474A6A" w:rsidR="006F1D2C" w:rsidRPr="008D27CB" w:rsidRDefault="006F1D2C" w:rsidP="006F1D2C">
      <w:pPr>
        <w:pStyle w:val="ExhibitHeading"/>
      </w:pPr>
      <w:r w:rsidRPr="008D27CB">
        <w:t xml:space="preserve">Exhibit 4: ClickDishes’ Projected </w:t>
      </w:r>
      <w:r w:rsidR="004A5B77" w:rsidRPr="008D27CB">
        <w:t xml:space="preserve">REVENUE </w:t>
      </w:r>
      <w:r w:rsidR="00026D95" w:rsidRPr="008D27CB">
        <w:t xml:space="preserve">(In </w:t>
      </w:r>
      <w:r w:rsidR="002D1C74" w:rsidRPr="008D27CB">
        <w:t>US$</w:t>
      </w:r>
      <w:r w:rsidR="00026D95" w:rsidRPr="008D27CB">
        <w:t>)</w:t>
      </w:r>
    </w:p>
    <w:p w14:paraId="19FDBE7E" w14:textId="77777777" w:rsidR="006F1D2C" w:rsidRPr="008D27CB" w:rsidRDefault="006F1D2C" w:rsidP="00ED4036">
      <w:pPr>
        <w:pStyle w:val="ExhibitText"/>
        <w:rPr>
          <w:noProof/>
          <w:lang w:eastAsia="en-GB"/>
        </w:rPr>
      </w:pPr>
    </w:p>
    <w:p w14:paraId="20A14410" w14:textId="77777777" w:rsidR="007E28E6" w:rsidRDefault="007E28E6" w:rsidP="00ED4036">
      <w:pPr>
        <w:pStyle w:val="ExhibitText"/>
      </w:pPr>
    </w:p>
    <w:p w14:paraId="3681B613" w14:textId="2D90A1F0" w:rsidR="006F1D2C" w:rsidRPr="008D27CB" w:rsidRDefault="006F1D2C" w:rsidP="00ED4036">
      <w:pPr>
        <w:pStyle w:val="ExhibitText"/>
      </w:pPr>
      <w:r w:rsidRPr="008D27CB">
        <w:rPr>
          <w:noProof/>
          <w:lang w:eastAsia="en-GB"/>
        </w:rPr>
        <w:drawing>
          <wp:inline distT="0" distB="0" distL="0" distR="0" wp14:anchorId="25BD44BD" wp14:editId="7373F26E">
            <wp:extent cx="6400800" cy="2743200"/>
            <wp:effectExtent l="0" t="0" r="0" b="0"/>
            <wp:docPr id="2" name="Picture 2" descr="C:\Users\muralidharane\AppData\Local\Microsoft\Windows\Temporary Internet Files\Content.Outlook\D977NZ49\Capture (0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muralidharane\AppData\Local\Microsoft\Windows\Temporary Internet Files\Content.Outlook\D977NZ49\Capture (002).PNG"/>
                    <pic:cNvPicPr>
                      <a:picLocks noChangeAspect="1" noChangeArrowheads="1"/>
                    </pic:cNvPicPr>
                  </pic:nvPicPr>
                  <pic:blipFill rotWithShape="1">
                    <a:blip r:embed="rId10">
                      <a:grayscl/>
                      <a:extLst>
                        <a:ext uri="{28A0092B-C50C-407E-A947-70E740481C1C}">
                          <a14:useLocalDpi xmlns:a14="http://schemas.microsoft.com/office/drawing/2010/main" val="0"/>
                        </a:ext>
                      </a:extLst>
                    </a:blip>
                    <a:srcRect t="16651"/>
                    <a:stretch/>
                  </pic:blipFill>
                  <pic:spPr bwMode="auto">
                    <a:xfrm>
                      <a:off x="0" y="0"/>
                      <a:ext cx="6400800"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2932C9A0" w14:textId="1410DF39" w:rsidR="006F1D2C" w:rsidRPr="00026D95" w:rsidRDefault="006F1D2C" w:rsidP="006F1D2C">
      <w:pPr>
        <w:pStyle w:val="Footnote"/>
        <w:rPr>
          <w:rFonts w:ascii="Times New Roman" w:hAnsi="Times New Roman" w:cs="Times New Roman"/>
        </w:rPr>
      </w:pPr>
      <w:r w:rsidRPr="008D27CB">
        <w:t xml:space="preserve">Source: </w:t>
      </w:r>
      <w:r w:rsidR="00A326A2">
        <w:t xml:space="preserve">Company documents. </w:t>
      </w:r>
    </w:p>
    <w:p w14:paraId="1C6DC6FC" w14:textId="77777777" w:rsidR="006F1D2C" w:rsidRPr="00026D95" w:rsidRDefault="006F1D2C" w:rsidP="00ED4036">
      <w:pPr>
        <w:pStyle w:val="ExhibitText"/>
      </w:pPr>
    </w:p>
    <w:sectPr w:rsidR="006F1D2C" w:rsidRPr="00026D95"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B7C5D7" w16cid:durableId="1E3960AE"/>
  <w16cid:commentId w16cid:paraId="7AF60D64" w16cid:durableId="1E3962D3"/>
  <w16cid:commentId w16cid:paraId="2CC0B8C2" w16cid:durableId="1E3963A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8B766E" w14:textId="77777777" w:rsidR="00FE27D1" w:rsidRDefault="00FE27D1" w:rsidP="00D75295">
      <w:r>
        <w:separator/>
      </w:r>
    </w:p>
  </w:endnote>
  <w:endnote w:type="continuationSeparator" w:id="0">
    <w:p w14:paraId="698AAB95" w14:textId="77777777" w:rsidR="00FE27D1" w:rsidRDefault="00FE27D1"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45 Light">
    <w:altName w:val="Arial"/>
    <w:charset w:val="00"/>
    <w:family w:val="auto"/>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A1C52E" w14:textId="77777777" w:rsidR="00FE27D1" w:rsidRDefault="00FE27D1" w:rsidP="00D75295">
      <w:r>
        <w:separator/>
      </w:r>
    </w:p>
  </w:footnote>
  <w:footnote w:type="continuationSeparator" w:id="0">
    <w:p w14:paraId="056D5A25" w14:textId="77777777" w:rsidR="00FE27D1" w:rsidRDefault="00FE27D1" w:rsidP="00D75295">
      <w:r>
        <w:continuationSeparator/>
      </w:r>
    </w:p>
  </w:footnote>
  <w:footnote w:id="1">
    <w:p w14:paraId="603AAFC4" w14:textId="07BA5416" w:rsidR="00D07CF5" w:rsidRPr="00F72C86" w:rsidRDefault="00D07CF5" w:rsidP="006F1D2C">
      <w:pPr>
        <w:pStyle w:val="Footnote"/>
        <w:rPr>
          <w:lang w:val="en-CA"/>
        </w:rPr>
      </w:pPr>
      <w:r w:rsidRPr="00F72C86">
        <w:rPr>
          <w:rStyle w:val="FootnoteReference"/>
        </w:rPr>
        <w:footnoteRef/>
      </w:r>
      <w:r w:rsidRPr="00F72C86">
        <w:t xml:space="preserve"> </w:t>
      </w:r>
      <w:r w:rsidRPr="00F72C86">
        <w:rPr>
          <w:lang w:val="en-CA"/>
        </w:rPr>
        <w:t xml:space="preserve">All </w:t>
      </w:r>
      <w:r>
        <w:rPr>
          <w:lang w:val="en-CA"/>
        </w:rPr>
        <w:t>currency amounts</w:t>
      </w:r>
      <w:r w:rsidRPr="00F72C86">
        <w:rPr>
          <w:lang w:val="en-CA"/>
        </w:rPr>
        <w:t xml:space="preserve"> are in US$ unless otherwise specified.</w:t>
      </w:r>
    </w:p>
  </w:footnote>
  <w:footnote w:id="2">
    <w:p w14:paraId="4675CA18" w14:textId="186EBC1C" w:rsidR="00D07CF5" w:rsidRPr="00D04C84" w:rsidRDefault="00D07CF5" w:rsidP="007E28E6">
      <w:pPr>
        <w:pStyle w:val="Footnote"/>
      </w:pPr>
      <w:r w:rsidRPr="00D04C84">
        <w:rPr>
          <w:rStyle w:val="FootnoteReference"/>
        </w:rPr>
        <w:footnoteRef/>
      </w:r>
      <w:r w:rsidRPr="00D04C84">
        <w:t xml:space="preserve"> </w:t>
      </w:r>
      <w:r w:rsidR="00CD6DFB">
        <w:rPr>
          <w:rFonts w:eastAsiaTheme="minorEastAsia"/>
        </w:rPr>
        <w:t>CA$1 = US$0.80</w:t>
      </w:r>
      <w:r w:rsidRPr="00ED4036">
        <w:rPr>
          <w:rFonts w:eastAsiaTheme="minorEastAsia"/>
        </w:rPr>
        <w:t xml:space="preserve"> on June 1, 2015</w:t>
      </w:r>
      <w:r w:rsidR="008D27CB" w:rsidRPr="00ED4036">
        <w:rPr>
          <w:rFonts w:eastAsiaTheme="minorEastAsia"/>
        </w:rPr>
        <w:t xml:space="preserve">; </w:t>
      </w:r>
      <w:r w:rsidRPr="007E28E6">
        <w:t>Statistics Canada, “Gross Domestic Product, Expenditure-Based, Provincial and Territorial,” Canada.ca, accessed April 26, 2017, www5.statcan.gc.ca/cansim/a46?lang=eng&amp;childId=3840038&amp;viewId=3; Statistics Canada, “Estimates of Population by Age Group and Sex for July 1, Canada, Provinces and Territories,” Canada.ca, accessed April 26, 2017, www5.statcan.gc.ca/cansim/a26?lang=eng&amp;retrLang=eng&amp;id=0510001</w:t>
      </w:r>
      <w:r w:rsidRPr="00D04C84">
        <w:t>.</w:t>
      </w:r>
    </w:p>
  </w:footnote>
  <w:footnote w:id="3">
    <w:p w14:paraId="2FD6D708" w14:textId="66739A13" w:rsidR="00D07CF5" w:rsidRPr="00D04C84" w:rsidRDefault="00D07CF5" w:rsidP="00F26201">
      <w:pPr>
        <w:pStyle w:val="Footnote"/>
      </w:pPr>
      <w:r w:rsidRPr="00D04C84">
        <w:rPr>
          <w:rStyle w:val="FootnoteReference"/>
        </w:rPr>
        <w:footnoteRef/>
      </w:r>
      <w:r w:rsidRPr="00D04C84">
        <w:t xml:space="preserve"> Statistics Canada, “Survey of Household Spending, 2015</w:t>
      </w:r>
      <w:r w:rsidR="007E28E6">
        <w:t>,</w:t>
      </w:r>
      <w:r w:rsidRPr="00D04C84">
        <w:t>” Canada.ca, accessed April 28, 2017, www.statcan.gc.ca/daily-quotidien/170127/dq170127a-eng.htm.</w:t>
      </w:r>
    </w:p>
  </w:footnote>
  <w:footnote w:id="4">
    <w:p w14:paraId="60041F5A" w14:textId="3AE72194" w:rsidR="00D07CF5" w:rsidRPr="00653DDA" w:rsidRDefault="00D07CF5" w:rsidP="00F26201">
      <w:pPr>
        <w:pStyle w:val="Footnote"/>
      </w:pPr>
      <w:r>
        <w:rPr>
          <w:rStyle w:val="FootnoteReference"/>
        </w:rPr>
        <w:footnoteRef/>
      </w:r>
      <w:r>
        <w:t xml:space="preserve"> </w:t>
      </w:r>
      <w:r w:rsidR="007E28E6">
        <w:t>“</w:t>
      </w:r>
      <w:r>
        <w:rPr>
          <w:bdr w:val="none" w:sz="0" w:space="0" w:color="auto" w:frame="1"/>
        </w:rPr>
        <w:t xml:space="preserve">Americans’ Most Common Restaurant Complaints Go beyond a Fly in Their Soup,” </w:t>
      </w:r>
      <w:r w:rsidRPr="00F26201">
        <w:rPr>
          <w:i/>
          <w:bdr w:val="none" w:sz="0" w:space="0" w:color="auto" w:frame="1"/>
        </w:rPr>
        <w:t>Consumer Reports</w:t>
      </w:r>
      <w:r>
        <w:rPr>
          <w:bdr w:val="none" w:sz="0" w:space="0" w:color="auto" w:frame="1"/>
        </w:rPr>
        <w:t>, July 2014, accessed January 29</w:t>
      </w:r>
      <w:r w:rsidR="007E28E6">
        <w:rPr>
          <w:bdr w:val="none" w:sz="0" w:space="0" w:color="auto" w:frame="1"/>
        </w:rPr>
        <w:t>,</w:t>
      </w:r>
      <w:r>
        <w:rPr>
          <w:bdr w:val="none" w:sz="0" w:space="0" w:color="auto" w:frame="1"/>
        </w:rPr>
        <w:t xml:space="preserve"> 2018,</w:t>
      </w:r>
      <w:r w:rsidRPr="00D04C84">
        <w:t xml:space="preserve"> www.consumerreports.org/cro/magazine/2014/08/most-common-restaurant-complaints/index.htm</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675E1" w14:textId="593015C2" w:rsidR="00D07CF5" w:rsidRDefault="00D07CF5"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D6DFB">
      <w:rPr>
        <w:rFonts w:ascii="Arial" w:hAnsi="Arial"/>
        <w:b/>
        <w:noProof/>
      </w:rPr>
      <w:t>9</w:t>
    </w:r>
    <w:r>
      <w:rPr>
        <w:rFonts w:ascii="Arial" w:hAnsi="Arial"/>
        <w:b/>
      </w:rPr>
      <w:fldChar w:fldCharType="end"/>
    </w:r>
    <w:r>
      <w:rPr>
        <w:rFonts w:ascii="Arial" w:hAnsi="Arial"/>
        <w:b/>
      </w:rPr>
      <w:tab/>
    </w:r>
    <w:r w:rsidR="008D27CB">
      <w:rPr>
        <w:rFonts w:ascii="Arial" w:hAnsi="Arial"/>
        <w:b/>
      </w:rPr>
      <w:t>9B18A</w:t>
    </w:r>
    <w:r w:rsidR="00A326A2">
      <w:rPr>
        <w:rFonts w:ascii="Arial" w:hAnsi="Arial"/>
        <w:b/>
      </w:rPr>
      <w:t>018</w:t>
    </w:r>
  </w:p>
  <w:p w14:paraId="7C44FE91" w14:textId="77777777" w:rsidR="00D07CF5" w:rsidRPr="00C92CC4" w:rsidRDefault="00D07CF5">
    <w:pPr>
      <w:pStyle w:val="Header"/>
      <w:rPr>
        <w:sz w:val="18"/>
        <w:szCs w:val="18"/>
      </w:rPr>
    </w:pPr>
  </w:p>
  <w:p w14:paraId="7DE70BF7" w14:textId="77777777" w:rsidR="00D07CF5" w:rsidRPr="00C92CC4" w:rsidRDefault="00D07CF5">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46EE0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E34E61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CCC42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3D20BC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682D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1EA5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4A42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68445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30D0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0CA0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FD6958"/>
    <w:multiLevelType w:val="hybridMultilevel"/>
    <w:tmpl w:val="0AD4D8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7E30984"/>
    <w:multiLevelType w:val="hybridMultilevel"/>
    <w:tmpl w:val="D38C3936"/>
    <w:lvl w:ilvl="0" w:tplc="35406772">
      <w:start w:val="1"/>
      <w:numFmt w:val="bullet"/>
      <w:lvlText w:val=""/>
      <w:lvlJc w:val="left"/>
      <w:pPr>
        <w:ind w:left="360" w:hanging="360"/>
      </w:pPr>
      <w:rPr>
        <w:rFonts w:ascii="Symbol" w:hAnsi="Symbol" w:hint="default"/>
        <w:b w:val="0"/>
        <w:vertAlign w:val="baseline"/>
      </w:rPr>
    </w:lvl>
    <w:lvl w:ilvl="1" w:tplc="B88AFB8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C544CD"/>
    <w:multiLevelType w:val="hybridMultilevel"/>
    <w:tmpl w:val="69FC45A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2" w15:restartNumberingAfterBreak="0">
    <w:nsid w:val="50D65B84"/>
    <w:multiLevelType w:val="hybridMultilevel"/>
    <w:tmpl w:val="E36A19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6"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7"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69F0C26"/>
    <w:multiLevelType w:val="hybridMultilevel"/>
    <w:tmpl w:val="9B826CE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1"/>
  </w:num>
  <w:num w:numId="13">
    <w:abstractNumId w:val="12"/>
  </w:num>
  <w:num w:numId="14">
    <w:abstractNumId w:val="23"/>
  </w:num>
  <w:num w:numId="15">
    <w:abstractNumId w:val="24"/>
  </w:num>
  <w:num w:numId="16">
    <w:abstractNumId w:val="25"/>
  </w:num>
  <w:num w:numId="17">
    <w:abstractNumId w:val="17"/>
  </w:num>
  <w:num w:numId="18">
    <w:abstractNumId w:val="26"/>
  </w:num>
  <w:num w:numId="19">
    <w:abstractNumId w:val="11"/>
  </w:num>
  <w:num w:numId="20">
    <w:abstractNumId w:val="10"/>
  </w:num>
  <w:num w:numId="21">
    <w:abstractNumId w:val="27"/>
  </w:num>
  <w:num w:numId="22">
    <w:abstractNumId w:val="20"/>
  </w:num>
  <w:num w:numId="23">
    <w:abstractNumId w:val="29"/>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9"/>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9"/>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19"/>
  </w:num>
  <w:num w:numId="28">
    <w:abstractNumId w:val="13"/>
  </w:num>
  <w:num w:numId="29">
    <w:abstractNumId w:val="22"/>
  </w:num>
  <w:num w:numId="30">
    <w:abstractNumId w:val="28"/>
  </w:num>
  <w:num w:numId="31">
    <w:abstractNumId w:val="18"/>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3A7C"/>
    <w:rsid w:val="00013360"/>
    <w:rsid w:val="000216CE"/>
    <w:rsid w:val="0002382B"/>
    <w:rsid w:val="00025DC7"/>
    <w:rsid w:val="00026486"/>
    <w:rsid w:val="00026D95"/>
    <w:rsid w:val="0003180E"/>
    <w:rsid w:val="00032D2E"/>
    <w:rsid w:val="00040990"/>
    <w:rsid w:val="00044ECC"/>
    <w:rsid w:val="000531D3"/>
    <w:rsid w:val="0005646B"/>
    <w:rsid w:val="00057735"/>
    <w:rsid w:val="0008102D"/>
    <w:rsid w:val="0008351A"/>
    <w:rsid w:val="00094C0E"/>
    <w:rsid w:val="000B351D"/>
    <w:rsid w:val="000C4C55"/>
    <w:rsid w:val="000F0C22"/>
    <w:rsid w:val="000F6B09"/>
    <w:rsid w:val="000F6FDC"/>
    <w:rsid w:val="00104567"/>
    <w:rsid w:val="00110CF2"/>
    <w:rsid w:val="0012732D"/>
    <w:rsid w:val="0013039A"/>
    <w:rsid w:val="00154F6D"/>
    <w:rsid w:val="00154FC9"/>
    <w:rsid w:val="001625AB"/>
    <w:rsid w:val="00183069"/>
    <w:rsid w:val="0019241A"/>
    <w:rsid w:val="001A04F0"/>
    <w:rsid w:val="001A5335"/>
    <w:rsid w:val="001A5B16"/>
    <w:rsid w:val="001A752D"/>
    <w:rsid w:val="001B2FA7"/>
    <w:rsid w:val="001D0732"/>
    <w:rsid w:val="00203AA1"/>
    <w:rsid w:val="0021151D"/>
    <w:rsid w:val="00213E98"/>
    <w:rsid w:val="00226084"/>
    <w:rsid w:val="002C0ACC"/>
    <w:rsid w:val="002D1C74"/>
    <w:rsid w:val="002E32F0"/>
    <w:rsid w:val="002E72BE"/>
    <w:rsid w:val="002F460C"/>
    <w:rsid w:val="002F48D6"/>
    <w:rsid w:val="003528A1"/>
    <w:rsid w:val="00354899"/>
    <w:rsid w:val="00355FD6"/>
    <w:rsid w:val="00361C8E"/>
    <w:rsid w:val="00364A5C"/>
    <w:rsid w:val="00371505"/>
    <w:rsid w:val="00373FB1"/>
    <w:rsid w:val="00392796"/>
    <w:rsid w:val="003A71CA"/>
    <w:rsid w:val="003B30D8"/>
    <w:rsid w:val="003B3D71"/>
    <w:rsid w:val="003B7EF2"/>
    <w:rsid w:val="003C0EDC"/>
    <w:rsid w:val="003C3FA4"/>
    <w:rsid w:val="003F2B0C"/>
    <w:rsid w:val="004215B6"/>
    <w:rsid w:val="004221E4"/>
    <w:rsid w:val="0046787C"/>
    <w:rsid w:val="00471088"/>
    <w:rsid w:val="004818F0"/>
    <w:rsid w:val="00482443"/>
    <w:rsid w:val="00483AF9"/>
    <w:rsid w:val="004A4B80"/>
    <w:rsid w:val="004A4E28"/>
    <w:rsid w:val="004A5B77"/>
    <w:rsid w:val="004A6C2B"/>
    <w:rsid w:val="004B1CCB"/>
    <w:rsid w:val="004C4E94"/>
    <w:rsid w:val="004C5F3C"/>
    <w:rsid w:val="004D1117"/>
    <w:rsid w:val="004D73A5"/>
    <w:rsid w:val="004E4926"/>
    <w:rsid w:val="00527870"/>
    <w:rsid w:val="00532CF5"/>
    <w:rsid w:val="00546143"/>
    <w:rsid w:val="005528CB"/>
    <w:rsid w:val="00566771"/>
    <w:rsid w:val="00581E2E"/>
    <w:rsid w:val="00583FCC"/>
    <w:rsid w:val="00584F15"/>
    <w:rsid w:val="005A0FAB"/>
    <w:rsid w:val="005B1E1C"/>
    <w:rsid w:val="005F1063"/>
    <w:rsid w:val="00612CAE"/>
    <w:rsid w:val="006163F7"/>
    <w:rsid w:val="00627E09"/>
    <w:rsid w:val="0064463F"/>
    <w:rsid w:val="00652606"/>
    <w:rsid w:val="00653DDA"/>
    <w:rsid w:val="0065528D"/>
    <w:rsid w:val="00665298"/>
    <w:rsid w:val="00673D03"/>
    <w:rsid w:val="00682754"/>
    <w:rsid w:val="00694D27"/>
    <w:rsid w:val="006A58A9"/>
    <w:rsid w:val="006A606D"/>
    <w:rsid w:val="006B7F7A"/>
    <w:rsid w:val="006C0371"/>
    <w:rsid w:val="006C08B6"/>
    <w:rsid w:val="006C0B1A"/>
    <w:rsid w:val="006C2896"/>
    <w:rsid w:val="006C4384"/>
    <w:rsid w:val="006C6065"/>
    <w:rsid w:val="006C7F9F"/>
    <w:rsid w:val="006D1499"/>
    <w:rsid w:val="006E2F6D"/>
    <w:rsid w:val="006E4FE7"/>
    <w:rsid w:val="006E58F6"/>
    <w:rsid w:val="006E77E1"/>
    <w:rsid w:val="006E7861"/>
    <w:rsid w:val="006F131D"/>
    <w:rsid w:val="006F1D2C"/>
    <w:rsid w:val="006F1D9E"/>
    <w:rsid w:val="00752BCD"/>
    <w:rsid w:val="00766DA1"/>
    <w:rsid w:val="00783944"/>
    <w:rsid w:val="007866A6"/>
    <w:rsid w:val="007A130D"/>
    <w:rsid w:val="007B68FC"/>
    <w:rsid w:val="007C0C38"/>
    <w:rsid w:val="007D4102"/>
    <w:rsid w:val="007E28E6"/>
    <w:rsid w:val="007E5921"/>
    <w:rsid w:val="00815E0E"/>
    <w:rsid w:val="00817D25"/>
    <w:rsid w:val="00821FFC"/>
    <w:rsid w:val="00824C5F"/>
    <w:rsid w:val="00825905"/>
    <w:rsid w:val="008271CA"/>
    <w:rsid w:val="0083792D"/>
    <w:rsid w:val="008467D5"/>
    <w:rsid w:val="00855240"/>
    <w:rsid w:val="00856D9F"/>
    <w:rsid w:val="00866F6D"/>
    <w:rsid w:val="008A4DC4"/>
    <w:rsid w:val="008D0880"/>
    <w:rsid w:val="008D27CB"/>
    <w:rsid w:val="008E093E"/>
    <w:rsid w:val="008F531D"/>
    <w:rsid w:val="009067A4"/>
    <w:rsid w:val="0090722E"/>
    <w:rsid w:val="009141F6"/>
    <w:rsid w:val="00930363"/>
    <w:rsid w:val="00933165"/>
    <w:rsid w:val="009340DB"/>
    <w:rsid w:val="00945F9E"/>
    <w:rsid w:val="00972498"/>
    <w:rsid w:val="00974CC6"/>
    <w:rsid w:val="00976A54"/>
    <w:rsid w:val="00976AD4"/>
    <w:rsid w:val="00981366"/>
    <w:rsid w:val="00985677"/>
    <w:rsid w:val="0099525E"/>
    <w:rsid w:val="009A312F"/>
    <w:rsid w:val="009A5348"/>
    <w:rsid w:val="009A67BB"/>
    <w:rsid w:val="009C67F2"/>
    <w:rsid w:val="009C76D5"/>
    <w:rsid w:val="009E6551"/>
    <w:rsid w:val="009E7507"/>
    <w:rsid w:val="009F7AA4"/>
    <w:rsid w:val="00A06552"/>
    <w:rsid w:val="00A242A9"/>
    <w:rsid w:val="00A326A2"/>
    <w:rsid w:val="00A32B78"/>
    <w:rsid w:val="00A559DB"/>
    <w:rsid w:val="00A62862"/>
    <w:rsid w:val="00A930BE"/>
    <w:rsid w:val="00AC4073"/>
    <w:rsid w:val="00AC78FB"/>
    <w:rsid w:val="00AF35FC"/>
    <w:rsid w:val="00B03639"/>
    <w:rsid w:val="00B04E92"/>
    <w:rsid w:val="00B0652A"/>
    <w:rsid w:val="00B0766D"/>
    <w:rsid w:val="00B25B21"/>
    <w:rsid w:val="00B3757D"/>
    <w:rsid w:val="00B40937"/>
    <w:rsid w:val="00B423EF"/>
    <w:rsid w:val="00B453DE"/>
    <w:rsid w:val="00B4742F"/>
    <w:rsid w:val="00B901F9"/>
    <w:rsid w:val="00B95092"/>
    <w:rsid w:val="00BA7990"/>
    <w:rsid w:val="00BB7BCC"/>
    <w:rsid w:val="00BD6EFB"/>
    <w:rsid w:val="00C15BE2"/>
    <w:rsid w:val="00C22219"/>
    <w:rsid w:val="00C3447F"/>
    <w:rsid w:val="00C81491"/>
    <w:rsid w:val="00C81676"/>
    <w:rsid w:val="00C85798"/>
    <w:rsid w:val="00C92CC4"/>
    <w:rsid w:val="00C93BEE"/>
    <w:rsid w:val="00CA0AFB"/>
    <w:rsid w:val="00CA1F2D"/>
    <w:rsid w:val="00CA2CE1"/>
    <w:rsid w:val="00CA3976"/>
    <w:rsid w:val="00CA757B"/>
    <w:rsid w:val="00CB6B09"/>
    <w:rsid w:val="00CC05B3"/>
    <w:rsid w:val="00CC1787"/>
    <w:rsid w:val="00CC182C"/>
    <w:rsid w:val="00CD0824"/>
    <w:rsid w:val="00CD2908"/>
    <w:rsid w:val="00CD6DFB"/>
    <w:rsid w:val="00D03A82"/>
    <w:rsid w:val="00D07CF5"/>
    <w:rsid w:val="00D07D73"/>
    <w:rsid w:val="00D15344"/>
    <w:rsid w:val="00D2150A"/>
    <w:rsid w:val="00D31BEC"/>
    <w:rsid w:val="00D506C3"/>
    <w:rsid w:val="00D617B4"/>
    <w:rsid w:val="00D61D83"/>
    <w:rsid w:val="00D63150"/>
    <w:rsid w:val="00D64A32"/>
    <w:rsid w:val="00D64EFC"/>
    <w:rsid w:val="00D75295"/>
    <w:rsid w:val="00D76CE9"/>
    <w:rsid w:val="00D97F12"/>
    <w:rsid w:val="00DB42E7"/>
    <w:rsid w:val="00DE0F49"/>
    <w:rsid w:val="00DF32C2"/>
    <w:rsid w:val="00DF408E"/>
    <w:rsid w:val="00E40601"/>
    <w:rsid w:val="00E471A7"/>
    <w:rsid w:val="00E635CF"/>
    <w:rsid w:val="00E654FE"/>
    <w:rsid w:val="00E67B04"/>
    <w:rsid w:val="00E83B28"/>
    <w:rsid w:val="00E95055"/>
    <w:rsid w:val="00EA2E58"/>
    <w:rsid w:val="00EB5410"/>
    <w:rsid w:val="00EC6E0A"/>
    <w:rsid w:val="00ED4036"/>
    <w:rsid w:val="00ED4E18"/>
    <w:rsid w:val="00ED6050"/>
    <w:rsid w:val="00EE1F37"/>
    <w:rsid w:val="00EE282A"/>
    <w:rsid w:val="00F0159C"/>
    <w:rsid w:val="00F105B7"/>
    <w:rsid w:val="00F159BF"/>
    <w:rsid w:val="00F17A21"/>
    <w:rsid w:val="00F26201"/>
    <w:rsid w:val="00F50E91"/>
    <w:rsid w:val="00F57D29"/>
    <w:rsid w:val="00F614DC"/>
    <w:rsid w:val="00F731C0"/>
    <w:rsid w:val="00F92A99"/>
    <w:rsid w:val="00F96201"/>
    <w:rsid w:val="00FB3320"/>
    <w:rsid w:val="00FC30E9"/>
    <w:rsid w:val="00FD0B18"/>
    <w:rsid w:val="00FD0F82"/>
    <w:rsid w:val="00FD2B9B"/>
    <w:rsid w:val="00FE27D1"/>
    <w:rsid w:val="00FE61C5"/>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3605D52"/>
  <w15:docId w15:val="{0B4D221B-424F-4528-BDD2-E2AA5EA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46143"/>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link w:val="Heading1Char"/>
    <w:uiPriority w:val="9"/>
    <w:qFormat/>
    <w:rsid w:val="0003180E"/>
    <w:pPr>
      <w:spacing w:before="100" w:beforeAutospacing="1" w:after="100" w:afterAutospacing="1"/>
      <w:outlineLvl w:val="0"/>
    </w:pPr>
    <w:rPr>
      <w:rFonts w:eastAsiaTheme="minorHAnsi"/>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IveyQuotes">
    <w:name w:val="Ivey Quotes"/>
    <w:basedOn w:val="Normal"/>
    <w:link w:val="IveyQuotesChar"/>
    <w:qFormat/>
    <w:rsid w:val="004A4B80"/>
    <w:pPr>
      <w:tabs>
        <w:tab w:val="left" w:pos="-1440"/>
        <w:tab w:val="left" w:pos="-720"/>
        <w:tab w:val="left" w:pos="1"/>
        <w:tab w:val="right" w:pos="9360"/>
      </w:tabs>
      <w:ind w:left="284"/>
      <w:contextualSpacing/>
      <w:jc w:val="both"/>
    </w:pPr>
    <w:rPr>
      <w:sz w:val="22"/>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 w:type="paragraph" w:customStyle="1" w:styleId="Default">
    <w:name w:val="Default"/>
    <w:rsid w:val="006F1D2C"/>
    <w:pPr>
      <w:autoSpaceDE w:val="0"/>
      <w:autoSpaceDN w:val="0"/>
      <w:adjustRightInd w:val="0"/>
      <w:spacing w:after="0" w:line="240" w:lineRule="auto"/>
    </w:pPr>
    <w:rPr>
      <w:rFonts w:ascii="Helvetica 45 Light" w:eastAsiaTheme="minorEastAsia" w:hAnsi="Helvetica 45 Light" w:cs="Helvetica 45 Light"/>
      <w:color w:val="000000"/>
      <w:sz w:val="24"/>
      <w:szCs w:val="24"/>
    </w:rPr>
  </w:style>
  <w:style w:type="character" w:customStyle="1" w:styleId="Heading1Char">
    <w:name w:val="Heading 1 Char"/>
    <w:basedOn w:val="DefaultParagraphFont"/>
    <w:link w:val="Heading1"/>
    <w:uiPriority w:val="9"/>
    <w:rsid w:val="0003180E"/>
    <w:rPr>
      <w:rFonts w:ascii="Times New Roman" w:hAnsi="Times New Roman" w:cs="Times New Roman"/>
      <w:b/>
      <w:bCs/>
      <w:kern w:val="36"/>
      <w:sz w:val="48"/>
      <w:szCs w:val="48"/>
    </w:rPr>
  </w:style>
  <w:style w:type="character" w:customStyle="1" w:styleId="UnresolvedMention1">
    <w:name w:val="Unresolved Mention1"/>
    <w:basedOn w:val="DefaultParagraphFont"/>
    <w:uiPriority w:val="99"/>
    <w:semiHidden/>
    <w:unhideWhenUsed/>
    <w:rsid w:val="00817D25"/>
    <w:rPr>
      <w:color w:val="808080"/>
      <w:shd w:val="clear" w:color="auto" w:fill="E6E6E6"/>
    </w:rPr>
  </w:style>
  <w:style w:type="table" w:customStyle="1" w:styleId="TableGrid1">
    <w:name w:val="Table Grid1"/>
    <w:basedOn w:val="TableNormal"/>
    <w:next w:val="TableGrid"/>
    <w:uiPriority w:val="59"/>
    <w:rsid w:val="008D27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93368">
      <w:bodyDiv w:val="1"/>
      <w:marLeft w:val="0"/>
      <w:marRight w:val="0"/>
      <w:marTop w:val="0"/>
      <w:marBottom w:val="0"/>
      <w:divBdr>
        <w:top w:val="none" w:sz="0" w:space="0" w:color="auto"/>
        <w:left w:val="none" w:sz="0" w:space="0" w:color="auto"/>
        <w:bottom w:val="none" w:sz="0" w:space="0" w:color="auto"/>
        <w:right w:val="none" w:sz="0" w:space="0" w:color="auto"/>
      </w:divBdr>
    </w:div>
    <w:div w:id="853885826">
      <w:bodyDiv w:val="1"/>
      <w:marLeft w:val="0"/>
      <w:marRight w:val="0"/>
      <w:marTop w:val="0"/>
      <w:marBottom w:val="0"/>
      <w:divBdr>
        <w:top w:val="none" w:sz="0" w:space="0" w:color="auto"/>
        <w:left w:val="none" w:sz="0" w:space="0" w:color="auto"/>
        <w:bottom w:val="none" w:sz="0" w:space="0" w:color="auto"/>
        <w:right w:val="none" w:sz="0" w:space="0" w:color="auto"/>
      </w:divBdr>
    </w:div>
    <w:div w:id="1295327416">
      <w:bodyDiv w:val="1"/>
      <w:marLeft w:val="0"/>
      <w:marRight w:val="0"/>
      <w:marTop w:val="0"/>
      <w:marBottom w:val="0"/>
      <w:divBdr>
        <w:top w:val="none" w:sz="0" w:space="0" w:color="auto"/>
        <w:left w:val="none" w:sz="0" w:space="0" w:color="auto"/>
        <w:bottom w:val="none" w:sz="0" w:space="0" w:color="auto"/>
        <w:right w:val="none" w:sz="0" w:space="0" w:color="auto"/>
      </w:divBdr>
    </w:div>
    <w:div w:id="133523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B4289-F9CB-41B7-AB3C-477C126BA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3521</Words>
  <Characters>20072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3</cp:revision>
  <cp:lastPrinted>2018-02-12T14:23:00Z</cp:lastPrinted>
  <dcterms:created xsi:type="dcterms:W3CDTF">2018-03-09T13:46:00Z</dcterms:created>
  <dcterms:modified xsi:type="dcterms:W3CDTF">2018-03-13T18:45:00Z</dcterms:modified>
</cp:coreProperties>
</file>