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098EA" w14:textId="77777777" w:rsidR="00096410" w:rsidRDefault="00096410" w:rsidP="00096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1F9B189" wp14:editId="131CCF2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6472240" w14:textId="46748F49" w:rsidR="00096410" w:rsidRDefault="00EE1557" w:rsidP="00096410">
      <w:pPr>
        <w:pStyle w:val="ProductNumber"/>
      </w:pPr>
      <w:r>
        <w:rPr>
          <w:lang w:val="en-GB"/>
        </w:rPr>
        <w:t>9B18A021</w:t>
      </w:r>
    </w:p>
    <w:p w14:paraId="1B7136DE" w14:textId="77777777" w:rsidR="00D75295" w:rsidRPr="00E859CA" w:rsidRDefault="00D75295" w:rsidP="00D75295">
      <w:pPr>
        <w:jc w:val="right"/>
        <w:rPr>
          <w:rFonts w:ascii="Arial" w:hAnsi="Arial"/>
          <w:b/>
          <w:sz w:val="28"/>
          <w:szCs w:val="28"/>
          <w:lang w:val="en-GB"/>
        </w:rPr>
      </w:pPr>
    </w:p>
    <w:p w14:paraId="61529393" w14:textId="77777777" w:rsidR="00866F6D" w:rsidRPr="00E859CA" w:rsidRDefault="00866F6D" w:rsidP="00D75295">
      <w:pPr>
        <w:jc w:val="right"/>
        <w:rPr>
          <w:rFonts w:ascii="Arial" w:hAnsi="Arial"/>
          <w:b/>
          <w:sz w:val="28"/>
          <w:szCs w:val="28"/>
          <w:lang w:val="en-GB"/>
        </w:rPr>
      </w:pPr>
    </w:p>
    <w:p w14:paraId="37F45FB2" w14:textId="77777777" w:rsidR="00013360" w:rsidRPr="00E859CA" w:rsidRDefault="009624CA" w:rsidP="00013360">
      <w:pPr>
        <w:pStyle w:val="CaseTitle"/>
        <w:spacing w:after="0" w:line="240" w:lineRule="auto"/>
        <w:rPr>
          <w:lang w:val="en-GB"/>
        </w:rPr>
      </w:pPr>
      <w:r w:rsidRPr="00E859CA">
        <w:rPr>
          <w:lang w:val="en-GB"/>
        </w:rPr>
        <w:t>ART WITH IMPACT: NON-PROFIT FUNDRAISING</w:t>
      </w:r>
    </w:p>
    <w:p w14:paraId="0E508356" w14:textId="77777777" w:rsidR="00CA3976" w:rsidRPr="00E859CA" w:rsidRDefault="00CA3976" w:rsidP="00013360">
      <w:pPr>
        <w:pStyle w:val="CaseTitle"/>
        <w:spacing w:after="0" w:line="240" w:lineRule="auto"/>
        <w:rPr>
          <w:sz w:val="20"/>
          <w:szCs w:val="20"/>
          <w:lang w:val="en-GB"/>
        </w:rPr>
      </w:pPr>
    </w:p>
    <w:p w14:paraId="41CB2447" w14:textId="77777777" w:rsidR="00013360" w:rsidRPr="00E859CA" w:rsidRDefault="00013360" w:rsidP="00013360">
      <w:pPr>
        <w:pStyle w:val="CaseTitle"/>
        <w:spacing w:after="0" w:line="240" w:lineRule="auto"/>
        <w:rPr>
          <w:sz w:val="20"/>
          <w:szCs w:val="20"/>
          <w:lang w:val="en-GB"/>
        </w:rPr>
      </w:pPr>
    </w:p>
    <w:p w14:paraId="293B8DD0" w14:textId="57E41F20" w:rsidR="00013360" w:rsidRPr="00E859CA" w:rsidRDefault="001A5EE0" w:rsidP="00104567">
      <w:pPr>
        <w:pStyle w:val="StyleCopyrightStatementAfter0ptBottomSinglesolidline1"/>
        <w:rPr>
          <w:lang w:val="en-GB"/>
        </w:rPr>
      </w:pPr>
      <w:r>
        <w:rPr>
          <w:lang w:val="en-GB"/>
        </w:rPr>
        <w:t xml:space="preserve">Matthew Philp, Bruno Lussier, and </w:t>
      </w:r>
      <w:r w:rsidRPr="001A5EE0">
        <w:rPr>
          <w:lang w:val="en-GB"/>
        </w:rPr>
        <w:t>Frédéric Constantin</w:t>
      </w:r>
      <w:r w:rsidR="007E5921" w:rsidRPr="00E859CA">
        <w:rPr>
          <w:lang w:val="en-GB"/>
        </w:rPr>
        <w:t xml:space="preserve"> wrote this case sol</w:t>
      </w:r>
      <w:r w:rsidR="00D75295" w:rsidRPr="00E859CA">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CBC2C1E" w14:textId="77777777" w:rsidR="00013360" w:rsidRPr="00E859CA" w:rsidRDefault="00013360" w:rsidP="00104567">
      <w:pPr>
        <w:pStyle w:val="StyleCopyrightStatementAfter0ptBottomSinglesolidline1"/>
        <w:rPr>
          <w:lang w:val="en-GB"/>
        </w:rPr>
      </w:pPr>
    </w:p>
    <w:p w14:paraId="4AD48CFC" w14:textId="77777777" w:rsidR="00096410" w:rsidRPr="000F1507" w:rsidRDefault="00096410" w:rsidP="00096410">
      <w:pPr>
        <w:pStyle w:val="StyleStyleCopyrightStatementAfter0ptBottomSinglesolid"/>
      </w:pPr>
      <w:r w:rsidRPr="000F1507">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573175B7" w14:textId="77777777" w:rsidR="00096410" w:rsidRPr="000F1507" w:rsidRDefault="00096410" w:rsidP="00096410">
      <w:pPr>
        <w:pStyle w:val="StyleStyleCopyrightStatementAfter0ptBottomSinglesolid"/>
      </w:pPr>
    </w:p>
    <w:p w14:paraId="79E6595A" w14:textId="220C745B" w:rsidR="003B7EF2" w:rsidRPr="00E859CA" w:rsidRDefault="00096410" w:rsidP="00096410">
      <w:pPr>
        <w:pStyle w:val="StyleStyleCopyrightStatementAfter0ptBottomSinglesolid"/>
        <w:rPr>
          <w:lang w:val="en-GB"/>
        </w:rPr>
      </w:pPr>
      <w:r w:rsidRPr="000F1507">
        <w:t>Copyright © 20</w:t>
      </w:r>
      <w:r>
        <w:t>18</w:t>
      </w:r>
      <w:r w:rsidRPr="000F1507">
        <w:t xml:space="preserve">, </w:t>
      </w:r>
      <w:r w:rsidRPr="000F1507">
        <w:rPr>
          <w:lang w:val="en-CA"/>
        </w:rPr>
        <w:t>Ivey Business School Foundation</w:t>
      </w:r>
      <w:r w:rsidRPr="000F1507">
        <w:rPr>
          <w:lang w:val="en-CA"/>
        </w:rPr>
        <w:tab/>
      </w:r>
      <w:r w:rsidRPr="000F1507">
        <w:t xml:space="preserve">Version: </w:t>
      </w:r>
      <w:r>
        <w:t>2018-</w:t>
      </w:r>
      <w:r w:rsidR="00B51A61">
        <w:t>04-0</w:t>
      </w:r>
      <w:r w:rsidR="001C71FA">
        <w:t>6</w:t>
      </w:r>
    </w:p>
    <w:p w14:paraId="14FEC96F" w14:textId="77777777" w:rsidR="003B7EF2" w:rsidRPr="00E859CA" w:rsidRDefault="003B7EF2" w:rsidP="00104567">
      <w:pPr>
        <w:pStyle w:val="StyleCopyrightStatementAfter0ptBottomSinglesolidline1"/>
        <w:rPr>
          <w:rFonts w:ascii="Times New Roman" w:hAnsi="Times New Roman"/>
          <w:sz w:val="20"/>
          <w:lang w:val="en-GB"/>
        </w:rPr>
      </w:pPr>
    </w:p>
    <w:p w14:paraId="0D8264FE" w14:textId="77777777" w:rsidR="003B7EF2" w:rsidRPr="00E859CA" w:rsidRDefault="003B7EF2" w:rsidP="006B7F7A">
      <w:pPr>
        <w:pStyle w:val="BodyTextMain"/>
        <w:rPr>
          <w:sz w:val="20"/>
          <w:lang w:val="en-GB"/>
        </w:rPr>
      </w:pPr>
    </w:p>
    <w:p w14:paraId="5E692A8E" w14:textId="6223EFAA" w:rsidR="009624CA" w:rsidRPr="00D575C3" w:rsidRDefault="009624CA" w:rsidP="009624CA">
      <w:pPr>
        <w:pStyle w:val="BodyTextMain"/>
        <w:jc w:val="right"/>
        <w:rPr>
          <w:spacing w:val="-6"/>
          <w:lang w:val="en-GB"/>
        </w:rPr>
      </w:pPr>
      <w:r w:rsidRPr="00D575C3">
        <w:rPr>
          <w:spacing w:val="-6"/>
          <w:lang w:val="en-GB"/>
        </w:rPr>
        <w:t>We are 100</w:t>
      </w:r>
      <w:r w:rsidR="00337DFE" w:rsidRPr="00D575C3">
        <w:rPr>
          <w:spacing w:val="-6"/>
          <w:lang w:val="en-GB"/>
        </w:rPr>
        <w:t xml:space="preserve"> per cent</w:t>
      </w:r>
      <w:r w:rsidRPr="00D575C3">
        <w:rPr>
          <w:spacing w:val="-6"/>
          <w:lang w:val="en-GB"/>
        </w:rPr>
        <w:t xml:space="preserve"> unique</w:t>
      </w:r>
      <w:r w:rsidR="00C6674C" w:rsidRPr="00D575C3">
        <w:rPr>
          <w:spacing w:val="-6"/>
          <w:lang w:val="en-GB"/>
        </w:rPr>
        <w:t>. N</w:t>
      </w:r>
      <w:r w:rsidRPr="00D575C3">
        <w:rPr>
          <w:spacing w:val="-6"/>
          <w:lang w:val="en-GB"/>
        </w:rPr>
        <w:t>o other organization</w:t>
      </w:r>
      <w:r w:rsidR="00C6674C" w:rsidRPr="00D575C3">
        <w:rPr>
          <w:spacing w:val="-6"/>
          <w:lang w:val="en-GB"/>
        </w:rPr>
        <w:t>—</w:t>
      </w:r>
      <w:r w:rsidRPr="00D575C3">
        <w:rPr>
          <w:spacing w:val="-6"/>
          <w:lang w:val="en-GB"/>
        </w:rPr>
        <w:t>period</w:t>
      </w:r>
      <w:r w:rsidR="00C6674C" w:rsidRPr="00D575C3">
        <w:rPr>
          <w:spacing w:val="-6"/>
          <w:lang w:val="en-GB"/>
        </w:rPr>
        <w:t>—</w:t>
      </w:r>
      <w:r w:rsidRPr="00D575C3">
        <w:rPr>
          <w:spacing w:val="-6"/>
          <w:lang w:val="en-GB"/>
        </w:rPr>
        <w:t>does what we do</w:t>
      </w:r>
      <w:r w:rsidR="00C6674C" w:rsidRPr="00D575C3">
        <w:rPr>
          <w:spacing w:val="-6"/>
          <w:lang w:val="en-GB"/>
        </w:rPr>
        <w:t>,</w:t>
      </w:r>
      <w:r w:rsidR="00D575C3" w:rsidRPr="00D575C3">
        <w:rPr>
          <w:spacing w:val="-6"/>
          <w:lang w:val="en-GB"/>
        </w:rPr>
        <w:t xml:space="preserve"> </w:t>
      </w:r>
      <w:r w:rsidR="00C6674C" w:rsidRPr="00D575C3">
        <w:rPr>
          <w:spacing w:val="-6"/>
          <w:lang w:val="en-GB"/>
        </w:rPr>
        <w:t>w</w:t>
      </w:r>
      <w:r w:rsidRPr="00D575C3">
        <w:rPr>
          <w:spacing w:val="-6"/>
          <w:lang w:val="en-GB"/>
        </w:rPr>
        <w:t>hich is a blessing</w:t>
      </w:r>
      <w:r w:rsidR="00C6674C" w:rsidRPr="00D575C3">
        <w:rPr>
          <w:spacing w:val="-6"/>
          <w:lang w:val="en-GB"/>
        </w:rPr>
        <w:t xml:space="preserve"> </w:t>
      </w:r>
      <w:r w:rsidRPr="00D575C3">
        <w:rPr>
          <w:spacing w:val="-6"/>
          <w:lang w:val="en-GB"/>
        </w:rPr>
        <w:t>and a curse.</w:t>
      </w:r>
    </w:p>
    <w:p w14:paraId="039271F7" w14:textId="05E178D6" w:rsidR="009624CA" w:rsidRPr="00E859CA" w:rsidRDefault="009624CA" w:rsidP="009624CA">
      <w:pPr>
        <w:pStyle w:val="BodyTextMain"/>
        <w:jc w:val="right"/>
        <w:rPr>
          <w:lang w:val="en-GB"/>
        </w:rPr>
      </w:pPr>
      <w:r w:rsidRPr="00E859CA">
        <w:rPr>
          <w:lang w:val="en-GB"/>
        </w:rPr>
        <w:t>Cary McQueen (</w:t>
      </w:r>
      <w:r w:rsidR="00C6674C" w:rsidRPr="00E859CA">
        <w:rPr>
          <w:lang w:val="en-GB"/>
        </w:rPr>
        <w:t>f</w:t>
      </w:r>
      <w:r w:rsidRPr="00E859CA">
        <w:rPr>
          <w:lang w:val="en-GB"/>
        </w:rPr>
        <w:t xml:space="preserve">ounder and </w:t>
      </w:r>
      <w:r w:rsidR="00C6674C" w:rsidRPr="00E859CA">
        <w:rPr>
          <w:lang w:val="en-GB"/>
        </w:rPr>
        <w:t>e</w:t>
      </w:r>
      <w:r w:rsidRPr="00E859CA">
        <w:rPr>
          <w:lang w:val="en-GB"/>
        </w:rPr>
        <w:t xml:space="preserve">xecutive </w:t>
      </w:r>
      <w:r w:rsidR="00C6674C" w:rsidRPr="00E859CA">
        <w:rPr>
          <w:lang w:val="en-GB"/>
        </w:rPr>
        <w:t>d</w:t>
      </w:r>
      <w:r w:rsidR="00EE1557">
        <w:rPr>
          <w:lang w:val="en-GB"/>
        </w:rPr>
        <w:t>irector, Art W</w:t>
      </w:r>
      <w:r w:rsidRPr="00E859CA">
        <w:rPr>
          <w:lang w:val="en-GB"/>
        </w:rPr>
        <w:t>ith Impact)</w:t>
      </w:r>
    </w:p>
    <w:p w14:paraId="242AC52F" w14:textId="77777777" w:rsidR="009624CA" w:rsidRPr="00E859CA" w:rsidRDefault="009624CA" w:rsidP="009624CA">
      <w:pPr>
        <w:pStyle w:val="BodyTextMain"/>
        <w:rPr>
          <w:sz w:val="20"/>
          <w:lang w:val="en-GB"/>
        </w:rPr>
      </w:pPr>
    </w:p>
    <w:p w14:paraId="17DB553F" w14:textId="3BAEDF87" w:rsidR="009624CA" w:rsidRPr="00E859CA" w:rsidRDefault="009624CA" w:rsidP="009624CA">
      <w:pPr>
        <w:pStyle w:val="BodyTextMain"/>
        <w:rPr>
          <w:lang w:val="en-GB"/>
        </w:rPr>
      </w:pPr>
      <w:r w:rsidRPr="00E859CA">
        <w:rPr>
          <w:lang w:val="en-GB"/>
        </w:rPr>
        <w:t>Sitting down for dinner in Montr</w:t>
      </w:r>
      <w:r w:rsidR="0072676B" w:rsidRPr="00E859CA">
        <w:rPr>
          <w:lang w:val="en-GB"/>
        </w:rPr>
        <w:t>e</w:t>
      </w:r>
      <w:r w:rsidRPr="00E859CA">
        <w:rPr>
          <w:lang w:val="en-GB"/>
        </w:rPr>
        <w:t>al</w:t>
      </w:r>
      <w:r w:rsidR="0072676B" w:rsidRPr="00E859CA">
        <w:rPr>
          <w:lang w:val="en-GB"/>
        </w:rPr>
        <w:t>,</w:t>
      </w:r>
      <w:r w:rsidRPr="00E859CA">
        <w:rPr>
          <w:lang w:val="en-GB"/>
        </w:rPr>
        <w:t xml:space="preserve"> Canada, Cary McQueen and her Canadian </w:t>
      </w:r>
      <w:r w:rsidR="007D05E5" w:rsidRPr="00E859CA">
        <w:rPr>
          <w:lang w:val="en-GB"/>
        </w:rPr>
        <w:t>p</w:t>
      </w:r>
      <w:r w:rsidRPr="00E859CA">
        <w:rPr>
          <w:lang w:val="en-GB"/>
        </w:rPr>
        <w:t xml:space="preserve">rogram </w:t>
      </w:r>
      <w:r w:rsidR="007D05E5" w:rsidRPr="00E859CA">
        <w:rPr>
          <w:lang w:val="en-GB"/>
        </w:rPr>
        <w:t>d</w:t>
      </w:r>
      <w:r w:rsidRPr="00E859CA">
        <w:rPr>
          <w:lang w:val="en-GB"/>
        </w:rPr>
        <w:t>irector, Natalie Daley, debriefed after running a Movies for Mental Health workshop at a local college. It was February 2017</w:t>
      </w:r>
      <w:r w:rsidR="00514F15">
        <w:rPr>
          <w:lang w:val="en-GB"/>
        </w:rPr>
        <w:t>;</w:t>
      </w:r>
      <w:r w:rsidR="00514F15" w:rsidRPr="00E859CA">
        <w:rPr>
          <w:lang w:val="en-GB"/>
        </w:rPr>
        <w:t xml:space="preserve"> </w:t>
      </w:r>
      <w:r w:rsidRPr="00E859CA">
        <w:rPr>
          <w:lang w:val="en-GB"/>
        </w:rPr>
        <w:t>this marked the end of their 18th Canadian workshop in the 2016</w:t>
      </w:r>
      <w:r w:rsidR="0072676B" w:rsidRPr="00E859CA">
        <w:rPr>
          <w:lang w:val="en-GB"/>
        </w:rPr>
        <w:t>–</w:t>
      </w:r>
      <w:r w:rsidRPr="00E859CA">
        <w:rPr>
          <w:lang w:val="en-GB"/>
        </w:rPr>
        <w:t xml:space="preserve">17 school season, </w:t>
      </w:r>
      <w:r w:rsidR="00514F15">
        <w:rPr>
          <w:lang w:val="en-GB"/>
        </w:rPr>
        <w:t>and</w:t>
      </w:r>
      <w:r w:rsidR="00514F15" w:rsidRPr="00E859CA">
        <w:rPr>
          <w:lang w:val="en-GB"/>
        </w:rPr>
        <w:t xml:space="preserve"> </w:t>
      </w:r>
      <w:r w:rsidRPr="00E859CA">
        <w:rPr>
          <w:lang w:val="en-GB"/>
        </w:rPr>
        <w:t xml:space="preserve">four more </w:t>
      </w:r>
      <w:r w:rsidR="00514F15">
        <w:rPr>
          <w:lang w:val="en-GB"/>
        </w:rPr>
        <w:t xml:space="preserve">were </w:t>
      </w:r>
      <w:r w:rsidRPr="00E859CA">
        <w:rPr>
          <w:lang w:val="en-GB"/>
        </w:rPr>
        <w:t xml:space="preserve">planned to finish off their fiscal year </w:t>
      </w:r>
      <w:r w:rsidR="00414FE6" w:rsidRPr="00E859CA">
        <w:rPr>
          <w:lang w:val="en-GB"/>
        </w:rPr>
        <w:t xml:space="preserve">(FY) </w:t>
      </w:r>
      <w:r w:rsidRPr="00E859CA">
        <w:rPr>
          <w:lang w:val="en-GB"/>
        </w:rPr>
        <w:t xml:space="preserve">ending in May. With more and more schools across Canada and the United States </w:t>
      </w:r>
      <w:r w:rsidR="00514F15" w:rsidRPr="00E859CA">
        <w:rPr>
          <w:lang w:val="en-GB"/>
        </w:rPr>
        <w:t>devot</w:t>
      </w:r>
      <w:r w:rsidR="00514F15">
        <w:rPr>
          <w:lang w:val="en-GB"/>
        </w:rPr>
        <w:t>ing</w:t>
      </w:r>
      <w:r w:rsidR="00514F15" w:rsidRPr="00E859CA">
        <w:rPr>
          <w:lang w:val="en-GB"/>
        </w:rPr>
        <w:t xml:space="preserve"> </w:t>
      </w:r>
      <w:r w:rsidRPr="00E859CA">
        <w:rPr>
          <w:lang w:val="en-GB"/>
        </w:rPr>
        <w:t xml:space="preserve">resources to the mental health of their students, these workshops resonated with </w:t>
      </w:r>
      <w:r w:rsidR="0072676B" w:rsidRPr="00E859CA">
        <w:rPr>
          <w:lang w:val="en-GB"/>
        </w:rPr>
        <w:t>u</w:t>
      </w:r>
      <w:r w:rsidRPr="00E859CA">
        <w:rPr>
          <w:lang w:val="en-GB"/>
        </w:rPr>
        <w:t xml:space="preserve">niversities and </w:t>
      </w:r>
      <w:r w:rsidR="0072676B" w:rsidRPr="00E859CA">
        <w:rPr>
          <w:lang w:val="en-GB"/>
        </w:rPr>
        <w:t>c</w:t>
      </w:r>
      <w:r w:rsidRPr="00E859CA">
        <w:rPr>
          <w:lang w:val="en-GB"/>
        </w:rPr>
        <w:t xml:space="preserve">olleges. </w:t>
      </w:r>
      <w:r w:rsidR="00514F15">
        <w:rPr>
          <w:lang w:val="en-GB"/>
        </w:rPr>
        <w:t>T</w:t>
      </w:r>
      <w:r w:rsidRPr="00E859CA">
        <w:rPr>
          <w:lang w:val="en-GB"/>
        </w:rPr>
        <w:t>he program’s growth demonstrated this</w:t>
      </w:r>
      <w:r w:rsidR="0072676B" w:rsidRPr="00E859CA">
        <w:rPr>
          <w:lang w:val="en-GB"/>
        </w:rPr>
        <w:t xml:space="preserve"> appeal</w:t>
      </w:r>
      <w:r w:rsidR="007D05E5" w:rsidRPr="00E859CA">
        <w:rPr>
          <w:lang w:val="en-GB"/>
        </w:rPr>
        <w:t>. The two directors</w:t>
      </w:r>
      <w:r w:rsidRPr="00E859CA">
        <w:rPr>
          <w:lang w:val="en-GB"/>
        </w:rPr>
        <w:t xml:space="preserve"> </w:t>
      </w:r>
      <w:r w:rsidR="00514F15">
        <w:rPr>
          <w:lang w:val="en-GB"/>
        </w:rPr>
        <w:t xml:space="preserve">had </w:t>
      </w:r>
      <w:r w:rsidRPr="00E859CA">
        <w:rPr>
          <w:lang w:val="en-GB"/>
        </w:rPr>
        <w:t xml:space="preserve">delivered 21 workshops at campuses across Canada, up from 15 the year before, and expanded </w:t>
      </w:r>
      <w:r w:rsidR="007D05E5" w:rsidRPr="00E859CA">
        <w:rPr>
          <w:lang w:val="en-GB"/>
        </w:rPr>
        <w:t xml:space="preserve">their reach </w:t>
      </w:r>
      <w:r w:rsidRPr="00E859CA">
        <w:rPr>
          <w:lang w:val="en-GB"/>
        </w:rPr>
        <w:t xml:space="preserve">from </w:t>
      </w:r>
      <w:r w:rsidR="007D05E5" w:rsidRPr="00E859CA">
        <w:rPr>
          <w:lang w:val="en-GB"/>
        </w:rPr>
        <w:t>three</w:t>
      </w:r>
      <w:r w:rsidRPr="00E859CA">
        <w:rPr>
          <w:lang w:val="en-GB"/>
        </w:rPr>
        <w:t xml:space="preserve"> to </w:t>
      </w:r>
      <w:r w:rsidR="007D05E5" w:rsidRPr="00E859CA">
        <w:rPr>
          <w:lang w:val="en-GB"/>
        </w:rPr>
        <w:t>seven</w:t>
      </w:r>
      <w:r w:rsidRPr="00E859CA">
        <w:rPr>
          <w:lang w:val="en-GB"/>
        </w:rPr>
        <w:t xml:space="preserve"> provinces. In the United States, they </w:t>
      </w:r>
      <w:r w:rsidR="00514F15">
        <w:rPr>
          <w:lang w:val="en-GB"/>
        </w:rPr>
        <w:t>had run</w:t>
      </w:r>
      <w:r w:rsidRPr="00E859CA">
        <w:rPr>
          <w:lang w:val="en-GB"/>
        </w:rPr>
        <w:t xml:space="preserve"> over </w:t>
      </w:r>
      <w:r w:rsidR="007D05E5" w:rsidRPr="00E859CA">
        <w:rPr>
          <w:lang w:val="en-GB"/>
        </w:rPr>
        <w:t>60</w:t>
      </w:r>
      <w:r w:rsidRPr="00E859CA">
        <w:rPr>
          <w:lang w:val="en-GB"/>
        </w:rPr>
        <w:t xml:space="preserve"> workshops across 17 states</w:t>
      </w:r>
      <w:r w:rsidR="007D05E5" w:rsidRPr="00E859CA">
        <w:rPr>
          <w:lang w:val="en-GB"/>
        </w:rPr>
        <w:t>,</w:t>
      </w:r>
      <w:r w:rsidRPr="00E859CA">
        <w:rPr>
          <w:lang w:val="en-GB"/>
        </w:rPr>
        <w:t xml:space="preserve"> and </w:t>
      </w:r>
      <w:r w:rsidR="007D05E5" w:rsidRPr="00E859CA">
        <w:rPr>
          <w:lang w:val="en-GB"/>
        </w:rPr>
        <w:t xml:space="preserve">they </w:t>
      </w:r>
      <w:r w:rsidRPr="00E859CA">
        <w:rPr>
          <w:lang w:val="en-GB"/>
        </w:rPr>
        <w:t>were poised to continue their dramatic growth trajectory</w:t>
      </w:r>
      <w:r w:rsidR="007D05E5" w:rsidRPr="00E859CA">
        <w:rPr>
          <w:lang w:val="en-GB"/>
        </w:rPr>
        <w:t>—</w:t>
      </w:r>
      <w:r w:rsidRPr="00E859CA">
        <w:rPr>
          <w:lang w:val="en-GB"/>
        </w:rPr>
        <w:t>adequate funds permitting.</w:t>
      </w:r>
    </w:p>
    <w:p w14:paraId="54621C11" w14:textId="77777777" w:rsidR="009624CA" w:rsidRPr="00E859CA" w:rsidRDefault="009624CA" w:rsidP="009624CA">
      <w:pPr>
        <w:pStyle w:val="BodyTextMain"/>
        <w:rPr>
          <w:sz w:val="20"/>
          <w:lang w:val="en-GB"/>
        </w:rPr>
      </w:pPr>
    </w:p>
    <w:p w14:paraId="52DB8B45" w14:textId="0C683C58" w:rsidR="009624CA" w:rsidRPr="00E859CA" w:rsidRDefault="007D05E5" w:rsidP="009624CA">
      <w:pPr>
        <w:pStyle w:val="BodyTextMain"/>
        <w:rPr>
          <w:spacing w:val="-2"/>
          <w:lang w:val="en-GB"/>
        </w:rPr>
      </w:pPr>
      <w:r w:rsidRPr="00E859CA">
        <w:rPr>
          <w:spacing w:val="-2"/>
          <w:lang w:val="en-GB"/>
        </w:rPr>
        <w:t xml:space="preserve">McQueen and Daley </w:t>
      </w:r>
      <w:r w:rsidR="009624CA" w:rsidRPr="00E859CA">
        <w:rPr>
          <w:spacing w:val="-2"/>
          <w:lang w:val="en-GB"/>
        </w:rPr>
        <w:t xml:space="preserve">found that this increased interest came with increased costs. Universities and colleges who invited </w:t>
      </w:r>
      <w:r w:rsidRPr="00E859CA">
        <w:rPr>
          <w:spacing w:val="-2"/>
          <w:lang w:val="en-GB"/>
        </w:rPr>
        <w:t xml:space="preserve">the program </w:t>
      </w:r>
      <w:r w:rsidR="009624CA" w:rsidRPr="00E859CA">
        <w:rPr>
          <w:spacing w:val="-2"/>
          <w:lang w:val="en-GB"/>
        </w:rPr>
        <w:t xml:space="preserve">Art With Impact (AWI) to run workshops were asked to cover </w:t>
      </w:r>
      <w:r w:rsidR="00514F15" w:rsidRPr="00E859CA">
        <w:rPr>
          <w:spacing w:val="-2"/>
          <w:lang w:val="en-GB"/>
        </w:rPr>
        <w:t>only one</w:t>
      </w:r>
      <w:r w:rsidR="00514F15">
        <w:rPr>
          <w:spacing w:val="-2"/>
          <w:lang w:val="en-GB"/>
        </w:rPr>
        <w:t>-</w:t>
      </w:r>
      <w:r w:rsidR="009624CA" w:rsidRPr="00E859CA">
        <w:rPr>
          <w:spacing w:val="-2"/>
          <w:lang w:val="en-GB"/>
        </w:rPr>
        <w:t>third of the costs, with the remaining expense</w:t>
      </w:r>
      <w:r w:rsidR="00514F15">
        <w:rPr>
          <w:spacing w:val="-2"/>
          <w:lang w:val="en-GB"/>
        </w:rPr>
        <w:t>s</w:t>
      </w:r>
      <w:r w:rsidR="009624CA" w:rsidRPr="00E859CA">
        <w:rPr>
          <w:spacing w:val="-2"/>
          <w:lang w:val="en-GB"/>
        </w:rPr>
        <w:t xml:space="preserve"> being raised through donations by AWI. </w:t>
      </w:r>
      <w:r w:rsidR="004953E6">
        <w:rPr>
          <w:spacing w:val="-2"/>
          <w:lang w:val="en-GB"/>
        </w:rPr>
        <w:t>T</w:t>
      </w:r>
      <w:r w:rsidR="009624CA" w:rsidRPr="00E859CA">
        <w:rPr>
          <w:spacing w:val="-2"/>
          <w:lang w:val="en-GB"/>
        </w:rPr>
        <w:t>h</w:t>
      </w:r>
      <w:r w:rsidRPr="00E859CA">
        <w:rPr>
          <w:spacing w:val="-2"/>
          <w:lang w:val="en-GB"/>
        </w:rPr>
        <w:t>e</w:t>
      </w:r>
      <w:r w:rsidR="009624CA" w:rsidRPr="00E859CA">
        <w:rPr>
          <w:spacing w:val="-2"/>
          <w:lang w:val="en-GB"/>
        </w:rPr>
        <w:t xml:space="preserve"> </w:t>
      </w:r>
      <w:r w:rsidRPr="00E859CA">
        <w:rPr>
          <w:spacing w:val="-2"/>
          <w:lang w:val="en-GB"/>
        </w:rPr>
        <w:t xml:space="preserve">struggle for donations </w:t>
      </w:r>
      <w:r w:rsidR="009624CA" w:rsidRPr="00E859CA">
        <w:rPr>
          <w:spacing w:val="-2"/>
          <w:lang w:val="en-GB"/>
        </w:rPr>
        <w:t xml:space="preserve">was where </w:t>
      </w:r>
      <w:r w:rsidRPr="00E859CA">
        <w:rPr>
          <w:spacing w:val="-2"/>
          <w:lang w:val="en-GB"/>
        </w:rPr>
        <w:t>the</w:t>
      </w:r>
      <w:r w:rsidR="009624CA" w:rsidRPr="00E859CA">
        <w:rPr>
          <w:spacing w:val="-2"/>
          <w:lang w:val="en-GB"/>
        </w:rPr>
        <w:t xml:space="preserve"> conversation quickly turned. Looking ahead to the end of the year, </w:t>
      </w:r>
      <w:r w:rsidRPr="00E859CA">
        <w:rPr>
          <w:spacing w:val="-2"/>
          <w:lang w:val="en-GB"/>
        </w:rPr>
        <w:t>McQueen and Daley</w:t>
      </w:r>
      <w:r w:rsidR="009624CA" w:rsidRPr="00E859CA">
        <w:rPr>
          <w:spacing w:val="-2"/>
          <w:lang w:val="en-GB"/>
        </w:rPr>
        <w:t xml:space="preserve"> were also working on their annual fundraising campaign. While </w:t>
      </w:r>
      <w:r w:rsidR="004953E6">
        <w:rPr>
          <w:spacing w:val="-2"/>
          <w:lang w:val="en-GB"/>
        </w:rPr>
        <w:t xml:space="preserve">they had been </w:t>
      </w:r>
      <w:r w:rsidR="009624CA" w:rsidRPr="00E859CA">
        <w:rPr>
          <w:spacing w:val="-2"/>
          <w:lang w:val="en-GB"/>
        </w:rPr>
        <w:t>fortunate enough to have received enough donations to support their workshops, given the volatility of donations and donation sources, their ability to safely expand</w:t>
      </w:r>
      <w:r w:rsidRPr="00E859CA">
        <w:rPr>
          <w:spacing w:val="-2"/>
          <w:lang w:val="en-GB"/>
        </w:rPr>
        <w:t xml:space="preserve"> was limited</w:t>
      </w:r>
      <w:r w:rsidR="009624CA" w:rsidRPr="00E859CA">
        <w:rPr>
          <w:spacing w:val="-2"/>
          <w:lang w:val="en-GB"/>
        </w:rPr>
        <w:t xml:space="preserve">. </w:t>
      </w:r>
    </w:p>
    <w:p w14:paraId="4B7AC0C4" w14:textId="77777777" w:rsidR="009624CA" w:rsidRPr="00E859CA" w:rsidRDefault="009624CA" w:rsidP="009624CA">
      <w:pPr>
        <w:pStyle w:val="BodyTextMain"/>
        <w:rPr>
          <w:sz w:val="20"/>
          <w:lang w:val="en-GB"/>
        </w:rPr>
      </w:pPr>
    </w:p>
    <w:p w14:paraId="3F41EBDB" w14:textId="15DFA5C8" w:rsidR="009624CA" w:rsidRPr="00E859CA" w:rsidRDefault="007D05E5" w:rsidP="009624CA">
      <w:pPr>
        <w:pStyle w:val="BodyTextMain"/>
        <w:rPr>
          <w:lang w:val="en-GB"/>
        </w:rPr>
      </w:pPr>
      <w:r w:rsidRPr="00E859CA">
        <w:rPr>
          <w:spacing w:val="-2"/>
          <w:lang w:val="en-GB"/>
        </w:rPr>
        <w:t>McQueen and Daley had</w:t>
      </w:r>
      <w:r w:rsidR="009624CA" w:rsidRPr="00E859CA">
        <w:rPr>
          <w:lang w:val="en-GB"/>
        </w:rPr>
        <w:t xml:space="preserve"> attempt</w:t>
      </w:r>
      <w:r w:rsidRPr="00E859CA">
        <w:rPr>
          <w:lang w:val="en-GB"/>
        </w:rPr>
        <w:t>ed</w:t>
      </w:r>
      <w:r w:rsidR="009624CA" w:rsidRPr="00E859CA">
        <w:rPr>
          <w:lang w:val="en-GB"/>
        </w:rPr>
        <w:t xml:space="preserve"> to mitigate th</w:t>
      </w:r>
      <w:r w:rsidRPr="00E859CA">
        <w:rPr>
          <w:lang w:val="en-GB"/>
        </w:rPr>
        <w:t>e</w:t>
      </w:r>
      <w:r w:rsidR="009624CA" w:rsidRPr="00E859CA">
        <w:rPr>
          <w:lang w:val="en-GB"/>
        </w:rPr>
        <w:t xml:space="preserve"> risk</w:t>
      </w:r>
      <w:r w:rsidRPr="00E859CA">
        <w:rPr>
          <w:lang w:val="en-GB"/>
        </w:rPr>
        <w:t xml:space="preserve"> of relying on donations. F</w:t>
      </w:r>
      <w:r w:rsidR="009624CA" w:rsidRPr="00E859CA">
        <w:rPr>
          <w:lang w:val="en-GB"/>
        </w:rPr>
        <w:t xml:space="preserve">or the past several years, AWI </w:t>
      </w:r>
      <w:r w:rsidR="004953E6">
        <w:rPr>
          <w:lang w:val="en-GB"/>
        </w:rPr>
        <w:t xml:space="preserve">had </w:t>
      </w:r>
      <w:r w:rsidR="009624CA" w:rsidRPr="00E859CA">
        <w:rPr>
          <w:lang w:val="en-GB"/>
        </w:rPr>
        <w:t>conducted month-long fundraising campaign</w:t>
      </w:r>
      <w:r w:rsidR="004953E6">
        <w:rPr>
          <w:lang w:val="en-GB"/>
        </w:rPr>
        <w:t>s</w:t>
      </w:r>
      <w:r w:rsidR="009624CA" w:rsidRPr="00E859CA">
        <w:rPr>
          <w:lang w:val="en-GB"/>
        </w:rPr>
        <w:t xml:space="preserve"> in both Canada (</w:t>
      </w:r>
      <w:r w:rsidRPr="00E859CA">
        <w:rPr>
          <w:lang w:val="en-GB"/>
        </w:rPr>
        <w:t xml:space="preserve">in </w:t>
      </w:r>
      <w:r w:rsidR="009624CA" w:rsidRPr="00E859CA">
        <w:rPr>
          <w:lang w:val="en-GB"/>
        </w:rPr>
        <w:t>June) and the U</w:t>
      </w:r>
      <w:r w:rsidRPr="00E859CA">
        <w:rPr>
          <w:lang w:val="en-GB"/>
        </w:rPr>
        <w:t xml:space="preserve">nited </w:t>
      </w:r>
      <w:r w:rsidR="009624CA" w:rsidRPr="00E859CA">
        <w:rPr>
          <w:lang w:val="en-GB"/>
        </w:rPr>
        <w:t>S</w:t>
      </w:r>
      <w:r w:rsidRPr="00E859CA">
        <w:rPr>
          <w:lang w:val="en-GB"/>
        </w:rPr>
        <w:t>tates</w:t>
      </w:r>
      <w:r w:rsidR="009624CA" w:rsidRPr="00E859CA">
        <w:rPr>
          <w:lang w:val="en-GB"/>
        </w:rPr>
        <w:t xml:space="preserve"> (</w:t>
      </w:r>
      <w:r w:rsidRPr="00E859CA">
        <w:rPr>
          <w:lang w:val="en-GB"/>
        </w:rPr>
        <w:t xml:space="preserve">in </w:t>
      </w:r>
      <w:r w:rsidR="009624CA" w:rsidRPr="00E859CA">
        <w:rPr>
          <w:lang w:val="en-GB"/>
        </w:rPr>
        <w:t xml:space="preserve">July), with the goal to increase </w:t>
      </w:r>
      <w:r w:rsidRPr="00E859CA">
        <w:rPr>
          <w:lang w:val="en-GB"/>
        </w:rPr>
        <w:t>AWI’s</w:t>
      </w:r>
      <w:r w:rsidR="009624CA" w:rsidRPr="00E859CA">
        <w:rPr>
          <w:lang w:val="en-GB"/>
        </w:rPr>
        <w:t xml:space="preserve"> funding </w:t>
      </w:r>
      <w:r w:rsidRPr="00E859CA">
        <w:rPr>
          <w:lang w:val="en-GB"/>
        </w:rPr>
        <w:t>and</w:t>
      </w:r>
      <w:r w:rsidR="009624CA" w:rsidRPr="00E859CA">
        <w:rPr>
          <w:lang w:val="en-GB"/>
        </w:rPr>
        <w:t xml:space="preserve"> offer the workshops to a broader audience in the following year. These campaigns relied primarily on email</w:t>
      </w:r>
      <w:r w:rsidRPr="00E859CA">
        <w:rPr>
          <w:lang w:val="en-GB"/>
        </w:rPr>
        <w:t xml:space="preserve"> communication with</w:t>
      </w:r>
      <w:r w:rsidR="009624CA" w:rsidRPr="00E859CA">
        <w:rPr>
          <w:lang w:val="en-GB"/>
        </w:rPr>
        <w:t xml:space="preserve"> previous donors and calls for support over social media. While this </w:t>
      </w:r>
      <w:r w:rsidRPr="00E859CA">
        <w:rPr>
          <w:lang w:val="en-GB"/>
        </w:rPr>
        <w:t xml:space="preserve">strategy had </w:t>
      </w:r>
      <w:r w:rsidR="009624CA" w:rsidRPr="00E859CA">
        <w:rPr>
          <w:lang w:val="en-GB"/>
        </w:rPr>
        <w:t>worked in the past, the</w:t>
      </w:r>
      <w:r w:rsidR="00035D43" w:rsidRPr="00E859CA">
        <w:rPr>
          <w:lang w:val="en-GB"/>
        </w:rPr>
        <w:t xml:space="preserve"> two directors</w:t>
      </w:r>
      <w:r w:rsidR="009624CA" w:rsidRPr="00E859CA">
        <w:rPr>
          <w:lang w:val="en-GB"/>
        </w:rPr>
        <w:t xml:space="preserve"> continued to ask themselves whether more could be done.</w:t>
      </w:r>
    </w:p>
    <w:p w14:paraId="5F02036D" w14:textId="77777777" w:rsidR="009624CA" w:rsidRPr="00E859CA" w:rsidRDefault="009624CA" w:rsidP="009624CA">
      <w:pPr>
        <w:pStyle w:val="BodyTextMain"/>
        <w:rPr>
          <w:sz w:val="20"/>
          <w:lang w:val="en-GB"/>
        </w:rPr>
      </w:pPr>
    </w:p>
    <w:p w14:paraId="6B4A68C0" w14:textId="3FE7AAC5" w:rsidR="009624CA" w:rsidRPr="00096410" w:rsidRDefault="009624CA" w:rsidP="009624CA">
      <w:pPr>
        <w:pStyle w:val="BodyTextMain"/>
        <w:rPr>
          <w:spacing w:val="-2"/>
          <w:lang w:val="en-GB"/>
        </w:rPr>
      </w:pPr>
      <w:r w:rsidRPr="00096410">
        <w:rPr>
          <w:spacing w:val="-2"/>
          <w:lang w:val="en-GB"/>
        </w:rPr>
        <w:t xml:space="preserve">Coming to the end of their </w:t>
      </w:r>
      <w:r w:rsidR="002F0882" w:rsidRPr="00096410">
        <w:rPr>
          <w:spacing w:val="-2"/>
          <w:lang w:val="en-GB"/>
        </w:rPr>
        <w:t>thi</w:t>
      </w:r>
      <w:r w:rsidRPr="00096410">
        <w:rPr>
          <w:spacing w:val="-2"/>
          <w:lang w:val="en-GB"/>
        </w:rPr>
        <w:t xml:space="preserve">rd year operating in Canada and their </w:t>
      </w:r>
      <w:r w:rsidR="002F0882" w:rsidRPr="00096410">
        <w:rPr>
          <w:spacing w:val="-2"/>
          <w:lang w:val="en-GB"/>
        </w:rPr>
        <w:t>six</w:t>
      </w:r>
      <w:r w:rsidRPr="00096410">
        <w:rPr>
          <w:spacing w:val="-2"/>
          <w:lang w:val="en-GB"/>
        </w:rPr>
        <w:t>th year overall, they hoped to expand their workshops to more colleges and universities across Canada and the U</w:t>
      </w:r>
      <w:r w:rsidR="002F0882" w:rsidRPr="00096410">
        <w:rPr>
          <w:spacing w:val="-2"/>
          <w:lang w:val="en-GB"/>
        </w:rPr>
        <w:t xml:space="preserve">nited </w:t>
      </w:r>
      <w:r w:rsidRPr="00096410">
        <w:rPr>
          <w:spacing w:val="-2"/>
          <w:lang w:val="en-GB"/>
        </w:rPr>
        <w:t>S</w:t>
      </w:r>
      <w:r w:rsidR="002F0882" w:rsidRPr="00096410">
        <w:rPr>
          <w:spacing w:val="-2"/>
          <w:lang w:val="en-GB"/>
        </w:rPr>
        <w:t>tates</w:t>
      </w:r>
      <w:r w:rsidRPr="00096410">
        <w:rPr>
          <w:spacing w:val="-2"/>
          <w:lang w:val="en-GB"/>
        </w:rPr>
        <w:t xml:space="preserve">. However, in order for this to occur, they needed to raise enough money in a sustainable way to ensure financial security and limit their exposure. Looking ahead, they hoped to do something drastically different for their next fundraising </w:t>
      </w:r>
      <w:r w:rsidRPr="00096410">
        <w:rPr>
          <w:spacing w:val="-2"/>
          <w:lang w:val="en-GB"/>
        </w:rPr>
        <w:lastRenderedPageBreak/>
        <w:t>campaign. One thing was for sure, whatever they decided, it needed to communicate their uniqueness, resonate with a diversified audience, push people to donate, and do all those things on a very limited budget.</w:t>
      </w:r>
    </w:p>
    <w:p w14:paraId="20A18D21" w14:textId="77777777" w:rsidR="009624CA" w:rsidRPr="00096410" w:rsidRDefault="009624CA" w:rsidP="009624CA">
      <w:pPr>
        <w:pStyle w:val="BodyTextMain"/>
        <w:rPr>
          <w:spacing w:val="-2"/>
          <w:sz w:val="20"/>
          <w:lang w:val="en-GB"/>
        </w:rPr>
      </w:pPr>
    </w:p>
    <w:p w14:paraId="70AFFCBB" w14:textId="77777777" w:rsidR="009624CA" w:rsidRPr="00096410" w:rsidRDefault="009624CA" w:rsidP="009624CA">
      <w:pPr>
        <w:pStyle w:val="BodyTextMain"/>
        <w:rPr>
          <w:sz w:val="20"/>
          <w:lang w:val="en-GB"/>
        </w:rPr>
      </w:pPr>
    </w:p>
    <w:p w14:paraId="2A7F98A8" w14:textId="77777777" w:rsidR="009624CA" w:rsidRPr="00E859CA" w:rsidRDefault="009624CA" w:rsidP="009624CA">
      <w:pPr>
        <w:pStyle w:val="Casehead1"/>
        <w:rPr>
          <w:lang w:val="en-GB"/>
        </w:rPr>
      </w:pPr>
      <w:r w:rsidRPr="00E859CA">
        <w:rPr>
          <w:lang w:val="en-GB"/>
        </w:rPr>
        <w:t>Art with Impact</w:t>
      </w:r>
    </w:p>
    <w:p w14:paraId="7C102F48" w14:textId="77777777" w:rsidR="009624CA" w:rsidRPr="00096410" w:rsidRDefault="009624CA" w:rsidP="009624CA">
      <w:pPr>
        <w:pStyle w:val="BodyTextMain"/>
        <w:rPr>
          <w:spacing w:val="-2"/>
          <w:sz w:val="20"/>
          <w:lang w:val="en-GB"/>
        </w:rPr>
      </w:pPr>
    </w:p>
    <w:p w14:paraId="13F2DD96" w14:textId="616734A2" w:rsidR="009624CA" w:rsidRPr="00096410" w:rsidRDefault="004E45E0" w:rsidP="009624CA">
      <w:pPr>
        <w:pStyle w:val="BodyTextMain"/>
        <w:rPr>
          <w:spacing w:val="-2"/>
          <w:lang w:val="en-GB"/>
        </w:rPr>
      </w:pPr>
      <w:r w:rsidRPr="00096410">
        <w:rPr>
          <w:spacing w:val="-2"/>
          <w:lang w:val="en-GB"/>
        </w:rPr>
        <w:t>AWI was f</w:t>
      </w:r>
      <w:r w:rsidR="009624CA" w:rsidRPr="00096410">
        <w:rPr>
          <w:spacing w:val="-2"/>
          <w:lang w:val="en-GB"/>
        </w:rPr>
        <w:t xml:space="preserve">ounded in 2011, </w:t>
      </w:r>
      <w:r w:rsidRPr="00096410">
        <w:rPr>
          <w:spacing w:val="-2"/>
          <w:lang w:val="en-GB"/>
        </w:rPr>
        <w:t>al</w:t>
      </w:r>
      <w:r w:rsidR="009624CA" w:rsidRPr="00096410">
        <w:rPr>
          <w:spacing w:val="-2"/>
          <w:lang w:val="en-GB"/>
        </w:rPr>
        <w:t xml:space="preserve">though its first full year of programs </w:t>
      </w:r>
      <w:r w:rsidRPr="00096410">
        <w:rPr>
          <w:spacing w:val="-2"/>
          <w:lang w:val="en-GB"/>
        </w:rPr>
        <w:t xml:space="preserve">was completed </w:t>
      </w:r>
      <w:r w:rsidR="009624CA" w:rsidRPr="00096410">
        <w:rPr>
          <w:spacing w:val="-2"/>
          <w:lang w:val="en-GB"/>
        </w:rPr>
        <w:t xml:space="preserve">in </w:t>
      </w:r>
      <w:r w:rsidR="00414FE6" w:rsidRPr="00096410">
        <w:rPr>
          <w:spacing w:val="-2"/>
          <w:lang w:val="en-GB"/>
        </w:rPr>
        <w:t xml:space="preserve">FY </w:t>
      </w:r>
      <w:r w:rsidR="009624CA" w:rsidRPr="00096410">
        <w:rPr>
          <w:spacing w:val="-2"/>
          <w:lang w:val="en-GB"/>
        </w:rPr>
        <w:t>2012</w:t>
      </w:r>
      <w:r w:rsidRPr="00096410">
        <w:rPr>
          <w:spacing w:val="-2"/>
          <w:lang w:val="en-GB"/>
        </w:rPr>
        <w:t>–</w:t>
      </w:r>
      <w:r w:rsidR="009624CA" w:rsidRPr="00096410">
        <w:rPr>
          <w:spacing w:val="-2"/>
          <w:lang w:val="en-GB"/>
        </w:rPr>
        <w:t>13 in the U</w:t>
      </w:r>
      <w:r w:rsidRPr="00096410">
        <w:rPr>
          <w:spacing w:val="-2"/>
          <w:lang w:val="en-GB"/>
        </w:rPr>
        <w:t xml:space="preserve">nited </w:t>
      </w:r>
      <w:r w:rsidR="009624CA" w:rsidRPr="00096410">
        <w:rPr>
          <w:spacing w:val="-2"/>
          <w:lang w:val="en-GB"/>
        </w:rPr>
        <w:t>S</w:t>
      </w:r>
      <w:r w:rsidRPr="00096410">
        <w:rPr>
          <w:spacing w:val="-2"/>
          <w:lang w:val="en-GB"/>
        </w:rPr>
        <w:t>tates</w:t>
      </w:r>
      <w:r w:rsidR="009624CA" w:rsidRPr="00096410">
        <w:rPr>
          <w:spacing w:val="-2"/>
          <w:lang w:val="en-GB"/>
        </w:rPr>
        <w:t xml:space="preserve"> and </w:t>
      </w:r>
      <w:r w:rsidRPr="00096410">
        <w:rPr>
          <w:spacing w:val="-2"/>
          <w:lang w:val="en-GB"/>
        </w:rPr>
        <w:t xml:space="preserve">in </w:t>
      </w:r>
      <w:r w:rsidR="00414FE6" w:rsidRPr="00096410">
        <w:rPr>
          <w:spacing w:val="-2"/>
          <w:lang w:val="en-GB"/>
        </w:rPr>
        <w:t xml:space="preserve">FY </w:t>
      </w:r>
      <w:r w:rsidR="009624CA" w:rsidRPr="00096410">
        <w:rPr>
          <w:spacing w:val="-2"/>
          <w:lang w:val="en-GB"/>
        </w:rPr>
        <w:t>2015</w:t>
      </w:r>
      <w:r w:rsidRPr="00096410">
        <w:rPr>
          <w:spacing w:val="-2"/>
          <w:lang w:val="en-GB"/>
        </w:rPr>
        <w:t>–</w:t>
      </w:r>
      <w:r w:rsidR="009624CA" w:rsidRPr="00096410">
        <w:rPr>
          <w:spacing w:val="-2"/>
          <w:lang w:val="en-GB"/>
        </w:rPr>
        <w:t>16 in Canada</w:t>
      </w:r>
      <w:r w:rsidRPr="00096410">
        <w:rPr>
          <w:spacing w:val="-2"/>
          <w:lang w:val="en-GB"/>
        </w:rPr>
        <w:t>.</w:t>
      </w:r>
      <w:r w:rsidR="009624CA" w:rsidRPr="00096410">
        <w:rPr>
          <w:spacing w:val="-2"/>
          <w:lang w:val="en-GB"/>
        </w:rPr>
        <w:t xml:space="preserve"> </w:t>
      </w:r>
      <w:r w:rsidRPr="00096410">
        <w:rPr>
          <w:spacing w:val="-2"/>
          <w:lang w:val="en-GB"/>
        </w:rPr>
        <w:t xml:space="preserve">At </w:t>
      </w:r>
      <w:r w:rsidR="009624CA" w:rsidRPr="00096410">
        <w:rPr>
          <w:spacing w:val="-2"/>
          <w:lang w:val="en-GB"/>
        </w:rPr>
        <w:t>first</w:t>
      </w:r>
      <w:r w:rsidRPr="00096410">
        <w:rPr>
          <w:spacing w:val="-2"/>
          <w:lang w:val="en-GB"/>
        </w:rPr>
        <w:t>, AWI was</w:t>
      </w:r>
      <w:r w:rsidR="009624CA" w:rsidRPr="00096410">
        <w:rPr>
          <w:spacing w:val="-2"/>
          <w:lang w:val="en-GB"/>
        </w:rPr>
        <w:t xml:space="preserve"> an initiative </w:t>
      </w:r>
      <w:r w:rsidRPr="00096410">
        <w:rPr>
          <w:spacing w:val="-2"/>
          <w:lang w:val="en-GB"/>
        </w:rPr>
        <w:t>promoting</w:t>
      </w:r>
      <w:r w:rsidR="009624CA" w:rsidRPr="00096410">
        <w:rPr>
          <w:spacing w:val="-2"/>
          <w:lang w:val="en-GB"/>
        </w:rPr>
        <w:t xml:space="preserve"> the use of art and film to help </w:t>
      </w:r>
      <w:r w:rsidRPr="00096410">
        <w:rPr>
          <w:spacing w:val="-2"/>
          <w:lang w:val="en-GB"/>
        </w:rPr>
        <w:t>people achieve</w:t>
      </w:r>
      <w:r w:rsidR="009624CA" w:rsidRPr="00096410">
        <w:rPr>
          <w:spacing w:val="-2"/>
          <w:lang w:val="en-GB"/>
        </w:rPr>
        <w:t xml:space="preserve"> overall well-being. However, </w:t>
      </w:r>
      <w:r w:rsidRPr="00096410">
        <w:rPr>
          <w:spacing w:val="-2"/>
          <w:lang w:val="en-GB"/>
        </w:rPr>
        <w:t>McQueen</w:t>
      </w:r>
      <w:r w:rsidR="009624CA" w:rsidRPr="00096410">
        <w:rPr>
          <w:spacing w:val="-2"/>
          <w:lang w:val="en-GB"/>
        </w:rPr>
        <w:t xml:space="preserve"> quickly focused the organization’s mission on mental health and the stigmas surrounding talking about mental health issues. Through the Movies for Mental Health workshops, AWI facilitators travelled to different post-secondary institutions across Canada and the United States </w:t>
      </w:r>
      <w:r w:rsidRPr="00096410">
        <w:rPr>
          <w:spacing w:val="-2"/>
          <w:lang w:val="en-GB"/>
        </w:rPr>
        <w:t>to</w:t>
      </w:r>
      <w:r w:rsidR="009624CA" w:rsidRPr="00096410">
        <w:rPr>
          <w:spacing w:val="-2"/>
          <w:lang w:val="en-GB"/>
        </w:rPr>
        <w:t xml:space="preserve"> promote mental wellness and br</w:t>
      </w:r>
      <w:r w:rsidRPr="00096410">
        <w:rPr>
          <w:spacing w:val="-2"/>
          <w:lang w:val="en-GB"/>
        </w:rPr>
        <w:t>ea</w:t>
      </w:r>
      <w:r w:rsidR="009624CA" w:rsidRPr="00096410">
        <w:rPr>
          <w:spacing w:val="-2"/>
          <w:lang w:val="en-GB"/>
        </w:rPr>
        <w:t>k down stigmas by creating space for young people to learn and connect through art and media. The organization was fully committed to enabling participants to communicate freely and fearlessly about mental health. To attain this goal, AWI had three objectives:</w:t>
      </w:r>
    </w:p>
    <w:p w14:paraId="672B83DB" w14:textId="77777777" w:rsidR="009624CA" w:rsidRPr="00096410" w:rsidRDefault="009624CA" w:rsidP="009624CA">
      <w:pPr>
        <w:pStyle w:val="BodyTextMain"/>
        <w:rPr>
          <w:sz w:val="20"/>
          <w:lang w:val="en-GB"/>
        </w:rPr>
      </w:pPr>
    </w:p>
    <w:p w14:paraId="0B6E4386" w14:textId="73CC9514" w:rsidR="009624CA" w:rsidRPr="00E859CA" w:rsidRDefault="004F750B" w:rsidP="001A5EE0">
      <w:pPr>
        <w:pStyle w:val="BodyTextMain"/>
        <w:numPr>
          <w:ilvl w:val="0"/>
          <w:numId w:val="32"/>
        </w:numPr>
        <w:rPr>
          <w:lang w:val="en-GB"/>
        </w:rPr>
      </w:pPr>
      <w:r w:rsidRPr="00E859CA">
        <w:rPr>
          <w:lang w:val="en-GB"/>
        </w:rPr>
        <w:t>P</w:t>
      </w:r>
      <w:r w:rsidR="009624CA" w:rsidRPr="00E859CA">
        <w:rPr>
          <w:lang w:val="en-GB"/>
        </w:rPr>
        <w:t>rovide unique and safe spaces to learn, cultivate empathy, and reduce stigma in all regions of North America, connecting individuals to comprehensive mental health resources</w:t>
      </w:r>
      <w:r w:rsidRPr="00E859CA">
        <w:rPr>
          <w:lang w:val="en-GB"/>
        </w:rPr>
        <w:t>.</w:t>
      </w:r>
    </w:p>
    <w:p w14:paraId="202132CA" w14:textId="70450F18" w:rsidR="009624CA" w:rsidRPr="00E859CA" w:rsidRDefault="004F750B" w:rsidP="001A5EE0">
      <w:pPr>
        <w:pStyle w:val="BodyTextMain"/>
        <w:numPr>
          <w:ilvl w:val="0"/>
          <w:numId w:val="32"/>
        </w:numPr>
        <w:rPr>
          <w:lang w:val="en-GB"/>
        </w:rPr>
      </w:pPr>
      <w:r w:rsidRPr="00E859CA">
        <w:rPr>
          <w:lang w:val="en-GB"/>
        </w:rPr>
        <w:t>C</w:t>
      </w:r>
      <w:r w:rsidR="009624CA" w:rsidRPr="00E859CA">
        <w:rPr>
          <w:lang w:val="en-GB"/>
        </w:rPr>
        <w:t>ontinue to expand and make available the world’s most diverse and compelling collection of short films on mental health, supporting a network of filmmakers, artists</w:t>
      </w:r>
      <w:r w:rsidRPr="00E859CA">
        <w:rPr>
          <w:lang w:val="en-GB"/>
        </w:rPr>
        <w:t>,</w:t>
      </w:r>
      <w:r w:rsidR="009624CA" w:rsidRPr="00E859CA">
        <w:rPr>
          <w:lang w:val="en-GB"/>
        </w:rPr>
        <w:t xml:space="preserve"> and young people</w:t>
      </w:r>
      <w:r w:rsidRPr="00E859CA">
        <w:rPr>
          <w:lang w:val="en-GB"/>
        </w:rPr>
        <w:t>.</w:t>
      </w:r>
    </w:p>
    <w:p w14:paraId="34A63152" w14:textId="4E1E4EAB" w:rsidR="009624CA" w:rsidRPr="00E859CA" w:rsidRDefault="004F750B" w:rsidP="001A5EE0">
      <w:pPr>
        <w:pStyle w:val="BodyTextMain"/>
        <w:numPr>
          <w:ilvl w:val="0"/>
          <w:numId w:val="32"/>
        </w:numPr>
        <w:rPr>
          <w:lang w:val="en-GB"/>
        </w:rPr>
      </w:pPr>
      <w:r w:rsidRPr="00E859CA">
        <w:rPr>
          <w:lang w:val="en-GB"/>
        </w:rPr>
        <w:t>M</w:t>
      </w:r>
      <w:r w:rsidR="009624CA" w:rsidRPr="00E859CA">
        <w:rPr>
          <w:lang w:val="en-GB"/>
        </w:rPr>
        <w:t xml:space="preserve">aximize collaboration between the arts and social movements by engaging professionals and academic institutions through sustainable partnerships and </w:t>
      </w:r>
      <w:r w:rsidR="004953E6" w:rsidRPr="00E859CA">
        <w:rPr>
          <w:lang w:val="en-GB"/>
        </w:rPr>
        <w:t>transparen</w:t>
      </w:r>
      <w:r w:rsidR="004953E6">
        <w:rPr>
          <w:lang w:val="en-GB"/>
        </w:rPr>
        <w:t xml:space="preserve">t </w:t>
      </w:r>
      <w:r w:rsidR="009624CA" w:rsidRPr="00E859CA">
        <w:rPr>
          <w:lang w:val="en-GB"/>
        </w:rPr>
        <w:t>methods and outcomes</w:t>
      </w:r>
      <w:r w:rsidRPr="00E859CA">
        <w:rPr>
          <w:lang w:val="en-GB"/>
        </w:rPr>
        <w:t>.</w:t>
      </w:r>
    </w:p>
    <w:p w14:paraId="66BEEAA2" w14:textId="77777777" w:rsidR="009624CA" w:rsidRPr="00096410" w:rsidRDefault="009624CA" w:rsidP="009624CA">
      <w:pPr>
        <w:pStyle w:val="BodyTextMain"/>
        <w:rPr>
          <w:sz w:val="20"/>
          <w:lang w:val="en-GB"/>
        </w:rPr>
      </w:pPr>
    </w:p>
    <w:p w14:paraId="4A48BC23" w14:textId="548A7C8C" w:rsidR="008614D5" w:rsidRPr="001A5EE0" w:rsidRDefault="009624CA" w:rsidP="009624CA">
      <w:pPr>
        <w:pStyle w:val="BodyTextMain"/>
        <w:rPr>
          <w:spacing w:val="-4"/>
          <w:lang w:val="en-GB"/>
        </w:rPr>
      </w:pPr>
      <w:r w:rsidRPr="001A5EE0">
        <w:rPr>
          <w:spacing w:val="-4"/>
          <w:lang w:val="en-GB"/>
        </w:rPr>
        <w:t>A</w:t>
      </w:r>
      <w:r w:rsidR="009E0B4D" w:rsidRPr="001A5EE0">
        <w:rPr>
          <w:spacing w:val="-4"/>
          <w:lang w:val="en-GB"/>
        </w:rPr>
        <w:t>ll of th</w:t>
      </w:r>
      <w:r w:rsidR="0078766D" w:rsidRPr="001A5EE0">
        <w:rPr>
          <w:spacing w:val="-4"/>
          <w:lang w:val="en-GB"/>
        </w:rPr>
        <w:t>ese ideas originated with</w:t>
      </w:r>
      <w:r w:rsidRPr="001A5EE0">
        <w:rPr>
          <w:spacing w:val="-4"/>
          <w:lang w:val="en-GB"/>
        </w:rPr>
        <w:t xml:space="preserve"> McQueen, who had always been an art</w:t>
      </w:r>
      <w:r w:rsidR="008614D5" w:rsidRPr="001A5EE0">
        <w:rPr>
          <w:spacing w:val="-4"/>
          <w:lang w:val="en-GB"/>
        </w:rPr>
        <w:t>s</w:t>
      </w:r>
      <w:r w:rsidRPr="001A5EE0">
        <w:rPr>
          <w:spacing w:val="-4"/>
          <w:lang w:val="en-GB"/>
        </w:rPr>
        <w:t xml:space="preserve">-oriented person. After obtaining </w:t>
      </w:r>
      <w:r w:rsidR="0078766D" w:rsidRPr="001A5EE0">
        <w:rPr>
          <w:spacing w:val="-4"/>
          <w:lang w:val="en-GB"/>
        </w:rPr>
        <w:t xml:space="preserve">a </w:t>
      </w:r>
      <w:r w:rsidR="004953E6">
        <w:rPr>
          <w:spacing w:val="-4"/>
          <w:lang w:val="en-GB"/>
        </w:rPr>
        <w:t>m</w:t>
      </w:r>
      <w:r w:rsidR="004953E6" w:rsidRPr="001A5EE0">
        <w:rPr>
          <w:spacing w:val="-4"/>
          <w:lang w:val="en-GB"/>
        </w:rPr>
        <w:t xml:space="preserve">aster </w:t>
      </w:r>
      <w:r w:rsidR="0078766D" w:rsidRPr="001A5EE0">
        <w:rPr>
          <w:spacing w:val="-4"/>
          <w:lang w:val="en-GB"/>
        </w:rPr>
        <w:t>of</w:t>
      </w:r>
      <w:r w:rsidRPr="001A5EE0">
        <w:rPr>
          <w:spacing w:val="-4"/>
          <w:lang w:val="en-GB"/>
        </w:rPr>
        <w:t xml:space="preserve"> </w:t>
      </w:r>
      <w:r w:rsidR="004953E6">
        <w:rPr>
          <w:spacing w:val="-4"/>
          <w:lang w:val="en-GB"/>
        </w:rPr>
        <w:t>a</w:t>
      </w:r>
      <w:r w:rsidRPr="001A5EE0">
        <w:rPr>
          <w:spacing w:val="-4"/>
          <w:lang w:val="en-GB"/>
        </w:rPr>
        <w:t xml:space="preserve">rts </w:t>
      </w:r>
      <w:r w:rsidR="004953E6">
        <w:rPr>
          <w:spacing w:val="-4"/>
          <w:lang w:val="en-GB"/>
        </w:rPr>
        <w:t>m</w:t>
      </w:r>
      <w:r w:rsidRPr="001A5EE0">
        <w:rPr>
          <w:spacing w:val="-4"/>
          <w:lang w:val="en-GB"/>
        </w:rPr>
        <w:t xml:space="preserve">anagement </w:t>
      </w:r>
      <w:r w:rsidR="0078766D" w:rsidRPr="001A5EE0">
        <w:rPr>
          <w:spacing w:val="-4"/>
          <w:lang w:val="en-GB"/>
        </w:rPr>
        <w:t>degree from</w:t>
      </w:r>
      <w:r w:rsidRPr="001A5EE0">
        <w:rPr>
          <w:spacing w:val="-4"/>
          <w:lang w:val="en-GB"/>
        </w:rPr>
        <w:t xml:space="preserve"> Carnegie Mellon University in Pittsburgh, </w:t>
      </w:r>
      <w:r w:rsidR="0078766D" w:rsidRPr="001A5EE0">
        <w:rPr>
          <w:spacing w:val="-4"/>
          <w:lang w:val="en-GB"/>
        </w:rPr>
        <w:t>McQueen was appointed</w:t>
      </w:r>
      <w:r w:rsidRPr="001A5EE0">
        <w:rPr>
          <w:spacing w:val="-4"/>
          <w:lang w:val="en-GB"/>
        </w:rPr>
        <w:t xml:space="preserve"> executive director of the Centre for Arts Management and Technology, an applied research centre at </w:t>
      </w:r>
      <w:r w:rsidR="008614D5" w:rsidRPr="001A5EE0">
        <w:rPr>
          <w:spacing w:val="-4"/>
          <w:lang w:val="en-GB"/>
        </w:rPr>
        <w:t>the u</w:t>
      </w:r>
      <w:r w:rsidRPr="001A5EE0">
        <w:rPr>
          <w:spacing w:val="-4"/>
          <w:lang w:val="en-GB"/>
        </w:rPr>
        <w:t>niversity. With th</w:t>
      </w:r>
      <w:r w:rsidR="008614D5" w:rsidRPr="001A5EE0">
        <w:rPr>
          <w:spacing w:val="-4"/>
          <w:lang w:val="en-GB"/>
        </w:rPr>
        <w:t>at</w:t>
      </w:r>
      <w:r w:rsidRPr="001A5EE0">
        <w:rPr>
          <w:spacing w:val="-4"/>
          <w:lang w:val="en-GB"/>
        </w:rPr>
        <w:t xml:space="preserve"> experience and knowledge, she </w:t>
      </w:r>
      <w:r w:rsidR="0078766D" w:rsidRPr="001A5EE0">
        <w:rPr>
          <w:spacing w:val="-4"/>
          <w:lang w:val="en-GB"/>
        </w:rPr>
        <w:t xml:space="preserve">moved on to </w:t>
      </w:r>
      <w:r w:rsidRPr="001A5EE0">
        <w:rPr>
          <w:spacing w:val="-4"/>
          <w:lang w:val="en-GB"/>
        </w:rPr>
        <w:t>consult for non-profit</w:t>
      </w:r>
      <w:r w:rsidR="008614D5" w:rsidRPr="001A5EE0">
        <w:rPr>
          <w:spacing w:val="-4"/>
          <w:lang w:val="en-GB"/>
        </w:rPr>
        <w:t xml:space="preserve"> groups</w:t>
      </w:r>
      <w:r w:rsidRPr="001A5EE0">
        <w:rPr>
          <w:spacing w:val="-4"/>
          <w:lang w:val="en-GB"/>
        </w:rPr>
        <w:t xml:space="preserve">, where she </w:t>
      </w:r>
      <w:r w:rsidR="008614D5" w:rsidRPr="001A5EE0">
        <w:rPr>
          <w:spacing w:val="-4"/>
          <w:lang w:val="en-GB"/>
        </w:rPr>
        <w:t xml:space="preserve">made </w:t>
      </w:r>
      <w:r w:rsidRPr="001A5EE0">
        <w:rPr>
          <w:spacing w:val="-4"/>
          <w:lang w:val="en-GB"/>
        </w:rPr>
        <w:t>use</w:t>
      </w:r>
      <w:r w:rsidR="008614D5" w:rsidRPr="001A5EE0">
        <w:rPr>
          <w:spacing w:val="-4"/>
          <w:lang w:val="en-GB"/>
        </w:rPr>
        <w:t xml:space="preserve"> of</w:t>
      </w:r>
      <w:r w:rsidRPr="001A5EE0">
        <w:rPr>
          <w:spacing w:val="-4"/>
          <w:lang w:val="en-GB"/>
        </w:rPr>
        <w:t xml:space="preserve"> data and classic marketing techniques to help arts organizations flourish under financial constraints. </w:t>
      </w:r>
    </w:p>
    <w:p w14:paraId="065FCC0B" w14:textId="77777777" w:rsidR="008614D5" w:rsidRPr="00096410" w:rsidRDefault="008614D5" w:rsidP="009624CA">
      <w:pPr>
        <w:pStyle w:val="BodyTextMain"/>
        <w:rPr>
          <w:sz w:val="20"/>
          <w:lang w:val="en-GB"/>
        </w:rPr>
      </w:pPr>
    </w:p>
    <w:p w14:paraId="453C2C82" w14:textId="50B21E84" w:rsidR="009624CA" w:rsidRPr="00E859CA" w:rsidRDefault="0078766D" w:rsidP="009624CA">
      <w:pPr>
        <w:pStyle w:val="BodyTextMain"/>
        <w:rPr>
          <w:lang w:val="en-GB"/>
        </w:rPr>
      </w:pPr>
      <w:r w:rsidRPr="00E859CA">
        <w:rPr>
          <w:lang w:val="en-GB"/>
        </w:rPr>
        <w:t>McQueen</w:t>
      </w:r>
      <w:r w:rsidR="009624CA" w:rsidRPr="00E859CA">
        <w:rPr>
          <w:lang w:val="en-GB"/>
        </w:rPr>
        <w:t xml:space="preserve"> had always been observant and data driven</w:t>
      </w:r>
      <w:r w:rsidRPr="00E859CA">
        <w:rPr>
          <w:lang w:val="en-GB"/>
        </w:rPr>
        <w:t>. She was interested in finding</w:t>
      </w:r>
      <w:r w:rsidR="009624CA" w:rsidRPr="00E859CA">
        <w:rPr>
          <w:lang w:val="en-GB"/>
        </w:rPr>
        <w:t xml:space="preserve"> patterns </w:t>
      </w:r>
      <w:r w:rsidRPr="00E859CA">
        <w:rPr>
          <w:lang w:val="en-GB"/>
        </w:rPr>
        <w:t>showing the</w:t>
      </w:r>
      <w:r w:rsidR="009624CA" w:rsidRPr="00E859CA">
        <w:rPr>
          <w:lang w:val="en-GB"/>
        </w:rPr>
        <w:t xml:space="preserve"> effect </w:t>
      </w:r>
      <w:r w:rsidRPr="00E859CA">
        <w:rPr>
          <w:lang w:val="en-GB"/>
        </w:rPr>
        <w:t xml:space="preserve">of one factor </w:t>
      </w:r>
      <w:r w:rsidR="009624CA" w:rsidRPr="00E859CA">
        <w:rPr>
          <w:lang w:val="en-GB"/>
        </w:rPr>
        <w:t xml:space="preserve">on </w:t>
      </w:r>
      <w:r w:rsidRPr="00E859CA">
        <w:rPr>
          <w:lang w:val="en-GB"/>
        </w:rPr>
        <w:t>another</w:t>
      </w:r>
      <w:r w:rsidR="009624CA" w:rsidRPr="00E859CA">
        <w:rPr>
          <w:lang w:val="en-GB"/>
        </w:rPr>
        <w:t xml:space="preserve">. </w:t>
      </w:r>
      <w:r w:rsidR="003353E6" w:rsidRPr="00E859CA">
        <w:rPr>
          <w:lang w:val="en-GB"/>
        </w:rPr>
        <w:t>For example</w:t>
      </w:r>
      <w:r w:rsidR="009624CA" w:rsidRPr="00E859CA">
        <w:rPr>
          <w:lang w:val="en-GB"/>
        </w:rPr>
        <w:t>, while consulting for arts organizations, she noticed that art</w:t>
      </w:r>
      <w:r w:rsidR="003353E6" w:rsidRPr="00E859CA">
        <w:rPr>
          <w:lang w:val="en-GB"/>
        </w:rPr>
        <w:t>,</w:t>
      </w:r>
      <w:r w:rsidR="009624CA" w:rsidRPr="00E859CA">
        <w:rPr>
          <w:lang w:val="en-GB"/>
        </w:rPr>
        <w:t xml:space="preserve"> as a medium</w:t>
      </w:r>
      <w:r w:rsidR="003353E6" w:rsidRPr="00E859CA">
        <w:rPr>
          <w:lang w:val="en-GB"/>
        </w:rPr>
        <w:t>,</w:t>
      </w:r>
      <w:r w:rsidR="009624CA" w:rsidRPr="00E859CA">
        <w:rPr>
          <w:lang w:val="en-GB"/>
        </w:rPr>
        <w:t xml:space="preserve"> could </w:t>
      </w:r>
      <w:r w:rsidR="003353E6" w:rsidRPr="00E859CA">
        <w:rPr>
          <w:lang w:val="en-GB"/>
        </w:rPr>
        <w:t>lead</w:t>
      </w:r>
      <w:r w:rsidR="009624CA" w:rsidRPr="00E859CA">
        <w:rPr>
          <w:lang w:val="en-GB"/>
        </w:rPr>
        <w:t xml:space="preserve"> people </w:t>
      </w:r>
      <w:r w:rsidR="003353E6" w:rsidRPr="00E859CA">
        <w:rPr>
          <w:lang w:val="en-GB"/>
        </w:rPr>
        <w:t xml:space="preserve">to </w:t>
      </w:r>
      <w:r w:rsidR="009624CA" w:rsidRPr="00E859CA">
        <w:rPr>
          <w:lang w:val="en-GB"/>
        </w:rPr>
        <w:t xml:space="preserve">open up and talk about their experiences. </w:t>
      </w:r>
      <w:r w:rsidR="008614D5" w:rsidRPr="00E859CA">
        <w:rPr>
          <w:lang w:val="en-GB"/>
        </w:rPr>
        <w:t>B</w:t>
      </w:r>
      <w:r w:rsidR="009624CA" w:rsidRPr="00E859CA">
        <w:rPr>
          <w:lang w:val="en-GB"/>
        </w:rPr>
        <w:t>e</w:t>
      </w:r>
      <w:r w:rsidR="003353E6" w:rsidRPr="00E859CA">
        <w:rPr>
          <w:lang w:val="en-GB"/>
        </w:rPr>
        <w:t>ing</w:t>
      </w:r>
      <w:r w:rsidR="009624CA" w:rsidRPr="00E859CA">
        <w:rPr>
          <w:lang w:val="en-GB"/>
        </w:rPr>
        <w:t xml:space="preserve"> aware of </w:t>
      </w:r>
      <w:r w:rsidR="003353E6" w:rsidRPr="00E859CA">
        <w:rPr>
          <w:lang w:val="en-GB"/>
        </w:rPr>
        <w:t>young people’s widespread</w:t>
      </w:r>
      <w:r w:rsidR="009624CA" w:rsidRPr="00E859CA">
        <w:rPr>
          <w:lang w:val="en-GB"/>
        </w:rPr>
        <w:t xml:space="preserve"> need for mental health intervention, she </w:t>
      </w:r>
      <w:r w:rsidR="008614D5" w:rsidRPr="00E859CA">
        <w:rPr>
          <w:lang w:val="en-GB"/>
        </w:rPr>
        <w:t xml:space="preserve">therefore </w:t>
      </w:r>
      <w:r w:rsidR="009624CA" w:rsidRPr="00E859CA">
        <w:rPr>
          <w:lang w:val="en-GB"/>
        </w:rPr>
        <w:t xml:space="preserve">saw </w:t>
      </w:r>
      <w:r w:rsidR="003353E6" w:rsidRPr="00E859CA">
        <w:rPr>
          <w:lang w:val="en-GB"/>
        </w:rPr>
        <w:t>an</w:t>
      </w:r>
      <w:r w:rsidR="009624CA" w:rsidRPr="00E859CA">
        <w:rPr>
          <w:lang w:val="en-GB"/>
        </w:rPr>
        <w:t xml:space="preserve"> opportunity to use art as </w:t>
      </w:r>
      <w:r w:rsidR="003353E6" w:rsidRPr="00E859CA">
        <w:rPr>
          <w:lang w:val="en-GB"/>
        </w:rPr>
        <w:t>an ideal</w:t>
      </w:r>
      <w:r w:rsidR="009624CA" w:rsidRPr="00E859CA">
        <w:rPr>
          <w:lang w:val="en-GB"/>
        </w:rPr>
        <w:t xml:space="preserve"> tool to help break down the stigma surrounding mental health and get people to open up. It was </w:t>
      </w:r>
      <w:r w:rsidR="008614D5" w:rsidRPr="00E859CA">
        <w:rPr>
          <w:lang w:val="en-GB"/>
        </w:rPr>
        <w:t>that realization</w:t>
      </w:r>
      <w:r w:rsidR="009624CA" w:rsidRPr="00E859CA">
        <w:rPr>
          <w:lang w:val="en-GB"/>
        </w:rPr>
        <w:t xml:space="preserve"> that </w:t>
      </w:r>
      <w:r w:rsidR="008614D5" w:rsidRPr="00E859CA">
        <w:rPr>
          <w:lang w:val="en-GB"/>
        </w:rPr>
        <w:t>led her to</w:t>
      </w:r>
      <w:r w:rsidR="009624CA" w:rsidRPr="00E859CA">
        <w:rPr>
          <w:lang w:val="en-GB"/>
        </w:rPr>
        <w:t xml:space="preserve"> commit to facilitat</w:t>
      </w:r>
      <w:r w:rsidR="008614D5" w:rsidRPr="00E859CA">
        <w:rPr>
          <w:lang w:val="en-GB"/>
        </w:rPr>
        <w:t>ing</w:t>
      </w:r>
      <w:r w:rsidR="009624CA" w:rsidRPr="00E859CA">
        <w:rPr>
          <w:lang w:val="en-GB"/>
        </w:rPr>
        <w:t xml:space="preserve"> and enabl</w:t>
      </w:r>
      <w:r w:rsidR="008614D5" w:rsidRPr="00E859CA">
        <w:rPr>
          <w:lang w:val="en-GB"/>
        </w:rPr>
        <w:t>ing</w:t>
      </w:r>
      <w:r w:rsidR="009624CA" w:rsidRPr="00E859CA">
        <w:rPr>
          <w:lang w:val="en-GB"/>
        </w:rPr>
        <w:t xml:space="preserve"> young people to talk freely about their mental health.</w:t>
      </w:r>
    </w:p>
    <w:p w14:paraId="30844108" w14:textId="77777777" w:rsidR="009624CA" w:rsidRPr="00096410" w:rsidRDefault="009624CA" w:rsidP="009624CA">
      <w:pPr>
        <w:pStyle w:val="BodyTextMain"/>
        <w:rPr>
          <w:sz w:val="20"/>
          <w:lang w:val="en-GB"/>
        </w:rPr>
      </w:pPr>
    </w:p>
    <w:p w14:paraId="5CBFA686" w14:textId="77777777" w:rsidR="009624CA" w:rsidRPr="00096410" w:rsidRDefault="009624CA" w:rsidP="009624CA">
      <w:pPr>
        <w:pStyle w:val="BodyTextMain"/>
        <w:rPr>
          <w:sz w:val="20"/>
          <w:lang w:val="en-GB"/>
        </w:rPr>
      </w:pPr>
    </w:p>
    <w:p w14:paraId="3F643B9F" w14:textId="5C499235" w:rsidR="009624CA" w:rsidRPr="00E859CA" w:rsidRDefault="008614D5" w:rsidP="009624CA">
      <w:pPr>
        <w:pStyle w:val="Casehead1"/>
        <w:rPr>
          <w:lang w:val="en-GB"/>
        </w:rPr>
      </w:pPr>
      <w:r w:rsidRPr="00E859CA">
        <w:rPr>
          <w:lang w:val="en-GB"/>
        </w:rPr>
        <w:t>A</w:t>
      </w:r>
      <w:r w:rsidR="009624CA" w:rsidRPr="00E859CA">
        <w:rPr>
          <w:lang w:val="en-GB"/>
        </w:rPr>
        <w:t xml:space="preserve"> unique proposition</w:t>
      </w:r>
    </w:p>
    <w:p w14:paraId="03500D8B" w14:textId="77777777" w:rsidR="009624CA" w:rsidRPr="00096410" w:rsidRDefault="009624CA" w:rsidP="009624CA">
      <w:pPr>
        <w:pStyle w:val="BodyTextMain"/>
        <w:rPr>
          <w:sz w:val="20"/>
          <w:lang w:val="en-GB"/>
        </w:rPr>
      </w:pPr>
    </w:p>
    <w:p w14:paraId="31244B9D" w14:textId="6AAD191C" w:rsidR="009624CA" w:rsidRPr="00E859CA" w:rsidRDefault="009624CA" w:rsidP="009624CA">
      <w:pPr>
        <w:pStyle w:val="BodyTextMain"/>
        <w:rPr>
          <w:lang w:val="en-GB"/>
        </w:rPr>
      </w:pPr>
      <w:r w:rsidRPr="00E859CA">
        <w:rPr>
          <w:lang w:val="en-GB"/>
        </w:rPr>
        <w:t xml:space="preserve">Through </w:t>
      </w:r>
      <w:r w:rsidR="008614D5" w:rsidRPr="00E859CA">
        <w:rPr>
          <w:lang w:val="en-GB"/>
        </w:rPr>
        <w:t>AWI, McQueen</w:t>
      </w:r>
      <w:r w:rsidRPr="00E859CA">
        <w:rPr>
          <w:lang w:val="en-GB"/>
        </w:rPr>
        <w:t xml:space="preserve"> found an innovative way to bring young people together and enable them to speak freely about their mental health. </w:t>
      </w:r>
      <w:r w:rsidR="008614D5" w:rsidRPr="00E859CA">
        <w:rPr>
          <w:lang w:val="en-GB"/>
        </w:rPr>
        <w:t>The process</w:t>
      </w:r>
      <w:r w:rsidRPr="00E859CA">
        <w:rPr>
          <w:lang w:val="en-GB"/>
        </w:rPr>
        <w:t xml:space="preserve"> was simple</w:t>
      </w:r>
      <w:r w:rsidR="008614D5" w:rsidRPr="00E859CA">
        <w:rPr>
          <w:lang w:val="en-GB"/>
        </w:rPr>
        <w:t>. AWI</w:t>
      </w:r>
      <w:r w:rsidRPr="00E859CA">
        <w:rPr>
          <w:lang w:val="en-GB"/>
        </w:rPr>
        <w:t xml:space="preserve"> showed three short films about mental health, created by diverse filmmakers from around the world, </w:t>
      </w:r>
      <w:r w:rsidR="008614D5" w:rsidRPr="00E859CA">
        <w:rPr>
          <w:lang w:val="en-GB"/>
        </w:rPr>
        <w:t>intended</w:t>
      </w:r>
      <w:r w:rsidRPr="00E859CA">
        <w:rPr>
          <w:lang w:val="en-GB"/>
        </w:rPr>
        <w:t xml:space="preserve"> to encourage a conversation</w:t>
      </w:r>
      <w:r w:rsidR="008614D5" w:rsidRPr="00E859CA">
        <w:rPr>
          <w:lang w:val="en-GB"/>
        </w:rPr>
        <w:t>.</w:t>
      </w:r>
      <w:r w:rsidRPr="00E859CA">
        <w:rPr>
          <w:lang w:val="en-GB"/>
        </w:rPr>
        <w:t xml:space="preserve"> </w:t>
      </w:r>
      <w:r w:rsidR="008614D5" w:rsidRPr="00E859CA">
        <w:rPr>
          <w:lang w:val="en-GB"/>
        </w:rPr>
        <w:t>A</w:t>
      </w:r>
      <w:r w:rsidRPr="00E859CA">
        <w:rPr>
          <w:lang w:val="en-GB"/>
        </w:rPr>
        <w:t>s well</w:t>
      </w:r>
      <w:r w:rsidR="008614D5" w:rsidRPr="00E859CA">
        <w:rPr>
          <w:lang w:val="en-GB"/>
        </w:rPr>
        <w:t>,</w:t>
      </w:r>
      <w:r w:rsidRPr="00E859CA">
        <w:rPr>
          <w:lang w:val="en-GB"/>
        </w:rPr>
        <w:t xml:space="preserve"> attendees share</w:t>
      </w:r>
      <w:r w:rsidR="008614D5" w:rsidRPr="00E859CA">
        <w:rPr>
          <w:lang w:val="en-GB"/>
        </w:rPr>
        <w:t>d</w:t>
      </w:r>
      <w:r w:rsidRPr="00E859CA">
        <w:rPr>
          <w:lang w:val="en-GB"/>
        </w:rPr>
        <w:t xml:space="preserve"> experiences of their own struggles with issues related to mental health. Each workshop was organized and guided by one of AWI’s facilitators, who travelled with the films to each location. </w:t>
      </w:r>
      <w:r w:rsidR="00954649" w:rsidRPr="00E859CA">
        <w:rPr>
          <w:lang w:val="en-GB"/>
        </w:rPr>
        <w:t>McQueen</w:t>
      </w:r>
      <w:r w:rsidRPr="00E859CA">
        <w:rPr>
          <w:lang w:val="en-GB"/>
        </w:rPr>
        <w:t xml:space="preserve"> believed that art (through film) </w:t>
      </w:r>
      <w:r w:rsidR="00954649" w:rsidRPr="00E859CA">
        <w:rPr>
          <w:lang w:val="en-GB"/>
        </w:rPr>
        <w:t>had the power</w:t>
      </w:r>
      <w:r w:rsidRPr="00E859CA">
        <w:rPr>
          <w:lang w:val="en-GB"/>
        </w:rPr>
        <w:t xml:space="preserve"> to implicitly raise questions t</w:t>
      </w:r>
      <w:r w:rsidR="00954649" w:rsidRPr="00E859CA">
        <w:rPr>
          <w:lang w:val="en-GB"/>
        </w:rPr>
        <w:t>hat could</w:t>
      </w:r>
      <w:r w:rsidRPr="00E859CA">
        <w:rPr>
          <w:lang w:val="en-GB"/>
        </w:rPr>
        <w:t xml:space="preserve"> break</w:t>
      </w:r>
      <w:r w:rsidR="00954649" w:rsidRPr="00E859CA">
        <w:rPr>
          <w:lang w:val="en-GB"/>
        </w:rPr>
        <w:t xml:space="preserve"> </w:t>
      </w:r>
      <w:r w:rsidRPr="00E859CA">
        <w:rPr>
          <w:lang w:val="en-GB"/>
        </w:rPr>
        <w:t>down the internalized stigmas associated with mental health issues. The key factor to this method was not to formally educate participants on the statistics and commonalities around mental health, but allow them to change their minds about mental illness on their own</w:t>
      </w:r>
      <w:r w:rsidR="00954649" w:rsidRPr="00E859CA">
        <w:rPr>
          <w:lang w:val="en-GB"/>
        </w:rPr>
        <w:t>,</w:t>
      </w:r>
      <w:r w:rsidRPr="00E859CA">
        <w:rPr>
          <w:lang w:val="en-GB"/>
        </w:rPr>
        <w:t xml:space="preserve"> by talking about it.</w:t>
      </w:r>
    </w:p>
    <w:p w14:paraId="589CDEEA" w14:textId="77777777" w:rsidR="00954649" w:rsidRPr="00096410" w:rsidRDefault="00954649" w:rsidP="009624CA">
      <w:pPr>
        <w:pStyle w:val="BodyTextMain"/>
        <w:rPr>
          <w:sz w:val="20"/>
          <w:lang w:val="en-GB"/>
        </w:rPr>
      </w:pPr>
    </w:p>
    <w:p w14:paraId="58758FC4" w14:textId="185C742C" w:rsidR="009624CA" w:rsidRPr="00096410" w:rsidRDefault="009624CA" w:rsidP="009624CA">
      <w:pPr>
        <w:pStyle w:val="BodyTextMain"/>
        <w:rPr>
          <w:spacing w:val="-2"/>
          <w:lang w:val="en-GB"/>
        </w:rPr>
      </w:pPr>
      <w:r w:rsidRPr="00096410">
        <w:rPr>
          <w:spacing w:val="-2"/>
          <w:lang w:val="en-GB"/>
        </w:rPr>
        <w:t xml:space="preserve">The </w:t>
      </w:r>
      <w:r w:rsidR="004953E6" w:rsidRPr="00096410">
        <w:rPr>
          <w:spacing w:val="-2"/>
          <w:lang w:val="en-GB"/>
        </w:rPr>
        <w:t>three</w:t>
      </w:r>
      <w:r w:rsidR="004953E6">
        <w:rPr>
          <w:spacing w:val="-2"/>
          <w:lang w:val="en-GB"/>
        </w:rPr>
        <w:t>-</w:t>
      </w:r>
      <w:r w:rsidRPr="00096410">
        <w:rPr>
          <w:spacing w:val="-2"/>
          <w:lang w:val="en-GB"/>
        </w:rPr>
        <w:t xml:space="preserve">film model stemmed from </w:t>
      </w:r>
      <w:r w:rsidR="00954649" w:rsidRPr="00096410">
        <w:rPr>
          <w:spacing w:val="-2"/>
          <w:lang w:val="en-GB"/>
        </w:rPr>
        <w:t>McQueen</w:t>
      </w:r>
      <w:r w:rsidRPr="00096410">
        <w:rPr>
          <w:spacing w:val="-2"/>
          <w:lang w:val="en-GB"/>
        </w:rPr>
        <w:t xml:space="preserve">’s curiosity </w:t>
      </w:r>
      <w:r w:rsidR="00954649" w:rsidRPr="00096410">
        <w:rPr>
          <w:spacing w:val="-2"/>
          <w:lang w:val="en-GB"/>
        </w:rPr>
        <w:t xml:space="preserve">and desire </w:t>
      </w:r>
      <w:r w:rsidRPr="00096410">
        <w:rPr>
          <w:spacing w:val="-2"/>
          <w:lang w:val="en-GB"/>
        </w:rPr>
        <w:t xml:space="preserve">to experiment. During the first year of the organization’s existence she explored different ways of engaging young people through film. She found </w:t>
      </w:r>
      <w:r w:rsidRPr="00096410">
        <w:rPr>
          <w:spacing w:val="-2"/>
          <w:lang w:val="en-GB"/>
        </w:rPr>
        <w:lastRenderedPageBreak/>
        <w:t xml:space="preserve">that showing only one </w:t>
      </w:r>
      <w:r w:rsidR="00BA4984" w:rsidRPr="00096410">
        <w:rPr>
          <w:spacing w:val="-2"/>
          <w:lang w:val="en-GB"/>
        </w:rPr>
        <w:t>feature</w:t>
      </w:r>
      <w:r w:rsidR="00BA4984">
        <w:rPr>
          <w:spacing w:val="-2"/>
          <w:lang w:val="en-GB"/>
        </w:rPr>
        <w:t>-</w:t>
      </w:r>
      <w:r w:rsidRPr="00096410">
        <w:rPr>
          <w:spacing w:val="-2"/>
          <w:lang w:val="en-GB"/>
        </w:rPr>
        <w:t xml:space="preserve">length film did not encourage people to talk and exchange </w:t>
      </w:r>
      <w:r w:rsidR="006B4A6F" w:rsidRPr="00096410">
        <w:rPr>
          <w:spacing w:val="-2"/>
          <w:lang w:val="en-GB"/>
        </w:rPr>
        <w:t xml:space="preserve">ideas </w:t>
      </w:r>
      <w:r w:rsidRPr="00096410">
        <w:rPr>
          <w:spacing w:val="-2"/>
          <w:lang w:val="en-GB"/>
        </w:rPr>
        <w:t xml:space="preserve">about their past experiences. </w:t>
      </w:r>
      <w:r w:rsidR="006B4A6F" w:rsidRPr="00096410">
        <w:rPr>
          <w:spacing w:val="-2"/>
          <w:lang w:val="en-GB"/>
        </w:rPr>
        <w:t>S</w:t>
      </w:r>
      <w:r w:rsidRPr="00096410">
        <w:rPr>
          <w:spacing w:val="-2"/>
          <w:lang w:val="en-GB"/>
        </w:rPr>
        <w:t xml:space="preserve">howing two </w:t>
      </w:r>
      <w:r w:rsidR="006B4A6F" w:rsidRPr="00096410">
        <w:rPr>
          <w:spacing w:val="-2"/>
          <w:lang w:val="en-GB"/>
        </w:rPr>
        <w:t>medium-length</w:t>
      </w:r>
      <w:r w:rsidRPr="00096410">
        <w:rPr>
          <w:spacing w:val="-2"/>
          <w:lang w:val="en-GB"/>
        </w:rPr>
        <w:t xml:space="preserve"> films only got people to compare the </w:t>
      </w:r>
      <w:r w:rsidR="006B4A6F" w:rsidRPr="00096410">
        <w:rPr>
          <w:spacing w:val="-2"/>
          <w:lang w:val="en-GB"/>
        </w:rPr>
        <w:t xml:space="preserve">two </w:t>
      </w:r>
      <w:r w:rsidRPr="00096410">
        <w:rPr>
          <w:spacing w:val="-2"/>
          <w:lang w:val="en-GB"/>
        </w:rPr>
        <w:t>films</w:t>
      </w:r>
      <w:r w:rsidR="006B4A6F" w:rsidRPr="00096410">
        <w:rPr>
          <w:spacing w:val="-2"/>
          <w:lang w:val="en-GB"/>
        </w:rPr>
        <w:t>,</w:t>
      </w:r>
      <w:r w:rsidRPr="00096410">
        <w:rPr>
          <w:spacing w:val="-2"/>
          <w:lang w:val="en-GB"/>
        </w:rPr>
        <w:t xml:space="preserve"> without talking about mental health issues in general or </w:t>
      </w:r>
      <w:r w:rsidR="006B4A6F" w:rsidRPr="00096410">
        <w:rPr>
          <w:spacing w:val="-2"/>
          <w:lang w:val="en-GB"/>
        </w:rPr>
        <w:t xml:space="preserve">about </w:t>
      </w:r>
      <w:r w:rsidRPr="00096410">
        <w:rPr>
          <w:spacing w:val="-2"/>
          <w:lang w:val="en-GB"/>
        </w:rPr>
        <w:t xml:space="preserve">their own experiences. </w:t>
      </w:r>
      <w:r w:rsidR="006B4A6F" w:rsidRPr="00096410">
        <w:rPr>
          <w:spacing w:val="-2"/>
          <w:lang w:val="en-GB"/>
        </w:rPr>
        <w:t>T</w:t>
      </w:r>
      <w:r w:rsidRPr="00096410">
        <w:rPr>
          <w:spacing w:val="-2"/>
          <w:lang w:val="en-GB"/>
        </w:rPr>
        <w:t>hree short films</w:t>
      </w:r>
      <w:r w:rsidR="006B4A6F" w:rsidRPr="00096410">
        <w:rPr>
          <w:spacing w:val="-2"/>
          <w:lang w:val="en-GB"/>
        </w:rPr>
        <w:t>, however,</w:t>
      </w:r>
      <w:r w:rsidRPr="00096410">
        <w:rPr>
          <w:spacing w:val="-2"/>
          <w:lang w:val="en-GB"/>
        </w:rPr>
        <w:t xml:space="preserve"> </w:t>
      </w:r>
      <w:r w:rsidR="006B4A6F" w:rsidRPr="00096410">
        <w:rPr>
          <w:spacing w:val="-2"/>
          <w:lang w:val="en-GB"/>
        </w:rPr>
        <w:t xml:space="preserve">emerged </w:t>
      </w:r>
      <w:r w:rsidRPr="00096410">
        <w:rPr>
          <w:spacing w:val="-2"/>
          <w:lang w:val="en-GB"/>
        </w:rPr>
        <w:t xml:space="preserve">as the most efficient strategy. She found that this elevated the conversation away from the specifics of each film and </w:t>
      </w:r>
      <w:r w:rsidR="006B4A6F" w:rsidRPr="00096410">
        <w:rPr>
          <w:spacing w:val="-2"/>
          <w:lang w:val="en-GB"/>
        </w:rPr>
        <w:t>t</w:t>
      </w:r>
      <w:r w:rsidRPr="00096410">
        <w:rPr>
          <w:spacing w:val="-2"/>
          <w:lang w:val="en-GB"/>
        </w:rPr>
        <w:t>ha</w:t>
      </w:r>
      <w:r w:rsidR="006B4A6F" w:rsidRPr="00096410">
        <w:rPr>
          <w:spacing w:val="-2"/>
          <w:lang w:val="en-GB"/>
        </w:rPr>
        <w:t>t</w:t>
      </w:r>
      <w:r w:rsidRPr="00096410">
        <w:rPr>
          <w:spacing w:val="-2"/>
          <w:lang w:val="en-GB"/>
        </w:rPr>
        <w:t xml:space="preserve"> participants open</w:t>
      </w:r>
      <w:r w:rsidR="006B4A6F" w:rsidRPr="00096410">
        <w:rPr>
          <w:spacing w:val="-2"/>
          <w:lang w:val="en-GB"/>
        </w:rPr>
        <w:t>ed</w:t>
      </w:r>
      <w:r w:rsidRPr="00096410">
        <w:rPr>
          <w:spacing w:val="-2"/>
          <w:lang w:val="en-GB"/>
        </w:rPr>
        <w:t xml:space="preserve"> up</w:t>
      </w:r>
      <w:r w:rsidR="006B4A6F" w:rsidRPr="00096410">
        <w:rPr>
          <w:spacing w:val="-2"/>
          <w:lang w:val="en-GB"/>
        </w:rPr>
        <w:t>. They</w:t>
      </w:r>
      <w:r w:rsidRPr="00096410">
        <w:rPr>
          <w:spacing w:val="-2"/>
          <w:lang w:val="en-GB"/>
        </w:rPr>
        <w:t xml:space="preserve"> talk</w:t>
      </w:r>
      <w:r w:rsidR="006B4A6F" w:rsidRPr="00096410">
        <w:rPr>
          <w:spacing w:val="-2"/>
          <w:lang w:val="en-GB"/>
        </w:rPr>
        <w:t>ed</w:t>
      </w:r>
      <w:r w:rsidRPr="00096410">
        <w:rPr>
          <w:spacing w:val="-2"/>
          <w:lang w:val="en-GB"/>
        </w:rPr>
        <w:t xml:space="preserve"> about their own experiences and </w:t>
      </w:r>
      <w:r w:rsidR="006B4A6F" w:rsidRPr="00096410">
        <w:rPr>
          <w:spacing w:val="-2"/>
          <w:lang w:val="en-GB"/>
        </w:rPr>
        <w:t xml:space="preserve">about </w:t>
      </w:r>
      <w:r w:rsidRPr="00096410">
        <w:rPr>
          <w:spacing w:val="-2"/>
          <w:lang w:val="en-GB"/>
        </w:rPr>
        <w:t>how th</w:t>
      </w:r>
      <w:r w:rsidR="006B4A6F" w:rsidRPr="00096410">
        <w:rPr>
          <w:spacing w:val="-2"/>
          <w:lang w:val="en-GB"/>
        </w:rPr>
        <w:t>os</w:t>
      </w:r>
      <w:r w:rsidRPr="00096410">
        <w:rPr>
          <w:spacing w:val="-2"/>
          <w:lang w:val="en-GB"/>
        </w:rPr>
        <w:t>e</w:t>
      </w:r>
      <w:r w:rsidR="006B4A6F" w:rsidRPr="00096410">
        <w:rPr>
          <w:spacing w:val="-2"/>
          <w:lang w:val="en-GB"/>
        </w:rPr>
        <w:t xml:space="preserve"> experiences </w:t>
      </w:r>
      <w:r w:rsidRPr="00096410">
        <w:rPr>
          <w:spacing w:val="-2"/>
          <w:lang w:val="en-GB"/>
        </w:rPr>
        <w:t>relate</w:t>
      </w:r>
      <w:r w:rsidR="006B4A6F" w:rsidRPr="00096410">
        <w:rPr>
          <w:spacing w:val="-2"/>
          <w:lang w:val="en-GB"/>
        </w:rPr>
        <w:t>d</w:t>
      </w:r>
      <w:r w:rsidRPr="00096410">
        <w:rPr>
          <w:spacing w:val="-2"/>
          <w:lang w:val="en-GB"/>
        </w:rPr>
        <w:t xml:space="preserve"> to the films. </w:t>
      </w:r>
      <w:r w:rsidR="006B4A6F" w:rsidRPr="00096410">
        <w:rPr>
          <w:spacing w:val="-2"/>
          <w:lang w:val="en-GB"/>
        </w:rPr>
        <w:t>McQueen soon</w:t>
      </w:r>
      <w:r w:rsidRPr="00096410">
        <w:rPr>
          <w:spacing w:val="-2"/>
          <w:lang w:val="en-GB"/>
        </w:rPr>
        <w:t xml:space="preserve"> realized</w:t>
      </w:r>
      <w:r w:rsidR="006B4A6F" w:rsidRPr="00096410">
        <w:rPr>
          <w:spacing w:val="-2"/>
          <w:lang w:val="en-GB"/>
        </w:rPr>
        <w:t xml:space="preserve"> that</w:t>
      </w:r>
      <w:r w:rsidRPr="00096410">
        <w:rPr>
          <w:spacing w:val="-2"/>
          <w:lang w:val="en-GB"/>
        </w:rPr>
        <w:t xml:space="preserve"> she had </w:t>
      </w:r>
      <w:r w:rsidR="006B4A6F" w:rsidRPr="00096410">
        <w:rPr>
          <w:spacing w:val="-2"/>
          <w:lang w:val="en-GB"/>
        </w:rPr>
        <w:t>a concept</w:t>
      </w:r>
      <w:r w:rsidRPr="00096410">
        <w:rPr>
          <w:spacing w:val="-2"/>
          <w:lang w:val="en-GB"/>
        </w:rPr>
        <w:t xml:space="preserve"> that could work on a broad scale.</w:t>
      </w:r>
    </w:p>
    <w:p w14:paraId="311938DB" w14:textId="77777777" w:rsidR="009624CA" w:rsidRPr="00096410" w:rsidRDefault="009624CA" w:rsidP="009624CA">
      <w:pPr>
        <w:pStyle w:val="BodyTextMain"/>
        <w:rPr>
          <w:sz w:val="20"/>
          <w:lang w:val="en-GB"/>
        </w:rPr>
      </w:pPr>
    </w:p>
    <w:p w14:paraId="2FA6FD8E" w14:textId="22AC0D68" w:rsidR="009624CA" w:rsidRPr="00E859CA" w:rsidRDefault="006B4A6F" w:rsidP="009624CA">
      <w:pPr>
        <w:pStyle w:val="BodyTextMain"/>
        <w:rPr>
          <w:lang w:val="en-GB"/>
        </w:rPr>
      </w:pPr>
      <w:r w:rsidRPr="00E859CA">
        <w:rPr>
          <w:lang w:val="en-GB"/>
        </w:rPr>
        <w:t>By</w:t>
      </w:r>
      <w:r w:rsidR="009624CA" w:rsidRPr="00E859CA">
        <w:rPr>
          <w:lang w:val="en-GB"/>
        </w:rPr>
        <w:t xml:space="preserve"> 2017, </w:t>
      </w:r>
      <w:r w:rsidRPr="00E859CA">
        <w:rPr>
          <w:lang w:val="en-GB"/>
        </w:rPr>
        <w:t>AWI</w:t>
      </w:r>
      <w:r w:rsidR="009624CA" w:rsidRPr="00E859CA">
        <w:rPr>
          <w:lang w:val="en-GB"/>
        </w:rPr>
        <w:t xml:space="preserve"> ha</w:t>
      </w:r>
      <w:r w:rsidRPr="00E859CA">
        <w:rPr>
          <w:lang w:val="en-GB"/>
        </w:rPr>
        <w:t>d</w:t>
      </w:r>
      <w:r w:rsidR="009624CA" w:rsidRPr="00E859CA">
        <w:rPr>
          <w:lang w:val="en-GB"/>
        </w:rPr>
        <w:t xml:space="preserve"> taken </w:t>
      </w:r>
      <w:r w:rsidRPr="00E859CA">
        <w:rPr>
          <w:lang w:val="en-GB"/>
        </w:rPr>
        <w:t>i</w:t>
      </w:r>
      <w:r w:rsidR="009624CA" w:rsidRPr="00E859CA">
        <w:rPr>
          <w:lang w:val="en-GB"/>
        </w:rPr>
        <w:t>t</w:t>
      </w:r>
      <w:r w:rsidRPr="00E859CA">
        <w:rPr>
          <w:lang w:val="en-GB"/>
        </w:rPr>
        <w:t>s</w:t>
      </w:r>
      <w:r w:rsidR="009624CA" w:rsidRPr="00E859CA">
        <w:rPr>
          <w:lang w:val="en-GB"/>
        </w:rPr>
        <w:t xml:space="preserve"> three-film model across the United States and Canada. Each workshop directly connected students with local mental health resources and encouraged early help-seeking. </w:t>
      </w:r>
    </w:p>
    <w:p w14:paraId="3459FBD1" w14:textId="77777777" w:rsidR="009624CA" w:rsidRPr="00096410" w:rsidRDefault="009624CA" w:rsidP="009624CA">
      <w:pPr>
        <w:pStyle w:val="BodyTextMain"/>
        <w:rPr>
          <w:sz w:val="20"/>
          <w:lang w:val="en-GB"/>
        </w:rPr>
      </w:pPr>
    </w:p>
    <w:p w14:paraId="7B1E427C" w14:textId="78A57B06" w:rsidR="009624CA" w:rsidRPr="00E859CA" w:rsidRDefault="009624CA" w:rsidP="009624CA">
      <w:pPr>
        <w:pStyle w:val="BodyTextMain"/>
        <w:rPr>
          <w:lang w:val="en-GB"/>
        </w:rPr>
      </w:pPr>
      <w:r w:rsidRPr="00E859CA">
        <w:rPr>
          <w:lang w:val="en-GB"/>
        </w:rPr>
        <w:t>This method was particularly unique because attempts t</w:t>
      </w:r>
      <w:r w:rsidR="00C77455" w:rsidRPr="00E859CA">
        <w:rPr>
          <w:lang w:val="en-GB"/>
        </w:rPr>
        <w:t>o</w:t>
      </w:r>
      <w:r w:rsidRPr="00E859CA">
        <w:rPr>
          <w:lang w:val="en-GB"/>
        </w:rPr>
        <w:t xml:space="preserve"> break the stigma surrounding mental health </w:t>
      </w:r>
      <w:r w:rsidR="00BA4984" w:rsidRPr="00E859CA">
        <w:rPr>
          <w:lang w:val="en-GB"/>
        </w:rPr>
        <w:t>w</w:t>
      </w:r>
      <w:r w:rsidR="00BA4984">
        <w:rPr>
          <w:lang w:val="en-GB"/>
        </w:rPr>
        <w:t xml:space="preserve">ere </w:t>
      </w:r>
      <w:r w:rsidR="00C77455" w:rsidRPr="00E859CA">
        <w:rPr>
          <w:lang w:val="en-GB"/>
        </w:rPr>
        <w:t>normally</w:t>
      </w:r>
      <w:r w:rsidRPr="00E859CA">
        <w:rPr>
          <w:lang w:val="en-GB"/>
        </w:rPr>
        <w:t xml:space="preserve"> </w:t>
      </w:r>
      <w:r w:rsidR="00BA4984">
        <w:rPr>
          <w:lang w:val="en-GB"/>
        </w:rPr>
        <w:t>made</w:t>
      </w:r>
      <w:r w:rsidR="00BA4984" w:rsidRPr="00E859CA">
        <w:rPr>
          <w:lang w:val="en-GB"/>
        </w:rPr>
        <w:t xml:space="preserve"> </w:t>
      </w:r>
      <w:r w:rsidRPr="00E859CA">
        <w:rPr>
          <w:lang w:val="en-GB"/>
        </w:rPr>
        <w:t xml:space="preserve">through </w:t>
      </w:r>
      <w:r w:rsidR="00C77455" w:rsidRPr="00E859CA">
        <w:rPr>
          <w:lang w:val="en-GB"/>
        </w:rPr>
        <w:t>regular</w:t>
      </w:r>
      <w:r w:rsidRPr="00E859CA">
        <w:rPr>
          <w:lang w:val="en-GB"/>
        </w:rPr>
        <w:t xml:space="preserve"> education. </w:t>
      </w:r>
      <w:r w:rsidR="00C77455" w:rsidRPr="00E859CA">
        <w:rPr>
          <w:lang w:val="en-GB"/>
        </w:rPr>
        <w:t>The typical process would list f</w:t>
      </w:r>
      <w:r w:rsidRPr="00E859CA">
        <w:rPr>
          <w:lang w:val="en-GB"/>
        </w:rPr>
        <w:t xml:space="preserve">acts and figures </w:t>
      </w:r>
      <w:r w:rsidR="00C77455" w:rsidRPr="00E859CA">
        <w:rPr>
          <w:lang w:val="en-GB"/>
        </w:rPr>
        <w:t>for participants</w:t>
      </w:r>
      <w:r w:rsidR="00BA4984">
        <w:rPr>
          <w:lang w:val="en-GB"/>
        </w:rPr>
        <w:t>,</w:t>
      </w:r>
      <w:r w:rsidRPr="00E859CA">
        <w:rPr>
          <w:lang w:val="en-GB"/>
        </w:rPr>
        <w:t xml:space="preserve"> who suffered in silence, </w:t>
      </w:r>
      <w:r w:rsidR="00BA4984">
        <w:rPr>
          <w:lang w:val="en-GB"/>
        </w:rPr>
        <w:t>with the</w:t>
      </w:r>
      <w:r w:rsidR="00BA4984" w:rsidRPr="00E859CA">
        <w:rPr>
          <w:lang w:val="en-GB"/>
        </w:rPr>
        <w:t xml:space="preserve"> expect</w:t>
      </w:r>
      <w:r w:rsidR="00BA4984">
        <w:rPr>
          <w:lang w:val="en-GB"/>
        </w:rPr>
        <w:t>ation</w:t>
      </w:r>
      <w:r w:rsidR="00BA4984" w:rsidRPr="00E859CA">
        <w:rPr>
          <w:lang w:val="en-GB"/>
        </w:rPr>
        <w:t xml:space="preserve"> </w:t>
      </w:r>
      <w:r w:rsidR="00C77455" w:rsidRPr="00E859CA">
        <w:rPr>
          <w:lang w:val="en-GB"/>
        </w:rPr>
        <w:t>that</w:t>
      </w:r>
      <w:r w:rsidRPr="00E859CA">
        <w:rPr>
          <w:lang w:val="en-GB"/>
        </w:rPr>
        <w:t xml:space="preserve"> </w:t>
      </w:r>
      <w:r w:rsidR="00C77455" w:rsidRPr="00E859CA">
        <w:rPr>
          <w:lang w:val="en-GB"/>
        </w:rPr>
        <w:t>sufferers woul</w:t>
      </w:r>
      <w:r w:rsidR="004F750B" w:rsidRPr="00E859CA">
        <w:rPr>
          <w:lang w:val="en-GB"/>
        </w:rPr>
        <w:t>d</w:t>
      </w:r>
      <w:r w:rsidR="00C77455" w:rsidRPr="00E859CA">
        <w:rPr>
          <w:lang w:val="en-GB"/>
        </w:rPr>
        <w:t xml:space="preserve"> </w:t>
      </w:r>
      <w:r w:rsidRPr="00E859CA">
        <w:rPr>
          <w:lang w:val="en-GB"/>
        </w:rPr>
        <w:t xml:space="preserve">change their opinion. </w:t>
      </w:r>
      <w:r w:rsidR="00C77455" w:rsidRPr="00E859CA">
        <w:rPr>
          <w:lang w:val="en-GB"/>
        </w:rPr>
        <w:t>However</w:t>
      </w:r>
      <w:r w:rsidRPr="00E859CA">
        <w:rPr>
          <w:lang w:val="en-GB"/>
        </w:rPr>
        <w:t xml:space="preserve">, AWI believed </w:t>
      </w:r>
      <w:r w:rsidR="00C77455" w:rsidRPr="00E859CA">
        <w:rPr>
          <w:lang w:val="en-GB"/>
        </w:rPr>
        <w:t>that</w:t>
      </w:r>
      <w:r w:rsidR="00A32E4D" w:rsidRPr="00E859CA">
        <w:rPr>
          <w:lang w:val="en-GB"/>
        </w:rPr>
        <w:t xml:space="preserve"> the way</w:t>
      </w:r>
      <w:r w:rsidR="00C77455" w:rsidRPr="00E859CA">
        <w:rPr>
          <w:lang w:val="en-GB"/>
        </w:rPr>
        <w:t xml:space="preserve"> </w:t>
      </w:r>
      <w:r w:rsidRPr="00E859CA">
        <w:rPr>
          <w:lang w:val="en-GB"/>
        </w:rPr>
        <w:t xml:space="preserve">to truly </w:t>
      </w:r>
      <w:r w:rsidR="00C77455" w:rsidRPr="00E859CA">
        <w:rPr>
          <w:lang w:val="en-GB"/>
        </w:rPr>
        <w:t>reach</w:t>
      </w:r>
      <w:r w:rsidRPr="00E859CA">
        <w:rPr>
          <w:lang w:val="en-GB"/>
        </w:rPr>
        <w:t xml:space="preserve"> and </w:t>
      </w:r>
      <w:r w:rsidR="00C77455" w:rsidRPr="00E859CA">
        <w:rPr>
          <w:lang w:val="en-GB"/>
        </w:rPr>
        <w:t>hold</w:t>
      </w:r>
      <w:r w:rsidRPr="00E859CA">
        <w:rPr>
          <w:lang w:val="en-GB"/>
        </w:rPr>
        <w:t xml:space="preserve"> young people</w:t>
      </w:r>
      <w:r w:rsidR="00C77455" w:rsidRPr="00E859CA">
        <w:rPr>
          <w:lang w:val="en-GB"/>
        </w:rPr>
        <w:t>’s interest</w:t>
      </w:r>
      <w:r w:rsidRPr="00E859CA">
        <w:rPr>
          <w:lang w:val="en-GB"/>
        </w:rPr>
        <w:t xml:space="preserve"> about this issue was to </w:t>
      </w:r>
      <w:r w:rsidR="00C77455" w:rsidRPr="00E859CA">
        <w:rPr>
          <w:lang w:val="en-GB"/>
        </w:rPr>
        <w:t>make</w:t>
      </w:r>
      <w:r w:rsidRPr="00E859CA">
        <w:rPr>
          <w:lang w:val="en-GB"/>
        </w:rPr>
        <w:t xml:space="preserve"> them active participants in the learning process. </w:t>
      </w:r>
      <w:r w:rsidR="00C77455" w:rsidRPr="00E859CA">
        <w:rPr>
          <w:lang w:val="en-GB"/>
        </w:rPr>
        <w:t>B</w:t>
      </w:r>
      <w:r w:rsidRPr="00E859CA">
        <w:rPr>
          <w:lang w:val="en-GB"/>
        </w:rPr>
        <w:t xml:space="preserve">ased on this </w:t>
      </w:r>
      <w:r w:rsidR="00C77455" w:rsidRPr="00E859CA">
        <w:rPr>
          <w:lang w:val="en-GB"/>
        </w:rPr>
        <w:t>premise</w:t>
      </w:r>
      <w:r w:rsidRPr="00E859CA">
        <w:rPr>
          <w:lang w:val="en-GB"/>
        </w:rPr>
        <w:t xml:space="preserve">, the Movies for Mental Health workshops </w:t>
      </w:r>
      <w:r w:rsidR="00C77455" w:rsidRPr="00E859CA">
        <w:rPr>
          <w:lang w:val="en-GB"/>
        </w:rPr>
        <w:t>could</w:t>
      </w:r>
      <w:r w:rsidRPr="00E859CA">
        <w:rPr>
          <w:lang w:val="en-GB"/>
        </w:rPr>
        <w:t xml:space="preserve"> not exist </w:t>
      </w:r>
      <w:r w:rsidR="00C77455" w:rsidRPr="00E859CA">
        <w:rPr>
          <w:lang w:val="en-GB"/>
        </w:rPr>
        <w:t xml:space="preserve">or be effective </w:t>
      </w:r>
      <w:r w:rsidRPr="00E859CA">
        <w:rPr>
          <w:lang w:val="en-GB"/>
        </w:rPr>
        <w:t>without the participants</w:t>
      </w:r>
      <w:r w:rsidR="00C77455" w:rsidRPr="00E859CA">
        <w:rPr>
          <w:lang w:val="en-GB"/>
        </w:rPr>
        <w:t>, who</w:t>
      </w:r>
      <w:r w:rsidRPr="00E859CA">
        <w:rPr>
          <w:lang w:val="en-GB"/>
        </w:rPr>
        <w:t xml:space="preserve"> contributed ideas, stimulated discussions, shared experiences, and supplied personal insights. </w:t>
      </w:r>
    </w:p>
    <w:p w14:paraId="52E98CC7" w14:textId="77777777" w:rsidR="009624CA" w:rsidRPr="00096410" w:rsidRDefault="009624CA" w:rsidP="009624CA">
      <w:pPr>
        <w:pStyle w:val="BodyTextMain"/>
        <w:rPr>
          <w:sz w:val="20"/>
          <w:lang w:val="en-GB"/>
        </w:rPr>
      </w:pPr>
    </w:p>
    <w:p w14:paraId="64CA8056" w14:textId="379B5035" w:rsidR="009624CA" w:rsidRPr="00E859CA" w:rsidRDefault="00C77455" w:rsidP="009624CA">
      <w:pPr>
        <w:pStyle w:val="BodyTextMain"/>
        <w:rPr>
          <w:lang w:val="en-GB"/>
        </w:rPr>
      </w:pPr>
      <w:r w:rsidRPr="00E859CA">
        <w:rPr>
          <w:lang w:val="en-GB"/>
        </w:rPr>
        <w:t>However,</w:t>
      </w:r>
      <w:r w:rsidR="009624CA" w:rsidRPr="00E859CA">
        <w:rPr>
          <w:lang w:val="en-GB"/>
        </w:rPr>
        <w:t xml:space="preserve"> </w:t>
      </w:r>
      <w:r w:rsidRPr="00E859CA">
        <w:rPr>
          <w:lang w:val="en-GB"/>
        </w:rPr>
        <w:t xml:space="preserve">AWI’s </w:t>
      </w:r>
      <w:r w:rsidR="009624CA" w:rsidRPr="00E859CA">
        <w:rPr>
          <w:lang w:val="en-GB"/>
        </w:rPr>
        <w:t>unique approach prove</w:t>
      </w:r>
      <w:r w:rsidRPr="00E859CA">
        <w:rPr>
          <w:lang w:val="en-GB"/>
        </w:rPr>
        <w:t>d</w:t>
      </w:r>
      <w:r w:rsidR="009624CA" w:rsidRPr="00E859CA">
        <w:rPr>
          <w:lang w:val="en-GB"/>
        </w:rPr>
        <w:t xml:space="preserve"> to be both a blessing and a curse. </w:t>
      </w:r>
      <w:r w:rsidR="00D424AE" w:rsidRPr="00E859CA">
        <w:rPr>
          <w:lang w:val="en-GB"/>
        </w:rPr>
        <w:t>Although</w:t>
      </w:r>
      <w:r w:rsidR="009624CA" w:rsidRPr="00E859CA">
        <w:rPr>
          <w:lang w:val="en-GB"/>
        </w:rPr>
        <w:t xml:space="preserve"> the workshops </w:t>
      </w:r>
      <w:r w:rsidRPr="00E859CA">
        <w:rPr>
          <w:lang w:val="en-GB"/>
        </w:rPr>
        <w:t xml:space="preserve">proved to be </w:t>
      </w:r>
      <w:r w:rsidR="009624CA" w:rsidRPr="00E859CA">
        <w:rPr>
          <w:lang w:val="en-GB"/>
        </w:rPr>
        <w:t xml:space="preserve">helpful for </w:t>
      </w:r>
      <w:r w:rsidRPr="00E859CA">
        <w:rPr>
          <w:lang w:val="en-GB"/>
        </w:rPr>
        <w:t xml:space="preserve">the </w:t>
      </w:r>
      <w:r w:rsidR="009624CA" w:rsidRPr="00E859CA">
        <w:rPr>
          <w:lang w:val="en-GB"/>
        </w:rPr>
        <w:t>participants involved</w:t>
      </w:r>
      <w:r w:rsidRPr="00E859CA">
        <w:rPr>
          <w:lang w:val="en-GB"/>
        </w:rPr>
        <w:t xml:space="preserve"> in the process</w:t>
      </w:r>
      <w:r w:rsidR="00D424AE" w:rsidRPr="00E859CA">
        <w:rPr>
          <w:lang w:val="en-GB"/>
        </w:rPr>
        <w:t>,</w:t>
      </w:r>
      <w:r w:rsidR="009624CA" w:rsidRPr="00E859CA">
        <w:rPr>
          <w:lang w:val="en-GB"/>
        </w:rPr>
        <w:t xml:space="preserve"> it </w:t>
      </w:r>
      <w:r w:rsidR="00D424AE" w:rsidRPr="00E859CA">
        <w:rPr>
          <w:lang w:val="en-GB"/>
        </w:rPr>
        <w:t>was</w:t>
      </w:r>
      <w:r w:rsidR="009624CA" w:rsidRPr="00E859CA">
        <w:rPr>
          <w:lang w:val="en-GB"/>
        </w:rPr>
        <w:t xml:space="preserve"> difficult to communicate th</w:t>
      </w:r>
      <w:r w:rsidR="00D424AE" w:rsidRPr="00E859CA">
        <w:rPr>
          <w:lang w:val="en-GB"/>
        </w:rPr>
        <w:t>e success of the</w:t>
      </w:r>
      <w:r w:rsidR="009624CA" w:rsidRPr="00E859CA">
        <w:rPr>
          <w:lang w:val="en-GB"/>
        </w:rPr>
        <w:t xml:space="preserve"> unique approach to potential donors, </w:t>
      </w:r>
      <w:r w:rsidR="00D424AE" w:rsidRPr="00E859CA">
        <w:rPr>
          <w:lang w:val="en-GB"/>
        </w:rPr>
        <w:t>especially</w:t>
      </w:r>
      <w:r w:rsidR="009624CA" w:rsidRPr="00E859CA">
        <w:rPr>
          <w:lang w:val="en-GB"/>
        </w:rPr>
        <w:t xml:space="preserve"> in an already crowded charitable </w:t>
      </w:r>
      <w:r w:rsidR="00D424AE" w:rsidRPr="00E859CA">
        <w:rPr>
          <w:lang w:val="en-GB"/>
        </w:rPr>
        <w:t>donation</w:t>
      </w:r>
      <w:r w:rsidR="009624CA" w:rsidRPr="00E859CA">
        <w:rPr>
          <w:lang w:val="en-GB"/>
        </w:rPr>
        <w:t xml:space="preserve"> environment.</w:t>
      </w:r>
    </w:p>
    <w:p w14:paraId="47AA5F79" w14:textId="77777777" w:rsidR="009624CA" w:rsidRPr="00096410" w:rsidRDefault="009624CA" w:rsidP="009624CA">
      <w:pPr>
        <w:pStyle w:val="BodyTextMain"/>
        <w:rPr>
          <w:sz w:val="20"/>
          <w:lang w:val="en-GB"/>
        </w:rPr>
      </w:pPr>
    </w:p>
    <w:p w14:paraId="6E1D84F0" w14:textId="77777777" w:rsidR="009624CA" w:rsidRPr="00096410" w:rsidRDefault="009624CA" w:rsidP="009624CA">
      <w:pPr>
        <w:pStyle w:val="BodyTextMain"/>
        <w:rPr>
          <w:sz w:val="20"/>
          <w:lang w:val="en-GB"/>
        </w:rPr>
      </w:pPr>
    </w:p>
    <w:p w14:paraId="7D81DF2C" w14:textId="77777777" w:rsidR="009624CA" w:rsidRPr="00E859CA" w:rsidRDefault="009624CA" w:rsidP="009624CA">
      <w:pPr>
        <w:pStyle w:val="Casehead1"/>
        <w:rPr>
          <w:lang w:val="en-GB"/>
        </w:rPr>
      </w:pPr>
      <w:r w:rsidRPr="00E859CA">
        <w:rPr>
          <w:lang w:val="en-GB"/>
        </w:rPr>
        <w:t>Mental health in North America</w:t>
      </w:r>
    </w:p>
    <w:p w14:paraId="7A5BA214" w14:textId="77777777" w:rsidR="009624CA" w:rsidRPr="00096410" w:rsidRDefault="009624CA" w:rsidP="009624CA">
      <w:pPr>
        <w:pStyle w:val="BodyTextMain"/>
        <w:rPr>
          <w:sz w:val="20"/>
          <w:lang w:val="en-GB"/>
        </w:rPr>
      </w:pPr>
    </w:p>
    <w:p w14:paraId="2865C64A" w14:textId="7F6D8079" w:rsidR="009624CA" w:rsidRPr="00E859CA" w:rsidRDefault="00F76EF6" w:rsidP="009624CA">
      <w:pPr>
        <w:pStyle w:val="BodyTextMain"/>
        <w:rPr>
          <w:lang w:val="en-GB"/>
        </w:rPr>
      </w:pPr>
      <w:r w:rsidRPr="00E859CA">
        <w:rPr>
          <w:lang w:val="en-GB"/>
        </w:rPr>
        <w:t>The definition of</w:t>
      </w:r>
      <w:r w:rsidR="009624CA" w:rsidRPr="00E859CA">
        <w:rPr>
          <w:lang w:val="en-GB"/>
        </w:rPr>
        <w:t xml:space="preserve"> mental health and mental health disorder spanned a broad spectrum. </w:t>
      </w:r>
      <w:r w:rsidRPr="00E859CA">
        <w:rPr>
          <w:lang w:val="en-GB"/>
        </w:rPr>
        <w:t>T</w:t>
      </w:r>
      <w:r w:rsidR="009624CA" w:rsidRPr="00E859CA">
        <w:rPr>
          <w:lang w:val="en-GB"/>
        </w:rPr>
        <w:t>he World Health Organization</w:t>
      </w:r>
      <w:r w:rsidRPr="00E859CA">
        <w:rPr>
          <w:lang w:val="en-GB"/>
        </w:rPr>
        <w:t xml:space="preserve"> defined</w:t>
      </w:r>
      <w:r w:rsidR="009624CA" w:rsidRPr="00E859CA">
        <w:rPr>
          <w:lang w:val="en-GB"/>
        </w:rPr>
        <w:t xml:space="preserve"> mental health as “a state of well-being in which every individual realizes his or her own potential, can cope with the normal stresses of life, can work productively and fruitfully, and is able to make a contribution to her or his community</w:t>
      </w:r>
      <w:r w:rsidRPr="00E859CA">
        <w:rPr>
          <w:lang w:val="en-GB"/>
        </w:rPr>
        <w:t>.”</w:t>
      </w:r>
      <w:r w:rsidR="009624CA" w:rsidRPr="00E859CA">
        <w:rPr>
          <w:rStyle w:val="FootnoteReference"/>
          <w:lang w:val="en-GB"/>
        </w:rPr>
        <w:footnoteReference w:id="1"/>
      </w:r>
      <w:r w:rsidR="009624CA" w:rsidRPr="00E859CA">
        <w:rPr>
          <w:lang w:val="en-GB"/>
        </w:rPr>
        <w:t xml:space="preserve"> Therefore, any internal factor that disrupted an individual’s ability to realize this state over a sustained period of time would constitute a mental health disorder. Under the umbrella of mental health disorders were such common ailments as social anxiety, obsessive compulsive disorder, drug addiction, and depression.</w:t>
      </w:r>
    </w:p>
    <w:p w14:paraId="6374C372" w14:textId="77777777" w:rsidR="009624CA" w:rsidRPr="00096410" w:rsidRDefault="009624CA" w:rsidP="009624CA">
      <w:pPr>
        <w:pStyle w:val="BodyTextMain"/>
        <w:rPr>
          <w:sz w:val="20"/>
          <w:lang w:val="en-GB"/>
        </w:rPr>
      </w:pPr>
    </w:p>
    <w:p w14:paraId="117ADFF5" w14:textId="022163CD" w:rsidR="009624CA" w:rsidRPr="001A5EE0" w:rsidRDefault="009624CA" w:rsidP="009624CA">
      <w:pPr>
        <w:pStyle w:val="BodyTextMain"/>
        <w:rPr>
          <w:spacing w:val="-4"/>
          <w:lang w:val="en-GB"/>
        </w:rPr>
      </w:pPr>
      <w:r w:rsidRPr="001A5EE0">
        <w:rPr>
          <w:spacing w:val="-4"/>
          <w:lang w:val="en-GB"/>
        </w:rPr>
        <w:t xml:space="preserve">Mental illnesses were very common, </w:t>
      </w:r>
      <w:r w:rsidR="00BA4984">
        <w:rPr>
          <w:spacing w:val="-4"/>
          <w:lang w:val="en-GB"/>
        </w:rPr>
        <w:t>and this</w:t>
      </w:r>
      <w:r w:rsidR="00BA4984" w:rsidRPr="001A5EE0">
        <w:rPr>
          <w:spacing w:val="-4"/>
          <w:lang w:val="en-GB"/>
        </w:rPr>
        <w:t xml:space="preserve"> </w:t>
      </w:r>
      <w:r w:rsidRPr="001A5EE0">
        <w:rPr>
          <w:spacing w:val="-4"/>
          <w:lang w:val="en-GB"/>
        </w:rPr>
        <w:t>was reflected in the costs</w:t>
      </w:r>
      <w:r w:rsidR="00C610D3" w:rsidRPr="001A5EE0">
        <w:rPr>
          <w:spacing w:val="-4"/>
          <w:lang w:val="en-GB"/>
        </w:rPr>
        <w:t xml:space="preserve"> for public health</w:t>
      </w:r>
      <w:r w:rsidRPr="001A5EE0">
        <w:rPr>
          <w:spacing w:val="-4"/>
          <w:lang w:val="en-GB"/>
        </w:rPr>
        <w:t xml:space="preserve">. </w:t>
      </w:r>
      <w:r w:rsidR="00C610D3" w:rsidRPr="001A5EE0">
        <w:rPr>
          <w:spacing w:val="-4"/>
          <w:lang w:val="en-GB"/>
        </w:rPr>
        <w:t>T</w:t>
      </w:r>
      <w:r w:rsidRPr="001A5EE0">
        <w:rPr>
          <w:spacing w:val="-4"/>
          <w:lang w:val="en-GB"/>
        </w:rPr>
        <w:t>he United States</w:t>
      </w:r>
      <w:r w:rsidR="00C610D3" w:rsidRPr="001A5EE0">
        <w:rPr>
          <w:spacing w:val="-4"/>
          <w:lang w:val="en-GB"/>
        </w:rPr>
        <w:t xml:space="preserve"> spent US</w:t>
      </w:r>
      <w:r w:rsidRPr="001A5EE0">
        <w:rPr>
          <w:spacing w:val="-4"/>
          <w:lang w:val="en-GB"/>
        </w:rPr>
        <w:t>$113 billion</w:t>
      </w:r>
      <w:r w:rsidR="00C610D3" w:rsidRPr="001A5EE0">
        <w:rPr>
          <w:rStyle w:val="FootnoteReference"/>
          <w:spacing w:val="-4"/>
          <w:lang w:val="en-GB"/>
        </w:rPr>
        <w:footnoteReference w:id="2"/>
      </w:r>
      <w:r w:rsidRPr="001A5EE0">
        <w:rPr>
          <w:spacing w:val="-4"/>
          <w:lang w:val="en-GB"/>
        </w:rPr>
        <w:t xml:space="preserve"> annually on mental health treatment, </w:t>
      </w:r>
      <w:r w:rsidR="00C610D3" w:rsidRPr="001A5EE0">
        <w:rPr>
          <w:spacing w:val="-4"/>
          <w:lang w:val="en-GB"/>
        </w:rPr>
        <w:t>which accounted for almost</w:t>
      </w:r>
      <w:r w:rsidRPr="001A5EE0">
        <w:rPr>
          <w:spacing w:val="-4"/>
          <w:lang w:val="en-GB"/>
        </w:rPr>
        <w:t xml:space="preserve"> 6</w:t>
      </w:r>
      <w:r w:rsidR="00C610D3" w:rsidRPr="001A5EE0">
        <w:rPr>
          <w:spacing w:val="-4"/>
          <w:lang w:val="en-GB"/>
        </w:rPr>
        <w:t xml:space="preserve"> per cent</w:t>
      </w:r>
      <w:r w:rsidRPr="001A5EE0">
        <w:rPr>
          <w:spacing w:val="-4"/>
          <w:lang w:val="en-GB"/>
        </w:rPr>
        <w:t xml:space="preserve"> of all health spending. </w:t>
      </w:r>
      <w:r w:rsidR="00C610D3" w:rsidRPr="001A5EE0">
        <w:rPr>
          <w:spacing w:val="-4"/>
          <w:lang w:val="en-GB"/>
        </w:rPr>
        <w:t>Other</w:t>
      </w:r>
      <w:r w:rsidRPr="001A5EE0">
        <w:rPr>
          <w:spacing w:val="-4"/>
          <w:lang w:val="en-GB"/>
        </w:rPr>
        <w:t xml:space="preserve"> estimate</w:t>
      </w:r>
      <w:r w:rsidR="00C610D3" w:rsidRPr="001A5EE0">
        <w:rPr>
          <w:spacing w:val="-4"/>
          <w:lang w:val="en-GB"/>
        </w:rPr>
        <w:t>s,</w:t>
      </w:r>
      <w:r w:rsidRPr="001A5EE0">
        <w:rPr>
          <w:spacing w:val="-4"/>
          <w:lang w:val="en-GB"/>
        </w:rPr>
        <w:t xml:space="preserve"> consider</w:t>
      </w:r>
      <w:r w:rsidR="00A32E4D" w:rsidRPr="001A5EE0">
        <w:rPr>
          <w:spacing w:val="-4"/>
          <w:lang w:val="en-GB"/>
        </w:rPr>
        <w:t>ing</w:t>
      </w:r>
      <w:r w:rsidRPr="001A5EE0">
        <w:rPr>
          <w:spacing w:val="-4"/>
          <w:lang w:val="en-GB"/>
        </w:rPr>
        <w:t xml:space="preserve"> health care cost, lost productivity</w:t>
      </w:r>
      <w:r w:rsidR="00C610D3" w:rsidRPr="001A5EE0">
        <w:rPr>
          <w:spacing w:val="-4"/>
          <w:lang w:val="en-GB"/>
        </w:rPr>
        <w:t>,</w:t>
      </w:r>
      <w:r w:rsidRPr="001A5EE0">
        <w:rPr>
          <w:spacing w:val="-4"/>
          <w:lang w:val="en-GB"/>
        </w:rPr>
        <w:t xml:space="preserve"> and reductions in health-related quality of life, </w:t>
      </w:r>
      <w:r w:rsidR="00C610D3" w:rsidRPr="001A5EE0">
        <w:rPr>
          <w:spacing w:val="-4"/>
          <w:lang w:val="en-GB"/>
        </w:rPr>
        <w:t xml:space="preserve">brought </w:t>
      </w:r>
      <w:r w:rsidRPr="001A5EE0">
        <w:rPr>
          <w:spacing w:val="-4"/>
          <w:lang w:val="en-GB"/>
        </w:rPr>
        <w:t xml:space="preserve">mental health costs </w:t>
      </w:r>
      <w:r w:rsidR="00C610D3" w:rsidRPr="001A5EE0">
        <w:rPr>
          <w:spacing w:val="-4"/>
          <w:lang w:val="en-GB"/>
        </w:rPr>
        <w:t xml:space="preserve">closer to </w:t>
      </w:r>
      <w:r w:rsidRPr="001A5EE0">
        <w:rPr>
          <w:spacing w:val="-4"/>
          <w:lang w:val="en-GB"/>
        </w:rPr>
        <w:t>$210 billion each year</w:t>
      </w:r>
      <w:r w:rsidR="00C610D3" w:rsidRPr="001A5EE0">
        <w:rPr>
          <w:spacing w:val="-4"/>
          <w:lang w:val="en-GB"/>
        </w:rPr>
        <w:t>.</w:t>
      </w:r>
      <w:r w:rsidRPr="001A5EE0">
        <w:rPr>
          <w:rStyle w:val="FootnoteReference"/>
          <w:spacing w:val="-4"/>
          <w:lang w:val="en-GB"/>
        </w:rPr>
        <w:footnoteReference w:id="3"/>
      </w:r>
      <w:r w:rsidRPr="001A5EE0">
        <w:rPr>
          <w:spacing w:val="-4"/>
          <w:lang w:val="en-GB"/>
        </w:rPr>
        <w:t xml:space="preserve"> In Canada, these </w:t>
      </w:r>
      <w:r w:rsidR="00A32E4D" w:rsidRPr="001A5EE0">
        <w:rPr>
          <w:spacing w:val="-4"/>
          <w:lang w:val="en-GB"/>
        </w:rPr>
        <w:t xml:space="preserve">two </w:t>
      </w:r>
      <w:r w:rsidRPr="001A5EE0">
        <w:rPr>
          <w:spacing w:val="-4"/>
          <w:lang w:val="en-GB"/>
        </w:rPr>
        <w:t>cost estimate</w:t>
      </w:r>
      <w:r w:rsidR="00A32E4D" w:rsidRPr="001A5EE0">
        <w:rPr>
          <w:spacing w:val="-4"/>
          <w:lang w:val="en-GB"/>
        </w:rPr>
        <w:t>s were</w:t>
      </w:r>
      <w:r w:rsidRPr="001A5EE0">
        <w:rPr>
          <w:spacing w:val="-4"/>
          <w:lang w:val="en-GB"/>
        </w:rPr>
        <w:t xml:space="preserve"> $14.3 </w:t>
      </w:r>
      <w:r w:rsidR="00C610D3" w:rsidRPr="001A5EE0">
        <w:rPr>
          <w:spacing w:val="-4"/>
          <w:lang w:val="en-GB"/>
        </w:rPr>
        <w:t xml:space="preserve">billion </w:t>
      </w:r>
      <w:r w:rsidRPr="001A5EE0">
        <w:rPr>
          <w:spacing w:val="-4"/>
          <w:lang w:val="en-GB"/>
        </w:rPr>
        <w:t>and $51 billion, respectively</w:t>
      </w:r>
      <w:r w:rsidR="00C610D3" w:rsidRPr="001A5EE0">
        <w:rPr>
          <w:spacing w:val="-4"/>
          <w:lang w:val="en-GB"/>
        </w:rPr>
        <w:t>.</w:t>
      </w:r>
      <w:r w:rsidRPr="001A5EE0">
        <w:rPr>
          <w:rStyle w:val="FootnoteReference"/>
          <w:spacing w:val="-4"/>
          <w:lang w:val="en-GB"/>
        </w:rPr>
        <w:footnoteReference w:id="4"/>
      </w:r>
      <w:r w:rsidRPr="001A5EE0">
        <w:rPr>
          <w:spacing w:val="-4"/>
          <w:lang w:val="en-GB"/>
        </w:rPr>
        <w:t xml:space="preserve"> It was also found that mental health </w:t>
      </w:r>
      <w:r w:rsidR="00C610D3" w:rsidRPr="001A5EE0">
        <w:rPr>
          <w:spacing w:val="-4"/>
          <w:lang w:val="en-GB"/>
        </w:rPr>
        <w:t>expenses were incurred mainly from</w:t>
      </w:r>
      <w:r w:rsidRPr="001A5EE0">
        <w:rPr>
          <w:spacing w:val="-4"/>
          <w:lang w:val="en-GB"/>
        </w:rPr>
        <w:t xml:space="preserve"> prescription drugs and outpatient treatment </w:t>
      </w:r>
      <w:r w:rsidR="00C610D3" w:rsidRPr="001A5EE0">
        <w:rPr>
          <w:spacing w:val="-4"/>
          <w:lang w:val="en-GB"/>
        </w:rPr>
        <w:t xml:space="preserve">costs, </w:t>
      </w:r>
      <w:r w:rsidRPr="001A5EE0">
        <w:rPr>
          <w:spacing w:val="-4"/>
          <w:lang w:val="en-GB"/>
        </w:rPr>
        <w:t xml:space="preserve">rather than </w:t>
      </w:r>
      <w:r w:rsidR="00C610D3" w:rsidRPr="001A5EE0">
        <w:rPr>
          <w:spacing w:val="-4"/>
          <w:lang w:val="en-GB"/>
        </w:rPr>
        <w:t>from cost</w:t>
      </w:r>
      <w:r w:rsidR="00A32E4D" w:rsidRPr="001A5EE0">
        <w:rPr>
          <w:spacing w:val="-4"/>
          <w:lang w:val="en-GB"/>
        </w:rPr>
        <w:t>s</w:t>
      </w:r>
      <w:r w:rsidR="00C610D3" w:rsidRPr="001A5EE0">
        <w:rPr>
          <w:spacing w:val="-4"/>
          <w:lang w:val="en-GB"/>
        </w:rPr>
        <w:t xml:space="preserve"> for</w:t>
      </w:r>
      <w:r w:rsidRPr="001A5EE0">
        <w:rPr>
          <w:spacing w:val="-4"/>
          <w:lang w:val="en-GB"/>
        </w:rPr>
        <w:t xml:space="preserve"> consultation and destigmatizing </w:t>
      </w:r>
      <w:r w:rsidR="00C610D3" w:rsidRPr="001A5EE0">
        <w:rPr>
          <w:spacing w:val="-4"/>
          <w:lang w:val="en-GB"/>
        </w:rPr>
        <w:t xml:space="preserve">of </w:t>
      </w:r>
      <w:r w:rsidRPr="001A5EE0">
        <w:rPr>
          <w:spacing w:val="-4"/>
          <w:lang w:val="en-GB"/>
        </w:rPr>
        <w:t>mental health issues, according to the Kaiser Family Foundation</w:t>
      </w:r>
      <w:r w:rsidR="00C610D3" w:rsidRPr="001A5EE0">
        <w:rPr>
          <w:spacing w:val="-4"/>
          <w:lang w:val="en-GB"/>
        </w:rPr>
        <w:t>.</w:t>
      </w:r>
      <w:r w:rsidRPr="001A5EE0">
        <w:rPr>
          <w:rStyle w:val="FootnoteReference"/>
          <w:spacing w:val="-4"/>
          <w:lang w:val="en-GB"/>
        </w:rPr>
        <w:footnoteReference w:id="5"/>
      </w:r>
    </w:p>
    <w:p w14:paraId="236F1369" w14:textId="1A3719EB" w:rsidR="009624CA" w:rsidRPr="00E859CA" w:rsidRDefault="009624CA" w:rsidP="009624CA">
      <w:pPr>
        <w:pStyle w:val="BodyTextMain"/>
        <w:rPr>
          <w:lang w:val="en-GB"/>
        </w:rPr>
      </w:pPr>
      <w:r w:rsidRPr="00E859CA">
        <w:rPr>
          <w:lang w:val="en-GB"/>
        </w:rPr>
        <w:lastRenderedPageBreak/>
        <w:t>Mental health problems were considered to be widespread</w:t>
      </w:r>
      <w:r w:rsidR="00C610D3" w:rsidRPr="00E859CA">
        <w:rPr>
          <w:lang w:val="en-GB"/>
        </w:rPr>
        <w:t xml:space="preserve"> across North America</w:t>
      </w:r>
      <w:r w:rsidRPr="00E859CA">
        <w:rPr>
          <w:lang w:val="en-GB"/>
        </w:rPr>
        <w:t>. According to the World Health Organization and the World Economic Forum, of the 450 million people who suffered from mental health conditions, around 60</w:t>
      </w:r>
      <w:r w:rsidR="00C610D3" w:rsidRPr="00E859CA">
        <w:rPr>
          <w:lang w:val="en-GB"/>
        </w:rPr>
        <w:t xml:space="preserve"> per cent</w:t>
      </w:r>
      <w:r w:rsidRPr="00E859CA">
        <w:rPr>
          <w:lang w:val="en-GB"/>
        </w:rPr>
        <w:t xml:space="preserve"> had not received any form of care. In Canada, it was estimated that one in five people w</w:t>
      </w:r>
      <w:r w:rsidR="00C610D3" w:rsidRPr="00E859CA">
        <w:rPr>
          <w:lang w:val="en-GB"/>
        </w:rPr>
        <w:t>ould</w:t>
      </w:r>
      <w:r w:rsidRPr="00E859CA">
        <w:rPr>
          <w:lang w:val="en-GB"/>
        </w:rPr>
        <w:t xml:space="preserve"> experience mental health problems </w:t>
      </w:r>
      <w:r w:rsidR="00C610D3" w:rsidRPr="00E859CA">
        <w:rPr>
          <w:lang w:val="en-GB"/>
        </w:rPr>
        <w:t xml:space="preserve">each year, </w:t>
      </w:r>
      <w:r w:rsidRPr="00E859CA">
        <w:rPr>
          <w:lang w:val="en-GB"/>
        </w:rPr>
        <w:t>and that by age 40, about 50</w:t>
      </w:r>
      <w:r w:rsidR="00C610D3" w:rsidRPr="00E859CA">
        <w:rPr>
          <w:lang w:val="en-GB"/>
        </w:rPr>
        <w:t xml:space="preserve"> per cent</w:t>
      </w:r>
      <w:r w:rsidRPr="00E859CA">
        <w:rPr>
          <w:lang w:val="en-GB"/>
        </w:rPr>
        <w:t xml:space="preserve"> of the population w</w:t>
      </w:r>
      <w:r w:rsidR="00C610D3" w:rsidRPr="00E859CA">
        <w:rPr>
          <w:lang w:val="en-GB"/>
        </w:rPr>
        <w:t>ould</w:t>
      </w:r>
      <w:r w:rsidRPr="00E859CA">
        <w:rPr>
          <w:lang w:val="en-GB"/>
        </w:rPr>
        <w:t xml:space="preserve"> have had a mental illness. Of those affected by mental health issues, young people aged 15 to 24 were mo</w:t>
      </w:r>
      <w:r w:rsidR="00CF5AF7" w:rsidRPr="00E859CA">
        <w:rPr>
          <w:lang w:val="en-GB"/>
        </w:rPr>
        <w:t>re</w:t>
      </w:r>
      <w:r w:rsidRPr="00E859CA">
        <w:rPr>
          <w:lang w:val="en-GB"/>
        </w:rPr>
        <w:t xml:space="preserve"> likely </w:t>
      </w:r>
      <w:r w:rsidR="00CF5AF7" w:rsidRPr="00E859CA">
        <w:rPr>
          <w:lang w:val="en-GB"/>
        </w:rPr>
        <w:t xml:space="preserve">than any other age group </w:t>
      </w:r>
      <w:r w:rsidRPr="00E859CA">
        <w:rPr>
          <w:lang w:val="en-GB"/>
        </w:rPr>
        <w:t>to have experienced mental illness or substance abuse disorders</w:t>
      </w:r>
      <w:r w:rsidR="00CF5AF7" w:rsidRPr="00E859CA">
        <w:rPr>
          <w:lang w:val="en-GB"/>
        </w:rPr>
        <w:t>.</w:t>
      </w:r>
      <w:r w:rsidRPr="00E859CA">
        <w:rPr>
          <w:rStyle w:val="FootnoteReference"/>
          <w:lang w:val="en-GB"/>
        </w:rPr>
        <w:footnoteReference w:id="6"/>
      </w:r>
    </w:p>
    <w:p w14:paraId="7748586A" w14:textId="77777777" w:rsidR="009624CA" w:rsidRPr="00096410" w:rsidRDefault="009624CA" w:rsidP="009624CA">
      <w:pPr>
        <w:pStyle w:val="BodyTextMain"/>
        <w:rPr>
          <w:sz w:val="20"/>
          <w:lang w:val="en-GB"/>
        </w:rPr>
      </w:pPr>
    </w:p>
    <w:p w14:paraId="70D807C6" w14:textId="55FE5DC7" w:rsidR="00CF5AF7" w:rsidRPr="00E859CA" w:rsidRDefault="00CF5AF7" w:rsidP="009624CA">
      <w:pPr>
        <w:pStyle w:val="BodyTextMain"/>
        <w:rPr>
          <w:lang w:val="en-GB"/>
        </w:rPr>
      </w:pPr>
      <w:r w:rsidRPr="00E859CA">
        <w:rPr>
          <w:lang w:val="en-GB"/>
        </w:rPr>
        <w:t>T</w:t>
      </w:r>
      <w:r w:rsidR="009624CA" w:rsidRPr="00E859CA">
        <w:rPr>
          <w:lang w:val="en-GB"/>
        </w:rPr>
        <w:t xml:space="preserve">he stigma associated with mental health issues </w:t>
      </w:r>
      <w:r w:rsidRPr="00E859CA">
        <w:rPr>
          <w:lang w:val="en-GB"/>
        </w:rPr>
        <w:t xml:space="preserve">had been </w:t>
      </w:r>
      <w:r w:rsidR="009624CA" w:rsidRPr="00E859CA">
        <w:rPr>
          <w:lang w:val="en-GB"/>
        </w:rPr>
        <w:t xml:space="preserve">reduced in </w:t>
      </w:r>
      <w:r w:rsidRPr="00E859CA">
        <w:rPr>
          <w:lang w:val="en-GB"/>
        </w:rPr>
        <w:t>recent</w:t>
      </w:r>
      <w:r w:rsidR="009624CA" w:rsidRPr="00E859CA">
        <w:rPr>
          <w:lang w:val="en-GB"/>
        </w:rPr>
        <w:t xml:space="preserve"> years </w:t>
      </w:r>
      <w:r w:rsidRPr="00E859CA">
        <w:rPr>
          <w:lang w:val="en-GB"/>
        </w:rPr>
        <w:t>with</w:t>
      </w:r>
      <w:r w:rsidR="009624CA" w:rsidRPr="00E859CA">
        <w:rPr>
          <w:lang w:val="en-GB"/>
        </w:rPr>
        <w:t xml:space="preserve"> more people bec</w:t>
      </w:r>
      <w:r w:rsidR="00A32E4D" w:rsidRPr="00E859CA">
        <w:rPr>
          <w:lang w:val="en-GB"/>
        </w:rPr>
        <w:t>o</w:t>
      </w:r>
      <w:r w:rsidR="009624CA" w:rsidRPr="00E859CA">
        <w:rPr>
          <w:lang w:val="en-GB"/>
        </w:rPr>
        <w:t>m</w:t>
      </w:r>
      <w:r w:rsidRPr="00E859CA">
        <w:rPr>
          <w:lang w:val="en-GB"/>
        </w:rPr>
        <w:t>ing</w:t>
      </w:r>
      <w:r w:rsidR="009624CA" w:rsidRPr="00E859CA">
        <w:rPr>
          <w:lang w:val="en-GB"/>
        </w:rPr>
        <w:t xml:space="preserve"> aware of </w:t>
      </w:r>
      <w:r w:rsidRPr="00E859CA">
        <w:rPr>
          <w:lang w:val="en-GB"/>
        </w:rPr>
        <w:t>mental health issues. However, it was</w:t>
      </w:r>
      <w:r w:rsidR="009624CA" w:rsidRPr="00E859CA">
        <w:rPr>
          <w:lang w:val="en-GB"/>
        </w:rPr>
        <w:t xml:space="preserve"> still a significant problem, </w:t>
      </w:r>
      <w:r w:rsidRPr="00E859CA">
        <w:rPr>
          <w:lang w:val="en-GB"/>
        </w:rPr>
        <w:t xml:space="preserve">leading to </w:t>
      </w:r>
      <w:r w:rsidR="009624CA" w:rsidRPr="00E859CA">
        <w:rPr>
          <w:lang w:val="en-GB"/>
        </w:rPr>
        <w:t xml:space="preserve">only half of Canadians </w:t>
      </w:r>
      <w:r w:rsidRPr="00E859CA">
        <w:rPr>
          <w:lang w:val="en-GB"/>
        </w:rPr>
        <w:t>speaking to</w:t>
      </w:r>
      <w:r w:rsidR="009624CA" w:rsidRPr="00E859CA">
        <w:rPr>
          <w:lang w:val="en-GB"/>
        </w:rPr>
        <w:t xml:space="preserve"> their friends or co-workers </w:t>
      </w:r>
      <w:r w:rsidRPr="00E859CA">
        <w:rPr>
          <w:lang w:val="en-GB"/>
        </w:rPr>
        <w:t>about</w:t>
      </w:r>
      <w:r w:rsidR="009624CA" w:rsidRPr="00E859CA">
        <w:rPr>
          <w:lang w:val="en-GB"/>
        </w:rPr>
        <w:t xml:space="preserve"> a family member with a mental illness, compared to almost </w:t>
      </w:r>
      <w:r w:rsidR="00BA4984" w:rsidRPr="00E859CA">
        <w:rPr>
          <w:lang w:val="en-GB"/>
        </w:rPr>
        <w:t>three</w:t>
      </w:r>
      <w:r w:rsidR="00BA4984">
        <w:rPr>
          <w:lang w:val="en-GB"/>
        </w:rPr>
        <w:t>-</w:t>
      </w:r>
      <w:r w:rsidR="009624CA" w:rsidRPr="00E859CA">
        <w:rPr>
          <w:lang w:val="en-GB"/>
        </w:rPr>
        <w:t xml:space="preserve">quarters </w:t>
      </w:r>
      <w:r w:rsidRPr="00E859CA">
        <w:rPr>
          <w:lang w:val="en-GB"/>
        </w:rPr>
        <w:t>talking to others about</w:t>
      </w:r>
      <w:r w:rsidR="009624CA" w:rsidRPr="00E859CA">
        <w:rPr>
          <w:lang w:val="en-GB"/>
        </w:rPr>
        <w:t xml:space="preserve"> a diagnosis of cancer. Research suggested that </w:t>
      </w:r>
      <w:r w:rsidRPr="00E859CA">
        <w:rPr>
          <w:lang w:val="en-GB"/>
        </w:rPr>
        <w:t>many</w:t>
      </w:r>
      <w:r w:rsidR="009624CA" w:rsidRPr="00E859CA">
        <w:rPr>
          <w:lang w:val="en-GB"/>
        </w:rPr>
        <w:t xml:space="preserve"> people still held negative attitudes and stereotypes toward people with mental illness. For example, the terms “crazy” or “weird” were often used when describing others who suffered from a mental illness</w:t>
      </w:r>
      <w:r w:rsidRPr="00E859CA">
        <w:rPr>
          <w:lang w:val="en-GB"/>
        </w:rPr>
        <w:t>—both among youth and</w:t>
      </w:r>
      <w:r w:rsidR="009624CA" w:rsidRPr="00E859CA">
        <w:rPr>
          <w:lang w:val="en-GB"/>
        </w:rPr>
        <w:t xml:space="preserve"> throughout adulthood.</w:t>
      </w:r>
    </w:p>
    <w:p w14:paraId="010B6015" w14:textId="77777777" w:rsidR="00CF5AF7" w:rsidRPr="00096410" w:rsidRDefault="00CF5AF7" w:rsidP="009624CA">
      <w:pPr>
        <w:pStyle w:val="BodyTextMain"/>
        <w:rPr>
          <w:sz w:val="20"/>
          <w:lang w:val="en-GB"/>
        </w:rPr>
      </w:pPr>
    </w:p>
    <w:p w14:paraId="46C3EC48" w14:textId="539CDCA7" w:rsidR="00874CC4" w:rsidRPr="001A5EE0" w:rsidRDefault="00CF5AF7" w:rsidP="009624CA">
      <w:pPr>
        <w:pStyle w:val="BodyTextMain"/>
        <w:rPr>
          <w:spacing w:val="-2"/>
          <w:lang w:val="en-GB"/>
        </w:rPr>
      </w:pPr>
      <w:r w:rsidRPr="001A5EE0">
        <w:rPr>
          <w:spacing w:val="-2"/>
          <w:lang w:val="en-GB"/>
        </w:rPr>
        <w:t>N</w:t>
      </w:r>
      <w:r w:rsidR="009624CA" w:rsidRPr="001A5EE0">
        <w:rPr>
          <w:spacing w:val="-2"/>
          <w:lang w:val="en-GB"/>
        </w:rPr>
        <w:t xml:space="preserve">egative stereotypes </w:t>
      </w:r>
      <w:r w:rsidRPr="001A5EE0">
        <w:rPr>
          <w:spacing w:val="-2"/>
          <w:lang w:val="en-GB"/>
        </w:rPr>
        <w:t xml:space="preserve">also </w:t>
      </w:r>
      <w:r w:rsidR="009624CA" w:rsidRPr="001A5EE0">
        <w:rPr>
          <w:spacing w:val="-2"/>
          <w:lang w:val="en-GB"/>
        </w:rPr>
        <w:t xml:space="preserve">involved </w:t>
      </w:r>
      <w:r w:rsidRPr="001A5EE0">
        <w:rPr>
          <w:spacing w:val="-2"/>
          <w:lang w:val="en-GB"/>
        </w:rPr>
        <w:t xml:space="preserve">a </w:t>
      </w:r>
      <w:r w:rsidR="009624CA" w:rsidRPr="001A5EE0">
        <w:rPr>
          <w:spacing w:val="-2"/>
          <w:lang w:val="en-GB"/>
        </w:rPr>
        <w:t xml:space="preserve">perception that people with mental illness </w:t>
      </w:r>
      <w:r w:rsidRPr="001A5EE0">
        <w:rPr>
          <w:spacing w:val="-2"/>
          <w:lang w:val="en-GB"/>
        </w:rPr>
        <w:t>we</w:t>
      </w:r>
      <w:r w:rsidR="009624CA" w:rsidRPr="001A5EE0">
        <w:rPr>
          <w:spacing w:val="-2"/>
          <w:lang w:val="en-GB"/>
        </w:rPr>
        <w:t>re dangerous</w:t>
      </w:r>
      <w:r w:rsidRPr="001A5EE0">
        <w:rPr>
          <w:spacing w:val="-2"/>
          <w:lang w:val="en-GB"/>
        </w:rPr>
        <w:t>.</w:t>
      </w:r>
      <w:r w:rsidR="009624CA" w:rsidRPr="001A5EE0">
        <w:rPr>
          <w:spacing w:val="-2"/>
          <w:lang w:val="en-GB"/>
        </w:rPr>
        <w:t xml:space="preserve"> </w:t>
      </w:r>
      <w:r w:rsidRPr="001A5EE0">
        <w:rPr>
          <w:spacing w:val="-2"/>
          <w:lang w:val="en-GB"/>
        </w:rPr>
        <w:t xml:space="preserve">This negative view was </w:t>
      </w:r>
      <w:r w:rsidR="009624CA" w:rsidRPr="001A5EE0">
        <w:rPr>
          <w:spacing w:val="-2"/>
          <w:lang w:val="en-GB"/>
        </w:rPr>
        <w:t>fuel</w:t>
      </w:r>
      <w:r w:rsidRPr="001A5EE0">
        <w:rPr>
          <w:spacing w:val="-2"/>
          <w:lang w:val="en-GB"/>
        </w:rPr>
        <w:t>l</w:t>
      </w:r>
      <w:r w:rsidR="009624CA" w:rsidRPr="001A5EE0">
        <w:rPr>
          <w:spacing w:val="-2"/>
          <w:lang w:val="en-GB"/>
        </w:rPr>
        <w:t>ed by media stories that irresponsibly depicted criminals as “mentally ill” or “mentally disturbed</w:t>
      </w:r>
      <w:r w:rsidRPr="001A5EE0">
        <w:rPr>
          <w:spacing w:val="-2"/>
          <w:lang w:val="en-GB"/>
        </w:rPr>
        <w:t>,</w:t>
      </w:r>
      <w:r w:rsidR="009624CA" w:rsidRPr="001A5EE0">
        <w:rPr>
          <w:spacing w:val="-2"/>
          <w:lang w:val="en-GB"/>
        </w:rPr>
        <w:t xml:space="preserve">” without explanation of the broad spectrum of mental illness. In fact, the vast majority of people who had a mental illness had no violent tendencies. Furthermore, people who had a mental illness were </w:t>
      </w:r>
      <w:r w:rsidRPr="001A5EE0">
        <w:rPr>
          <w:spacing w:val="-2"/>
          <w:lang w:val="en-GB"/>
        </w:rPr>
        <w:t>10</w:t>
      </w:r>
      <w:r w:rsidR="009624CA" w:rsidRPr="001A5EE0">
        <w:rPr>
          <w:spacing w:val="-2"/>
          <w:lang w:val="en-GB"/>
        </w:rPr>
        <w:t xml:space="preserve"> times more likely to be victims of violent crime</w:t>
      </w:r>
      <w:r w:rsidR="003E3AF7">
        <w:rPr>
          <w:spacing w:val="-2"/>
          <w:lang w:val="en-GB"/>
        </w:rPr>
        <w:t xml:space="preserve"> than</w:t>
      </w:r>
      <w:r w:rsidR="009624CA" w:rsidRPr="001A5EE0">
        <w:rPr>
          <w:spacing w:val="-2"/>
          <w:lang w:val="en-GB"/>
        </w:rPr>
        <w:t xml:space="preserve"> people who did not have a mental illness</w:t>
      </w:r>
      <w:r w:rsidRPr="001A5EE0">
        <w:rPr>
          <w:spacing w:val="-2"/>
          <w:lang w:val="en-GB"/>
        </w:rPr>
        <w:t>.</w:t>
      </w:r>
      <w:r w:rsidR="009624CA" w:rsidRPr="001A5EE0">
        <w:rPr>
          <w:rStyle w:val="FootnoteReference"/>
          <w:spacing w:val="-2"/>
          <w:lang w:val="en-GB"/>
        </w:rPr>
        <w:footnoteReference w:id="7"/>
      </w:r>
      <w:r w:rsidR="009624CA" w:rsidRPr="001A5EE0">
        <w:rPr>
          <w:spacing w:val="-2"/>
          <w:lang w:val="en-GB"/>
        </w:rPr>
        <w:t xml:space="preserve"> Despite th</w:t>
      </w:r>
      <w:r w:rsidR="00874CC4" w:rsidRPr="001A5EE0">
        <w:rPr>
          <w:spacing w:val="-2"/>
          <w:lang w:val="en-GB"/>
        </w:rPr>
        <w:t>e facts</w:t>
      </w:r>
      <w:r w:rsidR="009624CA" w:rsidRPr="001A5EE0">
        <w:rPr>
          <w:spacing w:val="-2"/>
          <w:lang w:val="en-GB"/>
        </w:rPr>
        <w:t xml:space="preserve">, </w:t>
      </w:r>
      <w:r w:rsidR="00874CC4" w:rsidRPr="001A5EE0">
        <w:rPr>
          <w:spacing w:val="-2"/>
          <w:lang w:val="en-GB"/>
        </w:rPr>
        <w:t>negative stereotypes</w:t>
      </w:r>
      <w:r w:rsidR="009624CA" w:rsidRPr="001A5EE0">
        <w:rPr>
          <w:spacing w:val="-2"/>
          <w:lang w:val="en-GB"/>
        </w:rPr>
        <w:t xml:space="preserve"> affected how people reacted when encounter</w:t>
      </w:r>
      <w:r w:rsidR="00874CC4" w:rsidRPr="001A5EE0">
        <w:rPr>
          <w:spacing w:val="-2"/>
          <w:lang w:val="en-GB"/>
        </w:rPr>
        <w:t>ing</w:t>
      </w:r>
      <w:r w:rsidR="009624CA" w:rsidRPr="001A5EE0">
        <w:rPr>
          <w:spacing w:val="-2"/>
          <w:lang w:val="en-GB"/>
        </w:rPr>
        <w:t xml:space="preserve"> a person living with mental illness, </w:t>
      </w:r>
      <w:r w:rsidR="00874CC4" w:rsidRPr="001A5EE0">
        <w:rPr>
          <w:spacing w:val="-2"/>
          <w:lang w:val="en-GB"/>
        </w:rPr>
        <w:t xml:space="preserve">which was </w:t>
      </w:r>
      <w:r w:rsidR="009624CA" w:rsidRPr="001A5EE0">
        <w:rPr>
          <w:spacing w:val="-2"/>
          <w:lang w:val="en-GB"/>
        </w:rPr>
        <w:t xml:space="preserve">often </w:t>
      </w:r>
      <w:r w:rsidR="00874CC4" w:rsidRPr="001A5EE0">
        <w:rPr>
          <w:spacing w:val="-2"/>
          <w:lang w:val="en-GB"/>
        </w:rPr>
        <w:t>to</w:t>
      </w:r>
      <w:r w:rsidR="009624CA" w:rsidRPr="001A5EE0">
        <w:rPr>
          <w:spacing w:val="-2"/>
          <w:lang w:val="en-GB"/>
        </w:rPr>
        <w:t xml:space="preserve"> socially distanc</w:t>
      </w:r>
      <w:r w:rsidR="00874CC4" w:rsidRPr="001A5EE0">
        <w:rPr>
          <w:spacing w:val="-2"/>
          <w:lang w:val="en-GB"/>
        </w:rPr>
        <w:t>e</w:t>
      </w:r>
      <w:r w:rsidR="009624CA" w:rsidRPr="001A5EE0">
        <w:rPr>
          <w:spacing w:val="-2"/>
          <w:lang w:val="en-GB"/>
        </w:rPr>
        <w:t xml:space="preserve"> themselves from th</w:t>
      </w:r>
      <w:r w:rsidR="00874CC4" w:rsidRPr="001A5EE0">
        <w:rPr>
          <w:spacing w:val="-2"/>
          <w:lang w:val="en-GB"/>
        </w:rPr>
        <w:t>e</w:t>
      </w:r>
      <w:r w:rsidR="009624CA" w:rsidRPr="001A5EE0">
        <w:rPr>
          <w:spacing w:val="-2"/>
          <w:lang w:val="en-GB"/>
        </w:rPr>
        <w:t xml:space="preserve"> person</w:t>
      </w:r>
      <w:r w:rsidR="00874CC4" w:rsidRPr="001A5EE0">
        <w:rPr>
          <w:spacing w:val="-2"/>
          <w:lang w:val="en-GB"/>
        </w:rPr>
        <w:t xml:space="preserve"> with mental illness</w:t>
      </w:r>
      <w:r w:rsidR="009624CA" w:rsidRPr="001A5EE0">
        <w:rPr>
          <w:spacing w:val="-2"/>
          <w:lang w:val="en-GB"/>
        </w:rPr>
        <w:t>.</w:t>
      </w:r>
    </w:p>
    <w:p w14:paraId="1751FDBD" w14:textId="77777777" w:rsidR="00874CC4" w:rsidRPr="00096410" w:rsidRDefault="00874CC4" w:rsidP="009624CA">
      <w:pPr>
        <w:pStyle w:val="BodyTextMain"/>
        <w:rPr>
          <w:sz w:val="20"/>
          <w:lang w:val="en-GB"/>
        </w:rPr>
      </w:pPr>
    </w:p>
    <w:p w14:paraId="2D74E055" w14:textId="0B9978AF" w:rsidR="009624CA" w:rsidRPr="001A5EE0" w:rsidRDefault="003E3AF7" w:rsidP="009624CA">
      <w:pPr>
        <w:pStyle w:val="BodyTextMain"/>
        <w:rPr>
          <w:spacing w:val="-2"/>
          <w:lang w:val="en-GB"/>
        </w:rPr>
      </w:pPr>
      <w:r>
        <w:rPr>
          <w:spacing w:val="-2"/>
          <w:lang w:val="en-GB"/>
        </w:rPr>
        <w:t>Ano</w:t>
      </w:r>
      <w:r w:rsidRPr="001A5EE0">
        <w:rPr>
          <w:spacing w:val="-2"/>
          <w:lang w:val="en-GB"/>
        </w:rPr>
        <w:t xml:space="preserve">ther </w:t>
      </w:r>
      <w:r w:rsidR="00874CC4" w:rsidRPr="001A5EE0">
        <w:rPr>
          <w:spacing w:val="-2"/>
          <w:lang w:val="en-GB"/>
        </w:rPr>
        <w:t xml:space="preserve">negative connotation </w:t>
      </w:r>
      <w:r>
        <w:rPr>
          <w:spacing w:val="-2"/>
          <w:lang w:val="en-GB"/>
        </w:rPr>
        <w:t>of</w:t>
      </w:r>
      <w:r w:rsidRPr="001A5EE0">
        <w:rPr>
          <w:spacing w:val="-2"/>
          <w:lang w:val="en-GB"/>
        </w:rPr>
        <w:t xml:space="preserve"> </w:t>
      </w:r>
      <w:r w:rsidR="00874CC4" w:rsidRPr="001A5EE0">
        <w:rPr>
          <w:spacing w:val="-2"/>
          <w:lang w:val="en-GB"/>
        </w:rPr>
        <w:t>mental illness included the perception by</w:t>
      </w:r>
      <w:r w:rsidR="009624CA" w:rsidRPr="001A5EE0">
        <w:rPr>
          <w:spacing w:val="-2"/>
          <w:lang w:val="en-GB"/>
        </w:rPr>
        <w:t xml:space="preserve"> 42</w:t>
      </w:r>
      <w:r w:rsidR="00874CC4" w:rsidRPr="001A5EE0">
        <w:rPr>
          <w:spacing w:val="-2"/>
          <w:lang w:val="en-GB"/>
        </w:rPr>
        <w:t xml:space="preserve"> per cent</w:t>
      </w:r>
      <w:r w:rsidR="009624CA" w:rsidRPr="001A5EE0">
        <w:rPr>
          <w:spacing w:val="-2"/>
          <w:lang w:val="en-GB"/>
        </w:rPr>
        <w:t xml:space="preserve"> of Canadians that people used mental illness as an excuse for bad behavio</w:t>
      </w:r>
      <w:r>
        <w:rPr>
          <w:spacing w:val="-2"/>
          <w:lang w:val="en-GB"/>
        </w:rPr>
        <w:t>u</w:t>
      </w:r>
      <w:r w:rsidR="009624CA" w:rsidRPr="001A5EE0">
        <w:rPr>
          <w:spacing w:val="-2"/>
          <w:lang w:val="en-GB"/>
        </w:rPr>
        <w:t>r</w:t>
      </w:r>
      <w:r w:rsidR="00874CC4" w:rsidRPr="001A5EE0">
        <w:rPr>
          <w:spacing w:val="-2"/>
          <w:lang w:val="en-GB"/>
        </w:rPr>
        <w:t xml:space="preserve">, so they were unlikely to socialize with </w:t>
      </w:r>
      <w:r w:rsidRPr="003E3AF7">
        <w:rPr>
          <w:spacing w:val="-2"/>
          <w:lang w:val="en-GB"/>
        </w:rPr>
        <w:t>people affected with mental illness</w:t>
      </w:r>
      <w:r w:rsidR="00874CC4" w:rsidRPr="001A5EE0">
        <w:rPr>
          <w:spacing w:val="-2"/>
          <w:lang w:val="en-GB"/>
        </w:rPr>
        <w:t>.</w:t>
      </w:r>
      <w:r w:rsidR="009624CA" w:rsidRPr="001A5EE0">
        <w:rPr>
          <w:rStyle w:val="FootnoteReference"/>
          <w:spacing w:val="-2"/>
          <w:lang w:val="en-GB"/>
        </w:rPr>
        <w:footnoteReference w:id="8"/>
      </w:r>
      <w:r w:rsidR="009624CA" w:rsidRPr="001A5EE0">
        <w:rPr>
          <w:spacing w:val="-2"/>
          <w:lang w:val="en-GB"/>
        </w:rPr>
        <w:t xml:space="preserve"> This social distancing sometimes caused pe</w:t>
      </w:r>
      <w:r>
        <w:rPr>
          <w:spacing w:val="-2"/>
          <w:lang w:val="en-GB"/>
        </w:rPr>
        <w:t>ople</w:t>
      </w:r>
      <w:r w:rsidR="009624CA" w:rsidRPr="001A5EE0">
        <w:rPr>
          <w:spacing w:val="-2"/>
          <w:lang w:val="en-GB"/>
        </w:rPr>
        <w:t xml:space="preserve"> with mental health issues to develop a </w:t>
      </w:r>
      <w:r w:rsidR="00874CC4" w:rsidRPr="001A5EE0">
        <w:rPr>
          <w:spacing w:val="-2"/>
          <w:lang w:val="en-GB"/>
        </w:rPr>
        <w:t xml:space="preserve">so-called </w:t>
      </w:r>
      <w:r w:rsidR="009624CA" w:rsidRPr="001A5EE0">
        <w:rPr>
          <w:spacing w:val="-2"/>
          <w:lang w:val="en-GB"/>
        </w:rPr>
        <w:t xml:space="preserve">“self-stigma,” where </w:t>
      </w:r>
      <w:r>
        <w:rPr>
          <w:spacing w:val="-2"/>
          <w:lang w:val="en-GB"/>
        </w:rPr>
        <w:t>they</w:t>
      </w:r>
      <w:r w:rsidR="009624CA" w:rsidRPr="001A5EE0">
        <w:rPr>
          <w:spacing w:val="-2"/>
          <w:lang w:val="en-GB"/>
        </w:rPr>
        <w:t xml:space="preserve"> became aware of their condition and stigmatized themselves, which caused a downward spiral of stigmatization. Even more damaging was </w:t>
      </w:r>
      <w:r w:rsidR="00A32E4D" w:rsidRPr="001A5EE0">
        <w:rPr>
          <w:spacing w:val="-2"/>
          <w:lang w:val="en-GB"/>
        </w:rPr>
        <w:t xml:space="preserve">the fact </w:t>
      </w:r>
      <w:r w:rsidR="009624CA" w:rsidRPr="001A5EE0">
        <w:rPr>
          <w:spacing w:val="-2"/>
          <w:lang w:val="en-GB"/>
        </w:rPr>
        <w:t xml:space="preserve">that these stigmas deterred people from seeking help at early stages, worried about being </w:t>
      </w:r>
      <w:r w:rsidR="00A92786" w:rsidRPr="001A5EE0">
        <w:rPr>
          <w:spacing w:val="-2"/>
          <w:lang w:val="en-GB"/>
        </w:rPr>
        <w:t xml:space="preserve">negatively </w:t>
      </w:r>
      <w:r w:rsidR="009624CA" w:rsidRPr="001A5EE0">
        <w:rPr>
          <w:spacing w:val="-2"/>
          <w:lang w:val="en-GB"/>
        </w:rPr>
        <w:t>labelled.</w:t>
      </w:r>
    </w:p>
    <w:p w14:paraId="77CEE03D" w14:textId="77777777" w:rsidR="009624CA" w:rsidRPr="00096410" w:rsidRDefault="009624CA" w:rsidP="009624CA">
      <w:pPr>
        <w:pStyle w:val="BodyTextMain"/>
        <w:rPr>
          <w:sz w:val="20"/>
          <w:lang w:val="en-GB"/>
        </w:rPr>
      </w:pPr>
    </w:p>
    <w:p w14:paraId="567D6950" w14:textId="52D893A2" w:rsidR="009624CA" w:rsidRPr="00E859CA" w:rsidRDefault="009624CA" w:rsidP="009624CA">
      <w:pPr>
        <w:pStyle w:val="BodyTextMain"/>
        <w:rPr>
          <w:lang w:val="en-GB"/>
        </w:rPr>
      </w:pPr>
      <w:r w:rsidRPr="00E859CA">
        <w:rPr>
          <w:lang w:val="en-GB"/>
        </w:rPr>
        <w:t>However, mental health issues could</w:t>
      </w:r>
      <w:r w:rsidR="001C71FA">
        <w:rPr>
          <w:lang w:val="en-GB"/>
        </w:rPr>
        <w:t xml:space="preserve"> be</w:t>
      </w:r>
      <w:r w:rsidRPr="00E859CA">
        <w:rPr>
          <w:lang w:val="en-GB"/>
        </w:rPr>
        <w:t xml:space="preserve"> treated effectively if tackled early. Once depression was recognized, </w:t>
      </w:r>
      <w:r w:rsidR="00A92786" w:rsidRPr="00E859CA">
        <w:rPr>
          <w:lang w:val="en-GB"/>
        </w:rPr>
        <w:t xml:space="preserve">getting </w:t>
      </w:r>
      <w:r w:rsidRPr="00E859CA">
        <w:rPr>
          <w:lang w:val="en-GB"/>
        </w:rPr>
        <w:t>help c</w:t>
      </w:r>
      <w:r w:rsidR="00A92786" w:rsidRPr="00E859CA">
        <w:rPr>
          <w:lang w:val="en-GB"/>
        </w:rPr>
        <w:t>ould</w:t>
      </w:r>
      <w:r w:rsidRPr="00E859CA">
        <w:rPr>
          <w:lang w:val="en-GB"/>
        </w:rPr>
        <w:t xml:space="preserve"> make a difference for 80</w:t>
      </w:r>
      <w:r w:rsidR="00A92786" w:rsidRPr="00E859CA">
        <w:rPr>
          <w:lang w:val="en-GB"/>
        </w:rPr>
        <w:t xml:space="preserve"> per cent</w:t>
      </w:r>
      <w:r w:rsidRPr="00E859CA">
        <w:rPr>
          <w:lang w:val="en-GB"/>
        </w:rPr>
        <w:t xml:space="preserve"> of people who </w:t>
      </w:r>
      <w:r w:rsidR="00A92786" w:rsidRPr="00E859CA">
        <w:rPr>
          <w:lang w:val="en-GB"/>
        </w:rPr>
        <w:t>we</w:t>
      </w:r>
      <w:r w:rsidRPr="00E859CA">
        <w:rPr>
          <w:lang w:val="en-GB"/>
        </w:rPr>
        <w:t xml:space="preserve">re affected, allowing them to </w:t>
      </w:r>
      <w:r w:rsidR="00A92786" w:rsidRPr="00E859CA">
        <w:rPr>
          <w:lang w:val="en-GB"/>
        </w:rPr>
        <w:t>resume</w:t>
      </w:r>
      <w:r w:rsidRPr="00E859CA">
        <w:rPr>
          <w:lang w:val="en-GB"/>
        </w:rPr>
        <w:t xml:space="preserve"> regular activities</w:t>
      </w:r>
      <w:r w:rsidR="00A92786" w:rsidRPr="00E859CA">
        <w:rPr>
          <w:lang w:val="en-GB"/>
        </w:rPr>
        <w:t>.</w:t>
      </w:r>
      <w:r w:rsidRPr="00E859CA">
        <w:rPr>
          <w:rStyle w:val="FootnoteReference"/>
          <w:lang w:val="en-GB"/>
        </w:rPr>
        <w:footnoteReference w:id="9"/>
      </w:r>
      <w:r w:rsidRPr="00E859CA">
        <w:rPr>
          <w:lang w:val="en-GB"/>
        </w:rPr>
        <w:t xml:space="preserve"> Treatment</w:t>
      </w:r>
      <w:r w:rsidR="00A92786" w:rsidRPr="00E859CA">
        <w:rPr>
          <w:lang w:val="en-GB"/>
        </w:rPr>
        <w:t xml:space="preserve"> involving</w:t>
      </w:r>
      <w:r w:rsidRPr="00E859CA">
        <w:rPr>
          <w:lang w:val="en-GB"/>
        </w:rPr>
        <w:t xml:space="preserve"> consultation with professional</w:t>
      </w:r>
      <w:r w:rsidR="00A92786" w:rsidRPr="00E859CA">
        <w:rPr>
          <w:lang w:val="en-GB"/>
        </w:rPr>
        <w:t>s</w:t>
      </w:r>
      <w:r w:rsidRPr="00E859CA">
        <w:rPr>
          <w:lang w:val="en-GB"/>
        </w:rPr>
        <w:t xml:space="preserve"> and discussion groups was as effective</w:t>
      </w:r>
      <w:r w:rsidR="00A92786" w:rsidRPr="00E859CA">
        <w:rPr>
          <w:lang w:val="en-GB"/>
        </w:rPr>
        <w:t>—</w:t>
      </w:r>
      <w:r w:rsidRPr="00E859CA">
        <w:rPr>
          <w:lang w:val="en-GB"/>
        </w:rPr>
        <w:t>if not more effective</w:t>
      </w:r>
      <w:r w:rsidR="00A92786" w:rsidRPr="00E859CA">
        <w:rPr>
          <w:lang w:val="en-GB"/>
        </w:rPr>
        <w:t>—</w:t>
      </w:r>
      <w:r w:rsidRPr="00E859CA">
        <w:rPr>
          <w:lang w:val="en-GB"/>
        </w:rPr>
        <w:t>than medication alone</w:t>
      </w:r>
      <w:r w:rsidR="00A92786" w:rsidRPr="00E859CA">
        <w:rPr>
          <w:lang w:val="en-GB"/>
        </w:rPr>
        <w:t>.</w:t>
      </w:r>
      <w:r w:rsidRPr="00E859CA">
        <w:rPr>
          <w:rStyle w:val="FootnoteReference"/>
          <w:lang w:val="en-GB"/>
        </w:rPr>
        <w:footnoteReference w:id="10"/>
      </w:r>
      <w:r w:rsidRPr="00E859CA">
        <w:rPr>
          <w:lang w:val="en-GB"/>
        </w:rPr>
        <w:t xml:space="preserve"> The main problem, however, was finding ways </w:t>
      </w:r>
      <w:r w:rsidR="00A92786" w:rsidRPr="00E859CA">
        <w:rPr>
          <w:lang w:val="en-GB"/>
        </w:rPr>
        <w:t xml:space="preserve">and means </w:t>
      </w:r>
      <w:r w:rsidRPr="00E859CA">
        <w:rPr>
          <w:lang w:val="en-GB"/>
        </w:rPr>
        <w:t xml:space="preserve">to talk about </w:t>
      </w:r>
      <w:r w:rsidR="00A92786" w:rsidRPr="00E859CA">
        <w:rPr>
          <w:lang w:val="en-GB"/>
        </w:rPr>
        <w:t>mental health.</w:t>
      </w:r>
      <w:r w:rsidRPr="00E859CA">
        <w:rPr>
          <w:lang w:val="en-GB"/>
        </w:rPr>
        <w:t xml:space="preserve"> </w:t>
      </w:r>
      <w:r w:rsidR="00A92786" w:rsidRPr="00E859CA">
        <w:rPr>
          <w:lang w:val="en-GB"/>
        </w:rPr>
        <w:t xml:space="preserve">This was where </w:t>
      </w:r>
      <w:r w:rsidRPr="00E859CA">
        <w:rPr>
          <w:lang w:val="en-GB"/>
        </w:rPr>
        <w:t>AWI</w:t>
      </w:r>
      <w:r w:rsidR="00A92786" w:rsidRPr="00E859CA">
        <w:rPr>
          <w:lang w:val="en-GB"/>
        </w:rPr>
        <w:t xml:space="preserve"> excelled</w:t>
      </w:r>
      <w:r w:rsidRPr="00E859CA">
        <w:rPr>
          <w:lang w:val="en-GB"/>
        </w:rPr>
        <w:t>.</w:t>
      </w:r>
    </w:p>
    <w:p w14:paraId="243E044C" w14:textId="77777777" w:rsidR="009624CA" w:rsidRDefault="009624CA" w:rsidP="009624CA">
      <w:pPr>
        <w:pStyle w:val="BodyTextMain"/>
        <w:rPr>
          <w:sz w:val="20"/>
          <w:lang w:val="en-GB"/>
        </w:rPr>
      </w:pPr>
    </w:p>
    <w:p w14:paraId="0936A799" w14:textId="77777777" w:rsidR="00096410" w:rsidRPr="00096410" w:rsidRDefault="00096410" w:rsidP="009624CA">
      <w:pPr>
        <w:pStyle w:val="BodyTextMain"/>
        <w:rPr>
          <w:sz w:val="20"/>
          <w:lang w:val="en-GB"/>
        </w:rPr>
      </w:pPr>
    </w:p>
    <w:p w14:paraId="40A03400" w14:textId="04606641" w:rsidR="009624CA" w:rsidRPr="00E859CA" w:rsidRDefault="009624CA" w:rsidP="009624CA">
      <w:pPr>
        <w:pStyle w:val="Casehead1"/>
        <w:keepNext/>
        <w:rPr>
          <w:lang w:val="en-GB"/>
        </w:rPr>
      </w:pPr>
      <w:r w:rsidRPr="00E859CA">
        <w:rPr>
          <w:lang w:val="en-GB"/>
        </w:rPr>
        <w:t xml:space="preserve">Funding history and </w:t>
      </w:r>
      <w:r w:rsidR="00B05C87" w:rsidRPr="00E859CA">
        <w:rPr>
          <w:lang w:val="en-GB"/>
        </w:rPr>
        <w:t>Current Status</w:t>
      </w:r>
    </w:p>
    <w:p w14:paraId="5CF7B5E5" w14:textId="77777777" w:rsidR="009624CA" w:rsidRPr="00096410" w:rsidRDefault="009624CA" w:rsidP="009624CA">
      <w:pPr>
        <w:pStyle w:val="BodyTextMain"/>
        <w:keepNext/>
        <w:rPr>
          <w:sz w:val="20"/>
          <w:lang w:val="en-GB"/>
        </w:rPr>
      </w:pPr>
    </w:p>
    <w:p w14:paraId="1CC1CA2B" w14:textId="300B8CC0" w:rsidR="00A514F5" w:rsidRPr="00E859CA" w:rsidRDefault="009624CA" w:rsidP="009624CA">
      <w:pPr>
        <w:pStyle w:val="BodyTextMain"/>
        <w:keepNext/>
        <w:rPr>
          <w:lang w:val="en-GB"/>
        </w:rPr>
      </w:pPr>
      <w:r w:rsidRPr="00E859CA">
        <w:rPr>
          <w:lang w:val="en-GB"/>
        </w:rPr>
        <w:t xml:space="preserve">AWI operated as two separate </w:t>
      </w:r>
      <w:r w:rsidR="003E3AF7" w:rsidRPr="00E859CA">
        <w:rPr>
          <w:lang w:val="en-GB"/>
        </w:rPr>
        <w:t>charit</w:t>
      </w:r>
      <w:r w:rsidR="003E3AF7">
        <w:rPr>
          <w:lang w:val="en-GB"/>
        </w:rPr>
        <w:t>able</w:t>
      </w:r>
      <w:r w:rsidR="003E3AF7" w:rsidRPr="00E859CA">
        <w:rPr>
          <w:lang w:val="en-GB"/>
        </w:rPr>
        <w:t xml:space="preserve"> </w:t>
      </w:r>
      <w:r w:rsidR="00B05C87" w:rsidRPr="00E859CA">
        <w:rPr>
          <w:lang w:val="en-GB"/>
        </w:rPr>
        <w:t>organizations</w:t>
      </w:r>
      <w:r w:rsidR="0090735F" w:rsidRPr="00E859CA">
        <w:rPr>
          <w:lang w:val="en-GB"/>
        </w:rPr>
        <w:t xml:space="preserve">—one </w:t>
      </w:r>
      <w:r w:rsidRPr="00E859CA">
        <w:rPr>
          <w:lang w:val="en-GB"/>
        </w:rPr>
        <w:t xml:space="preserve">in Canada and the </w:t>
      </w:r>
      <w:r w:rsidR="0090735F" w:rsidRPr="00E859CA">
        <w:rPr>
          <w:lang w:val="en-GB"/>
        </w:rPr>
        <w:t xml:space="preserve">other in the </w:t>
      </w:r>
      <w:r w:rsidRPr="00E859CA">
        <w:rPr>
          <w:lang w:val="en-GB"/>
        </w:rPr>
        <w:t>U</w:t>
      </w:r>
      <w:r w:rsidR="00B05C87" w:rsidRPr="00E859CA">
        <w:rPr>
          <w:lang w:val="en-GB"/>
        </w:rPr>
        <w:t xml:space="preserve">nited </w:t>
      </w:r>
      <w:r w:rsidRPr="00E859CA">
        <w:rPr>
          <w:lang w:val="en-GB"/>
        </w:rPr>
        <w:t>S</w:t>
      </w:r>
      <w:r w:rsidR="00B05C87" w:rsidRPr="00E859CA">
        <w:rPr>
          <w:lang w:val="en-GB"/>
        </w:rPr>
        <w:t>tates</w:t>
      </w:r>
      <w:r w:rsidR="0090735F" w:rsidRPr="00E859CA">
        <w:rPr>
          <w:lang w:val="en-GB"/>
        </w:rPr>
        <w:t>—</w:t>
      </w:r>
      <w:r w:rsidRPr="00E859CA">
        <w:rPr>
          <w:lang w:val="en-GB"/>
        </w:rPr>
        <w:t>with separate boards of directors, by</w:t>
      </w:r>
      <w:r w:rsidR="00B05C87" w:rsidRPr="00E859CA">
        <w:rPr>
          <w:lang w:val="en-GB"/>
        </w:rPr>
        <w:t>-</w:t>
      </w:r>
      <w:r w:rsidRPr="00E859CA">
        <w:rPr>
          <w:lang w:val="en-GB"/>
        </w:rPr>
        <w:t xml:space="preserve">laws, and budgets. </w:t>
      </w:r>
      <w:r w:rsidR="008D0538" w:rsidRPr="00E859CA">
        <w:rPr>
          <w:lang w:val="en-GB"/>
        </w:rPr>
        <w:t xml:space="preserve">The charity </w:t>
      </w:r>
      <w:r w:rsidR="00B05C87" w:rsidRPr="00E859CA">
        <w:rPr>
          <w:lang w:val="en-GB"/>
        </w:rPr>
        <w:t>in the United States</w:t>
      </w:r>
      <w:r w:rsidR="008D0538" w:rsidRPr="00E859CA">
        <w:rPr>
          <w:lang w:val="en-GB"/>
        </w:rPr>
        <w:t xml:space="preserve"> had </w:t>
      </w:r>
      <w:r w:rsidR="00B05C87" w:rsidRPr="00E859CA">
        <w:rPr>
          <w:lang w:val="en-GB"/>
        </w:rPr>
        <w:t xml:space="preserve">a </w:t>
      </w:r>
      <w:r w:rsidR="008D0538" w:rsidRPr="00E859CA">
        <w:rPr>
          <w:lang w:val="en-GB"/>
        </w:rPr>
        <w:t>six</w:t>
      </w:r>
      <w:r w:rsidR="00B05C87" w:rsidRPr="00E859CA">
        <w:rPr>
          <w:lang w:val="en-GB"/>
        </w:rPr>
        <w:t>-</w:t>
      </w:r>
      <w:r w:rsidR="008D0538" w:rsidRPr="00E859CA">
        <w:rPr>
          <w:lang w:val="en-GB"/>
        </w:rPr>
        <w:t>member board of directors</w:t>
      </w:r>
      <w:r w:rsidR="00F13C3A" w:rsidRPr="00E859CA">
        <w:rPr>
          <w:lang w:val="en-GB"/>
        </w:rPr>
        <w:t>,</w:t>
      </w:r>
      <w:r w:rsidR="00B05C87" w:rsidRPr="00E859CA">
        <w:rPr>
          <w:lang w:val="en-GB"/>
        </w:rPr>
        <w:t xml:space="preserve"> </w:t>
      </w:r>
      <w:r w:rsidR="00F13C3A" w:rsidRPr="00E859CA">
        <w:rPr>
          <w:lang w:val="en-GB"/>
        </w:rPr>
        <w:t xml:space="preserve">whereas </w:t>
      </w:r>
      <w:r w:rsidR="00B05C87" w:rsidRPr="00E859CA">
        <w:rPr>
          <w:lang w:val="en-GB"/>
        </w:rPr>
        <w:t>the one in Canada had a five-member board.</w:t>
      </w:r>
      <w:r w:rsidR="008D0538" w:rsidRPr="00E859CA">
        <w:rPr>
          <w:lang w:val="en-GB"/>
        </w:rPr>
        <w:t xml:space="preserve"> </w:t>
      </w:r>
      <w:r w:rsidR="00B05C87" w:rsidRPr="00E859CA">
        <w:rPr>
          <w:lang w:val="en-GB"/>
        </w:rPr>
        <w:t xml:space="preserve">McQueen </w:t>
      </w:r>
      <w:r w:rsidR="008D0538" w:rsidRPr="00E859CA">
        <w:rPr>
          <w:lang w:val="en-GB"/>
        </w:rPr>
        <w:t>serv</w:t>
      </w:r>
      <w:r w:rsidR="00B05C87" w:rsidRPr="00E859CA">
        <w:rPr>
          <w:lang w:val="en-GB"/>
        </w:rPr>
        <w:t>ed</w:t>
      </w:r>
      <w:r w:rsidR="008D0538" w:rsidRPr="00E859CA">
        <w:rPr>
          <w:lang w:val="en-GB"/>
        </w:rPr>
        <w:t xml:space="preserve"> as executive </w:t>
      </w:r>
      <w:r w:rsidR="008D0538" w:rsidRPr="00E859CA">
        <w:rPr>
          <w:lang w:val="en-GB"/>
        </w:rPr>
        <w:lastRenderedPageBreak/>
        <w:t>director for both</w:t>
      </w:r>
      <w:r w:rsidR="00185FB8" w:rsidRPr="00E859CA">
        <w:rPr>
          <w:lang w:val="en-GB"/>
        </w:rPr>
        <w:t xml:space="preserve"> boards</w:t>
      </w:r>
      <w:r w:rsidR="0090735F" w:rsidRPr="00E859CA">
        <w:rPr>
          <w:lang w:val="en-GB"/>
        </w:rPr>
        <w:t>, which included</w:t>
      </w:r>
      <w:r w:rsidR="00185FB8" w:rsidRPr="00E859CA">
        <w:rPr>
          <w:lang w:val="en-GB"/>
        </w:rPr>
        <w:t xml:space="preserve"> professionals with varying </w:t>
      </w:r>
      <w:r w:rsidR="0090735F" w:rsidRPr="00E859CA">
        <w:rPr>
          <w:lang w:val="en-GB"/>
        </w:rPr>
        <w:t xml:space="preserve">levels of </w:t>
      </w:r>
      <w:r w:rsidR="00185FB8" w:rsidRPr="00E859CA">
        <w:rPr>
          <w:lang w:val="en-GB"/>
        </w:rPr>
        <w:t xml:space="preserve">experience in media, film, marketing, psychiatry, and fundraising. In addition to </w:t>
      </w:r>
      <w:r w:rsidR="0090735F" w:rsidRPr="00E859CA">
        <w:rPr>
          <w:lang w:val="en-GB"/>
        </w:rPr>
        <w:t>a</w:t>
      </w:r>
      <w:r w:rsidR="00185FB8" w:rsidRPr="00E859CA">
        <w:rPr>
          <w:lang w:val="en-GB"/>
        </w:rPr>
        <w:t xml:space="preserve"> board of directors, </w:t>
      </w:r>
      <w:r w:rsidR="0090735F" w:rsidRPr="00E859CA">
        <w:rPr>
          <w:lang w:val="en-GB"/>
        </w:rPr>
        <w:t>each</w:t>
      </w:r>
      <w:r w:rsidR="00185FB8" w:rsidRPr="00E859CA">
        <w:rPr>
          <w:lang w:val="en-GB"/>
        </w:rPr>
        <w:t xml:space="preserve"> organization ha</w:t>
      </w:r>
      <w:r w:rsidR="0090735F" w:rsidRPr="00E859CA">
        <w:rPr>
          <w:lang w:val="en-GB"/>
        </w:rPr>
        <w:t>d its</w:t>
      </w:r>
      <w:r w:rsidR="00185FB8" w:rsidRPr="00E859CA">
        <w:rPr>
          <w:lang w:val="en-GB"/>
        </w:rPr>
        <w:t xml:space="preserve"> own independent advisory board</w:t>
      </w:r>
      <w:r w:rsidR="0090735F" w:rsidRPr="00E859CA">
        <w:rPr>
          <w:lang w:val="en-GB"/>
        </w:rPr>
        <w:t xml:space="preserve">, </w:t>
      </w:r>
      <w:r w:rsidR="001C71FA">
        <w:rPr>
          <w:lang w:val="en-GB"/>
        </w:rPr>
        <w:t xml:space="preserve">consisting of </w:t>
      </w:r>
      <w:r w:rsidR="00185FB8" w:rsidRPr="00E859CA">
        <w:rPr>
          <w:lang w:val="en-GB"/>
        </w:rPr>
        <w:t xml:space="preserve">individuals </w:t>
      </w:r>
      <w:r w:rsidR="0090735F" w:rsidRPr="00E859CA">
        <w:rPr>
          <w:lang w:val="en-GB"/>
        </w:rPr>
        <w:t>with</w:t>
      </w:r>
      <w:r w:rsidR="00185FB8" w:rsidRPr="00E859CA">
        <w:rPr>
          <w:lang w:val="en-GB"/>
        </w:rPr>
        <w:t xml:space="preserve"> varying backgrounds</w:t>
      </w:r>
      <w:r w:rsidR="001C71FA">
        <w:rPr>
          <w:lang w:val="en-GB"/>
        </w:rPr>
        <w:t xml:space="preserve"> such as</w:t>
      </w:r>
      <w:r w:rsidR="00185FB8" w:rsidRPr="00E859CA">
        <w:rPr>
          <w:lang w:val="en-GB"/>
        </w:rPr>
        <w:t xml:space="preserve"> filmmakers, therapists, psychologists, psychotherapists, educators, and students. </w:t>
      </w:r>
    </w:p>
    <w:p w14:paraId="25621508" w14:textId="77777777" w:rsidR="00A514F5" w:rsidRPr="00096410" w:rsidRDefault="00A514F5" w:rsidP="009624CA">
      <w:pPr>
        <w:pStyle w:val="BodyTextMain"/>
        <w:keepNext/>
        <w:rPr>
          <w:sz w:val="20"/>
          <w:lang w:val="en-GB"/>
        </w:rPr>
      </w:pPr>
    </w:p>
    <w:p w14:paraId="260A007D" w14:textId="2869753C" w:rsidR="009624CA" w:rsidRPr="00E859CA" w:rsidRDefault="0090735F" w:rsidP="009624CA">
      <w:pPr>
        <w:pStyle w:val="BodyTextMain"/>
        <w:keepNext/>
        <w:rPr>
          <w:lang w:val="en-GB"/>
        </w:rPr>
      </w:pPr>
      <w:r w:rsidRPr="00E859CA">
        <w:rPr>
          <w:lang w:val="en-GB"/>
        </w:rPr>
        <w:t>The most recent round of funding for b</w:t>
      </w:r>
      <w:r w:rsidR="009624CA" w:rsidRPr="00E859CA">
        <w:rPr>
          <w:lang w:val="en-GB"/>
        </w:rPr>
        <w:t xml:space="preserve">oth organizations </w:t>
      </w:r>
      <w:r w:rsidRPr="00E859CA">
        <w:rPr>
          <w:lang w:val="en-GB"/>
        </w:rPr>
        <w:t>came</w:t>
      </w:r>
      <w:r w:rsidR="009624CA" w:rsidRPr="00E859CA">
        <w:rPr>
          <w:lang w:val="en-GB"/>
        </w:rPr>
        <w:t xml:space="preserve"> from four primary sources: governmental, private foundation</w:t>
      </w:r>
      <w:r w:rsidR="000C6F2D" w:rsidRPr="00E859CA">
        <w:rPr>
          <w:lang w:val="en-GB"/>
        </w:rPr>
        <w:t xml:space="preserve"> or </w:t>
      </w:r>
      <w:r w:rsidR="009624CA" w:rsidRPr="00E859CA">
        <w:rPr>
          <w:lang w:val="en-GB"/>
        </w:rPr>
        <w:t>corporation, private individual, and earned income (see Exhibit 1).</w:t>
      </w:r>
    </w:p>
    <w:p w14:paraId="68C17D45" w14:textId="77777777" w:rsidR="009624CA" w:rsidRPr="00096410" w:rsidRDefault="009624CA" w:rsidP="009624CA">
      <w:pPr>
        <w:pStyle w:val="BodyTextMain"/>
        <w:rPr>
          <w:sz w:val="20"/>
          <w:lang w:val="en-GB"/>
        </w:rPr>
      </w:pPr>
    </w:p>
    <w:p w14:paraId="61EFB34E" w14:textId="2ED53C9A" w:rsidR="009624CA" w:rsidRPr="00E859CA" w:rsidRDefault="009624CA" w:rsidP="009624CA">
      <w:pPr>
        <w:pStyle w:val="BodyTextMain"/>
        <w:rPr>
          <w:lang w:val="en-GB"/>
        </w:rPr>
      </w:pPr>
      <w:r w:rsidRPr="00E859CA">
        <w:rPr>
          <w:lang w:val="en-GB"/>
        </w:rPr>
        <w:t>In the U</w:t>
      </w:r>
      <w:r w:rsidR="0090735F" w:rsidRPr="00E859CA">
        <w:rPr>
          <w:lang w:val="en-GB"/>
        </w:rPr>
        <w:t xml:space="preserve">nited </w:t>
      </w:r>
      <w:r w:rsidRPr="00E859CA">
        <w:rPr>
          <w:lang w:val="en-GB"/>
        </w:rPr>
        <w:t>S</w:t>
      </w:r>
      <w:r w:rsidR="0090735F" w:rsidRPr="00E859CA">
        <w:rPr>
          <w:lang w:val="en-GB"/>
        </w:rPr>
        <w:t>tates</w:t>
      </w:r>
      <w:r w:rsidRPr="00E859CA">
        <w:rPr>
          <w:lang w:val="en-GB"/>
        </w:rPr>
        <w:t>, AWI secured two government grants that paid a combined annual amount of $102,800</w:t>
      </w:r>
      <w:r w:rsidR="0090735F" w:rsidRPr="00E859CA">
        <w:rPr>
          <w:lang w:val="en-GB"/>
        </w:rPr>
        <w:t>, originating p</w:t>
      </w:r>
      <w:r w:rsidRPr="00E859CA">
        <w:rPr>
          <w:lang w:val="en-GB"/>
        </w:rPr>
        <w:t xml:space="preserve">rimarily from the </w:t>
      </w:r>
      <w:r w:rsidRPr="00B51A61">
        <w:rPr>
          <w:lang w:val="en-GB"/>
        </w:rPr>
        <w:t>Californian Mental Health Services Act</w:t>
      </w:r>
      <w:r w:rsidRPr="00E859CA">
        <w:rPr>
          <w:lang w:val="en-GB"/>
        </w:rPr>
        <w:t xml:space="preserve"> (MHSA). Adopted in 2004, this act stipulated that </w:t>
      </w:r>
      <w:r w:rsidR="0090735F" w:rsidRPr="00E859CA">
        <w:rPr>
          <w:lang w:val="en-GB"/>
        </w:rPr>
        <w:t>a</w:t>
      </w:r>
      <w:r w:rsidRPr="00E859CA">
        <w:rPr>
          <w:lang w:val="en-GB"/>
        </w:rPr>
        <w:t>n</w:t>
      </w:r>
      <w:r w:rsidR="0090735F" w:rsidRPr="00E859CA">
        <w:rPr>
          <w:lang w:val="en-GB"/>
        </w:rPr>
        <w:t>y</w:t>
      </w:r>
      <w:r w:rsidRPr="00E859CA">
        <w:rPr>
          <w:lang w:val="en-GB"/>
        </w:rPr>
        <w:t xml:space="preserve"> California taxpayer who earned more than $1 million </w:t>
      </w:r>
      <w:r w:rsidR="0090735F" w:rsidRPr="00E859CA">
        <w:rPr>
          <w:lang w:val="en-GB"/>
        </w:rPr>
        <w:t>paid a 1 per cent</w:t>
      </w:r>
      <w:r w:rsidRPr="00E859CA">
        <w:rPr>
          <w:lang w:val="en-GB"/>
        </w:rPr>
        <w:t xml:space="preserve"> tax </w:t>
      </w:r>
      <w:r w:rsidR="0090735F" w:rsidRPr="00E859CA">
        <w:rPr>
          <w:lang w:val="en-GB"/>
        </w:rPr>
        <w:t xml:space="preserve">surcharge for </w:t>
      </w:r>
      <w:r w:rsidR="000C6F2D" w:rsidRPr="00E859CA">
        <w:rPr>
          <w:lang w:val="en-GB"/>
        </w:rPr>
        <w:t xml:space="preserve">the </w:t>
      </w:r>
      <w:r w:rsidR="0090735F" w:rsidRPr="00E859CA">
        <w:rPr>
          <w:lang w:val="en-GB"/>
        </w:rPr>
        <w:t>income amount</w:t>
      </w:r>
      <w:r w:rsidR="000C6F2D" w:rsidRPr="00E859CA">
        <w:rPr>
          <w:lang w:val="en-GB"/>
        </w:rPr>
        <w:t xml:space="preserve"> above</w:t>
      </w:r>
      <w:r w:rsidRPr="00E859CA">
        <w:rPr>
          <w:lang w:val="en-GB"/>
        </w:rPr>
        <w:t xml:space="preserve"> $1 million. The funds generated from this tax were used to transform, expand, and revolutionize the </w:t>
      </w:r>
      <w:r w:rsidR="000C6F2D" w:rsidRPr="00E859CA">
        <w:rPr>
          <w:lang w:val="en-GB"/>
        </w:rPr>
        <w:t>state’s public mental health</w:t>
      </w:r>
      <w:r w:rsidRPr="00E859CA">
        <w:rPr>
          <w:lang w:val="en-GB"/>
        </w:rPr>
        <w:t xml:space="preserve"> system</w:t>
      </w:r>
      <w:r w:rsidR="000C6F2D" w:rsidRPr="00E859CA">
        <w:rPr>
          <w:lang w:val="en-GB"/>
        </w:rPr>
        <w:t>,</w:t>
      </w:r>
      <w:r w:rsidRPr="00E859CA">
        <w:rPr>
          <w:lang w:val="en-GB"/>
        </w:rPr>
        <w:t xml:space="preserve"> with a focus on promoting recovery-oriented programs. When </w:t>
      </w:r>
      <w:r w:rsidR="000C6F2D" w:rsidRPr="00E859CA">
        <w:rPr>
          <w:lang w:val="en-GB"/>
        </w:rPr>
        <w:t xml:space="preserve">AWI was </w:t>
      </w:r>
      <w:r w:rsidRPr="00E859CA">
        <w:rPr>
          <w:lang w:val="en-GB"/>
        </w:rPr>
        <w:t xml:space="preserve">initially </w:t>
      </w:r>
      <w:r w:rsidR="000C6F2D" w:rsidRPr="00E859CA">
        <w:rPr>
          <w:lang w:val="en-GB"/>
        </w:rPr>
        <w:t>recognized</w:t>
      </w:r>
      <w:r w:rsidRPr="00E859CA">
        <w:rPr>
          <w:lang w:val="en-GB"/>
        </w:rPr>
        <w:t xml:space="preserve"> as a program under the MHSA, </w:t>
      </w:r>
      <w:r w:rsidR="000C6F2D" w:rsidRPr="00E859CA">
        <w:rPr>
          <w:lang w:val="en-GB"/>
        </w:rPr>
        <w:t>the organization</w:t>
      </w:r>
      <w:r w:rsidRPr="00E859CA">
        <w:rPr>
          <w:lang w:val="en-GB"/>
        </w:rPr>
        <w:t xml:space="preserve"> received $50,000 </w:t>
      </w:r>
      <w:r w:rsidR="000C6F2D" w:rsidRPr="00E859CA">
        <w:rPr>
          <w:lang w:val="en-GB"/>
        </w:rPr>
        <w:t>per</w:t>
      </w:r>
      <w:r w:rsidRPr="00E859CA">
        <w:rPr>
          <w:lang w:val="en-GB"/>
        </w:rPr>
        <w:t xml:space="preserve"> year, </w:t>
      </w:r>
      <w:r w:rsidR="000C6F2D" w:rsidRPr="00E859CA">
        <w:rPr>
          <w:lang w:val="en-GB"/>
        </w:rPr>
        <w:t>which was raised to</w:t>
      </w:r>
      <w:r w:rsidRPr="00E859CA">
        <w:rPr>
          <w:lang w:val="en-GB"/>
        </w:rPr>
        <w:t xml:space="preserve"> $80,000 for </w:t>
      </w:r>
      <w:r w:rsidR="000C6F2D" w:rsidRPr="00E859CA">
        <w:rPr>
          <w:lang w:val="en-GB"/>
        </w:rPr>
        <w:t>the most recent</w:t>
      </w:r>
      <w:r w:rsidRPr="00E859CA">
        <w:rPr>
          <w:lang w:val="en-GB"/>
        </w:rPr>
        <w:t xml:space="preserve"> year. </w:t>
      </w:r>
    </w:p>
    <w:p w14:paraId="43BE9F1D" w14:textId="77777777" w:rsidR="009624CA" w:rsidRPr="00096410" w:rsidRDefault="009624CA" w:rsidP="009624CA">
      <w:pPr>
        <w:pStyle w:val="BodyTextMain"/>
        <w:rPr>
          <w:sz w:val="20"/>
          <w:lang w:val="en-GB"/>
        </w:rPr>
      </w:pPr>
    </w:p>
    <w:p w14:paraId="02EAE4F8" w14:textId="57E32B8A" w:rsidR="009624CA" w:rsidRPr="00E859CA" w:rsidRDefault="000C6F2D" w:rsidP="009624CA">
      <w:pPr>
        <w:pStyle w:val="BodyTextMain"/>
        <w:rPr>
          <w:lang w:val="en-GB"/>
        </w:rPr>
      </w:pPr>
      <w:r w:rsidRPr="00E859CA">
        <w:rPr>
          <w:lang w:val="en-GB"/>
        </w:rPr>
        <w:t>Because AWI was classified as both</w:t>
      </w:r>
      <w:r w:rsidR="009624CA" w:rsidRPr="00E859CA">
        <w:rPr>
          <w:lang w:val="en-GB"/>
        </w:rPr>
        <w:t xml:space="preserve"> an arts organization</w:t>
      </w:r>
      <w:r w:rsidRPr="00E859CA">
        <w:rPr>
          <w:lang w:val="en-GB"/>
        </w:rPr>
        <w:t xml:space="preserve"> and</w:t>
      </w:r>
      <w:r w:rsidR="009624CA" w:rsidRPr="00E859CA">
        <w:rPr>
          <w:lang w:val="en-GB"/>
        </w:rPr>
        <w:t xml:space="preserve"> a mental health organization, </w:t>
      </w:r>
      <w:r w:rsidRPr="00E859CA">
        <w:rPr>
          <w:lang w:val="en-GB"/>
        </w:rPr>
        <w:t>it</w:t>
      </w:r>
      <w:r w:rsidR="009624CA" w:rsidRPr="00E859CA">
        <w:rPr>
          <w:lang w:val="en-GB"/>
        </w:rPr>
        <w:t xml:space="preserve"> was </w:t>
      </w:r>
      <w:r w:rsidR="00902CFB" w:rsidRPr="00E859CA">
        <w:rPr>
          <w:lang w:val="en-GB"/>
        </w:rPr>
        <w:t xml:space="preserve">also </w:t>
      </w:r>
      <w:r w:rsidR="009624CA" w:rsidRPr="00E859CA">
        <w:rPr>
          <w:lang w:val="en-GB"/>
        </w:rPr>
        <w:t xml:space="preserve">able to secure a </w:t>
      </w:r>
      <w:r w:rsidRPr="00E859CA">
        <w:rPr>
          <w:lang w:val="en-GB"/>
        </w:rPr>
        <w:t xml:space="preserve">$25,000 </w:t>
      </w:r>
      <w:r w:rsidR="009624CA" w:rsidRPr="00E859CA">
        <w:rPr>
          <w:lang w:val="en-GB"/>
        </w:rPr>
        <w:t>federal grant from the National Endowment for the Arts</w:t>
      </w:r>
      <w:r w:rsidR="006B1226" w:rsidRPr="00E859CA">
        <w:rPr>
          <w:lang w:val="en-GB"/>
        </w:rPr>
        <w:t>. In order to receive t</w:t>
      </w:r>
      <w:r w:rsidR="009624CA" w:rsidRPr="00E859CA">
        <w:rPr>
          <w:lang w:val="en-GB"/>
        </w:rPr>
        <w:t>his competitive, peer-reviewed grant</w:t>
      </w:r>
      <w:r w:rsidR="006B1226" w:rsidRPr="00E859CA">
        <w:rPr>
          <w:lang w:val="en-GB"/>
        </w:rPr>
        <w:t>,</w:t>
      </w:r>
      <w:r w:rsidR="009624CA" w:rsidRPr="00E859CA">
        <w:rPr>
          <w:lang w:val="en-GB"/>
        </w:rPr>
        <w:t xml:space="preserve"> AWI was required to </w:t>
      </w:r>
      <w:r w:rsidR="006B1226" w:rsidRPr="00E859CA">
        <w:rPr>
          <w:lang w:val="en-GB"/>
        </w:rPr>
        <w:t>re</w:t>
      </w:r>
      <w:r w:rsidR="009624CA" w:rsidRPr="00E859CA">
        <w:rPr>
          <w:lang w:val="en-GB"/>
        </w:rPr>
        <w:t>apply each year</w:t>
      </w:r>
      <w:r w:rsidR="00902CFB" w:rsidRPr="00E859CA">
        <w:rPr>
          <w:lang w:val="en-GB"/>
        </w:rPr>
        <w:t>,</w:t>
      </w:r>
      <w:r w:rsidR="006B1226" w:rsidRPr="00E859CA">
        <w:rPr>
          <w:lang w:val="en-GB"/>
        </w:rPr>
        <w:t xml:space="preserve"> and</w:t>
      </w:r>
      <w:r w:rsidR="009624CA" w:rsidRPr="00E859CA">
        <w:rPr>
          <w:lang w:val="en-GB"/>
        </w:rPr>
        <w:t xml:space="preserve"> funding was not guaranteed</w:t>
      </w:r>
      <w:r w:rsidR="006B1226" w:rsidRPr="00E859CA">
        <w:rPr>
          <w:lang w:val="en-GB"/>
        </w:rPr>
        <w:t>. In fact</w:t>
      </w:r>
      <w:r w:rsidR="009624CA" w:rsidRPr="00E859CA">
        <w:rPr>
          <w:lang w:val="en-GB"/>
        </w:rPr>
        <w:t xml:space="preserve">, </w:t>
      </w:r>
      <w:r w:rsidR="002D3750">
        <w:rPr>
          <w:lang w:val="en-GB"/>
        </w:rPr>
        <w:t>in</w:t>
      </w:r>
      <w:r w:rsidR="002D3750" w:rsidRPr="00E859CA">
        <w:rPr>
          <w:lang w:val="en-GB"/>
        </w:rPr>
        <w:t xml:space="preserve"> the most recent budget passed by the current U.S. government</w:t>
      </w:r>
      <w:r w:rsidR="002D3750">
        <w:rPr>
          <w:lang w:val="en-GB"/>
        </w:rPr>
        <w:t>,</w:t>
      </w:r>
      <w:r w:rsidR="002D3750" w:rsidRPr="00E859CA">
        <w:rPr>
          <w:lang w:val="en-GB"/>
        </w:rPr>
        <w:t xml:space="preserve"> </w:t>
      </w:r>
      <w:r w:rsidR="006B1226" w:rsidRPr="00E859CA">
        <w:rPr>
          <w:lang w:val="en-GB"/>
        </w:rPr>
        <w:t>t</w:t>
      </w:r>
      <w:r w:rsidR="009624CA" w:rsidRPr="00E859CA">
        <w:rPr>
          <w:lang w:val="en-GB"/>
        </w:rPr>
        <w:t xml:space="preserve">he National Endowment for the Arts </w:t>
      </w:r>
      <w:r w:rsidR="006B1226" w:rsidRPr="00E859CA">
        <w:rPr>
          <w:lang w:val="en-GB"/>
        </w:rPr>
        <w:t xml:space="preserve">was slated </w:t>
      </w:r>
      <w:r w:rsidR="009624CA" w:rsidRPr="00E859CA">
        <w:rPr>
          <w:lang w:val="en-GB"/>
        </w:rPr>
        <w:t xml:space="preserve">for termination after funds </w:t>
      </w:r>
      <w:r w:rsidR="006B1226" w:rsidRPr="00E859CA">
        <w:rPr>
          <w:lang w:val="en-GB"/>
        </w:rPr>
        <w:t>we</w:t>
      </w:r>
      <w:r w:rsidR="009624CA" w:rsidRPr="00E859CA">
        <w:rPr>
          <w:lang w:val="en-GB"/>
        </w:rPr>
        <w:t xml:space="preserve">re granted in 2018. </w:t>
      </w:r>
    </w:p>
    <w:p w14:paraId="085EB1DF" w14:textId="77777777" w:rsidR="009624CA" w:rsidRPr="00096410" w:rsidRDefault="009624CA" w:rsidP="009624CA">
      <w:pPr>
        <w:pStyle w:val="BodyTextMain"/>
        <w:rPr>
          <w:sz w:val="20"/>
          <w:lang w:val="en-GB"/>
        </w:rPr>
      </w:pPr>
    </w:p>
    <w:p w14:paraId="33DA7F32" w14:textId="410A3E93" w:rsidR="009624CA" w:rsidRPr="00E859CA" w:rsidRDefault="009624CA" w:rsidP="009624CA">
      <w:pPr>
        <w:pStyle w:val="BodyTextMain"/>
        <w:rPr>
          <w:lang w:val="en-GB"/>
        </w:rPr>
      </w:pPr>
      <w:r w:rsidRPr="00E859CA">
        <w:rPr>
          <w:lang w:val="en-GB"/>
        </w:rPr>
        <w:t>In 2017, the Canadian operation had not been supported by any government grants</w:t>
      </w:r>
      <w:r w:rsidR="006B1226" w:rsidRPr="00E859CA">
        <w:rPr>
          <w:lang w:val="en-GB"/>
        </w:rPr>
        <w:t>. However,</w:t>
      </w:r>
      <w:r w:rsidRPr="00E859CA">
        <w:rPr>
          <w:lang w:val="en-GB"/>
        </w:rPr>
        <w:t xml:space="preserve"> the Alberta Culture and Tourism </w:t>
      </w:r>
      <w:r w:rsidR="006B1226" w:rsidRPr="00E859CA">
        <w:rPr>
          <w:lang w:val="en-GB"/>
        </w:rPr>
        <w:t>B</w:t>
      </w:r>
      <w:r w:rsidRPr="00E859CA">
        <w:rPr>
          <w:lang w:val="en-GB"/>
        </w:rPr>
        <w:t>ureau</w:t>
      </w:r>
      <w:r w:rsidR="006B1226" w:rsidRPr="00E859CA">
        <w:rPr>
          <w:lang w:val="en-GB"/>
        </w:rPr>
        <w:t>,</w:t>
      </w:r>
      <w:r w:rsidRPr="00E859CA">
        <w:rPr>
          <w:lang w:val="en-GB"/>
        </w:rPr>
        <w:t xml:space="preserve"> in partnership with the Alberta Students’ </w:t>
      </w:r>
      <w:r w:rsidR="002D3750" w:rsidRPr="00E859CA">
        <w:rPr>
          <w:lang w:val="en-GB"/>
        </w:rPr>
        <w:t xml:space="preserve">Executive </w:t>
      </w:r>
      <w:r w:rsidRPr="00E859CA">
        <w:rPr>
          <w:lang w:val="en-GB"/>
        </w:rPr>
        <w:t>Council</w:t>
      </w:r>
      <w:r w:rsidR="006B1226" w:rsidRPr="00E859CA">
        <w:rPr>
          <w:lang w:val="en-GB"/>
        </w:rPr>
        <w:t xml:space="preserve">, had provided some support in </w:t>
      </w:r>
      <w:r w:rsidR="00414FE6" w:rsidRPr="00E859CA">
        <w:rPr>
          <w:lang w:val="en-GB"/>
        </w:rPr>
        <w:t>FY</w:t>
      </w:r>
      <w:r w:rsidR="006B1226" w:rsidRPr="00E859CA">
        <w:rPr>
          <w:lang w:val="en-GB"/>
        </w:rPr>
        <w:t xml:space="preserve"> 2015</w:t>
      </w:r>
      <w:r w:rsidR="00414FE6" w:rsidRPr="00E859CA">
        <w:rPr>
          <w:lang w:val="en-GB"/>
        </w:rPr>
        <w:t>–</w:t>
      </w:r>
      <w:r w:rsidR="006B1226" w:rsidRPr="00E859CA">
        <w:rPr>
          <w:lang w:val="en-GB"/>
        </w:rPr>
        <w:t>16</w:t>
      </w:r>
      <w:r w:rsidRPr="00E859CA">
        <w:rPr>
          <w:lang w:val="en-GB"/>
        </w:rPr>
        <w:t xml:space="preserve">. Therefore, </w:t>
      </w:r>
      <w:r w:rsidR="006B1226" w:rsidRPr="00E859CA">
        <w:rPr>
          <w:lang w:val="en-GB"/>
        </w:rPr>
        <w:t xml:space="preserve">although some </w:t>
      </w:r>
      <w:r w:rsidRPr="00E859CA">
        <w:rPr>
          <w:lang w:val="en-GB"/>
        </w:rPr>
        <w:t>government funding exist</w:t>
      </w:r>
      <w:r w:rsidR="006B1226" w:rsidRPr="00E859CA">
        <w:rPr>
          <w:lang w:val="en-GB"/>
        </w:rPr>
        <w:t>ed</w:t>
      </w:r>
      <w:r w:rsidRPr="00E859CA">
        <w:rPr>
          <w:lang w:val="en-GB"/>
        </w:rPr>
        <w:t xml:space="preserve"> in Canada, </w:t>
      </w:r>
      <w:r w:rsidR="006B1226" w:rsidRPr="00E859CA">
        <w:rPr>
          <w:lang w:val="en-GB"/>
        </w:rPr>
        <w:t>it was</w:t>
      </w:r>
      <w:r w:rsidRPr="00E859CA">
        <w:rPr>
          <w:lang w:val="en-GB"/>
        </w:rPr>
        <w:t xml:space="preserve"> subject to application and </w:t>
      </w:r>
      <w:r w:rsidR="006B1226" w:rsidRPr="00E859CA">
        <w:rPr>
          <w:lang w:val="en-GB"/>
        </w:rPr>
        <w:t xml:space="preserve">was </w:t>
      </w:r>
      <w:r w:rsidRPr="00E859CA">
        <w:rPr>
          <w:lang w:val="en-GB"/>
        </w:rPr>
        <w:t>not a permanent source.</w:t>
      </w:r>
      <w:r w:rsidR="002D3750">
        <w:rPr>
          <w:lang w:val="en-GB"/>
        </w:rPr>
        <w:t xml:space="preserve"> </w:t>
      </w:r>
    </w:p>
    <w:p w14:paraId="604E8110" w14:textId="77777777" w:rsidR="009624CA" w:rsidRPr="00096410" w:rsidRDefault="009624CA" w:rsidP="009624CA">
      <w:pPr>
        <w:pStyle w:val="BodyTextMain"/>
        <w:rPr>
          <w:sz w:val="20"/>
          <w:lang w:val="en-GB"/>
        </w:rPr>
      </w:pPr>
    </w:p>
    <w:p w14:paraId="3EBA2096" w14:textId="410F6764" w:rsidR="009624CA" w:rsidRPr="001A5EE0" w:rsidRDefault="009624CA" w:rsidP="009624CA">
      <w:pPr>
        <w:pStyle w:val="BodyTextMain"/>
        <w:rPr>
          <w:spacing w:val="-4"/>
          <w:lang w:val="en-GB"/>
        </w:rPr>
      </w:pPr>
      <w:r w:rsidRPr="001A5EE0">
        <w:rPr>
          <w:spacing w:val="-4"/>
          <w:lang w:val="en-GB"/>
        </w:rPr>
        <w:t xml:space="preserve">Outside of these government sources, </w:t>
      </w:r>
      <w:r w:rsidR="00414FE6" w:rsidRPr="001A5EE0">
        <w:rPr>
          <w:spacing w:val="-4"/>
          <w:lang w:val="en-GB"/>
        </w:rPr>
        <w:t>McQueen’s</w:t>
      </w:r>
      <w:r w:rsidRPr="001A5EE0">
        <w:rPr>
          <w:spacing w:val="-4"/>
          <w:lang w:val="en-GB"/>
        </w:rPr>
        <w:t xml:space="preserve"> efforts</w:t>
      </w:r>
      <w:r w:rsidR="00414FE6" w:rsidRPr="001A5EE0">
        <w:rPr>
          <w:spacing w:val="-4"/>
          <w:lang w:val="en-GB"/>
        </w:rPr>
        <w:t xml:space="preserve"> were successful in securing donations for AWI from several</w:t>
      </w:r>
      <w:r w:rsidRPr="001A5EE0">
        <w:rPr>
          <w:spacing w:val="-4"/>
          <w:lang w:val="en-GB"/>
        </w:rPr>
        <w:t xml:space="preserve"> private foundation</w:t>
      </w:r>
      <w:r w:rsidR="00414FE6" w:rsidRPr="001A5EE0">
        <w:rPr>
          <w:spacing w:val="-4"/>
          <w:lang w:val="en-GB"/>
        </w:rPr>
        <w:t>s</w:t>
      </w:r>
      <w:r w:rsidRPr="001A5EE0">
        <w:rPr>
          <w:spacing w:val="-4"/>
          <w:lang w:val="en-GB"/>
        </w:rPr>
        <w:t xml:space="preserve"> and corporat</w:t>
      </w:r>
      <w:r w:rsidR="00414FE6" w:rsidRPr="001A5EE0">
        <w:rPr>
          <w:spacing w:val="-4"/>
          <w:lang w:val="en-GB"/>
        </w:rPr>
        <w:t>ions</w:t>
      </w:r>
      <w:r w:rsidRPr="001A5EE0">
        <w:rPr>
          <w:spacing w:val="-4"/>
          <w:lang w:val="en-GB"/>
        </w:rPr>
        <w:t xml:space="preserve">. In </w:t>
      </w:r>
      <w:r w:rsidR="00414FE6" w:rsidRPr="001A5EE0">
        <w:rPr>
          <w:spacing w:val="-4"/>
          <w:lang w:val="en-GB"/>
        </w:rPr>
        <w:t>FY</w:t>
      </w:r>
      <w:r w:rsidRPr="001A5EE0">
        <w:rPr>
          <w:spacing w:val="-4"/>
          <w:lang w:val="en-GB"/>
        </w:rPr>
        <w:t xml:space="preserve"> 2016</w:t>
      </w:r>
      <w:r w:rsidR="00414FE6" w:rsidRPr="001A5EE0">
        <w:rPr>
          <w:spacing w:val="-4"/>
          <w:lang w:val="en-GB"/>
        </w:rPr>
        <w:t>–</w:t>
      </w:r>
      <w:r w:rsidRPr="001A5EE0">
        <w:rPr>
          <w:spacing w:val="-4"/>
          <w:lang w:val="en-GB"/>
        </w:rPr>
        <w:t>17, the amount from these donors totalled $50,290 and $6,000 for the U.S. and Canadian operations</w:t>
      </w:r>
      <w:r w:rsidR="00414FE6" w:rsidRPr="001A5EE0">
        <w:rPr>
          <w:spacing w:val="-4"/>
          <w:lang w:val="en-GB"/>
        </w:rPr>
        <w:t>,</w:t>
      </w:r>
      <w:r w:rsidRPr="001A5EE0">
        <w:rPr>
          <w:spacing w:val="-4"/>
          <w:lang w:val="en-GB"/>
        </w:rPr>
        <w:t xml:space="preserve"> respectively. </w:t>
      </w:r>
      <w:r w:rsidR="00414FE6" w:rsidRPr="001A5EE0">
        <w:rPr>
          <w:spacing w:val="-4"/>
          <w:lang w:val="en-GB"/>
        </w:rPr>
        <w:t>Although</w:t>
      </w:r>
      <w:r w:rsidRPr="001A5EE0">
        <w:rPr>
          <w:spacing w:val="-4"/>
          <w:lang w:val="en-GB"/>
        </w:rPr>
        <w:t xml:space="preserve"> corporate funding</w:t>
      </w:r>
      <w:r w:rsidR="00414FE6" w:rsidRPr="001A5EE0">
        <w:rPr>
          <w:spacing w:val="-4"/>
          <w:lang w:val="en-GB"/>
        </w:rPr>
        <w:t xml:space="preserve"> from</w:t>
      </w:r>
      <w:r w:rsidRPr="001A5EE0">
        <w:rPr>
          <w:spacing w:val="-4"/>
          <w:lang w:val="en-GB"/>
        </w:rPr>
        <w:t xml:space="preserve"> the pharmaceutical industry</w:t>
      </w:r>
      <w:r w:rsidR="00414FE6" w:rsidRPr="001A5EE0">
        <w:rPr>
          <w:spacing w:val="-4"/>
          <w:lang w:val="en-GB"/>
        </w:rPr>
        <w:t xml:space="preserve"> could be considered a relevant source of donations for mental health education</w:t>
      </w:r>
      <w:r w:rsidRPr="001A5EE0">
        <w:rPr>
          <w:spacing w:val="-4"/>
          <w:lang w:val="en-GB"/>
        </w:rPr>
        <w:t xml:space="preserve">, AWI </w:t>
      </w:r>
      <w:r w:rsidR="00414FE6" w:rsidRPr="001A5EE0">
        <w:rPr>
          <w:spacing w:val="-4"/>
          <w:lang w:val="en-GB"/>
        </w:rPr>
        <w:t>chose to exclude this option to avoid</w:t>
      </w:r>
      <w:r w:rsidRPr="001A5EE0">
        <w:rPr>
          <w:spacing w:val="-4"/>
          <w:lang w:val="en-GB"/>
        </w:rPr>
        <w:t xml:space="preserve"> any conflict of interest in </w:t>
      </w:r>
      <w:r w:rsidR="00414FE6" w:rsidRPr="001A5EE0">
        <w:rPr>
          <w:spacing w:val="-4"/>
          <w:lang w:val="en-GB"/>
        </w:rPr>
        <w:t>i</w:t>
      </w:r>
      <w:r w:rsidRPr="001A5EE0">
        <w:rPr>
          <w:spacing w:val="-4"/>
          <w:lang w:val="en-GB"/>
        </w:rPr>
        <w:t>t</w:t>
      </w:r>
      <w:r w:rsidR="00414FE6" w:rsidRPr="001A5EE0">
        <w:rPr>
          <w:spacing w:val="-4"/>
          <w:lang w:val="en-GB"/>
        </w:rPr>
        <w:t>s</w:t>
      </w:r>
      <w:r w:rsidRPr="001A5EE0">
        <w:rPr>
          <w:spacing w:val="-4"/>
          <w:lang w:val="en-GB"/>
        </w:rPr>
        <w:t xml:space="preserve"> programming</w:t>
      </w:r>
      <w:r w:rsidR="00414FE6" w:rsidRPr="001A5EE0">
        <w:rPr>
          <w:spacing w:val="-4"/>
          <w:lang w:val="en-GB"/>
        </w:rPr>
        <w:t>.</w:t>
      </w:r>
      <w:r w:rsidRPr="001A5EE0">
        <w:rPr>
          <w:spacing w:val="-4"/>
          <w:lang w:val="en-GB"/>
        </w:rPr>
        <w:t xml:space="preserve"> </w:t>
      </w:r>
      <w:r w:rsidR="00414FE6" w:rsidRPr="001A5EE0">
        <w:rPr>
          <w:spacing w:val="-4"/>
          <w:lang w:val="en-GB"/>
        </w:rPr>
        <w:t>AWI did not want to be seen as promoting</w:t>
      </w:r>
      <w:r w:rsidRPr="001A5EE0">
        <w:rPr>
          <w:spacing w:val="-4"/>
          <w:lang w:val="en-GB"/>
        </w:rPr>
        <w:t xml:space="preserve"> medication as a </w:t>
      </w:r>
      <w:r w:rsidR="00414FE6" w:rsidRPr="001A5EE0">
        <w:rPr>
          <w:spacing w:val="-4"/>
          <w:lang w:val="en-GB"/>
        </w:rPr>
        <w:t>route to</w:t>
      </w:r>
      <w:r w:rsidRPr="001A5EE0">
        <w:rPr>
          <w:spacing w:val="-4"/>
          <w:lang w:val="en-GB"/>
        </w:rPr>
        <w:t xml:space="preserve"> wellness </w:t>
      </w:r>
      <w:r w:rsidR="00414FE6" w:rsidRPr="001A5EE0">
        <w:rPr>
          <w:spacing w:val="-4"/>
          <w:lang w:val="en-GB"/>
        </w:rPr>
        <w:t>over</w:t>
      </w:r>
      <w:r w:rsidRPr="001A5EE0">
        <w:rPr>
          <w:spacing w:val="-4"/>
          <w:lang w:val="en-GB"/>
        </w:rPr>
        <w:t xml:space="preserve"> other forms of treatment. AWI’s philosophy clear</w:t>
      </w:r>
      <w:r w:rsidR="00CF78C0" w:rsidRPr="001A5EE0">
        <w:rPr>
          <w:spacing w:val="-4"/>
          <w:lang w:val="en-GB"/>
        </w:rPr>
        <w:t>ly conveyed the message that</w:t>
      </w:r>
      <w:r w:rsidRPr="001A5EE0">
        <w:rPr>
          <w:spacing w:val="-4"/>
          <w:lang w:val="en-GB"/>
        </w:rPr>
        <w:t xml:space="preserve"> each person </w:t>
      </w:r>
      <w:r w:rsidR="00CF78C0" w:rsidRPr="001A5EE0">
        <w:rPr>
          <w:spacing w:val="-4"/>
          <w:lang w:val="en-GB"/>
        </w:rPr>
        <w:t>needed to determine</w:t>
      </w:r>
      <w:r w:rsidR="00902CFB" w:rsidRPr="001A5EE0">
        <w:rPr>
          <w:spacing w:val="-4"/>
          <w:lang w:val="en-GB"/>
        </w:rPr>
        <w:t xml:space="preserve"> his or </w:t>
      </w:r>
      <w:r w:rsidRPr="001A5EE0">
        <w:rPr>
          <w:spacing w:val="-4"/>
          <w:lang w:val="en-GB"/>
        </w:rPr>
        <w:t xml:space="preserve">her own path to wellness. </w:t>
      </w:r>
      <w:r w:rsidR="00CF78C0" w:rsidRPr="001A5EE0">
        <w:rPr>
          <w:spacing w:val="-4"/>
          <w:lang w:val="en-GB"/>
        </w:rPr>
        <w:t>However</w:t>
      </w:r>
      <w:r w:rsidRPr="001A5EE0">
        <w:rPr>
          <w:spacing w:val="-4"/>
          <w:lang w:val="en-GB"/>
        </w:rPr>
        <w:t xml:space="preserve">, </w:t>
      </w:r>
      <w:r w:rsidR="00CF78C0" w:rsidRPr="001A5EE0">
        <w:rPr>
          <w:spacing w:val="-4"/>
          <w:lang w:val="en-GB"/>
        </w:rPr>
        <w:t>this meant that</w:t>
      </w:r>
      <w:r w:rsidRPr="001A5EE0">
        <w:rPr>
          <w:spacing w:val="-4"/>
          <w:lang w:val="en-GB"/>
        </w:rPr>
        <w:t xml:space="preserve"> AWI </w:t>
      </w:r>
      <w:r w:rsidR="00CF78C0" w:rsidRPr="001A5EE0">
        <w:rPr>
          <w:spacing w:val="-4"/>
          <w:lang w:val="en-GB"/>
        </w:rPr>
        <w:t xml:space="preserve">needed to find other sources of funding </w:t>
      </w:r>
      <w:r w:rsidRPr="001A5EE0">
        <w:rPr>
          <w:spacing w:val="-4"/>
          <w:lang w:val="en-GB"/>
        </w:rPr>
        <w:t xml:space="preserve">to </w:t>
      </w:r>
      <w:r w:rsidR="00CF78C0" w:rsidRPr="001A5EE0">
        <w:rPr>
          <w:spacing w:val="-4"/>
          <w:lang w:val="en-GB"/>
        </w:rPr>
        <w:t>make up for the lost opportunity from such a lucrative industry</w:t>
      </w:r>
      <w:r w:rsidRPr="001A5EE0">
        <w:rPr>
          <w:spacing w:val="-4"/>
          <w:lang w:val="en-GB"/>
        </w:rPr>
        <w:t>.</w:t>
      </w:r>
    </w:p>
    <w:p w14:paraId="0580ED84" w14:textId="77777777" w:rsidR="009624CA" w:rsidRPr="00096410" w:rsidRDefault="009624CA" w:rsidP="009624CA">
      <w:pPr>
        <w:pStyle w:val="BodyTextMain"/>
        <w:rPr>
          <w:sz w:val="20"/>
          <w:lang w:val="en-GB"/>
        </w:rPr>
      </w:pPr>
    </w:p>
    <w:p w14:paraId="3E249E52" w14:textId="142F2157" w:rsidR="009624CA" w:rsidRPr="00096410" w:rsidRDefault="009624CA" w:rsidP="009624CA">
      <w:pPr>
        <w:pStyle w:val="BodyTextMain"/>
        <w:rPr>
          <w:spacing w:val="-2"/>
          <w:lang w:val="en-GB"/>
        </w:rPr>
      </w:pPr>
      <w:r w:rsidRPr="00096410">
        <w:rPr>
          <w:spacing w:val="-2"/>
          <w:lang w:val="en-GB"/>
        </w:rPr>
        <w:t>Each year</w:t>
      </w:r>
      <w:r w:rsidR="00DB7B6A" w:rsidRPr="00096410">
        <w:rPr>
          <w:spacing w:val="-2"/>
          <w:lang w:val="en-GB"/>
        </w:rPr>
        <w:t>,</w:t>
      </w:r>
      <w:r w:rsidRPr="00096410">
        <w:rPr>
          <w:spacing w:val="-2"/>
          <w:lang w:val="en-GB"/>
        </w:rPr>
        <w:t xml:space="preserve"> AWI ran a fundraising campaign</w:t>
      </w:r>
      <w:r w:rsidR="00DB7B6A" w:rsidRPr="00096410">
        <w:rPr>
          <w:spacing w:val="-2"/>
          <w:lang w:val="en-GB"/>
        </w:rPr>
        <w:t xml:space="preserve"> seeking</w:t>
      </w:r>
      <w:r w:rsidRPr="00096410">
        <w:rPr>
          <w:spacing w:val="-2"/>
          <w:lang w:val="en-GB"/>
        </w:rPr>
        <w:t xml:space="preserve"> private donations </w:t>
      </w:r>
      <w:r w:rsidR="002D3750">
        <w:rPr>
          <w:spacing w:val="-2"/>
          <w:lang w:val="en-GB"/>
        </w:rPr>
        <w:t>from</w:t>
      </w:r>
      <w:r w:rsidR="002D3750" w:rsidRPr="00096410">
        <w:rPr>
          <w:spacing w:val="-2"/>
          <w:lang w:val="en-GB"/>
        </w:rPr>
        <w:t xml:space="preserve"> </w:t>
      </w:r>
      <w:r w:rsidRPr="00096410">
        <w:rPr>
          <w:spacing w:val="-2"/>
          <w:lang w:val="en-GB"/>
        </w:rPr>
        <w:t xml:space="preserve">everyday individuals looking to support their cause. </w:t>
      </w:r>
      <w:r w:rsidR="004E0B5A" w:rsidRPr="00096410">
        <w:rPr>
          <w:spacing w:val="-2"/>
          <w:lang w:val="en-GB"/>
        </w:rPr>
        <w:t>Although</w:t>
      </w:r>
      <w:r w:rsidRPr="00096410">
        <w:rPr>
          <w:spacing w:val="-2"/>
          <w:lang w:val="en-GB"/>
        </w:rPr>
        <w:t xml:space="preserve"> AWI </w:t>
      </w:r>
      <w:r w:rsidR="004E0B5A" w:rsidRPr="00096410">
        <w:rPr>
          <w:spacing w:val="-2"/>
          <w:lang w:val="en-GB"/>
        </w:rPr>
        <w:t>accepted</w:t>
      </w:r>
      <w:r w:rsidRPr="00096410">
        <w:rPr>
          <w:spacing w:val="-2"/>
          <w:lang w:val="en-GB"/>
        </w:rPr>
        <w:t xml:space="preserve"> donat</w:t>
      </w:r>
      <w:r w:rsidR="004E0B5A" w:rsidRPr="00096410">
        <w:rPr>
          <w:spacing w:val="-2"/>
          <w:lang w:val="en-GB"/>
        </w:rPr>
        <w:t>ions</w:t>
      </w:r>
      <w:r w:rsidRPr="00096410">
        <w:rPr>
          <w:spacing w:val="-2"/>
          <w:lang w:val="en-GB"/>
        </w:rPr>
        <w:t xml:space="preserve"> year-round, each June (in Canada) and July (in the U</w:t>
      </w:r>
      <w:r w:rsidR="004E0B5A" w:rsidRPr="00096410">
        <w:rPr>
          <w:spacing w:val="-2"/>
          <w:lang w:val="en-GB"/>
        </w:rPr>
        <w:t xml:space="preserve">nited </w:t>
      </w:r>
      <w:r w:rsidRPr="00096410">
        <w:rPr>
          <w:spacing w:val="-2"/>
          <w:lang w:val="en-GB"/>
        </w:rPr>
        <w:t>S</w:t>
      </w:r>
      <w:r w:rsidR="004E0B5A" w:rsidRPr="00096410">
        <w:rPr>
          <w:spacing w:val="-2"/>
          <w:lang w:val="en-GB"/>
        </w:rPr>
        <w:t>tates</w:t>
      </w:r>
      <w:r w:rsidRPr="00096410">
        <w:rPr>
          <w:spacing w:val="-2"/>
          <w:lang w:val="en-GB"/>
        </w:rPr>
        <w:t>) the</w:t>
      </w:r>
      <w:r w:rsidR="004E0B5A" w:rsidRPr="00096410">
        <w:rPr>
          <w:spacing w:val="-2"/>
          <w:lang w:val="en-GB"/>
        </w:rPr>
        <w:t xml:space="preserve"> organization made a special effort</w:t>
      </w:r>
      <w:r w:rsidRPr="00096410">
        <w:rPr>
          <w:spacing w:val="-2"/>
          <w:lang w:val="en-GB"/>
        </w:rPr>
        <w:t xml:space="preserve"> to encourage donations. The</w:t>
      </w:r>
      <w:r w:rsidR="004E0B5A" w:rsidRPr="00096410">
        <w:rPr>
          <w:spacing w:val="-2"/>
          <w:lang w:val="en-GB"/>
        </w:rPr>
        <w:t xml:space="preserve"> organization’s</w:t>
      </w:r>
      <w:r w:rsidRPr="00096410">
        <w:rPr>
          <w:spacing w:val="-2"/>
          <w:lang w:val="en-GB"/>
        </w:rPr>
        <w:t xml:space="preserve"> strategy had </w:t>
      </w:r>
      <w:r w:rsidR="004E0B5A" w:rsidRPr="00096410">
        <w:rPr>
          <w:spacing w:val="-2"/>
          <w:lang w:val="en-GB"/>
        </w:rPr>
        <w:t xml:space="preserve">always </w:t>
      </w:r>
      <w:r w:rsidRPr="00096410">
        <w:rPr>
          <w:spacing w:val="-2"/>
          <w:lang w:val="en-GB"/>
        </w:rPr>
        <w:t xml:space="preserve">been to post </w:t>
      </w:r>
      <w:r w:rsidR="004E0B5A" w:rsidRPr="00096410">
        <w:rPr>
          <w:spacing w:val="-2"/>
          <w:lang w:val="en-GB"/>
        </w:rPr>
        <w:t xml:space="preserve">calls for donations </w:t>
      </w:r>
      <w:r w:rsidRPr="00096410">
        <w:rPr>
          <w:spacing w:val="-2"/>
          <w:lang w:val="en-GB"/>
        </w:rPr>
        <w:t>on various social media channels</w:t>
      </w:r>
      <w:r w:rsidR="004E0B5A" w:rsidRPr="00096410">
        <w:rPr>
          <w:spacing w:val="-2"/>
          <w:lang w:val="en-GB"/>
        </w:rPr>
        <w:t>,</w:t>
      </w:r>
      <w:r w:rsidRPr="00096410">
        <w:rPr>
          <w:spacing w:val="-2"/>
          <w:lang w:val="en-GB"/>
        </w:rPr>
        <w:t xml:space="preserve"> as well as </w:t>
      </w:r>
      <w:r w:rsidR="002D3750">
        <w:rPr>
          <w:spacing w:val="-2"/>
          <w:lang w:val="en-GB"/>
        </w:rPr>
        <w:t xml:space="preserve">to </w:t>
      </w:r>
      <w:r w:rsidR="002D3750" w:rsidRPr="00096410">
        <w:rPr>
          <w:spacing w:val="-2"/>
          <w:lang w:val="en-GB"/>
        </w:rPr>
        <w:t>mak</w:t>
      </w:r>
      <w:r w:rsidR="002D3750">
        <w:rPr>
          <w:spacing w:val="-2"/>
          <w:lang w:val="en-GB"/>
        </w:rPr>
        <w:t>e</w:t>
      </w:r>
      <w:r w:rsidR="002D3750" w:rsidRPr="00096410">
        <w:rPr>
          <w:spacing w:val="-2"/>
          <w:lang w:val="en-GB"/>
        </w:rPr>
        <w:t xml:space="preserve"> </w:t>
      </w:r>
      <w:r w:rsidRPr="00096410">
        <w:rPr>
          <w:spacing w:val="-2"/>
          <w:lang w:val="en-GB"/>
        </w:rPr>
        <w:t>personal calls to p</w:t>
      </w:r>
      <w:r w:rsidR="004E0B5A" w:rsidRPr="00096410">
        <w:rPr>
          <w:spacing w:val="-2"/>
          <w:lang w:val="en-GB"/>
        </w:rPr>
        <w:t>revious</w:t>
      </w:r>
      <w:r w:rsidRPr="00096410">
        <w:rPr>
          <w:spacing w:val="-2"/>
          <w:lang w:val="en-GB"/>
        </w:rPr>
        <w:t xml:space="preserve"> donors. In Canada, the fundraising </w:t>
      </w:r>
      <w:r w:rsidR="004E0B5A" w:rsidRPr="00096410">
        <w:rPr>
          <w:spacing w:val="-2"/>
          <w:lang w:val="en-GB"/>
        </w:rPr>
        <w:t>drive was timed</w:t>
      </w:r>
      <w:r w:rsidRPr="00096410">
        <w:rPr>
          <w:spacing w:val="-2"/>
          <w:lang w:val="en-GB"/>
        </w:rPr>
        <w:t xml:space="preserve"> with the “Great Canadian Giving Challenge,” where every dollar raised in June qualified AWI to win an additional $10,000. However, the</w:t>
      </w:r>
      <w:r w:rsidR="004E0B5A" w:rsidRPr="00096410">
        <w:rPr>
          <w:spacing w:val="-2"/>
          <w:lang w:val="en-GB"/>
        </w:rPr>
        <w:t xml:space="preserve"> organization </w:t>
      </w:r>
      <w:r w:rsidR="002D3750" w:rsidRPr="00096410">
        <w:rPr>
          <w:spacing w:val="-2"/>
          <w:lang w:val="en-GB"/>
        </w:rPr>
        <w:t>ha</w:t>
      </w:r>
      <w:r w:rsidR="002D3750">
        <w:rPr>
          <w:spacing w:val="-2"/>
          <w:lang w:val="en-GB"/>
        </w:rPr>
        <w:t>d</w:t>
      </w:r>
      <w:r w:rsidR="002D3750" w:rsidRPr="00096410">
        <w:rPr>
          <w:spacing w:val="-2"/>
          <w:lang w:val="en-GB"/>
        </w:rPr>
        <w:t xml:space="preserve"> </w:t>
      </w:r>
      <w:r w:rsidRPr="00096410">
        <w:rPr>
          <w:spacing w:val="-2"/>
          <w:lang w:val="en-GB"/>
        </w:rPr>
        <w:t xml:space="preserve">yet to win this </w:t>
      </w:r>
      <w:r w:rsidR="004E0B5A" w:rsidRPr="00096410">
        <w:rPr>
          <w:spacing w:val="-2"/>
          <w:lang w:val="en-GB"/>
        </w:rPr>
        <w:t>bonus</w:t>
      </w:r>
      <w:r w:rsidRPr="00096410">
        <w:rPr>
          <w:spacing w:val="-2"/>
          <w:lang w:val="en-GB"/>
        </w:rPr>
        <w:t xml:space="preserve"> prize. </w:t>
      </w:r>
      <w:r w:rsidR="00013A86" w:rsidRPr="00096410">
        <w:rPr>
          <w:spacing w:val="-2"/>
          <w:lang w:val="en-GB"/>
        </w:rPr>
        <w:t>Additionally, as a registered charity in Canada</w:t>
      </w:r>
      <w:r w:rsidR="004E0B5A" w:rsidRPr="00096410">
        <w:rPr>
          <w:spacing w:val="-2"/>
          <w:lang w:val="en-GB"/>
        </w:rPr>
        <w:t>,</w:t>
      </w:r>
      <w:r w:rsidR="00013A86" w:rsidRPr="00096410">
        <w:rPr>
          <w:spacing w:val="-2"/>
          <w:lang w:val="en-GB"/>
        </w:rPr>
        <w:t xml:space="preserve"> </w:t>
      </w:r>
      <w:r w:rsidR="004E0B5A" w:rsidRPr="00096410">
        <w:rPr>
          <w:spacing w:val="-2"/>
          <w:lang w:val="en-GB"/>
        </w:rPr>
        <w:t>AWI</w:t>
      </w:r>
      <w:r w:rsidR="00013A86" w:rsidRPr="00096410">
        <w:rPr>
          <w:spacing w:val="-2"/>
          <w:lang w:val="en-GB"/>
        </w:rPr>
        <w:t xml:space="preserve"> provided receipts to donors so that any contributions c</w:t>
      </w:r>
      <w:r w:rsidR="004E0B5A" w:rsidRPr="00096410">
        <w:rPr>
          <w:spacing w:val="-2"/>
          <w:lang w:val="en-GB"/>
        </w:rPr>
        <w:t>ould</w:t>
      </w:r>
      <w:r w:rsidR="00013A86" w:rsidRPr="00096410">
        <w:rPr>
          <w:spacing w:val="-2"/>
          <w:lang w:val="en-GB"/>
        </w:rPr>
        <w:t xml:space="preserve"> be claimed on their personal income tax</w:t>
      </w:r>
      <w:r w:rsidR="004E0B5A" w:rsidRPr="00096410">
        <w:rPr>
          <w:spacing w:val="-2"/>
          <w:lang w:val="en-GB"/>
        </w:rPr>
        <w:t xml:space="preserve"> return</w:t>
      </w:r>
      <w:r w:rsidR="00013A86" w:rsidRPr="00096410">
        <w:rPr>
          <w:spacing w:val="-2"/>
          <w:lang w:val="en-GB"/>
        </w:rPr>
        <w:t xml:space="preserve">s. </w:t>
      </w:r>
      <w:r w:rsidR="004E0B5A" w:rsidRPr="00096410">
        <w:rPr>
          <w:spacing w:val="-2"/>
          <w:lang w:val="en-GB"/>
        </w:rPr>
        <w:t>Over</w:t>
      </w:r>
      <w:r w:rsidRPr="00096410">
        <w:rPr>
          <w:spacing w:val="-2"/>
          <w:lang w:val="en-GB"/>
        </w:rPr>
        <w:t>all, a</w:t>
      </w:r>
      <w:r w:rsidR="004E0B5A" w:rsidRPr="00096410">
        <w:rPr>
          <w:spacing w:val="-2"/>
          <w:lang w:val="en-GB"/>
        </w:rPr>
        <w:t xml:space="preserve"> total of</w:t>
      </w:r>
      <w:r w:rsidRPr="00096410">
        <w:rPr>
          <w:spacing w:val="-2"/>
          <w:lang w:val="en-GB"/>
        </w:rPr>
        <w:t xml:space="preserve"> 73 U.S. and 32 Canadian private individual donors</w:t>
      </w:r>
      <w:r w:rsidR="004E0B5A" w:rsidRPr="00096410">
        <w:rPr>
          <w:spacing w:val="-2"/>
          <w:lang w:val="en-GB"/>
        </w:rPr>
        <w:t xml:space="preserve"> helped the organization</w:t>
      </w:r>
      <w:r w:rsidRPr="00096410">
        <w:rPr>
          <w:spacing w:val="-2"/>
          <w:lang w:val="en-GB"/>
        </w:rPr>
        <w:t xml:space="preserve"> raise $90,719 and $6,445</w:t>
      </w:r>
      <w:r w:rsidR="004E0B5A" w:rsidRPr="00096410">
        <w:rPr>
          <w:spacing w:val="-2"/>
          <w:lang w:val="en-GB"/>
        </w:rPr>
        <w:t>,</w:t>
      </w:r>
      <w:r w:rsidRPr="00096410">
        <w:rPr>
          <w:spacing w:val="-2"/>
          <w:lang w:val="en-GB"/>
        </w:rPr>
        <w:t xml:space="preserve"> respectively.</w:t>
      </w:r>
      <w:r w:rsidRPr="00096410">
        <w:rPr>
          <w:rStyle w:val="FootnoteReference"/>
          <w:spacing w:val="-2"/>
          <w:lang w:val="en-GB"/>
        </w:rPr>
        <w:footnoteReference w:id="11"/>
      </w:r>
    </w:p>
    <w:p w14:paraId="1DDA8090" w14:textId="77777777" w:rsidR="009624CA" w:rsidRPr="00096410" w:rsidRDefault="009624CA" w:rsidP="009624CA">
      <w:pPr>
        <w:pStyle w:val="BodyTextMain"/>
        <w:rPr>
          <w:sz w:val="20"/>
          <w:lang w:val="en-GB"/>
        </w:rPr>
      </w:pPr>
    </w:p>
    <w:p w14:paraId="6282E6CF" w14:textId="4BC19BF2" w:rsidR="009624CA" w:rsidRPr="00096410" w:rsidRDefault="004E0B5A" w:rsidP="009624CA">
      <w:pPr>
        <w:pStyle w:val="BodyTextMain"/>
        <w:rPr>
          <w:spacing w:val="-2"/>
          <w:lang w:val="en-GB"/>
        </w:rPr>
      </w:pPr>
      <w:r w:rsidRPr="00096410">
        <w:rPr>
          <w:spacing w:val="-2"/>
          <w:lang w:val="en-GB"/>
        </w:rPr>
        <w:lastRenderedPageBreak/>
        <w:t>In addition to the above fundraising efforts</w:t>
      </w:r>
      <w:r w:rsidR="009624CA" w:rsidRPr="00096410">
        <w:rPr>
          <w:spacing w:val="-2"/>
          <w:lang w:val="en-GB"/>
        </w:rPr>
        <w:t xml:space="preserve">, the host institution </w:t>
      </w:r>
      <w:r w:rsidRPr="00096410">
        <w:rPr>
          <w:spacing w:val="-2"/>
          <w:lang w:val="en-GB"/>
        </w:rPr>
        <w:t xml:space="preserve">at each workshop </w:t>
      </w:r>
      <w:r w:rsidR="00BE290B" w:rsidRPr="00096410">
        <w:rPr>
          <w:spacing w:val="-2"/>
          <w:lang w:val="en-GB"/>
        </w:rPr>
        <w:t xml:space="preserve">that </w:t>
      </w:r>
      <w:r w:rsidRPr="00096410">
        <w:rPr>
          <w:spacing w:val="-2"/>
          <w:lang w:val="en-GB"/>
        </w:rPr>
        <w:t>AWI held</w:t>
      </w:r>
      <w:r w:rsidR="00FA63C8" w:rsidRPr="00096410">
        <w:rPr>
          <w:spacing w:val="-2"/>
          <w:lang w:val="en-GB"/>
        </w:rPr>
        <w:t xml:space="preserve"> was asked</w:t>
      </w:r>
      <w:r w:rsidRPr="00096410">
        <w:rPr>
          <w:spacing w:val="-2"/>
          <w:lang w:val="en-GB"/>
        </w:rPr>
        <w:t xml:space="preserve"> </w:t>
      </w:r>
      <w:r w:rsidR="009624CA" w:rsidRPr="00096410">
        <w:rPr>
          <w:spacing w:val="-2"/>
          <w:lang w:val="en-GB"/>
        </w:rPr>
        <w:t xml:space="preserve">to contribute </w:t>
      </w:r>
      <w:r w:rsidR="002D3750" w:rsidRPr="00096410">
        <w:rPr>
          <w:spacing w:val="-2"/>
          <w:lang w:val="en-GB"/>
        </w:rPr>
        <w:t>one</w:t>
      </w:r>
      <w:r w:rsidR="002D3750">
        <w:rPr>
          <w:spacing w:val="-2"/>
          <w:lang w:val="en-GB"/>
        </w:rPr>
        <w:t>-</w:t>
      </w:r>
      <w:r w:rsidR="009624CA" w:rsidRPr="00096410">
        <w:rPr>
          <w:spacing w:val="-2"/>
          <w:lang w:val="en-GB"/>
        </w:rPr>
        <w:t xml:space="preserve">third of the cost </w:t>
      </w:r>
      <w:r w:rsidR="002D3750">
        <w:rPr>
          <w:spacing w:val="-2"/>
          <w:lang w:val="en-GB"/>
        </w:rPr>
        <w:t>of</w:t>
      </w:r>
      <w:r w:rsidR="002D3750" w:rsidRPr="00096410">
        <w:rPr>
          <w:spacing w:val="-2"/>
          <w:lang w:val="en-GB"/>
        </w:rPr>
        <w:t xml:space="preserve"> </w:t>
      </w:r>
      <w:r w:rsidR="009624CA" w:rsidRPr="00096410">
        <w:rPr>
          <w:spacing w:val="-2"/>
          <w:lang w:val="en-GB"/>
        </w:rPr>
        <w:t>running the workshop. This helped cover costs for the facilitators</w:t>
      </w:r>
      <w:r w:rsidR="00FA63C8" w:rsidRPr="00096410">
        <w:rPr>
          <w:spacing w:val="-2"/>
          <w:lang w:val="en-GB"/>
        </w:rPr>
        <w:t>’</w:t>
      </w:r>
      <w:r w:rsidR="009624CA" w:rsidRPr="00096410">
        <w:rPr>
          <w:spacing w:val="-2"/>
          <w:lang w:val="en-GB"/>
        </w:rPr>
        <w:t xml:space="preserve"> time and travel as well as licensing agreements for the creators of the films that </w:t>
      </w:r>
      <w:r w:rsidR="00FA63C8" w:rsidRPr="00096410">
        <w:rPr>
          <w:spacing w:val="-2"/>
          <w:lang w:val="en-GB"/>
        </w:rPr>
        <w:t>we</w:t>
      </w:r>
      <w:r w:rsidR="009624CA" w:rsidRPr="00096410">
        <w:rPr>
          <w:spacing w:val="-2"/>
          <w:lang w:val="en-GB"/>
        </w:rPr>
        <w:t xml:space="preserve">re shown. Therefore, </w:t>
      </w:r>
      <w:r w:rsidR="00FA63C8" w:rsidRPr="00096410">
        <w:rPr>
          <w:spacing w:val="-2"/>
          <w:lang w:val="en-GB"/>
        </w:rPr>
        <w:t>although</w:t>
      </w:r>
      <w:r w:rsidR="009624CA" w:rsidRPr="00096410">
        <w:rPr>
          <w:spacing w:val="-2"/>
          <w:lang w:val="en-GB"/>
        </w:rPr>
        <w:t xml:space="preserve"> AWI was a non-profit organization, the</w:t>
      </w:r>
      <w:r w:rsidR="00FA63C8" w:rsidRPr="00096410">
        <w:rPr>
          <w:spacing w:val="-2"/>
          <w:lang w:val="en-GB"/>
        </w:rPr>
        <w:t xml:space="preserve"> organization</w:t>
      </w:r>
      <w:r w:rsidR="009624CA" w:rsidRPr="00096410">
        <w:rPr>
          <w:spacing w:val="-2"/>
          <w:lang w:val="en-GB"/>
        </w:rPr>
        <w:t xml:space="preserve"> sold workshops (at a loss) to each host institution. Over the p</w:t>
      </w:r>
      <w:r w:rsidR="00FA63C8" w:rsidRPr="00096410">
        <w:rPr>
          <w:spacing w:val="-2"/>
          <w:lang w:val="en-GB"/>
        </w:rPr>
        <w:t>revious</w:t>
      </w:r>
      <w:r w:rsidR="009624CA" w:rsidRPr="00096410">
        <w:rPr>
          <w:spacing w:val="-2"/>
          <w:lang w:val="en-GB"/>
        </w:rPr>
        <w:t xml:space="preserve"> year</w:t>
      </w:r>
      <w:r w:rsidR="00FA63C8" w:rsidRPr="00096410">
        <w:rPr>
          <w:spacing w:val="-2"/>
          <w:lang w:val="en-GB"/>
        </w:rPr>
        <w:t>,</w:t>
      </w:r>
      <w:r w:rsidR="009624CA" w:rsidRPr="00096410">
        <w:rPr>
          <w:spacing w:val="-2"/>
          <w:lang w:val="en-GB"/>
        </w:rPr>
        <w:t xml:space="preserve"> this earned income amounted to $40,959 in the U</w:t>
      </w:r>
      <w:r w:rsidR="00FA63C8" w:rsidRPr="00096410">
        <w:rPr>
          <w:spacing w:val="-2"/>
          <w:lang w:val="en-GB"/>
        </w:rPr>
        <w:t xml:space="preserve">nited </w:t>
      </w:r>
      <w:r w:rsidR="009624CA" w:rsidRPr="00096410">
        <w:rPr>
          <w:spacing w:val="-2"/>
          <w:lang w:val="en-GB"/>
        </w:rPr>
        <w:t>S</w:t>
      </w:r>
      <w:r w:rsidR="00FA63C8" w:rsidRPr="00096410">
        <w:rPr>
          <w:spacing w:val="-2"/>
          <w:lang w:val="en-GB"/>
        </w:rPr>
        <w:t>tates</w:t>
      </w:r>
      <w:r w:rsidR="009624CA" w:rsidRPr="00096410">
        <w:rPr>
          <w:spacing w:val="-2"/>
          <w:lang w:val="en-GB"/>
        </w:rPr>
        <w:t xml:space="preserve"> and $27,686 in Canada.</w:t>
      </w:r>
    </w:p>
    <w:p w14:paraId="52DD6C83" w14:textId="77777777" w:rsidR="009624CA" w:rsidRPr="00096410" w:rsidRDefault="009624CA" w:rsidP="009624CA">
      <w:pPr>
        <w:pStyle w:val="BodyTextMain"/>
        <w:rPr>
          <w:spacing w:val="-2"/>
          <w:sz w:val="20"/>
          <w:lang w:val="en-GB"/>
        </w:rPr>
      </w:pPr>
    </w:p>
    <w:p w14:paraId="1398CB37" w14:textId="77777777" w:rsidR="009624CA" w:rsidRPr="00096410" w:rsidRDefault="009624CA" w:rsidP="009624CA">
      <w:pPr>
        <w:pStyle w:val="BodyTextMain"/>
        <w:rPr>
          <w:sz w:val="20"/>
          <w:lang w:val="en-GB"/>
        </w:rPr>
      </w:pPr>
    </w:p>
    <w:p w14:paraId="67B8A67D" w14:textId="77777777" w:rsidR="009624CA" w:rsidRPr="00E859CA" w:rsidRDefault="009624CA" w:rsidP="009624CA">
      <w:pPr>
        <w:pStyle w:val="Casehead1"/>
        <w:rPr>
          <w:lang w:val="en-GB"/>
        </w:rPr>
      </w:pPr>
      <w:r w:rsidRPr="00E859CA">
        <w:rPr>
          <w:lang w:val="en-GB"/>
        </w:rPr>
        <w:t>Potential donors and their passion points</w:t>
      </w:r>
    </w:p>
    <w:p w14:paraId="31D7FB61" w14:textId="77777777" w:rsidR="009624CA" w:rsidRPr="00096410" w:rsidRDefault="009624CA" w:rsidP="009624CA">
      <w:pPr>
        <w:pStyle w:val="BodyTextMain"/>
        <w:rPr>
          <w:sz w:val="20"/>
          <w:lang w:val="en-GB"/>
        </w:rPr>
      </w:pPr>
    </w:p>
    <w:p w14:paraId="604956B5" w14:textId="46236509" w:rsidR="00E7690D" w:rsidRDefault="00CF3AC3" w:rsidP="009624CA">
      <w:pPr>
        <w:pStyle w:val="BodyTextMain"/>
        <w:rPr>
          <w:lang w:val="en-GB"/>
        </w:rPr>
      </w:pPr>
      <w:r>
        <w:rPr>
          <w:lang w:val="en-GB"/>
        </w:rPr>
        <w:t>On</w:t>
      </w:r>
      <w:r w:rsidR="00CF6B6F">
        <w:rPr>
          <w:lang w:val="en-GB"/>
        </w:rPr>
        <w:t xml:space="preserve"> a national scale, donation behaviour </w:t>
      </w:r>
      <w:r w:rsidR="002D3750">
        <w:rPr>
          <w:lang w:val="en-GB"/>
        </w:rPr>
        <w:t xml:space="preserve">had </w:t>
      </w:r>
      <w:r w:rsidR="00CF6B6F">
        <w:rPr>
          <w:lang w:val="en-GB"/>
        </w:rPr>
        <w:t>been shifting. Specifically, a Stat</w:t>
      </w:r>
      <w:r w:rsidR="002D3750">
        <w:rPr>
          <w:lang w:val="en-GB"/>
        </w:rPr>
        <w:t>istic</w:t>
      </w:r>
      <w:r w:rsidR="00CF6B6F">
        <w:rPr>
          <w:lang w:val="en-GB"/>
        </w:rPr>
        <w:t>s Canada report noted that the number of donors in 2016 f</w:t>
      </w:r>
      <w:r w:rsidR="00D575C3">
        <w:rPr>
          <w:lang w:val="en-GB"/>
        </w:rPr>
        <w:t>e</w:t>
      </w:r>
      <w:r w:rsidR="00CF6B6F">
        <w:rPr>
          <w:lang w:val="en-GB"/>
        </w:rPr>
        <w:t>ll</w:t>
      </w:r>
      <w:r w:rsidR="00D575C3">
        <w:rPr>
          <w:lang w:val="en-GB"/>
        </w:rPr>
        <w:t xml:space="preserve"> by</w:t>
      </w:r>
      <w:r w:rsidR="00CF6B6F">
        <w:rPr>
          <w:lang w:val="en-GB"/>
        </w:rPr>
        <w:t xml:space="preserve"> 1.8</w:t>
      </w:r>
      <w:r w:rsidR="00D575C3">
        <w:rPr>
          <w:lang w:val="en-GB"/>
        </w:rPr>
        <w:t xml:space="preserve"> per</w:t>
      </w:r>
      <w:r w:rsidR="001C71FA">
        <w:rPr>
          <w:lang w:val="en-GB"/>
        </w:rPr>
        <w:t xml:space="preserve"> </w:t>
      </w:r>
      <w:bookmarkStart w:id="0" w:name="_GoBack"/>
      <w:bookmarkEnd w:id="0"/>
      <w:r w:rsidR="00D575C3">
        <w:rPr>
          <w:lang w:val="en-GB"/>
        </w:rPr>
        <w:t xml:space="preserve">cent </w:t>
      </w:r>
      <w:r w:rsidR="00CF6B6F">
        <w:rPr>
          <w:lang w:val="en-GB"/>
        </w:rPr>
        <w:t>compared to 2015</w:t>
      </w:r>
      <w:r>
        <w:rPr>
          <w:lang w:val="en-GB"/>
        </w:rPr>
        <w:t xml:space="preserve">, </w:t>
      </w:r>
      <w:r w:rsidR="002D3750">
        <w:rPr>
          <w:lang w:val="en-GB"/>
        </w:rPr>
        <w:t xml:space="preserve">continuing </w:t>
      </w:r>
      <w:r>
        <w:rPr>
          <w:lang w:val="en-GB"/>
        </w:rPr>
        <w:t>a steady yearly decline since 2011.</w:t>
      </w:r>
      <w:r w:rsidR="00D575C3">
        <w:rPr>
          <w:rStyle w:val="FootnoteReference"/>
          <w:lang w:val="en-GB"/>
        </w:rPr>
        <w:footnoteReference w:id="12"/>
      </w:r>
      <w:r>
        <w:rPr>
          <w:lang w:val="en-GB"/>
        </w:rPr>
        <w:t xml:space="preserve"> </w:t>
      </w:r>
      <w:r w:rsidR="002D3750">
        <w:rPr>
          <w:lang w:val="en-GB"/>
        </w:rPr>
        <w:t xml:space="preserve">This contrasted </w:t>
      </w:r>
      <w:r>
        <w:rPr>
          <w:lang w:val="en-GB"/>
        </w:rPr>
        <w:t>with the U</w:t>
      </w:r>
      <w:r w:rsidR="00D575C3">
        <w:rPr>
          <w:lang w:val="en-GB"/>
        </w:rPr>
        <w:t xml:space="preserve">nited </w:t>
      </w:r>
      <w:r>
        <w:rPr>
          <w:lang w:val="en-GB"/>
        </w:rPr>
        <w:t>S</w:t>
      </w:r>
      <w:r w:rsidR="00D575C3">
        <w:rPr>
          <w:lang w:val="en-GB"/>
        </w:rPr>
        <w:t>tates,</w:t>
      </w:r>
      <w:r>
        <w:rPr>
          <w:lang w:val="en-GB"/>
        </w:rPr>
        <w:t xml:space="preserve"> </w:t>
      </w:r>
      <w:r w:rsidR="002D3750">
        <w:rPr>
          <w:lang w:val="en-GB"/>
        </w:rPr>
        <w:t xml:space="preserve">where </w:t>
      </w:r>
      <w:r>
        <w:rPr>
          <w:lang w:val="en-GB"/>
        </w:rPr>
        <w:t xml:space="preserve">one report noted that donations </w:t>
      </w:r>
      <w:r w:rsidR="002D3750">
        <w:rPr>
          <w:lang w:val="en-GB"/>
        </w:rPr>
        <w:t xml:space="preserve">had </w:t>
      </w:r>
      <w:r>
        <w:rPr>
          <w:lang w:val="en-GB"/>
        </w:rPr>
        <w:t>gr</w:t>
      </w:r>
      <w:r w:rsidR="002D3750">
        <w:rPr>
          <w:lang w:val="en-GB"/>
        </w:rPr>
        <w:t>o</w:t>
      </w:r>
      <w:r>
        <w:rPr>
          <w:lang w:val="en-GB"/>
        </w:rPr>
        <w:t>w</w:t>
      </w:r>
      <w:r w:rsidR="002D3750">
        <w:rPr>
          <w:lang w:val="en-GB"/>
        </w:rPr>
        <w:t>n</w:t>
      </w:r>
      <w:r>
        <w:rPr>
          <w:lang w:val="en-GB"/>
        </w:rPr>
        <w:t xml:space="preserve"> by 4</w:t>
      </w:r>
      <w:r w:rsidR="00D575C3">
        <w:rPr>
          <w:lang w:val="en-GB"/>
        </w:rPr>
        <w:t xml:space="preserve"> per cent</w:t>
      </w:r>
      <w:r w:rsidR="008A0A10">
        <w:rPr>
          <w:lang w:val="en-GB"/>
        </w:rPr>
        <w:t xml:space="preserve"> in 201</w:t>
      </w:r>
      <w:r w:rsidR="00D93AE3">
        <w:rPr>
          <w:lang w:val="en-GB"/>
        </w:rPr>
        <w:t>6</w:t>
      </w:r>
      <w:r>
        <w:rPr>
          <w:lang w:val="en-GB"/>
        </w:rPr>
        <w:t xml:space="preserve"> to reach an all-time high.</w:t>
      </w:r>
      <w:r w:rsidR="00D575C3" w:rsidRPr="00D575C3">
        <w:rPr>
          <w:rStyle w:val="FootnoteReference"/>
          <w:lang w:val="en-GB"/>
        </w:rPr>
        <w:t xml:space="preserve"> </w:t>
      </w:r>
      <w:r w:rsidR="00D575C3">
        <w:rPr>
          <w:rStyle w:val="FootnoteReference"/>
          <w:lang w:val="en-GB"/>
        </w:rPr>
        <w:footnoteReference w:id="13"/>
      </w:r>
      <w:r>
        <w:rPr>
          <w:lang w:val="en-GB"/>
        </w:rPr>
        <w:t xml:space="preserve"> </w:t>
      </w:r>
      <w:r w:rsidR="00E7690D">
        <w:rPr>
          <w:lang w:val="en-GB"/>
        </w:rPr>
        <w:t>When engaged in a campaign across both Canada and the U</w:t>
      </w:r>
      <w:r w:rsidR="00D575C3">
        <w:rPr>
          <w:lang w:val="en-GB"/>
        </w:rPr>
        <w:t xml:space="preserve">nited </w:t>
      </w:r>
      <w:r w:rsidR="00E7690D">
        <w:rPr>
          <w:lang w:val="en-GB"/>
        </w:rPr>
        <w:t>S</w:t>
      </w:r>
      <w:r w:rsidR="00D575C3">
        <w:rPr>
          <w:lang w:val="en-GB"/>
        </w:rPr>
        <w:t>tates</w:t>
      </w:r>
      <w:r w:rsidR="00E7690D">
        <w:rPr>
          <w:lang w:val="en-GB"/>
        </w:rPr>
        <w:t xml:space="preserve">, the macro donating trends, as well as trends in specific regions, </w:t>
      </w:r>
      <w:r w:rsidR="00D575C3">
        <w:rPr>
          <w:lang w:val="en-GB"/>
        </w:rPr>
        <w:t>could</w:t>
      </w:r>
      <w:r w:rsidR="00E7690D">
        <w:rPr>
          <w:lang w:val="en-GB"/>
        </w:rPr>
        <w:t xml:space="preserve"> not be ignored.</w:t>
      </w:r>
    </w:p>
    <w:p w14:paraId="540CE1B6" w14:textId="77777777" w:rsidR="00E7690D" w:rsidRPr="00096410" w:rsidRDefault="00E7690D" w:rsidP="009624CA">
      <w:pPr>
        <w:pStyle w:val="BodyTextMain"/>
        <w:rPr>
          <w:sz w:val="20"/>
          <w:lang w:val="en-GB"/>
        </w:rPr>
      </w:pPr>
    </w:p>
    <w:p w14:paraId="343C86C6" w14:textId="29ECF5C8" w:rsidR="005B7033" w:rsidRPr="00D93AE3" w:rsidRDefault="00CF3AC3" w:rsidP="009624CA">
      <w:pPr>
        <w:pStyle w:val="BodyTextMain"/>
        <w:rPr>
          <w:spacing w:val="-2"/>
          <w:lang w:val="en-GB"/>
        </w:rPr>
      </w:pPr>
      <w:r w:rsidRPr="00D93AE3">
        <w:rPr>
          <w:spacing w:val="-2"/>
          <w:lang w:val="en-GB"/>
        </w:rPr>
        <w:t xml:space="preserve">How people </w:t>
      </w:r>
      <w:r w:rsidR="002D3750">
        <w:rPr>
          <w:spacing w:val="-2"/>
          <w:lang w:val="en-GB"/>
        </w:rPr>
        <w:t>we</w:t>
      </w:r>
      <w:r w:rsidR="002D3750" w:rsidRPr="00D93AE3">
        <w:rPr>
          <w:spacing w:val="-2"/>
          <w:lang w:val="en-GB"/>
        </w:rPr>
        <w:t xml:space="preserve">re </w:t>
      </w:r>
      <w:r w:rsidRPr="00D93AE3">
        <w:rPr>
          <w:spacing w:val="-2"/>
          <w:lang w:val="en-GB"/>
        </w:rPr>
        <w:t xml:space="preserve">donating </w:t>
      </w:r>
      <w:r w:rsidR="00D575C3" w:rsidRPr="00D93AE3">
        <w:rPr>
          <w:spacing w:val="-2"/>
          <w:lang w:val="en-GB"/>
        </w:rPr>
        <w:t>was</w:t>
      </w:r>
      <w:r w:rsidR="00E7690D" w:rsidRPr="00D93AE3">
        <w:rPr>
          <w:spacing w:val="-2"/>
          <w:lang w:val="en-GB"/>
        </w:rPr>
        <w:t xml:space="preserve"> also changing</w:t>
      </w:r>
      <w:r w:rsidRPr="00D93AE3">
        <w:rPr>
          <w:spacing w:val="-2"/>
          <w:lang w:val="en-GB"/>
        </w:rPr>
        <w:t>. Non-profit organizations seiz</w:t>
      </w:r>
      <w:r w:rsidR="00D575C3" w:rsidRPr="00D93AE3">
        <w:rPr>
          <w:spacing w:val="-2"/>
          <w:lang w:val="en-GB"/>
        </w:rPr>
        <w:t>ed</w:t>
      </w:r>
      <w:r w:rsidRPr="00D93AE3">
        <w:rPr>
          <w:spacing w:val="-2"/>
          <w:lang w:val="en-GB"/>
        </w:rPr>
        <w:t xml:space="preserve"> the opportunity </w:t>
      </w:r>
      <w:r w:rsidR="00D575C3" w:rsidRPr="00D93AE3">
        <w:rPr>
          <w:spacing w:val="-2"/>
          <w:lang w:val="en-GB"/>
        </w:rPr>
        <w:t xml:space="preserve">to </w:t>
      </w:r>
      <w:r w:rsidRPr="00D93AE3">
        <w:rPr>
          <w:spacing w:val="-2"/>
          <w:lang w:val="en-GB"/>
        </w:rPr>
        <w:t>us</w:t>
      </w:r>
      <w:r w:rsidR="00D575C3" w:rsidRPr="00D93AE3">
        <w:rPr>
          <w:spacing w:val="-2"/>
          <w:lang w:val="en-GB"/>
        </w:rPr>
        <w:t>e</w:t>
      </w:r>
      <w:r w:rsidRPr="00D93AE3">
        <w:rPr>
          <w:spacing w:val="-2"/>
          <w:lang w:val="en-GB"/>
        </w:rPr>
        <w:t xml:space="preserve"> social media and crowdfunding platforms to communicate their cause</w:t>
      </w:r>
      <w:r w:rsidR="002D3750">
        <w:rPr>
          <w:spacing w:val="-2"/>
          <w:lang w:val="en-GB"/>
        </w:rPr>
        <w:t>s</w:t>
      </w:r>
      <w:r w:rsidRPr="00D93AE3">
        <w:rPr>
          <w:spacing w:val="-2"/>
          <w:lang w:val="en-GB"/>
        </w:rPr>
        <w:t xml:space="preserve"> at a low cost.</w:t>
      </w:r>
      <w:r w:rsidR="008A0A10" w:rsidRPr="00D93AE3">
        <w:rPr>
          <w:spacing w:val="-2"/>
          <w:lang w:val="en-GB"/>
        </w:rPr>
        <w:t xml:space="preserve"> For example, it was estimated that 30</w:t>
      </w:r>
      <w:r w:rsidR="00D575C3" w:rsidRPr="00D93AE3">
        <w:rPr>
          <w:spacing w:val="-2"/>
          <w:lang w:val="en-GB"/>
        </w:rPr>
        <w:t xml:space="preserve"> per cent</w:t>
      </w:r>
      <w:r w:rsidR="008A0A10" w:rsidRPr="00D93AE3">
        <w:rPr>
          <w:spacing w:val="-2"/>
          <w:lang w:val="en-GB"/>
        </w:rPr>
        <w:t xml:space="preserve"> of all money rai</w:t>
      </w:r>
      <w:r w:rsidR="00D575C3" w:rsidRPr="00D93AE3">
        <w:rPr>
          <w:spacing w:val="-2"/>
          <w:lang w:val="en-GB"/>
        </w:rPr>
        <w:t>sed</w:t>
      </w:r>
      <w:r w:rsidR="008A0A10" w:rsidRPr="00D93AE3">
        <w:rPr>
          <w:spacing w:val="-2"/>
          <w:lang w:val="en-GB"/>
        </w:rPr>
        <w:t xml:space="preserve"> on crowdfunding platforms in 2012 went towards social causes</w:t>
      </w:r>
      <w:r w:rsidR="00D575C3" w:rsidRPr="00D93AE3">
        <w:rPr>
          <w:spacing w:val="-2"/>
          <w:lang w:val="en-GB"/>
        </w:rPr>
        <w:t>.</w:t>
      </w:r>
      <w:r w:rsidR="008A0A10" w:rsidRPr="00D93AE3">
        <w:rPr>
          <w:rStyle w:val="FootnoteReference"/>
          <w:spacing w:val="-2"/>
          <w:lang w:val="en-GB"/>
        </w:rPr>
        <w:footnoteReference w:id="14"/>
      </w:r>
      <w:r w:rsidR="00E7690D" w:rsidRPr="00D93AE3">
        <w:rPr>
          <w:spacing w:val="-2"/>
          <w:lang w:val="en-GB"/>
        </w:rPr>
        <w:t xml:space="preserve"> </w:t>
      </w:r>
      <w:r w:rsidR="008A0A10" w:rsidRPr="00D93AE3">
        <w:rPr>
          <w:spacing w:val="-2"/>
          <w:lang w:val="en-GB"/>
        </w:rPr>
        <w:t xml:space="preserve">To help organizations navigate this new landscape of social fundraising, some of these crowdfunding platforms, </w:t>
      </w:r>
      <w:r w:rsidR="00D575C3" w:rsidRPr="00D93AE3">
        <w:rPr>
          <w:spacing w:val="-2"/>
          <w:lang w:val="en-GB"/>
        </w:rPr>
        <w:t>such as</w:t>
      </w:r>
      <w:r w:rsidR="008A0A10" w:rsidRPr="00D93AE3">
        <w:rPr>
          <w:spacing w:val="-2"/>
          <w:lang w:val="en-GB"/>
        </w:rPr>
        <w:t xml:space="preserve"> Indiegogo, offer</w:t>
      </w:r>
      <w:r w:rsidR="00D575C3" w:rsidRPr="00D93AE3">
        <w:rPr>
          <w:spacing w:val="-2"/>
          <w:lang w:val="en-GB"/>
        </w:rPr>
        <w:t>ed</w:t>
      </w:r>
      <w:r w:rsidR="008A0A10" w:rsidRPr="00D93AE3">
        <w:rPr>
          <w:spacing w:val="-2"/>
          <w:lang w:val="en-GB"/>
        </w:rPr>
        <w:t xml:space="preserve"> helpful guides for best practices when fundraising with their platform.</w:t>
      </w:r>
      <w:r w:rsidR="00D575C3" w:rsidRPr="00D93AE3">
        <w:rPr>
          <w:rStyle w:val="FootnoteReference"/>
          <w:spacing w:val="-2"/>
          <w:lang w:val="en-GB"/>
        </w:rPr>
        <w:footnoteReference w:id="15"/>
      </w:r>
    </w:p>
    <w:p w14:paraId="2B76870C" w14:textId="77777777" w:rsidR="00572D43" w:rsidRPr="00096410" w:rsidRDefault="00572D43" w:rsidP="009624CA">
      <w:pPr>
        <w:pStyle w:val="BodyTextMain"/>
        <w:rPr>
          <w:sz w:val="20"/>
          <w:lang w:val="en-GB"/>
        </w:rPr>
      </w:pPr>
    </w:p>
    <w:p w14:paraId="45D37647" w14:textId="78CAE335" w:rsidR="009624CA" w:rsidRPr="00E859CA" w:rsidRDefault="00E7690D" w:rsidP="009624CA">
      <w:pPr>
        <w:pStyle w:val="BodyTextMain"/>
        <w:rPr>
          <w:lang w:val="en-GB"/>
        </w:rPr>
      </w:pPr>
      <w:r>
        <w:rPr>
          <w:lang w:val="en-GB"/>
        </w:rPr>
        <w:t xml:space="preserve">While understanding the national donating landscape </w:t>
      </w:r>
      <w:r w:rsidR="00D575C3">
        <w:rPr>
          <w:lang w:val="en-GB"/>
        </w:rPr>
        <w:t>was</w:t>
      </w:r>
      <w:r>
        <w:rPr>
          <w:lang w:val="en-GB"/>
        </w:rPr>
        <w:t xml:space="preserve"> a good first step, </w:t>
      </w:r>
      <w:r w:rsidR="00516B52" w:rsidRPr="00E859CA">
        <w:rPr>
          <w:lang w:val="en-GB"/>
        </w:rPr>
        <w:t>AWI was eager</w:t>
      </w:r>
      <w:r w:rsidR="009624CA" w:rsidRPr="00E859CA">
        <w:rPr>
          <w:lang w:val="en-GB"/>
        </w:rPr>
        <w:t xml:space="preserve"> to learn more about </w:t>
      </w:r>
      <w:r w:rsidR="002D3750">
        <w:rPr>
          <w:lang w:val="en-GB"/>
        </w:rPr>
        <w:t xml:space="preserve">its </w:t>
      </w:r>
      <w:r w:rsidR="009624CA" w:rsidRPr="00E859CA">
        <w:rPr>
          <w:lang w:val="en-GB"/>
        </w:rPr>
        <w:t>potential donors</w:t>
      </w:r>
      <w:r w:rsidR="00516B52" w:rsidRPr="00E859CA">
        <w:rPr>
          <w:lang w:val="en-GB"/>
        </w:rPr>
        <w:t>. Therefore</w:t>
      </w:r>
      <w:r w:rsidR="009624CA" w:rsidRPr="00E859CA">
        <w:rPr>
          <w:lang w:val="en-GB"/>
        </w:rPr>
        <w:t xml:space="preserve">, in 2015, </w:t>
      </w:r>
      <w:r w:rsidR="00516B52" w:rsidRPr="00E859CA">
        <w:rPr>
          <w:lang w:val="en-GB"/>
        </w:rPr>
        <w:t>the organization</w:t>
      </w:r>
      <w:r w:rsidR="009624CA" w:rsidRPr="00E859CA">
        <w:rPr>
          <w:lang w:val="en-GB"/>
        </w:rPr>
        <w:t xml:space="preserve"> conducted a national survey </w:t>
      </w:r>
      <w:r w:rsidR="00516B52" w:rsidRPr="00E859CA">
        <w:rPr>
          <w:lang w:val="en-GB"/>
        </w:rPr>
        <w:t xml:space="preserve">in the United States </w:t>
      </w:r>
      <w:r w:rsidR="009624CA" w:rsidRPr="00E859CA">
        <w:rPr>
          <w:lang w:val="en-GB"/>
        </w:rPr>
        <w:t>of 535 potential donors</w:t>
      </w:r>
      <w:r w:rsidR="00516B52" w:rsidRPr="00E859CA">
        <w:rPr>
          <w:lang w:val="en-GB"/>
        </w:rPr>
        <w:t>. The results were</w:t>
      </w:r>
      <w:r w:rsidR="009624CA" w:rsidRPr="00E859CA">
        <w:rPr>
          <w:lang w:val="en-GB"/>
        </w:rPr>
        <w:t xml:space="preserve"> compared to a </w:t>
      </w:r>
      <w:r w:rsidR="00516B52" w:rsidRPr="00E859CA">
        <w:rPr>
          <w:lang w:val="en-GB"/>
        </w:rPr>
        <w:t xml:space="preserve">national </w:t>
      </w:r>
      <w:r w:rsidR="009624CA" w:rsidRPr="00E859CA">
        <w:rPr>
          <w:lang w:val="en-GB"/>
        </w:rPr>
        <w:t xml:space="preserve">study that </w:t>
      </w:r>
      <w:r w:rsidR="00516B52" w:rsidRPr="00E859CA">
        <w:rPr>
          <w:lang w:val="en-GB"/>
        </w:rPr>
        <w:t>surveyed</w:t>
      </w:r>
      <w:r w:rsidR="009624CA" w:rsidRPr="00E859CA">
        <w:rPr>
          <w:lang w:val="en-GB"/>
        </w:rPr>
        <w:t xml:space="preserve"> donors </w:t>
      </w:r>
      <w:r w:rsidR="00516B52" w:rsidRPr="00E859CA">
        <w:rPr>
          <w:lang w:val="en-GB"/>
        </w:rPr>
        <w:t>of</w:t>
      </w:r>
      <w:r w:rsidR="009624CA" w:rsidRPr="00E859CA">
        <w:rPr>
          <w:lang w:val="en-GB"/>
        </w:rPr>
        <w:t xml:space="preserve"> more than $300 to charities on a yearly basis. A</w:t>
      </w:r>
      <w:r w:rsidR="00516B52" w:rsidRPr="00E859CA">
        <w:rPr>
          <w:lang w:val="en-GB"/>
        </w:rPr>
        <w:t>WI found that over</w:t>
      </w:r>
      <w:r w:rsidR="009624CA" w:rsidRPr="00E859CA">
        <w:rPr>
          <w:lang w:val="en-GB"/>
        </w:rPr>
        <w:t xml:space="preserve"> 20</w:t>
      </w:r>
      <w:r w:rsidR="00516B52" w:rsidRPr="00E859CA">
        <w:rPr>
          <w:lang w:val="en-GB"/>
        </w:rPr>
        <w:t xml:space="preserve"> per cent</w:t>
      </w:r>
      <w:r w:rsidR="009624CA" w:rsidRPr="00E859CA">
        <w:rPr>
          <w:lang w:val="en-GB"/>
        </w:rPr>
        <w:t xml:space="preserve"> of potential donors reported </w:t>
      </w:r>
      <w:r w:rsidR="00516B52" w:rsidRPr="00E859CA">
        <w:rPr>
          <w:lang w:val="en-GB"/>
        </w:rPr>
        <w:t>a</w:t>
      </w:r>
      <w:r w:rsidR="009624CA" w:rsidRPr="00E859CA">
        <w:rPr>
          <w:lang w:val="en-GB"/>
        </w:rPr>
        <w:t xml:space="preserve"> willing</w:t>
      </w:r>
      <w:r w:rsidR="00516B52" w:rsidRPr="00E859CA">
        <w:rPr>
          <w:lang w:val="en-GB"/>
        </w:rPr>
        <w:t>ness</w:t>
      </w:r>
      <w:r w:rsidR="009624CA" w:rsidRPr="00E859CA">
        <w:rPr>
          <w:lang w:val="en-GB"/>
        </w:rPr>
        <w:t xml:space="preserve"> to </w:t>
      </w:r>
      <w:r w:rsidR="00516B52" w:rsidRPr="00E859CA">
        <w:rPr>
          <w:lang w:val="en-GB"/>
        </w:rPr>
        <w:t>donate</w:t>
      </w:r>
      <w:r w:rsidR="009624CA" w:rsidRPr="00E859CA">
        <w:rPr>
          <w:lang w:val="en-GB"/>
        </w:rPr>
        <w:t xml:space="preserve"> directly to AWI, and more than 50</w:t>
      </w:r>
      <w:r w:rsidR="00516B52" w:rsidRPr="00E859CA">
        <w:rPr>
          <w:lang w:val="en-GB"/>
        </w:rPr>
        <w:t xml:space="preserve"> per cent expressed an</w:t>
      </w:r>
      <w:r w:rsidR="009624CA" w:rsidRPr="00E859CA">
        <w:rPr>
          <w:lang w:val="en-GB"/>
        </w:rPr>
        <w:t xml:space="preserve"> interest in signing a petition to get more government funding for the organization</w:t>
      </w:r>
      <w:r w:rsidR="00516B52" w:rsidRPr="00E859CA">
        <w:rPr>
          <w:lang w:val="en-GB"/>
        </w:rPr>
        <w:t>. Clearly</w:t>
      </w:r>
      <w:r w:rsidR="009624CA" w:rsidRPr="00E859CA">
        <w:rPr>
          <w:lang w:val="en-GB"/>
        </w:rPr>
        <w:t xml:space="preserve">, there was interest </w:t>
      </w:r>
      <w:r w:rsidR="00ED5CFB" w:rsidRPr="00E859CA">
        <w:rPr>
          <w:lang w:val="en-GB"/>
        </w:rPr>
        <w:t>by</w:t>
      </w:r>
      <w:r w:rsidR="009624CA" w:rsidRPr="00E859CA">
        <w:rPr>
          <w:lang w:val="en-GB"/>
        </w:rPr>
        <w:t xml:space="preserve"> potential donors </w:t>
      </w:r>
      <w:r w:rsidR="002D3750">
        <w:rPr>
          <w:lang w:val="en-GB"/>
        </w:rPr>
        <w:t>in</w:t>
      </w:r>
      <w:r w:rsidR="002D3750" w:rsidRPr="00E859CA">
        <w:rPr>
          <w:lang w:val="en-GB"/>
        </w:rPr>
        <w:t xml:space="preserve"> </w:t>
      </w:r>
      <w:r w:rsidR="00ED5CFB" w:rsidRPr="00E859CA">
        <w:rPr>
          <w:lang w:val="en-GB"/>
        </w:rPr>
        <w:t>see</w:t>
      </w:r>
      <w:r w:rsidR="002D3750">
        <w:rPr>
          <w:lang w:val="en-GB"/>
        </w:rPr>
        <w:t>ing</w:t>
      </w:r>
      <w:r w:rsidR="00ED5CFB" w:rsidRPr="00E859CA">
        <w:rPr>
          <w:lang w:val="en-GB"/>
        </w:rPr>
        <w:t xml:space="preserve"> AWI succeed </w:t>
      </w:r>
      <w:r w:rsidR="009624CA" w:rsidRPr="00E859CA">
        <w:rPr>
          <w:lang w:val="en-GB"/>
        </w:rPr>
        <w:t xml:space="preserve">(see Exhibit </w:t>
      </w:r>
      <w:r w:rsidR="00931E7C" w:rsidRPr="00E859CA">
        <w:rPr>
          <w:lang w:val="en-GB"/>
        </w:rPr>
        <w:t>2</w:t>
      </w:r>
      <w:r w:rsidR="009624CA" w:rsidRPr="00E859CA">
        <w:rPr>
          <w:lang w:val="en-GB"/>
        </w:rPr>
        <w:t>).</w:t>
      </w:r>
      <w:r w:rsidR="002D3750">
        <w:rPr>
          <w:lang w:val="en-GB"/>
        </w:rPr>
        <w:t xml:space="preserve"> </w:t>
      </w:r>
    </w:p>
    <w:p w14:paraId="5C6D6AEA" w14:textId="77777777" w:rsidR="009624CA" w:rsidRPr="00096410" w:rsidRDefault="009624CA" w:rsidP="009624CA">
      <w:pPr>
        <w:pStyle w:val="BodyTextMain"/>
        <w:rPr>
          <w:sz w:val="20"/>
          <w:lang w:val="en-GB"/>
        </w:rPr>
      </w:pPr>
    </w:p>
    <w:p w14:paraId="6CAB8D23" w14:textId="1A7B57AD" w:rsidR="009624CA" w:rsidRPr="00E859CA" w:rsidRDefault="009624CA" w:rsidP="009624CA">
      <w:pPr>
        <w:pStyle w:val="BodyTextMain"/>
        <w:rPr>
          <w:lang w:val="en-GB"/>
        </w:rPr>
      </w:pPr>
      <w:r w:rsidRPr="00E859CA">
        <w:rPr>
          <w:lang w:val="en-GB"/>
        </w:rPr>
        <w:t>Th</w:t>
      </w:r>
      <w:r w:rsidR="00D92E46" w:rsidRPr="00E859CA">
        <w:rPr>
          <w:lang w:val="en-GB"/>
        </w:rPr>
        <w:t>e</w:t>
      </w:r>
      <w:r w:rsidRPr="00E859CA">
        <w:rPr>
          <w:lang w:val="en-GB"/>
        </w:rPr>
        <w:t xml:space="preserve"> study </w:t>
      </w:r>
      <w:r w:rsidR="00D92E46" w:rsidRPr="00E859CA">
        <w:rPr>
          <w:lang w:val="en-GB"/>
        </w:rPr>
        <w:t xml:space="preserve">was </w:t>
      </w:r>
      <w:r w:rsidRPr="00E859CA">
        <w:rPr>
          <w:lang w:val="en-GB"/>
        </w:rPr>
        <w:t xml:space="preserve">also </w:t>
      </w:r>
      <w:r w:rsidR="00D92E46" w:rsidRPr="00E859CA">
        <w:rPr>
          <w:lang w:val="en-GB"/>
        </w:rPr>
        <w:t>designed</w:t>
      </w:r>
      <w:r w:rsidRPr="00E859CA">
        <w:rPr>
          <w:lang w:val="en-GB"/>
        </w:rPr>
        <w:t xml:space="preserve"> to </w:t>
      </w:r>
      <w:r w:rsidR="00D92E46" w:rsidRPr="00E859CA">
        <w:rPr>
          <w:lang w:val="en-GB"/>
        </w:rPr>
        <w:t>provide information</w:t>
      </w:r>
      <w:r w:rsidRPr="00E859CA">
        <w:rPr>
          <w:lang w:val="en-GB"/>
        </w:rPr>
        <w:t xml:space="preserve"> about potential donors</w:t>
      </w:r>
      <w:r w:rsidR="00D92E46" w:rsidRPr="00E859CA">
        <w:rPr>
          <w:lang w:val="en-GB"/>
        </w:rPr>
        <w:t>’</w:t>
      </w:r>
      <w:r w:rsidRPr="00E859CA">
        <w:rPr>
          <w:lang w:val="en-GB"/>
        </w:rPr>
        <w:t xml:space="preserve"> perce</w:t>
      </w:r>
      <w:r w:rsidR="00D92E46" w:rsidRPr="00E859CA">
        <w:rPr>
          <w:lang w:val="en-GB"/>
        </w:rPr>
        <w:t>ption</w:t>
      </w:r>
      <w:r w:rsidR="002D3750">
        <w:rPr>
          <w:lang w:val="en-GB"/>
        </w:rPr>
        <w:t>s</w:t>
      </w:r>
      <w:r w:rsidR="00D92E46" w:rsidRPr="00E859CA">
        <w:rPr>
          <w:lang w:val="en-GB"/>
        </w:rPr>
        <w:t xml:space="preserve"> of</w:t>
      </w:r>
      <w:r w:rsidRPr="00E859CA">
        <w:rPr>
          <w:lang w:val="en-GB"/>
        </w:rPr>
        <w:t xml:space="preserve"> mental illness. From a series of questions </w:t>
      </w:r>
      <w:r w:rsidR="00D92E46" w:rsidRPr="00E859CA">
        <w:rPr>
          <w:lang w:val="en-GB"/>
        </w:rPr>
        <w:t>o</w:t>
      </w:r>
      <w:r w:rsidRPr="00E859CA">
        <w:rPr>
          <w:lang w:val="en-GB"/>
        </w:rPr>
        <w:t xml:space="preserve">n this </w:t>
      </w:r>
      <w:r w:rsidR="00D92E46" w:rsidRPr="00E859CA">
        <w:rPr>
          <w:lang w:val="en-GB"/>
        </w:rPr>
        <w:t>topic</w:t>
      </w:r>
      <w:r w:rsidRPr="00E859CA">
        <w:rPr>
          <w:lang w:val="en-GB"/>
        </w:rPr>
        <w:t xml:space="preserve">, </w:t>
      </w:r>
      <w:r w:rsidR="00D92E46" w:rsidRPr="00E859CA">
        <w:rPr>
          <w:lang w:val="en-GB"/>
        </w:rPr>
        <w:t>AWI</w:t>
      </w:r>
      <w:r w:rsidRPr="00E859CA">
        <w:rPr>
          <w:lang w:val="en-GB"/>
        </w:rPr>
        <w:t xml:space="preserve"> learned that 40</w:t>
      </w:r>
      <w:r w:rsidR="00D92E46" w:rsidRPr="00E859CA">
        <w:rPr>
          <w:lang w:val="en-GB"/>
        </w:rPr>
        <w:t xml:space="preserve"> per cent</w:t>
      </w:r>
      <w:r w:rsidRPr="00E859CA">
        <w:rPr>
          <w:lang w:val="en-GB"/>
        </w:rPr>
        <w:t xml:space="preserve"> of respondents had struggled </w:t>
      </w:r>
      <w:r w:rsidR="00D92E46" w:rsidRPr="00E859CA">
        <w:rPr>
          <w:lang w:val="en-GB"/>
        </w:rPr>
        <w:t xml:space="preserve">in the past </w:t>
      </w:r>
      <w:r w:rsidRPr="00E859CA">
        <w:rPr>
          <w:lang w:val="en-GB"/>
        </w:rPr>
        <w:t>with their own mental health or kn</w:t>
      </w:r>
      <w:r w:rsidR="00D92E46" w:rsidRPr="00E859CA">
        <w:rPr>
          <w:lang w:val="en-GB"/>
        </w:rPr>
        <w:t>e</w:t>
      </w:r>
      <w:r w:rsidRPr="00E859CA">
        <w:rPr>
          <w:lang w:val="en-GB"/>
        </w:rPr>
        <w:t xml:space="preserve">w someone </w:t>
      </w:r>
      <w:r w:rsidR="00D92E46" w:rsidRPr="00E859CA">
        <w:rPr>
          <w:lang w:val="en-GB"/>
        </w:rPr>
        <w:t>who</w:t>
      </w:r>
      <w:r w:rsidRPr="00E859CA">
        <w:rPr>
          <w:lang w:val="en-GB"/>
        </w:rPr>
        <w:t xml:space="preserve"> had </w:t>
      </w:r>
      <w:r w:rsidR="00D92E46" w:rsidRPr="00E859CA">
        <w:rPr>
          <w:lang w:val="en-GB"/>
        </w:rPr>
        <w:t>bee</w:t>
      </w:r>
      <w:r w:rsidR="00BE290B" w:rsidRPr="00E859CA">
        <w:rPr>
          <w:lang w:val="en-GB"/>
        </w:rPr>
        <w:t>n</w:t>
      </w:r>
      <w:r w:rsidR="00D92E46" w:rsidRPr="00E859CA">
        <w:rPr>
          <w:lang w:val="en-GB"/>
        </w:rPr>
        <w:t xml:space="preserve"> affected. In comparison</w:t>
      </w:r>
      <w:r w:rsidRPr="00E859CA">
        <w:rPr>
          <w:lang w:val="en-GB"/>
        </w:rPr>
        <w:t>, 29</w:t>
      </w:r>
      <w:r w:rsidR="00D92E46" w:rsidRPr="00E859CA">
        <w:rPr>
          <w:lang w:val="en-GB"/>
        </w:rPr>
        <w:t xml:space="preserve"> per cent of national donors who regularly donated over</w:t>
      </w:r>
      <w:r w:rsidRPr="00E859CA">
        <w:rPr>
          <w:lang w:val="en-GB"/>
        </w:rPr>
        <w:t xml:space="preserve"> $300</w:t>
      </w:r>
      <w:r w:rsidR="00D92E46" w:rsidRPr="00E859CA">
        <w:rPr>
          <w:lang w:val="en-GB"/>
        </w:rPr>
        <w:t xml:space="preserve"> had the same experiences</w:t>
      </w:r>
      <w:r w:rsidRPr="00E859CA">
        <w:rPr>
          <w:lang w:val="en-GB"/>
        </w:rPr>
        <w:t>. Additionally, 65</w:t>
      </w:r>
      <w:r w:rsidR="00D92E46" w:rsidRPr="00E859CA">
        <w:rPr>
          <w:lang w:val="en-GB"/>
        </w:rPr>
        <w:t xml:space="preserve"> per cent</w:t>
      </w:r>
      <w:r w:rsidRPr="00E859CA">
        <w:rPr>
          <w:lang w:val="en-GB"/>
        </w:rPr>
        <w:t xml:space="preserve"> of potential donors found it important t</w:t>
      </w:r>
      <w:r w:rsidR="00D92E46" w:rsidRPr="00E859CA">
        <w:rPr>
          <w:lang w:val="en-GB"/>
        </w:rPr>
        <w:t>o have</w:t>
      </w:r>
      <w:r w:rsidRPr="00E859CA">
        <w:rPr>
          <w:lang w:val="en-GB"/>
        </w:rPr>
        <w:t xml:space="preserve"> a personal connection to the cause and wanted to be sure that the money would be spent wisely. </w:t>
      </w:r>
      <w:r w:rsidR="00D92E46" w:rsidRPr="00E859CA">
        <w:rPr>
          <w:lang w:val="en-GB"/>
        </w:rPr>
        <w:t>Similarly</w:t>
      </w:r>
      <w:r w:rsidRPr="00E859CA">
        <w:rPr>
          <w:lang w:val="en-GB"/>
        </w:rPr>
        <w:t>, 88</w:t>
      </w:r>
      <w:r w:rsidR="00D92E46" w:rsidRPr="00E859CA">
        <w:rPr>
          <w:lang w:val="en-GB"/>
        </w:rPr>
        <w:t xml:space="preserve"> per cent</w:t>
      </w:r>
      <w:r w:rsidRPr="00E859CA">
        <w:rPr>
          <w:lang w:val="en-GB"/>
        </w:rPr>
        <w:t xml:space="preserve"> of potential donors believed it was important to educate people on the biological basis of mental health disorders and </w:t>
      </w:r>
      <w:r w:rsidR="00D92E46" w:rsidRPr="00E859CA">
        <w:rPr>
          <w:lang w:val="en-GB"/>
        </w:rPr>
        <w:t>effective</w:t>
      </w:r>
      <w:r w:rsidRPr="00E859CA">
        <w:rPr>
          <w:lang w:val="en-GB"/>
        </w:rPr>
        <w:t xml:space="preserve"> treatment, compared </w:t>
      </w:r>
      <w:r w:rsidR="00D92E46" w:rsidRPr="00E859CA">
        <w:rPr>
          <w:lang w:val="en-GB"/>
        </w:rPr>
        <w:t>to</w:t>
      </w:r>
      <w:r w:rsidRPr="00E859CA">
        <w:rPr>
          <w:lang w:val="en-GB"/>
        </w:rPr>
        <w:t xml:space="preserve"> 63</w:t>
      </w:r>
      <w:r w:rsidR="00D92E46" w:rsidRPr="00E859CA">
        <w:rPr>
          <w:lang w:val="en-GB"/>
        </w:rPr>
        <w:t xml:space="preserve"> per cent of</w:t>
      </w:r>
      <w:r w:rsidRPr="00E859CA">
        <w:rPr>
          <w:lang w:val="en-GB"/>
        </w:rPr>
        <w:t xml:space="preserve"> those who were not interested in </w:t>
      </w:r>
      <w:r w:rsidR="00D92E46" w:rsidRPr="00E859CA">
        <w:rPr>
          <w:lang w:val="en-GB"/>
        </w:rPr>
        <w:t>donating</w:t>
      </w:r>
      <w:r w:rsidRPr="00E859CA">
        <w:rPr>
          <w:lang w:val="en-GB"/>
        </w:rPr>
        <w:t xml:space="preserve"> to AWI. Finally, 84</w:t>
      </w:r>
      <w:r w:rsidR="00D92E46" w:rsidRPr="00E859CA">
        <w:rPr>
          <w:lang w:val="en-GB"/>
        </w:rPr>
        <w:t xml:space="preserve"> per cent of respondents</w:t>
      </w:r>
      <w:r w:rsidRPr="00E859CA">
        <w:rPr>
          <w:lang w:val="en-GB"/>
        </w:rPr>
        <w:t xml:space="preserve"> believed that getting people to talk openly and honestly about mental health problems was necessary and that people should be given the tools to do it, compared </w:t>
      </w:r>
      <w:r w:rsidR="00D92E46" w:rsidRPr="00E859CA">
        <w:rPr>
          <w:lang w:val="en-GB"/>
        </w:rPr>
        <w:t>to</w:t>
      </w:r>
      <w:r w:rsidRPr="00E859CA">
        <w:rPr>
          <w:lang w:val="en-GB"/>
        </w:rPr>
        <w:t xml:space="preserve"> 52</w:t>
      </w:r>
      <w:r w:rsidR="00D92E46" w:rsidRPr="00E859CA">
        <w:rPr>
          <w:lang w:val="en-GB"/>
        </w:rPr>
        <w:t xml:space="preserve"> per cent of</w:t>
      </w:r>
      <w:r w:rsidRPr="00E859CA">
        <w:rPr>
          <w:lang w:val="en-GB"/>
        </w:rPr>
        <w:t xml:space="preserve"> those </w:t>
      </w:r>
      <w:r w:rsidR="00D92E46" w:rsidRPr="00E859CA">
        <w:rPr>
          <w:lang w:val="en-GB"/>
        </w:rPr>
        <w:t>not likely to donate</w:t>
      </w:r>
      <w:r w:rsidRPr="00E859CA">
        <w:rPr>
          <w:lang w:val="en-GB"/>
        </w:rPr>
        <w:t>.</w:t>
      </w:r>
    </w:p>
    <w:p w14:paraId="0C527AC5" w14:textId="77777777" w:rsidR="009624CA" w:rsidRPr="00096410" w:rsidRDefault="009624CA" w:rsidP="009624CA">
      <w:pPr>
        <w:pStyle w:val="BodyTextMain"/>
        <w:rPr>
          <w:sz w:val="20"/>
          <w:lang w:val="en-GB"/>
        </w:rPr>
      </w:pPr>
    </w:p>
    <w:p w14:paraId="4BDFF6EB" w14:textId="140C3A1B" w:rsidR="004D6269" w:rsidRPr="00E859CA" w:rsidRDefault="00CE7743" w:rsidP="009624CA">
      <w:pPr>
        <w:pStyle w:val="BodyTextMain"/>
        <w:rPr>
          <w:lang w:val="en-GB"/>
        </w:rPr>
      </w:pPr>
      <w:r w:rsidRPr="00E859CA">
        <w:rPr>
          <w:lang w:val="en-GB"/>
        </w:rPr>
        <w:t>The AWI</w:t>
      </w:r>
      <w:r w:rsidR="009624CA" w:rsidRPr="00E859CA">
        <w:rPr>
          <w:lang w:val="en-GB"/>
        </w:rPr>
        <w:t xml:space="preserve"> survey was </w:t>
      </w:r>
      <w:r w:rsidRPr="00E859CA">
        <w:rPr>
          <w:lang w:val="en-GB"/>
        </w:rPr>
        <w:t>also designed to help the organization</w:t>
      </w:r>
      <w:r w:rsidR="009624CA" w:rsidRPr="00E859CA">
        <w:rPr>
          <w:lang w:val="en-GB"/>
        </w:rPr>
        <w:t xml:space="preserve"> learn and understand the </w:t>
      </w:r>
      <w:r w:rsidR="004D6269" w:rsidRPr="00E859CA">
        <w:rPr>
          <w:lang w:val="en-GB"/>
        </w:rPr>
        <w:t>so-called “passion</w:t>
      </w:r>
      <w:r w:rsidR="009624CA" w:rsidRPr="00E859CA">
        <w:rPr>
          <w:lang w:val="en-GB"/>
        </w:rPr>
        <w:t xml:space="preserve"> points</w:t>
      </w:r>
      <w:r w:rsidR="004D6269" w:rsidRPr="00E859CA">
        <w:rPr>
          <w:lang w:val="en-GB"/>
        </w:rPr>
        <w:t>”</w:t>
      </w:r>
      <w:r w:rsidR="009624CA" w:rsidRPr="00E859CA">
        <w:rPr>
          <w:lang w:val="en-GB"/>
        </w:rPr>
        <w:t xml:space="preserve"> that would push potential donors to donate to AWI. These </w:t>
      </w:r>
      <w:r w:rsidR="004D6269" w:rsidRPr="00E859CA">
        <w:rPr>
          <w:lang w:val="en-GB"/>
        </w:rPr>
        <w:t>passion</w:t>
      </w:r>
      <w:r w:rsidR="009624CA" w:rsidRPr="00E859CA">
        <w:rPr>
          <w:lang w:val="en-GB"/>
        </w:rPr>
        <w:t xml:space="preserve"> points, also called </w:t>
      </w:r>
      <w:r w:rsidR="004D6269" w:rsidRPr="00E859CA">
        <w:rPr>
          <w:lang w:val="en-GB"/>
        </w:rPr>
        <w:t>trigger</w:t>
      </w:r>
      <w:r w:rsidR="009624CA" w:rsidRPr="00E859CA">
        <w:rPr>
          <w:lang w:val="en-GB"/>
        </w:rPr>
        <w:t xml:space="preserve"> points, were the reasons why people considered donating to an organization. The </w:t>
      </w:r>
      <w:r w:rsidR="004D6269" w:rsidRPr="00E859CA">
        <w:rPr>
          <w:lang w:val="en-GB"/>
        </w:rPr>
        <w:t xml:space="preserve">passion points that AWI </w:t>
      </w:r>
      <w:r w:rsidR="009624CA" w:rsidRPr="00E859CA">
        <w:rPr>
          <w:lang w:val="en-GB"/>
        </w:rPr>
        <w:t xml:space="preserve">identified </w:t>
      </w:r>
      <w:r w:rsidR="004D6269" w:rsidRPr="00E859CA">
        <w:rPr>
          <w:lang w:val="en-GB"/>
        </w:rPr>
        <w:lastRenderedPageBreak/>
        <w:t>as most important</w:t>
      </w:r>
      <w:r w:rsidR="009624CA" w:rsidRPr="00E859CA">
        <w:rPr>
          <w:lang w:val="en-GB"/>
        </w:rPr>
        <w:t xml:space="preserve"> were separated into three categories</w:t>
      </w:r>
      <w:r w:rsidRPr="00E859CA">
        <w:rPr>
          <w:lang w:val="en-GB"/>
        </w:rPr>
        <w:t>:</w:t>
      </w:r>
      <w:r w:rsidR="009624CA" w:rsidRPr="00E859CA">
        <w:rPr>
          <w:lang w:val="en-GB"/>
        </w:rPr>
        <w:t xml:space="preserve"> early intervention</w:t>
      </w:r>
      <w:r w:rsidRPr="00E859CA">
        <w:rPr>
          <w:lang w:val="en-GB"/>
        </w:rPr>
        <w:t xml:space="preserve">, art as a communication enabler, and the stigma </w:t>
      </w:r>
      <w:r w:rsidR="004D6269" w:rsidRPr="00E859CA">
        <w:rPr>
          <w:lang w:val="en-GB"/>
        </w:rPr>
        <w:t>of</w:t>
      </w:r>
      <w:r w:rsidRPr="00E859CA">
        <w:rPr>
          <w:lang w:val="en-GB"/>
        </w:rPr>
        <w:t xml:space="preserve"> mental health</w:t>
      </w:r>
      <w:r w:rsidR="009624CA" w:rsidRPr="00E859CA">
        <w:rPr>
          <w:lang w:val="en-GB"/>
        </w:rPr>
        <w:t xml:space="preserve">. </w:t>
      </w:r>
    </w:p>
    <w:p w14:paraId="6A984C0A" w14:textId="77777777" w:rsidR="004D6269" w:rsidRPr="00096410" w:rsidRDefault="004D6269" w:rsidP="009624CA">
      <w:pPr>
        <w:pStyle w:val="BodyTextMain"/>
        <w:rPr>
          <w:sz w:val="20"/>
          <w:lang w:val="en-GB"/>
        </w:rPr>
      </w:pPr>
    </w:p>
    <w:p w14:paraId="533C7F34" w14:textId="7AF8C286" w:rsidR="009624CA" w:rsidRPr="00B51A61" w:rsidRDefault="004D6269" w:rsidP="009624CA">
      <w:pPr>
        <w:pStyle w:val="BodyTextMain"/>
        <w:rPr>
          <w:spacing w:val="-4"/>
          <w:lang w:val="en-GB"/>
        </w:rPr>
      </w:pPr>
      <w:r w:rsidRPr="00B51A61">
        <w:rPr>
          <w:spacing w:val="-4"/>
          <w:lang w:val="en-GB"/>
        </w:rPr>
        <w:t>The first passion p</w:t>
      </w:r>
      <w:r w:rsidR="00BE290B" w:rsidRPr="00B51A61">
        <w:rPr>
          <w:spacing w:val="-4"/>
          <w:lang w:val="en-GB"/>
        </w:rPr>
        <w:t>o</w:t>
      </w:r>
      <w:r w:rsidRPr="00B51A61">
        <w:rPr>
          <w:spacing w:val="-4"/>
          <w:lang w:val="en-GB"/>
        </w:rPr>
        <w:t>int that p</w:t>
      </w:r>
      <w:r w:rsidR="009624CA" w:rsidRPr="00B51A61">
        <w:rPr>
          <w:spacing w:val="-4"/>
          <w:lang w:val="en-GB"/>
        </w:rPr>
        <w:t xml:space="preserve">otential donors believed was important </w:t>
      </w:r>
      <w:r w:rsidRPr="00B51A61">
        <w:rPr>
          <w:spacing w:val="-4"/>
          <w:lang w:val="en-GB"/>
        </w:rPr>
        <w:t>was for</w:t>
      </w:r>
      <w:r w:rsidR="009624CA" w:rsidRPr="00B51A61">
        <w:rPr>
          <w:spacing w:val="-4"/>
          <w:lang w:val="en-GB"/>
        </w:rPr>
        <w:t xml:space="preserve"> mental health issues </w:t>
      </w:r>
      <w:r w:rsidRPr="00B51A61">
        <w:rPr>
          <w:spacing w:val="-4"/>
          <w:lang w:val="en-GB"/>
        </w:rPr>
        <w:t>to be</w:t>
      </w:r>
      <w:r w:rsidR="009624CA" w:rsidRPr="00B51A61">
        <w:rPr>
          <w:spacing w:val="-4"/>
          <w:lang w:val="en-GB"/>
        </w:rPr>
        <w:t xml:space="preserve"> detected as early as possible and t</w:t>
      </w:r>
      <w:r w:rsidRPr="00B51A61">
        <w:rPr>
          <w:spacing w:val="-4"/>
          <w:lang w:val="en-GB"/>
        </w:rPr>
        <w:t>o be</w:t>
      </w:r>
      <w:r w:rsidR="009624CA" w:rsidRPr="00B51A61">
        <w:rPr>
          <w:spacing w:val="-4"/>
          <w:lang w:val="en-GB"/>
        </w:rPr>
        <w:t xml:space="preserve"> treated sooner rather than later</w:t>
      </w:r>
      <w:r w:rsidRPr="00B51A61">
        <w:rPr>
          <w:spacing w:val="-4"/>
          <w:lang w:val="en-GB"/>
        </w:rPr>
        <w:t xml:space="preserve"> to</w:t>
      </w:r>
      <w:r w:rsidR="009624CA" w:rsidRPr="00B51A61">
        <w:rPr>
          <w:spacing w:val="-4"/>
          <w:lang w:val="en-GB"/>
        </w:rPr>
        <w:t xml:space="preserve"> prevent high-risk behavio</w:t>
      </w:r>
      <w:r w:rsidRPr="00B51A61">
        <w:rPr>
          <w:spacing w:val="-4"/>
          <w:lang w:val="en-GB"/>
        </w:rPr>
        <w:t>u</w:t>
      </w:r>
      <w:r w:rsidR="009624CA" w:rsidRPr="00B51A61">
        <w:rPr>
          <w:spacing w:val="-4"/>
          <w:lang w:val="en-GB"/>
        </w:rPr>
        <w:t xml:space="preserve">rs. The second passion point identified </w:t>
      </w:r>
      <w:r w:rsidRPr="00B51A61">
        <w:rPr>
          <w:spacing w:val="-4"/>
          <w:lang w:val="en-GB"/>
        </w:rPr>
        <w:t>in</w:t>
      </w:r>
      <w:r w:rsidR="009624CA" w:rsidRPr="00B51A61">
        <w:rPr>
          <w:spacing w:val="-4"/>
          <w:lang w:val="en-GB"/>
        </w:rPr>
        <w:t xml:space="preserve"> the survey was </w:t>
      </w:r>
      <w:r w:rsidR="00317450" w:rsidRPr="00B51A61">
        <w:rPr>
          <w:spacing w:val="-4"/>
          <w:lang w:val="en-GB"/>
        </w:rPr>
        <w:t xml:space="preserve">the concept of </w:t>
      </w:r>
      <w:r w:rsidR="009624CA" w:rsidRPr="00B51A61">
        <w:rPr>
          <w:spacing w:val="-4"/>
          <w:lang w:val="en-GB"/>
        </w:rPr>
        <w:t>art as a communication enabler. Potential donors truly believed that art was a form of therapy</w:t>
      </w:r>
      <w:r w:rsidRPr="00B51A61">
        <w:rPr>
          <w:spacing w:val="-4"/>
          <w:lang w:val="en-GB"/>
        </w:rPr>
        <w:t>,</w:t>
      </w:r>
      <w:r w:rsidR="009624CA" w:rsidRPr="00B51A61">
        <w:rPr>
          <w:spacing w:val="-4"/>
          <w:lang w:val="en-GB"/>
        </w:rPr>
        <w:t xml:space="preserve"> and that it often communicated whe</w:t>
      </w:r>
      <w:r w:rsidRPr="00B51A61">
        <w:rPr>
          <w:spacing w:val="-4"/>
          <w:lang w:val="en-GB"/>
        </w:rPr>
        <w:t>n</w:t>
      </w:r>
      <w:r w:rsidR="009624CA" w:rsidRPr="00B51A61">
        <w:rPr>
          <w:spacing w:val="-4"/>
          <w:lang w:val="en-GB"/>
        </w:rPr>
        <w:t xml:space="preserve"> words were lacking. Moreover, art provided a platform where young people could safely communicate their feelings about mental illness. Almost 50</w:t>
      </w:r>
      <w:r w:rsidRPr="00B51A61">
        <w:rPr>
          <w:spacing w:val="-4"/>
          <w:lang w:val="en-GB"/>
        </w:rPr>
        <w:t xml:space="preserve"> per cent</w:t>
      </w:r>
      <w:r w:rsidR="009624CA" w:rsidRPr="00B51A61">
        <w:rPr>
          <w:spacing w:val="-4"/>
          <w:lang w:val="en-GB"/>
        </w:rPr>
        <w:t xml:space="preserve"> of </w:t>
      </w:r>
      <w:r w:rsidRPr="00B51A61">
        <w:rPr>
          <w:spacing w:val="-4"/>
          <w:lang w:val="en-GB"/>
        </w:rPr>
        <w:t>respondents we</w:t>
      </w:r>
      <w:r w:rsidR="009624CA" w:rsidRPr="00B51A61">
        <w:rPr>
          <w:spacing w:val="-4"/>
          <w:lang w:val="en-GB"/>
        </w:rPr>
        <w:t xml:space="preserve">re worried about arts </w:t>
      </w:r>
      <w:r w:rsidRPr="00B51A61">
        <w:rPr>
          <w:spacing w:val="-4"/>
          <w:lang w:val="en-GB"/>
        </w:rPr>
        <w:t xml:space="preserve">education </w:t>
      </w:r>
      <w:r w:rsidR="009624CA" w:rsidRPr="00B51A61">
        <w:rPr>
          <w:spacing w:val="-4"/>
          <w:lang w:val="en-GB"/>
        </w:rPr>
        <w:t>disappearing from schools</w:t>
      </w:r>
      <w:r w:rsidRPr="00B51A61">
        <w:rPr>
          <w:spacing w:val="-4"/>
          <w:lang w:val="en-GB"/>
        </w:rPr>
        <w:t>,</w:t>
      </w:r>
      <w:r w:rsidR="009624CA" w:rsidRPr="00B51A61">
        <w:rPr>
          <w:spacing w:val="-4"/>
          <w:lang w:val="en-GB"/>
        </w:rPr>
        <w:t xml:space="preserve"> and </w:t>
      </w:r>
      <w:r w:rsidRPr="00B51A61">
        <w:rPr>
          <w:spacing w:val="-4"/>
          <w:lang w:val="en-GB"/>
        </w:rPr>
        <w:t xml:space="preserve">they </w:t>
      </w:r>
      <w:r w:rsidR="009624CA" w:rsidRPr="00B51A61">
        <w:rPr>
          <w:spacing w:val="-4"/>
          <w:lang w:val="en-GB"/>
        </w:rPr>
        <w:t xml:space="preserve">believed that art should be experienced by everyone. The third passion point </w:t>
      </w:r>
      <w:r w:rsidRPr="00B51A61">
        <w:rPr>
          <w:spacing w:val="-4"/>
          <w:lang w:val="en-GB"/>
        </w:rPr>
        <w:t xml:space="preserve">identified </w:t>
      </w:r>
      <w:r w:rsidR="009624CA" w:rsidRPr="00B51A61">
        <w:rPr>
          <w:spacing w:val="-4"/>
          <w:lang w:val="en-GB"/>
        </w:rPr>
        <w:t>was about learning and empathizing to reduce the stigma related to mental health issues. According to potential donors, getting people to talk openly and honestly about mental illness was important. They also strongly believed that mental health was a priority and that it needed to be put at the forefront of the issues to be addressed in schools and in the workplace.</w:t>
      </w:r>
    </w:p>
    <w:p w14:paraId="52E8CB1A" w14:textId="77777777" w:rsidR="009624CA" w:rsidRPr="00096410" w:rsidRDefault="009624CA" w:rsidP="009624CA">
      <w:pPr>
        <w:pStyle w:val="BodyTextMain"/>
        <w:rPr>
          <w:sz w:val="20"/>
          <w:lang w:val="en-GB"/>
        </w:rPr>
      </w:pPr>
    </w:p>
    <w:p w14:paraId="47C47CC9" w14:textId="77777777" w:rsidR="009624CA" w:rsidRPr="00096410" w:rsidRDefault="009624CA" w:rsidP="009624CA">
      <w:pPr>
        <w:pStyle w:val="BodyTextMain"/>
        <w:rPr>
          <w:sz w:val="20"/>
          <w:lang w:val="en-GB"/>
        </w:rPr>
      </w:pPr>
    </w:p>
    <w:p w14:paraId="57F40AC7" w14:textId="77777777" w:rsidR="009624CA" w:rsidRPr="00E859CA" w:rsidRDefault="009624CA" w:rsidP="009624CA">
      <w:pPr>
        <w:pStyle w:val="Casehead1"/>
        <w:rPr>
          <w:lang w:val="en-GB"/>
        </w:rPr>
      </w:pPr>
      <w:r w:rsidRPr="00E859CA">
        <w:rPr>
          <w:lang w:val="en-GB"/>
        </w:rPr>
        <w:t>The Challenge</w:t>
      </w:r>
    </w:p>
    <w:p w14:paraId="484E5360" w14:textId="77777777" w:rsidR="009624CA" w:rsidRPr="00096410" w:rsidRDefault="009624CA" w:rsidP="009624CA">
      <w:pPr>
        <w:pStyle w:val="BodyTextMain"/>
        <w:rPr>
          <w:sz w:val="20"/>
          <w:lang w:val="en-GB"/>
        </w:rPr>
      </w:pPr>
    </w:p>
    <w:p w14:paraId="7FE176F8" w14:textId="1648CF3E" w:rsidR="009624CA" w:rsidRPr="00E859CA" w:rsidRDefault="009624CA" w:rsidP="009624CA">
      <w:pPr>
        <w:pStyle w:val="BodyTextMain"/>
        <w:rPr>
          <w:spacing w:val="-2"/>
          <w:lang w:val="en-GB"/>
        </w:rPr>
      </w:pPr>
      <w:r w:rsidRPr="00E859CA">
        <w:rPr>
          <w:spacing w:val="-2"/>
          <w:lang w:val="en-GB"/>
        </w:rPr>
        <w:t xml:space="preserve">AWI had </w:t>
      </w:r>
      <w:r w:rsidR="0085580F" w:rsidRPr="00E859CA">
        <w:rPr>
          <w:spacing w:val="-2"/>
          <w:lang w:val="en-GB"/>
        </w:rPr>
        <w:t xml:space="preserve">by this time identified </w:t>
      </w:r>
      <w:r w:rsidRPr="00E859CA">
        <w:rPr>
          <w:spacing w:val="-2"/>
          <w:lang w:val="en-GB"/>
        </w:rPr>
        <w:t xml:space="preserve">a </w:t>
      </w:r>
      <w:r w:rsidR="0085580F" w:rsidRPr="00E859CA">
        <w:rPr>
          <w:spacing w:val="-2"/>
          <w:lang w:val="en-GB"/>
        </w:rPr>
        <w:t xml:space="preserve">key </w:t>
      </w:r>
      <w:r w:rsidRPr="00E859CA">
        <w:rPr>
          <w:spacing w:val="-2"/>
          <w:lang w:val="en-GB"/>
        </w:rPr>
        <w:t xml:space="preserve">problem: </w:t>
      </w:r>
      <w:r w:rsidR="0085580F" w:rsidRPr="00E859CA">
        <w:rPr>
          <w:spacing w:val="-2"/>
          <w:lang w:val="en-GB"/>
        </w:rPr>
        <w:t>h</w:t>
      </w:r>
      <w:r w:rsidRPr="00E859CA">
        <w:rPr>
          <w:spacing w:val="-2"/>
          <w:lang w:val="en-GB"/>
        </w:rPr>
        <w:t xml:space="preserve">ow </w:t>
      </w:r>
      <w:r w:rsidR="00317450">
        <w:rPr>
          <w:spacing w:val="-2"/>
          <w:lang w:val="en-GB"/>
        </w:rPr>
        <w:t>could it</w:t>
      </w:r>
      <w:r w:rsidR="00317450" w:rsidRPr="00E859CA">
        <w:rPr>
          <w:spacing w:val="-2"/>
          <w:lang w:val="en-GB"/>
        </w:rPr>
        <w:t xml:space="preserve"> </w:t>
      </w:r>
      <w:r w:rsidRPr="00E859CA">
        <w:rPr>
          <w:spacing w:val="-2"/>
          <w:lang w:val="en-GB"/>
        </w:rPr>
        <w:t>reach these potential donors? The</w:t>
      </w:r>
      <w:r w:rsidR="0085580F" w:rsidRPr="00E859CA">
        <w:rPr>
          <w:spacing w:val="-2"/>
          <w:lang w:val="en-GB"/>
        </w:rPr>
        <w:t xml:space="preserve"> organization’s</w:t>
      </w:r>
      <w:r w:rsidRPr="00E859CA">
        <w:rPr>
          <w:spacing w:val="-2"/>
          <w:lang w:val="en-GB"/>
        </w:rPr>
        <w:t xml:space="preserve"> goal was to reach a recurring </w:t>
      </w:r>
      <w:r w:rsidR="0085580F" w:rsidRPr="00E859CA">
        <w:rPr>
          <w:spacing w:val="-2"/>
          <w:lang w:val="en-GB"/>
        </w:rPr>
        <w:t xml:space="preserve">donation amount of </w:t>
      </w:r>
      <w:r w:rsidRPr="00E859CA">
        <w:rPr>
          <w:spacing w:val="-2"/>
          <w:lang w:val="en-GB"/>
        </w:rPr>
        <w:t>$500,000 from all funding sources in the United States and $120,000 in Canada. This would fund all the infrastructure th</w:t>
      </w:r>
      <w:r w:rsidR="0085580F" w:rsidRPr="00E859CA">
        <w:rPr>
          <w:spacing w:val="-2"/>
          <w:lang w:val="en-GB"/>
        </w:rPr>
        <w:t>at was</w:t>
      </w:r>
      <w:r w:rsidRPr="00E859CA">
        <w:rPr>
          <w:spacing w:val="-2"/>
          <w:lang w:val="en-GB"/>
        </w:rPr>
        <w:t xml:space="preserve"> needed for the workshops and </w:t>
      </w:r>
      <w:r w:rsidR="00317450">
        <w:rPr>
          <w:spacing w:val="-2"/>
          <w:lang w:val="en-GB"/>
        </w:rPr>
        <w:t xml:space="preserve">for </w:t>
      </w:r>
      <w:r w:rsidR="00317450" w:rsidRPr="00E859CA">
        <w:rPr>
          <w:spacing w:val="-2"/>
          <w:lang w:val="en-GB"/>
        </w:rPr>
        <w:t>expan</w:t>
      </w:r>
      <w:r w:rsidR="00317450">
        <w:rPr>
          <w:spacing w:val="-2"/>
          <w:lang w:val="en-GB"/>
        </w:rPr>
        <w:t>sion of</w:t>
      </w:r>
      <w:r w:rsidR="00317450" w:rsidRPr="00E859CA">
        <w:rPr>
          <w:spacing w:val="-2"/>
          <w:lang w:val="en-GB"/>
        </w:rPr>
        <w:t xml:space="preserve"> </w:t>
      </w:r>
      <w:r w:rsidRPr="00E859CA">
        <w:rPr>
          <w:spacing w:val="-2"/>
          <w:lang w:val="en-GB"/>
        </w:rPr>
        <w:t xml:space="preserve">the film programs to </w:t>
      </w:r>
      <w:r w:rsidR="0085580F" w:rsidRPr="00E859CA">
        <w:rPr>
          <w:spacing w:val="-2"/>
          <w:lang w:val="en-GB"/>
        </w:rPr>
        <w:t>approximately</w:t>
      </w:r>
      <w:r w:rsidRPr="00E859CA">
        <w:rPr>
          <w:spacing w:val="-2"/>
          <w:lang w:val="en-GB"/>
        </w:rPr>
        <w:t xml:space="preserve"> 150 colleges in the United States and 30 in Canada. </w:t>
      </w:r>
      <w:r w:rsidR="0085580F" w:rsidRPr="00E859CA">
        <w:rPr>
          <w:spacing w:val="-2"/>
          <w:lang w:val="en-GB"/>
        </w:rPr>
        <w:t>S</w:t>
      </w:r>
      <w:r w:rsidRPr="00E859CA">
        <w:rPr>
          <w:spacing w:val="-2"/>
          <w:lang w:val="en-GB"/>
        </w:rPr>
        <w:t xml:space="preserve">upplementing the </w:t>
      </w:r>
      <w:r w:rsidR="0085580F" w:rsidRPr="00E859CA">
        <w:rPr>
          <w:spacing w:val="-2"/>
          <w:lang w:val="en-GB"/>
        </w:rPr>
        <w:t>bulk</w:t>
      </w:r>
      <w:r w:rsidRPr="00E859CA">
        <w:rPr>
          <w:spacing w:val="-2"/>
          <w:lang w:val="en-GB"/>
        </w:rPr>
        <w:t xml:space="preserve"> of the funding with small independent donors</w:t>
      </w:r>
      <w:r w:rsidR="0085580F" w:rsidRPr="00E859CA">
        <w:rPr>
          <w:spacing w:val="-2"/>
          <w:lang w:val="en-GB"/>
        </w:rPr>
        <w:t>,</w:t>
      </w:r>
      <w:r w:rsidRPr="00E859CA">
        <w:rPr>
          <w:spacing w:val="-2"/>
          <w:lang w:val="en-GB"/>
        </w:rPr>
        <w:t xml:space="preserve"> to exceed</w:t>
      </w:r>
      <w:r w:rsidR="0085580F" w:rsidRPr="00E859CA">
        <w:rPr>
          <w:spacing w:val="-2"/>
          <w:lang w:val="en-GB"/>
        </w:rPr>
        <w:t xml:space="preserve"> the</w:t>
      </w:r>
      <w:r w:rsidRPr="00E859CA">
        <w:rPr>
          <w:spacing w:val="-2"/>
          <w:lang w:val="en-GB"/>
        </w:rPr>
        <w:t xml:space="preserve"> $620,000</w:t>
      </w:r>
      <w:r w:rsidR="0085580F" w:rsidRPr="00E859CA">
        <w:rPr>
          <w:spacing w:val="-2"/>
          <w:lang w:val="en-GB"/>
        </w:rPr>
        <w:t xml:space="preserve"> target,</w:t>
      </w:r>
      <w:r w:rsidRPr="00E859CA">
        <w:rPr>
          <w:spacing w:val="-2"/>
          <w:lang w:val="en-GB"/>
        </w:rPr>
        <w:t xml:space="preserve"> would be considered a huge success</w:t>
      </w:r>
      <w:r w:rsidR="0085580F" w:rsidRPr="00E859CA">
        <w:rPr>
          <w:spacing w:val="-2"/>
          <w:lang w:val="en-GB"/>
        </w:rPr>
        <w:t>. However</w:t>
      </w:r>
      <w:r w:rsidRPr="00E859CA">
        <w:rPr>
          <w:spacing w:val="-2"/>
          <w:lang w:val="en-GB"/>
        </w:rPr>
        <w:t>, the</w:t>
      </w:r>
      <w:r w:rsidR="0085580F" w:rsidRPr="00E859CA">
        <w:rPr>
          <w:spacing w:val="-2"/>
          <w:lang w:val="en-GB"/>
        </w:rPr>
        <w:t xml:space="preserve"> organization was particularly</w:t>
      </w:r>
      <w:r w:rsidRPr="00E859CA">
        <w:rPr>
          <w:spacing w:val="-2"/>
          <w:lang w:val="en-GB"/>
        </w:rPr>
        <w:t xml:space="preserve"> interested in simply attracting as many small donors as possible</w:t>
      </w:r>
      <w:r w:rsidR="0085580F" w:rsidRPr="00E859CA">
        <w:rPr>
          <w:spacing w:val="-2"/>
          <w:lang w:val="en-GB"/>
        </w:rPr>
        <w:t>, with a</w:t>
      </w:r>
      <w:r w:rsidRPr="00E859CA">
        <w:rPr>
          <w:spacing w:val="-2"/>
          <w:lang w:val="en-GB"/>
        </w:rPr>
        <w:t xml:space="preserve"> goal of reaching 1,000 independent donors</w:t>
      </w:r>
      <w:r w:rsidR="0085580F" w:rsidRPr="00E859CA">
        <w:rPr>
          <w:spacing w:val="-2"/>
          <w:lang w:val="en-GB"/>
        </w:rPr>
        <w:t>. T</w:t>
      </w:r>
      <w:r w:rsidRPr="00E859CA">
        <w:rPr>
          <w:spacing w:val="-2"/>
          <w:lang w:val="en-GB"/>
        </w:rPr>
        <w:t xml:space="preserve">his number would </w:t>
      </w:r>
      <w:r w:rsidR="0085580F" w:rsidRPr="00E859CA">
        <w:rPr>
          <w:spacing w:val="-2"/>
          <w:lang w:val="en-GB"/>
        </w:rPr>
        <w:t>render it</w:t>
      </w:r>
      <w:r w:rsidRPr="00E859CA">
        <w:rPr>
          <w:spacing w:val="-2"/>
          <w:lang w:val="en-GB"/>
        </w:rPr>
        <w:t xml:space="preserve"> worthwhile to hire a marketing research firm to </w:t>
      </w:r>
      <w:r w:rsidR="0085580F" w:rsidRPr="00E859CA">
        <w:rPr>
          <w:spacing w:val="-2"/>
          <w:lang w:val="en-GB"/>
        </w:rPr>
        <w:t xml:space="preserve">better </w:t>
      </w:r>
      <w:r w:rsidRPr="00E859CA">
        <w:rPr>
          <w:spacing w:val="-2"/>
          <w:lang w:val="en-GB"/>
        </w:rPr>
        <w:t>understand the</w:t>
      </w:r>
      <w:r w:rsidR="0085580F" w:rsidRPr="00E859CA">
        <w:rPr>
          <w:spacing w:val="-2"/>
          <w:lang w:val="en-GB"/>
        </w:rPr>
        <w:t xml:space="preserve"> typical AWI</w:t>
      </w:r>
      <w:r w:rsidRPr="00E859CA">
        <w:rPr>
          <w:spacing w:val="-2"/>
          <w:lang w:val="en-GB"/>
        </w:rPr>
        <w:t xml:space="preserve"> donor</w:t>
      </w:r>
      <w:r w:rsidR="0085580F" w:rsidRPr="00E859CA">
        <w:rPr>
          <w:spacing w:val="-2"/>
          <w:lang w:val="en-GB"/>
        </w:rPr>
        <w:t xml:space="preserve"> and</w:t>
      </w:r>
      <w:r w:rsidRPr="00E859CA">
        <w:rPr>
          <w:spacing w:val="-2"/>
          <w:lang w:val="en-GB"/>
        </w:rPr>
        <w:t xml:space="preserve"> refine </w:t>
      </w:r>
      <w:r w:rsidR="0085580F" w:rsidRPr="00E859CA">
        <w:rPr>
          <w:spacing w:val="-2"/>
          <w:lang w:val="en-GB"/>
        </w:rPr>
        <w:t>future</w:t>
      </w:r>
      <w:r w:rsidRPr="00E859CA">
        <w:rPr>
          <w:spacing w:val="-2"/>
          <w:lang w:val="en-GB"/>
        </w:rPr>
        <w:t xml:space="preserve"> fundraising strateg</w:t>
      </w:r>
      <w:r w:rsidR="0085580F" w:rsidRPr="00E859CA">
        <w:rPr>
          <w:spacing w:val="-2"/>
          <w:lang w:val="en-GB"/>
        </w:rPr>
        <w:t>ies</w:t>
      </w:r>
      <w:r w:rsidRPr="00E859CA">
        <w:rPr>
          <w:spacing w:val="-2"/>
          <w:lang w:val="en-GB"/>
        </w:rPr>
        <w:t>.</w:t>
      </w:r>
    </w:p>
    <w:p w14:paraId="079DF3EB" w14:textId="77777777" w:rsidR="009624CA" w:rsidRPr="00096410" w:rsidRDefault="009624CA" w:rsidP="009624CA">
      <w:pPr>
        <w:pStyle w:val="BodyTextMain"/>
        <w:rPr>
          <w:sz w:val="20"/>
          <w:lang w:val="en-GB"/>
        </w:rPr>
      </w:pPr>
    </w:p>
    <w:p w14:paraId="51A34088" w14:textId="02434ADB" w:rsidR="009624CA" w:rsidRPr="00E859CA" w:rsidRDefault="007E3983" w:rsidP="009624CA">
      <w:pPr>
        <w:pStyle w:val="BodyTextMain"/>
        <w:rPr>
          <w:lang w:val="en-GB"/>
        </w:rPr>
      </w:pPr>
      <w:r w:rsidRPr="00E859CA">
        <w:rPr>
          <w:lang w:val="en-GB"/>
        </w:rPr>
        <w:t>A</w:t>
      </w:r>
      <w:r w:rsidR="009624CA" w:rsidRPr="00E859CA">
        <w:rPr>
          <w:lang w:val="en-GB"/>
        </w:rPr>
        <w:t>W</w:t>
      </w:r>
      <w:r w:rsidRPr="00E859CA">
        <w:rPr>
          <w:lang w:val="en-GB"/>
        </w:rPr>
        <w:t>I</w:t>
      </w:r>
      <w:r w:rsidR="009624CA" w:rsidRPr="00E859CA">
        <w:rPr>
          <w:lang w:val="en-GB"/>
        </w:rPr>
        <w:t xml:space="preserve"> had used direct email and social media outreach in the past, </w:t>
      </w:r>
      <w:r w:rsidRPr="00E859CA">
        <w:rPr>
          <w:lang w:val="en-GB"/>
        </w:rPr>
        <w:t>but McQueen</w:t>
      </w:r>
      <w:r w:rsidR="009624CA" w:rsidRPr="00E859CA">
        <w:rPr>
          <w:lang w:val="en-GB"/>
        </w:rPr>
        <w:t xml:space="preserve"> believed </w:t>
      </w:r>
      <w:r w:rsidRPr="00E859CA">
        <w:rPr>
          <w:lang w:val="en-GB"/>
        </w:rPr>
        <w:t>that these tools</w:t>
      </w:r>
      <w:r w:rsidR="009624CA" w:rsidRPr="00E859CA">
        <w:rPr>
          <w:lang w:val="en-GB"/>
        </w:rPr>
        <w:t xml:space="preserve"> were not </w:t>
      </w:r>
      <w:r w:rsidRPr="00E859CA">
        <w:rPr>
          <w:lang w:val="en-GB"/>
        </w:rPr>
        <w:t xml:space="preserve">being </w:t>
      </w:r>
      <w:r w:rsidR="009624CA" w:rsidRPr="00E859CA">
        <w:rPr>
          <w:lang w:val="en-GB"/>
        </w:rPr>
        <w:t>us</w:t>
      </w:r>
      <w:r w:rsidRPr="00E859CA">
        <w:rPr>
          <w:lang w:val="en-GB"/>
        </w:rPr>
        <w:t>ed</w:t>
      </w:r>
      <w:r w:rsidR="009624CA" w:rsidRPr="00E859CA">
        <w:rPr>
          <w:lang w:val="en-GB"/>
        </w:rPr>
        <w:t xml:space="preserve"> to </w:t>
      </w:r>
      <w:r w:rsidRPr="00E859CA">
        <w:rPr>
          <w:lang w:val="en-GB"/>
        </w:rPr>
        <w:t>their</w:t>
      </w:r>
      <w:r w:rsidR="009624CA" w:rsidRPr="00E859CA">
        <w:rPr>
          <w:lang w:val="en-GB"/>
        </w:rPr>
        <w:t xml:space="preserve"> full potential. </w:t>
      </w:r>
      <w:r w:rsidRPr="00E859CA">
        <w:rPr>
          <w:lang w:val="en-GB"/>
        </w:rPr>
        <w:t>S</w:t>
      </w:r>
      <w:r w:rsidR="009624CA" w:rsidRPr="00E859CA">
        <w:rPr>
          <w:lang w:val="en-GB"/>
        </w:rPr>
        <w:t xml:space="preserve">omething </w:t>
      </w:r>
      <w:r w:rsidRPr="00E859CA">
        <w:rPr>
          <w:lang w:val="en-GB"/>
        </w:rPr>
        <w:t xml:space="preserve">more was needed </w:t>
      </w:r>
      <w:r w:rsidR="009624CA" w:rsidRPr="00E859CA">
        <w:rPr>
          <w:lang w:val="en-GB"/>
        </w:rPr>
        <w:t xml:space="preserve">that </w:t>
      </w:r>
      <w:r w:rsidRPr="00E859CA">
        <w:rPr>
          <w:lang w:val="en-GB"/>
        </w:rPr>
        <w:t xml:space="preserve">could </w:t>
      </w:r>
      <w:r w:rsidR="009624CA" w:rsidRPr="00E859CA">
        <w:rPr>
          <w:lang w:val="en-GB"/>
        </w:rPr>
        <w:t>be share</w:t>
      </w:r>
      <w:r w:rsidRPr="00E859CA">
        <w:rPr>
          <w:lang w:val="en-GB"/>
        </w:rPr>
        <w:t>d</w:t>
      </w:r>
      <w:r w:rsidR="009624CA" w:rsidRPr="00E859CA">
        <w:rPr>
          <w:lang w:val="en-GB"/>
        </w:rPr>
        <w:t xml:space="preserve"> and carried beyond the</w:t>
      </w:r>
      <w:r w:rsidRPr="00E859CA">
        <w:rPr>
          <w:lang w:val="en-GB"/>
        </w:rPr>
        <w:t xml:space="preserve"> circle of</w:t>
      </w:r>
      <w:r w:rsidR="009624CA" w:rsidRPr="00E859CA">
        <w:rPr>
          <w:lang w:val="en-GB"/>
        </w:rPr>
        <w:t xml:space="preserve"> immediate friends and family. </w:t>
      </w:r>
      <w:r w:rsidR="001E442A" w:rsidRPr="00E859CA">
        <w:rPr>
          <w:lang w:val="en-GB"/>
        </w:rPr>
        <w:t>Although some</w:t>
      </w:r>
      <w:r w:rsidR="009624CA" w:rsidRPr="00E859CA">
        <w:rPr>
          <w:lang w:val="en-GB"/>
        </w:rPr>
        <w:t xml:space="preserve"> charities </w:t>
      </w:r>
      <w:r w:rsidR="001E442A" w:rsidRPr="00E859CA">
        <w:rPr>
          <w:lang w:val="en-GB"/>
        </w:rPr>
        <w:t>had been successful with</w:t>
      </w:r>
      <w:r w:rsidR="009624CA" w:rsidRPr="00E859CA">
        <w:rPr>
          <w:lang w:val="en-GB"/>
        </w:rPr>
        <w:t xml:space="preserve"> social media</w:t>
      </w:r>
      <w:r w:rsidR="001E442A" w:rsidRPr="00E859CA">
        <w:rPr>
          <w:lang w:val="en-GB"/>
        </w:rPr>
        <w:t xml:space="preserve"> campaigns</w:t>
      </w:r>
      <w:r w:rsidR="009624CA" w:rsidRPr="00E859CA">
        <w:rPr>
          <w:lang w:val="en-GB"/>
        </w:rPr>
        <w:t xml:space="preserve">, </w:t>
      </w:r>
      <w:r w:rsidR="001E442A" w:rsidRPr="00E859CA">
        <w:rPr>
          <w:lang w:val="en-GB"/>
        </w:rPr>
        <w:t>it seemed that</w:t>
      </w:r>
      <w:r w:rsidR="00D30074" w:rsidRPr="00E859CA">
        <w:rPr>
          <w:lang w:val="en-GB"/>
        </w:rPr>
        <w:t xml:space="preserve"> for</w:t>
      </w:r>
      <w:r w:rsidR="009624CA" w:rsidRPr="00E859CA">
        <w:rPr>
          <w:lang w:val="en-GB"/>
        </w:rPr>
        <w:t xml:space="preserve"> every success</w:t>
      </w:r>
      <w:r w:rsidR="00317450">
        <w:rPr>
          <w:lang w:val="en-GB"/>
        </w:rPr>
        <w:t>,</w:t>
      </w:r>
      <w:r w:rsidR="009624CA" w:rsidRPr="00E859CA">
        <w:rPr>
          <w:lang w:val="en-GB"/>
        </w:rPr>
        <w:t xml:space="preserve"> there were hundreds of attempts that failed. </w:t>
      </w:r>
      <w:r w:rsidR="00D30074" w:rsidRPr="00E859CA">
        <w:rPr>
          <w:lang w:val="en-GB"/>
        </w:rPr>
        <w:t>McQueen</w:t>
      </w:r>
      <w:r w:rsidR="009624CA" w:rsidRPr="00E859CA">
        <w:rPr>
          <w:lang w:val="en-GB"/>
        </w:rPr>
        <w:t xml:space="preserve"> knew </w:t>
      </w:r>
      <w:r w:rsidR="00D30074" w:rsidRPr="00E859CA">
        <w:rPr>
          <w:lang w:val="en-GB"/>
        </w:rPr>
        <w:t xml:space="preserve">that </w:t>
      </w:r>
      <w:r w:rsidR="009624CA" w:rsidRPr="00E859CA">
        <w:rPr>
          <w:lang w:val="en-GB"/>
        </w:rPr>
        <w:t xml:space="preserve">a clear strategy was necessary, but who </w:t>
      </w:r>
      <w:r w:rsidR="00D30074" w:rsidRPr="00E859CA">
        <w:rPr>
          <w:lang w:val="en-GB"/>
        </w:rPr>
        <w:t>should be</w:t>
      </w:r>
      <w:r w:rsidR="009624CA" w:rsidRPr="00E859CA">
        <w:rPr>
          <w:lang w:val="en-GB"/>
        </w:rPr>
        <w:t xml:space="preserve"> target</w:t>
      </w:r>
      <w:r w:rsidR="00D30074" w:rsidRPr="00E859CA">
        <w:rPr>
          <w:lang w:val="en-GB"/>
        </w:rPr>
        <w:t>ed and what</w:t>
      </w:r>
      <w:r w:rsidR="009624CA" w:rsidRPr="00E859CA">
        <w:rPr>
          <w:lang w:val="en-GB"/>
        </w:rPr>
        <w:t xml:space="preserve"> message </w:t>
      </w:r>
      <w:r w:rsidR="00D30074" w:rsidRPr="00E859CA">
        <w:rPr>
          <w:lang w:val="en-GB"/>
        </w:rPr>
        <w:t>should be sent?</w:t>
      </w:r>
      <w:r w:rsidR="009624CA" w:rsidRPr="00E859CA">
        <w:rPr>
          <w:lang w:val="en-GB"/>
        </w:rPr>
        <w:t xml:space="preserve"> </w:t>
      </w:r>
      <w:r w:rsidR="00D30074" w:rsidRPr="00E859CA">
        <w:rPr>
          <w:lang w:val="en-GB"/>
        </w:rPr>
        <w:t>AW</w:t>
      </w:r>
      <w:r w:rsidR="009624CA" w:rsidRPr="00E859CA">
        <w:rPr>
          <w:lang w:val="en-GB"/>
        </w:rPr>
        <w:t xml:space="preserve">I had </w:t>
      </w:r>
      <w:r w:rsidR="00D30074" w:rsidRPr="00E859CA">
        <w:rPr>
          <w:lang w:val="en-GB"/>
        </w:rPr>
        <w:t>found it</w:t>
      </w:r>
      <w:r w:rsidR="009624CA" w:rsidRPr="00E859CA">
        <w:rPr>
          <w:lang w:val="en-GB"/>
        </w:rPr>
        <w:t xml:space="preserve"> difficult in the past to communicate the benefits and uniqueness of what the</w:t>
      </w:r>
      <w:r w:rsidR="00D30074" w:rsidRPr="00E859CA">
        <w:rPr>
          <w:lang w:val="en-GB"/>
        </w:rPr>
        <w:t xml:space="preserve"> organization did</w:t>
      </w:r>
      <w:r w:rsidR="00BE290B" w:rsidRPr="00E859CA">
        <w:rPr>
          <w:lang w:val="en-GB"/>
        </w:rPr>
        <w:t>, and</w:t>
      </w:r>
      <w:r w:rsidR="009624CA" w:rsidRPr="00E859CA">
        <w:rPr>
          <w:lang w:val="en-GB"/>
        </w:rPr>
        <w:t xml:space="preserve"> how </w:t>
      </w:r>
      <w:r w:rsidR="00D30074" w:rsidRPr="00E859CA">
        <w:rPr>
          <w:lang w:val="en-GB"/>
        </w:rPr>
        <w:t>i</w:t>
      </w:r>
      <w:r w:rsidR="009624CA" w:rsidRPr="00E859CA">
        <w:rPr>
          <w:lang w:val="en-GB"/>
        </w:rPr>
        <w:t xml:space="preserve">t did it. And the confined space and </w:t>
      </w:r>
      <w:r w:rsidR="00317450" w:rsidRPr="00E859CA">
        <w:rPr>
          <w:lang w:val="en-GB"/>
        </w:rPr>
        <w:t>fleeting</w:t>
      </w:r>
      <w:r w:rsidR="00317450">
        <w:rPr>
          <w:lang w:val="en-GB"/>
        </w:rPr>
        <w:t xml:space="preserve"> nature</w:t>
      </w:r>
      <w:r w:rsidR="00317450" w:rsidRPr="00E859CA">
        <w:rPr>
          <w:lang w:val="en-GB"/>
        </w:rPr>
        <w:t xml:space="preserve"> </w:t>
      </w:r>
      <w:r w:rsidR="009624CA" w:rsidRPr="00E859CA">
        <w:rPr>
          <w:lang w:val="en-GB"/>
        </w:rPr>
        <w:t xml:space="preserve">of the social media medium only made this more of a challenge. </w:t>
      </w:r>
      <w:r w:rsidR="00D30074" w:rsidRPr="00E859CA">
        <w:rPr>
          <w:lang w:val="en-GB"/>
        </w:rPr>
        <w:t>W</w:t>
      </w:r>
      <w:r w:rsidR="009624CA" w:rsidRPr="00E859CA">
        <w:rPr>
          <w:lang w:val="en-GB"/>
        </w:rPr>
        <w:t xml:space="preserve">hatever strategy </w:t>
      </w:r>
      <w:r w:rsidR="00D30074" w:rsidRPr="00E859CA">
        <w:rPr>
          <w:lang w:val="en-GB"/>
        </w:rPr>
        <w:t>AWI</w:t>
      </w:r>
      <w:r w:rsidR="009624CA" w:rsidRPr="00E859CA">
        <w:rPr>
          <w:lang w:val="en-GB"/>
        </w:rPr>
        <w:t xml:space="preserve"> chose, the</w:t>
      </w:r>
      <w:r w:rsidR="00D30074" w:rsidRPr="00E859CA">
        <w:rPr>
          <w:lang w:val="en-GB"/>
        </w:rPr>
        <w:t xml:space="preserve"> organization’s</w:t>
      </w:r>
      <w:r w:rsidR="009624CA" w:rsidRPr="00E859CA">
        <w:rPr>
          <w:lang w:val="en-GB"/>
        </w:rPr>
        <w:t xml:space="preserve"> unique proposition </w:t>
      </w:r>
      <w:r w:rsidR="00D30074" w:rsidRPr="00E859CA">
        <w:rPr>
          <w:lang w:val="en-GB"/>
        </w:rPr>
        <w:t>needed to be</w:t>
      </w:r>
      <w:r w:rsidR="009624CA" w:rsidRPr="00E859CA">
        <w:rPr>
          <w:lang w:val="en-GB"/>
        </w:rPr>
        <w:t xml:space="preserve"> communicated accurately.</w:t>
      </w:r>
    </w:p>
    <w:p w14:paraId="7EEF8A27" w14:textId="77777777" w:rsidR="009624CA" w:rsidRPr="00096410" w:rsidRDefault="009624CA" w:rsidP="009624CA">
      <w:pPr>
        <w:pStyle w:val="BodyTextMain"/>
        <w:rPr>
          <w:sz w:val="20"/>
          <w:lang w:val="en-GB"/>
        </w:rPr>
      </w:pPr>
    </w:p>
    <w:p w14:paraId="4693F7D3" w14:textId="71F50D2B" w:rsidR="009624CA" w:rsidRPr="00E859CA" w:rsidRDefault="009F6112" w:rsidP="009624CA">
      <w:pPr>
        <w:pStyle w:val="BodyTextMain"/>
        <w:rPr>
          <w:lang w:val="en-GB"/>
        </w:rPr>
      </w:pPr>
      <w:r w:rsidRPr="00E859CA">
        <w:rPr>
          <w:lang w:val="en-GB"/>
        </w:rPr>
        <w:t>Although the goal was</w:t>
      </w:r>
      <w:r w:rsidR="009624CA" w:rsidRPr="00E859CA">
        <w:rPr>
          <w:lang w:val="en-GB"/>
        </w:rPr>
        <w:t xml:space="preserve"> to raise as much money as possible, </w:t>
      </w:r>
      <w:r w:rsidRPr="00E859CA">
        <w:rPr>
          <w:lang w:val="en-GB"/>
        </w:rPr>
        <w:t>the funding needed to be</w:t>
      </w:r>
      <w:r w:rsidR="009624CA" w:rsidRPr="00E859CA">
        <w:rPr>
          <w:lang w:val="en-GB"/>
        </w:rPr>
        <w:t xml:space="preserve"> diversif</w:t>
      </w:r>
      <w:r w:rsidRPr="00E859CA">
        <w:rPr>
          <w:lang w:val="en-GB"/>
        </w:rPr>
        <w:t>ied</w:t>
      </w:r>
      <w:r w:rsidR="009624CA" w:rsidRPr="00E859CA">
        <w:rPr>
          <w:lang w:val="en-GB"/>
        </w:rPr>
        <w:t>. Was the</w:t>
      </w:r>
      <w:r w:rsidR="00A03ACA">
        <w:rPr>
          <w:lang w:val="en-GB"/>
        </w:rPr>
        <w:t>re an</w:t>
      </w:r>
      <w:r w:rsidR="009624CA" w:rsidRPr="00E859CA">
        <w:rPr>
          <w:lang w:val="en-GB"/>
        </w:rPr>
        <w:t xml:space="preserve"> ideal strategy to achieve high </w:t>
      </w:r>
      <w:r w:rsidRPr="00E859CA">
        <w:rPr>
          <w:lang w:val="en-GB"/>
        </w:rPr>
        <w:t xml:space="preserve">levels of </w:t>
      </w:r>
      <w:r w:rsidR="009624CA" w:rsidRPr="00E859CA">
        <w:rPr>
          <w:lang w:val="en-GB"/>
        </w:rPr>
        <w:t xml:space="preserve">funding and high </w:t>
      </w:r>
      <w:r w:rsidRPr="00E859CA">
        <w:rPr>
          <w:lang w:val="en-GB"/>
        </w:rPr>
        <w:t xml:space="preserve">numbers of </w:t>
      </w:r>
      <w:r w:rsidR="009624CA" w:rsidRPr="00E859CA">
        <w:rPr>
          <w:lang w:val="en-GB"/>
        </w:rPr>
        <w:t xml:space="preserve">donors? Or </w:t>
      </w:r>
      <w:r w:rsidR="00A03ACA">
        <w:rPr>
          <w:lang w:val="en-GB"/>
        </w:rPr>
        <w:t>would it be best to</w:t>
      </w:r>
      <w:r w:rsidR="009624CA" w:rsidRPr="00E859CA">
        <w:rPr>
          <w:lang w:val="en-GB"/>
        </w:rPr>
        <w:t xml:space="preserve"> focus solely on raising the number of donors </w:t>
      </w:r>
      <w:r w:rsidRPr="00E859CA">
        <w:rPr>
          <w:lang w:val="en-GB"/>
        </w:rPr>
        <w:t>to</w:t>
      </w:r>
      <w:r w:rsidR="009624CA" w:rsidRPr="00E859CA">
        <w:rPr>
          <w:lang w:val="en-GB"/>
        </w:rPr>
        <w:t xml:space="preserve"> build a database, collect data, and refine </w:t>
      </w:r>
      <w:r w:rsidRPr="00E859CA">
        <w:rPr>
          <w:lang w:val="en-GB"/>
        </w:rPr>
        <w:t>i</w:t>
      </w:r>
      <w:r w:rsidR="009624CA" w:rsidRPr="00E859CA">
        <w:rPr>
          <w:lang w:val="en-GB"/>
        </w:rPr>
        <w:t>t</w:t>
      </w:r>
      <w:r w:rsidRPr="00E859CA">
        <w:rPr>
          <w:lang w:val="en-GB"/>
        </w:rPr>
        <w:t>s</w:t>
      </w:r>
      <w:r w:rsidR="009624CA" w:rsidRPr="00E859CA">
        <w:rPr>
          <w:lang w:val="en-GB"/>
        </w:rPr>
        <w:t xml:space="preserve"> strategy to collect more</w:t>
      </w:r>
      <w:r w:rsidRPr="00E859CA">
        <w:rPr>
          <w:lang w:val="en-GB"/>
        </w:rPr>
        <w:t xml:space="preserve"> funding</w:t>
      </w:r>
      <w:r w:rsidR="009624CA" w:rsidRPr="00E859CA">
        <w:rPr>
          <w:lang w:val="en-GB"/>
        </w:rPr>
        <w:t xml:space="preserve"> from </w:t>
      </w:r>
      <w:r w:rsidRPr="00E859CA">
        <w:rPr>
          <w:lang w:val="en-GB"/>
        </w:rPr>
        <w:t>AWI’s</w:t>
      </w:r>
      <w:r w:rsidR="009624CA" w:rsidRPr="00E859CA">
        <w:rPr>
          <w:lang w:val="en-GB"/>
        </w:rPr>
        <w:t xml:space="preserve"> donors in the future?</w:t>
      </w:r>
    </w:p>
    <w:p w14:paraId="359724A8" w14:textId="77777777" w:rsidR="009624CA" w:rsidRPr="00E859CA" w:rsidRDefault="009624CA">
      <w:pPr>
        <w:spacing w:after="200" w:line="276" w:lineRule="auto"/>
        <w:rPr>
          <w:sz w:val="22"/>
          <w:szCs w:val="22"/>
          <w:lang w:val="en-GB"/>
        </w:rPr>
      </w:pPr>
      <w:r w:rsidRPr="00E859CA">
        <w:rPr>
          <w:lang w:val="en-GB"/>
        </w:rPr>
        <w:br w:type="page"/>
      </w:r>
    </w:p>
    <w:p w14:paraId="0266140E" w14:textId="61073217" w:rsidR="009624CA" w:rsidRPr="00096410" w:rsidRDefault="009624CA" w:rsidP="00096410">
      <w:pPr>
        <w:pStyle w:val="ExhibitHeading"/>
        <w:rPr>
          <w:rFonts w:eastAsia="Calibri"/>
        </w:rPr>
      </w:pPr>
      <w:r w:rsidRPr="00096410">
        <w:rPr>
          <w:rFonts w:eastAsia="Calibri"/>
        </w:rPr>
        <w:lastRenderedPageBreak/>
        <w:t>EXHIBIT 1: 2016</w:t>
      </w:r>
      <w:r w:rsidR="00BE290B" w:rsidRPr="00096410">
        <w:rPr>
          <w:rFonts w:eastAsia="Calibri"/>
        </w:rPr>
        <w:t>–</w:t>
      </w:r>
      <w:r w:rsidRPr="00096410">
        <w:rPr>
          <w:rFonts w:eastAsia="Calibri"/>
        </w:rPr>
        <w:t>17 Funding Sources and Summary</w:t>
      </w:r>
    </w:p>
    <w:p w14:paraId="211C1A74" w14:textId="77777777" w:rsidR="00931E7C" w:rsidRPr="00E859CA" w:rsidRDefault="00931E7C" w:rsidP="00931E7C">
      <w:pPr>
        <w:pStyle w:val="BodyTextMain"/>
        <w:rPr>
          <w:rFonts w:eastAsia="Calibri"/>
          <w:lang w:val="en-GB"/>
        </w:rPr>
      </w:pPr>
    </w:p>
    <w:tbl>
      <w:tblPr>
        <w:tblStyle w:val="TableGrid1"/>
        <w:tblW w:w="0" w:type="auto"/>
        <w:jc w:val="center"/>
        <w:tblLook w:val="04A0" w:firstRow="1" w:lastRow="0" w:firstColumn="1" w:lastColumn="0" w:noHBand="0" w:noVBand="1"/>
      </w:tblPr>
      <w:tblGrid>
        <w:gridCol w:w="513"/>
        <w:gridCol w:w="403"/>
        <w:gridCol w:w="5425"/>
        <w:gridCol w:w="1522"/>
        <w:gridCol w:w="1497"/>
      </w:tblGrid>
      <w:tr w:rsidR="00931E7C" w:rsidRPr="00E859CA" w14:paraId="3B9FB838" w14:textId="77777777" w:rsidTr="008614D5">
        <w:trPr>
          <w:jc w:val="center"/>
        </w:trPr>
        <w:tc>
          <w:tcPr>
            <w:tcW w:w="547" w:type="dxa"/>
            <w:tcBorders>
              <w:top w:val="nil"/>
              <w:left w:val="nil"/>
              <w:bottom w:val="nil"/>
              <w:right w:val="nil"/>
            </w:tcBorders>
          </w:tcPr>
          <w:p w14:paraId="4E2FA4EA" w14:textId="77777777" w:rsidR="00931E7C" w:rsidRPr="00E859CA" w:rsidRDefault="00931E7C" w:rsidP="00931E7C">
            <w:pPr>
              <w:rPr>
                <w:rFonts w:ascii="Arial" w:eastAsia="Calibri" w:hAnsi="Arial" w:cs="Arial"/>
                <w:b/>
                <w:lang w:val="en-GB"/>
              </w:rPr>
            </w:pPr>
          </w:p>
        </w:tc>
        <w:tc>
          <w:tcPr>
            <w:tcW w:w="6280" w:type="dxa"/>
            <w:gridSpan w:val="2"/>
            <w:tcBorders>
              <w:top w:val="nil"/>
              <w:left w:val="nil"/>
              <w:bottom w:val="nil"/>
              <w:right w:val="nil"/>
            </w:tcBorders>
          </w:tcPr>
          <w:p w14:paraId="14D68E83" w14:textId="77777777" w:rsidR="00931E7C" w:rsidRPr="00E859CA" w:rsidRDefault="00931E7C" w:rsidP="00931E7C">
            <w:pPr>
              <w:rPr>
                <w:rFonts w:ascii="Arial" w:eastAsia="Calibri" w:hAnsi="Arial" w:cs="Arial"/>
                <w:b/>
                <w:lang w:val="en-GB"/>
              </w:rPr>
            </w:pPr>
          </w:p>
        </w:tc>
        <w:tc>
          <w:tcPr>
            <w:tcW w:w="3147" w:type="dxa"/>
            <w:gridSpan w:val="2"/>
            <w:tcBorders>
              <w:top w:val="nil"/>
              <w:left w:val="nil"/>
              <w:bottom w:val="nil"/>
              <w:right w:val="nil"/>
            </w:tcBorders>
          </w:tcPr>
          <w:p w14:paraId="0625E17B" w14:textId="2A2E12F0" w:rsidR="00931E7C" w:rsidRPr="00E859CA" w:rsidRDefault="00931E7C" w:rsidP="00931E7C">
            <w:pPr>
              <w:jc w:val="center"/>
              <w:rPr>
                <w:rFonts w:ascii="Arial" w:eastAsia="Calibri" w:hAnsi="Arial" w:cs="Arial"/>
                <w:b/>
                <w:lang w:val="en-GB"/>
              </w:rPr>
            </w:pPr>
            <w:r w:rsidRPr="00E859CA">
              <w:rPr>
                <w:rFonts w:ascii="Arial" w:eastAsia="Calibri" w:hAnsi="Arial" w:cs="Arial"/>
                <w:b/>
                <w:lang w:val="en-GB"/>
              </w:rPr>
              <w:t>Funds (in US</w:t>
            </w:r>
            <w:r w:rsidR="00BE290B" w:rsidRPr="00E859CA">
              <w:rPr>
                <w:rFonts w:ascii="Arial" w:eastAsia="Calibri" w:hAnsi="Arial" w:cs="Arial"/>
                <w:b/>
                <w:lang w:val="en-GB"/>
              </w:rPr>
              <w:t>$</w:t>
            </w:r>
            <w:r w:rsidRPr="00E859CA">
              <w:rPr>
                <w:rFonts w:ascii="Arial" w:eastAsia="Calibri" w:hAnsi="Arial" w:cs="Arial"/>
                <w:b/>
                <w:lang w:val="en-GB"/>
              </w:rPr>
              <w:t>)</w:t>
            </w:r>
          </w:p>
          <w:p w14:paraId="7647CD66" w14:textId="77777777" w:rsidR="00931E7C" w:rsidRPr="00E859CA" w:rsidRDefault="00931E7C" w:rsidP="00931E7C">
            <w:pPr>
              <w:jc w:val="center"/>
              <w:rPr>
                <w:rFonts w:ascii="Arial" w:eastAsia="Calibri" w:hAnsi="Arial" w:cs="Arial"/>
                <w:b/>
                <w:lang w:val="en-GB"/>
              </w:rPr>
            </w:pPr>
          </w:p>
        </w:tc>
      </w:tr>
      <w:tr w:rsidR="00931E7C" w:rsidRPr="00E859CA" w14:paraId="4EE11603" w14:textId="77777777" w:rsidTr="008614D5">
        <w:trPr>
          <w:jc w:val="center"/>
        </w:trPr>
        <w:tc>
          <w:tcPr>
            <w:tcW w:w="547" w:type="dxa"/>
            <w:tcBorders>
              <w:top w:val="nil"/>
              <w:left w:val="nil"/>
              <w:bottom w:val="single" w:sz="4" w:space="0" w:color="auto"/>
              <w:right w:val="nil"/>
            </w:tcBorders>
          </w:tcPr>
          <w:p w14:paraId="796B010D" w14:textId="77777777" w:rsidR="00931E7C" w:rsidRPr="00E859CA" w:rsidRDefault="00931E7C" w:rsidP="00931E7C">
            <w:pPr>
              <w:rPr>
                <w:rFonts w:ascii="Arial" w:eastAsia="Calibri" w:hAnsi="Arial" w:cs="Arial"/>
                <w:b/>
                <w:lang w:val="en-GB"/>
              </w:rPr>
            </w:pPr>
          </w:p>
        </w:tc>
        <w:tc>
          <w:tcPr>
            <w:tcW w:w="6280" w:type="dxa"/>
            <w:gridSpan w:val="2"/>
            <w:tcBorders>
              <w:top w:val="nil"/>
              <w:left w:val="nil"/>
              <w:bottom w:val="single" w:sz="4" w:space="0" w:color="auto"/>
              <w:right w:val="nil"/>
            </w:tcBorders>
          </w:tcPr>
          <w:p w14:paraId="19143F38" w14:textId="77777777" w:rsidR="00931E7C" w:rsidRPr="00E859CA" w:rsidRDefault="00931E7C" w:rsidP="00931E7C">
            <w:pPr>
              <w:rPr>
                <w:rFonts w:ascii="Arial" w:eastAsia="Calibri" w:hAnsi="Arial" w:cs="Arial"/>
                <w:b/>
                <w:lang w:val="en-GB"/>
              </w:rPr>
            </w:pPr>
          </w:p>
        </w:tc>
        <w:tc>
          <w:tcPr>
            <w:tcW w:w="1588" w:type="dxa"/>
            <w:tcBorders>
              <w:top w:val="nil"/>
              <w:left w:val="nil"/>
              <w:bottom w:val="single" w:sz="4" w:space="0" w:color="auto"/>
              <w:right w:val="nil"/>
            </w:tcBorders>
          </w:tcPr>
          <w:p w14:paraId="38CA059C" w14:textId="4840847E" w:rsidR="00931E7C" w:rsidRPr="00E859CA" w:rsidRDefault="00931E7C" w:rsidP="00931E7C">
            <w:pPr>
              <w:jc w:val="center"/>
              <w:rPr>
                <w:rFonts w:ascii="Arial" w:eastAsia="Calibri" w:hAnsi="Arial" w:cs="Arial"/>
                <w:b/>
                <w:lang w:val="en-GB"/>
              </w:rPr>
            </w:pPr>
            <w:r w:rsidRPr="00E859CA">
              <w:rPr>
                <w:rFonts w:ascii="Arial" w:eastAsia="Calibri" w:hAnsi="Arial" w:cs="Arial"/>
                <w:b/>
                <w:lang w:val="en-GB"/>
              </w:rPr>
              <w:t>U</w:t>
            </w:r>
            <w:r w:rsidR="00BE290B" w:rsidRPr="00E859CA">
              <w:rPr>
                <w:rFonts w:ascii="Arial" w:eastAsia="Calibri" w:hAnsi="Arial" w:cs="Arial"/>
                <w:b/>
                <w:lang w:val="en-GB"/>
              </w:rPr>
              <w:t xml:space="preserve">nited </w:t>
            </w:r>
            <w:r w:rsidRPr="00E859CA">
              <w:rPr>
                <w:rFonts w:ascii="Arial" w:eastAsia="Calibri" w:hAnsi="Arial" w:cs="Arial"/>
                <w:b/>
                <w:lang w:val="en-GB"/>
              </w:rPr>
              <w:t>S</w:t>
            </w:r>
            <w:r w:rsidR="00BE290B" w:rsidRPr="00E859CA">
              <w:rPr>
                <w:rFonts w:ascii="Arial" w:eastAsia="Calibri" w:hAnsi="Arial" w:cs="Arial"/>
                <w:b/>
                <w:lang w:val="en-GB"/>
              </w:rPr>
              <w:t>tates</w:t>
            </w:r>
          </w:p>
        </w:tc>
        <w:tc>
          <w:tcPr>
            <w:tcW w:w="1559" w:type="dxa"/>
            <w:tcBorders>
              <w:top w:val="nil"/>
              <w:left w:val="nil"/>
              <w:bottom w:val="single" w:sz="4" w:space="0" w:color="auto"/>
              <w:right w:val="nil"/>
            </w:tcBorders>
          </w:tcPr>
          <w:p w14:paraId="39460957" w14:textId="77777777" w:rsidR="00931E7C" w:rsidRPr="00E859CA" w:rsidRDefault="00931E7C" w:rsidP="00931E7C">
            <w:pPr>
              <w:jc w:val="center"/>
              <w:rPr>
                <w:rFonts w:ascii="Arial" w:eastAsia="Calibri" w:hAnsi="Arial" w:cs="Arial"/>
                <w:b/>
                <w:lang w:val="en-GB"/>
              </w:rPr>
            </w:pPr>
            <w:r w:rsidRPr="00E859CA">
              <w:rPr>
                <w:rFonts w:ascii="Arial" w:eastAsia="Calibri" w:hAnsi="Arial" w:cs="Arial"/>
                <w:b/>
                <w:lang w:val="en-GB"/>
              </w:rPr>
              <w:t>Canada</w:t>
            </w:r>
          </w:p>
        </w:tc>
      </w:tr>
      <w:tr w:rsidR="00931E7C" w:rsidRPr="00E859CA" w14:paraId="361D3D25" w14:textId="77777777" w:rsidTr="008614D5">
        <w:trPr>
          <w:jc w:val="center"/>
        </w:trPr>
        <w:tc>
          <w:tcPr>
            <w:tcW w:w="6827" w:type="dxa"/>
            <w:gridSpan w:val="3"/>
            <w:tcBorders>
              <w:top w:val="nil"/>
              <w:left w:val="nil"/>
              <w:bottom w:val="nil"/>
              <w:right w:val="nil"/>
            </w:tcBorders>
          </w:tcPr>
          <w:p w14:paraId="2C164EE7" w14:textId="4D28F192" w:rsidR="00931E7C" w:rsidRPr="00E859CA" w:rsidRDefault="00A514F5" w:rsidP="00931E7C">
            <w:pPr>
              <w:rPr>
                <w:rFonts w:ascii="Arial" w:eastAsia="Calibri" w:hAnsi="Arial" w:cs="Arial"/>
                <w:b/>
                <w:lang w:val="en-GB"/>
              </w:rPr>
            </w:pPr>
            <w:r w:rsidRPr="00E859CA">
              <w:rPr>
                <w:rFonts w:ascii="Arial" w:eastAsia="Calibri" w:hAnsi="Arial" w:cs="Arial"/>
                <w:b/>
                <w:lang w:val="en-GB"/>
              </w:rPr>
              <w:t>Revenue</w:t>
            </w:r>
          </w:p>
        </w:tc>
        <w:tc>
          <w:tcPr>
            <w:tcW w:w="1588" w:type="dxa"/>
            <w:tcBorders>
              <w:top w:val="nil"/>
              <w:left w:val="nil"/>
              <w:bottom w:val="nil"/>
              <w:right w:val="nil"/>
            </w:tcBorders>
          </w:tcPr>
          <w:p w14:paraId="6EDDB747" w14:textId="77777777" w:rsidR="00931E7C" w:rsidRPr="00E859CA" w:rsidRDefault="00931E7C" w:rsidP="00931E7C">
            <w:pPr>
              <w:jc w:val="center"/>
              <w:rPr>
                <w:rFonts w:ascii="Arial" w:eastAsia="Calibri" w:hAnsi="Arial" w:cs="Arial"/>
                <w:b/>
                <w:lang w:val="en-GB"/>
              </w:rPr>
            </w:pPr>
          </w:p>
        </w:tc>
        <w:tc>
          <w:tcPr>
            <w:tcW w:w="1559" w:type="dxa"/>
            <w:tcBorders>
              <w:top w:val="nil"/>
              <w:left w:val="nil"/>
              <w:bottom w:val="nil"/>
              <w:right w:val="nil"/>
            </w:tcBorders>
          </w:tcPr>
          <w:p w14:paraId="4ACD03F2" w14:textId="77777777" w:rsidR="00931E7C" w:rsidRPr="00E859CA" w:rsidRDefault="00931E7C" w:rsidP="00931E7C">
            <w:pPr>
              <w:jc w:val="center"/>
              <w:rPr>
                <w:rFonts w:ascii="Arial" w:eastAsia="Calibri" w:hAnsi="Arial" w:cs="Arial"/>
                <w:b/>
                <w:lang w:val="en-GB"/>
              </w:rPr>
            </w:pPr>
          </w:p>
        </w:tc>
      </w:tr>
      <w:tr w:rsidR="00931E7C" w:rsidRPr="00E859CA" w14:paraId="720ECD33" w14:textId="77777777" w:rsidTr="00931E7C">
        <w:trPr>
          <w:trHeight w:val="70"/>
          <w:jc w:val="center"/>
        </w:trPr>
        <w:tc>
          <w:tcPr>
            <w:tcW w:w="547" w:type="dxa"/>
            <w:tcBorders>
              <w:top w:val="nil"/>
              <w:left w:val="nil"/>
              <w:bottom w:val="nil"/>
              <w:right w:val="nil"/>
            </w:tcBorders>
          </w:tcPr>
          <w:p w14:paraId="1ABF934E"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4282C92A" w14:textId="77777777" w:rsidR="00931E7C" w:rsidRPr="00E859CA" w:rsidRDefault="00931E7C" w:rsidP="00931E7C">
            <w:pPr>
              <w:rPr>
                <w:rFonts w:ascii="Arial" w:eastAsia="Calibri" w:hAnsi="Arial" w:cs="Arial"/>
                <w:lang w:val="en-GB"/>
              </w:rPr>
            </w:pPr>
            <w:r w:rsidRPr="00E859CA">
              <w:rPr>
                <w:rFonts w:ascii="Arial" w:eastAsia="Calibri" w:hAnsi="Arial" w:cs="Arial"/>
                <w:lang w:val="en-GB"/>
              </w:rPr>
              <w:t>Government</w:t>
            </w:r>
          </w:p>
        </w:tc>
        <w:tc>
          <w:tcPr>
            <w:tcW w:w="1588" w:type="dxa"/>
            <w:tcBorders>
              <w:top w:val="nil"/>
              <w:left w:val="nil"/>
              <w:bottom w:val="nil"/>
              <w:right w:val="nil"/>
            </w:tcBorders>
          </w:tcPr>
          <w:p w14:paraId="2E6C2215" w14:textId="77777777" w:rsidR="00931E7C" w:rsidRPr="00E859CA" w:rsidRDefault="00931E7C" w:rsidP="00931E7C">
            <w:pPr>
              <w:rPr>
                <w:rFonts w:ascii="Arial" w:eastAsia="Calibri" w:hAnsi="Arial" w:cs="Arial"/>
                <w:lang w:val="en-GB"/>
              </w:rPr>
            </w:pPr>
          </w:p>
        </w:tc>
        <w:tc>
          <w:tcPr>
            <w:tcW w:w="1559" w:type="dxa"/>
            <w:tcBorders>
              <w:top w:val="nil"/>
              <w:left w:val="nil"/>
              <w:bottom w:val="nil"/>
              <w:right w:val="nil"/>
            </w:tcBorders>
          </w:tcPr>
          <w:p w14:paraId="05644098" w14:textId="77777777" w:rsidR="00931E7C" w:rsidRPr="00E859CA" w:rsidRDefault="00931E7C" w:rsidP="00931E7C">
            <w:pPr>
              <w:rPr>
                <w:rFonts w:ascii="Arial" w:eastAsia="Calibri" w:hAnsi="Arial" w:cs="Arial"/>
                <w:lang w:val="en-GB"/>
              </w:rPr>
            </w:pPr>
          </w:p>
        </w:tc>
      </w:tr>
      <w:tr w:rsidR="00931E7C" w:rsidRPr="00E859CA" w14:paraId="65170104" w14:textId="77777777" w:rsidTr="008614D5">
        <w:trPr>
          <w:trHeight w:val="279"/>
          <w:jc w:val="center"/>
        </w:trPr>
        <w:tc>
          <w:tcPr>
            <w:tcW w:w="547" w:type="dxa"/>
            <w:tcBorders>
              <w:top w:val="nil"/>
              <w:left w:val="nil"/>
              <w:bottom w:val="nil"/>
              <w:right w:val="nil"/>
            </w:tcBorders>
          </w:tcPr>
          <w:p w14:paraId="3CE31065" w14:textId="77777777" w:rsidR="00931E7C" w:rsidRPr="00E859CA" w:rsidRDefault="00931E7C" w:rsidP="00931E7C">
            <w:pPr>
              <w:rPr>
                <w:rFonts w:ascii="Arial" w:eastAsia="Calibri" w:hAnsi="Arial" w:cs="Arial"/>
                <w:lang w:val="en-GB"/>
              </w:rPr>
            </w:pPr>
          </w:p>
        </w:tc>
        <w:tc>
          <w:tcPr>
            <w:tcW w:w="423" w:type="dxa"/>
            <w:tcBorders>
              <w:top w:val="nil"/>
              <w:left w:val="nil"/>
              <w:bottom w:val="nil"/>
              <w:right w:val="nil"/>
            </w:tcBorders>
          </w:tcPr>
          <w:p w14:paraId="6DF8B7B3" w14:textId="77777777" w:rsidR="00931E7C" w:rsidRPr="00E859CA" w:rsidRDefault="00931E7C" w:rsidP="00931E7C">
            <w:pPr>
              <w:rPr>
                <w:rFonts w:ascii="Arial" w:eastAsia="Calibri" w:hAnsi="Arial" w:cs="Arial"/>
                <w:lang w:val="en-GB"/>
              </w:rPr>
            </w:pPr>
          </w:p>
        </w:tc>
        <w:tc>
          <w:tcPr>
            <w:tcW w:w="5857" w:type="dxa"/>
            <w:tcBorders>
              <w:top w:val="nil"/>
              <w:left w:val="nil"/>
              <w:bottom w:val="nil"/>
              <w:right w:val="nil"/>
            </w:tcBorders>
          </w:tcPr>
          <w:p w14:paraId="79AC3307" w14:textId="77777777" w:rsidR="00931E7C" w:rsidRPr="00E859CA" w:rsidRDefault="00931E7C" w:rsidP="00931E7C">
            <w:pPr>
              <w:rPr>
                <w:rFonts w:ascii="Arial" w:eastAsia="Calibri" w:hAnsi="Arial" w:cs="Arial"/>
                <w:lang w:val="en-GB"/>
              </w:rPr>
            </w:pPr>
            <w:r w:rsidRPr="00E859CA">
              <w:rPr>
                <w:rFonts w:ascii="Arial" w:eastAsia="Calibri" w:hAnsi="Arial" w:cs="Arial"/>
                <w:lang w:val="en-GB"/>
              </w:rPr>
              <w:t>Federal</w:t>
            </w:r>
          </w:p>
        </w:tc>
        <w:tc>
          <w:tcPr>
            <w:tcW w:w="1588" w:type="dxa"/>
            <w:tcBorders>
              <w:top w:val="nil"/>
              <w:left w:val="nil"/>
              <w:bottom w:val="nil"/>
              <w:right w:val="nil"/>
            </w:tcBorders>
          </w:tcPr>
          <w:p w14:paraId="5E2E8E0D"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25,000</w:t>
            </w:r>
          </w:p>
        </w:tc>
        <w:tc>
          <w:tcPr>
            <w:tcW w:w="1559" w:type="dxa"/>
            <w:tcBorders>
              <w:top w:val="nil"/>
              <w:left w:val="nil"/>
              <w:bottom w:val="nil"/>
              <w:right w:val="nil"/>
            </w:tcBorders>
          </w:tcPr>
          <w:p w14:paraId="3B0C61F6"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0</w:t>
            </w:r>
          </w:p>
        </w:tc>
      </w:tr>
      <w:tr w:rsidR="00931E7C" w:rsidRPr="00E859CA" w14:paraId="03E14BEA" w14:textId="77777777" w:rsidTr="00931E7C">
        <w:trPr>
          <w:trHeight w:val="70"/>
          <w:jc w:val="center"/>
        </w:trPr>
        <w:tc>
          <w:tcPr>
            <w:tcW w:w="547" w:type="dxa"/>
            <w:tcBorders>
              <w:top w:val="nil"/>
              <w:left w:val="nil"/>
              <w:bottom w:val="nil"/>
              <w:right w:val="nil"/>
            </w:tcBorders>
          </w:tcPr>
          <w:p w14:paraId="3E8EF0D0" w14:textId="77777777" w:rsidR="00931E7C" w:rsidRPr="00E859CA" w:rsidRDefault="00931E7C" w:rsidP="00931E7C">
            <w:pPr>
              <w:rPr>
                <w:rFonts w:ascii="Arial" w:eastAsia="Calibri" w:hAnsi="Arial" w:cs="Arial"/>
                <w:lang w:val="en-GB"/>
              </w:rPr>
            </w:pPr>
          </w:p>
        </w:tc>
        <w:tc>
          <w:tcPr>
            <w:tcW w:w="423" w:type="dxa"/>
            <w:tcBorders>
              <w:top w:val="nil"/>
              <w:left w:val="nil"/>
              <w:bottom w:val="nil"/>
              <w:right w:val="nil"/>
            </w:tcBorders>
          </w:tcPr>
          <w:p w14:paraId="0CB926CB" w14:textId="77777777" w:rsidR="00931E7C" w:rsidRPr="00E859CA" w:rsidRDefault="00931E7C" w:rsidP="00931E7C">
            <w:pPr>
              <w:rPr>
                <w:rFonts w:ascii="Arial" w:eastAsia="Calibri" w:hAnsi="Arial" w:cs="Arial"/>
                <w:lang w:val="en-GB"/>
              </w:rPr>
            </w:pPr>
          </w:p>
        </w:tc>
        <w:tc>
          <w:tcPr>
            <w:tcW w:w="5857" w:type="dxa"/>
            <w:tcBorders>
              <w:top w:val="nil"/>
              <w:left w:val="nil"/>
              <w:bottom w:val="nil"/>
              <w:right w:val="nil"/>
            </w:tcBorders>
          </w:tcPr>
          <w:p w14:paraId="3611FB4F" w14:textId="0566163E" w:rsidR="00931E7C" w:rsidRPr="00E859CA" w:rsidRDefault="00931E7C" w:rsidP="00931E7C">
            <w:pPr>
              <w:rPr>
                <w:rFonts w:ascii="Arial" w:eastAsia="Calibri" w:hAnsi="Arial" w:cs="Arial"/>
                <w:lang w:val="en-GB"/>
              </w:rPr>
            </w:pPr>
            <w:r w:rsidRPr="00E859CA">
              <w:rPr>
                <w:rFonts w:ascii="Arial" w:eastAsia="Calibri" w:hAnsi="Arial" w:cs="Arial"/>
                <w:lang w:val="en-GB"/>
              </w:rPr>
              <w:t>State/Provincial</w:t>
            </w:r>
          </w:p>
        </w:tc>
        <w:tc>
          <w:tcPr>
            <w:tcW w:w="1588" w:type="dxa"/>
            <w:tcBorders>
              <w:top w:val="nil"/>
              <w:left w:val="nil"/>
              <w:bottom w:val="nil"/>
              <w:right w:val="nil"/>
            </w:tcBorders>
          </w:tcPr>
          <w:p w14:paraId="6AE2DD10"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80,000</w:t>
            </w:r>
          </w:p>
        </w:tc>
        <w:tc>
          <w:tcPr>
            <w:tcW w:w="1559" w:type="dxa"/>
            <w:tcBorders>
              <w:top w:val="nil"/>
              <w:left w:val="nil"/>
              <w:bottom w:val="nil"/>
              <w:right w:val="nil"/>
            </w:tcBorders>
          </w:tcPr>
          <w:p w14:paraId="1C47A713"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0</w:t>
            </w:r>
          </w:p>
        </w:tc>
      </w:tr>
      <w:tr w:rsidR="00931E7C" w:rsidRPr="00E859CA" w14:paraId="0A2F7C10" w14:textId="77777777" w:rsidTr="008614D5">
        <w:trPr>
          <w:trHeight w:val="237"/>
          <w:jc w:val="center"/>
        </w:trPr>
        <w:tc>
          <w:tcPr>
            <w:tcW w:w="547" w:type="dxa"/>
            <w:tcBorders>
              <w:top w:val="nil"/>
              <w:left w:val="nil"/>
              <w:bottom w:val="nil"/>
              <w:right w:val="nil"/>
            </w:tcBorders>
          </w:tcPr>
          <w:p w14:paraId="7529F279"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6547FB13" w14:textId="77777777" w:rsidR="00931E7C" w:rsidRPr="00E859CA" w:rsidRDefault="00931E7C" w:rsidP="00931E7C">
            <w:pPr>
              <w:rPr>
                <w:rFonts w:ascii="Arial" w:eastAsia="Calibri" w:hAnsi="Arial" w:cs="Arial"/>
                <w:lang w:val="en-GB"/>
              </w:rPr>
            </w:pPr>
            <w:r w:rsidRPr="00E859CA">
              <w:rPr>
                <w:rFonts w:ascii="Arial" w:eastAsia="Calibri" w:hAnsi="Arial" w:cs="Arial"/>
                <w:lang w:val="en-GB"/>
              </w:rPr>
              <w:t>Private Foundations and Corporations</w:t>
            </w:r>
          </w:p>
        </w:tc>
        <w:tc>
          <w:tcPr>
            <w:tcW w:w="1588" w:type="dxa"/>
            <w:tcBorders>
              <w:top w:val="nil"/>
              <w:left w:val="nil"/>
              <w:bottom w:val="nil"/>
              <w:right w:val="nil"/>
            </w:tcBorders>
          </w:tcPr>
          <w:p w14:paraId="1577F021"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50,290</w:t>
            </w:r>
          </w:p>
        </w:tc>
        <w:tc>
          <w:tcPr>
            <w:tcW w:w="1559" w:type="dxa"/>
            <w:tcBorders>
              <w:top w:val="nil"/>
              <w:left w:val="nil"/>
              <w:bottom w:val="nil"/>
              <w:right w:val="nil"/>
            </w:tcBorders>
          </w:tcPr>
          <w:p w14:paraId="3543EEDE"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6,000</w:t>
            </w:r>
          </w:p>
        </w:tc>
      </w:tr>
      <w:tr w:rsidR="00931E7C" w:rsidRPr="00E859CA" w14:paraId="3431053B" w14:textId="77777777" w:rsidTr="008614D5">
        <w:trPr>
          <w:jc w:val="center"/>
        </w:trPr>
        <w:tc>
          <w:tcPr>
            <w:tcW w:w="547" w:type="dxa"/>
            <w:tcBorders>
              <w:top w:val="nil"/>
              <w:left w:val="nil"/>
              <w:bottom w:val="nil"/>
              <w:right w:val="nil"/>
            </w:tcBorders>
          </w:tcPr>
          <w:p w14:paraId="5AB73B3E"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426893AA" w14:textId="77777777" w:rsidR="00931E7C" w:rsidRPr="00E859CA" w:rsidRDefault="00931E7C" w:rsidP="00931E7C">
            <w:pPr>
              <w:rPr>
                <w:rFonts w:ascii="Arial" w:eastAsia="Calibri" w:hAnsi="Arial" w:cs="Arial"/>
                <w:lang w:val="en-GB"/>
              </w:rPr>
            </w:pPr>
            <w:r w:rsidRPr="00E859CA">
              <w:rPr>
                <w:rFonts w:ascii="Arial" w:eastAsia="Calibri" w:hAnsi="Arial" w:cs="Arial"/>
                <w:lang w:val="en-GB"/>
              </w:rPr>
              <w:t>Earned Income</w:t>
            </w:r>
          </w:p>
        </w:tc>
        <w:tc>
          <w:tcPr>
            <w:tcW w:w="1588" w:type="dxa"/>
            <w:tcBorders>
              <w:top w:val="nil"/>
              <w:left w:val="nil"/>
              <w:bottom w:val="nil"/>
              <w:right w:val="nil"/>
            </w:tcBorders>
          </w:tcPr>
          <w:p w14:paraId="40F5A7F1"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40,959</w:t>
            </w:r>
          </w:p>
        </w:tc>
        <w:tc>
          <w:tcPr>
            <w:tcW w:w="1559" w:type="dxa"/>
            <w:tcBorders>
              <w:top w:val="nil"/>
              <w:left w:val="nil"/>
              <w:bottom w:val="nil"/>
              <w:right w:val="nil"/>
            </w:tcBorders>
          </w:tcPr>
          <w:p w14:paraId="2B389175"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27,686</w:t>
            </w:r>
          </w:p>
        </w:tc>
      </w:tr>
      <w:tr w:rsidR="00931E7C" w:rsidRPr="00E859CA" w14:paraId="4DEE811A" w14:textId="77777777" w:rsidTr="008614D5">
        <w:trPr>
          <w:trHeight w:val="125"/>
          <w:jc w:val="center"/>
        </w:trPr>
        <w:tc>
          <w:tcPr>
            <w:tcW w:w="547" w:type="dxa"/>
            <w:tcBorders>
              <w:top w:val="nil"/>
              <w:left w:val="nil"/>
              <w:bottom w:val="nil"/>
              <w:right w:val="nil"/>
            </w:tcBorders>
          </w:tcPr>
          <w:p w14:paraId="57A26619"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0C33B9BB" w14:textId="77777777" w:rsidR="00931E7C" w:rsidRPr="00E859CA" w:rsidRDefault="00931E7C" w:rsidP="00931E7C">
            <w:pPr>
              <w:rPr>
                <w:rFonts w:ascii="Arial" w:eastAsia="Calibri" w:hAnsi="Arial" w:cs="Arial"/>
                <w:lang w:val="en-GB"/>
              </w:rPr>
            </w:pPr>
            <w:r w:rsidRPr="00E859CA">
              <w:rPr>
                <w:rFonts w:ascii="Arial" w:eastAsia="Calibri" w:hAnsi="Arial" w:cs="Arial"/>
                <w:lang w:val="en-GB"/>
              </w:rPr>
              <w:t>Private Individual Donations</w:t>
            </w:r>
          </w:p>
        </w:tc>
        <w:tc>
          <w:tcPr>
            <w:tcW w:w="1588" w:type="dxa"/>
            <w:tcBorders>
              <w:top w:val="nil"/>
              <w:left w:val="nil"/>
              <w:bottom w:val="nil"/>
              <w:right w:val="nil"/>
            </w:tcBorders>
          </w:tcPr>
          <w:p w14:paraId="3768FCF2"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90,719</w:t>
            </w:r>
          </w:p>
        </w:tc>
        <w:tc>
          <w:tcPr>
            <w:tcW w:w="1559" w:type="dxa"/>
            <w:tcBorders>
              <w:top w:val="nil"/>
              <w:left w:val="nil"/>
              <w:bottom w:val="nil"/>
              <w:right w:val="nil"/>
            </w:tcBorders>
          </w:tcPr>
          <w:p w14:paraId="51BCAABA"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6,445</w:t>
            </w:r>
          </w:p>
        </w:tc>
      </w:tr>
      <w:tr w:rsidR="00931E7C" w:rsidRPr="00E859CA" w14:paraId="2E7F2E1A" w14:textId="77777777" w:rsidTr="008614D5">
        <w:trPr>
          <w:trHeight w:val="279"/>
          <w:jc w:val="center"/>
        </w:trPr>
        <w:tc>
          <w:tcPr>
            <w:tcW w:w="547" w:type="dxa"/>
            <w:tcBorders>
              <w:top w:val="nil"/>
              <w:left w:val="nil"/>
              <w:bottom w:val="nil"/>
              <w:right w:val="nil"/>
            </w:tcBorders>
          </w:tcPr>
          <w:p w14:paraId="51DBB2FD"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746E6701" w14:textId="387001FF" w:rsidR="00931E7C" w:rsidRPr="00E859CA" w:rsidRDefault="00931E7C" w:rsidP="00931E7C">
            <w:pPr>
              <w:rPr>
                <w:rFonts w:ascii="Arial" w:eastAsia="Calibri" w:hAnsi="Arial" w:cs="Arial"/>
                <w:lang w:val="en-GB"/>
              </w:rPr>
            </w:pPr>
            <w:r w:rsidRPr="00E859CA">
              <w:rPr>
                <w:rFonts w:ascii="Arial" w:eastAsia="Calibri" w:hAnsi="Arial" w:cs="Arial"/>
                <w:lang w:val="en-GB"/>
              </w:rPr>
              <w:t>In-Kind and Other Income</w:t>
            </w:r>
          </w:p>
        </w:tc>
        <w:tc>
          <w:tcPr>
            <w:tcW w:w="1588" w:type="dxa"/>
            <w:tcBorders>
              <w:top w:val="nil"/>
              <w:left w:val="nil"/>
              <w:bottom w:val="single" w:sz="4" w:space="0" w:color="auto"/>
              <w:right w:val="nil"/>
            </w:tcBorders>
          </w:tcPr>
          <w:p w14:paraId="4A727C10"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2,455</w:t>
            </w:r>
          </w:p>
        </w:tc>
        <w:tc>
          <w:tcPr>
            <w:tcW w:w="1559" w:type="dxa"/>
            <w:tcBorders>
              <w:top w:val="nil"/>
              <w:left w:val="nil"/>
              <w:bottom w:val="single" w:sz="4" w:space="0" w:color="auto"/>
              <w:right w:val="nil"/>
            </w:tcBorders>
          </w:tcPr>
          <w:p w14:paraId="250E3E77"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0</w:t>
            </w:r>
          </w:p>
        </w:tc>
      </w:tr>
      <w:tr w:rsidR="00931E7C" w:rsidRPr="00E859CA" w14:paraId="2B2F0060" w14:textId="77777777" w:rsidTr="00931E7C">
        <w:trPr>
          <w:trHeight w:val="60"/>
          <w:jc w:val="center"/>
        </w:trPr>
        <w:tc>
          <w:tcPr>
            <w:tcW w:w="547" w:type="dxa"/>
            <w:tcBorders>
              <w:top w:val="nil"/>
              <w:left w:val="nil"/>
              <w:bottom w:val="nil"/>
              <w:right w:val="nil"/>
            </w:tcBorders>
          </w:tcPr>
          <w:p w14:paraId="6018713D"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vAlign w:val="bottom"/>
          </w:tcPr>
          <w:p w14:paraId="24BD0A2D" w14:textId="77777777" w:rsidR="00931E7C" w:rsidRPr="00E859CA" w:rsidRDefault="00931E7C" w:rsidP="00931E7C">
            <w:pPr>
              <w:rPr>
                <w:rFonts w:ascii="Arial" w:eastAsia="Calibri" w:hAnsi="Arial" w:cs="Arial"/>
                <w:b/>
                <w:lang w:val="en-GB"/>
              </w:rPr>
            </w:pPr>
            <w:r w:rsidRPr="00E859CA">
              <w:rPr>
                <w:rFonts w:ascii="Arial" w:eastAsia="Calibri" w:hAnsi="Arial" w:cs="Arial"/>
                <w:b/>
                <w:lang w:val="en-GB"/>
              </w:rPr>
              <w:t>Gross Income</w:t>
            </w:r>
          </w:p>
        </w:tc>
        <w:tc>
          <w:tcPr>
            <w:tcW w:w="1588" w:type="dxa"/>
            <w:tcBorders>
              <w:top w:val="single" w:sz="4" w:space="0" w:color="auto"/>
              <w:left w:val="nil"/>
              <w:bottom w:val="double" w:sz="4" w:space="0" w:color="auto"/>
              <w:right w:val="nil"/>
            </w:tcBorders>
            <w:vAlign w:val="bottom"/>
          </w:tcPr>
          <w:p w14:paraId="033C3219" w14:textId="77777777" w:rsidR="00931E7C" w:rsidRPr="00E859CA" w:rsidRDefault="00931E7C" w:rsidP="00931E7C">
            <w:pPr>
              <w:jc w:val="right"/>
              <w:rPr>
                <w:rFonts w:ascii="Arial" w:eastAsia="Calibri" w:hAnsi="Arial" w:cs="Arial"/>
                <w:b/>
                <w:lang w:val="en-GB"/>
              </w:rPr>
            </w:pPr>
            <w:r w:rsidRPr="00E859CA">
              <w:rPr>
                <w:rFonts w:ascii="Arial" w:eastAsia="Calibri" w:hAnsi="Arial" w:cs="Arial"/>
                <w:b/>
                <w:lang w:val="en-GB"/>
              </w:rPr>
              <w:t>289,423</w:t>
            </w:r>
          </w:p>
        </w:tc>
        <w:tc>
          <w:tcPr>
            <w:tcW w:w="1559" w:type="dxa"/>
            <w:tcBorders>
              <w:top w:val="single" w:sz="4" w:space="0" w:color="auto"/>
              <w:left w:val="nil"/>
              <w:bottom w:val="double" w:sz="4" w:space="0" w:color="auto"/>
              <w:right w:val="nil"/>
            </w:tcBorders>
            <w:vAlign w:val="bottom"/>
          </w:tcPr>
          <w:p w14:paraId="375AA314" w14:textId="77777777" w:rsidR="00931E7C" w:rsidRPr="00E859CA" w:rsidRDefault="00931E7C" w:rsidP="00931E7C">
            <w:pPr>
              <w:jc w:val="right"/>
              <w:rPr>
                <w:rFonts w:ascii="Arial" w:eastAsia="Calibri" w:hAnsi="Arial" w:cs="Arial"/>
                <w:b/>
                <w:lang w:val="en-GB"/>
              </w:rPr>
            </w:pPr>
            <w:r w:rsidRPr="00E859CA">
              <w:rPr>
                <w:rFonts w:ascii="Arial" w:eastAsia="Calibri" w:hAnsi="Arial" w:cs="Arial"/>
                <w:b/>
                <w:lang w:val="en-GB"/>
              </w:rPr>
              <w:t>40,131</w:t>
            </w:r>
          </w:p>
        </w:tc>
      </w:tr>
      <w:tr w:rsidR="00931E7C" w:rsidRPr="00E859CA" w14:paraId="441B15EE" w14:textId="77777777" w:rsidTr="008614D5">
        <w:trPr>
          <w:trHeight w:val="626"/>
          <w:jc w:val="center"/>
        </w:trPr>
        <w:tc>
          <w:tcPr>
            <w:tcW w:w="6827" w:type="dxa"/>
            <w:gridSpan w:val="3"/>
            <w:tcBorders>
              <w:top w:val="nil"/>
              <w:left w:val="nil"/>
              <w:bottom w:val="nil"/>
              <w:right w:val="nil"/>
            </w:tcBorders>
          </w:tcPr>
          <w:p w14:paraId="452E1FA4" w14:textId="77777777" w:rsidR="00931E7C" w:rsidRPr="00E859CA" w:rsidRDefault="00931E7C" w:rsidP="00931E7C">
            <w:pPr>
              <w:rPr>
                <w:rFonts w:ascii="Arial" w:eastAsia="Calibri" w:hAnsi="Arial" w:cs="Arial"/>
                <w:b/>
                <w:lang w:val="en-GB"/>
              </w:rPr>
            </w:pPr>
          </w:p>
          <w:p w14:paraId="1580BC55" w14:textId="77777777" w:rsidR="00931E7C" w:rsidRPr="00E859CA" w:rsidRDefault="00931E7C" w:rsidP="00931E7C">
            <w:pPr>
              <w:rPr>
                <w:rFonts w:ascii="Arial" w:eastAsia="Calibri" w:hAnsi="Arial" w:cs="Arial"/>
                <w:b/>
                <w:lang w:val="en-GB"/>
              </w:rPr>
            </w:pPr>
            <w:r w:rsidRPr="00E859CA">
              <w:rPr>
                <w:rFonts w:ascii="Arial" w:eastAsia="Calibri" w:hAnsi="Arial" w:cs="Arial"/>
                <w:b/>
                <w:lang w:val="en-GB"/>
              </w:rPr>
              <w:t>Expenditures</w:t>
            </w:r>
          </w:p>
        </w:tc>
        <w:tc>
          <w:tcPr>
            <w:tcW w:w="1588" w:type="dxa"/>
            <w:tcBorders>
              <w:top w:val="nil"/>
              <w:left w:val="nil"/>
              <w:bottom w:val="nil"/>
              <w:right w:val="nil"/>
            </w:tcBorders>
          </w:tcPr>
          <w:p w14:paraId="06C5D5FC" w14:textId="77777777" w:rsidR="00931E7C" w:rsidRPr="00E859CA" w:rsidRDefault="00931E7C" w:rsidP="00931E7C">
            <w:pPr>
              <w:jc w:val="right"/>
              <w:rPr>
                <w:rFonts w:ascii="Arial" w:eastAsia="Calibri" w:hAnsi="Arial" w:cs="Arial"/>
                <w:b/>
                <w:lang w:val="en-GB"/>
              </w:rPr>
            </w:pPr>
          </w:p>
        </w:tc>
        <w:tc>
          <w:tcPr>
            <w:tcW w:w="1559" w:type="dxa"/>
            <w:tcBorders>
              <w:top w:val="nil"/>
              <w:left w:val="nil"/>
              <w:bottom w:val="nil"/>
              <w:right w:val="nil"/>
            </w:tcBorders>
          </w:tcPr>
          <w:p w14:paraId="6EAED480" w14:textId="77777777" w:rsidR="00931E7C" w:rsidRPr="00E859CA" w:rsidRDefault="00931E7C" w:rsidP="00931E7C">
            <w:pPr>
              <w:jc w:val="right"/>
              <w:rPr>
                <w:rFonts w:ascii="Arial" w:eastAsia="Calibri" w:hAnsi="Arial" w:cs="Arial"/>
                <w:b/>
                <w:lang w:val="en-GB"/>
              </w:rPr>
            </w:pPr>
          </w:p>
        </w:tc>
      </w:tr>
      <w:tr w:rsidR="00931E7C" w:rsidRPr="00E859CA" w14:paraId="7B5A90F0" w14:textId="77777777" w:rsidTr="008614D5">
        <w:trPr>
          <w:trHeight w:val="111"/>
          <w:jc w:val="center"/>
        </w:trPr>
        <w:tc>
          <w:tcPr>
            <w:tcW w:w="547" w:type="dxa"/>
            <w:tcBorders>
              <w:top w:val="nil"/>
              <w:left w:val="nil"/>
              <w:bottom w:val="nil"/>
              <w:right w:val="nil"/>
            </w:tcBorders>
          </w:tcPr>
          <w:p w14:paraId="5E2526CC"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524E4A0F" w14:textId="77777777" w:rsidR="00931E7C" w:rsidRPr="00E859CA" w:rsidRDefault="00931E7C" w:rsidP="00931E7C">
            <w:pPr>
              <w:rPr>
                <w:rFonts w:ascii="Arial" w:eastAsia="Calibri" w:hAnsi="Arial" w:cs="Arial"/>
                <w:lang w:val="en-GB"/>
              </w:rPr>
            </w:pPr>
            <w:r w:rsidRPr="00E859CA">
              <w:rPr>
                <w:rFonts w:ascii="Arial" w:eastAsia="Calibri" w:hAnsi="Arial" w:cs="Arial"/>
                <w:lang w:val="en-GB"/>
              </w:rPr>
              <w:t>Program</w:t>
            </w:r>
          </w:p>
        </w:tc>
        <w:tc>
          <w:tcPr>
            <w:tcW w:w="1588" w:type="dxa"/>
            <w:tcBorders>
              <w:top w:val="nil"/>
              <w:left w:val="nil"/>
              <w:bottom w:val="nil"/>
              <w:right w:val="nil"/>
            </w:tcBorders>
          </w:tcPr>
          <w:p w14:paraId="207BF525"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68,708</w:t>
            </w:r>
          </w:p>
        </w:tc>
        <w:tc>
          <w:tcPr>
            <w:tcW w:w="1559" w:type="dxa"/>
            <w:tcBorders>
              <w:top w:val="nil"/>
              <w:left w:val="nil"/>
              <w:bottom w:val="nil"/>
              <w:right w:val="nil"/>
            </w:tcBorders>
          </w:tcPr>
          <w:p w14:paraId="4E786229"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24,368</w:t>
            </w:r>
          </w:p>
        </w:tc>
      </w:tr>
      <w:tr w:rsidR="00931E7C" w:rsidRPr="00E859CA" w14:paraId="413ADD30" w14:textId="77777777" w:rsidTr="00931E7C">
        <w:trPr>
          <w:trHeight w:val="70"/>
          <w:jc w:val="center"/>
        </w:trPr>
        <w:tc>
          <w:tcPr>
            <w:tcW w:w="547" w:type="dxa"/>
            <w:tcBorders>
              <w:top w:val="nil"/>
              <w:left w:val="nil"/>
              <w:bottom w:val="nil"/>
              <w:right w:val="nil"/>
            </w:tcBorders>
          </w:tcPr>
          <w:p w14:paraId="5C77436B"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66624001" w14:textId="77777777" w:rsidR="00931E7C" w:rsidRPr="00E859CA" w:rsidRDefault="00931E7C" w:rsidP="00931E7C">
            <w:pPr>
              <w:rPr>
                <w:rFonts w:ascii="Arial" w:eastAsia="Calibri" w:hAnsi="Arial" w:cs="Arial"/>
                <w:lang w:val="en-GB"/>
              </w:rPr>
            </w:pPr>
            <w:r w:rsidRPr="00E859CA">
              <w:rPr>
                <w:rFonts w:ascii="Arial" w:eastAsia="Calibri" w:hAnsi="Arial" w:cs="Arial"/>
                <w:lang w:val="en-GB"/>
              </w:rPr>
              <w:t>Travel</w:t>
            </w:r>
          </w:p>
        </w:tc>
        <w:tc>
          <w:tcPr>
            <w:tcW w:w="1588" w:type="dxa"/>
            <w:tcBorders>
              <w:top w:val="nil"/>
              <w:left w:val="nil"/>
              <w:bottom w:val="nil"/>
              <w:right w:val="nil"/>
            </w:tcBorders>
          </w:tcPr>
          <w:p w14:paraId="623E41ED"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19,905</w:t>
            </w:r>
          </w:p>
        </w:tc>
        <w:tc>
          <w:tcPr>
            <w:tcW w:w="1559" w:type="dxa"/>
            <w:tcBorders>
              <w:top w:val="nil"/>
              <w:left w:val="nil"/>
              <w:bottom w:val="nil"/>
              <w:right w:val="nil"/>
            </w:tcBorders>
          </w:tcPr>
          <w:p w14:paraId="0973F997"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14,584</w:t>
            </w:r>
          </w:p>
        </w:tc>
      </w:tr>
      <w:tr w:rsidR="00931E7C" w:rsidRPr="00E859CA" w14:paraId="4B46E6C6" w14:textId="77777777" w:rsidTr="008614D5">
        <w:trPr>
          <w:jc w:val="center"/>
        </w:trPr>
        <w:tc>
          <w:tcPr>
            <w:tcW w:w="547" w:type="dxa"/>
            <w:tcBorders>
              <w:top w:val="nil"/>
              <w:left w:val="nil"/>
              <w:bottom w:val="nil"/>
              <w:right w:val="nil"/>
            </w:tcBorders>
          </w:tcPr>
          <w:p w14:paraId="0A445148"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79EEFEA2" w14:textId="3C095354" w:rsidR="00931E7C" w:rsidRPr="00E859CA" w:rsidRDefault="00931E7C" w:rsidP="00931E7C">
            <w:pPr>
              <w:rPr>
                <w:rFonts w:ascii="Arial" w:eastAsia="Calibri" w:hAnsi="Arial" w:cs="Arial"/>
                <w:lang w:val="en-GB"/>
              </w:rPr>
            </w:pPr>
            <w:r w:rsidRPr="00E859CA">
              <w:rPr>
                <w:rFonts w:ascii="Arial" w:eastAsia="Calibri" w:hAnsi="Arial" w:cs="Arial"/>
                <w:lang w:val="en-GB"/>
              </w:rPr>
              <w:t xml:space="preserve">Professional </w:t>
            </w:r>
            <w:r w:rsidR="00BE290B" w:rsidRPr="00E859CA">
              <w:rPr>
                <w:rFonts w:ascii="Arial" w:eastAsia="Calibri" w:hAnsi="Arial" w:cs="Arial"/>
                <w:lang w:val="en-GB"/>
              </w:rPr>
              <w:t>F</w:t>
            </w:r>
            <w:r w:rsidRPr="00E859CA">
              <w:rPr>
                <w:rFonts w:ascii="Arial" w:eastAsia="Calibri" w:hAnsi="Arial" w:cs="Arial"/>
                <w:lang w:val="en-GB"/>
              </w:rPr>
              <w:t>ees</w:t>
            </w:r>
          </w:p>
        </w:tc>
        <w:tc>
          <w:tcPr>
            <w:tcW w:w="1588" w:type="dxa"/>
            <w:tcBorders>
              <w:top w:val="nil"/>
              <w:left w:val="nil"/>
              <w:bottom w:val="nil"/>
              <w:right w:val="nil"/>
            </w:tcBorders>
          </w:tcPr>
          <w:p w14:paraId="60AB97FE"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2,145</w:t>
            </w:r>
          </w:p>
        </w:tc>
        <w:tc>
          <w:tcPr>
            <w:tcW w:w="1559" w:type="dxa"/>
            <w:tcBorders>
              <w:top w:val="nil"/>
              <w:left w:val="nil"/>
              <w:bottom w:val="nil"/>
              <w:right w:val="nil"/>
            </w:tcBorders>
          </w:tcPr>
          <w:p w14:paraId="31F2D0F4"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6,632</w:t>
            </w:r>
          </w:p>
        </w:tc>
      </w:tr>
      <w:tr w:rsidR="00931E7C" w:rsidRPr="00E859CA" w14:paraId="241C4444" w14:textId="77777777" w:rsidTr="008614D5">
        <w:trPr>
          <w:jc w:val="center"/>
        </w:trPr>
        <w:tc>
          <w:tcPr>
            <w:tcW w:w="547" w:type="dxa"/>
            <w:tcBorders>
              <w:top w:val="nil"/>
              <w:left w:val="nil"/>
              <w:bottom w:val="nil"/>
              <w:right w:val="nil"/>
            </w:tcBorders>
          </w:tcPr>
          <w:p w14:paraId="7A10145D"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55EA3D34" w14:textId="77777777" w:rsidR="00931E7C" w:rsidRPr="00E859CA" w:rsidRDefault="00931E7C" w:rsidP="00931E7C">
            <w:pPr>
              <w:rPr>
                <w:rFonts w:ascii="Arial" w:eastAsia="Calibri" w:hAnsi="Arial" w:cs="Arial"/>
                <w:lang w:val="en-GB"/>
              </w:rPr>
            </w:pPr>
            <w:r w:rsidRPr="00E859CA">
              <w:rPr>
                <w:rFonts w:ascii="Arial" w:eastAsia="Calibri" w:hAnsi="Arial" w:cs="Arial"/>
                <w:lang w:val="en-GB"/>
              </w:rPr>
              <w:t>Fundraising</w:t>
            </w:r>
          </w:p>
        </w:tc>
        <w:tc>
          <w:tcPr>
            <w:tcW w:w="1588" w:type="dxa"/>
            <w:tcBorders>
              <w:top w:val="nil"/>
              <w:left w:val="nil"/>
              <w:bottom w:val="nil"/>
              <w:right w:val="nil"/>
            </w:tcBorders>
          </w:tcPr>
          <w:p w14:paraId="163AD2D4"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8,277</w:t>
            </w:r>
          </w:p>
        </w:tc>
        <w:tc>
          <w:tcPr>
            <w:tcW w:w="1559" w:type="dxa"/>
            <w:tcBorders>
              <w:top w:val="nil"/>
              <w:left w:val="nil"/>
              <w:bottom w:val="nil"/>
              <w:right w:val="nil"/>
            </w:tcBorders>
          </w:tcPr>
          <w:p w14:paraId="69B6C7CF"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3,194</w:t>
            </w:r>
          </w:p>
        </w:tc>
      </w:tr>
      <w:tr w:rsidR="00931E7C" w:rsidRPr="00E859CA" w14:paraId="01301B69" w14:textId="77777777" w:rsidTr="008614D5">
        <w:trPr>
          <w:jc w:val="center"/>
        </w:trPr>
        <w:tc>
          <w:tcPr>
            <w:tcW w:w="547" w:type="dxa"/>
            <w:tcBorders>
              <w:top w:val="nil"/>
              <w:left w:val="nil"/>
              <w:bottom w:val="nil"/>
              <w:right w:val="nil"/>
            </w:tcBorders>
          </w:tcPr>
          <w:p w14:paraId="6B73A60A"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4EB5B675" w14:textId="77777777" w:rsidR="00931E7C" w:rsidRPr="00E859CA" w:rsidRDefault="00931E7C" w:rsidP="00931E7C">
            <w:pPr>
              <w:rPr>
                <w:rFonts w:ascii="Arial" w:eastAsia="Calibri" w:hAnsi="Arial" w:cs="Arial"/>
                <w:lang w:val="en-GB"/>
              </w:rPr>
            </w:pPr>
            <w:r w:rsidRPr="00E859CA">
              <w:rPr>
                <w:rFonts w:ascii="Arial" w:eastAsia="Calibri" w:hAnsi="Arial" w:cs="Arial"/>
                <w:lang w:val="en-GB"/>
              </w:rPr>
              <w:t>Office</w:t>
            </w:r>
          </w:p>
        </w:tc>
        <w:tc>
          <w:tcPr>
            <w:tcW w:w="1588" w:type="dxa"/>
            <w:tcBorders>
              <w:top w:val="nil"/>
              <w:left w:val="nil"/>
              <w:bottom w:val="nil"/>
              <w:right w:val="nil"/>
            </w:tcBorders>
          </w:tcPr>
          <w:p w14:paraId="2C2584D7"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7,330</w:t>
            </w:r>
          </w:p>
        </w:tc>
        <w:tc>
          <w:tcPr>
            <w:tcW w:w="1559" w:type="dxa"/>
            <w:tcBorders>
              <w:top w:val="nil"/>
              <w:left w:val="nil"/>
              <w:bottom w:val="nil"/>
              <w:right w:val="nil"/>
            </w:tcBorders>
          </w:tcPr>
          <w:p w14:paraId="3665F9E2"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1,922</w:t>
            </w:r>
          </w:p>
        </w:tc>
      </w:tr>
      <w:tr w:rsidR="00931E7C" w:rsidRPr="00E859CA" w14:paraId="0682724C" w14:textId="77777777" w:rsidTr="008614D5">
        <w:trPr>
          <w:jc w:val="center"/>
        </w:trPr>
        <w:tc>
          <w:tcPr>
            <w:tcW w:w="547" w:type="dxa"/>
            <w:tcBorders>
              <w:top w:val="nil"/>
              <w:left w:val="nil"/>
              <w:bottom w:val="nil"/>
              <w:right w:val="nil"/>
            </w:tcBorders>
          </w:tcPr>
          <w:p w14:paraId="2D98497C"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4647F8AF" w14:textId="77777777" w:rsidR="00931E7C" w:rsidRPr="00E859CA" w:rsidRDefault="00931E7C" w:rsidP="00931E7C">
            <w:pPr>
              <w:rPr>
                <w:rFonts w:ascii="Arial" w:eastAsia="Calibri" w:hAnsi="Arial" w:cs="Arial"/>
                <w:lang w:val="en-GB"/>
              </w:rPr>
            </w:pPr>
            <w:r w:rsidRPr="00E859CA">
              <w:rPr>
                <w:rFonts w:ascii="Arial" w:eastAsia="Calibri" w:hAnsi="Arial" w:cs="Arial"/>
                <w:lang w:val="en-GB"/>
              </w:rPr>
              <w:t>Conferences</w:t>
            </w:r>
          </w:p>
        </w:tc>
        <w:tc>
          <w:tcPr>
            <w:tcW w:w="1588" w:type="dxa"/>
            <w:tcBorders>
              <w:top w:val="nil"/>
              <w:left w:val="nil"/>
              <w:bottom w:val="nil"/>
              <w:right w:val="nil"/>
            </w:tcBorders>
          </w:tcPr>
          <w:p w14:paraId="521C205C"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7,547</w:t>
            </w:r>
          </w:p>
        </w:tc>
        <w:tc>
          <w:tcPr>
            <w:tcW w:w="1559" w:type="dxa"/>
            <w:tcBorders>
              <w:top w:val="nil"/>
              <w:left w:val="nil"/>
              <w:bottom w:val="nil"/>
              <w:right w:val="nil"/>
            </w:tcBorders>
          </w:tcPr>
          <w:p w14:paraId="1C125638"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1,824</w:t>
            </w:r>
          </w:p>
        </w:tc>
      </w:tr>
      <w:tr w:rsidR="00931E7C" w:rsidRPr="00E859CA" w14:paraId="3992F0DE" w14:textId="77777777" w:rsidTr="008614D5">
        <w:trPr>
          <w:jc w:val="center"/>
        </w:trPr>
        <w:tc>
          <w:tcPr>
            <w:tcW w:w="547" w:type="dxa"/>
            <w:tcBorders>
              <w:top w:val="nil"/>
              <w:left w:val="nil"/>
              <w:bottom w:val="nil"/>
              <w:right w:val="nil"/>
            </w:tcBorders>
          </w:tcPr>
          <w:p w14:paraId="556779D1"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7DB92735" w14:textId="77777777" w:rsidR="00931E7C" w:rsidRPr="00E859CA" w:rsidRDefault="00931E7C" w:rsidP="00931E7C">
            <w:pPr>
              <w:rPr>
                <w:rFonts w:ascii="Arial" w:eastAsia="Calibri" w:hAnsi="Arial" w:cs="Arial"/>
                <w:lang w:val="en-GB"/>
              </w:rPr>
            </w:pPr>
            <w:r w:rsidRPr="00E859CA">
              <w:rPr>
                <w:rFonts w:ascii="Arial" w:eastAsia="Calibri" w:hAnsi="Arial" w:cs="Arial"/>
                <w:lang w:val="en-GB"/>
              </w:rPr>
              <w:t>Employee and Contractor Wages</w:t>
            </w:r>
          </w:p>
        </w:tc>
        <w:tc>
          <w:tcPr>
            <w:tcW w:w="1588" w:type="dxa"/>
            <w:tcBorders>
              <w:top w:val="nil"/>
              <w:left w:val="nil"/>
              <w:bottom w:val="nil"/>
              <w:right w:val="nil"/>
            </w:tcBorders>
          </w:tcPr>
          <w:p w14:paraId="432205C1"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137,025</w:t>
            </w:r>
          </w:p>
        </w:tc>
        <w:tc>
          <w:tcPr>
            <w:tcW w:w="1559" w:type="dxa"/>
            <w:tcBorders>
              <w:top w:val="nil"/>
              <w:left w:val="nil"/>
              <w:bottom w:val="nil"/>
              <w:right w:val="nil"/>
            </w:tcBorders>
          </w:tcPr>
          <w:p w14:paraId="0B438D5D"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1,439</w:t>
            </w:r>
          </w:p>
        </w:tc>
      </w:tr>
      <w:tr w:rsidR="00931E7C" w:rsidRPr="00E859CA" w14:paraId="0276F275" w14:textId="77777777" w:rsidTr="008614D5">
        <w:trPr>
          <w:jc w:val="center"/>
        </w:trPr>
        <w:tc>
          <w:tcPr>
            <w:tcW w:w="547" w:type="dxa"/>
            <w:tcBorders>
              <w:top w:val="nil"/>
              <w:left w:val="nil"/>
              <w:bottom w:val="nil"/>
              <w:right w:val="nil"/>
            </w:tcBorders>
          </w:tcPr>
          <w:p w14:paraId="552F4472"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1161B46A" w14:textId="4CCE8020" w:rsidR="00931E7C" w:rsidRPr="00E859CA" w:rsidRDefault="00931E7C" w:rsidP="00931E7C">
            <w:pPr>
              <w:rPr>
                <w:rFonts w:ascii="Arial" w:eastAsia="Calibri" w:hAnsi="Arial" w:cs="Arial"/>
                <w:lang w:val="en-GB"/>
              </w:rPr>
            </w:pPr>
            <w:r w:rsidRPr="00E859CA">
              <w:rPr>
                <w:rFonts w:ascii="Arial" w:eastAsia="Calibri" w:hAnsi="Arial" w:cs="Arial"/>
                <w:lang w:val="en-GB"/>
              </w:rPr>
              <w:t xml:space="preserve">Bad </w:t>
            </w:r>
            <w:r w:rsidR="00BE290B" w:rsidRPr="00E859CA">
              <w:rPr>
                <w:rFonts w:ascii="Arial" w:eastAsia="Calibri" w:hAnsi="Arial" w:cs="Arial"/>
                <w:lang w:val="en-GB"/>
              </w:rPr>
              <w:t>D</w:t>
            </w:r>
            <w:r w:rsidRPr="00E859CA">
              <w:rPr>
                <w:rFonts w:ascii="Arial" w:eastAsia="Calibri" w:hAnsi="Arial" w:cs="Arial"/>
                <w:lang w:val="en-GB"/>
              </w:rPr>
              <w:t>ebts</w:t>
            </w:r>
          </w:p>
        </w:tc>
        <w:tc>
          <w:tcPr>
            <w:tcW w:w="1588" w:type="dxa"/>
            <w:tcBorders>
              <w:top w:val="nil"/>
              <w:left w:val="nil"/>
              <w:bottom w:val="nil"/>
              <w:right w:val="nil"/>
            </w:tcBorders>
          </w:tcPr>
          <w:p w14:paraId="6C5308AB"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0</w:t>
            </w:r>
          </w:p>
        </w:tc>
        <w:tc>
          <w:tcPr>
            <w:tcW w:w="1559" w:type="dxa"/>
            <w:tcBorders>
              <w:top w:val="nil"/>
              <w:left w:val="nil"/>
              <w:bottom w:val="nil"/>
              <w:right w:val="nil"/>
            </w:tcBorders>
          </w:tcPr>
          <w:p w14:paraId="488070DF"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1,325</w:t>
            </w:r>
          </w:p>
        </w:tc>
      </w:tr>
      <w:tr w:rsidR="00931E7C" w:rsidRPr="00E859CA" w14:paraId="79215A66" w14:textId="77777777" w:rsidTr="008614D5">
        <w:trPr>
          <w:trHeight w:val="377"/>
          <w:jc w:val="center"/>
        </w:trPr>
        <w:tc>
          <w:tcPr>
            <w:tcW w:w="547" w:type="dxa"/>
            <w:tcBorders>
              <w:top w:val="nil"/>
              <w:left w:val="nil"/>
              <w:bottom w:val="nil"/>
              <w:right w:val="nil"/>
            </w:tcBorders>
          </w:tcPr>
          <w:p w14:paraId="28402502"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3FD8818A" w14:textId="291637D3" w:rsidR="00931E7C" w:rsidRPr="00E859CA" w:rsidRDefault="00931E7C" w:rsidP="00931E7C">
            <w:pPr>
              <w:rPr>
                <w:rFonts w:ascii="Arial" w:eastAsia="Calibri" w:hAnsi="Arial" w:cs="Arial"/>
                <w:lang w:val="en-GB"/>
              </w:rPr>
            </w:pPr>
            <w:r w:rsidRPr="00E859CA">
              <w:rPr>
                <w:rFonts w:ascii="Arial" w:eastAsia="Calibri" w:hAnsi="Arial" w:cs="Arial"/>
                <w:lang w:val="en-GB"/>
              </w:rPr>
              <w:t xml:space="preserve">Advertising and </w:t>
            </w:r>
            <w:r w:rsidR="00BE290B" w:rsidRPr="00E859CA">
              <w:rPr>
                <w:rFonts w:ascii="Arial" w:eastAsia="Calibri" w:hAnsi="Arial" w:cs="Arial"/>
                <w:lang w:val="en-GB"/>
              </w:rPr>
              <w:t>P</w:t>
            </w:r>
            <w:r w:rsidRPr="00E859CA">
              <w:rPr>
                <w:rFonts w:ascii="Arial" w:eastAsia="Calibri" w:hAnsi="Arial" w:cs="Arial"/>
                <w:lang w:val="en-GB"/>
              </w:rPr>
              <w:t>romotion</w:t>
            </w:r>
          </w:p>
        </w:tc>
        <w:tc>
          <w:tcPr>
            <w:tcW w:w="1588" w:type="dxa"/>
            <w:tcBorders>
              <w:top w:val="nil"/>
              <w:left w:val="nil"/>
              <w:bottom w:val="single" w:sz="4" w:space="0" w:color="auto"/>
              <w:right w:val="nil"/>
            </w:tcBorders>
          </w:tcPr>
          <w:p w14:paraId="6FEE645F"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14,640</w:t>
            </w:r>
          </w:p>
        </w:tc>
        <w:tc>
          <w:tcPr>
            <w:tcW w:w="1559" w:type="dxa"/>
            <w:tcBorders>
              <w:top w:val="nil"/>
              <w:left w:val="nil"/>
              <w:bottom w:val="single" w:sz="4" w:space="0" w:color="auto"/>
              <w:right w:val="nil"/>
            </w:tcBorders>
          </w:tcPr>
          <w:p w14:paraId="278D772A" w14:textId="77777777" w:rsidR="00931E7C" w:rsidRPr="00E859CA" w:rsidRDefault="00931E7C" w:rsidP="00931E7C">
            <w:pPr>
              <w:jc w:val="right"/>
              <w:rPr>
                <w:rFonts w:ascii="Arial" w:eastAsia="Calibri" w:hAnsi="Arial" w:cs="Arial"/>
                <w:lang w:val="en-GB"/>
              </w:rPr>
            </w:pPr>
            <w:r w:rsidRPr="00E859CA">
              <w:rPr>
                <w:rFonts w:ascii="Arial" w:eastAsia="Calibri" w:hAnsi="Arial" w:cs="Arial"/>
                <w:lang w:val="en-GB"/>
              </w:rPr>
              <w:t>86</w:t>
            </w:r>
          </w:p>
        </w:tc>
      </w:tr>
      <w:tr w:rsidR="00931E7C" w:rsidRPr="00E859CA" w14:paraId="360F0BAB" w14:textId="77777777" w:rsidTr="008614D5">
        <w:trPr>
          <w:trHeight w:val="479"/>
          <w:jc w:val="center"/>
        </w:trPr>
        <w:tc>
          <w:tcPr>
            <w:tcW w:w="547" w:type="dxa"/>
            <w:tcBorders>
              <w:top w:val="nil"/>
              <w:left w:val="nil"/>
              <w:bottom w:val="nil"/>
              <w:right w:val="nil"/>
            </w:tcBorders>
          </w:tcPr>
          <w:p w14:paraId="0F95FA96" w14:textId="77777777" w:rsidR="00931E7C" w:rsidRPr="00E859CA" w:rsidRDefault="00931E7C" w:rsidP="00931E7C">
            <w:pPr>
              <w:rPr>
                <w:rFonts w:ascii="Arial" w:eastAsia="Calibri" w:hAnsi="Arial" w:cs="Arial"/>
                <w:lang w:val="en-GB"/>
              </w:rPr>
            </w:pPr>
          </w:p>
        </w:tc>
        <w:tc>
          <w:tcPr>
            <w:tcW w:w="6280" w:type="dxa"/>
            <w:gridSpan w:val="2"/>
            <w:tcBorders>
              <w:top w:val="nil"/>
              <w:left w:val="nil"/>
              <w:bottom w:val="nil"/>
              <w:right w:val="nil"/>
            </w:tcBorders>
          </w:tcPr>
          <w:p w14:paraId="07BB05F7" w14:textId="77777777" w:rsidR="00931E7C" w:rsidRPr="00E859CA" w:rsidRDefault="00931E7C" w:rsidP="00931E7C">
            <w:pPr>
              <w:rPr>
                <w:rFonts w:ascii="Arial" w:eastAsia="Calibri" w:hAnsi="Arial" w:cs="Arial"/>
                <w:b/>
                <w:lang w:val="en-GB"/>
              </w:rPr>
            </w:pPr>
            <w:r w:rsidRPr="00E859CA">
              <w:rPr>
                <w:rFonts w:ascii="Arial" w:eastAsia="Calibri" w:hAnsi="Arial" w:cs="Arial"/>
                <w:b/>
                <w:lang w:val="en-GB"/>
              </w:rPr>
              <w:t>Total Expenditures</w:t>
            </w:r>
          </w:p>
        </w:tc>
        <w:tc>
          <w:tcPr>
            <w:tcW w:w="1588" w:type="dxa"/>
            <w:tcBorders>
              <w:top w:val="single" w:sz="4" w:space="0" w:color="auto"/>
              <w:left w:val="nil"/>
              <w:bottom w:val="single" w:sz="4" w:space="0" w:color="auto"/>
              <w:right w:val="nil"/>
            </w:tcBorders>
            <w:vAlign w:val="center"/>
          </w:tcPr>
          <w:p w14:paraId="2CE0946C" w14:textId="77777777" w:rsidR="00931E7C" w:rsidRPr="00E859CA" w:rsidRDefault="00931E7C" w:rsidP="00931E7C">
            <w:pPr>
              <w:jc w:val="right"/>
              <w:rPr>
                <w:rFonts w:ascii="Arial" w:eastAsia="Calibri" w:hAnsi="Arial" w:cs="Arial"/>
                <w:b/>
                <w:lang w:val="en-GB"/>
              </w:rPr>
            </w:pPr>
            <w:r w:rsidRPr="00E859CA">
              <w:rPr>
                <w:rFonts w:ascii="Arial" w:eastAsia="Calibri" w:hAnsi="Arial" w:cs="Arial"/>
                <w:b/>
                <w:lang w:val="en-GB"/>
              </w:rPr>
              <w:t>265,577</w:t>
            </w:r>
          </w:p>
        </w:tc>
        <w:tc>
          <w:tcPr>
            <w:tcW w:w="1559" w:type="dxa"/>
            <w:tcBorders>
              <w:top w:val="single" w:sz="4" w:space="0" w:color="auto"/>
              <w:left w:val="nil"/>
              <w:bottom w:val="single" w:sz="4" w:space="0" w:color="auto"/>
              <w:right w:val="nil"/>
            </w:tcBorders>
            <w:vAlign w:val="center"/>
          </w:tcPr>
          <w:p w14:paraId="3EAAB5D9" w14:textId="45A29089" w:rsidR="00931E7C" w:rsidRPr="00E859CA" w:rsidRDefault="00A514F5" w:rsidP="00931E7C">
            <w:pPr>
              <w:jc w:val="right"/>
              <w:rPr>
                <w:rFonts w:ascii="Arial" w:eastAsia="Calibri" w:hAnsi="Arial" w:cs="Arial"/>
                <w:b/>
                <w:lang w:val="en-GB"/>
              </w:rPr>
            </w:pPr>
            <w:r w:rsidRPr="00E859CA">
              <w:rPr>
                <w:rFonts w:ascii="Arial" w:eastAsia="Calibri" w:hAnsi="Arial" w:cs="Arial"/>
                <w:b/>
                <w:lang w:val="en-GB"/>
              </w:rPr>
              <w:t>55,374</w:t>
            </w:r>
          </w:p>
        </w:tc>
      </w:tr>
      <w:tr w:rsidR="00931E7C" w:rsidRPr="00E859CA" w14:paraId="5A307E6A" w14:textId="77777777" w:rsidTr="008614D5">
        <w:trPr>
          <w:trHeight w:val="479"/>
          <w:jc w:val="center"/>
        </w:trPr>
        <w:tc>
          <w:tcPr>
            <w:tcW w:w="6827" w:type="dxa"/>
            <w:gridSpan w:val="3"/>
            <w:tcBorders>
              <w:top w:val="nil"/>
              <w:left w:val="nil"/>
              <w:bottom w:val="nil"/>
              <w:right w:val="nil"/>
            </w:tcBorders>
            <w:vAlign w:val="center"/>
          </w:tcPr>
          <w:p w14:paraId="7A3F5DAF" w14:textId="1E055209" w:rsidR="00931E7C" w:rsidRPr="00E859CA" w:rsidRDefault="007D7ED2" w:rsidP="00931E7C">
            <w:pPr>
              <w:rPr>
                <w:rFonts w:ascii="Arial" w:eastAsia="Calibri" w:hAnsi="Arial" w:cs="Arial"/>
                <w:b/>
                <w:lang w:val="en-GB"/>
              </w:rPr>
            </w:pPr>
            <w:r w:rsidRPr="00E859CA">
              <w:rPr>
                <w:rFonts w:ascii="Arial" w:eastAsia="Calibri" w:hAnsi="Arial" w:cs="Arial"/>
                <w:b/>
                <w:lang w:val="en-GB"/>
              </w:rPr>
              <w:t>Net Profit (Loss)</w:t>
            </w:r>
          </w:p>
        </w:tc>
        <w:tc>
          <w:tcPr>
            <w:tcW w:w="1588" w:type="dxa"/>
            <w:tcBorders>
              <w:top w:val="single" w:sz="4" w:space="0" w:color="auto"/>
              <w:left w:val="nil"/>
              <w:bottom w:val="double" w:sz="4" w:space="0" w:color="auto"/>
              <w:right w:val="nil"/>
            </w:tcBorders>
            <w:vAlign w:val="center"/>
          </w:tcPr>
          <w:p w14:paraId="6BF9F61C" w14:textId="77777777" w:rsidR="00931E7C" w:rsidRPr="00E859CA" w:rsidRDefault="00931E7C" w:rsidP="00931E7C">
            <w:pPr>
              <w:jc w:val="right"/>
              <w:rPr>
                <w:rFonts w:ascii="Arial" w:eastAsia="Calibri" w:hAnsi="Arial" w:cs="Arial"/>
                <w:b/>
                <w:lang w:val="en-GB"/>
              </w:rPr>
            </w:pPr>
            <w:r w:rsidRPr="00E859CA">
              <w:rPr>
                <w:rFonts w:ascii="Arial" w:eastAsia="Calibri" w:hAnsi="Arial" w:cs="Arial"/>
                <w:b/>
                <w:lang w:val="en-GB"/>
              </w:rPr>
              <w:t>23,846</w:t>
            </w:r>
          </w:p>
        </w:tc>
        <w:tc>
          <w:tcPr>
            <w:tcW w:w="1559" w:type="dxa"/>
            <w:tcBorders>
              <w:top w:val="single" w:sz="4" w:space="0" w:color="auto"/>
              <w:left w:val="nil"/>
              <w:bottom w:val="double" w:sz="4" w:space="0" w:color="auto"/>
              <w:right w:val="nil"/>
            </w:tcBorders>
            <w:vAlign w:val="center"/>
          </w:tcPr>
          <w:p w14:paraId="6F6393F8" w14:textId="63A7BA27" w:rsidR="00931E7C" w:rsidRPr="00E859CA" w:rsidRDefault="00A37634" w:rsidP="00A37634">
            <w:pPr>
              <w:jc w:val="right"/>
              <w:rPr>
                <w:rFonts w:ascii="Arial" w:eastAsia="Calibri" w:hAnsi="Arial" w:cs="Arial"/>
                <w:b/>
                <w:lang w:val="en-GB"/>
              </w:rPr>
            </w:pPr>
            <w:r>
              <w:rPr>
                <w:rFonts w:ascii="Arial" w:eastAsia="Calibri" w:hAnsi="Arial" w:cs="Arial"/>
                <w:b/>
                <w:lang w:val="en-GB"/>
              </w:rPr>
              <w:t>−</w:t>
            </w:r>
            <w:r w:rsidR="00931E7C" w:rsidRPr="00E859CA">
              <w:rPr>
                <w:rFonts w:ascii="Arial" w:eastAsia="Calibri" w:hAnsi="Arial" w:cs="Arial"/>
                <w:b/>
                <w:lang w:val="en-GB"/>
              </w:rPr>
              <w:t>15,243</w:t>
            </w:r>
          </w:p>
        </w:tc>
      </w:tr>
    </w:tbl>
    <w:p w14:paraId="116E82F3" w14:textId="77777777" w:rsidR="00931E7C" w:rsidRPr="00E859CA" w:rsidRDefault="00931E7C" w:rsidP="00931E7C">
      <w:pPr>
        <w:pStyle w:val="BodyTextMain"/>
        <w:rPr>
          <w:lang w:val="en-GB"/>
        </w:rPr>
      </w:pPr>
    </w:p>
    <w:p w14:paraId="57A260F8" w14:textId="77777777" w:rsidR="00931E7C" w:rsidRPr="00E859CA" w:rsidRDefault="00931E7C" w:rsidP="00931E7C">
      <w:pPr>
        <w:pStyle w:val="Footnote"/>
        <w:rPr>
          <w:lang w:val="en-GB"/>
        </w:rPr>
      </w:pPr>
      <w:r w:rsidRPr="00E859CA">
        <w:rPr>
          <w:lang w:val="en-GB"/>
        </w:rPr>
        <w:t>Source: Company files.</w:t>
      </w:r>
    </w:p>
    <w:p w14:paraId="0B6EE8E2" w14:textId="77777777" w:rsidR="00931E7C" w:rsidRPr="00E859CA" w:rsidRDefault="00931E7C">
      <w:pPr>
        <w:spacing w:after="200" w:line="276" w:lineRule="auto"/>
        <w:rPr>
          <w:rFonts w:ascii="Arial" w:hAnsi="Arial" w:cs="Arial"/>
          <w:sz w:val="17"/>
          <w:szCs w:val="17"/>
          <w:lang w:val="en-GB"/>
        </w:rPr>
      </w:pPr>
      <w:r w:rsidRPr="00E859CA">
        <w:rPr>
          <w:lang w:val="en-GB"/>
        </w:rPr>
        <w:br w:type="page"/>
      </w:r>
    </w:p>
    <w:p w14:paraId="38E8D0F6" w14:textId="420D2985" w:rsidR="00931E7C" w:rsidRPr="00E859CA" w:rsidRDefault="00931E7C" w:rsidP="00931E7C">
      <w:pPr>
        <w:pStyle w:val="ExhibitHeading"/>
        <w:rPr>
          <w:lang w:val="en-GB"/>
        </w:rPr>
      </w:pPr>
      <w:r w:rsidRPr="00E859CA">
        <w:rPr>
          <w:lang w:val="en-GB"/>
        </w:rPr>
        <w:lastRenderedPageBreak/>
        <w:t>EXHIBIT 2: donation</w:t>
      </w:r>
      <w:r w:rsidR="00F424CB" w:rsidRPr="00E859CA">
        <w:rPr>
          <w:lang w:val="en-GB"/>
        </w:rPr>
        <w:t xml:space="preserve"> Habits by Generation</w:t>
      </w:r>
    </w:p>
    <w:p w14:paraId="56A5434F" w14:textId="77777777" w:rsidR="00931E7C" w:rsidRPr="00E859CA" w:rsidRDefault="00931E7C" w:rsidP="00931E7C">
      <w:pPr>
        <w:tabs>
          <w:tab w:val="left" w:pos="284"/>
        </w:tabs>
        <w:jc w:val="center"/>
        <w:rPr>
          <w:sz w:val="22"/>
          <w:szCs w:val="22"/>
          <w:lang w:val="en-GB"/>
        </w:rPr>
      </w:pPr>
    </w:p>
    <w:tbl>
      <w:tblPr>
        <w:tblStyle w:val="TableGrid"/>
        <w:tblW w:w="9284" w:type="dxa"/>
        <w:jc w:val="center"/>
        <w:tblLook w:val="04A0" w:firstRow="1" w:lastRow="0" w:firstColumn="1" w:lastColumn="0" w:noHBand="0" w:noVBand="1"/>
      </w:tblPr>
      <w:tblGrid>
        <w:gridCol w:w="1893"/>
        <w:gridCol w:w="1230"/>
        <w:gridCol w:w="1584"/>
        <w:gridCol w:w="1362"/>
        <w:gridCol w:w="3215"/>
      </w:tblGrid>
      <w:tr w:rsidR="00931E7C" w:rsidRPr="00E859CA" w14:paraId="2624048B" w14:textId="77777777" w:rsidTr="00931E7C">
        <w:trPr>
          <w:trHeight w:val="152"/>
          <w:jc w:val="center"/>
        </w:trPr>
        <w:tc>
          <w:tcPr>
            <w:tcW w:w="1893" w:type="dxa"/>
            <w:vAlign w:val="center"/>
          </w:tcPr>
          <w:p w14:paraId="1D1414A7" w14:textId="77777777" w:rsidR="00931E7C" w:rsidRPr="00E859CA" w:rsidRDefault="00931E7C" w:rsidP="00931E7C">
            <w:pPr>
              <w:pStyle w:val="ExhibitText"/>
              <w:jc w:val="center"/>
              <w:rPr>
                <w:b/>
                <w:lang w:val="en-GB"/>
              </w:rPr>
            </w:pPr>
            <w:r w:rsidRPr="00E859CA">
              <w:rPr>
                <w:b/>
                <w:lang w:val="en-GB"/>
              </w:rPr>
              <w:t>Generation</w:t>
            </w:r>
          </w:p>
        </w:tc>
        <w:tc>
          <w:tcPr>
            <w:tcW w:w="1230" w:type="dxa"/>
            <w:vAlign w:val="center"/>
          </w:tcPr>
          <w:p w14:paraId="2669142D" w14:textId="0DFEB09B" w:rsidR="00931E7C" w:rsidRPr="00E859CA" w:rsidRDefault="00F424CB" w:rsidP="00931E7C">
            <w:pPr>
              <w:pStyle w:val="ExhibitText"/>
              <w:jc w:val="center"/>
              <w:rPr>
                <w:b/>
                <w:lang w:val="en-GB"/>
              </w:rPr>
            </w:pPr>
            <w:r w:rsidRPr="00E859CA">
              <w:rPr>
                <w:b/>
                <w:lang w:val="en-GB"/>
              </w:rPr>
              <w:t>Annual Donations (in US$)</w:t>
            </w:r>
          </w:p>
        </w:tc>
        <w:tc>
          <w:tcPr>
            <w:tcW w:w="1584" w:type="dxa"/>
            <w:vAlign w:val="center"/>
          </w:tcPr>
          <w:p w14:paraId="2837BD18" w14:textId="22201041" w:rsidR="00931E7C" w:rsidRPr="00E859CA" w:rsidRDefault="00931E7C" w:rsidP="00931E7C">
            <w:pPr>
              <w:pStyle w:val="ExhibitText"/>
              <w:jc w:val="center"/>
              <w:rPr>
                <w:b/>
                <w:lang w:val="en-GB"/>
              </w:rPr>
            </w:pPr>
            <w:r w:rsidRPr="00E859CA">
              <w:rPr>
                <w:b/>
                <w:lang w:val="en-GB"/>
              </w:rPr>
              <w:t xml:space="preserve">Ways to </w:t>
            </w:r>
            <w:r w:rsidR="00640A44" w:rsidRPr="00E859CA">
              <w:rPr>
                <w:b/>
                <w:lang w:val="en-GB"/>
              </w:rPr>
              <w:t>G</w:t>
            </w:r>
            <w:r w:rsidRPr="00E859CA">
              <w:rPr>
                <w:b/>
                <w:lang w:val="en-GB"/>
              </w:rPr>
              <w:t xml:space="preserve">et </w:t>
            </w:r>
            <w:r w:rsidR="00640A44" w:rsidRPr="00E859CA">
              <w:rPr>
                <w:b/>
                <w:lang w:val="en-GB"/>
              </w:rPr>
              <w:t>I</w:t>
            </w:r>
            <w:r w:rsidRPr="00E859CA">
              <w:rPr>
                <w:b/>
                <w:lang w:val="en-GB"/>
              </w:rPr>
              <w:t>nvolved</w:t>
            </w:r>
          </w:p>
        </w:tc>
        <w:tc>
          <w:tcPr>
            <w:tcW w:w="1362" w:type="dxa"/>
            <w:vAlign w:val="center"/>
          </w:tcPr>
          <w:p w14:paraId="7D5E04C7" w14:textId="431C46C9" w:rsidR="00931E7C" w:rsidRPr="00E859CA" w:rsidRDefault="00931E7C" w:rsidP="00931E7C">
            <w:pPr>
              <w:pStyle w:val="ExhibitText"/>
              <w:jc w:val="center"/>
              <w:rPr>
                <w:b/>
                <w:lang w:val="en-GB"/>
              </w:rPr>
            </w:pPr>
            <w:r w:rsidRPr="00E859CA">
              <w:rPr>
                <w:b/>
                <w:lang w:val="en-GB"/>
              </w:rPr>
              <w:t xml:space="preserve">Donation </w:t>
            </w:r>
            <w:r w:rsidR="00640A44" w:rsidRPr="00E859CA">
              <w:rPr>
                <w:b/>
                <w:lang w:val="en-GB"/>
              </w:rPr>
              <w:t>I</w:t>
            </w:r>
            <w:r w:rsidRPr="00E859CA">
              <w:rPr>
                <w:b/>
                <w:lang w:val="en-GB"/>
              </w:rPr>
              <w:t>nterests</w:t>
            </w:r>
          </w:p>
        </w:tc>
        <w:tc>
          <w:tcPr>
            <w:tcW w:w="3215" w:type="dxa"/>
            <w:vAlign w:val="center"/>
          </w:tcPr>
          <w:p w14:paraId="1AEA35F0" w14:textId="77777777" w:rsidR="00931E7C" w:rsidRPr="00E859CA" w:rsidRDefault="00931E7C" w:rsidP="00931E7C">
            <w:pPr>
              <w:pStyle w:val="ExhibitText"/>
              <w:jc w:val="center"/>
              <w:rPr>
                <w:b/>
                <w:lang w:val="en-GB"/>
              </w:rPr>
            </w:pPr>
            <w:r w:rsidRPr="00E859CA">
              <w:rPr>
                <w:b/>
                <w:lang w:val="en-GB"/>
              </w:rPr>
              <w:t>Characteristics</w:t>
            </w:r>
          </w:p>
        </w:tc>
      </w:tr>
      <w:tr w:rsidR="00931E7C" w:rsidRPr="00E859CA" w14:paraId="560D6F37" w14:textId="77777777" w:rsidTr="00931E7C">
        <w:trPr>
          <w:jc w:val="center"/>
        </w:trPr>
        <w:tc>
          <w:tcPr>
            <w:tcW w:w="1893" w:type="dxa"/>
            <w:vAlign w:val="center"/>
          </w:tcPr>
          <w:p w14:paraId="4ECEFF7E" w14:textId="2ED45733" w:rsidR="00931E7C" w:rsidRPr="00E859CA" w:rsidRDefault="00931E7C" w:rsidP="00931E7C">
            <w:pPr>
              <w:pStyle w:val="ExhibitText"/>
              <w:jc w:val="left"/>
              <w:rPr>
                <w:lang w:val="en-GB"/>
              </w:rPr>
            </w:pPr>
            <w:r w:rsidRPr="00E859CA">
              <w:rPr>
                <w:lang w:val="en-GB"/>
              </w:rPr>
              <w:t>Millen</w:t>
            </w:r>
            <w:r w:rsidR="00640A44" w:rsidRPr="00E859CA">
              <w:rPr>
                <w:lang w:val="en-GB"/>
              </w:rPr>
              <w:t>n</w:t>
            </w:r>
            <w:r w:rsidRPr="00E859CA">
              <w:rPr>
                <w:lang w:val="en-GB"/>
              </w:rPr>
              <w:t>ials (1981</w:t>
            </w:r>
            <w:r w:rsidR="00640A44" w:rsidRPr="00E859CA">
              <w:rPr>
                <w:lang w:val="en-GB"/>
              </w:rPr>
              <w:t>–</w:t>
            </w:r>
            <w:r w:rsidRPr="00E859CA">
              <w:rPr>
                <w:lang w:val="en-GB"/>
              </w:rPr>
              <w:t>1997)</w:t>
            </w:r>
          </w:p>
        </w:tc>
        <w:tc>
          <w:tcPr>
            <w:tcW w:w="1230" w:type="dxa"/>
            <w:vAlign w:val="center"/>
          </w:tcPr>
          <w:p w14:paraId="762C6B0C" w14:textId="77777777" w:rsidR="00931E7C" w:rsidRPr="00E859CA" w:rsidRDefault="00931E7C" w:rsidP="00AD5FA9">
            <w:pPr>
              <w:pStyle w:val="ExhibitText"/>
              <w:jc w:val="right"/>
              <w:rPr>
                <w:lang w:val="en-GB"/>
              </w:rPr>
            </w:pPr>
            <w:r w:rsidRPr="00E859CA">
              <w:rPr>
                <w:lang w:val="en-GB"/>
              </w:rPr>
              <w:t>$644.92</w:t>
            </w:r>
          </w:p>
        </w:tc>
        <w:tc>
          <w:tcPr>
            <w:tcW w:w="1584" w:type="dxa"/>
            <w:vAlign w:val="center"/>
          </w:tcPr>
          <w:p w14:paraId="2113A93E" w14:textId="77777777" w:rsidR="00931E7C" w:rsidRPr="00E859CA" w:rsidRDefault="00931E7C" w:rsidP="00931E7C">
            <w:pPr>
              <w:pStyle w:val="ExhibitText"/>
              <w:jc w:val="left"/>
              <w:rPr>
                <w:lang w:val="en-GB"/>
              </w:rPr>
            </w:pPr>
            <w:r w:rsidRPr="00E859CA">
              <w:rPr>
                <w:lang w:val="en-GB"/>
              </w:rPr>
              <w:t>Volunteering and donations</w:t>
            </w:r>
          </w:p>
        </w:tc>
        <w:tc>
          <w:tcPr>
            <w:tcW w:w="1362" w:type="dxa"/>
            <w:vAlign w:val="center"/>
          </w:tcPr>
          <w:p w14:paraId="0A5068FF" w14:textId="77777777" w:rsidR="00931E7C" w:rsidRPr="00E859CA" w:rsidRDefault="00931E7C" w:rsidP="00931E7C">
            <w:pPr>
              <w:pStyle w:val="ExhibitText"/>
              <w:jc w:val="left"/>
              <w:rPr>
                <w:lang w:val="en-GB"/>
              </w:rPr>
            </w:pPr>
            <w:r w:rsidRPr="00E859CA">
              <w:rPr>
                <w:lang w:val="en-GB"/>
              </w:rPr>
              <w:t>Youth development</w:t>
            </w:r>
          </w:p>
        </w:tc>
        <w:tc>
          <w:tcPr>
            <w:tcW w:w="3215" w:type="dxa"/>
            <w:vAlign w:val="center"/>
          </w:tcPr>
          <w:p w14:paraId="49D8BE53" w14:textId="232212A0" w:rsidR="00931E7C" w:rsidRPr="00E859CA" w:rsidRDefault="00931E7C" w:rsidP="00AD5FA9">
            <w:pPr>
              <w:pStyle w:val="ExhibitText"/>
              <w:numPr>
                <w:ilvl w:val="0"/>
                <w:numId w:val="33"/>
              </w:numPr>
              <w:jc w:val="left"/>
              <w:rPr>
                <w:lang w:val="en-GB"/>
              </w:rPr>
            </w:pPr>
            <w:r w:rsidRPr="00E859CA">
              <w:rPr>
                <w:lang w:val="en-GB"/>
              </w:rPr>
              <w:t>Receptive to crowdfunding (87</w:t>
            </w:r>
            <w:r w:rsidR="00640A44" w:rsidRPr="00E859CA">
              <w:rPr>
                <w:lang w:val="en-GB"/>
              </w:rPr>
              <w:t xml:space="preserve"> per cent</w:t>
            </w:r>
            <w:r w:rsidRPr="00E859CA">
              <w:rPr>
                <w:lang w:val="en-GB"/>
              </w:rPr>
              <w:t>)</w:t>
            </w:r>
          </w:p>
          <w:p w14:paraId="1B0A5F21" w14:textId="6D314875" w:rsidR="00931E7C" w:rsidRPr="00E859CA" w:rsidRDefault="00931E7C" w:rsidP="00AD5FA9">
            <w:pPr>
              <w:pStyle w:val="ExhibitText"/>
              <w:numPr>
                <w:ilvl w:val="0"/>
                <w:numId w:val="33"/>
              </w:numPr>
              <w:jc w:val="left"/>
              <w:rPr>
                <w:lang w:val="en-GB"/>
              </w:rPr>
            </w:pPr>
            <w:r w:rsidRPr="00E859CA">
              <w:rPr>
                <w:lang w:val="en-GB"/>
              </w:rPr>
              <w:t>More likely to follow and interact with charities on social media</w:t>
            </w:r>
          </w:p>
          <w:p w14:paraId="77F03AD2" w14:textId="77777777" w:rsidR="00931E7C" w:rsidRPr="00E859CA" w:rsidRDefault="00931E7C" w:rsidP="00AD5FA9">
            <w:pPr>
              <w:pStyle w:val="ExhibitText"/>
              <w:numPr>
                <w:ilvl w:val="0"/>
                <w:numId w:val="33"/>
              </w:numPr>
              <w:jc w:val="left"/>
              <w:rPr>
                <w:lang w:val="en-GB"/>
              </w:rPr>
            </w:pPr>
            <w:r w:rsidRPr="00E859CA">
              <w:rPr>
                <w:lang w:val="en-GB"/>
              </w:rPr>
              <w:t>Group with the lowest donations per individual</w:t>
            </w:r>
          </w:p>
        </w:tc>
      </w:tr>
      <w:tr w:rsidR="00931E7C" w:rsidRPr="00E859CA" w14:paraId="08301C2F" w14:textId="77777777" w:rsidTr="00931E7C">
        <w:trPr>
          <w:jc w:val="center"/>
        </w:trPr>
        <w:tc>
          <w:tcPr>
            <w:tcW w:w="1893" w:type="dxa"/>
            <w:vAlign w:val="center"/>
          </w:tcPr>
          <w:p w14:paraId="5C708498" w14:textId="16B5A386" w:rsidR="00931E7C" w:rsidRPr="00E859CA" w:rsidRDefault="00931E7C" w:rsidP="00931E7C">
            <w:pPr>
              <w:pStyle w:val="ExhibitText"/>
              <w:jc w:val="left"/>
              <w:rPr>
                <w:lang w:val="en-GB"/>
              </w:rPr>
            </w:pPr>
            <w:r w:rsidRPr="00E859CA">
              <w:rPr>
                <w:lang w:val="en-GB"/>
              </w:rPr>
              <w:t>Gen</w:t>
            </w:r>
            <w:r w:rsidR="00640A44" w:rsidRPr="00E859CA">
              <w:rPr>
                <w:lang w:val="en-GB"/>
              </w:rPr>
              <w:t>eration</w:t>
            </w:r>
            <w:r w:rsidRPr="00E859CA">
              <w:rPr>
                <w:lang w:val="en-GB"/>
              </w:rPr>
              <w:t xml:space="preserve"> X (1965</w:t>
            </w:r>
            <w:r w:rsidR="00640A44" w:rsidRPr="00E859CA">
              <w:rPr>
                <w:lang w:val="en-GB"/>
              </w:rPr>
              <w:t>–</w:t>
            </w:r>
            <w:r w:rsidRPr="00E859CA">
              <w:rPr>
                <w:lang w:val="en-GB"/>
              </w:rPr>
              <w:t>1980)</w:t>
            </w:r>
          </w:p>
        </w:tc>
        <w:tc>
          <w:tcPr>
            <w:tcW w:w="1230" w:type="dxa"/>
            <w:vAlign w:val="center"/>
          </w:tcPr>
          <w:p w14:paraId="639B9F79" w14:textId="5A1A6D83" w:rsidR="00931E7C" w:rsidRPr="00E859CA" w:rsidRDefault="00931E7C" w:rsidP="00AD5FA9">
            <w:pPr>
              <w:pStyle w:val="ExhibitText"/>
              <w:jc w:val="right"/>
              <w:rPr>
                <w:lang w:val="en-GB"/>
              </w:rPr>
            </w:pPr>
            <w:r w:rsidRPr="00E859CA">
              <w:rPr>
                <w:lang w:val="en-GB"/>
              </w:rPr>
              <w:t>$1</w:t>
            </w:r>
            <w:r w:rsidR="00CD0CA9" w:rsidRPr="00E859CA">
              <w:rPr>
                <w:lang w:val="en-GB"/>
              </w:rPr>
              <w:t>,</w:t>
            </w:r>
            <w:r w:rsidRPr="00E859CA">
              <w:rPr>
                <w:lang w:val="en-GB"/>
              </w:rPr>
              <w:t>033.28</w:t>
            </w:r>
          </w:p>
        </w:tc>
        <w:tc>
          <w:tcPr>
            <w:tcW w:w="1584" w:type="dxa"/>
            <w:vAlign w:val="center"/>
          </w:tcPr>
          <w:p w14:paraId="6441C025" w14:textId="77777777" w:rsidR="00931E7C" w:rsidRPr="00E859CA" w:rsidRDefault="00931E7C" w:rsidP="00931E7C">
            <w:pPr>
              <w:pStyle w:val="ExhibitText"/>
              <w:jc w:val="left"/>
              <w:rPr>
                <w:lang w:val="en-GB"/>
              </w:rPr>
            </w:pPr>
            <w:r w:rsidRPr="00E859CA">
              <w:rPr>
                <w:lang w:val="en-GB"/>
              </w:rPr>
              <w:t>Donations and volunteering</w:t>
            </w:r>
          </w:p>
        </w:tc>
        <w:tc>
          <w:tcPr>
            <w:tcW w:w="1362" w:type="dxa"/>
            <w:vAlign w:val="center"/>
          </w:tcPr>
          <w:p w14:paraId="49752774" w14:textId="77777777" w:rsidR="00931E7C" w:rsidRPr="00E859CA" w:rsidRDefault="00931E7C" w:rsidP="00931E7C">
            <w:pPr>
              <w:pStyle w:val="ExhibitText"/>
              <w:jc w:val="left"/>
              <w:rPr>
                <w:lang w:val="en-GB"/>
              </w:rPr>
            </w:pPr>
            <w:r w:rsidRPr="00E859CA">
              <w:rPr>
                <w:lang w:val="en-GB"/>
              </w:rPr>
              <w:t>Youth development</w:t>
            </w:r>
          </w:p>
        </w:tc>
        <w:tc>
          <w:tcPr>
            <w:tcW w:w="3215" w:type="dxa"/>
            <w:vAlign w:val="center"/>
          </w:tcPr>
          <w:p w14:paraId="2E776914" w14:textId="514EF843" w:rsidR="00931E7C" w:rsidRPr="00E859CA" w:rsidRDefault="00931E7C" w:rsidP="00AD5FA9">
            <w:pPr>
              <w:pStyle w:val="ExhibitText"/>
              <w:numPr>
                <w:ilvl w:val="0"/>
                <w:numId w:val="34"/>
              </w:numPr>
              <w:jc w:val="left"/>
              <w:rPr>
                <w:lang w:val="en-GB"/>
              </w:rPr>
            </w:pPr>
            <w:r w:rsidRPr="00E859CA">
              <w:rPr>
                <w:lang w:val="en-GB"/>
              </w:rPr>
              <w:t>Receptive to crowdfunding (87</w:t>
            </w:r>
            <w:r w:rsidR="00640A44" w:rsidRPr="00E859CA">
              <w:rPr>
                <w:lang w:val="en-GB"/>
              </w:rPr>
              <w:t xml:space="preserve"> per cent</w:t>
            </w:r>
            <w:r w:rsidRPr="00E859CA">
              <w:rPr>
                <w:lang w:val="en-GB"/>
              </w:rPr>
              <w:t>)</w:t>
            </w:r>
          </w:p>
          <w:p w14:paraId="3606F93C" w14:textId="04C55D58" w:rsidR="00931E7C" w:rsidRPr="00E859CA" w:rsidRDefault="00931E7C" w:rsidP="00AD5FA9">
            <w:pPr>
              <w:pStyle w:val="ExhibitText"/>
              <w:numPr>
                <w:ilvl w:val="0"/>
                <w:numId w:val="34"/>
              </w:numPr>
              <w:jc w:val="left"/>
              <w:rPr>
                <w:lang w:val="en-GB"/>
              </w:rPr>
            </w:pPr>
            <w:r w:rsidRPr="00E859CA">
              <w:rPr>
                <w:lang w:val="en-GB"/>
              </w:rPr>
              <w:t xml:space="preserve">Almost a third </w:t>
            </w:r>
            <w:r w:rsidR="00640A44" w:rsidRPr="00E859CA">
              <w:rPr>
                <w:lang w:val="en-GB"/>
              </w:rPr>
              <w:t>expecting to</w:t>
            </w:r>
            <w:r w:rsidRPr="00E859CA">
              <w:rPr>
                <w:lang w:val="en-GB"/>
              </w:rPr>
              <w:t xml:space="preserve"> give to a charity through social media in the future</w:t>
            </w:r>
          </w:p>
          <w:p w14:paraId="44944BE3" w14:textId="229AA4BB" w:rsidR="00931E7C" w:rsidRPr="00E859CA" w:rsidRDefault="00931E7C" w:rsidP="00AD5FA9">
            <w:pPr>
              <w:pStyle w:val="ExhibitText"/>
              <w:numPr>
                <w:ilvl w:val="0"/>
                <w:numId w:val="34"/>
              </w:numPr>
              <w:jc w:val="left"/>
              <w:rPr>
                <w:lang w:val="en-GB"/>
              </w:rPr>
            </w:pPr>
            <w:r w:rsidRPr="00E859CA">
              <w:rPr>
                <w:lang w:val="en-GB"/>
              </w:rPr>
              <w:t>Group that has donated to charities most frequently</w:t>
            </w:r>
          </w:p>
        </w:tc>
      </w:tr>
      <w:tr w:rsidR="00931E7C" w:rsidRPr="00E859CA" w14:paraId="1E0284F6" w14:textId="77777777" w:rsidTr="00931E7C">
        <w:trPr>
          <w:jc w:val="center"/>
        </w:trPr>
        <w:tc>
          <w:tcPr>
            <w:tcW w:w="1893" w:type="dxa"/>
            <w:vAlign w:val="center"/>
          </w:tcPr>
          <w:p w14:paraId="38B5ECF3" w14:textId="21AE5069" w:rsidR="00931E7C" w:rsidRPr="00E859CA" w:rsidRDefault="00640A44" w:rsidP="00931E7C">
            <w:pPr>
              <w:pStyle w:val="ExhibitText"/>
              <w:jc w:val="left"/>
              <w:rPr>
                <w:lang w:val="en-GB"/>
              </w:rPr>
            </w:pPr>
            <w:r w:rsidRPr="00E859CA">
              <w:rPr>
                <w:lang w:val="en-GB"/>
              </w:rPr>
              <w:t xml:space="preserve">Baby </w:t>
            </w:r>
            <w:r w:rsidR="00931E7C" w:rsidRPr="00E859CA">
              <w:rPr>
                <w:lang w:val="en-GB"/>
              </w:rPr>
              <w:t>Boomers (1946</w:t>
            </w:r>
            <w:r w:rsidRPr="00E859CA">
              <w:rPr>
                <w:lang w:val="en-GB"/>
              </w:rPr>
              <w:t>–</w:t>
            </w:r>
            <w:r w:rsidR="00931E7C" w:rsidRPr="00E859CA">
              <w:rPr>
                <w:lang w:val="en-GB"/>
              </w:rPr>
              <w:t>1964)</w:t>
            </w:r>
          </w:p>
        </w:tc>
        <w:tc>
          <w:tcPr>
            <w:tcW w:w="1230" w:type="dxa"/>
            <w:vAlign w:val="center"/>
          </w:tcPr>
          <w:p w14:paraId="364FF0C2" w14:textId="17A11CA4" w:rsidR="00931E7C" w:rsidRPr="00E859CA" w:rsidRDefault="00931E7C" w:rsidP="00AD5FA9">
            <w:pPr>
              <w:pStyle w:val="ExhibitText"/>
              <w:jc w:val="right"/>
              <w:rPr>
                <w:lang w:val="en-GB"/>
              </w:rPr>
            </w:pPr>
            <w:r w:rsidRPr="00E859CA">
              <w:rPr>
                <w:lang w:val="en-GB"/>
              </w:rPr>
              <w:t>$1</w:t>
            </w:r>
            <w:r w:rsidR="00CD0CA9" w:rsidRPr="00E859CA">
              <w:rPr>
                <w:lang w:val="en-GB"/>
              </w:rPr>
              <w:t>,</w:t>
            </w:r>
            <w:r w:rsidRPr="00E859CA">
              <w:rPr>
                <w:lang w:val="en-GB"/>
              </w:rPr>
              <w:t>248.80</w:t>
            </w:r>
          </w:p>
        </w:tc>
        <w:tc>
          <w:tcPr>
            <w:tcW w:w="1584" w:type="dxa"/>
            <w:vAlign w:val="center"/>
          </w:tcPr>
          <w:p w14:paraId="33D40B15" w14:textId="77777777" w:rsidR="00931E7C" w:rsidRPr="00E859CA" w:rsidRDefault="00931E7C" w:rsidP="00931E7C">
            <w:pPr>
              <w:pStyle w:val="ExhibitText"/>
              <w:jc w:val="left"/>
              <w:rPr>
                <w:lang w:val="en-GB"/>
              </w:rPr>
            </w:pPr>
            <w:r w:rsidRPr="00E859CA">
              <w:rPr>
                <w:lang w:val="en-GB"/>
              </w:rPr>
              <w:t>Donations and personal stories</w:t>
            </w:r>
          </w:p>
        </w:tc>
        <w:tc>
          <w:tcPr>
            <w:tcW w:w="1362" w:type="dxa"/>
            <w:vAlign w:val="center"/>
          </w:tcPr>
          <w:p w14:paraId="68B9FED7" w14:textId="77777777" w:rsidR="00931E7C" w:rsidRPr="00E859CA" w:rsidRDefault="00931E7C" w:rsidP="00931E7C">
            <w:pPr>
              <w:pStyle w:val="ExhibitText"/>
              <w:jc w:val="left"/>
              <w:rPr>
                <w:lang w:val="en-GB"/>
              </w:rPr>
            </w:pPr>
            <w:r w:rsidRPr="00E859CA">
              <w:rPr>
                <w:lang w:val="en-GB"/>
              </w:rPr>
              <w:t>Place of worship</w:t>
            </w:r>
          </w:p>
        </w:tc>
        <w:tc>
          <w:tcPr>
            <w:tcW w:w="3215" w:type="dxa"/>
            <w:vAlign w:val="center"/>
          </w:tcPr>
          <w:p w14:paraId="4272729E" w14:textId="002D64F2" w:rsidR="00931E7C" w:rsidRPr="00E859CA" w:rsidRDefault="00931E7C" w:rsidP="00AD5FA9">
            <w:pPr>
              <w:pStyle w:val="ExhibitText"/>
              <w:numPr>
                <w:ilvl w:val="0"/>
                <w:numId w:val="35"/>
              </w:numPr>
              <w:jc w:val="left"/>
              <w:rPr>
                <w:lang w:val="en-GB"/>
              </w:rPr>
            </w:pPr>
            <w:r w:rsidRPr="00E859CA">
              <w:rPr>
                <w:lang w:val="en-GB"/>
              </w:rPr>
              <w:t>Almost half (47</w:t>
            </w:r>
            <w:r w:rsidR="00640A44" w:rsidRPr="00E859CA">
              <w:rPr>
                <w:lang w:val="en-GB"/>
              </w:rPr>
              <w:t xml:space="preserve"> per cent</w:t>
            </w:r>
            <w:r w:rsidRPr="00E859CA">
              <w:rPr>
                <w:lang w:val="en-GB"/>
              </w:rPr>
              <w:t>) donat</w:t>
            </w:r>
            <w:r w:rsidR="00640A44" w:rsidRPr="00E859CA">
              <w:rPr>
                <w:lang w:val="en-GB"/>
              </w:rPr>
              <w:t>ing</w:t>
            </w:r>
            <w:r w:rsidRPr="00E859CA">
              <w:rPr>
                <w:lang w:val="en-GB"/>
              </w:rPr>
              <w:t xml:space="preserve"> more than once a year</w:t>
            </w:r>
          </w:p>
          <w:p w14:paraId="3BA4028C" w14:textId="03886730" w:rsidR="00931E7C" w:rsidRPr="00E859CA" w:rsidRDefault="00640A44" w:rsidP="00AD5FA9">
            <w:pPr>
              <w:pStyle w:val="ExhibitText"/>
              <w:numPr>
                <w:ilvl w:val="0"/>
                <w:numId w:val="35"/>
              </w:numPr>
              <w:jc w:val="left"/>
              <w:rPr>
                <w:lang w:val="en-GB"/>
              </w:rPr>
            </w:pPr>
            <w:r w:rsidRPr="00E859CA">
              <w:rPr>
                <w:lang w:val="en-GB"/>
              </w:rPr>
              <w:t>Donations</w:t>
            </w:r>
            <w:r w:rsidR="00931E7C" w:rsidRPr="00E859CA">
              <w:rPr>
                <w:lang w:val="en-GB"/>
              </w:rPr>
              <w:t xml:space="preserve"> to more than </w:t>
            </w:r>
            <w:r w:rsidRPr="00E859CA">
              <w:rPr>
                <w:lang w:val="en-GB"/>
              </w:rPr>
              <w:t>three</w:t>
            </w:r>
            <w:r w:rsidR="00931E7C" w:rsidRPr="00E859CA">
              <w:rPr>
                <w:lang w:val="en-GB"/>
              </w:rPr>
              <w:t xml:space="preserve"> non-profit organizations per year</w:t>
            </w:r>
          </w:p>
        </w:tc>
      </w:tr>
      <w:tr w:rsidR="00931E7C" w:rsidRPr="00E859CA" w14:paraId="00B94F17" w14:textId="77777777" w:rsidTr="00931E7C">
        <w:trPr>
          <w:jc w:val="center"/>
        </w:trPr>
        <w:tc>
          <w:tcPr>
            <w:tcW w:w="1893" w:type="dxa"/>
            <w:vAlign w:val="center"/>
          </w:tcPr>
          <w:p w14:paraId="61B38B83" w14:textId="215AC5D8" w:rsidR="00931E7C" w:rsidRPr="00E859CA" w:rsidRDefault="00931E7C" w:rsidP="00931E7C">
            <w:pPr>
              <w:pStyle w:val="ExhibitText"/>
              <w:jc w:val="left"/>
              <w:rPr>
                <w:lang w:val="en-GB"/>
              </w:rPr>
            </w:pPr>
            <w:r w:rsidRPr="00E859CA">
              <w:rPr>
                <w:lang w:val="en-GB"/>
              </w:rPr>
              <w:t>Mature</w:t>
            </w:r>
            <w:r w:rsidR="00640A44" w:rsidRPr="00E859CA">
              <w:rPr>
                <w:lang w:val="en-GB"/>
              </w:rPr>
              <w:t xml:space="preserve"> Adult</w:t>
            </w:r>
            <w:r w:rsidRPr="00E859CA">
              <w:rPr>
                <w:lang w:val="en-GB"/>
              </w:rPr>
              <w:t>s (</w:t>
            </w:r>
            <w:r w:rsidR="00640A44" w:rsidRPr="00E859CA">
              <w:rPr>
                <w:lang w:val="en-GB"/>
              </w:rPr>
              <w:t xml:space="preserve">born in </w:t>
            </w:r>
            <w:r w:rsidRPr="00E859CA">
              <w:rPr>
                <w:lang w:val="en-GB"/>
              </w:rPr>
              <w:t>1945 or earlier)</w:t>
            </w:r>
          </w:p>
        </w:tc>
        <w:tc>
          <w:tcPr>
            <w:tcW w:w="1230" w:type="dxa"/>
            <w:vAlign w:val="center"/>
          </w:tcPr>
          <w:p w14:paraId="3FFBF8A2" w14:textId="1643FB85" w:rsidR="00931E7C" w:rsidRPr="00E859CA" w:rsidRDefault="00931E7C" w:rsidP="00AD5FA9">
            <w:pPr>
              <w:pStyle w:val="ExhibitText"/>
              <w:jc w:val="right"/>
              <w:rPr>
                <w:lang w:val="en-GB"/>
              </w:rPr>
            </w:pPr>
            <w:r w:rsidRPr="00E859CA">
              <w:rPr>
                <w:lang w:val="en-GB"/>
              </w:rPr>
              <w:t>$1</w:t>
            </w:r>
            <w:r w:rsidR="00CD0CA9" w:rsidRPr="00E859CA">
              <w:rPr>
                <w:lang w:val="en-GB"/>
              </w:rPr>
              <w:t>,</w:t>
            </w:r>
            <w:r w:rsidRPr="00E859CA">
              <w:rPr>
                <w:lang w:val="en-GB"/>
              </w:rPr>
              <w:t>435</w:t>
            </w:r>
            <w:r w:rsidR="00A72857" w:rsidRPr="00E859CA">
              <w:rPr>
                <w:lang w:val="en-GB"/>
              </w:rPr>
              <w:t>.00</w:t>
            </w:r>
          </w:p>
        </w:tc>
        <w:tc>
          <w:tcPr>
            <w:tcW w:w="1584" w:type="dxa"/>
            <w:vAlign w:val="center"/>
          </w:tcPr>
          <w:p w14:paraId="407E22BD" w14:textId="77777777" w:rsidR="00931E7C" w:rsidRPr="00E859CA" w:rsidRDefault="00931E7C" w:rsidP="00931E7C">
            <w:pPr>
              <w:pStyle w:val="ExhibitText"/>
              <w:jc w:val="left"/>
              <w:rPr>
                <w:lang w:val="en-GB"/>
              </w:rPr>
            </w:pPr>
            <w:r w:rsidRPr="00E859CA">
              <w:rPr>
                <w:lang w:val="en-GB"/>
              </w:rPr>
              <w:t>Donations</w:t>
            </w:r>
          </w:p>
        </w:tc>
        <w:tc>
          <w:tcPr>
            <w:tcW w:w="1362" w:type="dxa"/>
            <w:vAlign w:val="center"/>
          </w:tcPr>
          <w:p w14:paraId="420775DE" w14:textId="77777777" w:rsidR="00931E7C" w:rsidRPr="00E859CA" w:rsidRDefault="00931E7C" w:rsidP="00931E7C">
            <w:pPr>
              <w:pStyle w:val="ExhibitText"/>
              <w:jc w:val="left"/>
              <w:rPr>
                <w:lang w:val="en-GB"/>
              </w:rPr>
            </w:pPr>
            <w:r w:rsidRPr="00E859CA">
              <w:rPr>
                <w:lang w:val="en-GB"/>
              </w:rPr>
              <w:t>Place of worship</w:t>
            </w:r>
          </w:p>
        </w:tc>
        <w:tc>
          <w:tcPr>
            <w:tcW w:w="3215" w:type="dxa"/>
            <w:vAlign w:val="center"/>
          </w:tcPr>
          <w:p w14:paraId="33418AE2" w14:textId="22EB3DDC" w:rsidR="00931E7C" w:rsidRPr="00E859CA" w:rsidRDefault="00931E7C" w:rsidP="00AD5FA9">
            <w:pPr>
              <w:pStyle w:val="ExhibitText"/>
              <w:numPr>
                <w:ilvl w:val="0"/>
                <w:numId w:val="37"/>
              </w:numPr>
              <w:jc w:val="left"/>
              <w:rPr>
                <w:lang w:val="en-GB"/>
              </w:rPr>
            </w:pPr>
            <w:r w:rsidRPr="00E859CA">
              <w:rPr>
                <w:lang w:val="en-GB"/>
              </w:rPr>
              <w:t>Group that donates most to charities</w:t>
            </w:r>
          </w:p>
          <w:p w14:paraId="7479D3A5" w14:textId="35B0D4D9" w:rsidR="00931E7C" w:rsidRPr="00E859CA" w:rsidRDefault="00931E7C" w:rsidP="00AD5FA9">
            <w:pPr>
              <w:pStyle w:val="ExhibitText"/>
              <w:numPr>
                <w:ilvl w:val="0"/>
                <w:numId w:val="37"/>
              </w:numPr>
              <w:jc w:val="left"/>
              <w:rPr>
                <w:lang w:val="en-GB"/>
              </w:rPr>
            </w:pPr>
            <w:r w:rsidRPr="00E859CA">
              <w:rPr>
                <w:lang w:val="en-GB"/>
              </w:rPr>
              <w:t>Least receptive group to crowdfunding (63</w:t>
            </w:r>
            <w:r w:rsidR="00640A44" w:rsidRPr="00E859CA">
              <w:rPr>
                <w:lang w:val="en-GB"/>
              </w:rPr>
              <w:t xml:space="preserve"> per cent</w:t>
            </w:r>
            <w:r w:rsidRPr="00E859CA">
              <w:rPr>
                <w:lang w:val="en-GB"/>
              </w:rPr>
              <w:t>)</w:t>
            </w:r>
          </w:p>
        </w:tc>
      </w:tr>
    </w:tbl>
    <w:p w14:paraId="601BD96E" w14:textId="77777777" w:rsidR="00931E7C" w:rsidRPr="00E859CA" w:rsidRDefault="00931E7C" w:rsidP="00931E7C">
      <w:pPr>
        <w:tabs>
          <w:tab w:val="left" w:pos="284"/>
        </w:tabs>
        <w:rPr>
          <w:sz w:val="22"/>
          <w:szCs w:val="22"/>
          <w:lang w:val="en-GB"/>
        </w:rPr>
      </w:pPr>
    </w:p>
    <w:p w14:paraId="27713405" w14:textId="349D5D8F" w:rsidR="00931E7C" w:rsidRPr="00E859CA" w:rsidRDefault="00F424CB" w:rsidP="00931E7C">
      <w:pPr>
        <w:pStyle w:val="Footnote"/>
        <w:rPr>
          <w:lang w:val="en-GB"/>
        </w:rPr>
      </w:pPr>
      <w:r w:rsidRPr="00E859CA">
        <w:rPr>
          <w:lang w:val="en-GB"/>
        </w:rPr>
        <w:t xml:space="preserve">Source: Patrick Sullivan, “Millennials Give </w:t>
      </w:r>
      <w:r w:rsidR="00E859CA">
        <w:rPr>
          <w:lang w:val="en-GB"/>
        </w:rPr>
        <w:t>t</w:t>
      </w:r>
      <w:r w:rsidRPr="00E859CA">
        <w:rPr>
          <w:lang w:val="en-GB"/>
        </w:rPr>
        <w:t>he Least, Want Money Used Wisely,</w:t>
      </w:r>
      <w:r w:rsidR="00A37634" w:rsidRPr="00E859CA">
        <w:rPr>
          <w:lang w:val="en-GB"/>
        </w:rPr>
        <w:t>”</w:t>
      </w:r>
      <w:r w:rsidRPr="00E859CA">
        <w:rPr>
          <w:lang w:val="en-GB"/>
        </w:rPr>
        <w:t xml:space="preserve"> The NonProfit Times, April 15, 2015, accessed February 13, 2018, www.thenonprofittimes.com/news-articles/millennials-give-the-least-want-money-used-wisely</w:t>
      </w:r>
      <w:r w:rsidR="00096410">
        <w:rPr>
          <w:lang w:val="en-GB"/>
        </w:rPr>
        <w:t>.</w:t>
      </w:r>
    </w:p>
    <w:sectPr w:rsidR="00931E7C" w:rsidRPr="00E859CA"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DCA77" w16cid:durableId="1E2C5666"/>
  <w16cid:commentId w16cid:paraId="150E1C16" w16cid:durableId="1E524509"/>
  <w16cid:commentId w16cid:paraId="526EBE66" w16cid:durableId="1E2DD9ED"/>
  <w16cid:commentId w16cid:paraId="4075EB07" w16cid:durableId="1E524653"/>
  <w16cid:commentId w16cid:paraId="4493A939" w16cid:durableId="1E30845E"/>
  <w16cid:commentId w16cid:paraId="5FA6F2CA" w16cid:durableId="1E5246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05C44" w14:textId="77777777" w:rsidR="00A47621" w:rsidRDefault="00A47621" w:rsidP="00D75295">
      <w:r>
        <w:separator/>
      </w:r>
    </w:p>
  </w:endnote>
  <w:endnote w:type="continuationSeparator" w:id="0">
    <w:p w14:paraId="450C03A7" w14:textId="77777777" w:rsidR="00A47621" w:rsidRDefault="00A4762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C333A" w14:textId="77777777" w:rsidR="00A47621" w:rsidRDefault="00A47621" w:rsidP="00D75295">
      <w:r>
        <w:separator/>
      </w:r>
    </w:p>
  </w:footnote>
  <w:footnote w:type="continuationSeparator" w:id="0">
    <w:p w14:paraId="59B212B3" w14:textId="77777777" w:rsidR="00A47621" w:rsidRDefault="00A47621" w:rsidP="00D75295">
      <w:r>
        <w:continuationSeparator/>
      </w:r>
    </w:p>
  </w:footnote>
  <w:footnote w:id="1">
    <w:p w14:paraId="7343A0EC" w14:textId="6464AB00" w:rsidR="001A5EE0" w:rsidRPr="009624CA" w:rsidRDefault="001A5EE0" w:rsidP="009624CA">
      <w:pPr>
        <w:pStyle w:val="Footnote"/>
      </w:pPr>
      <w:r w:rsidRPr="009624CA">
        <w:rPr>
          <w:rStyle w:val="FootnoteReference"/>
        </w:rPr>
        <w:footnoteRef/>
      </w:r>
      <w:r w:rsidRPr="009624CA">
        <w:t xml:space="preserve"> World Health Organization, “Mental </w:t>
      </w:r>
      <w:r w:rsidR="0057550E">
        <w:t>H</w:t>
      </w:r>
      <w:r w:rsidR="0057550E" w:rsidRPr="009624CA">
        <w:t>ealth</w:t>
      </w:r>
      <w:r w:rsidRPr="009624CA">
        <w:t xml:space="preserve">: </w:t>
      </w:r>
      <w:r w:rsidR="0057550E">
        <w:t>A</w:t>
      </w:r>
      <w:r w:rsidR="0057550E" w:rsidRPr="009624CA">
        <w:t xml:space="preserve"> </w:t>
      </w:r>
      <w:r w:rsidR="0057550E">
        <w:t>S</w:t>
      </w:r>
      <w:r w:rsidRPr="009624CA">
        <w:t xml:space="preserve">tate of </w:t>
      </w:r>
      <w:r w:rsidR="0057550E">
        <w:t>W</w:t>
      </w:r>
      <w:r w:rsidR="0057550E" w:rsidRPr="009624CA">
        <w:t>ell</w:t>
      </w:r>
      <w:r w:rsidRPr="009624CA">
        <w:t>-</w:t>
      </w:r>
      <w:r w:rsidR="0057550E">
        <w:t>B</w:t>
      </w:r>
      <w:r w:rsidR="0057550E" w:rsidRPr="009624CA">
        <w:t>eing</w:t>
      </w:r>
      <w:r w:rsidRPr="009624CA">
        <w:t>,” World Health Organization, August 2014, accessed October 1, 2017, www.who.int/features/factfiles/mental_health/en/</w:t>
      </w:r>
      <w:r>
        <w:t>.</w:t>
      </w:r>
    </w:p>
  </w:footnote>
  <w:footnote w:id="2">
    <w:p w14:paraId="0A3F9835" w14:textId="7439B6F9" w:rsidR="001A5EE0" w:rsidRPr="00C610D3" w:rsidRDefault="001A5EE0">
      <w:pPr>
        <w:pStyle w:val="FootnoteText"/>
        <w:rPr>
          <w:rFonts w:ascii="Arial" w:hAnsi="Arial" w:cs="Arial"/>
          <w:sz w:val="17"/>
          <w:szCs w:val="17"/>
          <w:lang w:val="en-CA"/>
        </w:rPr>
      </w:pPr>
      <w:r w:rsidRPr="00C610D3">
        <w:rPr>
          <w:rStyle w:val="FootnoteReference"/>
          <w:rFonts w:ascii="Arial" w:hAnsi="Arial" w:cs="Arial"/>
          <w:sz w:val="17"/>
          <w:szCs w:val="17"/>
        </w:rPr>
        <w:footnoteRef/>
      </w:r>
      <w:r w:rsidRPr="00C610D3">
        <w:rPr>
          <w:rFonts w:ascii="Arial" w:hAnsi="Arial" w:cs="Arial"/>
          <w:sz w:val="17"/>
          <w:szCs w:val="17"/>
        </w:rPr>
        <w:t xml:space="preserve"> </w:t>
      </w:r>
      <w:r w:rsidRPr="00C610D3">
        <w:rPr>
          <w:rFonts w:ascii="Arial" w:hAnsi="Arial" w:cs="Arial"/>
          <w:sz w:val="17"/>
          <w:szCs w:val="17"/>
          <w:lang w:val="en-CA"/>
        </w:rPr>
        <w:t>All currency amounts are in US$ unless otherwise specified.</w:t>
      </w:r>
    </w:p>
  </w:footnote>
  <w:footnote w:id="3">
    <w:p w14:paraId="04816A16" w14:textId="13652A1D" w:rsidR="001A5EE0" w:rsidRPr="00096410" w:rsidRDefault="001A5EE0" w:rsidP="009624CA">
      <w:pPr>
        <w:pStyle w:val="Footnote"/>
        <w:rPr>
          <w:spacing w:val="-4"/>
        </w:rPr>
      </w:pPr>
      <w:r w:rsidRPr="009624CA">
        <w:rPr>
          <w:rStyle w:val="FootnoteReference"/>
        </w:rPr>
        <w:footnoteRef/>
      </w:r>
      <w:r w:rsidRPr="009624CA">
        <w:t xml:space="preserve"> </w:t>
      </w:r>
      <w:r w:rsidR="006E471A" w:rsidRPr="00096410">
        <w:rPr>
          <w:spacing w:val="-4"/>
        </w:rPr>
        <w:t>Tami L.</w:t>
      </w:r>
      <w:r w:rsidR="006E471A">
        <w:rPr>
          <w:spacing w:val="-4"/>
        </w:rPr>
        <w:t xml:space="preserve"> </w:t>
      </w:r>
      <w:r w:rsidRPr="00096410">
        <w:rPr>
          <w:spacing w:val="-4"/>
        </w:rPr>
        <w:t>Mark,  Katharine R. Levit, Rita Vandivort-Warren, Jeffrey A. Buck</w:t>
      </w:r>
      <w:r w:rsidR="006E471A">
        <w:rPr>
          <w:spacing w:val="-4"/>
        </w:rPr>
        <w:t>,</w:t>
      </w:r>
      <w:r w:rsidRPr="00096410">
        <w:rPr>
          <w:spacing w:val="-4"/>
        </w:rPr>
        <w:t xml:space="preserve"> and Rosanna M. Coffey, “Changes in US Spending on Mental Health and Substance Abuse Treatment, 1986–2005, and Implications for Policy,” </w:t>
      </w:r>
      <w:r w:rsidRPr="00096410">
        <w:rPr>
          <w:i/>
          <w:spacing w:val="-4"/>
        </w:rPr>
        <w:t>Health Affairs,</w:t>
      </w:r>
      <w:r w:rsidRPr="00096410">
        <w:rPr>
          <w:spacing w:val="-4"/>
        </w:rPr>
        <w:t xml:space="preserve"> 30, no. 2 (2011): 284–292.</w:t>
      </w:r>
    </w:p>
  </w:footnote>
  <w:footnote w:id="4">
    <w:p w14:paraId="3E0A45A6" w14:textId="7FCC3DF5" w:rsidR="00B51A61" w:rsidRDefault="001A5EE0" w:rsidP="009624CA">
      <w:pPr>
        <w:pStyle w:val="Footnote"/>
      </w:pPr>
      <w:r w:rsidRPr="009624CA">
        <w:rPr>
          <w:rStyle w:val="FootnoteReference"/>
        </w:rPr>
        <w:footnoteRef/>
      </w:r>
      <w:r w:rsidRPr="009624CA">
        <w:t xml:space="preserve"> </w:t>
      </w:r>
      <w:r w:rsidR="00A37634" w:rsidRPr="00A37634">
        <w:t xml:space="preserve">P. Smetanin, </w:t>
      </w:r>
      <w:r w:rsidR="00A37634">
        <w:t xml:space="preserve">D. </w:t>
      </w:r>
      <w:r w:rsidR="00A37634" w:rsidRPr="00A37634">
        <w:t>Stiff</w:t>
      </w:r>
      <w:r w:rsidR="00A37634">
        <w:t>,</w:t>
      </w:r>
      <w:r w:rsidR="00A37634" w:rsidRPr="00A37634">
        <w:t xml:space="preserve"> </w:t>
      </w:r>
      <w:r w:rsidR="00A37634">
        <w:t xml:space="preserve">C. </w:t>
      </w:r>
      <w:r w:rsidR="00A37634" w:rsidRPr="00A37634">
        <w:t>Briante</w:t>
      </w:r>
      <w:r w:rsidR="00A37634">
        <w:t>,</w:t>
      </w:r>
      <w:r w:rsidR="00A37634" w:rsidRPr="00A37634">
        <w:t xml:space="preserve"> </w:t>
      </w:r>
      <w:r w:rsidR="00A37634">
        <w:t xml:space="preserve">C.E. </w:t>
      </w:r>
      <w:r w:rsidR="00A37634" w:rsidRPr="00A37634">
        <w:t xml:space="preserve">Adair, </w:t>
      </w:r>
      <w:r w:rsidR="00A37634">
        <w:t xml:space="preserve">S. </w:t>
      </w:r>
      <w:r w:rsidR="00A37634" w:rsidRPr="00A37634">
        <w:t xml:space="preserve">Ahmad, S. and </w:t>
      </w:r>
      <w:r w:rsidR="00A37634">
        <w:t xml:space="preserve">M. </w:t>
      </w:r>
      <w:r w:rsidR="00A37634" w:rsidRPr="00A37634">
        <w:t>Khan</w:t>
      </w:r>
      <w:r w:rsidRPr="009624CA">
        <w:t xml:space="preserve">, </w:t>
      </w:r>
      <w:r w:rsidRPr="00B51A61">
        <w:rPr>
          <w:i/>
        </w:rPr>
        <w:t>The Life and Economic Impact of Major Mental Illnesses in Canada: 2011–2041</w:t>
      </w:r>
      <w:r w:rsidRPr="009624CA">
        <w:t xml:space="preserve">, </w:t>
      </w:r>
      <w:r w:rsidR="006E471A">
        <w:t>RiskAnalytica, on behalf of</w:t>
      </w:r>
      <w:r w:rsidRPr="009624CA">
        <w:t xml:space="preserve"> the Mental Health Commission of Canada </w:t>
      </w:r>
      <w:r>
        <w:t>(</w:t>
      </w:r>
      <w:r w:rsidRPr="009624CA">
        <w:t xml:space="preserve">Toronto: </w:t>
      </w:r>
      <w:r w:rsidR="006E471A" w:rsidRPr="006E471A">
        <w:t>Mental Health Commission of Canada,</w:t>
      </w:r>
      <w:r>
        <w:t xml:space="preserve">, </w:t>
      </w:r>
      <w:r w:rsidRPr="009624CA">
        <w:t>2011</w:t>
      </w:r>
      <w:r w:rsidR="006E471A" w:rsidRPr="009624CA">
        <w:t>)</w:t>
      </w:r>
      <w:r w:rsidR="006E471A">
        <w:t xml:space="preserve">, accessed March 29, 2018, </w:t>
      </w:r>
      <w:r w:rsidR="00B51A61" w:rsidRPr="00B51A61">
        <w:t>https://www.mentalhealthcommission.ca/sites/default/files/</w:t>
      </w:r>
    </w:p>
    <w:p w14:paraId="73CF7447" w14:textId="752C5C22" w:rsidR="001A5EE0" w:rsidRPr="009624CA" w:rsidRDefault="00B51A61" w:rsidP="009624CA">
      <w:pPr>
        <w:pStyle w:val="Footnote"/>
      </w:pPr>
      <w:r w:rsidRPr="00B51A61">
        <w:t>MHCC_Report_Base_</w:t>
      </w:r>
      <w:r w:rsidR="006E471A" w:rsidRPr="006E471A">
        <w:t>Case_FINAL_ENG_0_0.pdf</w:t>
      </w:r>
      <w:r w:rsidR="006E471A">
        <w:t>.</w:t>
      </w:r>
    </w:p>
  </w:footnote>
  <w:footnote w:id="5">
    <w:p w14:paraId="78ACC106" w14:textId="7DD2E51A" w:rsidR="001A5EE0" w:rsidRPr="009624CA" w:rsidRDefault="001A5EE0" w:rsidP="009624CA">
      <w:pPr>
        <w:pStyle w:val="Footnote"/>
      </w:pPr>
      <w:r w:rsidRPr="009624CA">
        <w:rPr>
          <w:rStyle w:val="FootnoteReference"/>
        </w:rPr>
        <w:footnoteRef/>
      </w:r>
      <w:r w:rsidRPr="009624CA">
        <w:t xml:space="preserve"> Substance Abuse and Mental Health Services Administration, </w:t>
      </w:r>
      <w:r w:rsidRPr="00B51A61">
        <w:rPr>
          <w:i/>
        </w:rPr>
        <w:t>Projections of National Expenditures for Treatment of Mental and Substance Use Disorders, 2010</w:t>
      </w:r>
      <w:r w:rsidR="00A37634">
        <w:rPr>
          <w:i/>
        </w:rPr>
        <w:t>–</w:t>
      </w:r>
      <w:r w:rsidRPr="00B51A61">
        <w:rPr>
          <w:i/>
        </w:rPr>
        <w:t>2020</w:t>
      </w:r>
      <w:r w:rsidRPr="009624CA">
        <w:t>, U.S. Department of Health and Human Services, 2014, accessed August 29, 2017, https://store.samhsa.gov/shin/content//SMA14-4883/SMA14-4883.pdf</w:t>
      </w:r>
      <w:r>
        <w:t>.</w:t>
      </w:r>
    </w:p>
  </w:footnote>
  <w:footnote w:id="6">
    <w:p w14:paraId="1675FF7D" w14:textId="57E6D59B" w:rsidR="001A5EE0" w:rsidRPr="009624CA" w:rsidRDefault="001A5EE0" w:rsidP="009624CA">
      <w:pPr>
        <w:pStyle w:val="Footnote"/>
      </w:pPr>
      <w:r w:rsidRPr="009624CA">
        <w:rPr>
          <w:rStyle w:val="FootnoteReference"/>
        </w:rPr>
        <w:footnoteRef/>
      </w:r>
      <w:r w:rsidRPr="009624CA">
        <w:rPr>
          <w:vertAlign w:val="superscript"/>
        </w:rPr>
        <w:t xml:space="preserve"> </w:t>
      </w:r>
      <w:r w:rsidRPr="009624CA">
        <w:t>“Mental Illness and Addictions: Facts and Statistics</w:t>
      </w:r>
      <w:r>
        <w:t>,</w:t>
      </w:r>
      <w:r w:rsidRPr="009624CA">
        <w:t>” Centre for Addiction and Mental Health, accessed August 29, 2017, www.camh.ca/en/hospital/about_camh/newsroom/for_reporters/Pages/addictionmentalhealthstatistics.aspx</w:t>
      </w:r>
      <w:r>
        <w:t>.</w:t>
      </w:r>
    </w:p>
  </w:footnote>
  <w:footnote w:id="7">
    <w:p w14:paraId="47D71F13" w14:textId="17AE26F9" w:rsidR="001A5EE0" w:rsidRPr="009624CA" w:rsidRDefault="001A5EE0" w:rsidP="009624CA">
      <w:pPr>
        <w:pStyle w:val="Footnote"/>
      </w:pPr>
      <w:r w:rsidRPr="009624CA">
        <w:rPr>
          <w:rStyle w:val="FootnoteReference"/>
        </w:rPr>
        <w:footnoteRef/>
      </w:r>
      <w:r w:rsidRPr="009624CA">
        <w:t xml:space="preserve"> </w:t>
      </w:r>
      <w:r>
        <w:t xml:space="preserve">Ibid. </w:t>
      </w:r>
    </w:p>
  </w:footnote>
  <w:footnote w:id="8">
    <w:p w14:paraId="22CFEC61" w14:textId="3A83B639" w:rsidR="001A5EE0" w:rsidRPr="009624CA" w:rsidRDefault="001A5EE0" w:rsidP="009624CA">
      <w:pPr>
        <w:pStyle w:val="Footnote"/>
      </w:pPr>
      <w:r w:rsidRPr="009624CA">
        <w:rPr>
          <w:rStyle w:val="FootnoteReference"/>
        </w:rPr>
        <w:footnoteRef/>
      </w:r>
      <w:r w:rsidRPr="009624CA">
        <w:rPr>
          <w:vertAlign w:val="superscript"/>
        </w:rPr>
        <w:t xml:space="preserve"> </w:t>
      </w:r>
      <w:r w:rsidRPr="009624CA">
        <w:t>“Fast Facts about Mental Illnesses</w:t>
      </w:r>
      <w:r>
        <w:t>,</w:t>
      </w:r>
      <w:r w:rsidRPr="009624CA">
        <w:t>” Canadian Mental Health Association, accessed August 29, 2017, https://cmha.ca/media/fast-facts-about-mental-illness</w:t>
      </w:r>
      <w:r>
        <w:t>.</w:t>
      </w:r>
    </w:p>
  </w:footnote>
  <w:footnote w:id="9">
    <w:p w14:paraId="1DABFBDD" w14:textId="7096E174" w:rsidR="001A5EE0" w:rsidRPr="009624CA" w:rsidRDefault="001A5EE0" w:rsidP="009624CA">
      <w:pPr>
        <w:pStyle w:val="Footnote"/>
      </w:pPr>
      <w:r w:rsidRPr="009624CA">
        <w:rPr>
          <w:rStyle w:val="FootnoteReference"/>
        </w:rPr>
        <w:footnoteRef/>
      </w:r>
      <w:r w:rsidRPr="009624CA">
        <w:rPr>
          <w:vertAlign w:val="superscript"/>
        </w:rPr>
        <w:t xml:space="preserve"> </w:t>
      </w:r>
      <w:r>
        <w:t>Ibid.</w:t>
      </w:r>
    </w:p>
  </w:footnote>
  <w:footnote w:id="10">
    <w:p w14:paraId="69EA10B8" w14:textId="5971CF59" w:rsidR="001A5EE0" w:rsidRPr="009624CA" w:rsidRDefault="001A5EE0" w:rsidP="009624CA">
      <w:pPr>
        <w:pStyle w:val="Footnote"/>
      </w:pPr>
      <w:r w:rsidRPr="009624CA">
        <w:rPr>
          <w:rStyle w:val="FootnoteReference"/>
        </w:rPr>
        <w:footnoteRef/>
      </w:r>
      <w:r w:rsidRPr="009624CA">
        <w:rPr>
          <w:vertAlign w:val="superscript"/>
        </w:rPr>
        <w:t xml:space="preserve"> </w:t>
      </w:r>
      <w:r w:rsidRPr="009624CA">
        <w:t>John Hunsley, Katherine Elliot, Zoé Therrien, “</w:t>
      </w:r>
      <w:r w:rsidRPr="00A37634">
        <w:t>The Efficacy and Effectiveness of Psychological Treatments,”</w:t>
      </w:r>
      <w:r w:rsidRPr="009624CA">
        <w:t xml:space="preserve"> </w:t>
      </w:r>
      <w:r w:rsidR="00A37634" w:rsidRPr="00B51A61">
        <w:rPr>
          <w:i/>
        </w:rPr>
        <w:t>Canadian Psychology/Psychologie canadienne</w:t>
      </w:r>
      <w:r w:rsidR="00A37634" w:rsidRPr="00A37634">
        <w:t xml:space="preserve"> 55, no. 3 (2014): 161.</w:t>
      </w:r>
    </w:p>
  </w:footnote>
  <w:footnote w:id="11">
    <w:p w14:paraId="53904EF7" w14:textId="7694C964" w:rsidR="001A5EE0" w:rsidRPr="009624CA" w:rsidRDefault="001A5EE0" w:rsidP="009624CA">
      <w:pPr>
        <w:pStyle w:val="Footnote"/>
      </w:pPr>
      <w:r w:rsidRPr="001A5EE0">
        <w:rPr>
          <w:rStyle w:val="FootnoteReference"/>
          <w:spacing w:val="-2"/>
        </w:rPr>
        <w:footnoteRef/>
      </w:r>
      <w:r w:rsidRPr="009624CA">
        <w:t xml:space="preserve"> Out of the 73 U.S. individual donors, 46 gave less than $100, 14 gave between $100 and $499, five gave between $500 and $999, six gave between $1,000 and $2,500, one person gave $6,000, and one person gave $50,000. Out of the 32 Canadian individual donors, 15 gave less than $100, 14 gave between $100</w:t>
      </w:r>
      <w:r>
        <w:t xml:space="preserve"> and </w:t>
      </w:r>
      <w:r w:rsidRPr="009624CA">
        <w:t>$499, and three people donated $500.</w:t>
      </w:r>
    </w:p>
  </w:footnote>
  <w:footnote w:id="12">
    <w:p w14:paraId="14C9FE5C" w14:textId="18464072" w:rsidR="00D575C3" w:rsidRPr="00D575C3" w:rsidRDefault="00D575C3" w:rsidP="00D575C3">
      <w:pPr>
        <w:pStyle w:val="Footnote"/>
        <w:rPr>
          <w:lang w:val="en-CA"/>
        </w:rPr>
      </w:pPr>
      <w:r>
        <w:rPr>
          <w:rStyle w:val="FootnoteReference"/>
        </w:rPr>
        <w:footnoteRef/>
      </w:r>
      <w:r>
        <w:t xml:space="preserve"> “Charitable </w:t>
      </w:r>
      <w:r w:rsidR="00A37634">
        <w:t>Donors</w:t>
      </w:r>
      <w:r>
        <w:t xml:space="preserve">, 2016,” Statistics Canada, February 14, 2018, accessed March 13, 2018, </w:t>
      </w:r>
      <w:r w:rsidRPr="0034799B">
        <w:t>www.statcan.gc.ca/daily-quotidien/180214/dq180214a-eng.htm</w:t>
      </w:r>
      <w:r>
        <w:t>.</w:t>
      </w:r>
    </w:p>
  </w:footnote>
  <w:footnote w:id="13">
    <w:p w14:paraId="3E9F902B" w14:textId="77777777" w:rsidR="00D575C3" w:rsidRPr="00D93AE3" w:rsidRDefault="00D575C3" w:rsidP="00D575C3">
      <w:pPr>
        <w:pStyle w:val="Footnote"/>
        <w:rPr>
          <w:lang w:val="en-CA"/>
        </w:rPr>
      </w:pPr>
      <w:r>
        <w:rPr>
          <w:rStyle w:val="FootnoteReference"/>
        </w:rPr>
        <w:footnoteRef/>
      </w:r>
      <w:r>
        <w:t xml:space="preserve"> </w:t>
      </w:r>
      <w:r>
        <w:rPr>
          <w:lang w:val="en-CA"/>
        </w:rPr>
        <w:t xml:space="preserve">“Giving USA 2017: Total Charitable Donations Rise to New High of $390.05 Billion,” Giving USA, June 12, 2017, accessed October 1, 2017, </w:t>
      </w:r>
      <w:r w:rsidRPr="00227090">
        <w:t>https://givingusa.org/giving-usa-2017-total-charitable-donations-rise-to-new-high-of-390-05-billion</w:t>
      </w:r>
      <w:r>
        <w:t>.</w:t>
      </w:r>
    </w:p>
  </w:footnote>
  <w:footnote w:id="14">
    <w:p w14:paraId="4F1EC7AC" w14:textId="02DBEE32" w:rsidR="008A0A10" w:rsidRPr="00D575C3" w:rsidRDefault="008A0A10" w:rsidP="00D575C3">
      <w:pPr>
        <w:pStyle w:val="Footnote"/>
        <w:rPr>
          <w:lang w:val="en-CA"/>
        </w:rPr>
      </w:pPr>
      <w:r>
        <w:rPr>
          <w:rStyle w:val="FootnoteReference"/>
        </w:rPr>
        <w:footnoteRef/>
      </w:r>
      <w:r>
        <w:t xml:space="preserve"> </w:t>
      </w:r>
      <w:r w:rsidRPr="00E85F8C">
        <w:t>Irene Ogrodnik, “Is Crowdfunding the New Frontier for Charitable Donations?” Global News, October 21, 2014, accessed February 13, 2018, https://globalnews.ca/news/1625704/is-crowdfunding-the-new.</w:t>
      </w:r>
    </w:p>
  </w:footnote>
  <w:footnote w:id="15">
    <w:p w14:paraId="33545DB9" w14:textId="53E33328" w:rsidR="00D575C3" w:rsidRPr="00D93AE3" w:rsidRDefault="00D575C3" w:rsidP="00D575C3">
      <w:pPr>
        <w:pStyle w:val="Footnote"/>
        <w:rPr>
          <w:lang w:val="en-CA"/>
        </w:rPr>
      </w:pPr>
      <w:r>
        <w:rPr>
          <w:rStyle w:val="FootnoteReference"/>
        </w:rPr>
        <w:footnoteRef/>
      </w:r>
      <w:r>
        <w:t xml:space="preserve"> </w:t>
      </w:r>
      <w:r w:rsidR="00A37634">
        <w:t>“</w:t>
      </w:r>
      <w:r w:rsidRPr="00B51A61">
        <w:t>The Essential Guide to Crowdfunding,</w:t>
      </w:r>
      <w:r w:rsidR="00A37634">
        <w:t>”</w:t>
      </w:r>
      <w:r>
        <w:rPr>
          <w:i/>
        </w:rPr>
        <w:t xml:space="preserve"> </w:t>
      </w:r>
      <w:r w:rsidR="00A37634">
        <w:t xml:space="preserve">Indiegogo Inc., </w:t>
      </w:r>
      <w:r w:rsidR="00D93AE3">
        <w:t xml:space="preserve">accessed March 22, 2018, </w:t>
      </w:r>
      <w:r w:rsidRPr="008A0A10">
        <w:t>https://learn.indiegogo.com/the-essential-guide-to-crowdfunding/</w:t>
      </w:r>
      <w:r w:rsidR="00096410">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72FFB" w14:textId="435A754A" w:rsidR="001A5EE0" w:rsidRDefault="001A5EE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C71FA">
      <w:rPr>
        <w:rFonts w:ascii="Arial" w:hAnsi="Arial"/>
        <w:b/>
        <w:noProof/>
      </w:rPr>
      <w:t>7</w:t>
    </w:r>
    <w:r>
      <w:rPr>
        <w:rFonts w:ascii="Arial" w:hAnsi="Arial"/>
        <w:b/>
      </w:rPr>
      <w:fldChar w:fldCharType="end"/>
    </w:r>
    <w:r>
      <w:rPr>
        <w:rFonts w:ascii="Arial" w:hAnsi="Arial"/>
        <w:b/>
      </w:rPr>
      <w:tab/>
    </w:r>
    <w:r w:rsidR="00EE1557">
      <w:rPr>
        <w:rFonts w:ascii="Arial" w:hAnsi="Arial"/>
        <w:b/>
      </w:rPr>
      <w:t>9B18A021</w:t>
    </w:r>
  </w:p>
  <w:p w14:paraId="6158926A" w14:textId="77777777" w:rsidR="001A5EE0" w:rsidRPr="00C92CC4" w:rsidRDefault="001A5EE0">
    <w:pPr>
      <w:pStyle w:val="Header"/>
      <w:rPr>
        <w:sz w:val="18"/>
        <w:szCs w:val="18"/>
      </w:rPr>
    </w:pPr>
  </w:p>
  <w:p w14:paraId="1DF5CB5F" w14:textId="77777777" w:rsidR="001A5EE0" w:rsidRPr="00C92CC4" w:rsidRDefault="001A5EE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A645D"/>
    <w:multiLevelType w:val="hybridMultilevel"/>
    <w:tmpl w:val="3990CBD6"/>
    <w:lvl w:ilvl="0" w:tplc="1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114BFE"/>
    <w:multiLevelType w:val="hybridMultilevel"/>
    <w:tmpl w:val="3CE44E30"/>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3D22AFD"/>
    <w:multiLevelType w:val="hybridMultilevel"/>
    <w:tmpl w:val="0CBA9916"/>
    <w:lvl w:ilvl="0" w:tplc="07E2E94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90C29"/>
    <w:multiLevelType w:val="hybridMultilevel"/>
    <w:tmpl w:val="4C7CA9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3AA076A"/>
    <w:multiLevelType w:val="hybridMultilevel"/>
    <w:tmpl w:val="52C0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7DE5999"/>
    <w:multiLevelType w:val="hybridMultilevel"/>
    <w:tmpl w:val="7D9AF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5"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5C917616"/>
    <w:multiLevelType w:val="hybridMultilevel"/>
    <w:tmpl w:val="F6B07E6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D0C66F3"/>
    <w:multiLevelType w:val="hybridMultilevel"/>
    <w:tmpl w:val="9B98AD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5F644D0C"/>
    <w:multiLevelType w:val="hybridMultilevel"/>
    <w:tmpl w:val="0E9E3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2"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33C0657"/>
    <w:multiLevelType w:val="hybridMultilevel"/>
    <w:tmpl w:val="EF1ED45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2"/>
  </w:num>
  <w:num w:numId="14">
    <w:abstractNumId w:val="25"/>
  </w:num>
  <w:num w:numId="15">
    <w:abstractNumId w:val="26"/>
  </w:num>
  <w:num w:numId="16">
    <w:abstractNumId w:val="30"/>
  </w:num>
  <w:num w:numId="17">
    <w:abstractNumId w:val="15"/>
  </w:num>
  <w:num w:numId="18">
    <w:abstractNumId w:val="31"/>
  </w:num>
  <w:num w:numId="19">
    <w:abstractNumId w:val="11"/>
  </w:num>
  <w:num w:numId="20">
    <w:abstractNumId w:val="10"/>
  </w:num>
  <w:num w:numId="21">
    <w:abstractNumId w:val="32"/>
  </w:num>
  <w:num w:numId="22">
    <w:abstractNumId w:val="22"/>
  </w:num>
  <w:num w:numId="23">
    <w:abstractNumId w:val="3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20"/>
  </w:num>
  <w:num w:numId="28">
    <w:abstractNumId w:val="23"/>
  </w:num>
  <w:num w:numId="29">
    <w:abstractNumId w:val="18"/>
  </w:num>
  <w:num w:numId="30">
    <w:abstractNumId w:val="29"/>
  </w:num>
  <w:num w:numId="31">
    <w:abstractNumId w:val="21"/>
  </w:num>
  <w:num w:numId="32">
    <w:abstractNumId w:val="16"/>
  </w:num>
  <w:num w:numId="33">
    <w:abstractNumId w:val="27"/>
  </w:num>
  <w:num w:numId="34">
    <w:abstractNumId w:val="28"/>
  </w:num>
  <w:num w:numId="35">
    <w:abstractNumId w:val="19"/>
  </w:num>
  <w:num w:numId="36">
    <w:abstractNumId w:val="3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A86"/>
    <w:rsid w:val="000216CE"/>
    <w:rsid w:val="00025DC7"/>
    <w:rsid w:val="00026486"/>
    <w:rsid w:val="00035D43"/>
    <w:rsid w:val="00044ECC"/>
    <w:rsid w:val="000531D3"/>
    <w:rsid w:val="0005646B"/>
    <w:rsid w:val="00063AEE"/>
    <w:rsid w:val="0008102D"/>
    <w:rsid w:val="000927E8"/>
    <w:rsid w:val="00092C3F"/>
    <w:rsid w:val="00094C0E"/>
    <w:rsid w:val="00096410"/>
    <w:rsid w:val="000C6F2D"/>
    <w:rsid w:val="000F0C22"/>
    <w:rsid w:val="000F6B09"/>
    <w:rsid w:val="000F6FDC"/>
    <w:rsid w:val="00104567"/>
    <w:rsid w:val="0012732D"/>
    <w:rsid w:val="00154FC9"/>
    <w:rsid w:val="00173035"/>
    <w:rsid w:val="00185FB8"/>
    <w:rsid w:val="0019241A"/>
    <w:rsid w:val="00196CA2"/>
    <w:rsid w:val="001A3186"/>
    <w:rsid w:val="001A5335"/>
    <w:rsid w:val="001A5EE0"/>
    <w:rsid w:val="001A752D"/>
    <w:rsid w:val="001C71FA"/>
    <w:rsid w:val="001E442A"/>
    <w:rsid w:val="00203AA1"/>
    <w:rsid w:val="00213E98"/>
    <w:rsid w:val="00237810"/>
    <w:rsid w:val="0026118C"/>
    <w:rsid w:val="002D3750"/>
    <w:rsid w:val="002E32F0"/>
    <w:rsid w:val="002E54D1"/>
    <w:rsid w:val="002F0882"/>
    <w:rsid w:val="002F460C"/>
    <w:rsid w:val="002F48D6"/>
    <w:rsid w:val="00317450"/>
    <w:rsid w:val="003353E6"/>
    <w:rsid w:val="00337DFE"/>
    <w:rsid w:val="00343565"/>
    <w:rsid w:val="00354899"/>
    <w:rsid w:val="00355FD6"/>
    <w:rsid w:val="00361C8E"/>
    <w:rsid w:val="00364A5C"/>
    <w:rsid w:val="00373FB1"/>
    <w:rsid w:val="003B30D8"/>
    <w:rsid w:val="003B7EF2"/>
    <w:rsid w:val="003C3FA4"/>
    <w:rsid w:val="003D1E5C"/>
    <w:rsid w:val="003E3AF7"/>
    <w:rsid w:val="003F2B0C"/>
    <w:rsid w:val="00414FE6"/>
    <w:rsid w:val="004221E4"/>
    <w:rsid w:val="0046544B"/>
    <w:rsid w:val="00471088"/>
    <w:rsid w:val="00483AF9"/>
    <w:rsid w:val="004953E6"/>
    <w:rsid w:val="004B1CCB"/>
    <w:rsid w:val="004D6269"/>
    <w:rsid w:val="004D73A5"/>
    <w:rsid w:val="004E0B5A"/>
    <w:rsid w:val="004E45E0"/>
    <w:rsid w:val="004F2A61"/>
    <w:rsid w:val="004F750B"/>
    <w:rsid w:val="00514F15"/>
    <w:rsid w:val="00516B52"/>
    <w:rsid w:val="00532CF5"/>
    <w:rsid w:val="005528CB"/>
    <w:rsid w:val="00566771"/>
    <w:rsid w:val="00572D43"/>
    <w:rsid w:val="0057550E"/>
    <w:rsid w:val="00581E2E"/>
    <w:rsid w:val="00584F15"/>
    <w:rsid w:val="005B7033"/>
    <w:rsid w:val="006163F7"/>
    <w:rsid w:val="00640A44"/>
    <w:rsid w:val="00652606"/>
    <w:rsid w:val="00682754"/>
    <w:rsid w:val="006A58A9"/>
    <w:rsid w:val="006A606D"/>
    <w:rsid w:val="006B1226"/>
    <w:rsid w:val="006B4A6F"/>
    <w:rsid w:val="006B7F7A"/>
    <w:rsid w:val="006C0371"/>
    <w:rsid w:val="006C08B6"/>
    <w:rsid w:val="006C0B1A"/>
    <w:rsid w:val="006C4384"/>
    <w:rsid w:val="006C6065"/>
    <w:rsid w:val="006C7F9F"/>
    <w:rsid w:val="006E2F6D"/>
    <w:rsid w:val="006E471A"/>
    <w:rsid w:val="006E58F6"/>
    <w:rsid w:val="006E77E1"/>
    <w:rsid w:val="006F131D"/>
    <w:rsid w:val="006F7F4C"/>
    <w:rsid w:val="0072676B"/>
    <w:rsid w:val="00752BCD"/>
    <w:rsid w:val="00766DA1"/>
    <w:rsid w:val="007866A6"/>
    <w:rsid w:val="0078766D"/>
    <w:rsid w:val="007A130D"/>
    <w:rsid w:val="007A43D1"/>
    <w:rsid w:val="007D05E5"/>
    <w:rsid w:val="007D1D05"/>
    <w:rsid w:val="007D4102"/>
    <w:rsid w:val="007D7ED2"/>
    <w:rsid w:val="007E3983"/>
    <w:rsid w:val="007E509E"/>
    <w:rsid w:val="007E5921"/>
    <w:rsid w:val="007F51FC"/>
    <w:rsid w:val="00821FFC"/>
    <w:rsid w:val="008271CA"/>
    <w:rsid w:val="008467D5"/>
    <w:rsid w:val="0085580F"/>
    <w:rsid w:val="00856D9F"/>
    <w:rsid w:val="008575B3"/>
    <w:rsid w:val="008614D5"/>
    <w:rsid w:val="00866F6D"/>
    <w:rsid w:val="00874CC4"/>
    <w:rsid w:val="008A0A10"/>
    <w:rsid w:val="008A4DC4"/>
    <w:rsid w:val="008D0538"/>
    <w:rsid w:val="008D33E1"/>
    <w:rsid w:val="008E6E28"/>
    <w:rsid w:val="009010F0"/>
    <w:rsid w:val="00902CFB"/>
    <w:rsid w:val="009067A4"/>
    <w:rsid w:val="0090722E"/>
    <w:rsid w:val="0090735F"/>
    <w:rsid w:val="00931A2C"/>
    <w:rsid w:val="00931E7C"/>
    <w:rsid w:val="009340DB"/>
    <w:rsid w:val="00950335"/>
    <w:rsid w:val="00954649"/>
    <w:rsid w:val="009624CA"/>
    <w:rsid w:val="00972498"/>
    <w:rsid w:val="00974CC6"/>
    <w:rsid w:val="00976AD4"/>
    <w:rsid w:val="009A312F"/>
    <w:rsid w:val="009A5348"/>
    <w:rsid w:val="009A67BB"/>
    <w:rsid w:val="009C76D5"/>
    <w:rsid w:val="009D52AF"/>
    <w:rsid w:val="009E0B4D"/>
    <w:rsid w:val="009F6112"/>
    <w:rsid w:val="009F7AA4"/>
    <w:rsid w:val="00A03ACA"/>
    <w:rsid w:val="00A32E4D"/>
    <w:rsid w:val="00A37634"/>
    <w:rsid w:val="00A4372D"/>
    <w:rsid w:val="00A47621"/>
    <w:rsid w:val="00A514F5"/>
    <w:rsid w:val="00A559DB"/>
    <w:rsid w:val="00A677FA"/>
    <w:rsid w:val="00A72857"/>
    <w:rsid w:val="00A92786"/>
    <w:rsid w:val="00AD5FA9"/>
    <w:rsid w:val="00AF35FC"/>
    <w:rsid w:val="00B03639"/>
    <w:rsid w:val="00B05C87"/>
    <w:rsid w:val="00B0652A"/>
    <w:rsid w:val="00B3757D"/>
    <w:rsid w:val="00B40937"/>
    <w:rsid w:val="00B423EF"/>
    <w:rsid w:val="00B449B2"/>
    <w:rsid w:val="00B44AF3"/>
    <w:rsid w:val="00B453DE"/>
    <w:rsid w:val="00B4742F"/>
    <w:rsid w:val="00B51A61"/>
    <w:rsid w:val="00B901F9"/>
    <w:rsid w:val="00BA4984"/>
    <w:rsid w:val="00BD6EFB"/>
    <w:rsid w:val="00BE290B"/>
    <w:rsid w:val="00C15BE2"/>
    <w:rsid w:val="00C22219"/>
    <w:rsid w:val="00C32E3C"/>
    <w:rsid w:val="00C3447F"/>
    <w:rsid w:val="00C610D3"/>
    <w:rsid w:val="00C6674C"/>
    <w:rsid w:val="00C77455"/>
    <w:rsid w:val="00C81491"/>
    <w:rsid w:val="00C81676"/>
    <w:rsid w:val="00C92CC4"/>
    <w:rsid w:val="00CA0AFB"/>
    <w:rsid w:val="00CA2CE1"/>
    <w:rsid w:val="00CA3976"/>
    <w:rsid w:val="00CA757B"/>
    <w:rsid w:val="00CC1787"/>
    <w:rsid w:val="00CC182C"/>
    <w:rsid w:val="00CD0824"/>
    <w:rsid w:val="00CD0CA9"/>
    <w:rsid w:val="00CD2908"/>
    <w:rsid w:val="00CE7743"/>
    <w:rsid w:val="00CF3AC3"/>
    <w:rsid w:val="00CF5AF7"/>
    <w:rsid w:val="00CF6B6F"/>
    <w:rsid w:val="00CF78C0"/>
    <w:rsid w:val="00D03A82"/>
    <w:rsid w:val="00D15344"/>
    <w:rsid w:val="00D30074"/>
    <w:rsid w:val="00D31BEC"/>
    <w:rsid w:val="00D424AE"/>
    <w:rsid w:val="00D575C3"/>
    <w:rsid w:val="00D63150"/>
    <w:rsid w:val="00D64A32"/>
    <w:rsid w:val="00D64EFC"/>
    <w:rsid w:val="00D75295"/>
    <w:rsid w:val="00D76CE9"/>
    <w:rsid w:val="00D92E46"/>
    <w:rsid w:val="00D93AE3"/>
    <w:rsid w:val="00D97F12"/>
    <w:rsid w:val="00DB42E7"/>
    <w:rsid w:val="00DB7B6A"/>
    <w:rsid w:val="00DF080F"/>
    <w:rsid w:val="00DF32C2"/>
    <w:rsid w:val="00E471A7"/>
    <w:rsid w:val="00E635CF"/>
    <w:rsid w:val="00E7690D"/>
    <w:rsid w:val="00E859CA"/>
    <w:rsid w:val="00EB5410"/>
    <w:rsid w:val="00EC520B"/>
    <w:rsid w:val="00EC6E0A"/>
    <w:rsid w:val="00ED4E18"/>
    <w:rsid w:val="00ED5CFB"/>
    <w:rsid w:val="00EE1557"/>
    <w:rsid w:val="00EE1F37"/>
    <w:rsid w:val="00F0159C"/>
    <w:rsid w:val="00F105B7"/>
    <w:rsid w:val="00F13C3A"/>
    <w:rsid w:val="00F17A21"/>
    <w:rsid w:val="00F424CB"/>
    <w:rsid w:val="00F50E91"/>
    <w:rsid w:val="00F57D29"/>
    <w:rsid w:val="00F76EF6"/>
    <w:rsid w:val="00F92A99"/>
    <w:rsid w:val="00F96201"/>
    <w:rsid w:val="00FA63C8"/>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7B861F8"/>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1">
    <w:name w:val="Table Grid1"/>
    <w:basedOn w:val="TableNormal"/>
    <w:next w:val="TableGrid"/>
    <w:uiPriority w:val="39"/>
    <w:rsid w:val="00931E7C"/>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51A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3DE33C0-2C95-4AA6-BE8D-7EC75FDA1B9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F3C584D-4F63-4332-B1ED-83466051249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4E58F-A494-4A4C-96A7-097586B0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4087</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2011-06-23T13:34:00Z</cp:lastPrinted>
  <dcterms:created xsi:type="dcterms:W3CDTF">2018-04-04T19:35:00Z</dcterms:created>
  <dcterms:modified xsi:type="dcterms:W3CDTF">2018-04-06T15:04:00Z</dcterms:modified>
</cp:coreProperties>
</file>