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C796D" w14:textId="7AE70490" w:rsidR="00C176CC" w:rsidRDefault="00497B73" w:rsidP="008467D5">
      <w:pPr>
        <w:pBdr>
          <w:bottom w:val="single" w:sz="18" w:space="1" w:color="auto"/>
        </w:pBdr>
        <w:tabs>
          <w:tab w:val="left" w:pos="-1440"/>
          <w:tab w:val="left" w:pos="-720"/>
          <w:tab w:val="left" w:pos="1"/>
        </w:tabs>
        <w:jc w:val="both"/>
        <w:rPr>
          <w:rFonts w:ascii="Arial" w:hAnsi="Arial"/>
          <w:b/>
          <w:noProof/>
          <w:sz w:val="24"/>
        </w:rPr>
      </w:pPr>
      <w:r w:rsidRPr="00A569EA">
        <w:rPr>
          <w:rFonts w:ascii="Arial" w:hAnsi="Arial"/>
          <w:b/>
          <w:noProof/>
          <w:sz w:val="24"/>
        </w:rPr>
        <w:drawing>
          <wp:inline distT="0" distB="0" distL="0" distR="0" wp14:anchorId="618CCB4E" wp14:editId="71606B3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94B4855" w14:textId="2D8B71B9" w:rsidR="00D75295" w:rsidRDefault="00E74003" w:rsidP="00F105B7">
      <w:pPr>
        <w:pStyle w:val="ProductNumber"/>
      </w:pPr>
      <w:r>
        <w:t>9B18A023</w:t>
      </w:r>
    </w:p>
    <w:p w14:paraId="28229090" w14:textId="77777777" w:rsidR="00D75295" w:rsidRPr="003D0BA1" w:rsidRDefault="00D75295" w:rsidP="00D75295">
      <w:pPr>
        <w:jc w:val="right"/>
        <w:rPr>
          <w:rFonts w:ascii="Arial" w:hAnsi="Arial"/>
          <w:b/>
          <w:sz w:val="28"/>
          <w:szCs w:val="28"/>
        </w:rPr>
      </w:pPr>
    </w:p>
    <w:p w14:paraId="5110BA2E" w14:textId="77777777" w:rsidR="00013360" w:rsidRPr="003D0BA1" w:rsidRDefault="00013360" w:rsidP="00D75295">
      <w:pPr>
        <w:jc w:val="right"/>
        <w:rPr>
          <w:rFonts w:ascii="Arial" w:hAnsi="Arial"/>
          <w:b/>
          <w:sz w:val="28"/>
          <w:szCs w:val="28"/>
        </w:rPr>
      </w:pPr>
    </w:p>
    <w:p w14:paraId="09C356B3" w14:textId="5B6599D6" w:rsidR="00013360" w:rsidRDefault="00C176CC" w:rsidP="00013360">
      <w:pPr>
        <w:pStyle w:val="CaseTitle"/>
        <w:spacing w:after="0" w:line="240" w:lineRule="auto"/>
        <w:rPr>
          <w:sz w:val="20"/>
          <w:szCs w:val="20"/>
        </w:rPr>
      </w:pPr>
      <w:r w:rsidRPr="00C176CC">
        <w:rPr>
          <w:rFonts w:eastAsia="Times New Roman"/>
          <w:szCs w:val="20"/>
        </w:rPr>
        <w:t>AJANTA packaging</w:t>
      </w:r>
      <w:r w:rsidR="00822324">
        <w:rPr>
          <w:rFonts w:eastAsia="Times New Roman"/>
          <w:szCs w:val="20"/>
        </w:rPr>
        <w:t>:</w:t>
      </w:r>
      <w:r w:rsidRPr="00C176CC">
        <w:rPr>
          <w:rFonts w:eastAsia="Times New Roman"/>
          <w:szCs w:val="20"/>
        </w:rPr>
        <w:t xml:space="preserve"> KEY ACCOUNT MANAGEMENT</w:t>
      </w:r>
    </w:p>
    <w:p w14:paraId="25E1B84B" w14:textId="77777777" w:rsidR="00CA3976" w:rsidRDefault="00CA3976" w:rsidP="00013360">
      <w:pPr>
        <w:pStyle w:val="CaseTitle"/>
        <w:spacing w:after="0" w:line="240" w:lineRule="auto"/>
        <w:rPr>
          <w:sz w:val="20"/>
          <w:szCs w:val="20"/>
        </w:rPr>
      </w:pPr>
    </w:p>
    <w:p w14:paraId="5F67CF9D" w14:textId="77777777" w:rsidR="00013360" w:rsidRPr="00013360" w:rsidRDefault="00013360" w:rsidP="00013360">
      <w:pPr>
        <w:pStyle w:val="CaseTitle"/>
        <w:spacing w:after="0" w:line="240" w:lineRule="auto"/>
        <w:rPr>
          <w:sz w:val="20"/>
          <w:szCs w:val="20"/>
        </w:rPr>
      </w:pPr>
    </w:p>
    <w:p w14:paraId="2C94A6FB" w14:textId="77777777" w:rsidR="00627C63" w:rsidRPr="00627C63" w:rsidRDefault="00C176CC" w:rsidP="00627C63">
      <w:pPr>
        <w:pStyle w:val="StyleCopyrightStatementAfter0ptBottomSinglesolidline1"/>
      </w:pPr>
      <w:r w:rsidRPr="004B0ECE">
        <w:rPr>
          <w:color w:val="auto"/>
        </w:rPr>
        <w:t xml:space="preserve">Sandeep Puri and </w:t>
      </w:r>
      <w:r>
        <w:rPr>
          <w:color w:val="auto"/>
        </w:rPr>
        <w:t xml:space="preserve">Rakesh Singh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DD6C911" w14:textId="77777777" w:rsidR="00751E0B" w:rsidRDefault="00751E0B" w:rsidP="00751E0B">
      <w:pPr>
        <w:pStyle w:val="StyleCopyrightStatementAfter0ptBottomSinglesolidline1"/>
      </w:pPr>
    </w:p>
    <w:p w14:paraId="032483D1" w14:textId="77777777" w:rsidR="00497B73" w:rsidRDefault="00497B73" w:rsidP="00497B73">
      <w:pPr>
        <w:pStyle w:val="StyleStyleCopyrightStatementAfter0ptBottomSinglesolid"/>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AE1A74E" w14:textId="77777777" w:rsidR="00497B73" w:rsidRDefault="00497B73" w:rsidP="00497B73">
      <w:pPr>
        <w:pStyle w:val="StyleStyleCopyrightStatementAfter0ptBottomSinglesolid"/>
      </w:pPr>
    </w:p>
    <w:p w14:paraId="2B8CA040" w14:textId="21F8BD0E" w:rsidR="00751E0B" w:rsidRDefault="00497B73" w:rsidP="00497B73">
      <w:pPr>
        <w:pStyle w:val="StyleStyleCopyrightStatementAfter0ptBottomSinglesolid"/>
      </w:pPr>
      <w:r>
        <w:t>Copyright © 2018, Ivey Business School Foundation</w:t>
      </w:r>
      <w:r>
        <w:tab/>
        <w:t>Version: 2018-04-</w:t>
      </w:r>
      <w:r w:rsidR="004F446A">
        <w:t>1</w:t>
      </w:r>
      <w:r w:rsidR="00BB4D6C">
        <w:t>7</w:t>
      </w:r>
    </w:p>
    <w:p w14:paraId="4CEC81F4" w14:textId="77777777" w:rsidR="00751E0B" w:rsidRPr="003B7EF2" w:rsidRDefault="00751E0B" w:rsidP="00751E0B">
      <w:pPr>
        <w:pStyle w:val="StyleCopyrightStatementAfter0ptBottomSinglesolidline1"/>
        <w:rPr>
          <w:rFonts w:ascii="Times New Roman" w:hAnsi="Times New Roman"/>
          <w:sz w:val="20"/>
        </w:rPr>
      </w:pPr>
    </w:p>
    <w:p w14:paraId="28424B27" w14:textId="77777777" w:rsidR="004B632F" w:rsidRDefault="004B632F" w:rsidP="004B632F">
      <w:pPr>
        <w:pStyle w:val="StyleCopyrightStatementAfter0ptBottomSinglesolidline1"/>
        <w:rPr>
          <w:rFonts w:ascii="Times New Roman" w:hAnsi="Times New Roman"/>
          <w:sz w:val="20"/>
        </w:rPr>
      </w:pPr>
    </w:p>
    <w:p w14:paraId="15386108" w14:textId="77777777" w:rsidR="004F446A" w:rsidRDefault="00C176CC" w:rsidP="00C176CC">
      <w:pPr>
        <w:pStyle w:val="BodyTextMain"/>
        <w:jc w:val="right"/>
      </w:pPr>
      <w:r w:rsidRPr="00A00EAA">
        <w:t>Offer good quality products at a reasonable cost</w:t>
      </w:r>
      <w:r w:rsidR="007F2F94">
        <w:t xml:space="preserve"> and</w:t>
      </w:r>
      <w:r w:rsidRPr="00A00EAA">
        <w:t xml:space="preserve"> provide exceptional customer service</w:t>
      </w:r>
      <w:r w:rsidR="007F2F94">
        <w:t>,</w:t>
      </w:r>
      <w:r w:rsidRPr="00A00EAA">
        <w:t xml:space="preserve"> </w:t>
      </w:r>
    </w:p>
    <w:p w14:paraId="1249E506" w14:textId="2EEF3883" w:rsidR="00C176CC" w:rsidRPr="00A00EAA" w:rsidRDefault="00C176CC" w:rsidP="00C176CC">
      <w:pPr>
        <w:pStyle w:val="BodyTextMain"/>
        <w:jc w:val="right"/>
      </w:pPr>
      <w:r w:rsidRPr="00A00EAA">
        <w:t xml:space="preserve">and the customers will </w:t>
      </w:r>
      <w:r>
        <w:t xml:space="preserve">remain </w:t>
      </w:r>
      <w:r w:rsidRPr="00A00EAA">
        <w:t xml:space="preserve">loyal. </w:t>
      </w:r>
    </w:p>
    <w:p w14:paraId="37E3C017" w14:textId="77777777" w:rsidR="00C176CC" w:rsidRPr="00C423C7" w:rsidRDefault="00C176CC" w:rsidP="00C176CC">
      <w:pPr>
        <w:pStyle w:val="BodyTextMain"/>
        <w:jc w:val="right"/>
        <w:rPr>
          <w:i/>
        </w:rPr>
      </w:pPr>
      <w:r w:rsidRPr="00C423C7">
        <w:t>Pushpak Agarwal</w:t>
      </w:r>
      <w:r>
        <w:t>, m</w:t>
      </w:r>
      <w:r w:rsidRPr="00C423C7">
        <w:t xml:space="preserve">anaging </w:t>
      </w:r>
      <w:r>
        <w:t>d</w:t>
      </w:r>
      <w:r w:rsidRPr="00C423C7">
        <w:t>irector</w:t>
      </w:r>
      <w:r>
        <w:t xml:space="preserve">, </w:t>
      </w:r>
      <w:r w:rsidRPr="00C423C7">
        <w:t>Ajanta Packaging</w:t>
      </w:r>
    </w:p>
    <w:p w14:paraId="374D12F0" w14:textId="77777777" w:rsidR="00C176CC" w:rsidRPr="00C176CC" w:rsidRDefault="00C176CC" w:rsidP="00C176CC">
      <w:pPr>
        <w:pStyle w:val="BodyTextMain"/>
        <w:rPr>
          <w:i/>
          <w:sz w:val="18"/>
        </w:rPr>
      </w:pPr>
    </w:p>
    <w:p w14:paraId="22DC6033" w14:textId="2A57D3CE" w:rsidR="00C176CC" w:rsidRPr="00C176CC" w:rsidRDefault="007F2F94" w:rsidP="00C176CC">
      <w:pPr>
        <w:pStyle w:val="BodyTextMain"/>
        <w:rPr>
          <w:i/>
          <w:spacing w:val="-2"/>
        </w:rPr>
      </w:pPr>
      <w:r>
        <w:rPr>
          <w:spacing w:val="-2"/>
        </w:rPr>
        <w:t>O</w:t>
      </w:r>
      <w:r w:rsidR="00C176CC" w:rsidRPr="00C176CC">
        <w:rPr>
          <w:spacing w:val="-2"/>
        </w:rPr>
        <w:t xml:space="preserve">n October </w:t>
      </w:r>
      <w:r>
        <w:rPr>
          <w:spacing w:val="-2"/>
        </w:rPr>
        <w:t xml:space="preserve">18, </w:t>
      </w:r>
      <w:r w:rsidR="00C176CC" w:rsidRPr="00C176CC">
        <w:rPr>
          <w:spacing w:val="-2"/>
        </w:rPr>
        <w:t>2017</w:t>
      </w:r>
      <w:bookmarkStart w:id="0" w:name="_GoBack"/>
      <w:bookmarkEnd w:id="0"/>
      <w:r>
        <w:rPr>
          <w:spacing w:val="-2"/>
        </w:rPr>
        <w:t>,</w:t>
      </w:r>
      <w:r w:rsidRPr="007F2F94">
        <w:rPr>
          <w:spacing w:val="-2"/>
        </w:rPr>
        <w:t xml:space="preserve"> </w:t>
      </w:r>
      <w:r>
        <w:rPr>
          <w:spacing w:val="-2"/>
        </w:rPr>
        <w:t>d</w:t>
      </w:r>
      <w:r w:rsidRPr="00C176CC">
        <w:rPr>
          <w:spacing w:val="-2"/>
        </w:rPr>
        <w:t>uring festival season in India</w:t>
      </w:r>
      <w:r w:rsidR="00C176CC" w:rsidRPr="00C176CC">
        <w:rPr>
          <w:spacing w:val="-2"/>
        </w:rPr>
        <w:t xml:space="preserve">, Ajanta Packaging </w:t>
      </w:r>
      <w:r w:rsidR="00D429DF">
        <w:rPr>
          <w:spacing w:val="-2"/>
        </w:rPr>
        <w:t xml:space="preserve">(Ajanta) </w:t>
      </w:r>
      <w:r w:rsidR="00C176CC" w:rsidRPr="00C176CC">
        <w:rPr>
          <w:spacing w:val="-2"/>
        </w:rPr>
        <w:t xml:space="preserve">shifted base to </w:t>
      </w:r>
      <w:r w:rsidR="00D429DF">
        <w:rPr>
          <w:spacing w:val="-2"/>
        </w:rPr>
        <w:t>a</w:t>
      </w:r>
      <w:r w:rsidR="00C176CC" w:rsidRPr="00C176CC">
        <w:rPr>
          <w:spacing w:val="-2"/>
        </w:rPr>
        <w:t xml:space="preserve"> new</w:t>
      </w:r>
      <w:r w:rsidR="00D429DF">
        <w:rPr>
          <w:spacing w:val="-2"/>
        </w:rPr>
        <w:t>,</w:t>
      </w:r>
      <w:r w:rsidR="00C176CC" w:rsidRPr="00C176CC">
        <w:rPr>
          <w:spacing w:val="-2"/>
        </w:rPr>
        <w:t xml:space="preserve"> modern office in New Delhi</w:t>
      </w:r>
      <w:r w:rsidR="00277AF8">
        <w:rPr>
          <w:spacing w:val="-2"/>
        </w:rPr>
        <w:t>, India</w:t>
      </w:r>
      <w:r w:rsidR="00C176CC" w:rsidRPr="00C176CC">
        <w:rPr>
          <w:spacing w:val="-2"/>
        </w:rPr>
        <w:t xml:space="preserve">. </w:t>
      </w:r>
      <w:r w:rsidR="00D429DF">
        <w:rPr>
          <w:spacing w:val="-2"/>
        </w:rPr>
        <w:t xml:space="preserve">At that time, </w:t>
      </w:r>
      <w:r w:rsidR="00C176CC" w:rsidRPr="00C176CC">
        <w:rPr>
          <w:spacing w:val="-2"/>
        </w:rPr>
        <w:t>Pushpak Agarwal, the managing director of Ajanta</w:t>
      </w:r>
      <w:r w:rsidR="00D429DF">
        <w:rPr>
          <w:spacing w:val="-2"/>
        </w:rPr>
        <w:t>,</w:t>
      </w:r>
      <w:r w:rsidR="00C176CC" w:rsidRPr="00C176CC">
        <w:rPr>
          <w:spacing w:val="-2"/>
        </w:rPr>
        <w:t xml:space="preserve"> was pleased with the company’s growth over the </w:t>
      </w:r>
      <w:r w:rsidR="00290E45">
        <w:rPr>
          <w:spacing w:val="-2"/>
        </w:rPr>
        <w:t>p</w:t>
      </w:r>
      <w:r w:rsidR="00C176CC" w:rsidRPr="00C176CC">
        <w:rPr>
          <w:spacing w:val="-2"/>
        </w:rPr>
        <w:t xml:space="preserve">ast </w:t>
      </w:r>
      <w:r w:rsidR="00D429DF">
        <w:rPr>
          <w:spacing w:val="-2"/>
        </w:rPr>
        <w:t>five</w:t>
      </w:r>
      <w:r w:rsidR="00C176CC" w:rsidRPr="00C176CC">
        <w:rPr>
          <w:spacing w:val="-2"/>
        </w:rPr>
        <w:t xml:space="preserve"> years</w:t>
      </w:r>
      <w:r w:rsidR="00D429DF">
        <w:rPr>
          <w:spacing w:val="-2"/>
        </w:rPr>
        <w:t>—</w:t>
      </w:r>
      <w:r w:rsidR="00012D62">
        <w:rPr>
          <w:spacing w:val="-2"/>
        </w:rPr>
        <w:t>Ajanta</w:t>
      </w:r>
      <w:r w:rsidR="00C176CC" w:rsidRPr="00C176CC">
        <w:rPr>
          <w:spacing w:val="-2"/>
        </w:rPr>
        <w:t xml:space="preserve"> </w:t>
      </w:r>
      <w:r w:rsidR="00D429DF">
        <w:rPr>
          <w:spacing w:val="-2"/>
        </w:rPr>
        <w:t xml:space="preserve">had </w:t>
      </w:r>
      <w:r w:rsidR="00C176CC" w:rsidRPr="00C176CC">
        <w:rPr>
          <w:spacing w:val="-2"/>
        </w:rPr>
        <w:t>reported revenue of US$302 million</w:t>
      </w:r>
      <w:r w:rsidR="00D429DF">
        <w:rPr>
          <w:rStyle w:val="FootnoteReference"/>
          <w:spacing w:val="-2"/>
        </w:rPr>
        <w:footnoteReference w:id="1"/>
      </w:r>
      <w:r w:rsidR="00C176CC" w:rsidRPr="00C176CC">
        <w:rPr>
          <w:spacing w:val="-2"/>
        </w:rPr>
        <w:t xml:space="preserve"> </w:t>
      </w:r>
      <w:r w:rsidR="00C176CC" w:rsidRPr="00C176CC">
        <w:rPr>
          <w:spacing w:val="-2"/>
          <w:shd w:val="clear" w:color="auto" w:fill="FFFFFF"/>
        </w:rPr>
        <w:t>in 2016</w:t>
      </w:r>
      <w:r w:rsidR="00D429DF">
        <w:rPr>
          <w:spacing w:val="-2"/>
          <w:shd w:val="clear" w:color="auto" w:fill="FFFFFF"/>
        </w:rPr>
        <w:t>,</w:t>
      </w:r>
      <w:r w:rsidR="00C176CC" w:rsidRPr="00C176CC">
        <w:rPr>
          <w:spacing w:val="-2"/>
          <w:shd w:val="clear" w:color="auto" w:fill="FFFFFF"/>
        </w:rPr>
        <w:t xml:space="preserve"> a </w:t>
      </w:r>
      <w:r w:rsidR="00C176CC" w:rsidRPr="00C176CC">
        <w:rPr>
          <w:spacing w:val="-2"/>
        </w:rPr>
        <w:t xml:space="preserve">growth of 21.3 per cent over the previous financial year. </w:t>
      </w:r>
      <w:r w:rsidR="00D429DF">
        <w:rPr>
          <w:spacing w:val="-2"/>
        </w:rPr>
        <w:t>Agarwal</w:t>
      </w:r>
      <w:r w:rsidR="00C176CC" w:rsidRPr="00C176CC">
        <w:rPr>
          <w:spacing w:val="-2"/>
          <w:lang w:val="en-GB"/>
        </w:rPr>
        <w:t xml:space="preserve"> seemed positive about </w:t>
      </w:r>
      <w:r w:rsidR="00D429DF">
        <w:rPr>
          <w:spacing w:val="-2"/>
          <w:lang w:val="en-GB"/>
        </w:rPr>
        <w:t>the company’s</w:t>
      </w:r>
      <w:r w:rsidR="00C176CC" w:rsidRPr="00C176CC">
        <w:rPr>
          <w:spacing w:val="-2"/>
          <w:lang w:val="en-GB"/>
        </w:rPr>
        <w:t xml:space="preserve"> </w:t>
      </w:r>
      <w:r w:rsidR="00C176CC" w:rsidRPr="00C176CC">
        <w:rPr>
          <w:spacing w:val="-2"/>
        </w:rPr>
        <w:t xml:space="preserve">future and was planning for the next </w:t>
      </w:r>
      <w:r w:rsidR="00D429DF">
        <w:rPr>
          <w:spacing w:val="-2"/>
        </w:rPr>
        <w:t>five</w:t>
      </w:r>
      <w:r w:rsidR="00C176CC" w:rsidRPr="00C176CC">
        <w:rPr>
          <w:spacing w:val="-2"/>
        </w:rPr>
        <w:t xml:space="preserve"> years</w:t>
      </w:r>
      <w:r w:rsidR="00C176CC" w:rsidRPr="00C176CC">
        <w:rPr>
          <w:spacing w:val="-2"/>
          <w:lang w:val="en-GB"/>
        </w:rPr>
        <w:t xml:space="preserve">. </w:t>
      </w:r>
      <w:r w:rsidR="00D429DF">
        <w:rPr>
          <w:spacing w:val="-2"/>
          <w:lang w:val="en-GB"/>
        </w:rPr>
        <w:t>H</w:t>
      </w:r>
      <w:r w:rsidR="00C176CC" w:rsidRPr="00C176CC">
        <w:rPr>
          <w:spacing w:val="-2"/>
          <w:lang w:val="en-GB"/>
        </w:rPr>
        <w:t>is positiv</w:t>
      </w:r>
      <w:r w:rsidR="00D429DF">
        <w:rPr>
          <w:spacing w:val="-2"/>
          <w:lang w:val="en-GB"/>
        </w:rPr>
        <w:t>e mood dissipated, however,</w:t>
      </w:r>
      <w:r w:rsidR="00C176CC" w:rsidRPr="00C176CC">
        <w:rPr>
          <w:spacing w:val="-2"/>
          <w:lang w:val="en-GB"/>
        </w:rPr>
        <w:t xml:space="preserve"> when his son Deepanker, </w:t>
      </w:r>
      <w:r w:rsidR="00D429DF">
        <w:rPr>
          <w:spacing w:val="-2"/>
          <w:lang w:val="en-GB"/>
        </w:rPr>
        <w:t>a</w:t>
      </w:r>
      <w:r w:rsidR="00C176CC" w:rsidRPr="00C176CC">
        <w:rPr>
          <w:spacing w:val="-2"/>
          <w:lang w:val="en-GB"/>
        </w:rPr>
        <w:t xml:space="preserve"> director </w:t>
      </w:r>
      <w:r w:rsidR="00D429DF">
        <w:rPr>
          <w:spacing w:val="-2"/>
          <w:lang w:val="en-GB"/>
        </w:rPr>
        <w:t>at</w:t>
      </w:r>
      <w:r w:rsidR="00C176CC" w:rsidRPr="00C176CC">
        <w:rPr>
          <w:spacing w:val="-2"/>
          <w:lang w:val="en-GB"/>
        </w:rPr>
        <w:t xml:space="preserve"> the company, walk</w:t>
      </w:r>
      <w:r w:rsidR="00F05032">
        <w:rPr>
          <w:spacing w:val="-2"/>
          <w:lang w:val="en-GB"/>
        </w:rPr>
        <w:t>ed</w:t>
      </w:r>
      <w:r w:rsidR="00C176CC" w:rsidRPr="00C176CC">
        <w:rPr>
          <w:spacing w:val="-2"/>
          <w:lang w:val="en-GB"/>
        </w:rPr>
        <w:t xml:space="preserve"> into his office seeming extremely concerned. </w:t>
      </w:r>
      <w:r w:rsidR="00277AF8">
        <w:rPr>
          <w:spacing w:val="-2"/>
          <w:lang w:val="en-GB"/>
        </w:rPr>
        <w:t xml:space="preserve">Agarwal asked his son, </w:t>
      </w:r>
      <w:r w:rsidR="00C176CC" w:rsidRPr="00C176CC">
        <w:rPr>
          <w:spacing w:val="-2"/>
          <w:lang w:val="en-GB"/>
        </w:rPr>
        <w:t xml:space="preserve">“Why do you look worried, Deepanker? Is anything bothering you?” </w:t>
      </w:r>
    </w:p>
    <w:p w14:paraId="7B63444A" w14:textId="77777777" w:rsidR="00C176CC" w:rsidRPr="00C176CC" w:rsidRDefault="00C176CC" w:rsidP="00C176CC">
      <w:pPr>
        <w:pStyle w:val="BodyTextMain"/>
        <w:rPr>
          <w:i/>
          <w:sz w:val="18"/>
        </w:rPr>
      </w:pPr>
    </w:p>
    <w:p w14:paraId="2A3FBAD4" w14:textId="066553FD" w:rsidR="00C176CC" w:rsidRPr="00CA7DDD" w:rsidRDefault="00C176CC" w:rsidP="00C176CC">
      <w:pPr>
        <w:pStyle w:val="BodyTextMain"/>
        <w:rPr>
          <w:i/>
          <w:lang w:val="en-GB"/>
        </w:rPr>
      </w:pPr>
      <w:r w:rsidRPr="00CA7DDD">
        <w:rPr>
          <w:lang w:val="en-GB"/>
        </w:rPr>
        <w:t xml:space="preserve">Deepanker’s reply acquainted </w:t>
      </w:r>
      <w:r w:rsidR="00D429DF" w:rsidRPr="00CA7DDD">
        <w:rPr>
          <w:lang w:val="en-GB"/>
        </w:rPr>
        <w:t>his father</w:t>
      </w:r>
      <w:r w:rsidRPr="00CA7DDD">
        <w:rPr>
          <w:lang w:val="en-GB"/>
        </w:rPr>
        <w:t xml:space="preserve"> with a problem he had not </w:t>
      </w:r>
      <w:r w:rsidR="00277AF8" w:rsidRPr="00CA7DDD">
        <w:rPr>
          <w:lang w:val="en-GB"/>
        </w:rPr>
        <w:t xml:space="preserve">been </w:t>
      </w:r>
      <w:r w:rsidRPr="00CA7DDD">
        <w:rPr>
          <w:lang w:val="en-GB"/>
        </w:rPr>
        <w:t>anticipat</w:t>
      </w:r>
      <w:r w:rsidR="00277AF8" w:rsidRPr="00CA7DDD">
        <w:rPr>
          <w:lang w:val="en-GB"/>
        </w:rPr>
        <w:t>ing</w:t>
      </w:r>
      <w:r w:rsidRPr="00CA7DDD">
        <w:rPr>
          <w:lang w:val="en-GB"/>
        </w:rPr>
        <w:t xml:space="preserve">. </w:t>
      </w:r>
      <w:r w:rsidR="00C03E4F">
        <w:rPr>
          <w:lang w:val="en-GB"/>
        </w:rPr>
        <w:t>“</w:t>
      </w:r>
      <w:r w:rsidRPr="00CA7DDD">
        <w:rPr>
          <w:lang w:val="en-GB"/>
        </w:rPr>
        <w:t xml:space="preserve">Have you seen the rate quotation </w:t>
      </w:r>
      <w:r w:rsidR="00277AF8" w:rsidRPr="00CA7DDD">
        <w:rPr>
          <w:lang w:val="en-GB"/>
        </w:rPr>
        <w:t>from</w:t>
      </w:r>
      <w:r w:rsidRPr="00CA7DDD">
        <w:rPr>
          <w:lang w:val="en-GB"/>
        </w:rPr>
        <w:t xml:space="preserve"> our biggest client</w:t>
      </w:r>
      <w:r w:rsidR="00277AF8" w:rsidRPr="00CA7DDD">
        <w:rPr>
          <w:lang w:val="en-GB"/>
        </w:rPr>
        <w:t>,</w:t>
      </w:r>
      <w:r w:rsidRPr="00CA7DDD">
        <w:rPr>
          <w:lang w:val="en-GB"/>
        </w:rPr>
        <w:t xml:space="preserve"> S.F. Foods </w:t>
      </w:r>
      <w:r w:rsidR="00277AF8" w:rsidRPr="00CA7DDD">
        <w:rPr>
          <w:lang w:val="en-GB"/>
        </w:rPr>
        <w:t>[</w:t>
      </w:r>
      <w:r w:rsidRPr="00CA7DDD">
        <w:rPr>
          <w:lang w:val="en-GB"/>
        </w:rPr>
        <w:t>SF</w:t>
      </w:r>
      <w:r w:rsidR="00277AF8" w:rsidRPr="00CA7DDD">
        <w:rPr>
          <w:lang w:val="en-GB"/>
        </w:rPr>
        <w:t>]?</w:t>
      </w:r>
      <w:r w:rsidRPr="00CA7DDD">
        <w:rPr>
          <w:lang w:val="en-GB"/>
        </w:rPr>
        <w:t xml:space="preserve"> The company is offering a $25</w:t>
      </w:r>
      <w:r w:rsidR="00290E45">
        <w:rPr>
          <w:lang w:val="en-GB"/>
        </w:rPr>
        <w:t xml:space="preserve"> </w:t>
      </w:r>
      <w:r w:rsidRPr="00CA7DDD">
        <w:rPr>
          <w:lang w:val="en-GB"/>
        </w:rPr>
        <w:t>million</w:t>
      </w:r>
      <w:r w:rsidR="00277AF8" w:rsidRPr="00CA7DDD">
        <w:rPr>
          <w:lang w:val="en-GB"/>
        </w:rPr>
        <w:t xml:space="preserve"> order</w:t>
      </w:r>
      <w:r w:rsidRPr="00CA7DDD">
        <w:rPr>
          <w:lang w:val="en-GB"/>
        </w:rPr>
        <w:t xml:space="preserve"> with profit margins of less than 7 per cent. They want us to supply the goods by December </w:t>
      </w:r>
      <w:r w:rsidR="00277AF8" w:rsidRPr="00CA7DDD">
        <w:rPr>
          <w:lang w:val="en-GB"/>
        </w:rPr>
        <w:t xml:space="preserve">1, </w:t>
      </w:r>
      <w:r w:rsidRPr="00CA7DDD">
        <w:rPr>
          <w:lang w:val="en-GB"/>
        </w:rPr>
        <w:t xml:space="preserve">2017, but have set the payment period for 60 days. Our key account management needs to be reworked.” </w:t>
      </w:r>
    </w:p>
    <w:p w14:paraId="69EF18E0" w14:textId="77777777" w:rsidR="00C176CC" w:rsidRPr="00C176CC" w:rsidRDefault="00C176CC" w:rsidP="00C176CC">
      <w:pPr>
        <w:pStyle w:val="BodyTextMain"/>
        <w:rPr>
          <w:i/>
          <w:spacing w:val="-2"/>
          <w:sz w:val="18"/>
          <w:lang w:val="en-GB"/>
        </w:rPr>
      </w:pPr>
    </w:p>
    <w:p w14:paraId="149A3C9E" w14:textId="25DBA726" w:rsidR="00C176CC" w:rsidRPr="00DA33A8" w:rsidRDefault="00277AF8" w:rsidP="00C176CC">
      <w:pPr>
        <w:pStyle w:val="BodyTextMain"/>
        <w:rPr>
          <w:i/>
          <w:spacing w:val="-2"/>
        </w:rPr>
      </w:pPr>
      <w:r w:rsidRPr="00DA33A8">
        <w:rPr>
          <w:spacing w:val="-2"/>
        </w:rPr>
        <w:t xml:space="preserve">In addition to </w:t>
      </w:r>
      <w:r w:rsidR="00020D77" w:rsidRPr="00DA33A8">
        <w:rPr>
          <w:spacing w:val="-2"/>
        </w:rPr>
        <w:t>SF’s</w:t>
      </w:r>
      <w:r w:rsidRPr="00DA33A8">
        <w:rPr>
          <w:spacing w:val="-2"/>
        </w:rPr>
        <w:t xml:space="preserve"> order, Ajanta</w:t>
      </w:r>
      <w:r w:rsidR="00C176CC" w:rsidRPr="00DA33A8">
        <w:rPr>
          <w:spacing w:val="-2"/>
        </w:rPr>
        <w:t xml:space="preserve"> had </w:t>
      </w:r>
      <w:r w:rsidRPr="00DA33A8">
        <w:rPr>
          <w:spacing w:val="-2"/>
        </w:rPr>
        <w:t>$45 million worth of</w:t>
      </w:r>
      <w:r w:rsidR="00C176CC" w:rsidRPr="00DA33A8">
        <w:rPr>
          <w:spacing w:val="-2"/>
        </w:rPr>
        <w:t xml:space="preserve"> orders from other customers that ha</w:t>
      </w:r>
      <w:r w:rsidRPr="00DA33A8">
        <w:rPr>
          <w:spacing w:val="-2"/>
        </w:rPr>
        <w:t>d</w:t>
      </w:r>
      <w:r w:rsidR="00C176CC" w:rsidRPr="00DA33A8">
        <w:rPr>
          <w:spacing w:val="-2"/>
        </w:rPr>
        <w:t xml:space="preserve"> profit margins of more than 10 per cent and </w:t>
      </w:r>
      <w:r w:rsidRPr="00DA33A8">
        <w:rPr>
          <w:spacing w:val="-2"/>
        </w:rPr>
        <w:t xml:space="preserve">that </w:t>
      </w:r>
      <w:r w:rsidR="00FC44BC" w:rsidRPr="00DA33A8">
        <w:rPr>
          <w:spacing w:val="-2"/>
        </w:rPr>
        <w:t>were</w:t>
      </w:r>
      <w:r w:rsidR="00C176CC" w:rsidRPr="00DA33A8">
        <w:rPr>
          <w:spacing w:val="-2"/>
        </w:rPr>
        <w:t xml:space="preserve"> to be supplied </w:t>
      </w:r>
      <w:r w:rsidR="00020D77" w:rsidRPr="00DA33A8">
        <w:rPr>
          <w:spacing w:val="-2"/>
        </w:rPr>
        <w:t>on</w:t>
      </w:r>
      <w:r w:rsidR="00C176CC" w:rsidRPr="00DA33A8">
        <w:rPr>
          <w:spacing w:val="-2"/>
        </w:rPr>
        <w:t xml:space="preserve"> December </w:t>
      </w:r>
      <w:r w:rsidR="00FC44BC" w:rsidRPr="00DA33A8">
        <w:rPr>
          <w:spacing w:val="-2"/>
        </w:rPr>
        <w:t xml:space="preserve">15, </w:t>
      </w:r>
      <w:r w:rsidR="00C176CC" w:rsidRPr="00DA33A8">
        <w:rPr>
          <w:spacing w:val="-2"/>
        </w:rPr>
        <w:t xml:space="preserve">2017. Supplying to SF with </w:t>
      </w:r>
      <w:r w:rsidR="00020D77" w:rsidRPr="00DA33A8">
        <w:rPr>
          <w:spacing w:val="-2"/>
        </w:rPr>
        <w:t>a</w:t>
      </w:r>
      <w:r w:rsidR="00C176CC" w:rsidRPr="00DA33A8">
        <w:rPr>
          <w:spacing w:val="-2"/>
        </w:rPr>
        <w:t xml:space="preserve"> 60-day payment period risked jeopardizing other orders</w:t>
      </w:r>
      <w:r w:rsidR="00020D77" w:rsidRPr="00DA33A8">
        <w:rPr>
          <w:spacing w:val="-2"/>
        </w:rPr>
        <w:t>, which could</w:t>
      </w:r>
      <w:r w:rsidR="00C176CC" w:rsidRPr="00DA33A8">
        <w:rPr>
          <w:spacing w:val="-2"/>
        </w:rPr>
        <w:t xml:space="preserve"> result in higher customer dissatisfaction and </w:t>
      </w:r>
      <w:r w:rsidR="00CA7DDD" w:rsidRPr="00DA33A8">
        <w:rPr>
          <w:spacing w:val="-2"/>
        </w:rPr>
        <w:t xml:space="preserve">the </w:t>
      </w:r>
      <w:r w:rsidR="00C176CC" w:rsidRPr="00DA33A8">
        <w:rPr>
          <w:spacing w:val="-2"/>
        </w:rPr>
        <w:t>possible defection</w:t>
      </w:r>
      <w:r w:rsidR="00CA7DDD" w:rsidRPr="00DA33A8">
        <w:rPr>
          <w:spacing w:val="-2"/>
        </w:rPr>
        <w:t xml:space="preserve"> of customers</w:t>
      </w:r>
      <w:r w:rsidR="00C176CC" w:rsidRPr="00DA33A8">
        <w:rPr>
          <w:spacing w:val="-2"/>
        </w:rPr>
        <w:t xml:space="preserve"> to competitors. </w:t>
      </w:r>
      <w:r w:rsidR="00CA7DDD" w:rsidRPr="00DA33A8">
        <w:rPr>
          <w:spacing w:val="-2"/>
        </w:rPr>
        <w:t>Ajanta</w:t>
      </w:r>
      <w:r w:rsidR="00C176CC" w:rsidRPr="00DA33A8">
        <w:rPr>
          <w:spacing w:val="-2"/>
        </w:rPr>
        <w:t xml:space="preserve"> had good customer-management practices in place, with more than 80 per cent of its revenues coming from repeat customers. One cause of concern</w:t>
      </w:r>
      <w:r w:rsidR="00CA7DDD" w:rsidRPr="00DA33A8">
        <w:rPr>
          <w:spacing w:val="-2"/>
        </w:rPr>
        <w:t xml:space="preserve"> for the company</w:t>
      </w:r>
      <w:r w:rsidR="00C176CC" w:rsidRPr="00DA33A8">
        <w:rPr>
          <w:spacing w:val="-2"/>
        </w:rPr>
        <w:t>, however, was its over-reliance on SF</w:t>
      </w:r>
      <w:r w:rsidR="00012D62">
        <w:rPr>
          <w:spacing w:val="-2"/>
        </w:rPr>
        <w:t>, which</w:t>
      </w:r>
      <w:r w:rsidR="00C176CC" w:rsidRPr="00DA33A8">
        <w:rPr>
          <w:spacing w:val="-2"/>
        </w:rPr>
        <w:t xml:space="preserve"> accounted for 15 per cent of Ajanta’s business</w:t>
      </w:r>
      <w:r w:rsidR="00012D62">
        <w:rPr>
          <w:spacing w:val="-2"/>
        </w:rPr>
        <w:t xml:space="preserve">, </w:t>
      </w:r>
      <w:r w:rsidR="00C176CC" w:rsidRPr="00DA33A8">
        <w:rPr>
          <w:spacing w:val="-2"/>
        </w:rPr>
        <w:t xml:space="preserve">and 10 other customers who made up almost 50 per cent of the company’s total revenue. </w:t>
      </w:r>
    </w:p>
    <w:p w14:paraId="7C143ACF" w14:textId="77777777" w:rsidR="00C176CC" w:rsidRPr="00C176CC" w:rsidRDefault="00C176CC" w:rsidP="00C176CC">
      <w:pPr>
        <w:pStyle w:val="BodyTextMain"/>
        <w:rPr>
          <w:i/>
          <w:sz w:val="18"/>
        </w:rPr>
      </w:pPr>
    </w:p>
    <w:p w14:paraId="2F2106FE" w14:textId="7853D5B1" w:rsidR="00C176CC" w:rsidRDefault="00C176CC" w:rsidP="00C176CC">
      <w:pPr>
        <w:pStyle w:val="BodyTextMain"/>
        <w:rPr>
          <w:szCs w:val="28"/>
          <w:lang w:val="en-GB"/>
        </w:rPr>
      </w:pPr>
      <w:r w:rsidRPr="00A00EAA">
        <w:rPr>
          <w:szCs w:val="28"/>
          <w:lang w:val="en-GB"/>
        </w:rPr>
        <w:t xml:space="preserve">Deepanker </w:t>
      </w:r>
      <w:r w:rsidR="00CA7DDD">
        <w:rPr>
          <w:szCs w:val="28"/>
          <w:lang w:val="en-GB"/>
        </w:rPr>
        <w:t>was aware of</w:t>
      </w:r>
      <w:r>
        <w:rPr>
          <w:szCs w:val="28"/>
          <w:lang w:val="en-GB"/>
        </w:rPr>
        <w:t xml:space="preserve"> the worth of a company such as SF</w:t>
      </w:r>
      <w:r w:rsidR="00CA7DDD">
        <w:rPr>
          <w:szCs w:val="28"/>
          <w:lang w:val="en-GB"/>
        </w:rPr>
        <w:t>—</w:t>
      </w:r>
      <w:r>
        <w:rPr>
          <w:szCs w:val="28"/>
          <w:lang w:val="en-GB"/>
        </w:rPr>
        <w:t xml:space="preserve">and of the consequences of </w:t>
      </w:r>
      <w:r w:rsidR="00F05032">
        <w:rPr>
          <w:szCs w:val="28"/>
          <w:lang w:val="en-GB"/>
        </w:rPr>
        <w:t>de</w:t>
      </w:r>
      <w:r>
        <w:rPr>
          <w:szCs w:val="28"/>
          <w:lang w:val="en-GB"/>
        </w:rPr>
        <w:t xml:space="preserve">faulting on </w:t>
      </w:r>
      <w:r w:rsidR="00CA7DDD">
        <w:rPr>
          <w:szCs w:val="28"/>
          <w:lang w:val="en-GB"/>
        </w:rPr>
        <w:t>the</w:t>
      </w:r>
      <w:r>
        <w:rPr>
          <w:szCs w:val="28"/>
          <w:lang w:val="en-GB"/>
        </w:rPr>
        <w:t xml:space="preserve"> other orders with a higher profit margin. He </w:t>
      </w:r>
      <w:r w:rsidRPr="00A00EAA">
        <w:rPr>
          <w:szCs w:val="28"/>
          <w:lang w:val="en-GB"/>
        </w:rPr>
        <w:t xml:space="preserve">wanted to retain business with SF as well as keep his company’s commitments to its vendors and other customers. </w:t>
      </w:r>
      <w:r>
        <w:rPr>
          <w:szCs w:val="28"/>
          <w:lang w:val="en-GB"/>
        </w:rPr>
        <w:t>Now that he had a larger buyer base of 1</w:t>
      </w:r>
      <w:r w:rsidR="00CA7DDD">
        <w:rPr>
          <w:szCs w:val="28"/>
          <w:lang w:val="en-GB"/>
        </w:rPr>
        <w:t>,</w:t>
      </w:r>
      <w:r>
        <w:rPr>
          <w:szCs w:val="28"/>
          <w:lang w:val="en-GB"/>
        </w:rPr>
        <w:t>700 customers</w:t>
      </w:r>
      <w:r w:rsidR="00CA7DDD">
        <w:rPr>
          <w:szCs w:val="28"/>
          <w:lang w:val="en-GB"/>
        </w:rPr>
        <w:t>,</w:t>
      </w:r>
      <w:r>
        <w:rPr>
          <w:szCs w:val="28"/>
          <w:lang w:val="en-GB"/>
        </w:rPr>
        <w:t xml:space="preserve"> and </w:t>
      </w:r>
      <w:r w:rsidR="00CA7DDD">
        <w:rPr>
          <w:szCs w:val="28"/>
          <w:lang w:val="en-GB"/>
        </w:rPr>
        <w:t>realizing the</w:t>
      </w:r>
      <w:r>
        <w:rPr>
          <w:szCs w:val="28"/>
          <w:lang w:val="en-GB"/>
        </w:rPr>
        <w:t xml:space="preserve"> importan</w:t>
      </w:r>
      <w:r w:rsidR="00CA7DDD">
        <w:rPr>
          <w:szCs w:val="28"/>
          <w:lang w:val="en-GB"/>
        </w:rPr>
        <w:t>ce</w:t>
      </w:r>
      <w:r>
        <w:rPr>
          <w:szCs w:val="28"/>
          <w:lang w:val="en-GB"/>
        </w:rPr>
        <w:t xml:space="preserve"> </w:t>
      </w:r>
      <w:r w:rsidR="00CA7DDD">
        <w:rPr>
          <w:szCs w:val="28"/>
          <w:lang w:val="en-GB"/>
        </w:rPr>
        <w:t>of</w:t>
      </w:r>
      <w:r>
        <w:rPr>
          <w:szCs w:val="28"/>
          <w:lang w:val="en-GB"/>
        </w:rPr>
        <w:t xml:space="preserve"> do</w:t>
      </w:r>
      <w:r w:rsidR="00CA7DDD">
        <w:rPr>
          <w:szCs w:val="28"/>
          <w:lang w:val="en-GB"/>
        </w:rPr>
        <w:t>ing</w:t>
      </w:r>
      <w:r>
        <w:rPr>
          <w:szCs w:val="28"/>
          <w:lang w:val="en-GB"/>
        </w:rPr>
        <w:t xml:space="preserve"> </w:t>
      </w:r>
      <w:r w:rsidR="00CA7DDD">
        <w:rPr>
          <w:szCs w:val="28"/>
          <w:lang w:val="en-GB"/>
        </w:rPr>
        <w:t>well</w:t>
      </w:r>
      <w:r>
        <w:rPr>
          <w:szCs w:val="28"/>
          <w:lang w:val="en-GB"/>
        </w:rPr>
        <w:t xml:space="preserve"> by all of them, </w:t>
      </w:r>
      <w:r w:rsidR="00CA7DDD">
        <w:rPr>
          <w:szCs w:val="28"/>
          <w:lang w:val="en-GB"/>
        </w:rPr>
        <w:t xml:space="preserve">Deepanker had to consider </w:t>
      </w:r>
      <w:r>
        <w:rPr>
          <w:szCs w:val="28"/>
          <w:lang w:val="en-GB"/>
        </w:rPr>
        <w:t xml:space="preserve">some serious questions: Would it </w:t>
      </w:r>
      <w:r w:rsidRPr="00A00EAA">
        <w:rPr>
          <w:szCs w:val="28"/>
          <w:lang w:val="en-GB"/>
        </w:rPr>
        <w:t>be wiser to accept the order on SF’s terms</w:t>
      </w:r>
      <w:r w:rsidR="00CA7DDD">
        <w:rPr>
          <w:szCs w:val="28"/>
          <w:lang w:val="en-GB"/>
        </w:rPr>
        <w:t>,</w:t>
      </w:r>
      <w:r w:rsidRPr="00A00EAA">
        <w:rPr>
          <w:szCs w:val="28"/>
          <w:lang w:val="en-GB"/>
        </w:rPr>
        <w:t xml:space="preserve"> or renegotiate the price, payment date</w:t>
      </w:r>
      <w:r w:rsidR="00CA7DDD">
        <w:rPr>
          <w:szCs w:val="28"/>
          <w:lang w:val="en-GB"/>
        </w:rPr>
        <w:t>,</w:t>
      </w:r>
      <w:r w:rsidRPr="00A00EAA">
        <w:rPr>
          <w:szCs w:val="28"/>
          <w:lang w:val="en-GB"/>
        </w:rPr>
        <w:t xml:space="preserve"> and delivery schedule to favour Ajanta? What processes could Ajanta adopt to prevent such </w:t>
      </w:r>
      <w:r w:rsidR="00CA7DDD">
        <w:rPr>
          <w:szCs w:val="28"/>
          <w:lang w:val="en-GB"/>
        </w:rPr>
        <w:t xml:space="preserve">a </w:t>
      </w:r>
      <w:r w:rsidRPr="00A00EAA">
        <w:rPr>
          <w:szCs w:val="28"/>
          <w:lang w:val="en-GB"/>
        </w:rPr>
        <w:t>situation in future?</w:t>
      </w:r>
    </w:p>
    <w:p w14:paraId="2116186A" w14:textId="77777777" w:rsidR="00C176CC" w:rsidRPr="00A00EAA" w:rsidRDefault="00C176CC" w:rsidP="00C176CC">
      <w:pPr>
        <w:pStyle w:val="Casehead1"/>
      </w:pPr>
      <w:r w:rsidRPr="00A00EAA">
        <w:lastRenderedPageBreak/>
        <w:t>COMPANY BACKGROUND</w:t>
      </w:r>
    </w:p>
    <w:p w14:paraId="67B361B0" w14:textId="77777777" w:rsidR="00C176CC" w:rsidRPr="00C176CC" w:rsidRDefault="00C176CC" w:rsidP="00C176CC">
      <w:pPr>
        <w:pStyle w:val="BodyTextMain"/>
        <w:rPr>
          <w:sz w:val="20"/>
        </w:rPr>
      </w:pPr>
    </w:p>
    <w:p w14:paraId="67B78C34" w14:textId="1DFD626D" w:rsidR="00C176CC" w:rsidRPr="00A00EAA" w:rsidRDefault="00C176CC" w:rsidP="00C176CC">
      <w:pPr>
        <w:pStyle w:val="BodyTextMain"/>
      </w:pPr>
      <w:r w:rsidRPr="00A00EAA">
        <w:t>Deepanker joined Ajanta in 2005 after completing his MBA as a gold medalist from</w:t>
      </w:r>
      <w:r w:rsidR="007D6C70">
        <w:t xml:space="preserve"> the</w:t>
      </w:r>
      <w:r w:rsidRPr="00A00EAA">
        <w:t xml:space="preserve"> I</w:t>
      </w:r>
      <w:r w:rsidR="00C03E4F">
        <w:t xml:space="preserve">nstitute of </w:t>
      </w:r>
      <w:r w:rsidRPr="00A00EAA">
        <w:t>M</w:t>
      </w:r>
      <w:r w:rsidR="00C03E4F">
        <w:t xml:space="preserve">anagement </w:t>
      </w:r>
      <w:r w:rsidRPr="00A00EAA">
        <w:t>T</w:t>
      </w:r>
      <w:r w:rsidR="00C03E4F">
        <w:t>echnology,</w:t>
      </w:r>
      <w:r w:rsidRPr="00A00EAA">
        <w:t xml:space="preserve"> Ghaziabad. He wanted to lead the change in the three-decade-old company set up by his father. Ajanta, which began with an initial investment of $500 and only three employees in 1981, had over 100 employees </w:t>
      </w:r>
      <w:r w:rsidR="007D6C70">
        <w:t xml:space="preserve">and </w:t>
      </w:r>
      <w:r w:rsidRPr="00A00EAA">
        <w:t>a net revenue of $302 million in 2016 (see Exhibit 1)</w:t>
      </w:r>
      <w:r w:rsidR="00C03E4F">
        <w:t>,</w:t>
      </w:r>
      <w:r w:rsidRPr="00A00EAA">
        <w:t xml:space="preserve"> and was among the top glass</w:t>
      </w:r>
      <w:r w:rsidR="00EF63F5">
        <w:t xml:space="preserve"> </w:t>
      </w:r>
      <w:r w:rsidRPr="00A00EAA">
        <w:t xml:space="preserve">bottle suppliers in India. </w:t>
      </w:r>
    </w:p>
    <w:p w14:paraId="078A9CFB" w14:textId="77777777" w:rsidR="00C176CC" w:rsidRPr="00C176CC" w:rsidRDefault="00C176CC" w:rsidP="00C176CC">
      <w:pPr>
        <w:pStyle w:val="BodyTextMain"/>
        <w:rPr>
          <w:sz w:val="20"/>
        </w:rPr>
      </w:pPr>
    </w:p>
    <w:p w14:paraId="6BB506D9" w14:textId="0AD4B632" w:rsidR="00C176CC" w:rsidRPr="00A00EAA" w:rsidRDefault="00C176CC" w:rsidP="00C176CC">
      <w:pPr>
        <w:pStyle w:val="BodyTextMain"/>
      </w:pPr>
      <w:r w:rsidRPr="00A00EAA">
        <w:t>The company beg</w:t>
      </w:r>
      <w:r w:rsidR="00290E45">
        <w:t>a</w:t>
      </w:r>
      <w:r w:rsidRPr="00A00EAA">
        <w:t>n by supplying bottles, vials</w:t>
      </w:r>
      <w:r w:rsidR="007D6C70">
        <w:t>,</w:t>
      </w:r>
      <w:r w:rsidRPr="00A00EAA">
        <w:t xml:space="preserve"> and jars to pharmaceutical </w:t>
      </w:r>
      <w:r w:rsidR="007D6C70">
        <w:t>companies and manufacturers of</w:t>
      </w:r>
      <w:r w:rsidRPr="00A00EAA">
        <w:t xml:space="preserve"> fast-moving consumer goods, and glass bottles to large liquor and wine companies</w:t>
      </w:r>
      <w:r w:rsidR="007D6C70">
        <w:t>.</w:t>
      </w:r>
      <w:r w:rsidRPr="00A00EAA">
        <w:t xml:space="preserve"> </w:t>
      </w:r>
      <w:r w:rsidR="007D6C70">
        <w:t xml:space="preserve">Over time, </w:t>
      </w:r>
      <w:r w:rsidRPr="00A00EAA">
        <w:t>it</w:t>
      </w:r>
      <w:r w:rsidR="00290E45">
        <w:t xml:space="preserve"> </w:t>
      </w:r>
      <w:r w:rsidRPr="00A00EAA">
        <w:t>diversified and changed with the times. Soon after Deepanker joined</w:t>
      </w:r>
      <w:r w:rsidR="007D6C70">
        <w:t xml:space="preserve"> the company</w:t>
      </w:r>
      <w:r w:rsidRPr="00A00EAA">
        <w:t>, he effected some rapid changes in the business model to attract new customers. An authori</w:t>
      </w:r>
      <w:r w:rsidR="007D6C70">
        <w:t>zed</w:t>
      </w:r>
      <w:r w:rsidRPr="00A00EAA">
        <w:t xml:space="preserve"> stockist and distributor for Hindusthan National Glass &amp; Industries Ltd., Ajanta became the first company in the Indian bottle-trade industry to become fully </w:t>
      </w:r>
      <w:r w:rsidRPr="00EF5BBC">
        <w:t>computeri</w:t>
      </w:r>
      <w:r w:rsidR="007D6C70" w:rsidRPr="00EF5BBC">
        <w:t>zed</w:t>
      </w:r>
      <w:r w:rsidRPr="00EF5BBC">
        <w:t>.</w:t>
      </w:r>
      <w:r w:rsidR="00F05032" w:rsidRPr="00EF5BBC">
        <w:t xml:space="preserve"> </w:t>
      </w:r>
      <w:r w:rsidRPr="00EF5BBC">
        <w:t xml:space="preserve">Although </w:t>
      </w:r>
      <w:r w:rsidRPr="00A00EAA">
        <w:rPr>
          <w:rFonts w:eastAsia="Calibri"/>
        </w:rPr>
        <w:t xml:space="preserve">Ajanta’s customers still preferred glass bottles and </w:t>
      </w:r>
      <w:r w:rsidRPr="00A00EAA">
        <w:rPr>
          <w:bCs/>
        </w:rPr>
        <w:t xml:space="preserve">90 per cent of its business came from glass bottles, the company began offering </w:t>
      </w:r>
      <w:r w:rsidR="00B0726E" w:rsidRPr="00A00EAA">
        <w:rPr>
          <w:rFonts w:eastAsia="Calibri"/>
        </w:rPr>
        <w:t xml:space="preserve">polyethylene terephthalate </w:t>
      </w:r>
      <w:r w:rsidR="00B0726E">
        <w:rPr>
          <w:rFonts w:eastAsia="Calibri"/>
        </w:rPr>
        <w:t>(</w:t>
      </w:r>
      <w:r w:rsidRPr="00A00EAA">
        <w:t>PET</w:t>
      </w:r>
      <w:r w:rsidR="00B0726E">
        <w:t>)</w:t>
      </w:r>
      <w:r w:rsidRPr="00A00EAA">
        <w:t xml:space="preserve"> bottles, crown caps, </w:t>
      </w:r>
      <w:r w:rsidR="004F446A">
        <w:t xml:space="preserve">and </w:t>
      </w:r>
      <w:r w:rsidR="00EF5BBC">
        <w:t xml:space="preserve">glass </w:t>
      </w:r>
      <w:r w:rsidRPr="00A00EAA">
        <w:t>bottle printing services</w:t>
      </w:r>
      <w:r w:rsidR="00FA4E10">
        <w:t>.</w:t>
      </w:r>
    </w:p>
    <w:p w14:paraId="1AD49F7B" w14:textId="77777777" w:rsidR="00C176CC" w:rsidRPr="00C176CC" w:rsidRDefault="00C176CC" w:rsidP="00C176CC">
      <w:pPr>
        <w:pStyle w:val="BodyTextMain"/>
        <w:rPr>
          <w:sz w:val="20"/>
        </w:rPr>
      </w:pPr>
    </w:p>
    <w:p w14:paraId="69F6F3D8" w14:textId="1B413E16" w:rsidR="00C176CC" w:rsidRPr="00A00EAA" w:rsidRDefault="00C176CC" w:rsidP="00C176CC">
      <w:pPr>
        <w:pStyle w:val="BodyTextMain"/>
      </w:pPr>
      <w:r w:rsidRPr="00A00EAA">
        <w:t xml:space="preserve">Ajanta’s </w:t>
      </w:r>
      <w:r w:rsidR="00E609C7">
        <w:t>success</w:t>
      </w:r>
      <w:r w:rsidRPr="00A00EAA">
        <w:t xml:space="preserve"> </w:t>
      </w:r>
      <w:r w:rsidR="00E609C7">
        <w:t>was</w:t>
      </w:r>
      <w:r w:rsidRPr="00A00EAA">
        <w:t xml:space="preserve"> driven by sourcing service contracts with various global manufacturing companies. The idea was to put in place strong procurement and supply-chain systems and a diverse supplier base to eliminate operational risks. </w:t>
      </w:r>
      <w:r w:rsidR="00E609C7">
        <w:t>Having</w:t>
      </w:r>
      <w:r w:rsidRPr="00A00EAA">
        <w:t xml:space="preserve"> warehouses in multiple locations gave </w:t>
      </w:r>
      <w:r w:rsidR="00E609C7">
        <w:t>Ajanta</w:t>
      </w:r>
      <w:r w:rsidRPr="00A00EAA">
        <w:t xml:space="preserve"> a strategic advantage over competitors in that it was able to </w:t>
      </w:r>
      <w:r w:rsidR="00E609C7">
        <w:t>offer</w:t>
      </w:r>
      <w:r w:rsidRPr="00A00EAA">
        <w:t xml:space="preserve"> its customers lower freight costs</w:t>
      </w:r>
      <w:r w:rsidR="00E609C7">
        <w:t>,</w:t>
      </w:r>
      <w:r w:rsidRPr="00A00EAA">
        <w:t xml:space="preserve"> </w:t>
      </w:r>
      <w:r w:rsidR="00E609C7">
        <w:t>resulting</w:t>
      </w:r>
      <w:r w:rsidRPr="00A00EAA">
        <w:t xml:space="preserve"> in high</w:t>
      </w:r>
      <w:r w:rsidR="00012D62">
        <w:t>er</w:t>
      </w:r>
      <w:r w:rsidRPr="00A00EAA">
        <w:t xml:space="preserve"> sales </w:t>
      </w:r>
      <w:r w:rsidR="00E609C7">
        <w:t>for the company</w:t>
      </w:r>
      <w:r w:rsidRPr="00A00EAA">
        <w:t>. Ajanta could also capitali</w:t>
      </w:r>
      <w:r w:rsidR="00E609C7">
        <w:t>ze</w:t>
      </w:r>
      <w:r w:rsidRPr="00A00EAA">
        <w:t xml:space="preserve"> on the location advantage it gained from its four marketing offices across northern India by offering flexible</w:t>
      </w:r>
      <w:r w:rsidR="00E609C7">
        <w:t>,</w:t>
      </w:r>
      <w:r w:rsidRPr="00A00EAA">
        <w:t xml:space="preserve"> just-in-time </w:t>
      </w:r>
      <w:r w:rsidR="00B45014">
        <w:t>service</w:t>
      </w:r>
      <w:r w:rsidRPr="00A00EAA">
        <w:t xml:space="preserve"> to its customers because of lower lead times. </w:t>
      </w:r>
    </w:p>
    <w:p w14:paraId="41F58E38" w14:textId="77777777" w:rsidR="00C176CC" w:rsidRPr="00C176CC" w:rsidRDefault="00C176CC" w:rsidP="00C176CC">
      <w:pPr>
        <w:pStyle w:val="BodyTextMain"/>
        <w:rPr>
          <w:sz w:val="20"/>
        </w:rPr>
      </w:pPr>
    </w:p>
    <w:p w14:paraId="045DD1A4" w14:textId="04D3B24B" w:rsidR="00C176CC" w:rsidRPr="00497B73" w:rsidRDefault="00C176CC" w:rsidP="00C176CC">
      <w:pPr>
        <w:pStyle w:val="BodyTextMain"/>
        <w:rPr>
          <w:spacing w:val="-2"/>
        </w:rPr>
      </w:pPr>
      <w:r w:rsidRPr="00497B73">
        <w:rPr>
          <w:spacing w:val="-2"/>
        </w:rPr>
        <w:t xml:space="preserve">By October 2017, Ajanta </w:t>
      </w:r>
      <w:r w:rsidR="00290E45">
        <w:rPr>
          <w:spacing w:val="-2"/>
        </w:rPr>
        <w:t xml:space="preserve">was </w:t>
      </w:r>
      <w:r w:rsidRPr="00497B73">
        <w:rPr>
          <w:spacing w:val="-2"/>
        </w:rPr>
        <w:t>a niche supplier of glass bottles in India and had 1</w:t>
      </w:r>
      <w:r w:rsidR="00D25149" w:rsidRPr="00497B73">
        <w:rPr>
          <w:spacing w:val="-2"/>
        </w:rPr>
        <w:t>,</w:t>
      </w:r>
      <w:r w:rsidRPr="00497B73">
        <w:rPr>
          <w:spacing w:val="-2"/>
        </w:rPr>
        <w:t xml:space="preserve">700 customers. </w:t>
      </w:r>
      <w:r w:rsidR="00205C9B" w:rsidRPr="00497B73">
        <w:rPr>
          <w:spacing w:val="-2"/>
        </w:rPr>
        <w:t>N</w:t>
      </w:r>
      <w:r w:rsidRPr="00497B73">
        <w:rPr>
          <w:spacing w:val="-2"/>
        </w:rPr>
        <w:t xml:space="preserve">ot only </w:t>
      </w:r>
      <w:r w:rsidR="00205C9B" w:rsidRPr="00497B73">
        <w:rPr>
          <w:spacing w:val="-2"/>
        </w:rPr>
        <w:t xml:space="preserve">was it </w:t>
      </w:r>
      <w:r w:rsidRPr="00497B73">
        <w:rPr>
          <w:spacing w:val="-2"/>
        </w:rPr>
        <w:t xml:space="preserve">a quality-focused and cost-effective company, </w:t>
      </w:r>
      <w:r w:rsidR="00205C9B" w:rsidRPr="00497B73">
        <w:rPr>
          <w:spacing w:val="-2"/>
        </w:rPr>
        <w:t xml:space="preserve">but </w:t>
      </w:r>
      <w:r w:rsidR="00C94A47">
        <w:rPr>
          <w:spacing w:val="-2"/>
        </w:rPr>
        <w:t>it</w:t>
      </w:r>
      <w:r w:rsidR="00205C9B" w:rsidRPr="00497B73">
        <w:rPr>
          <w:spacing w:val="-2"/>
        </w:rPr>
        <w:t xml:space="preserve"> </w:t>
      </w:r>
      <w:r w:rsidRPr="00497B73">
        <w:rPr>
          <w:spacing w:val="-2"/>
        </w:rPr>
        <w:t>also offered its customers prompt and customi</w:t>
      </w:r>
      <w:r w:rsidR="00D25149" w:rsidRPr="00497B73">
        <w:rPr>
          <w:spacing w:val="-2"/>
        </w:rPr>
        <w:t>zed</w:t>
      </w:r>
      <w:r w:rsidRPr="00497B73">
        <w:rPr>
          <w:spacing w:val="-2"/>
        </w:rPr>
        <w:t xml:space="preserve"> glass-packaging solutions. Wide-ranging quality products and professional expertise gave Ajanta muscle power to negotiate with its suppliers and customers</w:t>
      </w:r>
      <w:r w:rsidR="00D25149" w:rsidRPr="00497B73">
        <w:rPr>
          <w:spacing w:val="-2"/>
        </w:rPr>
        <w:t>,</w:t>
      </w:r>
      <w:r w:rsidRPr="00497B73">
        <w:rPr>
          <w:spacing w:val="-2"/>
        </w:rPr>
        <w:t xml:space="preserve"> and forge successful and profitable collaborations. </w:t>
      </w:r>
    </w:p>
    <w:p w14:paraId="1E402525" w14:textId="77777777" w:rsidR="00C176CC" w:rsidRPr="00C176CC" w:rsidRDefault="00C176CC" w:rsidP="00C176CC">
      <w:pPr>
        <w:pStyle w:val="BodyTextMain"/>
        <w:rPr>
          <w:sz w:val="20"/>
        </w:rPr>
      </w:pPr>
    </w:p>
    <w:p w14:paraId="1DDDC87F" w14:textId="4548ACD8" w:rsidR="00C176CC" w:rsidRPr="00A00EAA" w:rsidRDefault="00C176CC" w:rsidP="00C176CC">
      <w:pPr>
        <w:pStyle w:val="BodyTextMain"/>
      </w:pPr>
      <w:r w:rsidRPr="00A00EAA">
        <w:t xml:space="preserve">Deepanker was a stickler for commitment and quality of service. Because more than 80 per cent of Ajanta’s revenues came from repeat customers, Deepanker knew that his business triumphs depended on customer loyalty. </w:t>
      </w:r>
      <w:r w:rsidR="00CD2E99">
        <w:t>Thus,</w:t>
      </w:r>
      <w:r w:rsidRPr="00A00EAA">
        <w:t xml:space="preserve"> he worked to enhance Ajanta’s customer-relationship</w:t>
      </w:r>
      <w:r w:rsidR="00CD2E99">
        <w:t xml:space="preserve"> </w:t>
      </w:r>
      <w:r w:rsidRPr="00A00EAA">
        <w:t>management practices</w:t>
      </w:r>
      <w:r w:rsidR="00CD2E99">
        <w:t>,</w:t>
      </w:r>
      <w:r w:rsidRPr="00A00EAA">
        <w:t xml:space="preserve"> </w:t>
      </w:r>
      <w:r w:rsidR="00CD2E99">
        <w:t>as</w:t>
      </w:r>
      <w:r w:rsidRPr="00A00EAA">
        <w:t xml:space="preserve"> this augmented the company’s use of resources when providing customi</w:t>
      </w:r>
      <w:r w:rsidR="00CD2E99">
        <w:t>zed</w:t>
      </w:r>
      <w:r w:rsidRPr="00A00EAA">
        <w:t xml:space="preserve"> services. </w:t>
      </w:r>
    </w:p>
    <w:p w14:paraId="6061719F" w14:textId="77777777" w:rsidR="00C176CC" w:rsidRPr="00C176CC" w:rsidRDefault="00C176CC" w:rsidP="00C176CC">
      <w:pPr>
        <w:pStyle w:val="BodyTextMain"/>
        <w:rPr>
          <w:sz w:val="20"/>
        </w:rPr>
      </w:pPr>
    </w:p>
    <w:p w14:paraId="1550D787" w14:textId="233CDAFF" w:rsidR="00C176CC" w:rsidRDefault="00C176CC" w:rsidP="00C176CC">
      <w:pPr>
        <w:pStyle w:val="BodyTextMain"/>
        <w:rPr>
          <w:rFonts w:ascii="Arial" w:hAnsi="Arial" w:cs="Arial"/>
          <w:b/>
          <w:sz w:val="20"/>
          <w:szCs w:val="20"/>
        </w:rPr>
      </w:pPr>
      <w:r w:rsidRPr="00A00EAA">
        <w:t xml:space="preserve">Deepanker also introduced many innovative packaging materials to </w:t>
      </w:r>
      <w:r w:rsidR="00F26CBE">
        <w:t>serve</w:t>
      </w:r>
      <w:r w:rsidRPr="00A00EAA">
        <w:t xml:space="preserve"> the growing hotel, restaurant</w:t>
      </w:r>
      <w:r w:rsidR="00CD2E99">
        <w:t>,</w:t>
      </w:r>
      <w:r w:rsidRPr="00A00EAA">
        <w:t xml:space="preserve"> and catering segment. </w:t>
      </w:r>
      <w:r w:rsidR="00F26CBE">
        <w:t>Although t</w:t>
      </w:r>
      <w:r w:rsidRPr="00A00EAA">
        <w:t xml:space="preserve">he company had no presence in the food segment </w:t>
      </w:r>
      <w:r w:rsidR="00CD2E99">
        <w:t>until</w:t>
      </w:r>
      <w:r w:rsidRPr="00A00EAA">
        <w:t xml:space="preserve"> 2015, </w:t>
      </w:r>
      <w:r w:rsidR="00F26CBE">
        <w:t>by</w:t>
      </w:r>
      <w:r w:rsidRPr="00A00EAA">
        <w:t xml:space="preserve"> October 2017, 40 per cent of its business came from </w:t>
      </w:r>
      <w:r w:rsidR="00F26CBE">
        <w:t>that</w:t>
      </w:r>
      <w:r w:rsidRPr="00A00EAA">
        <w:t xml:space="preserve"> segment (</w:t>
      </w:r>
      <w:r w:rsidR="00F26CBE">
        <w:t>see</w:t>
      </w:r>
      <w:r w:rsidRPr="00A00EAA">
        <w:t xml:space="preserve"> Exhibit </w:t>
      </w:r>
      <w:r w:rsidR="00FA4E10">
        <w:t>2</w:t>
      </w:r>
      <w:r w:rsidRPr="00A00EAA">
        <w:t>).</w:t>
      </w:r>
    </w:p>
    <w:p w14:paraId="596905B2" w14:textId="77777777" w:rsidR="00C176CC" w:rsidRPr="00C176CC" w:rsidRDefault="00C176CC" w:rsidP="00C176CC">
      <w:pPr>
        <w:pStyle w:val="BodyTextMain"/>
        <w:rPr>
          <w:sz w:val="20"/>
        </w:rPr>
      </w:pPr>
    </w:p>
    <w:p w14:paraId="2D0C6B96" w14:textId="77777777" w:rsidR="00C176CC" w:rsidRPr="00C176CC" w:rsidRDefault="00C176CC" w:rsidP="00C176CC">
      <w:pPr>
        <w:pStyle w:val="BodyTextMain"/>
        <w:rPr>
          <w:sz w:val="20"/>
        </w:rPr>
      </w:pPr>
    </w:p>
    <w:p w14:paraId="50881EE0" w14:textId="77777777" w:rsidR="00C176CC" w:rsidRPr="00FF0139" w:rsidRDefault="00C176CC" w:rsidP="00B0713C">
      <w:pPr>
        <w:pStyle w:val="BodyTextMain"/>
        <w:keepNext/>
        <w:rPr>
          <w:rFonts w:ascii="Arial" w:hAnsi="Arial" w:cs="Arial"/>
          <w:b/>
          <w:sz w:val="20"/>
          <w:szCs w:val="20"/>
        </w:rPr>
      </w:pPr>
      <w:r w:rsidRPr="00FF0139">
        <w:rPr>
          <w:rFonts w:ascii="Arial" w:hAnsi="Arial" w:cs="Arial"/>
          <w:b/>
          <w:sz w:val="20"/>
          <w:szCs w:val="20"/>
        </w:rPr>
        <w:t>INDIAN PACKAGING INDUSTRY</w:t>
      </w:r>
    </w:p>
    <w:p w14:paraId="111558DC" w14:textId="77777777" w:rsidR="00C176CC" w:rsidRPr="00C176CC" w:rsidRDefault="00C176CC" w:rsidP="00B0713C">
      <w:pPr>
        <w:pStyle w:val="BodyTextMain"/>
        <w:keepNext/>
        <w:rPr>
          <w:sz w:val="20"/>
        </w:rPr>
      </w:pPr>
    </w:p>
    <w:p w14:paraId="7AFEAF75" w14:textId="502AF299" w:rsidR="00C176CC" w:rsidRPr="00A00EAA" w:rsidRDefault="00C176CC" w:rsidP="00B0713C">
      <w:pPr>
        <w:pStyle w:val="BodyTextMain"/>
        <w:keepNext/>
      </w:pPr>
      <w:r w:rsidRPr="00A00EAA">
        <w:t xml:space="preserve">The global packaging industry saw an annual global turnover of around $550 billion in 2015, </w:t>
      </w:r>
      <w:r w:rsidR="00F26CBE">
        <w:t>of which</w:t>
      </w:r>
      <w:r w:rsidRPr="00A00EAA">
        <w:t xml:space="preserve"> India’s share was around $16.5 billion. The Indian packaging industry was ranked 11th in the world, and it</w:t>
      </w:r>
      <w:r w:rsidR="006133B4">
        <w:t>s turnover</w:t>
      </w:r>
      <w:r w:rsidRPr="00A00EAA">
        <w:t xml:space="preserve"> was projected to reach $32 billion by 2020.</w:t>
      </w:r>
      <w:r w:rsidRPr="00A00EAA">
        <w:rPr>
          <w:rStyle w:val="FootnoteReference"/>
        </w:rPr>
        <w:footnoteReference w:id="2"/>
      </w:r>
      <w:r w:rsidRPr="00A00EAA">
        <w:t xml:space="preserve"> </w:t>
      </w:r>
    </w:p>
    <w:p w14:paraId="756DE9C1" w14:textId="77777777" w:rsidR="00DA33A8" w:rsidRDefault="00DA33A8" w:rsidP="00C176CC">
      <w:pPr>
        <w:pStyle w:val="BodyTextMain"/>
      </w:pPr>
    </w:p>
    <w:p w14:paraId="179E1CE8" w14:textId="486B9567" w:rsidR="00C176CC" w:rsidRPr="00A00EAA" w:rsidRDefault="00C176CC" w:rsidP="00C176CC">
      <w:pPr>
        <w:pStyle w:val="BodyTextMain"/>
      </w:pPr>
      <w:r w:rsidRPr="00A00EAA">
        <w:t xml:space="preserve">In the </w:t>
      </w:r>
      <w:r w:rsidR="006133B4">
        <w:t>five</w:t>
      </w:r>
      <w:r w:rsidRPr="00A00EAA">
        <w:t xml:space="preserve">-year period between 2016 and 2021, the Indian packaging industry was expected to grow at a compound annual growth rate of 9.2 per cent as opposed to the 6.2 per cent growth registered between 2011 </w:t>
      </w:r>
      <w:r w:rsidRPr="00A00EAA">
        <w:lastRenderedPageBreak/>
        <w:t xml:space="preserve">and 2016. Factors such as rapid urbanization, </w:t>
      </w:r>
      <w:r w:rsidR="00EF63F5">
        <w:t>a surge in</w:t>
      </w:r>
      <w:r w:rsidRPr="00A00EAA">
        <w:t xml:space="preserve"> middle</w:t>
      </w:r>
      <w:r w:rsidR="00EF63F5">
        <w:t>-</w:t>
      </w:r>
      <w:r w:rsidRPr="00A00EAA">
        <w:t>class</w:t>
      </w:r>
      <w:r w:rsidR="00EF63F5">
        <w:t xml:space="preserve"> </w:t>
      </w:r>
      <w:r w:rsidRPr="00A00EAA">
        <w:t>consumer</w:t>
      </w:r>
      <w:r w:rsidR="00EF63F5">
        <w:t>s</w:t>
      </w:r>
      <w:r w:rsidRPr="00A00EAA">
        <w:t>, an organi</w:t>
      </w:r>
      <w:r w:rsidR="00EF63F5">
        <w:t>zed</w:t>
      </w:r>
      <w:r w:rsidRPr="00A00EAA">
        <w:t xml:space="preserve"> retail sector</w:t>
      </w:r>
      <w:r w:rsidR="00EF63F5">
        <w:t>,</w:t>
      </w:r>
      <w:r w:rsidRPr="00A00EAA">
        <w:t xml:space="preserve"> and the e-commerce boom were all key drivers of growth in the Indian packaging industry. </w:t>
      </w:r>
      <w:r w:rsidR="00EF63F5">
        <w:t>Growth was also fuelled by</w:t>
      </w:r>
      <w:r w:rsidRPr="00A00EAA">
        <w:t xml:space="preserve"> innovations such as the development of lighter packaging with better barrier properties. These changes increased the demand for new packaging formats, such as different sizes, materials</w:t>
      </w:r>
      <w:r w:rsidR="00EF63F5">
        <w:t>,</w:t>
      </w:r>
      <w:r w:rsidRPr="00A00EAA">
        <w:t xml:space="preserve"> and strength</w:t>
      </w:r>
      <w:r w:rsidR="00EF63F5">
        <w:t>s</w:t>
      </w:r>
      <w:r w:rsidRPr="00A00EAA">
        <w:t>. The projections for 2016–2021 expected the soft drink and food industries to capture the highest packaging market share by units</w:t>
      </w:r>
      <w:r w:rsidR="00EF63F5">
        <w:t>,</w:t>
      </w:r>
      <w:r w:rsidRPr="00A00EAA">
        <w:t xml:space="preserve"> with a share growth of 3.4 per cent and 1.3 per cent, respectively. Glass and rigid plastic packaging material were expected to be the major share gainers, with market share growth of 0.7 per cent and 0.6 per cent, respectively</w:t>
      </w:r>
      <w:r w:rsidR="00EF63F5">
        <w:t>,</w:t>
      </w:r>
      <w:r w:rsidRPr="00A00EAA">
        <w:t xml:space="preserve"> during the same period.</w:t>
      </w:r>
      <w:r w:rsidRPr="00A00EAA">
        <w:rPr>
          <w:rStyle w:val="FootnoteReference"/>
        </w:rPr>
        <w:footnoteReference w:id="3"/>
      </w:r>
      <w:r w:rsidRPr="00A00EAA">
        <w:t xml:space="preserve"> </w:t>
      </w:r>
    </w:p>
    <w:p w14:paraId="27C7BE6F" w14:textId="77777777" w:rsidR="00C176CC" w:rsidRPr="00C176CC" w:rsidRDefault="00C176CC" w:rsidP="00C176CC">
      <w:pPr>
        <w:pStyle w:val="BodyTextMain"/>
      </w:pPr>
    </w:p>
    <w:p w14:paraId="34E16D1C" w14:textId="77777777" w:rsidR="00C176CC" w:rsidRPr="00C176CC" w:rsidRDefault="00C176CC" w:rsidP="00C176CC">
      <w:pPr>
        <w:pStyle w:val="BodyTextMain"/>
      </w:pPr>
    </w:p>
    <w:p w14:paraId="47239B45" w14:textId="624F660F" w:rsidR="00C176CC" w:rsidRPr="00A00EAA" w:rsidRDefault="00C176CC" w:rsidP="00C176CC">
      <w:pPr>
        <w:pStyle w:val="Casehead1"/>
      </w:pPr>
      <w:r w:rsidRPr="00A00EAA">
        <w:t>GLASS</w:t>
      </w:r>
      <w:r w:rsidR="00EF63F5">
        <w:t xml:space="preserve"> </w:t>
      </w:r>
      <w:r w:rsidRPr="00A00EAA">
        <w:t>BOTTLE INDUSTRY</w:t>
      </w:r>
    </w:p>
    <w:p w14:paraId="3C088693" w14:textId="77777777" w:rsidR="00C176CC" w:rsidRDefault="00C176CC" w:rsidP="00C176CC">
      <w:pPr>
        <w:pStyle w:val="BodyTextMain"/>
      </w:pPr>
    </w:p>
    <w:p w14:paraId="2E1F8D72" w14:textId="4963B2BF" w:rsidR="00C176CC" w:rsidRPr="00A00EAA" w:rsidRDefault="00C176CC" w:rsidP="00C176CC">
      <w:pPr>
        <w:pStyle w:val="BodyTextMain"/>
      </w:pPr>
      <w:r w:rsidRPr="00A00EAA">
        <w:t>The global glass</w:t>
      </w:r>
      <w:r w:rsidR="00E344DF">
        <w:t xml:space="preserve"> </w:t>
      </w:r>
      <w:r w:rsidRPr="00A00EAA">
        <w:t xml:space="preserve">packaging market, which was worth $57.22 billion in 2017, was estimated to grow at a </w:t>
      </w:r>
      <w:r w:rsidR="006133B4">
        <w:t>compound annual growth rate</w:t>
      </w:r>
      <w:r w:rsidRPr="00A00EAA">
        <w:t xml:space="preserve"> of 4.5 per cent and reach $108.3</w:t>
      </w:r>
      <w:r w:rsidR="00EF5BBC">
        <w:t xml:space="preserve"> </w:t>
      </w:r>
      <w:r w:rsidRPr="00A00EAA">
        <w:t>billion in 2025.</w:t>
      </w:r>
      <w:r w:rsidRPr="00A00EAA">
        <w:rPr>
          <w:rStyle w:val="FootnoteReference"/>
        </w:rPr>
        <w:footnoteReference w:id="4"/>
      </w:r>
      <w:r w:rsidRPr="00A00EAA">
        <w:t xml:space="preserve"> In 2015, the Asia-Pacific (APAC) region led the market with a market share of 33.7 per</w:t>
      </w:r>
      <w:r w:rsidR="008D7CF5">
        <w:t xml:space="preserve"> </w:t>
      </w:r>
      <w:r w:rsidRPr="00A00EAA">
        <w:t>cent</w:t>
      </w:r>
      <w:r w:rsidR="008D7CF5">
        <w:t>,</w:t>
      </w:r>
      <w:r w:rsidRPr="00A00EAA">
        <w:t xml:space="preserve"> followed by Europe with a share of 28.5 per cent. Factors such as a rise in disposable income and </w:t>
      </w:r>
      <w:r w:rsidR="008D7CF5">
        <w:t>greater</w:t>
      </w:r>
      <w:r w:rsidRPr="00A00EAA">
        <w:t xml:space="preserve"> acceptability of alcohol consumption fue</w:t>
      </w:r>
      <w:r w:rsidR="008D7CF5">
        <w:t>l</w:t>
      </w:r>
      <w:r w:rsidRPr="00A00EAA">
        <w:t xml:space="preserve">led increased demand </w:t>
      </w:r>
      <w:r w:rsidR="009273ED">
        <w:t xml:space="preserve">for </w:t>
      </w:r>
      <w:r w:rsidRPr="00A00EAA">
        <w:t>glass</w:t>
      </w:r>
      <w:r w:rsidR="00EF63F5">
        <w:t xml:space="preserve"> </w:t>
      </w:r>
      <w:r w:rsidRPr="00A00EAA">
        <w:t>bottle</w:t>
      </w:r>
      <w:r w:rsidR="009273ED">
        <w:t>s</w:t>
      </w:r>
      <w:r w:rsidRPr="00A00EAA">
        <w:t xml:space="preserve"> in the APAC region. The growing beer industry in India was expected to increase sales and market share in the region. While the industry was losing its share in regions such as the United States and Western Europe, it was gaining share in India because of greater penetration</w:t>
      </w:r>
      <w:r w:rsidR="008D7CF5">
        <w:t xml:space="preserve"> </w:t>
      </w:r>
      <w:r w:rsidRPr="00A00EAA">
        <w:t>level availability. Cost advantage, lighter and thinner glass products</w:t>
      </w:r>
      <w:r w:rsidR="008D7CF5">
        <w:t>,</w:t>
      </w:r>
      <w:r w:rsidRPr="00A00EAA">
        <w:t xml:space="preserve"> and sustainability were important factors aiding industry growth</w:t>
      </w:r>
      <w:r w:rsidR="008D7CF5">
        <w:t>:</w:t>
      </w:r>
      <w:r w:rsidRPr="00A00EAA">
        <w:t xml:space="preserve"> glass bottles were </w:t>
      </w:r>
      <w:r w:rsidR="008D7CF5">
        <w:t>about</w:t>
      </w:r>
      <w:r w:rsidRPr="00A00EAA">
        <w:t xml:space="preserve"> 30 per cent </w:t>
      </w:r>
      <w:r w:rsidR="008D7CF5">
        <w:t xml:space="preserve">lighter </w:t>
      </w:r>
      <w:r w:rsidRPr="00A00EAA">
        <w:t xml:space="preserve">than </w:t>
      </w:r>
      <w:r w:rsidR="008D7CF5">
        <w:t xml:space="preserve">they had been </w:t>
      </w:r>
      <w:r w:rsidRPr="00A00EAA">
        <w:t>in the past decade, which resulted in better profits for manufacturers because of reduced raw material cost</w:t>
      </w:r>
      <w:r w:rsidR="00E344DF">
        <w:t>s</w:t>
      </w:r>
      <w:r w:rsidRPr="00A00EAA">
        <w:t>. Yet</w:t>
      </w:r>
      <w:r w:rsidR="00E344DF">
        <w:t>,</w:t>
      </w:r>
      <w:r w:rsidRPr="00A00EAA">
        <w:t xml:space="preserve"> glass packaging was facing rising competition from other </w:t>
      </w:r>
      <w:r w:rsidR="008D7CF5">
        <w:t xml:space="preserve">materials that were </w:t>
      </w:r>
      <w:r w:rsidRPr="00A00EAA">
        <w:t>stronger, lighter</w:t>
      </w:r>
      <w:r w:rsidR="008D7CF5">
        <w:t>,</w:t>
      </w:r>
      <w:r w:rsidRPr="00A00EAA">
        <w:t xml:space="preserve"> and cheaper</w:t>
      </w:r>
      <w:r w:rsidR="008D7CF5">
        <w:t xml:space="preserve"> </w:t>
      </w:r>
      <w:r w:rsidRPr="00A00EAA">
        <w:t>to</w:t>
      </w:r>
      <w:r w:rsidR="008D7CF5">
        <w:t xml:space="preserve"> </w:t>
      </w:r>
      <w:r w:rsidRPr="00A00EAA">
        <w:t>manufacture</w:t>
      </w:r>
      <w:r w:rsidR="008D7CF5">
        <w:t xml:space="preserve"> </w:t>
      </w:r>
      <w:r w:rsidRPr="00A00EAA">
        <w:t>and</w:t>
      </w:r>
      <w:r w:rsidR="008D7CF5">
        <w:t xml:space="preserve"> </w:t>
      </w:r>
      <w:r w:rsidRPr="00A00EAA">
        <w:t>transport.</w:t>
      </w:r>
      <w:r w:rsidRPr="00A00EAA">
        <w:rPr>
          <w:rStyle w:val="FootnoteReference"/>
        </w:rPr>
        <w:footnoteReference w:id="5"/>
      </w:r>
    </w:p>
    <w:p w14:paraId="0B82124D" w14:textId="77777777" w:rsidR="00C176CC" w:rsidRPr="00A00EAA" w:rsidRDefault="00C176CC" w:rsidP="00C176CC">
      <w:pPr>
        <w:pStyle w:val="BodyTextMain"/>
      </w:pPr>
    </w:p>
    <w:p w14:paraId="1804DD2E" w14:textId="27DBC49B" w:rsidR="00C176CC" w:rsidRDefault="002C30D4" w:rsidP="00C176CC">
      <w:pPr>
        <w:pStyle w:val="BodyTextMain"/>
      </w:pPr>
      <w:r>
        <w:t>Its r</w:t>
      </w:r>
      <w:r w:rsidR="00C176CC" w:rsidRPr="00A00EAA">
        <w:t>ecyclability, non</w:t>
      </w:r>
      <w:r>
        <w:t>-</w:t>
      </w:r>
      <w:r w:rsidR="00C176CC" w:rsidRPr="00A00EAA">
        <w:t>corrosive nature, non</w:t>
      </w:r>
      <w:r w:rsidR="008D7CF5">
        <w:t>-</w:t>
      </w:r>
      <w:r w:rsidR="00C176CC" w:rsidRPr="00A00EAA">
        <w:t>permeability</w:t>
      </w:r>
      <w:r>
        <w:t>,</w:t>
      </w:r>
      <w:r w:rsidR="00C176CC" w:rsidRPr="00A00EAA">
        <w:t xml:space="preserve"> and zero rate</w:t>
      </w:r>
      <w:r w:rsidR="00EF5BBC">
        <w:t xml:space="preserve"> </w:t>
      </w:r>
      <w:r w:rsidR="00C176CC" w:rsidRPr="00A00EAA">
        <w:t xml:space="preserve">of chemical interaction made </w:t>
      </w:r>
      <w:r>
        <w:t>glass a</w:t>
      </w:r>
      <w:r w:rsidR="00C176CC" w:rsidRPr="00A00EAA">
        <w:t xml:space="preserve"> suitable packaging material for beer, soft drinks, beverages, </w:t>
      </w:r>
      <w:r>
        <w:t xml:space="preserve">and </w:t>
      </w:r>
      <w:r w:rsidR="00C176CC" w:rsidRPr="00A00EAA">
        <w:t>pharmaceuticals.</w:t>
      </w:r>
      <w:r w:rsidR="00C176CC" w:rsidRPr="00A00EAA">
        <w:rPr>
          <w:rStyle w:val="FootnoteReference"/>
        </w:rPr>
        <w:footnoteReference w:id="6"/>
      </w:r>
      <w:r w:rsidR="00C176CC" w:rsidRPr="00A00EAA">
        <w:t xml:space="preserve"> </w:t>
      </w:r>
      <w:r w:rsidR="00E344DF">
        <w:t>Glass p</w:t>
      </w:r>
      <w:r w:rsidR="00C176CC" w:rsidRPr="00A00EAA">
        <w:t xml:space="preserve">ackaging ensured that the products inside the bottles retained </w:t>
      </w:r>
      <w:r w:rsidR="00FA59F5">
        <w:t xml:space="preserve">their </w:t>
      </w:r>
      <w:r w:rsidR="00C176CC" w:rsidRPr="00A00EAA">
        <w:t xml:space="preserve">strength </w:t>
      </w:r>
      <w:r w:rsidR="00FA59F5">
        <w:t xml:space="preserve">and/or </w:t>
      </w:r>
      <w:r w:rsidR="00C176CC" w:rsidRPr="00A00EAA">
        <w:t>aroma and flavour. It also helped preserve food and beverages for a longer t</w:t>
      </w:r>
      <w:r w:rsidR="00CC2C15">
        <w:t>ime</w:t>
      </w:r>
      <w:r w:rsidR="00FA59F5">
        <w:t>,</w:t>
      </w:r>
      <w:r w:rsidR="00C176CC" w:rsidRPr="00A00EAA">
        <w:t xml:space="preserve"> and prevented contamination. Packaged glass was trusted to safeguard </w:t>
      </w:r>
      <w:r w:rsidR="00CC2C15">
        <w:t xml:space="preserve">not only </w:t>
      </w:r>
      <w:r w:rsidR="00FA4E10">
        <w:t xml:space="preserve">people’s </w:t>
      </w:r>
      <w:r w:rsidR="00C176CC" w:rsidRPr="00A00EAA">
        <w:t>health</w:t>
      </w:r>
      <w:r w:rsidR="00CC2C15">
        <w:t xml:space="preserve"> and</w:t>
      </w:r>
      <w:r w:rsidR="00C176CC" w:rsidRPr="00A00EAA">
        <w:t xml:space="preserve"> taste</w:t>
      </w:r>
      <w:r w:rsidR="00CC2C15">
        <w:t>,</w:t>
      </w:r>
      <w:r w:rsidR="00C176CC" w:rsidRPr="00A00EAA">
        <w:t xml:space="preserve"> </w:t>
      </w:r>
      <w:r w:rsidR="00CC2C15">
        <w:t>but also</w:t>
      </w:r>
      <w:r w:rsidR="00C176CC" w:rsidRPr="00A00EAA">
        <w:t xml:space="preserve"> the environment because it was 100 per cent recyclable and </w:t>
      </w:r>
      <w:r w:rsidR="003D7119">
        <w:t xml:space="preserve">had </w:t>
      </w:r>
      <w:r w:rsidR="00C176CC" w:rsidRPr="00A00EAA">
        <w:t>neutral reaction.</w:t>
      </w:r>
      <w:r w:rsidR="00C176CC" w:rsidRPr="00A00EAA">
        <w:rPr>
          <w:rStyle w:val="FootnoteReference"/>
        </w:rPr>
        <w:footnoteReference w:id="7"/>
      </w:r>
    </w:p>
    <w:p w14:paraId="0DA5F2F3" w14:textId="77777777" w:rsidR="00C176CC" w:rsidRPr="00A00EAA" w:rsidRDefault="00C176CC" w:rsidP="00C176CC">
      <w:pPr>
        <w:pStyle w:val="BodyTextMain"/>
      </w:pPr>
    </w:p>
    <w:p w14:paraId="32660176" w14:textId="19788AD2" w:rsidR="00C176CC" w:rsidRPr="00A00EAA" w:rsidRDefault="00C176CC" w:rsidP="00C176CC">
      <w:pPr>
        <w:pStyle w:val="BodyTextMain"/>
        <w:rPr>
          <w:shd w:val="clear" w:color="auto" w:fill="FFFFFF"/>
        </w:rPr>
      </w:pPr>
      <w:r w:rsidRPr="00BB4D6C">
        <w:t>The introduction and growth of the organi</w:t>
      </w:r>
      <w:r w:rsidR="00FA59F5" w:rsidRPr="00BB4D6C">
        <w:t>zed</w:t>
      </w:r>
      <w:r w:rsidRPr="00BB4D6C">
        <w:t xml:space="preserve"> retail market </w:t>
      </w:r>
      <w:r w:rsidR="00E344DF" w:rsidRPr="00BB4D6C">
        <w:t>led to both</w:t>
      </w:r>
      <w:r w:rsidRPr="00BB4D6C">
        <w:t xml:space="preserve"> competition and innovation in the Indian glass</w:t>
      </w:r>
      <w:r w:rsidR="00EF63F5" w:rsidRPr="00BB4D6C">
        <w:t xml:space="preserve"> </w:t>
      </w:r>
      <w:r w:rsidRPr="00BB4D6C">
        <w:t xml:space="preserve">bottle-packaging industry. Considerable </w:t>
      </w:r>
      <w:r w:rsidR="005B54D5" w:rsidRPr="00BB4D6C">
        <w:t xml:space="preserve">upgrades, and </w:t>
      </w:r>
      <w:r w:rsidR="00CC2C15" w:rsidRPr="00BB4D6C">
        <w:t>research and development</w:t>
      </w:r>
      <w:r w:rsidRPr="00BB4D6C">
        <w:t xml:space="preserve"> led to newer designs and technologies in glass production. While narrow neck press and blow process technology helped increase the productivity of lighter and thinner containers, which made glass packaging cost effective and consumer</w:t>
      </w:r>
      <w:r w:rsidR="005B54D5" w:rsidRPr="00BB4D6C">
        <w:t>-</w:t>
      </w:r>
      <w:r w:rsidRPr="00BB4D6C">
        <w:t xml:space="preserve"> and ecology</w:t>
      </w:r>
      <w:r w:rsidR="005B54D5" w:rsidRPr="00BB4D6C">
        <w:t>-</w:t>
      </w:r>
      <w:r w:rsidRPr="00BB4D6C">
        <w:t xml:space="preserve">friendly, </w:t>
      </w:r>
      <w:r w:rsidR="00137E72" w:rsidRPr="00BB4D6C">
        <w:t xml:space="preserve">distribution was improved by </w:t>
      </w:r>
      <w:r w:rsidRPr="00BB4D6C">
        <w:t>a well-developed retail network. Because of these promising factors, the industry was expecting immense growth potential through to 2021.</w:t>
      </w:r>
      <w:r w:rsidRPr="00BB4D6C">
        <w:rPr>
          <w:vertAlign w:val="superscript"/>
        </w:rPr>
        <w:footnoteReference w:id="8"/>
      </w:r>
      <w:r w:rsidRPr="00BB4D6C">
        <w:t xml:space="preserve"> Because</w:t>
      </w:r>
      <w:r w:rsidRPr="00A00EAA">
        <w:t xml:space="preserve"> </w:t>
      </w:r>
      <w:r w:rsidRPr="00A00EAA">
        <w:lastRenderedPageBreak/>
        <w:t>of consumers’ view of glass as a premium packaging medium, Ajanta’s promotional campaigns emphasi</w:t>
      </w:r>
      <w:r w:rsidR="00CC2C15">
        <w:t>zed</w:t>
      </w:r>
      <w:r w:rsidRPr="00A00EAA">
        <w:t xml:space="preserve"> the benefits of glass packaging (see Exhibit </w:t>
      </w:r>
      <w:r w:rsidR="00FA4E10">
        <w:t>3</w:t>
      </w:r>
      <w:r w:rsidRPr="00A00EAA">
        <w:t>).</w:t>
      </w:r>
    </w:p>
    <w:p w14:paraId="0E52D3A7" w14:textId="77777777" w:rsidR="00C176CC" w:rsidRPr="00A00EAA" w:rsidRDefault="00C176CC" w:rsidP="00C176CC">
      <w:pPr>
        <w:pStyle w:val="BodyTextMain"/>
        <w:rPr>
          <w:shd w:val="clear" w:color="auto" w:fill="FFFFFF"/>
        </w:rPr>
      </w:pPr>
    </w:p>
    <w:p w14:paraId="1A8E6199" w14:textId="7F9DBC84" w:rsidR="00C176CC" w:rsidRDefault="00723BB4" w:rsidP="00C176CC">
      <w:pPr>
        <w:pStyle w:val="BodyTextMain"/>
      </w:pPr>
      <w:r>
        <w:t>Th</w:t>
      </w:r>
      <w:r w:rsidR="00C176CC" w:rsidRPr="00A00EAA">
        <w:t>e glass</w:t>
      </w:r>
      <w:r w:rsidR="00EF63F5">
        <w:t xml:space="preserve"> </w:t>
      </w:r>
      <w:r w:rsidR="00C176CC" w:rsidRPr="00A00EAA">
        <w:t>bottle industry was characteri</w:t>
      </w:r>
      <w:r w:rsidR="005B54D5">
        <w:t>zed</w:t>
      </w:r>
      <w:r w:rsidR="00C176CC" w:rsidRPr="00A00EAA">
        <w:t xml:space="preserve"> by large buyers in each segment, </w:t>
      </w:r>
      <w:r>
        <w:t xml:space="preserve">and </w:t>
      </w:r>
      <w:r w:rsidR="00C176CC">
        <w:t>t</w:t>
      </w:r>
      <w:r w:rsidR="00C176CC" w:rsidRPr="00A00EAA">
        <w:t xml:space="preserve">he demand for glass packaging had become highly seasonal, especially for products </w:t>
      </w:r>
      <w:r>
        <w:t>such as</w:t>
      </w:r>
      <w:r w:rsidR="00C176CC" w:rsidRPr="00A00EAA">
        <w:t xml:space="preserve"> s</w:t>
      </w:r>
      <w:r w:rsidR="00C176CC">
        <w:t>oft drinks, cosmetics</w:t>
      </w:r>
      <w:r w:rsidR="005B54D5">
        <w:t>,</w:t>
      </w:r>
      <w:r w:rsidR="00C176CC">
        <w:t xml:space="preserve"> and beer.</w:t>
      </w:r>
    </w:p>
    <w:p w14:paraId="6342D956" w14:textId="77777777" w:rsidR="00C176CC" w:rsidRDefault="00C176CC" w:rsidP="00C176CC">
      <w:pPr>
        <w:pStyle w:val="BodyTextMain"/>
      </w:pPr>
    </w:p>
    <w:p w14:paraId="16989F45" w14:textId="77777777" w:rsidR="00C176CC" w:rsidRPr="00A00EAA" w:rsidRDefault="00C176CC" w:rsidP="00C176CC">
      <w:pPr>
        <w:pStyle w:val="BodyTextMain"/>
      </w:pPr>
    </w:p>
    <w:p w14:paraId="7822EA89" w14:textId="402D3ECF" w:rsidR="00C176CC" w:rsidRPr="00A00EAA" w:rsidRDefault="00C176CC" w:rsidP="00C176CC">
      <w:pPr>
        <w:pStyle w:val="Casehead2"/>
      </w:pPr>
      <w:r w:rsidRPr="00A00EAA">
        <w:t xml:space="preserve">Challenges </w:t>
      </w:r>
      <w:r w:rsidR="005B54D5">
        <w:t>F</w:t>
      </w:r>
      <w:r w:rsidRPr="00A00EAA">
        <w:t>acing the Indian Glass</w:t>
      </w:r>
      <w:r w:rsidR="00E344DF">
        <w:t xml:space="preserve"> </w:t>
      </w:r>
      <w:r w:rsidRPr="00A00EAA">
        <w:t>Packaging Industry</w:t>
      </w:r>
    </w:p>
    <w:p w14:paraId="6E8C8D1E" w14:textId="77777777" w:rsidR="00C176CC" w:rsidRDefault="00C176CC" w:rsidP="00C176CC">
      <w:pPr>
        <w:pStyle w:val="BodyTextMain"/>
      </w:pPr>
    </w:p>
    <w:p w14:paraId="210EA1C6" w14:textId="40725389" w:rsidR="00C176CC" w:rsidRPr="00A00EAA" w:rsidRDefault="00E344DF" w:rsidP="00C176CC">
      <w:pPr>
        <w:pStyle w:val="BodyTextMain"/>
      </w:pPr>
      <w:r>
        <w:t>Although</w:t>
      </w:r>
      <w:r w:rsidRPr="00A00EAA">
        <w:t xml:space="preserve"> </w:t>
      </w:r>
      <w:r>
        <w:t>glass</w:t>
      </w:r>
      <w:r w:rsidRPr="00A00EAA">
        <w:t xml:space="preserve"> was viewed as a premium packaging medium</w:t>
      </w:r>
      <w:r>
        <w:t>,</w:t>
      </w:r>
      <w:r w:rsidRPr="00A00EAA">
        <w:t xml:space="preserve"> </w:t>
      </w:r>
      <w:r>
        <w:t>t</w:t>
      </w:r>
      <w:r w:rsidR="00C176CC" w:rsidRPr="00A00EAA">
        <w:t>he Indian glass</w:t>
      </w:r>
      <w:r>
        <w:t xml:space="preserve"> </w:t>
      </w:r>
      <w:r w:rsidR="00C176CC" w:rsidRPr="00A00EAA">
        <w:t>packaging industry faced some serious challenges</w:t>
      </w:r>
      <w:r w:rsidR="00290E45">
        <w:t>.</w:t>
      </w:r>
      <w:r w:rsidR="00C176CC" w:rsidRPr="00A00EAA">
        <w:t xml:space="preserve"> </w:t>
      </w:r>
    </w:p>
    <w:p w14:paraId="4960F5BB" w14:textId="77777777" w:rsidR="00C176CC" w:rsidRDefault="00C176CC" w:rsidP="00C176CC">
      <w:pPr>
        <w:pStyle w:val="BodyTextMain"/>
        <w:rPr>
          <w:u w:val="single"/>
        </w:rPr>
      </w:pPr>
    </w:p>
    <w:p w14:paraId="27BFE7BE" w14:textId="77777777" w:rsidR="00C176CC" w:rsidRDefault="00C176CC" w:rsidP="00C176CC">
      <w:pPr>
        <w:pStyle w:val="BodyTextMain"/>
        <w:rPr>
          <w:u w:val="single"/>
        </w:rPr>
      </w:pPr>
    </w:p>
    <w:p w14:paraId="082A3194" w14:textId="77777777" w:rsidR="00C176CC" w:rsidRPr="00A00EAA" w:rsidRDefault="00C176CC" w:rsidP="00C176CC">
      <w:pPr>
        <w:pStyle w:val="Casehead3"/>
      </w:pPr>
      <w:r w:rsidRPr="00A00EAA">
        <w:t>Rising Prices of Raw Materials</w:t>
      </w:r>
    </w:p>
    <w:p w14:paraId="55BCAE2A" w14:textId="77777777" w:rsidR="00C176CC" w:rsidRDefault="00C176CC" w:rsidP="00C176CC">
      <w:pPr>
        <w:pStyle w:val="BodyTextMain"/>
      </w:pPr>
    </w:p>
    <w:p w14:paraId="42727253" w14:textId="688799C5" w:rsidR="00C176CC" w:rsidRPr="00497B73" w:rsidRDefault="00C176CC" w:rsidP="00C176CC">
      <w:pPr>
        <w:pStyle w:val="BodyTextMain"/>
        <w:rPr>
          <w:spacing w:val="-2"/>
        </w:rPr>
      </w:pPr>
      <w:r w:rsidRPr="00497B73">
        <w:rPr>
          <w:spacing w:val="-2"/>
        </w:rPr>
        <w:t xml:space="preserve">The price of raw materials was </w:t>
      </w:r>
      <w:r w:rsidR="00723BB4" w:rsidRPr="00497B73">
        <w:rPr>
          <w:spacing w:val="-2"/>
        </w:rPr>
        <w:t>always</w:t>
      </w:r>
      <w:r w:rsidRPr="00497B73">
        <w:rPr>
          <w:spacing w:val="-2"/>
        </w:rPr>
        <w:t xml:space="preserve"> ris</w:t>
      </w:r>
      <w:r w:rsidR="00723BB4" w:rsidRPr="00497B73">
        <w:rPr>
          <w:spacing w:val="-2"/>
        </w:rPr>
        <w:t>ing</w:t>
      </w:r>
      <w:r w:rsidRPr="00497B73">
        <w:rPr>
          <w:spacing w:val="-2"/>
        </w:rPr>
        <w:t>, which put immense cost pressures on the glass</w:t>
      </w:r>
      <w:r w:rsidR="00E344DF" w:rsidRPr="00497B73">
        <w:rPr>
          <w:spacing w:val="-2"/>
        </w:rPr>
        <w:t xml:space="preserve"> </w:t>
      </w:r>
      <w:r w:rsidR="00893183" w:rsidRPr="00497B73">
        <w:rPr>
          <w:spacing w:val="-2"/>
        </w:rPr>
        <w:t>packaging</w:t>
      </w:r>
      <w:r w:rsidRPr="00497B73">
        <w:rPr>
          <w:spacing w:val="-2"/>
        </w:rPr>
        <w:t xml:space="preserve"> industry. As a result, glass bottle</w:t>
      </w:r>
      <w:r w:rsidR="00E42829" w:rsidRPr="00497B73">
        <w:rPr>
          <w:spacing w:val="-2"/>
        </w:rPr>
        <w:t>s</w:t>
      </w:r>
      <w:r w:rsidRPr="00497B73">
        <w:rPr>
          <w:spacing w:val="-2"/>
        </w:rPr>
        <w:t xml:space="preserve"> became costlier, driving smaller buyers to look for other packaging options such as plastic and Tetra Pak</w:t>
      </w:r>
      <w:r w:rsidR="00E42829" w:rsidRPr="00497B73">
        <w:rPr>
          <w:spacing w:val="-2"/>
        </w:rPr>
        <w:t xml:space="preserve"> cartons</w:t>
      </w:r>
      <w:r w:rsidRPr="00497B73">
        <w:rPr>
          <w:spacing w:val="-2"/>
        </w:rPr>
        <w:t xml:space="preserve">. For Ajanta, this meant </w:t>
      </w:r>
      <w:r w:rsidR="00445261" w:rsidRPr="00497B73">
        <w:rPr>
          <w:spacing w:val="-2"/>
        </w:rPr>
        <w:t xml:space="preserve">spending </w:t>
      </w:r>
      <w:r w:rsidRPr="00497B73">
        <w:rPr>
          <w:spacing w:val="-2"/>
        </w:rPr>
        <w:t>more money on raw</w:t>
      </w:r>
      <w:r w:rsidR="00445261" w:rsidRPr="00497B73">
        <w:rPr>
          <w:spacing w:val="-2"/>
        </w:rPr>
        <w:t xml:space="preserve"> </w:t>
      </w:r>
      <w:r w:rsidRPr="00497B73">
        <w:rPr>
          <w:spacing w:val="-2"/>
        </w:rPr>
        <w:t>material</w:t>
      </w:r>
      <w:r w:rsidR="00445261" w:rsidRPr="00497B73">
        <w:rPr>
          <w:spacing w:val="-2"/>
        </w:rPr>
        <w:t>s</w:t>
      </w:r>
      <w:r w:rsidRPr="00497B73">
        <w:rPr>
          <w:spacing w:val="-2"/>
        </w:rPr>
        <w:t>. Moreover, increase</w:t>
      </w:r>
      <w:r w:rsidR="00B0726E" w:rsidRPr="00497B73">
        <w:rPr>
          <w:spacing w:val="-2"/>
        </w:rPr>
        <w:t>d</w:t>
      </w:r>
      <w:r w:rsidRPr="00497B73">
        <w:rPr>
          <w:spacing w:val="-2"/>
        </w:rPr>
        <w:t xml:space="preserve"> warehouse rentals</w:t>
      </w:r>
      <w:r w:rsidR="00893183" w:rsidRPr="00497B73">
        <w:rPr>
          <w:spacing w:val="-2"/>
        </w:rPr>
        <w:t xml:space="preserve"> costs</w:t>
      </w:r>
      <w:r w:rsidRPr="00497B73">
        <w:rPr>
          <w:spacing w:val="-2"/>
        </w:rPr>
        <w:t>, interest</w:t>
      </w:r>
      <w:r w:rsidR="00B0726E" w:rsidRPr="00497B73">
        <w:rPr>
          <w:spacing w:val="-2"/>
        </w:rPr>
        <w:t>,</w:t>
      </w:r>
      <w:r w:rsidRPr="00497B73">
        <w:rPr>
          <w:spacing w:val="-2"/>
        </w:rPr>
        <w:t xml:space="preserve"> and freight costs put immense pressure on profitability.</w:t>
      </w:r>
    </w:p>
    <w:p w14:paraId="3B98B7AA" w14:textId="77777777" w:rsidR="00C176CC" w:rsidRDefault="00C176CC" w:rsidP="00C176CC">
      <w:pPr>
        <w:pStyle w:val="BodyTextMain"/>
      </w:pPr>
    </w:p>
    <w:p w14:paraId="6CCAC29B" w14:textId="77777777" w:rsidR="00C176CC" w:rsidRPr="00A00EAA" w:rsidRDefault="00C176CC" w:rsidP="00C176CC">
      <w:pPr>
        <w:pStyle w:val="BodyTextMain"/>
      </w:pPr>
    </w:p>
    <w:p w14:paraId="3998A9F2" w14:textId="77777777" w:rsidR="00C176CC" w:rsidRPr="00A00EAA" w:rsidRDefault="00C176CC" w:rsidP="00C176CC">
      <w:pPr>
        <w:pStyle w:val="BodyTextMain"/>
        <w:rPr>
          <w:u w:val="single"/>
        </w:rPr>
      </w:pPr>
      <w:r w:rsidRPr="00A00EAA">
        <w:rPr>
          <w:u w:val="single"/>
        </w:rPr>
        <w:t>Price Wars</w:t>
      </w:r>
    </w:p>
    <w:p w14:paraId="30BC89A6" w14:textId="77777777" w:rsidR="00C176CC" w:rsidRDefault="00C176CC" w:rsidP="00C176CC">
      <w:pPr>
        <w:pStyle w:val="BodyTextMain"/>
      </w:pPr>
    </w:p>
    <w:p w14:paraId="4BF96BE3" w14:textId="7CFB7FEA" w:rsidR="00C176CC" w:rsidRPr="00B0713C" w:rsidRDefault="00C176CC" w:rsidP="00C176CC">
      <w:pPr>
        <w:pStyle w:val="BodyTextMain"/>
        <w:rPr>
          <w:spacing w:val="-2"/>
        </w:rPr>
      </w:pPr>
      <w:r w:rsidRPr="00B0713C">
        <w:rPr>
          <w:spacing w:val="-2"/>
        </w:rPr>
        <w:t xml:space="preserve">The number of companies selling glass packaging in India had risen since 2014, </w:t>
      </w:r>
      <w:r w:rsidR="00E344DF" w:rsidRPr="00B0713C">
        <w:rPr>
          <w:spacing w:val="-2"/>
        </w:rPr>
        <w:t xml:space="preserve">leading to </w:t>
      </w:r>
      <w:r w:rsidRPr="00B0713C">
        <w:rPr>
          <w:spacing w:val="-2"/>
        </w:rPr>
        <w:t>increas</w:t>
      </w:r>
      <w:r w:rsidR="00E344DF" w:rsidRPr="00B0713C">
        <w:rPr>
          <w:spacing w:val="-2"/>
        </w:rPr>
        <w:t>ed</w:t>
      </w:r>
      <w:r w:rsidRPr="00B0713C">
        <w:rPr>
          <w:spacing w:val="-2"/>
        </w:rPr>
        <w:t xml:space="preserve"> competition, price wars, customer poaching among suppliers</w:t>
      </w:r>
      <w:r w:rsidR="00B0726E" w:rsidRPr="00B0713C">
        <w:rPr>
          <w:spacing w:val="-2"/>
        </w:rPr>
        <w:t>,</w:t>
      </w:r>
      <w:r w:rsidRPr="00B0713C">
        <w:rPr>
          <w:spacing w:val="-2"/>
        </w:rPr>
        <w:t xml:space="preserve"> and clients renegotiating purchase costs. </w:t>
      </w:r>
      <w:r w:rsidR="00B0726E" w:rsidRPr="00B0713C">
        <w:rPr>
          <w:spacing w:val="-2"/>
        </w:rPr>
        <w:t>All of t</w:t>
      </w:r>
      <w:r w:rsidRPr="00B0713C">
        <w:rPr>
          <w:spacing w:val="-2"/>
        </w:rPr>
        <w:t xml:space="preserve">hese </w:t>
      </w:r>
      <w:r w:rsidR="00290E45">
        <w:rPr>
          <w:spacing w:val="-2"/>
        </w:rPr>
        <w:t xml:space="preserve">problems </w:t>
      </w:r>
      <w:r w:rsidR="00B0726E" w:rsidRPr="00B0713C">
        <w:rPr>
          <w:spacing w:val="-2"/>
        </w:rPr>
        <w:t xml:space="preserve">considerably </w:t>
      </w:r>
      <w:r w:rsidRPr="00B0713C">
        <w:rPr>
          <w:spacing w:val="-2"/>
        </w:rPr>
        <w:t xml:space="preserve">reduced profit margins in the industry. In light of </w:t>
      </w:r>
      <w:r w:rsidR="00B0726E" w:rsidRPr="00B0713C">
        <w:rPr>
          <w:spacing w:val="-2"/>
        </w:rPr>
        <w:t xml:space="preserve">the </w:t>
      </w:r>
      <w:r w:rsidRPr="00B0713C">
        <w:rPr>
          <w:spacing w:val="-2"/>
        </w:rPr>
        <w:t xml:space="preserve">slashed prices </w:t>
      </w:r>
      <w:r w:rsidR="00B0726E" w:rsidRPr="00B0713C">
        <w:rPr>
          <w:spacing w:val="-2"/>
        </w:rPr>
        <w:t>of</w:t>
      </w:r>
      <w:r w:rsidRPr="00B0713C">
        <w:rPr>
          <w:spacing w:val="-2"/>
        </w:rPr>
        <w:t xml:space="preserve"> competitors, many of Ajanta’s customers wanted the company to revise prices before they placed their orders. </w:t>
      </w:r>
    </w:p>
    <w:p w14:paraId="3AACC15A" w14:textId="77777777" w:rsidR="00C176CC" w:rsidRDefault="00C176CC" w:rsidP="00C176CC">
      <w:pPr>
        <w:pStyle w:val="BodyTextMain"/>
        <w:rPr>
          <w:u w:val="single"/>
        </w:rPr>
      </w:pPr>
    </w:p>
    <w:p w14:paraId="10826407" w14:textId="77777777" w:rsidR="00C176CC" w:rsidRDefault="00C176CC" w:rsidP="00C176CC">
      <w:pPr>
        <w:pStyle w:val="BodyTextMain"/>
        <w:rPr>
          <w:u w:val="single"/>
        </w:rPr>
      </w:pPr>
    </w:p>
    <w:p w14:paraId="75441B35" w14:textId="57672958" w:rsidR="00C176CC" w:rsidRPr="00A00EAA" w:rsidRDefault="00C176CC" w:rsidP="00C176CC">
      <w:pPr>
        <w:pStyle w:val="BodyTextMain"/>
        <w:rPr>
          <w:u w:val="single"/>
        </w:rPr>
      </w:pPr>
      <w:r w:rsidRPr="00A00EAA">
        <w:rPr>
          <w:u w:val="single"/>
        </w:rPr>
        <w:t xml:space="preserve">Increased </w:t>
      </w:r>
      <w:r w:rsidR="00E42829">
        <w:rPr>
          <w:u w:val="single"/>
        </w:rPr>
        <w:t>U</w:t>
      </w:r>
      <w:r w:rsidRPr="00A00EAA">
        <w:rPr>
          <w:u w:val="single"/>
        </w:rPr>
        <w:t>se of PET bottles</w:t>
      </w:r>
    </w:p>
    <w:p w14:paraId="50D4C913" w14:textId="77777777" w:rsidR="00C176CC" w:rsidRDefault="00C176CC" w:rsidP="00C176CC">
      <w:pPr>
        <w:pStyle w:val="BodyTextMain"/>
        <w:rPr>
          <w:rFonts w:eastAsia="Calibri"/>
        </w:rPr>
      </w:pPr>
    </w:p>
    <w:p w14:paraId="0E32AB75" w14:textId="33D62EDE" w:rsidR="00C176CC" w:rsidRPr="00A00EAA" w:rsidRDefault="00C176CC" w:rsidP="00C176CC">
      <w:pPr>
        <w:pStyle w:val="BodyTextMain"/>
        <w:rPr>
          <w:rFonts w:eastAsia="Calibri"/>
        </w:rPr>
      </w:pPr>
      <w:r w:rsidRPr="00A00EAA">
        <w:rPr>
          <w:rFonts w:eastAsia="Calibri"/>
        </w:rPr>
        <w:t>Light, clear, tough, sustainable</w:t>
      </w:r>
      <w:r w:rsidR="00B0726E">
        <w:rPr>
          <w:rFonts w:eastAsia="Calibri"/>
        </w:rPr>
        <w:t>,</w:t>
      </w:r>
      <w:r w:rsidRPr="00A00EAA">
        <w:rPr>
          <w:rFonts w:eastAsia="Calibri"/>
        </w:rPr>
        <w:t xml:space="preserve"> and </w:t>
      </w:r>
      <w:r w:rsidR="00B0726E">
        <w:rPr>
          <w:rFonts w:eastAsia="Calibri"/>
        </w:rPr>
        <w:t>an excellent barrier</w:t>
      </w:r>
      <w:r w:rsidR="00B0726E" w:rsidRPr="00A00EAA">
        <w:rPr>
          <w:rFonts w:eastAsia="Calibri"/>
        </w:rPr>
        <w:t xml:space="preserve"> </w:t>
      </w:r>
      <w:r w:rsidRPr="00A00EAA">
        <w:rPr>
          <w:rFonts w:eastAsia="Calibri"/>
        </w:rPr>
        <w:t>to oxygen and carbon dioxide—the many positive attributes of PET made it the most opted</w:t>
      </w:r>
      <w:r w:rsidR="00B0726E">
        <w:rPr>
          <w:rFonts w:eastAsia="Calibri"/>
        </w:rPr>
        <w:t>-for</w:t>
      </w:r>
      <w:r w:rsidRPr="00A00EAA">
        <w:rPr>
          <w:rFonts w:eastAsia="Calibri"/>
        </w:rPr>
        <w:t xml:space="preserve"> packaging medium among several industries that had previously favoured glass. This ha</w:t>
      </w:r>
      <w:r w:rsidR="00587396">
        <w:rPr>
          <w:rFonts w:eastAsia="Calibri"/>
        </w:rPr>
        <w:t>d</w:t>
      </w:r>
      <w:r w:rsidRPr="00A00EAA">
        <w:rPr>
          <w:rFonts w:eastAsia="Calibri"/>
        </w:rPr>
        <w:t xml:space="preserve"> helped PET gain market share at a rapid rate and even replace a considerable portion of glass bottles, which</w:t>
      </w:r>
      <w:r w:rsidR="00587396">
        <w:rPr>
          <w:rFonts w:eastAsia="Calibri"/>
        </w:rPr>
        <w:t>,</w:t>
      </w:r>
      <w:r w:rsidRPr="00A00EAA">
        <w:rPr>
          <w:rFonts w:eastAsia="Calibri"/>
        </w:rPr>
        <w:t xml:space="preserve"> in contrast, </w:t>
      </w:r>
      <w:r w:rsidR="00587396">
        <w:rPr>
          <w:rFonts w:eastAsia="Calibri"/>
        </w:rPr>
        <w:t xml:space="preserve">were </w:t>
      </w:r>
      <w:r w:rsidRPr="00A00EAA">
        <w:rPr>
          <w:rFonts w:eastAsia="Calibri"/>
        </w:rPr>
        <w:t>extremely fragile, prone to breakage</w:t>
      </w:r>
      <w:r w:rsidR="00587396">
        <w:rPr>
          <w:rFonts w:eastAsia="Calibri"/>
        </w:rPr>
        <w:t>,</w:t>
      </w:r>
      <w:r w:rsidRPr="00A00EAA">
        <w:rPr>
          <w:rFonts w:eastAsia="Calibri"/>
        </w:rPr>
        <w:t xml:space="preserve"> and costly. While consumers chose </w:t>
      </w:r>
      <w:r w:rsidRPr="00A00EAA">
        <w:t>PET plastic for its conven</w:t>
      </w:r>
      <w:r w:rsidRPr="00A00EAA">
        <w:rPr>
          <w:rFonts w:eastAsia="Calibri"/>
        </w:rPr>
        <w:t>ience, ease of use, lightness</w:t>
      </w:r>
      <w:r w:rsidR="00587396">
        <w:rPr>
          <w:rFonts w:eastAsia="Calibri"/>
        </w:rPr>
        <w:t>,</w:t>
      </w:r>
      <w:r w:rsidRPr="00A00EAA">
        <w:rPr>
          <w:rFonts w:eastAsia="Calibri"/>
        </w:rPr>
        <w:t xml:space="preserve"> and </w:t>
      </w:r>
      <w:r w:rsidRPr="00A00EAA">
        <w:t>sturdiness</w:t>
      </w:r>
      <w:r w:rsidRPr="00A00EAA">
        <w:rPr>
          <w:rFonts w:eastAsia="Calibri"/>
        </w:rPr>
        <w:t>, marketers</w:t>
      </w:r>
      <w:r w:rsidRPr="00A00EAA">
        <w:t xml:space="preserve"> </w:t>
      </w:r>
      <w:r w:rsidR="00587396">
        <w:t>were</w:t>
      </w:r>
      <w:r w:rsidR="00587396">
        <w:rPr>
          <w:rFonts w:eastAsia="Calibri"/>
        </w:rPr>
        <w:t xml:space="preserve"> attracted to the material </w:t>
      </w:r>
      <w:r w:rsidR="006E4E7E">
        <w:rPr>
          <w:rFonts w:eastAsia="Calibri"/>
        </w:rPr>
        <w:t>because of</w:t>
      </w:r>
      <w:r w:rsidR="00587396">
        <w:rPr>
          <w:rFonts w:eastAsia="Calibri"/>
        </w:rPr>
        <w:t xml:space="preserve"> </w:t>
      </w:r>
      <w:r w:rsidRPr="00A00EAA">
        <w:rPr>
          <w:rFonts w:eastAsia="Calibri"/>
        </w:rPr>
        <w:t xml:space="preserve">its </w:t>
      </w:r>
      <w:r w:rsidRPr="00A00EAA">
        <w:t>light weight, cost</w:t>
      </w:r>
      <w:r w:rsidR="00587396">
        <w:t xml:space="preserve"> </w:t>
      </w:r>
      <w:r w:rsidRPr="00A00EAA">
        <w:t>effectiveness, product safety</w:t>
      </w:r>
      <w:r w:rsidR="00587396">
        <w:t>,</w:t>
      </w:r>
      <w:r w:rsidRPr="00A00EAA">
        <w:t xml:space="preserve"> and pliability </w:t>
      </w:r>
      <w:r w:rsidR="00587396">
        <w:t>for their</w:t>
      </w:r>
      <w:r w:rsidRPr="00A00EAA">
        <w:t xml:space="preserve"> execut</w:t>
      </w:r>
      <w:r w:rsidR="00587396">
        <w:t>ion of</w:t>
      </w:r>
      <w:r w:rsidRPr="00A00EAA">
        <w:t xml:space="preserve"> innovative package</w:t>
      </w:r>
      <w:r w:rsidRPr="00A00EAA">
        <w:rPr>
          <w:rFonts w:eastAsia="Calibri"/>
        </w:rPr>
        <w:t xml:space="preserve"> </w:t>
      </w:r>
      <w:r w:rsidRPr="00A00EAA">
        <w:t>designs</w:t>
      </w:r>
      <w:r w:rsidR="00587396">
        <w:t>;</w:t>
      </w:r>
      <w:r w:rsidRPr="00A00EAA">
        <w:t xml:space="preserve"> retailers found the unbreakable PET packages </w:t>
      </w:r>
      <w:r w:rsidRPr="00A00EAA">
        <w:rPr>
          <w:rFonts w:eastAsia="Calibri"/>
        </w:rPr>
        <w:t>easy to stack.</w:t>
      </w:r>
      <w:r w:rsidRPr="00A00EAA">
        <w:t xml:space="preserve"> PET was the packaging of convenience for </w:t>
      </w:r>
      <w:r w:rsidR="00587396">
        <w:t xml:space="preserve">companies in the </w:t>
      </w:r>
      <w:r w:rsidRPr="00A00EAA">
        <w:rPr>
          <w:rFonts w:eastAsia="Calibri"/>
        </w:rPr>
        <w:t xml:space="preserve">soft drink, mineral water, </w:t>
      </w:r>
      <w:r w:rsidR="007D6C70">
        <w:rPr>
          <w:rFonts w:eastAsia="Calibri"/>
        </w:rPr>
        <w:t>fast-moving consumer goods</w:t>
      </w:r>
      <w:r w:rsidRPr="00A00EAA">
        <w:rPr>
          <w:rFonts w:eastAsia="Calibri"/>
        </w:rPr>
        <w:t>, pharmaceutical, agrochemical, wine and liquor, and food</w:t>
      </w:r>
      <w:r w:rsidR="00587396">
        <w:rPr>
          <w:rFonts w:eastAsia="Calibri"/>
        </w:rPr>
        <w:t xml:space="preserve"> </w:t>
      </w:r>
      <w:r w:rsidRPr="00A00EAA">
        <w:rPr>
          <w:rFonts w:eastAsia="Calibri"/>
        </w:rPr>
        <w:t>sector</w:t>
      </w:r>
      <w:r w:rsidR="00587396">
        <w:rPr>
          <w:rFonts w:eastAsia="Calibri"/>
        </w:rPr>
        <w:t>s</w:t>
      </w:r>
      <w:r w:rsidRPr="00A00EAA">
        <w:rPr>
          <w:rFonts w:eastAsia="Calibri"/>
        </w:rPr>
        <w:t>.</w:t>
      </w:r>
    </w:p>
    <w:p w14:paraId="48E85AE8" w14:textId="77777777" w:rsidR="00C176CC" w:rsidRPr="00C176CC" w:rsidRDefault="00C176CC" w:rsidP="00C176CC">
      <w:pPr>
        <w:pStyle w:val="BodyTextMain"/>
      </w:pPr>
    </w:p>
    <w:p w14:paraId="14F440FD" w14:textId="77777777" w:rsidR="00C176CC" w:rsidRPr="00C176CC" w:rsidRDefault="00C176CC" w:rsidP="00C176CC">
      <w:pPr>
        <w:pStyle w:val="BodyTextMain"/>
      </w:pPr>
    </w:p>
    <w:p w14:paraId="796DE10E" w14:textId="77777777" w:rsidR="00C176CC" w:rsidRPr="00A00EAA" w:rsidRDefault="00C176CC" w:rsidP="00C176CC">
      <w:pPr>
        <w:pStyle w:val="Casehead1"/>
      </w:pPr>
      <w:r w:rsidRPr="00A00EAA">
        <w:t>KEY ACCOUNT MANAGEMENT AT AJANTA</w:t>
      </w:r>
    </w:p>
    <w:p w14:paraId="075FCA4E" w14:textId="77777777" w:rsidR="00C176CC" w:rsidRDefault="00C176CC" w:rsidP="00C176CC">
      <w:pPr>
        <w:pStyle w:val="BodyTextMain"/>
      </w:pPr>
    </w:p>
    <w:p w14:paraId="00E0BB53" w14:textId="1DDCC015" w:rsidR="00C176CC" w:rsidRDefault="00C176CC" w:rsidP="00C176CC">
      <w:pPr>
        <w:pStyle w:val="BodyTextMain"/>
        <w:rPr>
          <w:lang w:val="en-GB"/>
        </w:rPr>
      </w:pPr>
      <w:r w:rsidRPr="00A00EAA">
        <w:t>Deepanker maintained a near-obsessive focus on Ajanta’s key customers because 80 per cent of its revenues came from repeat customers. The company had two sales teams for customer management—one managed the key accounts and the other catered to the other customers. Deepanker knew that developing and maintaining solid relationships with key accounts was critical to the company’s success in the hyper-</w:t>
      </w:r>
      <w:r w:rsidRPr="00A00EAA">
        <w:lastRenderedPageBreak/>
        <w:t xml:space="preserve">competitive market. While </w:t>
      </w:r>
      <w:r w:rsidR="00E626F5">
        <w:t>Ajanta’s</w:t>
      </w:r>
      <w:r w:rsidRPr="00A00EAA">
        <w:rPr>
          <w:lang w:val="en-GB"/>
        </w:rPr>
        <w:t xml:space="preserve"> churn rate</w:t>
      </w:r>
      <w:r w:rsidRPr="00A00EAA">
        <w:rPr>
          <w:rStyle w:val="FootnoteReference"/>
          <w:lang w:val="en-GB"/>
        </w:rPr>
        <w:footnoteReference w:id="9"/>
      </w:r>
      <w:r w:rsidRPr="00A00EAA">
        <w:rPr>
          <w:lang w:val="en-GB"/>
        </w:rPr>
        <w:t xml:space="preserve"> for 2016 was 4.5 per cent, which was quite low compar</w:t>
      </w:r>
      <w:r w:rsidR="006E4E7E">
        <w:rPr>
          <w:lang w:val="en-GB"/>
        </w:rPr>
        <w:t>ed</w:t>
      </w:r>
      <w:r w:rsidRPr="00A00EAA">
        <w:rPr>
          <w:lang w:val="en-GB"/>
        </w:rPr>
        <w:t xml:space="preserve"> to </w:t>
      </w:r>
      <w:r w:rsidR="00E626F5">
        <w:rPr>
          <w:lang w:val="en-GB"/>
        </w:rPr>
        <w:t xml:space="preserve">the </w:t>
      </w:r>
      <w:r w:rsidRPr="00A00EAA">
        <w:rPr>
          <w:lang w:val="en-GB"/>
        </w:rPr>
        <w:t>competi</w:t>
      </w:r>
      <w:r w:rsidR="00E626F5">
        <w:rPr>
          <w:lang w:val="en-GB"/>
        </w:rPr>
        <w:t>tion</w:t>
      </w:r>
      <w:r w:rsidRPr="00A00EAA">
        <w:rPr>
          <w:lang w:val="en-GB"/>
        </w:rPr>
        <w:t>, the defection rate</w:t>
      </w:r>
      <w:r w:rsidRPr="00A00EAA">
        <w:rPr>
          <w:rStyle w:val="FootnoteReference"/>
          <w:lang w:val="en-GB"/>
        </w:rPr>
        <w:footnoteReference w:id="10"/>
      </w:r>
      <w:r w:rsidRPr="00A00EAA">
        <w:rPr>
          <w:lang w:val="en-GB"/>
        </w:rPr>
        <w:t xml:space="preserve"> was 11</w:t>
      </w:r>
      <w:r>
        <w:rPr>
          <w:lang w:val="en-GB"/>
        </w:rPr>
        <w:t xml:space="preserve"> per cent.</w:t>
      </w:r>
    </w:p>
    <w:p w14:paraId="487F2057" w14:textId="77777777" w:rsidR="00C176CC" w:rsidRPr="00A00EAA" w:rsidRDefault="00C176CC" w:rsidP="00C176CC">
      <w:pPr>
        <w:pStyle w:val="BodyTextMain"/>
      </w:pPr>
    </w:p>
    <w:p w14:paraId="5008847E" w14:textId="6945575B" w:rsidR="00C176CC" w:rsidRPr="00A00EAA" w:rsidRDefault="006E4E7E" w:rsidP="00C176CC">
      <w:pPr>
        <w:pStyle w:val="BodyTextMain"/>
      </w:pPr>
      <w:r>
        <w:t>Until</w:t>
      </w:r>
      <w:r w:rsidR="00C176CC" w:rsidRPr="00A00EAA">
        <w:t xml:space="preserve"> 2014, the company’s focus was big clients. It also supplied to around 400 customers, some of which were major accounts. Most large deals were based on price and quantity, so when many of its bigger customers delayed payments, </w:t>
      </w:r>
      <w:r w:rsidR="00E626F5">
        <w:t>Ajanta’s profitability was</w:t>
      </w:r>
      <w:r w:rsidR="00C176CC" w:rsidRPr="00A00EAA">
        <w:t xml:space="preserve"> severely dented. Deepanker wanted to reduce this severe dependence on </w:t>
      </w:r>
      <w:r w:rsidR="00E626F5">
        <w:t>the company’s</w:t>
      </w:r>
      <w:r w:rsidR="00C176CC" w:rsidRPr="00A00EAA">
        <w:t xml:space="preserve"> larger customers, so </w:t>
      </w:r>
      <w:r w:rsidR="00E626F5">
        <w:t>it</w:t>
      </w:r>
      <w:r w:rsidR="00C176CC" w:rsidRPr="00A00EAA">
        <w:t xml:space="preserve"> began encouraging smaller orders to increase its customer base. This strategy paid off, and by October 2017</w:t>
      </w:r>
      <w:r w:rsidR="00E626F5">
        <w:t>,</w:t>
      </w:r>
      <w:r w:rsidR="00C176CC" w:rsidRPr="00A00EAA">
        <w:t xml:space="preserve"> Ajanta had 1</w:t>
      </w:r>
      <w:r w:rsidR="00E626F5">
        <w:t>,</w:t>
      </w:r>
      <w:r w:rsidR="00C176CC" w:rsidRPr="00A00EAA">
        <w:t xml:space="preserve">700 customers. Many of </w:t>
      </w:r>
      <w:r w:rsidR="005809C2">
        <w:t>its</w:t>
      </w:r>
      <w:r w:rsidR="00C176CC" w:rsidRPr="00A00EAA">
        <w:t xml:space="preserve"> small-order customers wanted unique </w:t>
      </w:r>
      <w:r w:rsidR="00E626F5">
        <w:t>packaging,</w:t>
      </w:r>
      <w:r w:rsidR="00C176CC" w:rsidRPr="00A00EAA">
        <w:t xml:space="preserve"> and were less price sensitive than its large</w:t>
      </w:r>
      <w:r w:rsidR="005809C2">
        <w:t>r</w:t>
      </w:r>
      <w:r w:rsidR="00C176CC" w:rsidRPr="00A00EAA">
        <w:t xml:space="preserve"> customers</w:t>
      </w:r>
      <w:r w:rsidR="009000D1">
        <w:t xml:space="preserve"> were</w:t>
      </w:r>
      <w:r w:rsidR="00C176CC" w:rsidRPr="00A00EAA">
        <w:t xml:space="preserve">. For example, the first order placed by one </w:t>
      </w:r>
      <w:r w:rsidR="00E626F5">
        <w:t>small-order</w:t>
      </w:r>
      <w:r w:rsidR="00C176CC" w:rsidRPr="00A00EAA">
        <w:t xml:space="preserve"> customer in May 2015 was for </w:t>
      </w:r>
      <w:r w:rsidR="005809C2">
        <w:t xml:space="preserve">only </w:t>
      </w:r>
      <w:r w:rsidR="00C176CC" w:rsidRPr="00A00EAA">
        <w:t xml:space="preserve">35 bottles, but by 2017, </w:t>
      </w:r>
      <w:r w:rsidR="00E626F5">
        <w:t>that customer</w:t>
      </w:r>
      <w:r w:rsidR="00C176CC" w:rsidRPr="00A00EAA">
        <w:t xml:space="preserve"> had begun </w:t>
      </w:r>
      <w:r w:rsidR="005809C2">
        <w:t xml:space="preserve">to </w:t>
      </w:r>
      <w:r w:rsidR="00C176CC" w:rsidRPr="00A00EAA">
        <w:t xml:space="preserve">buy around a million bottles. </w:t>
      </w:r>
    </w:p>
    <w:p w14:paraId="71CFC7BD" w14:textId="77777777" w:rsidR="00C176CC" w:rsidRDefault="00C176CC" w:rsidP="00C176CC">
      <w:pPr>
        <w:pStyle w:val="BodyTextMain"/>
      </w:pPr>
    </w:p>
    <w:p w14:paraId="4B2E8210" w14:textId="3519D1D9" w:rsidR="00C176CC" w:rsidRDefault="00C176CC" w:rsidP="00C176CC">
      <w:pPr>
        <w:pStyle w:val="BodyTextMain"/>
      </w:pPr>
      <w:r>
        <w:t>Until</w:t>
      </w:r>
      <w:r w:rsidRPr="00A00EAA">
        <w:t xml:space="preserve"> 2015, the company</w:t>
      </w:r>
      <w:r w:rsidR="005809C2">
        <w:t xml:space="preserve"> </w:t>
      </w:r>
      <w:r w:rsidRPr="00A00EAA">
        <w:t>assigned new designs to manufactur</w:t>
      </w:r>
      <w:r w:rsidR="004F446A">
        <w:t>er</w:t>
      </w:r>
      <w:r w:rsidRPr="00A00EAA">
        <w:t xml:space="preserve">s </w:t>
      </w:r>
      <w:r w:rsidR="005809C2">
        <w:t>after</w:t>
      </w:r>
      <w:r w:rsidRPr="00A00EAA">
        <w:t xml:space="preserve"> </w:t>
      </w:r>
      <w:r w:rsidR="005809C2">
        <w:t xml:space="preserve">the </w:t>
      </w:r>
      <w:r w:rsidRPr="00A00EAA">
        <w:t xml:space="preserve">receipt of orders, but </w:t>
      </w:r>
      <w:r w:rsidR="005809C2">
        <w:t>beginning in</w:t>
      </w:r>
      <w:r w:rsidRPr="00A00EAA">
        <w:t xml:space="preserve"> January 2017, it began maintaining an inventory to cater to new and old customers.</w:t>
      </w:r>
    </w:p>
    <w:p w14:paraId="524088F0" w14:textId="77777777" w:rsidR="00C176CC" w:rsidRDefault="00C176CC" w:rsidP="00C176CC">
      <w:pPr>
        <w:pStyle w:val="BodyTextMain"/>
      </w:pPr>
    </w:p>
    <w:p w14:paraId="10D232F6" w14:textId="77777777" w:rsidR="00C176CC" w:rsidRPr="00A00EAA" w:rsidRDefault="00C176CC" w:rsidP="00C176CC">
      <w:pPr>
        <w:pStyle w:val="BodyTextMain"/>
      </w:pPr>
    </w:p>
    <w:p w14:paraId="6AF9BDB0" w14:textId="77777777" w:rsidR="00C176CC" w:rsidRPr="00A00EAA" w:rsidRDefault="00C176CC" w:rsidP="00C176CC">
      <w:pPr>
        <w:pStyle w:val="Casehead2"/>
      </w:pPr>
      <w:r w:rsidRPr="00A00EAA">
        <w:t>Key Accounts</w:t>
      </w:r>
    </w:p>
    <w:p w14:paraId="09EEFD3B" w14:textId="77777777" w:rsidR="00C176CC" w:rsidRDefault="00C176CC" w:rsidP="00C176CC">
      <w:pPr>
        <w:pStyle w:val="BodyTextMain"/>
      </w:pPr>
    </w:p>
    <w:p w14:paraId="30757050" w14:textId="2785CD08" w:rsidR="00C176CC" w:rsidRDefault="00C176CC" w:rsidP="00C176CC">
      <w:pPr>
        <w:pStyle w:val="BodyTextMain"/>
      </w:pPr>
      <w:r w:rsidRPr="00A00EAA">
        <w:t xml:space="preserve">Ajanta had many </w:t>
      </w:r>
      <w:r w:rsidR="005809C2">
        <w:t xml:space="preserve">renowned, </w:t>
      </w:r>
      <w:r w:rsidRPr="00A00EAA">
        <w:t>revenue-generating customers</w:t>
      </w:r>
      <w:r w:rsidR="005809C2">
        <w:t>,</w:t>
      </w:r>
      <w:r w:rsidRPr="00A00EAA">
        <w:t xml:space="preserve"> </w:t>
      </w:r>
      <w:r w:rsidR="00885E4B">
        <w:t>including</w:t>
      </w:r>
      <w:r w:rsidRPr="00A00EAA">
        <w:t xml:space="preserve"> Patanjali Ayurved Limited, G.K. Dairy and Milk Products Private Limited (famous for the brand Gopaljee), Veeba Food Services</w:t>
      </w:r>
      <w:r w:rsidR="005809C2">
        <w:t xml:space="preserve"> Private Limited</w:t>
      </w:r>
      <w:r w:rsidRPr="00A00EAA">
        <w:t>, Amrit Food, Coffee Day Global Limited (</w:t>
      </w:r>
      <w:r w:rsidR="005809C2">
        <w:t>a</w:t>
      </w:r>
      <w:r w:rsidRPr="00A00EAA">
        <w:t xml:space="preserve">lso known as CCD), </w:t>
      </w:r>
      <w:r w:rsidRPr="00A00EAA">
        <w:rPr>
          <w:rStyle w:val="xbe"/>
        </w:rPr>
        <w:t xml:space="preserve">Carnation Hospitality </w:t>
      </w:r>
      <w:r w:rsidRPr="00A00EAA">
        <w:t>Private Limited (famous for</w:t>
      </w:r>
      <w:r w:rsidR="005809C2">
        <w:t xml:space="preserve"> the</w:t>
      </w:r>
      <w:r w:rsidRPr="00A00EAA">
        <w:t xml:space="preserve"> brand Barista), Super Milk Products Private Limited, SF, and Akums Drugs &amp; Pharmaceuticals Limited.</w:t>
      </w:r>
    </w:p>
    <w:p w14:paraId="24628987" w14:textId="77777777" w:rsidR="00C176CC" w:rsidRPr="00C176CC" w:rsidRDefault="00C176CC" w:rsidP="00C176CC">
      <w:pPr>
        <w:pStyle w:val="BodyTextMain"/>
      </w:pPr>
    </w:p>
    <w:p w14:paraId="7342B910" w14:textId="77777777" w:rsidR="00C176CC" w:rsidRPr="00C176CC" w:rsidRDefault="00C176CC" w:rsidP="00C176CC">
      <w:pPr>
        <w:pStyle w:val="BodyTextMain"/>
      </w:pPr>
    </w:p>
    <w:p w14:paraId="61C27D6B" w14:textId="77777777" w:rsidR="00C176CC" w:rsidRPr="00A00EAA" w:rsidRDefault="00C176CC" w:rsidP="00C176CC">
      <w:pPr>
        <w:pStyle w:val="Casehead1"/>
      </w:pPr>
      <w:r w:rsidRPr="00A00EAA">
        <w:t>S.F. FOODS AND AJANTA PACKAGING</w:t>
      </w:r>
    </w:p>
    <w:p w14:paraId="7D524D35" w14:textId="77777777" w:rsidR="00C176CC" w:rsidRPr="00C176CC" w:rsidRDefault="00C176CC" w:rsidP="00C176CC">
      <w:pPr>
        <w:pStyle w:val="BodyTextMain"/>
      </w:pPr>
    </w:p>
    <w:p w14:paraId="5968D434" w14:textId="3B420015" w:rsidR="00C176CC" w:rsidRPr="00A00EAA" w:rsidRDefault="00C176CC" w:rsidP="00C176CC">
      <w:pPr>
        <w:pStyle w:val="BodyTextMain"/>
      </w:pPr>
      <w:r w:rsidRPr="00A00EAA">
        <w:t xml:space="preserve">SF was a leading manufacturer </w:t>
      </w:r>
      <w:r w:rsidR="00885E4B">
        <w:t xml:space="preserve">in India </w:t>
      </w:r>
      <w:r w:rsidRPr="00A00EAA">
        <w:t>of sauce</w:t>
      </w:r>
      <w:r w:rsidR="00885E4B">
        <w:t>s</w:t>
      </w:r>
      <w:r w:rsidRPr="00A00EAA">
        <w:t>, pickles, jam, custard powder, instant mix</w:t>
      </w:r>
      <w:r w:rsidR="00885E4B">
        <w:t>es</w:t>
      </w:r>
      <w:r w:rsidRPr="00A00EAA">
        <w:t>, noodles</w:t>
      </w:r>
      <w:r w:rsidR="00885E4B">
        <w:t>,</w:t>
      </w:r>
      <w:r w:rsidRPr="00A00EAA">
        <w:t xml:space="preserve"> and baking powder. The company was also a leading exporter of these products to the United States, Europe</w:t>
      </w:r>
      <w:r w:rsidR="00885E4B">
        <w:t>,</w:t>
      </w:r>
      <w:r w:rsidRPr="00A00EAA">
        <w:t xml:space="preserve"> and the APAC region. SF reported net revenue of </w:t>
      </w:r>
      <w:r w:rsidRPr="00B0713C">
        <w:t>₹</w:t>
      </w:r>
      <w:r w:rsidR="00885E4B" w:rsidRPr="00B0713C">
        <w:t>15.5 billion</w:t>
      </w:r>
      <w:r w:rsidRPr="00A00EAA">
        <w:rPr>
          <w:rStyle w:val="FootnoteReference"/>
        </w:rPr>
        <w:footnoteReference w:id="11"/>
      </w:r>
      <w:r w:rsidRPr="00A00EAA">
        <w:t xml:space="preserve"> in 2016 and registered </w:t>
      </w:r>
      <w:r w:rsidR="00885E4B">
        <w:t>year-over-year</w:t>
      </w:r>
      <w:r w:rsidRPr="00A00EAA">
        <w:t xml:space="preserve"> growth of 23 per cent over 2015. Its expansion plan included </w:t>
      </w:r>
      <w:r w:rsidRPr="00DA33A8">
        <w:t xml:space="preserve">launching new products and increasing its footprint across Australia and Africa by 2018. Purchase decisions at SF were </w:t>
      </w:r>
      <w:r w:rsidR="00885E4B" w:rsidRPr="00DA33A8">
        <w:t>made</w:t>
      </w:r>
      <w:r w:rsidRPr="00DA33A8">
        <w:t xml:space="preserve"> by a purchasing committee comprising a member each </w:t>
      </w:r>
      <w:r w:rsidR="00885E4B" w:rsidRPr="00DA33A8">
        <w:t>of</w:t>
      </w:r>
      <w:r w:rsidRPr="00DA33A8">
        <w:t xml:space="preserve"> the marketing, quality assurance, finance</w:t>
      </w:r>
      <w:r w:rsidR="00885E4B" w:rsidRPr="00DA33A8">
        <w:t>,</w:t>
      </w:r>
      <w:r w:rsidRPr="00DA33A8">
        <w:t xml:space="preserve"> and procurement departments. The decisions were bas</w:t>
      </w:r>
      <w:r w:rsidR="00885E4B" w:rsidRPr="00DA33A8">
        <w:t>ed</w:t>
      </w:r>
      <w:r w:rsidRPr="00DA33A8">
        <w:t xml:space="preserve"> o</w:t>
      </w:r>
      <w:r w:rsidR="00885E4B" w:rsidRPr="00DA33A8">
        <w:t>n</w:t>
      </w:r>
      <w:r w:rsidRPr="00DA33A8">
        <w:t xml:space="preserve"> price, quality, previous experience, capacity, delivery period</w:t>
      </w:r>
      <w:r w:rsidR="00885E4B" w:rsidRPr="00DA33A8">
        <w:t>,</w:t>
      </w:r>
      <w:r w:rsidRPr="00DA33A8">
        <w:t xml:space="preserve"> and payment terms. SF had good logistics management practices</w:t>
      </w:r>
      <w:r w:rsidRPr="00A00EAA">
        <w:t xml:space="preserve"> in place</w:t>
      </w:r>
      <w:r w:rsidR="00885E4B">
        <w:t>,</w:t>
      </w:r>
      <w:r w:rsidRPr="00A00EAA">
        <w:t xml:space="preserve"> and initially had a good delivery time</w:t>
      </w:r>
      <w:r w:rsidR="00885E4B">
        <w:t>—</w:t>
      </w:r>
      <w:r w:rsidRPr="00A00EAA">
        <w:t>of 45 days</w:t>
      </w:r>
      <w:r w:rsidR="00885E4B">
        <w:t>—</w:t>
      </w:r>
      <w:r w:rsidRPr="00A00EAA">
        <w:t xml:space="preserve">to Ajanta. This </w:t>
      </w:r>
      <w:r w:rsidR="00885E4B">
        <w:t>time</w:t>
      </w:r>
      <w:r w:rsidR="00732965">
        <w:t xml:space="preserve"> frame</w:t>
      </w:r>
      <w:r w:rsidR="00885E4B">
        <w:t xml:space="preserve"> </w:t>
      </w:r>
      <w:r w:rsidRPr="00A00EAA">
        <w:t xml:space="preserve">was sufficient for Ajanta to procure the required material from the manufacturer and supply it to SF. SF bought bottles from </w:t>
      </w:r>
      <w:r w:rsidR="00732965">
        <w:t>three</w:t>
      </w:r>
      <w:r w:rsidRPr="00A00EAA">
        <w:t xml:space="preserve"> companies, but the majority share </w:t>
      </w:r>
      <w:r w:rsidR="00732965">
        <w:t>(</w:t>
      </w:r>
      <w:r w:rsidRPr="00A00EAA">
        <w:t>of 60 per cent</w:t>
      </w:r>
      <w:r w:rsidR="00732965">
        <w:t>)</w:t>
      </w:r>
      <w:r w:rsidRPr="00A00EAA">
        <w:t xml:space="preserve"> went to Ajanta. </w:t>
      </w:r>
    </w:p>
    <w:p w14:paraId="25A1A2BD" w14:textId="77777777" w:rsidR="00C176CC" w:rsidRPr="00A00EAA" w:rsidRDefault="00C176CC" w:rsidP="00C176CC">
      <w:pPr>
        <w:pStyle w:val="BodyTextMain"/>
      </w:pPr>
    </w:p>
    <w:p w14:paraId="44ECE9F4" w14:textId="60D92C56" w:rsidR="00C176CC" w:rsidRDefault="00893183" w:rsidP="00C176CC">
      <w:pPr>
        <w:pStyle w:val="BodyTextMain"/>
      </w:pPr>
      <w:r>
        <w:t xml:space="preserve">SF had been Ajanta’s customer since 2001. It was one of Ajanta’s oldest and most important customers, and constituted around 15 per cent of Ajanta’s business. </w:t>
      </w:r>
      <w:r w:rsidR="00EA6E0E">
        <w:t>However, a</w:t>
      </w:r>
      <w:r w:rsidR="00C176CC" w:rsidRPr="00A00EAA">
        <w:t>lthough Ajanta received good business from SF, the profit margins were very low. Also, over time</w:t>
      </w:r>
      <w:r w:rsidR="00290E45">
        <w:t>,</w:t>
      </w:r>
      <w:r w:rsidR="00C176CC" w:rsidRPr="00A00EAA">
        <w:t xml:space="preserve"> SF </w:t>
      </w:r>
      <w:r w:rsidR="00EA6E0E">
        <w:t xml:space="preserve">had </w:t>
      </w:r>
      <w:r w:rsidR="00C176CC" w:rsidRPr="00A00EAA">
        <w:t>beg</w:t>
      </w:r>
      <w:r w:rsidR="00EA6E0E">
        <w:t>u</w:t>
      </w:r>
      <w:r w:rsidR="00C176CC" w:rsidRPr="00A00EAA">
        <w:t xml:space="preserve">n making payments after 60 days and sometimes even as late as 90 days. This did not work well for Ajanta, </w:t>
      </w:r>
      <w:r w:rsidR="00EA6E0E">
        <w:t>as it</w:t>
      </w:r>
      <w:r w:rsidR="00C176CC" w:rsidRPr="00A00EAA">
        <w:t xml:space="preserve"> was expected to pay its suppliers within 30 days. </w:t>
      </w:r>
      <w:r w:rsidR="00EA6E0E">
        <w:t>While t</w:t>
      </w:r>
      <w:r w:rsidR="00C176CC" w:rsidRPr="00A00EAA">
        <w:t>his affected Ajanta’s profitability, Deepanker continued to compromise because of the volume of SF’s business.</w:t>
      </w:r>
    </w:p>
    <w:p w14:paraId="61BD51B3" w14:textId="77777777" w:rsidR="006E4E7E" w:rsidRDefault="006E4E7E" w:rsidP="00C176CC">
      <w:pPr>
        <w:pStyle w:val="BodyTextMain"/>
      </w:pPr>
    </w:p>
    <w:p w14:paraId="4FD7FF72" w14:textId="77777777" w:rsidR="00C176CC" w:rsidRPr="00A00EAA" w:rsidRDefault="00C176CC" w:rsidP="00C176CC">
      <w:pPr>
        <w:pStyle w:val="Casehead1"/>
        <w:keepNext/>
      </w:pPr>
      <w:r w:rsidRPr="00A00EAA">
        <w:lastRenderedPageBreak/>
        <w:t>THE DILEMMA</w:t>
      </w:r>
    </w:p>
    <w:p w14:paraId="2C6F8F08" w14:textId="77777777" w:rsidR="00C176CC" w:rsidRPr="00A00EAA" w:rsidRDefault="00C176CC" w:rsidP="00C176CC">
      <w:pPr>
        <w:pStyle w:val="BodyTextMain"/>
        <w:keepNext/>
      </w:pPr>
    </w:p>
    <w:p w14:paraId="4ECEFED8" w14:textId="5048BC4D" w:rsidR="00C176CC" w:rsidRDefault="00C176CC" w:rsidP="00C176CC">
      <w:pPr>
        <w:pStyle w:val="BodyTextMain"/>
        <w:keepNext/>
        <w:rPr>
          <w:lang w:val="en-GB"/>
        </w:rPr>
      </w:pPr>
      <w:r w:rsidRPr="00A00EAA">
        <w:rPr>
          <w:lang w:val="en-GB"/>
        </w:rPr>
        <w:t xml:space="preserve">During 2015–2017, Deepanker made many changes in the business model, shifting </w:t>
      </w:r>
      <w:r w:rsidR="00EA6E0E">
        <w:rPr>
          <w:lang w:val="en-GB"/>
        </w:rPr>
        <w:t xml:space="preserve">away from </w:t>
      </w:r>
      <w:r w:rsidRPr="00A00EAA">
        <w:rPr>
          <w:lang w:val="en-GB"/>
        </w:rPr>
        <w:t>Ajanta’s heavy reliance on its large customers</w:t>
      </w:r>
      <w:r w:rsidR="00822324">
        <w:rPr>
          <w:lang w:val="en-GB"/>
        </w:rPr>
        <w:t xml:space="preserve"> and particularly on </w:t>
      </w:r>
      <w:r w:rsidRPr="00A00EAA">
        <w:rPr>
          <w:lang w:val="en-GB"/>
        </w:rPr>
        <w:t xml:space="preserve">SF. Deepanker could see the need for a new customer-management system to service </w:t>
      </w:r>
      <w:r w:rsidR="00CA39AA">
        <w:rPr>
          <w:lang w:val="en-GB"/>
        </w:rPr>
        <w:t>the company’s</w:t>
      </w:r>
      <w:r w:rsidRPr="00A00EAA">
        <w:rPr>
          <w:lang w:val="en-GB"/>
        </w:rPr>
        <w:t xml:space="preserve"> customers more effectively</w:t>
      </w:r>
      <w:r w:rsidR="00EA6E0E">
        <w:rPr>
          <w:lang w:val="en-GB"/>
        </w:rPr>
        <w:t>,</w:t>
      </w:r>
      <w:r w:rsidRPr="00A00EAA">
        <w:rPr>
          <w:lang w:val="en-GB"/>
        </w:rPr>
        <w:t xml:space="preserve"> but </w:t>
      </w:r>
      <w:r w:rsidR="00EA6E0E">
        <w:rPr>
          <w:lang w:val="en-GB"/>
        </w:rPr>
        <w:t xml:space="preserve">was </w:t>
      </w:r>
      <w:r w:rsidRPr="00A00EAA">
        <w:rPr>
          <w:lang w:val="en-GB"/>
        </w:rPr>
        <w:t>still un</w:t>
      </w:r>
      <w:r w:rsidR="00EA6E0E">
        <w:rPr>
          <w:lang w:val="en-GB"/>
        </w:rPr>
        <w:t>sure</w:t>
      </w:r>
      <w:r w:rsidRPr="00A00EAA">
        <w:rPr>
          <w:lang w:val="en-GB"/>
        </w:rPr>
        <w:t xml:space="preserve"> about </w:t>
      </w:r>
      <w:r w:rsidR="00EA6E0E">
        <w:rPr>
          <w:lang w:val="en-GB"/>
        </w:rPr>
        <w:t>how to</w:t>
      </w:r>
      <w:r w:rsidRPr="00A00EAA">
        <w:rPr>
          <w:lang w:val="en-GB"/>
        </w:rPr>
        <w:t xml:space="preserve"> segment </w:t>
      </w:r>
      <w:r w:rsidR="00CA39AA">
        <w:rPr>
          <w:lang w:val="en-GB"/>
        </w:rPr>
        <w:t>the</w:t>
      </w:r>
      <w:r w:rsidRPr="00A00EAA">
        <w:rPr>
          <w:lang w:val="en-GB"/>
        </w:rPr>
        <w:t xml:space="preserve"> customers. </w:t>
      </w:r>
      <w:r w:rsidRPr="00A00EAA">
        <w:t>He struggled with his company’s relationship with SF</w:t>
      </w:r>
      <w:r w:rsidR="00EA6E0E">
        <w:t>—</w:t>
      </w:r>
      <w:r w:rsidR="00A46A4B">
        <w:t xml:space="preserve">although </w:t>
      </w:r>
      <w:r w:rsidR="00EA6E0E">
        <w:t>it</w:t>
      </w:r>
      <w:r w:rsidRPr="00A00EAA">
        <w:t xml:space="preserve"> promised sizeable business, </w:t>
      </w:r>
      <w:r w:rsidR="00EA6E0E">
        <w:t>its</w:t>
      </w:r>
      <w:r w:rsidRPr="00A00EAA">
        <w:t xml:space="preserve"> arm</w:t>
      </w:r>
      <w:r w:rsidR="009B0325">
        <w:t>-</w:t>
      </w:r>
      <w:r w:rsidRPr="00A00EAA">
        <w:t>twist</w:t>
      </w:r>
      <w:r w:rsidR="00EA6E0E">
        <w:t>ing</w:t>
      </w:r>
      <w:r w:rsidRPr="00A00EAA">
        <w:t xml:space="preserve"> on payment dates and deliveries </w:t>
      </w:r>
      <w:r w:rsidR="00EA6E0E">
        <w:t xml:space="preserve">made </w:t>
      </w:r>
      <w:r w:rsidR="009B0325">
        <w:t>it</w:t>
      </w:r>
      <w:r w:rsidRPr="00A00EAA">
        <w:t xml:space="preserve"> increasingly difficult to manage. SF’s </w:t>
      </w:r>
      <w:r w:rsidR="00EA6E0E">
        <w:t>large</w:t>
      </w:r>
      <w:r w:rsidRPr="00A00EAA">
        <w:t xml:space="preserve"> </w:t>
      </w:r>
      <w:r w:rsidRPr="00A00EAA">
        <w:rPr>
          <w:lang w:val="en-GB"/>
        </w:rPr>
        <w:t>$25</w:t>
      </w:r>
      <w:r w:rsidR="00EA6E0E">
        <w:rPr>
          <w:lang w:val="en-GB"/>
        </w:rPr>
        <w:t>-</w:t>
      </w:r>
      <w:r w:rsidRPr="00A00EAA">
        <w:rPr>
          <w:lang w:val="en-GB"/>
        </w:rPr>
        <w:t>million</w:t>
      </w:r>
      <w:r w:rsidR="00EA6E0E">
        <w:rPr>
          <w:lang w:val="en-GB"/>
        </w:rPr>
        <w:t xml:space="preserve"> order</w:t>
      </w:r>
      <w:r w:rsidRPr="00A00EAA">
        <w:rPr>
          <w:lang w:val="en-GB"/>
        </w:rPr>
        <w:t xml:space="preserve"> came with </w:t>
      </w:r>
      <w:r w:rsidR="00EA6E0E">
        <w:rPr>
          <w:lang w:val="en-GB"/>
        </w:rPr>
        <w:t>very</w:t>
      </w:r>
      <w:r w:rsidRPr="00A00EAA">
        <w:rPr>
          <w:lang w:val="en-GB"/>
        </w:rPr>
        <w:t xml:space="preserve"> low profit margins</w:t>
      </w:r>
      <w:r w:rsidR="00EA6E0E">
        <w:rPr>
          <w:lang w:val="en-GB"/>
        </w:rPr>
        <w:t>, and accepting the order with</w:t>
      </w:r>
      <w:r w:rsidRPr="00A00EAA">
        <w:rPr>
          <w:lang w:val="en-GB"/>
        </w:rPr>
        <w:t xml:space="preserve"> a </w:t>
      </w:r>
      <w:r w:rsidR="00EA6E0E">
        <w:rPr>
          <w:lang w:val="en-GB"/>
        </w:rPr>
        <w:t xml:space="preserve">60-day </w:t>
      </w:r>
      <w:r w:rsidRPr="00A00EAA">
        <w:rPr>
          <w:lang w:val="en-GB"/>
        </w:rPr>
        <w:t>payment period and a short delivery turnaround was certain to jeopardi</w:t>
      </w:r>
      <w:r w:rsidR="00EA6E0E">
        <w:rPr>
          <w:lang w:val="en-GB"/>
        </w:rPr>
        <w:t>ze</w:t>
      </w:r>
      <w:r w:rsidRPr="00A00EAA">
        <w:rPr>
          <w:lang w:val="en-GB"/>
        </w:rPr>
        <w:t xml:space="preserve"> Ajanta’s payments to its vendors, in turn affect</w:t>
      </w:r>
      <w:r w:rsidR="009B0325">
        <w:rPr>
          <w:lang w:val="en-GB"/>
        </w:rPr>
        <w:t>ing</w:t>
      </w:r>
      <w:r w:rsidRPr="00A00EAA">
        <w:rPr>
          <w:lang w:val="en-GB"/>
        </w:rPr>
        <w:t xml:space="preserve"> the supply of orders to its other customers. </w:t>
      </w:r>
      <w:r w:rsidR="00CA39AA">
        <w:rPr>
          <w:lang w:val="en-GB"/>
        </w:rPr>
        <w:t>W</w:t>
      </w:r>
      <w:r w:rsidR="00A46A4B">
        <w:rPr>
          <w:lang w:val="en-GB"/>
        </w:rPr>
        <w:t>anting</w:t>
      </w:r>
      <w:r w:rsidRPr="00A00EAA">
        <w:rPr>
          <w:lang w:val="en-GB"/>
        </w:rPr>
        <w:t xml:space="preserve"> to retain </w:t>
      </w:r>
      <w:r w:rsidR="00CA39AA">
        <w:rPr>
          <w:lang w:val="en-GB"/>
        </w:rPr>
        <w:t xml:space="preserve">SF’s </w:t>
      </w:r>
      <w:r w:rsidRPr="00A00EAA">
        <w:rPr>
          <w:lang w:val="en-GB"/>
        </w:rPr>
        <w:t xml:space="preserve">business </w:t>
      </w:r>
      <w:r w:rsidR="00CA39AA">
        <w:rPr>
          <w:lang w:val="en-GB"/>
        </w:rPr>
        <w:t>while</w:t>
      </w:r>
      <w:r w:rsidRPr="00A00EAA">
        <w:rPr>
          <w:lang w:val="en-GB"/>
        </w:rPr>
        <w:t xml:space="preserve"> keep</w:t>
      </w:r>
      <w:r w:rsidR="00CA39AA">
        <w:rPr>
          <w:lang w:val="en-GB"/>
        </w:rPr>
        <w:t>ing</w:t>
      </w:r>
      <w:r w:rsidRPr="00A00EAA">
        <w:rPr>
          <w:lang w:val="en-GB"/>
        </w:rPr>
        <w:t xml:space="preserve"> his company’s commitments to its vendors and other customers</w:t>
      </w:r>
      <w:r w:rsidR="00A46A4B">
        <w:rPr>
          <w:lang w:val="en-GB"/>
        </w:rPr>
        <w:t>,</w:t>
      </w:r>
      <w:r w:rsidRPr="00A00EAA">
        <w:rPr>
          <w:lang w:val="en-GB"/>
        </w:rPr>
        <w:t xml:space="preserve"> </w:t>
      </w:r>
      <w:r w:rsidR="00A46A4B">
        <w:rPr>
          <w:lang w:val="en-GB"/>
        </w:rPr>
        <w:t>Deepanker</w:t>
      </w:r>
      <w:r w:rsidR="00CA39AA">
        <w:rPr>
          <w:lang w:val="en-GB"/>
        </w:rPr>
        <w:t xml:space="preserve"> had to decide whether</w:t>
      </w:r>
      <w:r w:rsidRPr="00A00EAA">
        <w:rPr>
          <w:lang w:val="en-GB"/>
        </w:rPr>
        <w:t xml:space="preserve"> </w:t>
      </w:r>
      <w:r w:rsidR="00CA39AA">
        <w:rPr>
          <w:lang w:val="en-GB"/>
        </w:rPr>
        <w:t xml:space="preserve">to </w:t>
      </w:r>
      <w:r w:rsidRPr="00A00EAA">
        <w:rPr>
          <w:lang w:val="en-GB"/>
        </w:rPr>
        <w:t>accept the order on SF’s terms</w:t>
      </w:r>
      <w:r w:rsidR="00CA39AA">
        <w:rPr>
          <w:lang w:val="en-GB"/>
        </w:rPr>
        <w:t>,</w:t>
      </w:r>
      <w:r w:rsidRPr="00A00EAA">
        <w:rPr>
          <w:lang w:val="en-GB"/>
        </w:rPr>
        <w:t xml:space="preserve"> or renegotiate the </w:t>
      </w:r>
      <w:r w:rsidR="00A46A4B">
        <w:rPr>
          <w:lang w:val="en-GB"/>
        </w:rPr>
        <w:t>terms to suit Ajanta</w:t>
      </w:r>
      <w:r w:rsidRPr="00A00EAA">
        <w:rPr>
          <w:lang w:val="en-GB"/>
        </w:rPr>
        <w:t xml:space="preserve">. He also wondered </w:t>
      </w:r>
      <w:r w:rsidR="00CA39AA">
        <w:rPr>
          <w:lang w:val="en-GB"/>
        </w:rPr>
        <w:t>what</w:t>
      </w:r>
      <w:r w:rsidRPr="00A00EAA">
        <w:rPr>
          <w:lang w:val="en-GB"/>
        </w:rPr>
        <w:t xml:space="preserve"> processes he could follow to prevent such </w:t>
      </w:r>
      <w:r w:rsidR="00CA39AA">
        <w:rPr>
          <w:lang w:val="en-GB"/>
        </w:rPr>
        <w:t xml:space="preserve">a </w:t>
      </w:r>
      <w:r w:rsidRPr="00A00EAA">
        <w:rPr>
          <w:lang w:val="en-GB"/>
        </w:rPr>
        <w:t>situation in the future.</w:t>
      </w:r>
    </w:p>
    <w:p w14:paraId="73DBDA3D" w14:textId="77777777" w:rsidR="00DE0E8E" w:rsidRDefault="00DE0E8E" w:rsidP="00C176CC">
      <w:pPr>
        <w:pStyle w:val="BodyTextMain"/>
        <w:keepNext/>
        <w:rPr>
          <w:lang w:val="en-GB"/>
        </w:rPr>
      </w:pPr>
    </w:p>
    <w:p w14:paraId="54504E0B" w14:textId="0F680E7B" w:rsidR="00DE0E8E" w:rsidRDefault="00DE0E8E" w:rsidP="00C176CC">
      <w:pPr>
        <w:pStyle w:val="BodyTextMain"/>
        <w:keepNext/>
        <w:rPr>
          <w:lang w:val="en-GB"/>
        </w:rPr>
      </w:pPr>
      <w:r w:rsidRPr="00DE0E8E">
        <w:rPr>
          <w:noProof/>
        </w:rPr>
        <mc:AlternateContent>
          <mc:Choice Requires="wps">
            <w:drawing>
              <wp:anchor distT="45720" distB="45720" distL="114300" distR="114300" simplePos="0" relativeHeight="251659264" behindDoc="0" locked="0" layoutInCell="1" allowOverlap="1" wp14:anchorId="42135B55" wp14:editId="38AB3F85">
                <wp:simplePos x="0" y="0"/>
                <wp:positionH relativeFrom="column">
                  <wp:posOffset>969645</wp:posOffset>
                </wp:positionH>
                <wp:positionV relativeFrom="paragraph">
                  <wp:posOffset>24130</wp:posOffset>
                </wp:positionV>
                <wp:extent cx="3736975" cy="1404620"/>
                <wp:effectExtent l="0" t="0" r="158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1404620"/>
                        </a:xfrm>
                        <a:prstGeom prst="rect">
                          <a:avLst/>
                        </a:prstGeom>
                        <a:solidFill>
                          <a:srgbClr val="FFFFFF"/>
                        </a:solidFill>
                        <a:ln w="9525">
                          <a:solidFill>
                            <a:srgbClr val="000000"/>
                          </a:solidFill>
                          <a:miter lim="800000"/>
                          <a:headEnd/>
                          <a:tailEnd/>
                        </a:ln>
                      </wps:spPr>
                      <wps:txbx>
                        <w:txbxContent>
                          <w:p w14:paraId="15369E5A" w14:textId="2D10A5F2" w:rsidR="00DE0E8E" w:rsidRDefault="00DE0E8E" w:rsidP="00DE0E8E">
                            <w:pPr>
                              <w:pStyle w:val="Footnote"/>
                              <w:jc w:val="center"/>
                            </w:pPr>
                            <w:r>
                              <w:t>Sandeep Puri is an associate professor at Asian Institute of Management, Manila; Rakesh Singh is a professor at Bennet University,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135B55" id="_x0000_t202" coordsize="21600,21600" o:spt="202" path="m,l,21600r21600,l21600,xe">
                <v:stroke joinstyle="miter"/>
                <v:path gradientshapeok="t" o:connecttype="rect"/>
              </v:shapetype>
              <v:shape id="Text Box 2" o:spid="_x0000_s1026" type="#_x0000_t202" style="position:absolute;left:0;text-align:left;margin-left:76.35pt;margin-top:1.9pt;width:29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">
                <v:textbox style="mso-fit-shape-to-text:t">
                  <w:txbxContent>
                    <w:p w14:paraId="15369E5A" w14:textId="2D10A5F2" w:rsidR="00DE0E8E" w:rsidRDefault="00DE0E8E" w:rsidP="00DE0E8E">
                      <w:pPr>
                        <w:pStyle w:val="Footnote"/>
                        <w:jc w:val="center"/>
                      </w:pPr>
                      <w:r>
                        <w:t>Sandeep Puri is an associate professor at Asian Institute of Management, Manila; Rakesh Singh is a professor at Bennet University, India.</w:t>
                      </w:r>
                    </w:p>
                  </w:txbxContent>
                </v:textbox>
                <w10:wrap type="square"/>
              </v:shape>
            </w:pict>
          </mc:Fallback>
        </mc:AlternateContent>
      </w:r>
    </w:p>
    <w:p w14:paraId="27CEEDD0" w14:textId="5019F8BB" w:rsidR="00DE0E8E" w:rsidRDefault="00DE0E8E" w:rsidP="00C176CC">
      <w:pPr>
        <w:pStyle w:val="BodyTextMain"/>
        <w:keepNext/>
        <w:rPr>
          <w:lang w:val="en-GB"/>
        </w:rPr>
      </w:pPr>
    </w:p>
    <w:p w14:paraId="48861B08" w14:textId="77777777" w:rsidR="00DE0E8E" w:rsidRDefault="00DE0E8E" w:rsidP="00C176CC">
      <w:pPr>
        <w:pStyle w:val="BodyTextMain"/>
        <w:keepNext/>
        <w:rPr>
          <w:lang w:val="en-GB"/>
        </w:rPr>
      </w:pPr>
    </w:p>
    <w:p w14:paraId="5BC7CCE8" w14:textId="77777777" w:rsidR="00DE0E8E" w:rsidRPr="00F97418" w:rsidRDefault="00DE0E8E" w:rsidP="00C176CC">
      <w:pPr>
        <w:pStyle w:val="BodyTextMain"/>
        <w:keepNext/>
      </w:pPr>
    </w:p>
    <w:p w14:paraId="7613959C" w14:textId="77777777" w:rsidR="00C176CC" w:rsidRDefault="00C176CC">
      <w:pPr>
        <w:spacing w:after="200" w:line="276" w:lineRule="auto"/>
        <w:rPr>
          <w:sz w:val="22"/>
          <w:szCs w:val="22"/>
        </w:rPr>
      </w:pPr>
      <w:r>
        <w:br w:type="page"/>
      </w:r>
    </w:p>
    <w:p w14:paraId="685F6626" w14:textId="77777777" w:rsidR="00C176CC" w:rsidRPr="00C176CC" w:rsidRDefault="00C176CC" w:rsidP="00C176CC">
      <w:pPr>
        <w:pStyle w:val="ExhibitHeading"/>
      </w:pPr>
      <w:r w:rsidRPr="00C176CC">
        <w:lastRenderedPageBreak/>
        <w:t>Exhibit 1: SELECTED FINANCIALS FOR AJANTA PACKAGING (in Us$ millions)</w:t>
      </w:r>
    </w:p>
    <w:p w14:paraId="2EDEAFF9" w14:textId="77777777" w:rsidR="00C176CC" w:rsidRDefault="00C176CC" w:rsidP="00C176CC">
      <w:pPr>
        <w:pStyle w:val="BodyTextMain"/>
      </w:pPr>
    </w:p>
    <w:tbl>
      <w:tblPr>
        <w:tblStyle w:val="TableGrid"/>
        <w:tblW w:w="7320" w:type="dxa"/>
        <w:jc w:val="center"/>
        <w:tblLook w:val="04A0" w:firstRow="1" w:lastRow="0" w:firstColumn="1" w:lastColumn="0" w:noHBand="0" w:noVBand="1"/>
      </w:tblPr>
      <w:tblGrid>
        <w:gridCol w:w="2300"/>
        <w:gridCol w:w="1020"/>
        <w:gridCol w:w="1120"/>
        <w:gridCol w:w="960"/>
        <w:gridCol w:w="960"/>
        <w:gridCol w:w="960"/>
      </w:tblGrid>
      <w:tr w:rsidR="00C176CC" w:rsidRPr="00F654F7" w14:paraId="035BFE08" w14:textId="77777777" w:rsidTr="00C176CC">
        <w:trPr>
          <w:trHeight w:val="62"/>
          <w:jc w:val="center"/>
        </w:trPr>
        <w:tc>
          <w:tcPr>
            <w:tcW w:w="2300" w:type="dxa"/>
            <w:hideMark/>
          </w:tcPr>
          <w:p w14:paraId="3011BA13" w14:textId="77777777" w:rsidR="00C176CC" w:rsidRPr="00F654F7" w:rsidRDefault="00C176CC" w:rsidP="00F26CBE">
            <w:pPr>
              <w:rPr>
                <w:rFonts w:ascii="Calibri" w:hAnsi="Calibri"/>
                <w:color w:val="000000"/>
              </w:rPr>
            </w:pPr>
            <w:r w:rsidRPr="00F654F7">
              <w:rPr>
                <w:rFonts w:ascii="Calibri" w:hAnsi="Calibri"/>
                <w:color w:val="000000"/>
              </w:rPr>
              <w:t> </w:t>
            </w:r>
          </w:p>
        </w:tc>
        <w:tc>
          <w:tcPr>
            <w:tcW w:w="1020" w:type="dxa"/>
            <w:hideMark/>
          </w:tcPr>
          <w:p w14:paraId="331C43D8" w14:textId="77777777" w:rsidR="00C176CC" w:rsidRPr="00F654F7" w:rsidRDefault="00C176CC" w:rsidP="00F26CBE">
            <w:pPr>
              <w:jc w:val="center"/>
              <w:rPr>
                <w:rFonts w:ascii="Arial" w:hAnsi="Arial" w:cs="Arial"/>
                <w:b/>
                <w:bCs/>
                <w:color w:val="000000"/>
              </w:rPr>
            </w:pPr>
            <w:r w:rsidRPr="00F654F7">
              <w:rPr>
                <w:rFonts w:ascii="Arial" w:hAnsi="Arial" w:cs="Arial"/>
                <w:b/>
                <w:bCs/>
                <w:color w:val="000000"/>
              </w:rPr>
              <w:t>2012</w:t>
            </w:r>
          </w:p>
        </w:tc>
        <w:tc>
          <w:tcPr>
            <w:tcW w:w="1120" w:type="dxa"/>
            <w:hideMark/>
          </w:tcPr>
          <w:p w14:paraId="5E63803F" w14:textId="77777777" w:rsidR="00C176CC" w:rsidRPr="00F654F7" w:rsidRDefault="00C176CC" w:rsidP="00F26CBE">
            <w:pPr>
              <w:jc w:val="center"/>
              <w:rPr>
                <w:rFonts w:ascii="Arial" w:hAnsi="Arial" w:cs="Arial"/>
                <w:b/>
                <w:bCs/>
                <w:color w:val="000000"/>
              </w:rPr>
            </w:pPr>
            <w:r w:rsidRPr="00F654F7">
              <w:rPr>
                <w:rFonts w:ascii="Arial" w:hAnsi="Arial" w:cs="Arial"/>
                <w:b/>
                <w:bCs/>
                <w:color w:val="000000"/>
              </w:rPr>
              <w:t>2013</w:t>
            </w:r>
          </w:p>
        </w:tc>
        <w:tc>
          <w:tcPr>
            <w:tcW w:w="960" w:type="dxa"/>
            <w:hideMark/>
          </w:tcPr>
          <w:p w14:paraId="2A3BD55E" w14:textId="77777777" w:rsidR="00C176CC" w:rsidRPr="00F654F7" w:rsidRDefault="00C176CC" w:rsidP="00F26CBE">
            <w:pPr>
              <w:jc w:val="center"/>
              <w:rPr>
                <w:rFonts w:ascii="Arial" w:hAnsi="Arial" w:cs="Arial"/>
                <w:b/>
                <w:bCs/>
                <w:color w:val="000000"/>
              </w:rPr>
            </w:pPr>
            <w:r w:rsidRPr="00F654F7">
              <w:rPr>
                <w:rFonts w:ascii="Arial" w:hAnsi="Arial" w:cs="Arial"/>
                <w:b/>
                <w:bCs/>
                <w:color w:val="000000"/>
              </w:rPr>
              <w:t>2014</w:t>
            </w:r>
          </w:p>
        </w:tc>
        <w:tc>
          <w:tcPr>
            <w:tcW w:w="960" w:type="dxa"/>
            <w:hideMark/>
          </w:tcPr>
          <w:p w14:paraId="547540E1" w14:textId="77777777" w:rsidR="00C176CC" w:rsidRPr="00F654F7" w:rsidRDefault="00C176CC" w:rsidP="00F26CBE">
            <w:pPr>
              <w:jc w:val="center"/>
              <w:rPr>
                <w:rFonts w:ascii="Arial" w:hAnsi="Arial" w:cs="Arial"/>
                <w:b/>
                <w:bCs/>
                <w:color w:val="000000"/>
              </w:rPr>
            </w:pPr>
            <w:r w:rsidRPr="00F654F7">
              <w:rPr>
                <w:rFonts w:ascii="Arial" w:hAnsi="Arial" w:cs="Arial"/>
                <w:b/>
                <w:bCs/>
                <w:color w:val="000000"/>
              </w:rPr>
              <w:t>2015</w:t>
            </w:r>
          </w:p>
        </w:tc>
        <w:tc>
          <w:tcPr>
            <w:tcW w:w="960" w:type="dxa"/>
            <w:hideMark/>
          </w:tcPr>
          <w:p w14:paraId="3146C763" w14:textId="77777777" w:rsidR="00C176CC" w:rsidRPr="00F654F7" w:rsidRDefault="00C176CC" w:rsidP="00F26CBE">
            <w:pPr>
              <w:jc w:val="center"/>
              <w:rPr>
                <w:rFonts w:ascii="Arial" w:hAnsi="Arial" w:cs="Arial"/>
                <w:b/>
                <w:bCs/>
                <w:color w:val="000000"/>
              </w:rPr>
            </w:pPr>
            <w:r w:rsidRPr="00F654F7">
              <w:rPr>
                <w:rFonts w:ascii="Arial" w:hAnsi="Arial" w:cs="Arial"/>
                <w:b/>
                <w:bCs/>
                <w:color w:val="000000"/>
              </w:rPr>
              <w:t>2016</w:t>
            </w:r>
          </w:p>
        </w:tc>
      </w:tr>
      <w:tr w:rsidR="00C176CC" w:rsidRPr="00F654F7" w14:paraId="03835E00" w14:textId="77777777" w:rsidTr="00C176CC">
        <w:trPr>
          <w:trHeight w:val="60"/>
          <w:jc w:val="center"/>
        </w:trPr>
        <w:tc>
          <w:tcPr>
            <w:tcW w:w="2300" w:type="dxa"/>
            <w:hideMark/>
          </w:tcPr>
          <w:p w14:paraId="7B2D1CF2" w14:textId="77777777" w:rsidR="00C176CC" w:rsidRPr="00F654F7" w:rsidRDefault="00C176CC" w:rsidP="00B0713C">
            <w:pPr>
              <w:rPr>
                <w:rFonts w:ascii="Arial" w:hAnsi="Arial" w:cs="Arial"/>
                <w:b/>
                <w:bCs/>
                <w:color w:val="000000"/>
              </w:rPr>
            </w:pPr>
            <w:r w:rsidRPr="00F654F7">
              <w:rPr>
                <w:rFonts w:ascii="Arial" w:hAnsi="Arial" w:cs="Arial"/>
                <w:b/>
                <w:bCs/>
                <w:color w:val="000000"/>
              </w:rPr>
              <w:t xml:space="preserve">Sales Turnover </w:t>
            </w:r>
          </w:p>
        </w:tc>
        <w:tc>
          <w:tcPr>
            <w:tcW w:w="1020" w:type="dxa"/>
            <w:hideMark/>
          </w:tcPr>
          <w:p w14:paraId="0CBC57EB" w14:textId="1CD65856" w:rsidR="00C176CC" w:rsidRPr="00F654F7" w:rsidRDefault="00C176CC" w:rsidP="00B0713C">
            <w:pPr>
              <w:jc w:val="right"/>
              <w:rPr>
                <w:rFonts w:ascii="Arial" w:hAnsi="Arial" w:cs="Arial"/>
                <w:color w:val="000000"/>
              </w:rPr>
            </w:pPr>
            <w:r w:rsidRPr="00F654F7">
              <w:rPr>
                <w:rFonts w:ascii="Arial" w:hAnsi="Arial" w:cs="Arial"/>
                <w:color w:val="000000"/>
              </w:rPr>
              <w:t>102</w:t>
            </w:r>
            <w:r w:rsidR="0065311F">
              <w:rPr>
                <w:rFonts w:ascii="Arial" w:hAnsi="Arial" w:cs="Arial"/>
                <w:color w:val="000000"/>
              </w:rPr>
              <w:t>.0</w:t>
            </w:r>
          </w:p>
        </w:tc>
        <w:tc>
          <w:tcPr>
            <w:tcW w:w="1120" w:type="dxa"/>
            <w:hideMark/>
          </w:tcPr>
          <w:p w14:paraId="30858A58" w14:textId="6607A977" w:rsidR="00C176CC" w:rsidRPr="00F654F7" w:rsidRDefault="00C176CC" w:rsidP="00B0713C">
            <w:pPr>
              <w:jc w:val="right"/>
              <w:rPr>
                <w:rFonts w:ascii="Arial" w:hAnsi="Arial" w:cs="Arial"/>
                <w:color w:val="000000"/>
              </w:rPr>
            </w:pPr>
            <w:r w:rsidRPr="00F654F7">
              <w:rPr>
                <w:rFonts w:ascii="Arial" w:hAnsi="Arial" w:cs="Arial"/>
                <w:color w:val="000000"/>
              </w:rPr>
              <w:t>153</w:t>
            </w:r>
            <w:r w:rsidR="0065311F">
              <w:rPr>
                <w:rFonts w:ascii="Arial" w:hAnsi="Arial" w:cs="Arial"/>
                <w:color w:val="000000"/>
              </w:rPr>
              <w:t>.0</w:t>
            </w:r>
          </w:p>
        </w:tc>
        <w:tc>
          <w:tcPr>
            <w:tcW w:w="960" w:type="dxa"/>
            <w:hideMark/>
          </w:tcPr>
          <w:p w14:paraId="0E191FBF" w14:textId="4EFD2C58" w:rsidR="00C176CC" w:rsidRPr="00F654F7" w:rsidRDefault="00C176CC" w:rsidP="00B0713C">
            <w:pPr>
              <w:jc w:val="right"/>
              <w:rPr>
                <w:rFonts w:ascii="Arial" w:hAnsi="Arial" w:cs="Arial"/>
                <w:color w:val="000000"/>
              </w:rPr>
            </w:pPr>
            <w:r w:rsidRPr="00F654F7">
              <w:rPr>
                <w:rFonts w:ascii="Arial" w:hAnsi="Arial" w:cs="Arial"/>
                <w:color w:val="000000"/>
              </w:rPr>
              <w:t>198</w:t>
            </w:r>
            <w:r w:rsidR="0065311F">
              <w:rPr>
                <w:rFonts w:ascii="Arial" w:hAnsi="Arial" w:cs="Arial"/>
                <w:color w:val="000000"/>
              </w:rPr>
              <w:t>.0</w:t>
            </w:r>
          </w:p>
        </w:tc>
        <w:tc>
          <w:tcPr>
            <w:tcW w:w="960" w:type="dxa"/>
            <w:hideMark/>
          </w:tcPr>
          <w:p w14:paraId="74E3AAB1" w14:textId="619B1E4F" w:rsidR="00C176CC" w:rsidRPr="00F654F7" w:rsidRDefault="00C176CC" w:rsidP="00B0713C">
            <w:pPr>
              <w:jc w:val="right"/>
              <w:rPr>
                <w:rFonts w:ascii="Arial" w:hAnsi="Arial" w:cs="Arial"/>
                <w:color w:val="000000"/>
              </w:rPr>
            </w:pPr>
            <w:r w:rsidRPr="00F654F7">
              <w:rPr>
                <w:rFonts w:ascii="Arial" w:hAnsi="Arial" w:cs="Arial"/>
                <w:color w:val="000000"/>
              </w:rPr>
              <w:t>249</w:t>
            </w:r>
            <w:r w:rsidR="0065311F">
              <w:rPr>
                <w:rFonts w:ascii="Arial" w:hAnsi="Arial" w:cs="Arial"/>
                <w:color w:val="000000"/>
              </w:rPr>
              <w:t>.0</w:t>
            </w:r>
          </w:p>
        </w:tc>
        <w:tc>
          <w:tcPr>
            <w:tcW w:w="960" w:type="dxa"/>
            <w:hideMark/>
          </w:tcPr>
          <w:p w14:paraId="5D182D01" w14:textId="16E69D96" w:rsidR="00C176CC" w:rsidRPr="00F654F7" w:rsidRDefault="00C176CC" w:rsidP="00B0713C">
            <w:pPr>
              <w:jc w:val="right"/>
              <w:rPr>
                <w:rFonts w:ascii="Arial" w:hAnsi="Arial" w:cs="Arial"/>
                <w:color w:val="000000"/>
              </w:rPr>
            </w:pPr>
            <w:r w:rsidRPr="00F654F7">
              <w:rPr>
                <w:rFonts w:ascii="Arial" w:hAnsi="Arial" w:cs="Arial"/>
                <w:color w:val="000000"/>
              </w:rPr>
              <w:t>302</w:t>
            </w:r>
            <w:r w:rsidR="0065311F">
              <w:rPr>
                <w:rFonts w:ascii="Arial" w:hAnsi="Arial" w:cs="Arial"/>
                <w:color w:val="000000"/>
              </w:rPr>
              <w:t>.0</w:t>
            </w:r>
          </w:p>
        </w:tc>
      </w:tr>
      <w:tr w:rsidR="00C176CC" w:rsidRPr="00F654F7" w14:paraId="5E28C5C0" w14:textId="77777777" w:rsidTr="00C176CC">
        <w:trPr>
          <w:trHeight w:val="60"/>
          <w:jc w:val="center"/>
        </w:trPr>
        <w:tc>
          <w:tcPr>
            <w:tcW w:w="2300" w:type="dxa"/>
            <w:hideMark/>
          </w:tcPr>
          <w:p w14:paraId="61B9E949" w14:textId="77777777" w:rsidR="00C176CC" w:rsidRPr="00F654F7" w:rsidRDefault="00C176CC" w:rsidP="00B0713C">
            <w:pPr>
              <w:rPr>
                <w:rFonts w:ascii="Arial" w:hAnsi="Arial" w:cs="Arial"/>
                <w:b/>
                <w:bCs/>
                <w:color w:val="000000"/>
              </w:rPr>
            </w:pPr>
            <w:r w:rsidRPr="00F654F7">
              <w:rPr>
                <w:rFonts w:ascii="Arial" w:hAnsi="Arial" w:cs="Arial"/>
                <w:b/>
                <w:bCs/>
                <w:color w:val="000000"/>
              </w:rPr>
              <w:t xml:space="preserve">Other Income </w:t>
            </w:r>
          </w:p>
        </w:tc>
        <w:tc>
          <w:tcPr>
            <w:tcW w:w="1020" w:type="dxa"/>
            <w:hideMark/>
          </w:tcPr>
          <w:p w14:paraId="343773B5" w14:textId="77777777" w:rsidR="00C176CC" w:rsidRPr="00F654F7" w:rsidRDefault="00C176CC" w:rsidP="00B0713C">
            <w:pPr>
              <w:jc w:val="right"/>
              <w:rPr>
                <w:rFonts w:ascii="Arial" w:hAnsi="Arial" w:cs="Arial"/>
                <w:color w:val="000000"/>
              </w:rPr>
            </w:pPr>
            <w:r w:rsidRPr="00F654F7">
              <w:rPr>
                <w:rFonts w:ascii="Arial" w:hAnsi="Arial" w:cs="Arial"/>
                <w:color w:val="000000"/>
              </w:rPr>
              <w:t>6.1</w:t>
            </w:r>
          </w:p>
        </w:tc>
        <w:tc>
          <w:tcPr>
            <w:tcW w:w="1120" w:type="dxa"/>
            <w:hideMark/>
          </w:tcPr>
          <w:p w14:paraId="4E5EA698" w14:textId="77777777" w:rsidR="00C176CC" w:rsidRPr="00F654F7" w:rsidRDefault="00C176CC" w:rsidP="00B0713C">
            <w:pPr>
              <w:jc w:val="right"/>
              <w:rPr>
                <w:rFonts w:ascii="Arial" w:hAnsi="Arial" w:cs="Arial"/>
                <w:color w:val="000000"/>
              </w:rPr>
            </w:pPr>
            <w:r w:rsidRPr="00F654F7">
              <w:rPr>
                <w:rFonts w:ascii="Arial" w:hAnsi="Arial" w:cs="Arial"/>
                <w:color w:val="000000"/>
              </w:rPr>
              <w:t>11.2</w:t>
            </w:r>
          </w:p>
        </w:tc>
        <w:tc>
          <w:tcPr>
            <w:tcW w:w="960" w:type="dxa"/>
            <w:hideMark/>
          </w:tcPr>
          <w:p w14:paraId="2029E5C5" w14:textId="77777777" w:rsidR="00C176CC" w:rsidRPr="00F654F7" w:rsidRDefault="00C176CC" w:rsidP="00B0713C">
            <w:pPr>
              <w:jc w:val="right"/>
              <w:rPr>
                <w:rFonts w:ascii="Arial" w:hAnsi="Arial" w:cs="Arial"/>
                <w:color w:val="000000"/>
              </w:rPr>
            </w:pPr>
            <w:r w:rsidRPr="00F654F7">
              <w:rPr>
                <w:rFonts w:ascii="Arial" w:hAnsi="Arial" w:cs="Arial"/>
                <w:color w:val="000000"/>
              </w:rPr>
              <w:t>16.2</w:t>
            </w:r>
          </w:p>
        </w:tc>
        <w:tc>
          <w:tcPr>
            <w:tcW w:w="960" w:type="dxa"/>
            <w:hideMark/>
          </w:tcPr>
          <w:p w14:paraId="02607429" w14:textId="77777777" w:rsidR="00C176CC" w:rsidRPr="00F654F7" w:rsidRDefault="00C176CC" w:rsidP="00B0713C">
            <w:pPr>
              <w:jc w:val="right"/>
              <w:rPr>
                <w:rFonts w:ascii="Arial" w:hAnsi="Arial" w:cs="Arial"/>
                <w:color w:val="000000"/>
              </w:rPr>
            </w:pPr>
            <w:r w:rsidRPr="00F654F7">
              <w:rPr>
                <w:rFonts w:ascii="Arial" w:hAnsi="Arial" w:cs="Arial"/>
                <w:color w:val="000000"/>
              </w:rPr>
              <w:t>21.3</w:t>
            </w:r>
          </w:p>
        </w:tc>
        <w:tc>
          <w:tcPr>
            <w:tcW w:w="960" w:type="dxa"/>
            <w:hideMark/>
          </w:tcPr>
          <w:p w14:paraId="49550835" w14:textId="77777777" w:rsidR="00C176CC" w:rsidRPr="00F654F7" w:rsidRDefault="00C176CC" w:rsidP="00B0713C">
            <w:pPr>
              <w:jc w:val="right"/>
              <w:rPr>
                <w:rFonts w:ascii="Arial" w:hAnsi="Arial" w:cs="Arial"/>
                <w:color w:val="000000"/>
              </w:rPr>
            </w:pPr>
            <w:r w:rsidRPr="00F654F7">
              <w:rPr>
                <w:rFonts w:ascii="Arial" w:hAnsi="Arial" w:cs="Arial"/>
                <w:color w:val="000000"/>
              </w:rPr>
              <w:t>28.3</w:t>
            </w:r>
          </w:p>
        </w:tc>
      </w:tr>
      <w:tr w:rsidR="00C176CC" w:rsidRPr="00F654F7" w14:paraId="22B2A764" w14:textId="77777777" w:rsidTr="00C176CC">
        <w:trPr>
          <w:trHeight w:val="60"/>
          <w:jc w:val="center"/>
        </w:trPr>
        <w:tc>
          <w:tcPr>
            <w:tcW w:w="2300" w:type="dxa"/>
            <w:hideMark/>
          </w:tcPr>
          <w:p w14:paraId="5D374831" w14:textId="77777777" w:rsidR="00C176CC" w:rsidRPr="00F654F7" w:rsidRDefault="00C176CC" w:rsidP="00B0713C">
            <w:pPr>
              <w:rPr>
                <w:rFonts w:ascii="Arial" w:hAnsi="Arial" w:cs="Arial"/>
                <w:b/>
                <w:bCs/>
                <w:color w:val="000000"/>
              </w:rPr>
            </w:pPr>
            <w:r w:rsidRPr="00F654F7">
              <w:rPr>
                <w:rFonts w:ascii="Arial" w:hAnsi="Arial" w:cs="Arial"/>
                <w:b/>
                <w:bCs/>
                <w:color w:val="000000"/>
              </w:rPr>
              <w:t xml:space="preserve">Total Income </w:t>
            </w:r>
          </w:p>
        </w:tc>
        <w:tc>
          <w:tcPr>
            <w:tcW w:w="1020" w:type="dxa"/>
            <w:hideMark/>
          </w:tcPr>
          <w:p w14:paraId="2CD959CB" w14:textId="77777777" w:rsidR="00C176CC" w:rsidRPr="00F654F7" w:rsidRDefault="00C176CC" w:rsidP="00B0713C">
            <w:pPr>
              <w:jc w:val="right"/>
              <w:rPr>
                <w:rFonts w:ascii="Arial" w:hAnsi="Arial" w:cs="Arial"/>
                <w:color w:val="000000"/>
              </w:rPr>
            </w:pPr>
            <w:r w:rsidRPr="00F654F7">
              <w:rPr>
                <w:rFonts w:ascii="Arial" w:hAnsi="Arial" w:cs="Arial"/>
                <w:color w:val="000000"/>
              </w:rPr>
              <w:t>108.1</w:t>
            </w:r>
          </w:p>
        </w:tc>
        <w:tc>
          <w:tcPr>
            <w:tcW w:w="1120" w:type="dxa"/>
            <w:hideMark/>
          </w:tcPr>
          <w:p w14:paraId="295679FE" w14:textId="77777777" w:rsidR="00C176CC" w:rsidRPr="00F654F7" w:rsidRDefault="00C176CC" w:rsidP="00B0713C">
            <w:pPr>
              <w:jc w:val="right"/>
              <w:rPr>
                <w:rFonts w:ascii="Arial" w:hAnsi="Arial" w:cs="Arial"/>
                <w:color w:val="000000"/>
              </w:rPr>
            </w:pPr>
            <w:r w:rsidRPr="00F654F7">
              <w:rPr>
                <w:rFonts w:ascii="Arial" w:hAnsi="Arial" w:cs="Arial"/>
                <w:color w:val="000000"/>
              </w:rPr>
              <w:t>164.2</w:t>
            </w:r>
          </w:p>
        </w:tc>
        <w:tc>
          <w:tcPr>
            <w:tcW w:w="960" w:type="dxa"/>
            <w:hideMark/>
          </w:tcPr>
          <w:p w14:paraId="7592D66B" w14:textId="77777777" w:rsidR="00C176CC" w:rsidRPr="00F654F7" w:rsidRDefault="00C176CC" w:rsidP="00B0713C">
            <w:pPr>
              <w:jc w:val="right"/>
              <w:rPr>
                <w:rFonts w:ascii="Arial" w:hAnsi="Arial" w:cs="Arial"/>
                <w:color w:val="000000"/>
              </w:rPr>
            </w:pPr>
            <w:r w:rsidRPr="00F654F7">
              <w:rPr>
                <w:rFonts w:ascii="Arial" w:hAnsi="Arial" w:cs="Arial"/>
                <w:color w:val="000000"/>
              </w:rPr>
              <w:t>214.2</w:t>
            </w:r>
          </w:p>
        </w:tc>
        <w:tc>
          <w:tcPr>
            <w:tcW w:w="960" w:type="dxa"/>
            <w:hideMark/>
          </w:tcPr>
          <w:p w14:paraId="1D38BC36" w14:textId="77777777" w:rsidR="00C176CC" w:rsidRPr="00F654F7" w:rsidRDefault="00C176CC" w:rsidP="00B0713C">
            <w:pPr>
              <w:jc w:val="right"/>
              <w:rPr>
                <w:rFonts w:ascii="Arial" w:hAnsi="Arial" w:cs="Arial"/>
                <w:color w:val="000000"/>
              </w:rPr>
            </w:pPr>
            <w:r w:rsidRPr="00F654F7">
              <w:rPr>
                <w:rFonts w:ascii="Arial" w:hAnsi="Arial" w:cs="Arial"/>
                <w:color w:val="000000"/>
              </w:rPr>
              <w:t>270.3</w:t>
            </w:r>
          </w:p>
        </w:tc>
        <w:tc>
          <w:tcPr>
            <w:tcW w:w="960" w:type="dxa"/>
            <w:hideMark/>
          </w:tcPr>
          <w:p w14:paraId="2499287A" w14:textId="77777777" w:rsidR="00C176CC" w:rsidRPr="00F654F7" w:rsidRDefault="00C176CC" w:rsidP="00B0713C">
            <w:pPr>
              <w:jc w:val="right"/>
              <w:rPr>
                <w:rFonts w:ascii="Arial" w:hAnsi="Arial" w:cs="Arial"/>
                <w:color w:val="000000"/>
              </w:rPr>
            </w:pPr>
            <w:r w:rsidRPr="00F654F7">
              <w:rPr>
                <w:rFonts w:ascii="Arial" w:hAnsi="Arial" w:cs="Arial"/>
                <w:color w:val="000000"/>
              </w:rPr>
              <w:t>330.3</w:t>
            </w:r>
          </w:p>
        </w:tc>
      </w:tr>
      <w:tr w:rsidR="00C176CC" w:rsidRPr="00F654F7" w14:paraId="2156CB9E" w14:textId="77777777" w:rsidTr="00C176CC">
        <w:trPr>
          <w:trHeight w:val="60"/>
          <w:jc w:val="center"/>
        </w:trPr>
        <w:tc>
          <w:tcPr>
            <w:tcW w:w="2300" w:type="dxa"/>
            <w:hideMark/>
          </w:tcPr>
          <w:p w14:paraId="3ACC5D5A" w14:textId="77777777" w:rsidR="00C176CC" w:rsidRPr="00F654F7" w:rsidRDefault="00C176CC" w:rsidP="00B0713C">
            <w:pPr>
              <w:rPr>
                <w:rFonts w:ascii="Arial" w:hAnsi="Arial" w:cs="Arial"/>
                <w:b/>
                <w:bCs/>
                <w:color w:val="000000"/>
              </w:rPr>
            </w:pPr>
            <w:r w:rsidRPr="00F654F7">
              <w:rPr>
                <w:rFonts w:ascii="Arial" w:hAnsi="Arial" w:cs="Arial"/>
                <w:b/>
                <w:bCs/>
                <w:color w:val="000000"/>
              </w:rPr>
              <w:t xml:space="preserve">Total Expenses </w:t>
            </w:r>
          </w:p>
        </w:tc>
        <w:tc>
          <w:tcPr>
            <w:tcW w:w="1020" w:type="dxa"/>
            <w:hideMark/>
          </w:tcPr>
          <w:p w14:paraId="4D261E1C" w14:textId="77777777" w:rsidR="00C176CC" w:rsidRPr="00F654F7" w:rsidRDefault="00C176CC" w:rsidP="00B0713C">
            <w:pPr>
              <w:jc w:val="right"/>
              <w:rPr>
                <w:rFonts w:ascii="Arial" w:hAnsi="Arial" w:cs="Arial"/>
                <w:color w:val="000000"/>
              </w:rPr>
            </w:pPr>
            <w:r w:rsidRPr="00F654F7">
              <w:rPr>
                <w:rFonts w:ascii="Arial" w:hAnsi="Arial" w:cs="Arial"/>
                <w:color w:val="000000"/>
              </w:rPr>
              <w:t>82.2</w:t>
            </w:r>
          </w:p>
        </w:tc>
        <w:tc>
          <w:tcPr>
            <w:tcW w:w="1120" w:type="dxa"/>
            <w:hideMark/>
          </w:tcPr>
          <w:p w14:paraId="4A5DFEE6" w14:textId="77777777" w:rsidR="00C176CC" w:rsidRPr="00F654F7" w:rsidRDefault="00C176CC" w:rsidP="00B0713C">
            <w:pPr>
              <w:jc w:val="right"/>
              <w:rPr>
                <w:rFonts w:ascii="Arial" w:hAnsi="Arial" w:cs="Arial"/>
                <w:color w:val="000000"/>
              </w:rPr>
            </w:pPr>
            <w:r w:rsidRPr="00F654F7">
              <w:rPr>
                <w:rFonts w:ascii="Arial" w:hAnsi="Arial" w:cs="Arial"/>
                <w:color w:val="000000"/>
              </w:rPr>
              <w:t>109.4</w:t>
            </w:r>
          </w:p>
        </w:tc>
        <w:tc>
          <w:tcPr>
            <w:tcW w:w="960" w:type="dxa"/>
            <w:hideMark/>
          </w:tcPr>
          <w:p w14:paraId="13089885" w14:textId="77777777" w:rsidR="00C176CC" w:rsidRPr="00F654F7" w:rsidRDefault="00C176CC" w:rsidP="00B0713C">
            <w:pPr>
              <w:jc w:val="right"/>
              <w:rPr>
                <w:rFonts w:ascii="Arial" w:hAnsi="Arial" w:cs="Arial"/>
                <w:color w:val="000000"/>
              </w:rPr>
            </w:pPr>
            <w:r w:rsidRPr="00F654F7">
              <w:rPr>
                <w:rFonts w:ascii="Arial" w:hAnsi="Arial" w:cs="Arial"/>
                <w:color w:val="000000"/>
              </w:rPr>
              <w:t>121.6</w:t>
            </w:r>
          </w:p>
        </w:tc>
        <w:tc>
          <w:tcPr>
            <w:tcW w:w="960" w:type="dxa"/>
            <w:hideMark/>
          </w:tcPr>
          <w:p w14:paraId="4BCFED6C" w14:textId="77777777" w:rsidR="00C176CC" w:rsidRPr="00F654F7" w:rsidRDefault="00C176CC" w:rsidP="00B0713C">
            <w:pPr>
              <w:jc w:val="right"/>
              <w:rPr>
                <w:rFonts w:ascii="Arial" w:hAnsi="Arial" w:cs="Arial"/>
                <w:color w:val="000000"/>
              </w:rPr>
            </w:pPr>
            <w:r w:rsidRPr="00F654F7">
              <w:rPr>
                <w:rFonts w:ascii="Arial" w:hAnsi="Arial" w:cs="Arial"/>
                <w:color w:val="000000"/>
              </w:rPr>
              <w:t>149.7</w:t>
            </w:r>
          </w:p>
        </w:tc>
        <w:tc>
          <w:tcPr>
            <w:tcW w:w="960" w:type="dxa"/>
            <w:hideMark/>
          </w:tcPr>
          <w:p w14:paraId="02D4308A" w14:textId="77777777" w:rsidR="00C176CC" w:rsidRPr="00F654F7" w:rsidRDefault="00C176CC" w:rsidP="00B0713C">
            <w:pPr>
              <w:jc w:val="right"/>
              <w:rPr>
                <w:rFonts w:ascii="Arial" w:hAnsi="Arial" w:cs="Arial"/>
                <w:color w:val="000000"/>
              </w:rPr>
            </w:pPr>
            <w:r w:rsidRPr="00F654F7">
              <w:rPr>
                <w:rFonts w:ascii="Arial" w:hAnsi="Arial" w:cs="Arial"/>
                <w:color w:val="000000"/>
              </w:rPr>
              <w:t>173.6</w:t>
            </w:r>
          </w:p>
        </w:tc>
      </w:tr>
      <w:tr w:rsidR="00C176CC" w:rsidRPr="00F654F7" w14:paraId="087AB5A3" w14:textId="77777777" w:rsidTr="00C176CC">
        <w:trPr>
          <w:trHeight w:val="60"/>
          <w:jc w:val="center"/>
        </w:trPr>
        <w:tc>
          <w:tcPr>
            <w:tcW w:w="2300" w:type="dxa"/>
            <w:hideMark/>
          </w:tcPr>
          <w:p w14:paraId="19CE29B2" w14:textId="77777777" w:rsidR="00C176CC" w:rsidRPr="00F654F7" w:rsidRDefault="00C176CC" w:rsidP="00B0713C">
            <w:pPr>
              <w:rPr>
                <w:rFonts w:ascii="Arial" w:hAnsi="Arial" w:cs="Arial"/>
                <w:b/>
                <w:bCs/>
                <w:color w:val="000000"/>
              </w:rPr>
            </w:pPr>
            <w:r w:rsidRPr="00F654F7">
              <w:rPr>
                <w:rFonts w:ascii="Arial" w:hAnsi="Arial" w:cs="Arial"/>
                <w:b/>
                <w:bCs/>
                <w:color w:val="000000"/>
              </w:rPr>
              <w:t xml:space="preserve">Operating Profit </w:t>
            </w:r>
          </w:p>
        </w:tc>
        <w:tc>
          <w:tcPr>
            <w:tcW w:w="1020" w:type="dxa"/>
            <w:hideMark/>
          </w:tcPr>
          <w:p w14:paraId="15224C1C" w14:textId="77777777" w:rsidR="00C176CC" w:rsidRPr="00F654F7" w:rsidRDefault="00C176CC" w:rsidP="00B0713C">
            <w:pPr>
              <w:jc w:val="right"/>
              <w:rPr>
                <w:rFonts w:ascii="Arial" w:hAnsi="Arial" w:cs="Arial"/>
                <w:color w:val="000000"/>
              </w:rPr>
            </w:pPr>
            <w:r w:rsidRPr="00F654F7">
              <w:rPr>
                <w:rFonts w:ascii="Arial" w:hAnsi="Arial" w:cs="Arial"/>
                <w:color w:val="000000"/>
              </w:rPr>
              <w:t>25.9</w:t>
            </w:r>
          </w:p>
        </w:tc>
        <w:tc>
          <w:tcPr>
            <w:tcW w:w="1120" w:type="dxa"/>
            <w:hideMark/>
          </w:tcPr>
          <w:p w14:paraId="5FCE9BB9" w14:textId="77777777" w:rsidR="00C176CC" w:rsidRPr="00F654F7" w:rsidRDefault="00C176CC" w:rsidP="00B0713C">
            <w:pPr>
              <w:jc w:val="right"/>
              <w:rPr>
                <w:rFonts w:ascii="Arial" w:hAnsi="Arial" w:cs="Arial"/>
                <w:color w:val="000000"/>
              </w:rPr>
            </w:pPr>
            <w:r w:rsidRPr="00F654F7">
              <w:rPr>
                <w:rFonts w:ascii="Arial" w:hAnsi="Arial" w:cs="Arial"/>
                <w:color w:val="000000"/>
              </w:rPr>
              <w:t>54.8</w:t>
            </w:r>
          </w:p>
        </w:tc>
        <w:tc>
          <w:tcPr>
            <w:tcW w:w="960" w:type="dxa"/>
            <w:hideMark/>
          </w:tcPr>
          <w:p w14:paraId="1438E1F9" w14:textId="77777777" w:rsidR="00C176CC" w:rsidRPr="00F654F7" w:rsidRDefault="00C176CC" w:rsidP="00B0713C">
            <w:pPr>
              <w:jc w:val="right"/>
              <w:rPr>
                <w:rFonts w:ascii="Arial" w:hAnsi="Arial" w:cs="Arial"/>
                <w:color w:val="000000"/>
              </w:rPr>
            </w:pPr>
            <w:r w:rsidRPr="00F654F7">
              <w:rPr>
                <w:rFonts w:ascii="Arial" w:hAnsi="Arial" w:cs="Arial"/>
                <w:color w:val="000000"/>
              </w:rPr>
              <w:t>92.6</w:t>
            </w:r>
          </w:p>
        </w:tc>
        <w:tc>
          <w:tcPr>
            <w:tcW w:w="960" w:type="dxa"/>
            <w:hideMark/>
          </w:tcPr>
          <w:p w14:paraId="6541D829" w14:textId="77777777" w:rsidR="00C176CC" w:rsidRPr="00F654F7" w:rsidRDefault="00C176CC" w:rsidP="00B0713C">
            <w:pPr>
              <w:jc w:val="right"/>
              <w:rPr>
                <w:rFonts w:ascii="Arial" w:hAnsi="Arial" w:cs="Arial"/>
                <w:color w:val="000000"/>
              </w:rPr>
            </w:pPr>
            <w:r w:rsidRPr="00F654F7">
              <w:rPr>
                <w:rFonts w:ascii="Arial" w:hAnsi="Arial" w:cs="Arial"/>
                <w:color w:val="000000"/>
              </w:rPr>
              <w:t>120.6</w:t>
            </w:r>
          </w:p>
        </w:tc>
        <w:tc>
          <w:tcPr>
            <w:tcW w:w="960" w:type="dxa"/>
            <w:hideMark/>
          </w:tcPr>
          <w:p w14:paraId="2A0E7A68" w14:textId="77777777" w:rsidR="00C176CC" w:rsidRPr="00F654F7" w:rsidRDefault="00C176CC" w:rsidP="00B0713C">
            <w:pPr>
              <w:jc w:val="right"/>
              <w:rPr>
                <w:rFonts w:ascii="Arial" w:hAnsi="Arial" w:cs="Arial"/>
                <w:color w:val="000000"/>
              </w:rPr>
            </w:pPr>
            <w:r w:rsidRPr="00F654F7">
              <w:rPr>
                <w:rFonts w:ascii="Arial" w:hAnsi="Arial" w:cs="Arial"/>
                <w:color w:val="000000"/>
              </w:rPr>
              <w:t>156.7</w:t>
            </w:r>
          </w:p>
        </w:tc>
      </w:tr>
    </w:tbl>
    <w:p w14:paraId="6696D720" w14:textId="77777777" w:rsidR="00C176CC" w:rsidRDefault="00C176CC" w:rsidP="00C176CC">
      <w:pPr>
        <w:pStyle w:val="Casehead1"/>
        <w:jc w:val="center"/>
      </w:pPr>
    </w:p>
    <w:p w14:paraId="43C7C735" w14:textId="77777777" w:rsidR="00C176CC" w:rsidRPr="0096651B" w:rsidRDefault="00C176CC" w:rsidP="00C176CC">
      <w:pPr>
        <w:pStyle w:val="Footnote"/>
      </w:pPr>
      <w:r w:rsidRPr="0096651B">
        <w:t xml:space="preserve">Note: Figures </w:t>
      </w:r>
      <w:r>
        <w:t>have been</w:t>
      </w:r>
      <w:r w:rsidRPr="0096651B">
        <w:t xml:space="preserve"> changed to maintain confidentiality.</w:t>
      </w:r>
    </w:p>
    <w:p w14:paraId="62321B43" w14:textId="014B7214" w:rsidR="00C176CC" w:rsidRPr="0096651B" w:rsidRDefault="00C176CC" w:rsidP="00C176CC">
      <w:pPr>
        <w:pStyle w:val="Footnote"/>
      </w:pPr>
      <w:r w:rsidRPr="0096651B">
        <w:t xml:space="preserve">Source: </w:t>
      </w:r>
      <w:r w:rsidR="003D7119">
        <w:t>C</w:t>
      </w:r>
      <w:r w:rsidRPr="0096651B">
        <w:t>ompany</w:t>
      </w:r>
      <w:r w:rsidR="003D7119">
        <w:t xml:space="preserve"> documents</w:t>
      </w:r>
      <w:r w:rsidRPr="0096651B">
        <w:t>.</w:t>
      </w:r>
    </w:p>
    <w:p w14:paraId="173BD019" w14:textId="77777777" w:rsidR="00C176CC" w:rsidRDefault="00C176CC" w:rsidP="00C176CC">
      <w:pPr>
        <w:pStyle w:val="BodyTextMain"/>
      </w:pPr>
    </w:p>
    <w:p w14:paraId="6CAB1609" w14:textId="77777777" w:rsidR="00C176CC" w:rsidRDefault="00C176CC" w:rsidP="00C176CC">
      <w:pPr>
        <w:pStyle w:val="BodyTextMain"/>
      </w:pPr>
    </w:p>
    <w:p w14:paraId="7A7957FE" w14:textId="35E4F5FA" w:rsidR="00C176CC" w:rsidRDefault="00C176CC" w:rsidP="00C176CC">
      <w:pPr>
        <w:pStyle w:val="ExhibitHeading"/>
      </w:pPr>
      <w:r w:rsidRPr="00531627">
        <w:t xml:space="preserve">EXHIBIT </w:t>
      </w:r>
      <w:r w:rsidR="00FA4E10">
        <w:t>2</w:t>
      </w:r>
      <w:r w:rsidRPr="00531627">
        <w:t>: BUSINESS FROM DIFFERENT SEGMENTS</w:t>
      </w:r>
    </w:p>
    <w:p w14:paraId="1C31ADE0" w14:textId="77777777" w:rsidR="00C176CC" w:rsidRPr="00531627" w:rsidRDefault="00C176CC" w:rsidP="00C176CC">
      <w:pPr>
        <w:pStyle w:val="BodyTextMain"/>
      </w:pPr>
    </w:p>
    <w:tbl>
      <w:tblPr>
        <w:tblW w:w="8820" w:type="dxa"/>
        <w:jc w:val="center"/>
        <w:tblLook w:val="04A0" w:firstRow="1" w:lastRow="0" w:firstColumn="1" w:lastColumn="0" w:noHBand="0" w:noVBand="1"/>
      </w:tblPr>
      <w:tblGrid>
        <w:gridCol w:w="2020"/>
        <w:gridCol w:w="2120"/>
        <w:gridCol w:w="2520"/>
        <w:gridCol w:w="2160"/>
      </w:tblGrid>
      <w:tr w:rsidR="00C176CC" w:rsidRPr="00C176CC" w14:paraId="0B9A8154" w14:textId="77777777" w:rsidTr="00C176CC">
        <w:trPr>
          <w:trHeight w:val="6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834EE" w14:textId="77777777" w:rsidR="00C176CC" w:rsidRPr="00C176CC" w:rsidRDefault="00C176CC" w:rsidP="00B0713C">
            <w:pPr>
              <w:pStyle w:val="ExhibitText"/>
              <w:jc w:val="center"/>
              <w:rPr>
                <w:b/>
              </w:rPr>
            </w:pPr>
            <w:r w:rsidRPr="00C176CC">
              <w:rPr>
                <w:b/>
              </w:rPr>
              <w:t>Category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F435E09" w14:textId="77777777" w:rsidR="00C176CC" w:rsidRPr="00C176CC" w:rsidRDefault="00C176CC" w:rsidP="00B0713C">
            <w:pPr>
              <w:pStyle w:val="ExhibitText"/>
              <w:jc w:val="center"/>
              <w:rPr>
                <w:b/>
              </w:rPr>
            </w:pPr>
            <w:r w:rsidRPr="00C176CC">
              <w:rPr>
                <w:b/>
              </w:rPr>
              <w:t>% Share in 2015</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67B555D" w14:textId="77777777" w:rsidR="00C176CC" w:rsidRPr="00C176CC" w:rsidRDefault="00C176CC" w:rsidP="00B0713C">
            <w:pPr>
              <w:pStyle w:val="ExhibitText"/>
              <w:jc w:val="center"/>
              <w:rPr>
                <w:b/>
              </w:rPr>
            </w:pPr>
            <w:r w:rsidRPr="00C176CC">
              <w:rPr>
                <w:b/>
              </w:rPr>
              <w:t>% Share in 2016</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4869F50" w14:textId="77777777" w:rsidR="00C176CC" w:rsidRPr="00C176CC" w:rsidRDefault="00C176CC" w:rsidP="00B0713C">
            <w:pPr>
              <w:pStyle w:val="ExhibitText"/>
              <w:jc w:val="center"/>
              <w:rPr>
                <w:b/>
              </w:rPr>
            </w:pPr>
            <w:r w:rsidRPr="00C176CC">
              <w:rPr>
                <w:b/>
              </w:rPr>
              <w:t>% Share in 2017</w:t>
            </w:r>
          </w:p>
        </w:tc>
      </w:tr>
      <w:tr w:rsidR="00C176CC" w:rsidRPr="00531627" w14:paraId="237E5A8D" w14:textId="77777777" w:rsidTr="00C176CC">
        <w:trPr>
          <w:trHeight w:val="6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1602F02" w14:textId="77777777" w:rsidR="00C176CC" w:rsidRPr="00531627" w:rsidRDefault="00C176CC" w:rsidP="00C176CC">
            <w:pPr>
              <w:pStyle w:val="ExhibitText"/>
            </w:pPr>
            <w:r w:rsidRPr="00531627">
              <w:t>Food</w:t>
            </w:r>
          </w:p>
        </w:tc>
        <w:tc>
          <w:tcPr>
            <w:tcW w:w="2120" w:type="dxa"/>
            <w:tcBorders>
              <w:top w:val="nil"/>
              <w:left w:val="nil"/>
              <w:bottom w:val="single" w:sz="4" w:space="0" w:color="auto"/>
              <w:right w:val="single" w:sz="4" w:space="0" w:color="auto"/>
            </w:tcBorders>
            <w:shd w:val="clear" w:color="auto" w:fill="auto"/>
            <w:noWrap/>
            <w:vAlign w:val="bottom"/>
            <w:hideMark/>
          </w:tcPr>
          <w:p w14:paraId="21F8421C" w14:textId="77777777" w:rsidR="00C176CC" w:rsidRPr="00531627" w:rsidRDefault="00C176CC" w:rsidP="00B0713C">
            <w:pPr>
              <w:pStyle w:val="ExhibitText"/>
              <w:jc w:val="center"/>
            </w:pPr>
            <w:r w:rsidRPr="00531627">
              <w:t>0</w:t>
            </w:r>
          </w:p>
        </w:tc>
        <w:tc>
          <w:tcPr>
            <w:tcW w:w="2520" w:type="dxa"/>
            <w:tcBorders>
              <w:top w:val="nil"/>
              <w:left w:val="nil"/>
              <w:bottom w:val="single" w:sz="4" w:space="0" w:color="auto"/>
              <w:right w:val="single" w:sz="4" w:space="0" w:color="auto"/>
            </w:tcBorders>
            <w:shd w:val="clear" w:color="auto" w:fill="auto"/>
            <w:noWrap/>
            <w:vAlign w:val="bottom"/>
            <w:hideMark/>
          </w:tcPr>
          <w:p w14:paraId="4C0CF29B" w14:textId="77777777" w:rsidR="00C176CC" w:rsidRPr="00531627" w:rsidRDefault="00C176CC" w:rsidP="00B0713C">
            <w:pPr>
              <w:pStyle w:val="ExhibitText"/>
              <w:jc w:val="center"/>
            </w:pPr>
            <w:r w:rsidRPr="00531627">
              <w:t>15</w:t>
            </w:r>
          </w:p>
        </w:tc>
        <w:tc>
          <w:tcPr>
            <w:tcW w:w="2160" w:type="dxa"/>
            <w:tcBorders>
              <w:top w:val="nil"/>
              <w:left w:val="nil"/>
              <w:bottom w:val="single" w:sz="4" w:space="0" w:color="auto"/>
              <w:right w:val="single" w:sz="4" w:space="0" w:color="auto"/>
            </w:tcBorders>
            <w:shd w:val="clear" w:color="auto" w:fill="auto"/>
            <w:noWrap/>
            <w:vAlign w:val="bottom"/>
            <w:hideMark/>
          </w:tcPr>
          <w:p w14:paraId="27C3F442" w14:textId="77777777" w:rsidR="00C176CC" w:rsidRPr="00531627" w:rsidRDefault="00C176CC" w:rsidP="00B0713C">
            <w:pPr>
              <w:pStyle w:val="ExhibitText"/>
              <w:jc w:val="center"/>
            </w:pPr>
            <w:r w:rsidRPr="00531627">
              <w:t>40</w:t>
            </w:r>
          </w:p>
        </w:tc>
      </w:tr>
      <w:tr w:rsidR="00C176CC" w:rsidRPr="00531627" w14:paraId="2780A5B8" w14:textId="77777777" w:rsidTr="00C176CC">
        <w:trPr>
          <w:trHeight w:val="6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1648D24" w14:textId="77777777" w:rsidR="00C176CC" w:rsidRPr="00531627" w:rsidRDefault="00C176CC" w:rsidP="00C176CC">
            <w:pPr>
              <w:pStyle w:val="ExhibitText"/>
            </w:pPr>
            <w:r w:rsidRPr="00531627">
              <w:t>Pharmaceuticals</w:t>
            </w:r>
          </w:p>
        </w:tc>
        <w:tc>
          <w:tcPr>
            <w:tcW w:w="2120" w:type="dxa"/>
            <w:tcBorders>
              <w:top w:val="nil"/>
              <w:left w:val="nil"/>
              <w:bottom w:val="single" w:sz="4" w:space="0" w:color="auto"/>
              <w:right w:val="single" w:sz="4" w:space="0" w:color="auto"/>
            </w:tcBorders>
            <w:shd w:val="clear" w:color="auto" w:fill="auto"/>
            <w:noWrap/>
            <w:vAlign w:val="bottom"/>
            <w:hideMark/>
          </w:tcPr>
          <w:p w14:paraId="49878794" w14:textId="77777777" w:rsidR="00C176CC" w:rsidRPr="00531627" w:rsidRDefault="00C176CC" w:rsidP="00B0713C">
            <w:pPr>
              <w:pStyle w:val="ExhibitText"/>
              <w:jc w:val="center"/>
            </w:pPr>
            <w:r w:rsidRPr="00531627">
              <w:t>80</w:t>
            </w:r>
          </w:p>
        </w:tc>
        <w:tc>
          <w:tcPr>
            <w:tcW w:w="2520" w:type="dxa"/>
            <w:tcBorders>
              <w:top w:val="nil"/>
              <w:left w:val="nil"/>
              <w:bottom w:val="single" w:sz="4" w:space="0" w:color="auto"/>
              <w:right w:val="single" w:sz="4" w:space="0" w:color="auto"/>
            </w:tcBorders>
            <w:shd w:val="clear" w:color="auto" w:fill="auto"/>
            <w:noWrap/>
            <w:vAlign w:val="bottom"/>
            <w:hideMark/>
          </w:tcPr>
          <w:p w14:paraId="6F690903" w14:textId="77777777" w:rsidR="00C176CC" w:rsidRPr="00531627" w:rsidRDefault="00C176CC" w:rsidP="00B0713C">
            <w:pPr>
              <w:pStyle w:val="ExhibitText"/>
              <w:jc w:val="center"/>
            </w:pPr>
            <w:r w:rsidRPr="00531627">
              <w:t>75</w:t>
            </w:r>
          </w:p>
        </w:tc>
        <w:tc>
          <w:tcPr>
            <w:tcW w:w="2160" w:type="dxa"/>
            <w:tcBorders>
              <w:top w:val="nil"/>
              <w:left w:val="nil"/>
              <w:bottom w:val="single" w:sz="4" w:space="0" w:color="auto"/>
              <w:right w:val="single" w:sz="4" w:space="0" w:color="auto"/>
            </w:tcBorders>
            <w:shd w:val="clear" w:color="auto" w:fill="auto"/>
            <w:noWrap/>
            <w:vAlign w:val="bottom"/>
            <w:hideMark/>
          </w:tcPr>
          <w:p w14:paraId="2B8BA689" w14:textId="77777777" w:rsidR="00C176CC" w:rsidRPr="00531627" w:rsidRDefault="00C176CC" w:rsidP="00B0713C">
            <w:pPr>
              <w:pStyle w:val="ExhibitText"/>
              <w:jc w:val="center"/>
            </w:pPr>
            <w:r w:rsidRPr="00531627">
              <w:t>50</w:t>
            </w:r>
          </w:p>
        </w:tc>
      </w:tr>
      <w:tr w:rsidR="00C176CC" w:rsidRPr="00531627" w14:paraId="13C298DB" w14:textId="77777777" w:rsidTr="00C176CC">
        <w:trPr>
          <w:trHeight w:val="6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D62566B" w14:textId="77777777" w:rsidR="00C176CC" w:rsidRPr="00531627" w:rsidRDefault="00C176CC" w:rsidP="00C176CC">
            <w:pPr>
              <w:pStyle w:val="ExhibitText"/>
            </w:pPr>
            <w:r w:rsidRPr="00531627">
              <w:t>Others</w:t>
            </w:r>
          </w:p>
        </w:tc>
        <w:tc>
          <w:tcPr>
            <w:tcW w:w="2120" w:type="dxa"/>
            <w:tcBorders>
              <w:top w:val="nil"/>
              <w:left w:val="nil"/>
              <w:bottom w:val="single" w:sz="4" w:space="0" w:color="auto"/>
              <w:right w:val="single" w:sz="4" w:space="0" w:color="auto"/>
            </w:tcBorders>
            <w:shd w:val="clear" w:color="auto" w:fill="auto"/>
            <w:noWrap/>
            <w:vAlign w:val="bottom"/>
            <w:hideMark/>
          </w:tcPr>
          <w:p w14:paraId="109A00CB" w14:textId="77777777" w:rsidR="00C176CC" w:rsidRPr="00531627" w:rsidRDefault="00C176CC" w:rsidP="00B0713C">
            <w:pPr>
              <w:pStyle w:val="ExhibitText"/>
              <w:jc w:val="center"/>
            </w:pPr>
            <w:r w:rsidRPr="00531627">
              <w:t>20</w:t>
            </w:r>
          </w:p>
        </w:tc>
        <w:tc>
          <w:tcPr>
            <w:tcW w:w="2520" w:type="dxa"/>
            <w:tcBorders>
              <w:top w:val="nil"/>
              <w:left w:val="nil"/>
              <w:bottom w:val="single" w:sz="4" w:space="0" w:color="auto"/>
              <w:right w:val="single" w:sz="4" w:space="0" w:color="auto"/>
            </w:tcBorders>
            <w:shd w:val="clear" w:color="auto" w:fill="auto"/>
            <w:noWrap/>
            <w:vAlign w:val="bottom"/>
            <w:hideMark/>
          </w:tcPr>
          <w:p w14:paraId="7F1D2EE1" w14:textId="77777777" w:rsidR="00C176CC" w:rsidRPr="00531627" w:rsidRDefault="00C176CC" w:rsidP="00B0713C">
            <w:pPr>
              <w:pStyle w:val="ExhibitText"/>
              <w:jc w:val="center"/>
            </w:pPr>
            <w:r w:rsidRPr="00531627">
              <w:t>20</w:t>
            </w:r>
          </w:p>
        </w:tc>
        <w:tc>
          <w:tcPr>
            <w:tcW w:w="2160" w:type="dxa"/>
            <w:tcBorders>
              <w:top w:val="nil"/>
              <w:left w:val="nil"/>
              <w:bottom w:val="single" w:sz="4" w:space="0" w:color="auto"/>
              <w:right w:val="single" w:sz="4" w:space="0" w:color="auto"/>
            </w:tcBorders>
            <w:shd w:val="clear" w:color="auto" w:fill="auto"/>
            <w:noWrap/>
            <w:vAlign w:val="bottom"/>
            <w:hideMark/>
          </w:tcPr>
          <w:p w14:paraId="1D9C645A" w14:textId="77777777" w:rsidR="00C176CC" w:rsidRPr="00531627" w:rsidRDefault="00C176CC" w:rsidP="00B0713C">
            <w:pPr>
              <w:pStyle w:val="ExhibitText"/>
              <w:jc w:val="center"/>
            </w:pPr>
            <w:r w:rsidRPr="00531627">
              <w:t>10</w:t>
            </w:r>
          </w:p>
        </w:tc>
      </w:tr>
    </w:tbl>
    <w:p w14:paraId="2B6EB9F7" w14:textId="77777777" w:rsidR="00C176CC" w:rsidRDefault="00C176CC" w:rsidP="00C176CC">
      <w:pPr>
        <w:pStyle w:val="BodyTextMain"/>
        <w:jc w:val="center"/>
        <w:rPr>
          <w:rFonts w:ascii="Arial" w:eastAsia="Calibri" w:hAnsi="Arial" w:cs="Arial"/>
          <w:b/>
          <w:sz w:val="20"/>
          <w:szCs w:val="20"/>
        </w:rPr>
      </w:pPr>
    </w:p>
    <w:p w14:paraId="51E0F93E" w14:textId="6B704EBF" w:rsidR="00C176CC" w:rsidRPr="0096651B" w:rsidRDefault="00C176CC" w:rsidP="00C176CC">
      <w:pPr>
        <w:pStyle w:val="Footnote"/>
      </w:pPr>
      <w:r w:rsidRPr="0096651B">
        <w:t xml:space="preserve">Source: </w:t>
      </w:r>
      <w:r w:rsidR="003D7119">
        <w:t>C</w:t>
      </w:r>
      <w:r w:rsidRPr="0096651B">
        <w:t>ompany</w:t>
      </w:r>
      <w:r w:rsidR="003D7119">
        <w:t xml:space="preserve"> documents</w:t>
      </w:r>
      <w:r>
        <w:t>.</w:t>
      </w:r>
    </w:p>
    <w:p w14:paraId="3EC6A86C" w14:textId="77777777" w:rsidR="00C176CC" w:rsidRDefault="00C176CC" w:rsidP="00C176CC">
      <w:pPr>
        <w:pStyle w:val="BodyTextMain"/>
        <w:jc w:val="center"/>
        <w:rPr>
          <w:rFonts w:ascii="Arial" w:eastAsia="Calibri" w:hAnsi="Arial" w:cs="Arial"/>
          <w:b/>
          <w:sz w:val="20"/>
          <w:szCs w:val="20"/>
        </w:rPr>
      </w:pPr>
    </w:p>
    <w:p w14:paraId="2BBD4BD1" w14:textId="77777777" w:rsidR="00FA4E10" w:rsidRDefault="00FA4E10" w:rsidP="00C176CC">
      <w:pPr>
        <w:pStyle w:val="BodyTextMain"/>
        <w:jc w:val="center"/>
        <w:rPr>
          <w:rFonts w:ascii="Arial" w:eastAsia="Calibri" w:hAnsi="Arial" w:cs="Arial"/>
          <w:b/>
          <w:sz w:val="20"/>
          <w:szCs w:val="20"/>
        </w:rPr>
      </w:pPr>
    </w:p>
    <w:p w14:paraId="4C5D3A94" w14:textId="13662C19" w:rsidR="00C176CC" w:rsidRPr="000D025A" w:rsidRDefault="00C176CC" w:rsidP="00C176CC">
      <w:pPr>
        <w:pStyle w:val="BodyTextMain"/>
        <w:jc w:val="center"/>
        <w:rPr>
          <w:rFonts w:ascii="Arial" w:eastAsia="Calibri" w:hAnsi="Arial" w:cs="Arial"/>
          <w:b/>
          <w:sz w:val="20"/>
          <w:szCs w:val="20"/>
        </w:rPr>
      </w:pPr>
      <w:r w:rsidRPr="000D025A">
        <w:rPr>
          <w:rFonts w:ascii="Arial" w:eastAsia="Calibri" w:hAnsi="Arial" w:cs="Arial"/>
          <w:b/>
          <w:sz w:val="20"/>
          <w:szCs w:val="20"/>
        </w:rPr>
        <w:t>EXHIBIT</w:t>
      </w:r>
      <w:r>
        <w:rPr>
          <w:rFonts w:ascii="Arial" w:eastAsia="Calibri" w:hAnsi="Arial" w:cs="Arial"/>
          <w:b/>
          <w:sz w:val="20"/>
          <w:szCs w:val="20"/>
        </w:rPr>
        <w:t xml:space="preserve"> </w:t>
      </w:r>
      <w:r w:rsidR="00FA4E10">
        <w:rPr>
          <w:rFonts w:ascii="Arial" w:eastAsia="Calibri" w:hAnsi="Arial" w:cs="Arial"/>
          <w:b/>
          <w:sz w:val="20"/>
          <w:szCs w:val="20"/>
        </w:rPr>
        <w:t>3</w:t>
      </w:r>
      <w:r w:rsidRPr="000D025A">
        <w:rPr>
          <w:rFonts w:ascii="Arial" w:eastAsia="Calibri" w:hAnsi="Arial" w:cs="Arial"/>
          <w:b/>
          <w:sz w:val="20"/>
          <w:szCs w:val="20"/>
        </w:rPr>
        <w:t>: AJANTA PACKAGING</w:t>
      </w:r>
      <w:r w:rsidR="003D7119" w:rsidRPr="003D7119">
        <w:rPr>
          <w:rFonts w:ascii="Arial" w:eastAsia="Calibri" w:hAnsi="Arial" w:cs="Arial"/>
          <w:b/>
          <w:sz w:val="20"/>
          <w:szCs w:val="20"/>
        </w:rPr>
        <w:t xml:space="preserve"> </w:t>
      </w:r>
      <w:r w:rsidR="003D7119" w:rsidRPr="000D025A">
        <w:rPr>
          <w:rFonts w:ascii="Arial" w:eastAsia="Calibri" w:hAnsi="Arial" w:cs="Arial"/>
          <w:b/>
          <w:sz w:val="20"/>
          <w:szCs w:val="20"/>
        </w:rPr>
        <w:t>PROMOTION POSTERS</w:t>
      </w:r>
    </w:p>
    <w:p w14:paraId="2F9D1D47" w14:textId="77777777" w:rsidR="00C176CC" w:rsidRDefault="00C176CC" w:rsidP="00C176CC">
      <w:pPr>
        <w:pStyle w:val="NoSpacing"/>
        <w:rPr>
          <w:rFonts w:ascii="Helvetica" w:hAnsi="Helvetica" w:cs="Helvetica"/>
          <w:color w:val="444444"/>
          <w:sz w:val="21"/>
          <w:szCs w:val="21"/>
          <w:shd w:val="clear" w:color="auto" w:fill="FEFEFE"/>
        </w:rPr>
      </w:pPr>
    </w:p>
    <w:p w14:paraId="3978FAA5" w14:textId="77777777" w:rsidR="00C176CC" w:rsidRDefault="00C176CC" w:rsidP="00C176CC">
      <w:r w:rsidRPr="000D025A">
        <w:rPr>
          <w:noProof/>
        </w:rPr>
        <w:drawing>
          <wp:inline distT="0" distB="0" distL="0" distR="0" wp14:anchorId="028CCC67" wp14:editId="6E8A2BC9">
            <wp:extent cx="5943600" cy="3345815"/>
            <wp:effectExtent l="0" t="0" r="0" b="6985"/>
            <wp:docPr id="2" name="Picture 2" descr="C:\Users\spuri\Desktop\Case Study\Ajanta Packagin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i\Desktop\Case Study\Ajanta Packaging\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71345B36" w14:textId="77777777" w:rsidR="002D26FF" w:rsidRDefault="002D26FF" w:rsidP="00C176CC">
      <w:pPr>
        <w:pStyle w:val="BodyTextMain"/>
      </w:pPr>
    </w:p>
    <w:p w14:paraId="009C2D91" w14:textId="1D0CDA20" w:rsidR="00465348" w:rsidRPr="009C2666" w:rsidRDefault="00C176CC" w:rsidP="002D26FF">
      <w:pPr>
        <w:pStyle w:val="Footnote"/>
      </w:pPr>
      <w:r w:rsidRPr="0096651B">
        <w:t xml:space="preserve">Source: </w:t>
      </w:r>
      <w:r w:rsidR="003D7119">
        <w:t>C</w:t>
      </w:r>
      <w:r w:rsidRPr="0096651B">
        <w:t>ompany</w:t>
      </w:r>
      <w:r w:rsidR="003D7119">
        <w:t xml:space="preserve"> documents</w:t>
      </w:r>
      <w:r>
        <w:t>.</w:t>
      </w:r>
    </w:p>
    <w:sectPr w:rsidR="00465348" w:rsidRPr="009C2666"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BC3F0" w16cid:durableId="1E533C7C"/>
  <w16cid:commentId w16cid:paraId="4C0508F5" w16cid:durableId="1E533CAB"/>
  <w16cid:commentId w16cid:paraId="58742130" w16cid:durableId="1E533C7D"/>
  <w16cid:commentId w16cid:paraId="6BB3920A" w16cid:durableId="1E533D0B"/>
  <w16cid:commentId w16cid:paraId="6F73B58D" w16cid:durableId="1E533C7E"/>
  <w16cid:commentId w16cid:paraId="5C041C6E" w16cid:durableId="1E533D26"/>
  <w16cid:commentId w16cid:paraId="4CD39F3D" w16cid:durableId="1E533C81"/>
  <w16cid:commentId w16cid:paraId="25CE5FF5" w16cid:durableId="1E533D40"/>
  <w16cid:commentId w16cid:paraId="52283DA1" w16cid:durableId="1E533C82"/>
  <w16cid:commentId w16cid:paraId="069ACE06" w16cid:durableId="1E533D50"/>
  <w16cid:commentId w16cid:paraId="12B130FD" w16cid:durableId="1E533C83"/>
  <w16cid:commentId w16cid:paraId="1F40E09B" w16cid:durableId="1E533D5B"/>
  <w16cid:commentId w16cid:paraId="11CD8F15" w16cid:durableId="1E533C84"/>
  <w16cid:commentId w16cid:paraId="1C8FCE25" w16cid:durableId="1E533D9C"/>
  <w16cid:commentId w16cid:paraId="6B143FA5" w16cid:durableId="1E533C85"/>
  <w16cid:commentId w16cid:paraId="30F7A012" w16cid:durableId="1E533DC0"/>
  <w16cid:commentId w16cid:paraId="7CFD10EE" w16cid:durableId="1E533C86"/>
  <w16cid:commentId w16cid:paraId="305FA821" w16cid:durableId="1E533E13"/>
  <w16cid:commentId w16cid:paraId="67EB8E60" w16cid:durableId="1E533C87"/>
  <w16cid:commentId w16cid:paraId="49BEB262" w16cid:durableId="1E533E44"/>
  <w16cid:commentId w16cid:paraId="53736ED8" w16cid:durableId="1E533C88"/>
  <w16cid:commentId w16cid:paraId="4E0C99C7" w16cid:durableId="1E533E6D"/>
  <w16cid:commentId w16cid:paraId="03E72194" w16cid:durableId="1E533C89"/>
  <w16cid:commentId w16cid:paraId="133E7832" w16cid:durableId="1E533E94"/>
  <w16cid:commentId w16cid:paraId="28A7A4F2" w16cid:durableId="1E533C8A"/>
  <w16cid:commentId w16cid:paraId="5FDA6FC8" w16cid:durableId="1E533EC2"/>
  <w16cid:commentId w16cid:paraId="048734D4" w16cid:durableId="1E533C8B"/>
  <w16cid:commentId w16cid:paraId="2E1ADAB6" w16cid:durableId="1E533F23"/>
  <w16cid:commentId w16cid:paraId="1F7ABD2F" w16cid:durableId="1E533C8C"/>
  <w16cid:commentId w16cid:paraId="28201939" w16cid:durableId="1E533F3B"/>
  <w16cid:commentId w16cid:paraId="69F6583D" w16cid:durableId="1E533C8D"/>
  <w16cid:commentId w16cid:paraId="31B39295" w16cid:durableId="1E533F62"/>
  <w16cid:commentId w16cid:paraId="48260A66" w16cid:durableId="1E533C8E"/>
  <w16cid:commentId w16cid:paraId="15EA9E7F" w16cid:durableId="1E533C8F"/>
  <w16cid:commentId w16cid:paraId="5808961F" w16cid:durableId="1E533FFA"/>
  <w16cid:commentId w16cid:paraId="2A11BDC6" w16cid:durableId="1E533C90"/>
  <w16cid:commentId w16cid:paraId="06571EA9" w16cid:durableId="1E53404F"/>
  <w16cid:commentId w16cid:paraId="50B7899C" w16cid:durableId="1E533C91"/>
  <w16cid:commentId w16cid:paraId="64FDCFB8" w16cid:durableId="1E5340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FB8AF" w14:textId="77777777" w:rsidR="004A20E9" w:rsidRDefault="004A20E9" w:rsidP="00D75295">
      <w:r>
        <w:separator/>
      </w:r>
    </w:p>
  </w:endnote>
  <w:endnote w:type="continuationSeparator" w:id="0">
    <w:p w14:paraId="3ACC5BA9" w14:textId="77777777" w:rsidR="004A20E9" w:rsidRDefault="004A20E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EEF2B" w14:textId="77777777" w:rsidR="004A20E9" w:rsidRDefault="004A20E9" w:rsidP="00D75295">
      <w:r>
        <w:separator/>
      </w:r>
    </w:p>
  </w:footnote>
  <w:footnote w:type="continuationSeparator" w:id="0">
    <w:p w14:paraId="749B57FF" w14:textId="77777777" w:rsidR="004A20E9" w:rsidRDefault="004A20E9" w:rsidP="00D75295">
      <w:r>
        <w:continuationSeparator/>
      </w:r>
    </w:p>
  </w:footnote>
  <w:footnote w:id="1">
    <w:p w14:paraId="2836901B" w14:textId="137CF22B" w:rsidR="00EA6E0E" w:rsidRPr="00DA33A8" w:rsidRDefault="00EA6E0E" w:rsidP="00DA33A8">
      <w:pPr>
        <w:pStyle w:val="Footnote"/>
        <w:rPr>
          <w:lang w:val="en-CA"/>
        </w:rPr>
      </w:pPr>
      <w:r>
        <w:rPr>
          <w:rStyle w:val="FootnoteReference"/>
        </w:rPr>
        <w:footnoteRef/>
      </w:r>
      <w:r>
        <w:t xml:space="preserve"> </w:t>
      </w:r>
      <w:r>
        <w:rPr>
          <w:lang w:val="en-CA"/>
        </w:rPr>
        <w:t>All currency amounts are in U.S. dollars unless specified otherwise.</w:t>
      </w:r>
    </w:p>
  </w:footnote>
  <w:footnote w:id="2">
    <w:p w14:paraId="16531ECA" w14:textId="646B78B6" w:rsidR="00EA6E0E" w:rsidRPr="00763AEE" w:rsidRDefault="00EA6E0E" w:rsidP="00C176CC">
      <w:pPr>
        <w:pStyle w:val="Footnote"/>
      </w:pPr>
      <w:r>
        <w:rPr>
          <w:rStyle w:val="FootnoteReference"/>
        </w:rPr>
        <w:footnoteRef/>
      </w:r>
      <w:r>
        <w:t xml:space="preserve"> </w:t>
      </w:r>
      <w:r w:rsidRPr="00663F67">
        <w:rPr>
          <w:rStyle w:val="byline"/>
        </w:rPr>
        <w:t xml:space="preserve">Jagdish Kumar, </w:t>
      </w:r>
      <w:r>
        <w:rPr>
          <w:rStyle w:val="byline"/>
        </w:rPr>
        <w:t>“</w:t>
      </w:r>
      <w:r w:rsidRPr="00663F67">
        <w:t xml:space="preserve">Indian </w:t>
      </w:r>
      <w:r>
        <w:t>P</w:t>
      </w:r>
      <w:r w:rsidRPr="00663F67">
        <w:t xml:space="preserve">ackaging </w:t>
      </w:r>
      <w:r>
        <w:t>I</w:t>
      </w:r>
      <w:r w:rsidRPr="00663F67">
        <w:t xml:space="preserve">ndustry </w:t>
      </w:r>
      <w:r>
        <w:t>T</w:t>
      </w:r>
      <w:r w:rsidRPr="00663F67">
        <w:t xml:space="preserve">urnover to </w:t>
      </w:r>
      <w:r>
        <w:t>R</w:t>
      </w:r>
      <w:r w:rsidRPr="00663F67">
        <w:t xml:space="preserve">each $32 </w:t>
      </w:r>
      <w:r>
        <w:t>B</w:t>
      </w:r>
      <w:r w:rsidRPr="00663F67">
        <w:t>illion by 2020,</w:t>
      </w:r>
      <w:r>
        <w:t>”</w:t>
      </w:r>
      <w:r w:rsidRPr="00663F67">
        <w:t xml:space="preserve"> Packaging World, March 2, 2015, accessed October 8, 2017, https://www.packworld.com/article/trends-and-issues/global/indian-packaging-industry-turnover-reach-32-billion-2020</w:t>
      </w:r>
      <w:r>
        <w:t>.</w:t>
      </w:r>
    </w:p>
  </w:footnote>
  <w:footnote w:id="3">
    <w:p w14:paraId="0DD0E5E8" w14:textId="116CB104" w:rsidR="00EA6E0E" w:rsidRPr="00C12C9C" w:rsidRDefault="00EA6E0E" w:rsidP="00C176CC">
      <w:pPr>
        <w:pStyle w:val="Footnote"/>
      </w:pPr>
      <w:r>
        <w:rPr>
          <w:rStyle w:val="FootnoteReference"/>
        </w:rPr>
        <w:footnoteRef/>
      </w:r>
      <w:r>
        <w:t xml:space="preserve"> “</w:t>
      </w:r>
      <w:r w:rsidRPr="00663F67">
        <w:t xml:space="preserve">Trends and Opportunities in the Indian Packaging Industry 2017: Analysis of </w:t>
      </w:r>
      <w:r>
        <w:t>C</w:t>
      </w:r>
      <w:r w:rsidRPr="00663F67">
        <w:t xml:space="preserve">hanging </w:t>
      </w:r>
      <w:r>
        <w:t>P</w:t>
      </w:r>
      <w:r w:rsidRPr="00663F67">
        <w:t xml:space="preserve">ackaging </w:t>
      </w:r>
      <w:r>
        <w:t>T</w:t>
      </w:r>
      <w:r w:rsidRPr="00663F67">
        <w:t xml:space="preserve">rends in the Food, Cosmetics and Toiletries, Beverages and Other Industries </w:t>
      </w:r>
      <w:r w:rsidR="00290E45">
        <w:t>–</w:t>
      </w:r>
      <w:r w:rsidRPr="00663F67">
        <w:t xml:space="preserve"> Research and Markets,</w:t>
      </w:r>
      <w:r>
        <w:t>”</w:t>
      </w:r>
      <w:r w:rsidRPr="00663F67">
        <w:t xml:space="preserve"> Business</w:t>
      </w:r>
      <w:r>
        <w:t>W</w:t>
      </w:r>
      <w:r w:rsidRPr="00663F67">
        <w:t>ire, May</w:t>
      </w:r>
      <w:r>
        <w:t xml:space="preserve"> </w:t>
      </w:r>
      <w:r w:rsidRPr="00663F67">
        <w:t>9, 2017, accessed October 8, 2017, www.businesswire.com/news/home/20170509006321/en/Trends-Opportunities-Indian-Packaging-Industry-2017-Analysis</w:t>
      </w:r>
      <w:r>
        <w:t>.</w:t>
      </w:r>
    </w:p>
  </w:footnote>
  <w:footnote w:id="4">
    <w:p w14:paraId="2210A370" w14:textId="07D357DC" w:rsidR="00EA6E0E" w:rsidRDefault="00EA6E0E" w:rsidP="00C176CC">
      <w:pPr>
        <w:pStyle w:val="Footnote"/>
      </w:pPr>
      <w:r>
        <w:rPr>
          <w:rStyle w:val="FootnoteReference"/>
        </w:rPr>
        <w:footnoteRef/>
      </w:r>
      <w:r>
        <w:t xml:space="preserve"> “</w:t>
      </w:r>
      <w:r w:rsidRPr="00663F67">
        <w:t>Global Glass Bottle Packaging Market Size, Market Share, Application Analysis, Regional Outlook, Growth Trends, Key Players, Competitive Strategies and Forecasts, 2017 To 2025,</w:t>
      </w:r>
      <w:r>
        <w:t>”</w:t>
      </w:r>
      <w:r w:rsidRPr="00663F67">
        <w:t xml:space="preserve"> Acute Market Research, </w:t>
      </w:r>
      <w:r>
        <w:t>October</w:t>
      </w:r>
      <w:r w:rsidRPr="00663F67">
        <w:t xml:space="preserve"> 2016, accessed October 29, 2017, www.acutemarketreports.com/report/glass-bottle-packaging-market</w:t>
      </w:r>
      <w:r>
        <w:t>.</w:t>
      </w:r>
    </w:p>
  </w:footnote>
  <w:footnote w:id="5">
    <w:p w14:paraId="735AD554" w14:textId="51DE4D5D" w:rsidR="00EA6E0E" w:rsidRPr="00355A6A" w:rsidRDefault="00EA6E0E" w:rsidP="00C176CC">
      <w:pPr>
        <w:pStyle w:val="Footnote"/>
      </w:pPr>
      <w:r>
        <w:rPr>
          <w:rStyle w:val="FootnoteReference"/>
        </w:rPr>
        <w:footnoteRef/>
      </w:r>
      <w:r>
        <w:t xml:space="preserve"> “</w:t>
      </w:r>
      <w:r w:rsidRPr="00355A6A">
        <w:t>Global Glass Bottles and Containers Market to 2020,</w:t>
      </w:r>
      <w:r>
        <w:t>”</w:t>
      </w:r>
      <w:r w:rsidRPr="00355A6A">
        <w:t xml:space="preserve"> Glassonline, May 24, 2016, accessed October 8, 2017, https://www.glassonline.com/site/news/topic/Markets--trends/id/26170/Global-Glass-Bottles-and-Containers-Market-to-2020</w:t>
      </w:r>
      <w:r>
        <w:t>.</w:t>
      </w:r>
    </w:p>
  </w:footnote>
  <w:footnote w:id="6">
    <w:p w14:paraId="7EB6E8F4" w14:textId="5D4D0F49" w:rsidR="00EA6E0E" w:rsidRDefault="00EA6E0E" w:rsidP="00C176CC">
      <w:pPr>
        <w:pStyle w:val="Footnote"/>
      </w:pPr>
      <w:r>
        <w:rPr>
          <w:rStyle w:val="FootnoteReference"/>
        </w:rPr>
        <w:footnoteRef/>
      </w:r>
      <w:r>
        <w:t xml:space="preserve"> “</w:t>
      </w:r>
      <w:r w:rsidRPr="00355A6A">
        <w:t xml:space="preserve">Glass Packaging Market Analysis by Application (Food and Beverage, Beer, Pharmaceuticals) </w:t>
      </w:r>
      <w:r>
        <w:t>a</w:t>
      </w:r>
      <w:r w:rsidRPr="00355A6A">
        <w:t xml:space="preserve">nd Segment Forecasts </w:t>
      </w:r>
      <w:r>
        <w:t>t</w:t>
      </w:r>
      <w:r w:rsidRPr="00355A6A">
        <w:t>o 2020,</w:t>
      </w:r>
      <w:r>
        <w:t>”</w:t>
      </w:r>
      <w:r w:rsidRPr="00355A6A">
        <w:t xml:space="preserve"> Grand View Research, May 2014, accessed October 8, 2017, www.grandviewresearch.com/industry-analysis/glass-packaging-market-analysis</w:t>
      </w:r>
      <w:r>
        <w:t>.</w:t>
      </w:r>
    </w:p>
  </w:footnote>
  <w:footnote w:id="7">
    <w:p w14:paraId="4A13D924" w14:textId="5720C4DE" w:rsidR="00EA6E0E" w:rsidRDefault="00EA6E0E" w:rsidP="00C176CC">
      <w:pPr>
        <w:pStyle w:val="Footnote"/>
      </w:pPr>
      <w:r>
        <w:rPr>
          <w:rStyle w:val="FootnoteReference"/>
        </w:rPr>
        <w:footnoteRef/>
      </w:r>
      <w:r>
        <w:t xml:space="preserve"> Ibid.</w:t>
      </w:r>
    </w:p>
  </w:footnote>
  <w:footnote w:id="8">
    <w:p w14:paraId="767E27B2" w14:textId="007E9026" w:rsidR="00EA6E0E" w:rsidRDefault="00EA6E0E" w:rsidP="00C176CC">
      <w:pPr>
        <w:pStyle w:val="Footnote"/>
      </w:pPr>
      <w:r>
        <w:rPr>
          <w:rStyle w:val="FootnoteReference"/>
        </w:rPr>
        <w:footnoteRef/>
      </w:r>
      <w:r>
        <w:t xml:space="preserve"> Ibid.</w:t>
      </w:r>
    </w:p>
  </w:footnote>
  <w:footnote w:id="9">
    <w:p w14:paraId="60C5CDE6" w14:textId="55429692" w:rsidR="00EA6E0E" w:rsidRDefault="00EA6E0E" w:rsidP="00C176CC">
      <w:pPr>
        <w:pStyle w:val="NoSpacing"/>
        <w:rPr>
          <w:rFonts w:ascii="Arial" w:hAnsi="Arial" w:cs="Arial"/>
          <w:sz w:val="17"/>
          <w:szCs w:val="17"/>
        </w:rPr>
      </w:pPr>
      <w:r>
        <w:rPr>
          <w:rStyle w:val="FootnoteReference"/>
          <w:rFonts w:ascii="Arial" w:hAnsi="Arial" w:cs="Arial"/>
          <w:sz w:val="17"/>
          <w:szCs w:val="17"/>
        </w:rPr>
        <w:footnoteRef/>
      </w:r>
      <w:r>
        <w:rPr>
          <w:rFonts w:ascii="Arial" w:hAnsi="Arial" w:cs="Arial"/>
          <w:sz w:val="17"/>
          <w:szCs w:val="17"/>
        </w:rPr>
        <w:t xml:space="preserve"> Churn rate was calculated as the number of customers who left a business in a year’s time divided by the number of new customers in the same period.</w:t>
      </w:r>
    </w:p>
  </w:footnote>
  <w:footnote w:id="10">
    <w:p w14:paraId="1F78E2AC" w14:textId="59A8C4AA" w:rsidR="00EA6E0E" w:rsidRDefault="00EA6E0E" w:rsidP="00C176CC">
      <w:pPr>
        <w:pStyle w:val="NoSpacing"/>
        <w:rPr>
          <w:rFonts w:ascii="Arial" w:hAnsi="Arial" w:cs="Arial"/>
          <w:sz w:val="17"/>
          <w:szCs w:val="17"/>
        </w:rPr>
      </w:pPr>
      <w:r>
        <w:rPr>
          <w:rStyle w:val="FootnoteReference"/>
          <w:rFonts w:ascii="Arial" w:hAnsi="Arial" w:cs="Arial"/>
          <w:sz w:val="17"/>
          <w:szCs w:val="17"/>
        </w:rPr>
        <w:footnoteRef/>
      </w:r>
      <w:r>
        <w:rPr>
          <w:rFonts w:ascii="Arial" w:hAnsi="Arial" w:cs="Arial"/>
          <w:sz w:val="17"/>
          <w:szCs w:val="17"/>
        </w:rPr>
        <w:t xml:space="preserve"> Defection rate was the rate at which existing customers left a business and switched over to a competitor.</w:t>
      </w:r>
    </w:p>
  </w:footnote>
  <w:footnote w:id="11">
    <w:p w14:paraId="7B9CAC75" w14:textId="550F9237" w:rsidR="00EA6E0E" w:rsidRPr="00174211" w:rsidRDefault="00EA6E0E" w:rsidP="00C176CC">
      <w:pPr>
        <w:pStyle w:val="Footnote"/>
      </w:pPr>
      <w:r w:rsidRPr="00174211">
        <w:rPr>
          <w:rStyle w:val="FootnoteReference"/>
        </w:rPr>
        <w:footnoteRef/>
      </w:r>
      <w:r w:rsidRPr="00174211">
        <w:t xml:space="preserve"> ₹ = Indian rupee; ₹</w:t>
      </w:r>
      <w:r w:rsidR="00BB4D6C">
        <w:t>1 = US$0.0153</w:t>
      </w:r>
      <w:r w:rsidRPr="00174211">
        <w:t xml:space="preserve"> on October 10,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F281D" w14:textId="57385432" w:rsidR="00EA6E0E" w:rsidRPr="00C92CC4" w:rsidRDefault="00EA6E0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B4D6C">
      <w:rPr>
        <w:rFonts w:ascii="Arial" w:hAnsi="Arial"/>
        <w:b/>
        <w:noProof/>
      </w:rPr>
      <w:t>7</w:t>
    </w:r>
    <w:r>
      <w:rPr>
        <w:rFonts w:ascii="Arial" w:hAnsi="Arial"/>
        <w:b/>
      </w:rPr>
      <w:fldChar w:fldCharType="end"/>
    </w:r>
    <w:r>
      <w:rPr>
        <w:rFonts w:ascii="Arial" w:hAnsi="Arial"/>
        <w:b/>
      </w:rPr>
      <w:tab/>
    </w:r>
    <w:r w:rsidR="00E74003">
      <w:rPr>
        <w:rFonts w:ascii="Arial" w:hAnsi="Arial"/>
        <w:b/>
      </w:rPr>
      <w:t>9B18A023</w:t>
    </w:r>
  </w:p>
  <w:p w14:paraId="4392A7F1" w14:textId="77777777" w:rsidR="00EA6E0E" w:rsidRDefault="00EA6E0E" w:rsidP="00D13667">
    <w:pPr>
      <w:pStyle w:val="Header"/>
      <w:tabs>
        <w:tab w:val="clear" w:pos="4680"/>
      </w:tabs>
      <w:rPr>
        <w:sz w:val="18"/>
        <w:szCs w:val="18"/>
      </w:rPr>
    </w:pPr>
  </w:p>
  <w:p w14:paraId="6C41A65C" w14:textId="77777777" w:rsidR="00EA6E0E" w:rsidRPr="00C92CC4" w:rsidRDefault="00EA6E0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D62"/>
    <w:rsid w:val="00013360"/>
    <w:rsid w:val="00016759"/>
    <w:rsid w:val="00020D77"/>
    <w:rsid w:val="000216CE"/>
    <w:rsid w:val="00024ED4"/>
    <w:rsid w:val="00025DC7"/>
    <w:rsid w:val="00035F09"/>
    <w:rsid w:val="00044ECC"/>
    <w:rsid w:val="000531D3"/>
    <w:rsid w:val="0005646B"/>
    <w:rsid w:val="0008102D"/>
    <w:rsid w:val="00094C0E"/>
    <w:rsid w:val="000D7091"/>
    <w:rsid w:val="000F0C22"/>
    <w:rsid w:val="000F6B09"/>
    <w:rsid w:val="000F6FDC"/>
    <w:rsid w:val="001004D1"/>
    <w:rsid w:val="00104567"/>
    <w:rsid w:val="00104916"/>
    <w:rsid w:val="00104AA7"/>
    <w:rsid w:val="0012732D"/>
    <w:rsid w:val="00137E72"/>
    <w:rsid w:val="00143F25"/>
    <w:rsid w:val="00152682"/>
    <w:rsid w:val="00154FC9"/>
    <w:rsid w:val="00186E85"/>
    <w:rsid w:val="0019241A"/>
    <w:rsid w:val="001A22D1"/>
    <w:rsid w:val="001A752D"/>
    <w:rsid w:val="001A757E"/>
    <w:rsid w:val="001B5032"/>
    <w:rsid w:val="001C7777"/>
    <w:rsid w:val="001E364F"/>
    <w:rsid w:val="001F4222"/>
    <w:rsid w:val="00203AA1"/>
    <w:rsid w:val="00205C9B"/>
    <w:rsid w:val="00213E98"/>
    <w:rsid w:val="0023081A"/>
    <w:rsid w:val="002431FD"/>
    <w:rsid w:val="00277AF8"/>
    <w:rsid w:val="00290E45"/>
    <w:rsid w:val="002C30D4"/>
    <w:rsid w:val="002D26FF"/>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D7119"/>
    <w:rsid w:val="003F2B0C"/>
    <w:rsid w:val="004105B2"/>
    <w:rsid w:val="00412900"/>
    <w:rsid w:val="004221E4"/>
    <w:rsid w:val="004273F8"/>
    <w:rsid w:val="004355A3"/>
    <w:rsid w:val="00445261"/>
    <w:rsid w:val="00446546"/>
    <w:rsid w:val="00452769"/>
    <w:rsid w:val="00465348"/>
    <w:rsid w:val="00491F0A"/>
    <w:rsid w:val="00497B73"/>
    <w:rsid w:val="004A20E9"/>
    <w:rsid w:val="004B1CCB"/>
    <w:rsid w:val="004B632F"/>
    <w:rsid w:val="004D3FB1"/>
    <w:rsid w:val="004D6F21"/>
    <w:rsid w:val="004D73A5"/>
    <w:rsid w:val="004F446A"/>
    <w:rsid w:val="005160F1"/>
    <w:rsid w:val="00524F2F"/>
    <w:rsid w:val="00527E5C"/>
    <w:rsid w:val="00532CF5"/>
    <w:rsid w:val="005528CB"/>
    <w:rsid w:val="00566771"/>
    <w:rsid w:val="005809C2"/>
    <w:rsid w:val="00581E2E"/>
    <w:rsid w:val="00584F15"/>
    <w:rsid w:val="00587396"/>
    <w:rsid w:val="0059514B"/>
    <w:rsid w:val="005A1B0F"/>
    <w:rsid w:val="005B54D5"/>
    <w:rsid w:val="006133B4"/>
    <w:rsid w:val="006163F7"/>
    <w:rsid w:val="00627C63"/>
    <w:rsid w:val="0063350B"/>
    <w:rsid w:val="00652606"/>
    <w:rsid w:val="0065311F"/>
    <w:rsid w:val="006946EE"/>
    <w:rsid w:val="006A58A9"/>
    <w:rsid w:val="006A606D"/>
    <w:rsid w:val="006C0371"/>
    <w:rsid w:val="006C08B6"/>
    <w:rsid w:val="006C0B1A"/>
    <w:rsid w:val="006C6065"/>
    <w:rsid w:val="006C7F9F"/>
    <w:rsid w:val="006E2F6D"/>
    <w:rsid w:val="006E4E7E"/>
    <w:rsid w:val="006E58F6"/>
    <w:rsid w:val="006E77E1"/>
    <w:rsid w:val="006F131D"/>
    <w:rsid w:val="00711642"/>
    <w:rsid w:val="00723BB4"/>
    <w:rsid w:val="00732965"/>
    <w:rsid w:val="00736BB3"/>
    <w:rsid w:val="007507C6"/>
    <w:rsid w:val="00751E0B"/>
    <w:rsid w:val="00752BCD"/>
    <w:rsid w:val="00763F36"/>
    <w:rsid w:val="00766DA1"/>
    <w:rsid w:val="00780D94"/>
    <w:rsid w:val="007866A6"/>
    <w:rsid w:val="007A130D"/>
    <w:rsid w:val="007D0F55"/>
    <w:rsid w:val="007D1A2D"/>
    <w:rsid w:val="007D4102"/>
    <w:rsid w:val="007D6C70"/>
    <w:rsid w:val="007F2F94"/>
    <w:rsid w:val="007F43B7"/>
    <w:rsid w:val="00821FFC"/>
    <w:rsid w:val="00822324"/>
    <w:rsid w:val="008271CA"/>
    <w:rsid w:val="008467D5"/>
    <w:rsid w:val="008842CC"/>
    <w:rsid w:val="00885E4B"/>
    <w:rsid w:val="00893183"/>
    <w:rsid w:val="008A4DC4"/>
    <w:rsid w:val="008B438C"/>
    <w:rsid w:val="008D06CA"/>
    <w:rsid w:val="008D3A46"/>
    <w:rsid w:val="008D7CF5"/>
    <w:rsid w:val="008F19A9"/>
    <w:rsid w:val="009000D1"/>
    <w:rsid w:val="009067A4"/>
    <w:rsid w:val="009273ED"/>
    <w:rsid w:val="00930885"/>
    <w:rsid w:val="00933D68"/>
    <w:rsid w:val="009340DB"/>
    <w:rsid w:val="0094618C"/>
    <w:rsid w:val="0095684B"/>
    <w:rsid w:val="00972498"/>
    <w:rsid w:val="0097481F"/>
    <w:rsid w:val="00974CC6"/>
    <w:rsid w:val="00976AD4"/>
    <w:rsid w:val="00995547"/>
    <w:rsid w:val="009A312F"/>
    <w:rsid w:val="009A5348"/>
    <w:rsid w:val="009B0325"/>
    <w:rsid w:val="009B0AB7"/>
    <w:rsid w:val="009C76D5"/>
    <w:rsid w:val="009F7AA4"/>
    <w:rsid w:val="00A10AD7"/>
    <w:rsid w:val="00A34A19"/>
    <w:rsid w:val="00A36B92"/>
    <w:rsid w:val="00A46A4B"/>
    <w:rsid w:val="00A559DB"/>
    <w:rsid w:val="00A569EA"/>
    <w:rsid w:val="00A75129"/>
    <w:rsid w:val="00AF35FC"/>
    <w:rsid w:val="00AF389B"/>
    <w:rsid w:val="00AF5556"/>
    <w:rsid w:val="00B03639"/>
    <w:rsid w:val="00B0652A"/>
    <w:rsid w:val="00B0713C"/>
    <w:rsid w:val="00B0726E"/>
    <w:rsid w:val="00B40937"/>
    <w:rsid w:val="00B423EF"/>
    <w:rsid w:val="00B45014"/>
    <w:rsid w:val="00B453DE"/>
    <w:rsid w:val="00B676F9"/>
    <w:rsid w:val="00B707BF"/>
    <w:rsid w:val="00B72597"/>
    <w:rsid w:val="00B901F9"/>
    <w:rsid w:val="00BB4D6C"/>
    <w:rsid w:val="00BD6EFB"/>
    <w:rsid w:val="00C03E4F"/>
    <w:rsid w:val="00C1584D"/>
    <w:rsid w:val="00C15BE2"/>
    <w:rsid w:val="00C176CC"/>
    <w:rsid w:val="00C3447F"/>
    <w:rsid w:val="00C67102"/>
    <w:rsid w:val="00C81491"/>
    <w:rsid w:val="00C81676"/>
    <w:rsid w:val="00C85C5D"/>
    <w:rsid w:val="00C92CC4"/>
    <w:rsid w:val="00C94A47"/>
    <w:rsid w:val="00CA0AFB"/>
    <w:rsid w:val="00CA2CE1"/>
    <w:rsid w:val="00CA3976"/>
    <w:rsid w:val="00CA39AA"/>
    <w:rsid w:val="00CA50E3"/>
    <w:rsid w:val="00CA757B"/>
    <w:rsid w:val="00CA7DDD"/>
    <w:rsid w:val="00CC1787"/>
    <w:rsid w:val="00CC182C"/>
    <w:rsid w:val="00CC2C15"/>
    <w:rsid w:val="00CD0824"/>
    <w:rsid w:val="00CD2908"/>
    <w:rsid w:val="00CD2E99"/>
    <w:rsid w:val="00D03A82"/>
    <w:rsid w:val="00D13667"/>
    <w:rsid w:val="00D15344"/>
    <w:rsid w:val="00D23F57"/>
    <w:rsid w:val="00D25149"/>
    <w:rsid w:val="00D31BEC"/>
    <w:rsid w:val="00D429DF"/>
    <w:rsid w:val="00D63150"/>
    <w:rsid w:val="00D636BA"/>
    <w:rsid w:val="00D64A32"/>
    <w:rsid w:val="00D64EFC"/>
    <w:rsid w:val="00D75295"/>
    <w:rsid w:val="00D76CE9"/>
    <w:rsid w:val="00D97F12"/>
    <w:rsid w:val="00DA33A8"/>
    <w:rsid w:val="00DA6095"/>
    <w:rsid w:val="00DB42E7"/>
    <w:rsid w:val="00DE01A6"/>
    <w:rsid w:val="00DE0E8E"/>
    <w:rsid w:val="00DE7A98"/>
    <w:rsid w:val="00DF32C2"/>
    <w:rsid w:val="00E344DF"/>
    <w:rsid w:val="00E42829"/>
    <w:rsid w:val="00E471A7"/>
    <w:rsid w:val="00E54687"/>
    <w:rsid w:val="00E609C7"/>
    <w:rsid w:val="00E626F5"/>
    <w:rsid w:val="00E635CF"/>
    <w:rsid w:val="00E74003"/>
    <w:rsid w:val="00EA6E0E"/>
    <w:rsid w:val="00EC6E0A"/>
    <w:rsid w:val="00ED4E18"/>
    <w:rsid w:val="00EE1F37"/>
    <w:rsid w:val="00EF5BBC"/>
    <w:rsid w:val="00EF63F5"/>
    <w:rsid w:val="00F0159C"/>
    <w:rsid w:val="00F05032"/>
    <w:rsid w:val="00F105B7"/>
    <w:rsid w:val="00F13220"/>
    <w:rsid w:val="00F17A21"/>
    <w:rsid w:val="00F26CBE"/>
    <w:rsid w:val="00F32536"/>
    <w:rsid w:val="00F37B27"/>
    <w:rsid w:val="00F42042"/>
    <w:rsid w:val="00F46556"/>
    <w:rsid w:val="00F50E91"/>
    <w:rsid w:val="00F52BEE"/>
    <w:rsid w:val="00F57D29"/>
    <w:rsid w:val="00F96201"/>
    <w:rsid w:val="00FA4E10"/>
    <w:rsid w:val="00FA59F5"/>
    <w:rsid w:val="00FC44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13A19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xbe">
    <w:name w:val="_xbe"/>
    <w:basedOn w:val="DefaultParagraphFont"/>
    <w:rsid w:val="00C176CC"/>
  </w:style>
  <w:style w:type="character" w:customStyle="1" w:styleId="byline">
    <w:name w:val="byline"/>
    <w:basedOn w:val="DefaultParagraphFont"/>
    <w:rsid w:val="00C176CC"/>
  </w:style>
  <w:style w:type="paragraph" w:styleId="HTMLPreformatted">
    <w:name w:val="HTML Preformatted"/>
    <w:basedOn w:val="Normal"/>
    <w:link w:val="HTMLPreformattedChar"/>
    <w:uiPriority w:val="99"/>
    <w:unhideWhenUsed/>
    <w:rsid w:val="00C1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C176C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84C58-3A83-46A3-A36E-A8369FA5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2018-04-03T21:27:00Z</cp:lastPrinted>
  <dcterms:created xsi:type="dcterms:W3CDTF">2018-04-10T18:40:00Z</dcterms:created>
  <dcterms:modified xsi:type="dcterms:W3CDTF">2018-04-17T19:00:00Z</dcterms:modified>
</cp:coreProperties>
</file>