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4010" w14:textId="77777777" w:rsidR="00BC7C95" w:rsidRPr="00A67A76" w:rsidRDefault="00BC7C95" w:rsidP="00BC7C95">
      <w:pPr>
        <w:pBdr>
          <w:bottom w:val="single" w:sz="18" w:space="1" w:color="auto"/>
        </w:pBdr>
        <w:tabs>
          <w:tab w:val="left" w:pos="-1440"/>
          <w:tab w:val="left" w:pos="-720"/>
          <w:tab w:val="left" w:pos="1"/>
        </w:tabs>
        <w:rPr>
          <w:rFonts w:ascii="Arial" w:hAnsi="Arial"/>
          <w:b/>
          <w:sz w:val="2"/>
          <w:szCs w:val="2"/>
        </w:rPr>
      </w:pPr>
      <w:bookmarkStart w:id="0" w:name="_GoBack"/>
      <w:bookmarkEnd w:id="0"/>
      <w:r>
        <w:rPr>
          <w:rFonts w:ascii="Arial" w:hAnsi="Arial"/>
          <w:b/>
          <w:noProof/>
          <w:sz w:val="2"/>
          <w:szCs w:val="2"/>
          <w:lang w:val="en-GB" w:eastAsia="en-GB"/>
        </w:rPr>
        <w:drawing>
          <wp:anchor distT="0" distB="0" distL="114300" distR="114300" simplePos="0" relativeHeight="251660288" behindDoc="0" locked="1" layoutInCell="1" allowOverlap="1" wp14:anchorId="7BC0BD17" wp14:editId="2C231C89">
            <wp:simplePos x="0" y="0"/>
            <wp:positionH relativeFrom="margin">
              <wp:align>right</wp:align>
            </wp:positionH>
            <wp:positionV relativeFrom="paragraph">
              <wp:posOffset>47625</wp:posOffset>
            </wp:positionV>
            <wp:extent cx="2414016" cy="310896"/>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lang w:val="en-GB" w:eastAsia="en-GB"/>
        </w:rPr>
        <w:drawing>
          <wp:anchor distT="0" distB="0" distL="114300" distR="114300" simplePos="0" relativeHeight="251659264" behindDoc="0" locked="1" layoutInCell="1" allowOverlap="1" wp14:anchorId="5A0A6CF0" wp14:editId="5D0223BA">
            <wp:simplePos x="0" y="0"/>
            <wp:positionH relativeFrom="column">
              <wp:posOffset>9525</wp:posOffset>
            </wp:positionH>
            <wp:positionV relativeFrom="page">
              <wp:posOffset>657225</wp:posOffset>
            </wp:positionV>
            <wp:extent cx="2614930" cy="5486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14:paraId="68756C18" w14:textId="397CE22D" w:rsidR="00BC7C95" w:rsidRDefault="00BC7C95" w:rsidP="00BC7C95">
      <w:pPr>
        <w:pStyle w:val="ProductNumber"/>
      </w:pPr>
      <w:r>
        <w:t>9B18A028</w:t>
      </w:r>
    </w:p>
    <w:p w14:paraId="66CE81B9" w14:textId="77777777" w:rsidR="00D75295" w:rsidRDefault="00D75295" w:rsidP="00D75295">
      <w:pPr>
        <w:jc w:val="right"/>
        <w:rPr>
          <w:rFonts w:ascii="Arial" w:hAnsi="Arial"/>
          <w:b/>
          <w:sz w:val="28"/>
          <w:szCs w:val="28"/>
        </w:rPr>
      </w:pPr>
    </w:p>
    <w:p w14:paraId="1B539690" w14:textId="77777777" w:rsidR="00013360" w:rsidRPr="00013360" w:rsidRDefault="00013360" w:rsidP="00D75295">
      <w:pPr>
        <w:jc w:val="right"/>
        <w:rPr>
          <w:rFonts w:ascii="Arial" w:hAnsi="Arial"/>
          <w:b/>
          <w:sz w:val="28"/>
          <w:szCs w:val="28"/>
        </w:rPr>
      </w:pPr>
    </w:p>
    <w:p w14:paraId="70C3CB8E" w14:textId="77777777" w:rsidR="000C2CF0" w:rsidRPr="000C2CF0" w:rsidRDefault="000C2CF0" w:rsidP="000C2CF0">
      <w:pPr>
        <w:pStyle w:val="CaseTitle"/>
        <w:spacing w:after="0" w:line="240" w:lineRule="auto"/>
        <w:rPr>
          <w:lang w:val="en-GB"/>
        </w:rPr>
      </w:pPr>
      <w:r w:rsidRPr="000C2CF0">
        <w:rPr>
          <w:lang w:val="en-GB"/>
        </w:rPr>
        <w:t>Gold Crest Hotel: Filling Room Vacancies</w:t>
      </w:r>
    </w:p>
    <w:p w14:paraId="2264FE19" w14:textId="77777777" w:rsidR="00CA3976" w:rsidRDefault="00CA3976" w:rsidP="00013360">
      <w:pPr>
        <w:pStyle w:val="CaseTitle"/>
        <w:spacing w:after="0" w:line="240" w:lineRule="auto"/>
        <w:rPr>
          <w:sz w:val="20"/>
          <w:szCs w:val="20"/>
        </w:rPr>
      </w:pPr>
    </w:p>
    <w:p w14:paraId="1774D422" w14:textId="77777777" w:rsidR="00013360" w:rsidRPr="00013360" w:rsidRDefault="00013360" w:rsidP="00013360">
      <w:pPr>
        <w:pStyle w:val="CaseTitle"/>
        <w:spacing w:after="0" w:line="240" w:lineRule="auto"/>
        <w:rPr>
          <w:sz w:val="20"/>
          <w:szCs w:val="20"/>
        </w:rPr>
      </w:pPr>
    </w:p>
    <w:p w14:paraId="77FAE807" w14:textId="31653A6D" w:rsidR="00627C63" w:rsidRPr="00627C63" w:rsidRDefault="00C976B1" w:rsidP="00627C63">
      <w:pPr>
        <w:pStyle w:val="StyleCopyrightStatementAfter0ptBottomSinglesolidline1"/>
      </w:pPr>
      <w:r>
        <w:t>Mackenzie Schmidt, Matt Bradley, Glen Thomson-Bullock</w:t>
      </w:r>
      <w:r w:rsidR="00BF6746">
        <w:t>,</w:t>
      </w:r>
      <w:r>
        <w:t xml:space="preserve"> and John Paul Belmonte</w:t>
      </w:r>
      <w:r w:rsidR="00F94C30" w:rsidRPr="00F94C30">
        <w:t xml:space="preserve"> </w:t>
      </w:r>
      <w:r w:rsidR="004B632F" w:rsidRPr="00104567">
        <w:t>wrote this</w:t>
      </w:r>
      <w:r w:rsidR="004B632F">
        <w:t xml:space="preserve"> </w:t>
      </w:r>
      <w:r w:rsidR="00152682">
        <w:t>case</w:t>
      </w:r>
      <w:r w:rsidR="004B632F">
        <w:t xml:space="preserve"> </w:t>
      </w:r>
      <w:r w:rsidR="002E7B1D">
        <w:t xml:space="preserve">under the supervision of Professor Nicole Haggerty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6FA43FEA" w14:textId="77777777" w:rsidR="00F94C30" w:rsidRDefault="00F94C30" w:rsidP="00751E0B">
      <w:pPr>
        <w:pStyle w:val="StyleStyleCopyrightStatementAfter0ptBottomSinglesolid"/>
        <w:rPr>
          <w:rFonts w:cs="Arial"/>
          <w:szCs w:val="16"/>
          <w:lang w:val="en-CA"/>
        </w:rPr>
      </w:pPr>
    </w:p>
    <w:p w14:paraId="0B34D917" w14:textId="77777777"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3"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578FC2F" w14:textId="77777777" w:rsidR="00480222" w:rsidRDefault="00480222" w:rsidP="00480222">
      <w:pPr>
        <w:pStyle w:val="StyleCopyrightStatementAfter0ptBottomSinglesolidline1"/>
        <w:pBdr>
          <w:top w:val="none" w:sz="0" w:space="0" w:color="auto"/>
        </w:pBdr>
      </w:pPr>
    </w:p>
    <w:p w14:paraId="0D6F4CBA" w14:textId="5DB5DAA4" w:rsidR="00751E0B" w:rsidRDefault="00C976B1" w:rsidP="00480222">
      <w:pPr>
        <w:pStyle w:val="StyleStyleCopyrightStatementAfter0ptBottomSinglesolid"/>
      </w:pPr>
      <w:r>
        <w:t>Copyright © 2018</w:t>
      </w:r>
      <w:r w:rsidR="00480222">
        <w:t>, Ivey Business</w:t>
      </w:r>
      <w:r>
        <w:t xml:space="preserve"> School Foundation</w:t>
      </w:r>
      <w:r>
        <w:tab/>
        <w:t>Version: 2018-0</w:t>
      </w:r>
      <w:r w:rsidR="00BC7C95">
        <w:t>7</w:t>
      </w:r>
      <w:r>
        <w:t>-</w:t>
      </w:r>
      <w:r w:rsidR="00BC7C95">
        <w:t>12</w:t>
      </w:r>
    </w:p>
    <w:p w14:paraId="01DF3126" w14:textId="77777777" w:rsidR="00751E0B" w:rsidRPr="003B7EF2" w:rsidRDefault="00751E0B" w:rsidP="00751E0B">
      <w:pPr>
        <w:pStyle w:val="StyleCopyrightStatementAfter0ptBottomSinglesolidline1"/>
        <w:rPr>
          <w:rFonts w:ascii="Times New Roman" w:hAnsi="Times New Roman"/>
          <w:sz w:val="20"/>
        </w:rPr>
      </w:pPr>
    </w:p>
    <w:p w14:paraId="6A6D2D68" w14:textId="77777777" w:rsidR="00C976B1" w:rsidRPr="001E584B" w:rsidRDefault="00C976B1" w:rsidP="00C976B1">
      <w:pPr>
        <w:pStyle w:val="BodyTextMain"/>
      </w:pPr>
      <w:r>
        <w:t xml:space="preserve">At </w:t>
      </w:r>
      <w:r w:rsidRPr="001E584B">
        <w:t>the end of May 2015</w:t>
      </w:r>
      <w:r>
        <w:t>,</w:t>
      </w:r>
      <w:r w:rsidRPr="001E584B">
        <w:t xml:space="preserve"> Sanjeev </w:t>
      </w:r>
      <w:proofErr w:type="spellStart"/>
      <w:r w:rsidRPr="001E584B">
        <w:t>Paliath</w:t>
      </w:r>
      <w:proofErr w:type="spellEnd"/>
      <w:r w:rsidRPr="001E584B">
        <w:t xml:space="preserve"> </w:t>
      </w:r>
      <w:r>
        <w:t>was</w:t>
      </w:r>
      <w:r w:rsidRPr="001E584B">
        <w:t xml:space="preserve"> in his office skimm</w:t>
      </w:r>
      <w:r>
        <w:t>ing</w:t>
      </w:r>
      <w:r w:rsidRPr="001E584B">
        <w:t xml:space="preserve"> over the growing list of weddings and business conventions booked at his hotel for the coming weekend. As </w:t>
      </w:r>
      <w:r>
        <w:t>g</w:t>
      </w:r>
      <w:r w:rsidRPr="001E584B">
        <w:t xml:space="preserve">eneral </w:t>
      </w:r>
      <w:r>
        <w:t>m</w:t>
      </w:r>
      <w:r w:rsidRPr="001E584B">
        <w:t>anager of the Gold Crest Hotel (Gold Crest) in Mwanza, Tanzania</w:t>
      </w:r>
      <w:r>
        <w:t>,</w:t>
      </w:r>
      <w:r w:rsidRPr="001E584B">
        <w:t xml:space="preserve"> </w:t>
      </w:r>
      <w:proofErr w:type="spellStart"/>
      <w:r w:rsidRPr="001E584B">
        <w:t>Paliath</w:t>
      </w:r>
      <w:proofErr w:type="spellEnd"/>
      <w:r w:rsidRPr="001E584B">
        <w:t xml:space="preserve"> had been pleased with the hotel’s steady revenue growth from conference room bookings over the past two years. However, the average yearly hotel occupancy was below management’s desired 80</w:t>
      </w:r>
      <w:r>
        <w:t xml:space="preserve"> per cent</w:t>
      </w:r>
      <w:r w:rsidRPr="001E584B">
        <w:t xml:space="preserve"> rate. The Gold Crest was considered Mwanza’s premier hotel for weddings and conferences, but </w:t>
      </w:r>
      <w:r>
        <w:t>it faced</w:t>
      </w:r>
      <w:r w:rsidRPr="001E584B">
        <w:t xml:space="preserve"> tremendous competition for guest room bookings </w:t>
      </w:r>
      <w:r>
        <w:t>from</w:t>
      </w:r>
      <w:r w:rsidRPr="001E584B">
        <w:t xml:space="preserve"> many local, lower-priced hotels. Now</w:t>
      </w:r>
      <w:r>
        <w:t>,</w:t>
      </w:r>
      <w:r w:rsidRPr="001E584B">
        <w:t xml:space="preserve"> halfway through the high season, </w:t>
      </w:r>
      <w:proofErr w:type="spellStart"/>
      <w:r w:rsidRPr="001E584B">
        <w:t>Paliath</w:t>
      </w:r>
      <w:proofErr w:type="spellEnd"/>
      <w:r w:rsidRPr="001E584B">
        <w:t xml:space="preserve"> had three days to prepare for his upcoming meeting with corporate executives to discuss which consumer market the Gold Crest should actively target. He pondered</w:t>
      </w:r>
      <w:r>
        <w:t xml:space="preserve"> his available options</w:t>
      </w:r>
      <w:r w:rsidRPr="001E584B">
        <w:t xml:space="preserve"> to increase room occupancy and combat the hotel’s slow season, which would soon arrive in July. </w:t>
      </w:r>
    </w:p>
    <w:p w14:paraId="7973EE3C" w14:textId="77777777" w:rsidR="00C976B1" w:rsidRDefault="00C976B1" w:rsidP="00C976B1">
      <w:pPr>
        <w:widowControl w:val="0"/>
        <w:autoSpaceDE w:val="0"/>
        <w:autoSpaceDN w:val="0"/>
        <w:adjustRightInd w:val="0"/>
        <w:jc w:val="both"/>
        <w:rPr>
          <w:color w:val="000000"/>
          <w:sz w:val="22"/>
          <w:szCs w:val="22"/>
        </w:rPr>
      </w:pPr>
    </w:p>
    <w:p w14:paraId="6F876383" w14:textId="77777777" w:rsidR="00C976B1" w:rsidRPr="001E584B" w:rsidRDefault="00C976B1" w:rsidP="00C976B1">
      <w:pPr>
        <w:widowControl w:val="0"/>
        <w:autoSpaceDE w:val="0"/>
        <w:autoSpaceDN w:val="0"/>
        <w:adjustRightInd w:val="0"/>
        <w:jc w:val="both"/>
        <w:rPr>
          <w:color w:val="000000"/>
          <w:sz w:val="22"/>
          <w:szCs w:val="22"/>
        </w:rPr>
      </w:pPr>
    </w:p>
    <w:p w14:paraId="38019233" w14:textId="77777777" w:rsidR="00C976B1" w:rsidRPr="001F7D71" w:rsidRDefault="00C976B1" w:rsidP="00C976B1">
      <w:pPr>
        <w:widowControl w:val="0"/>
        <w:autoSpaceDE w:val="0"/>
        <w:autoSpaceDN w:val="0"/>
        <w:adjustRightInd w:val="0"/>
        <w:jc w:val="both"/>
        <w:rPr>
          <w:rFonts w:ascii="Arial" w:hAnsi="Arial" w:cs="Arial"/>
          <w:b/>
          <w:color w:val="000000"/>
        </w:rPr>
      </w:pPr>
      <w:r w:rsidRPr="001F7D71">
        <w:rPr>
          <w:rFonts w:ascii="Arial" w:hAnsi="Arial" w:cs="Arial"/>
          <w:b/>
          <w:color w:val="000000"/>
        </w:rPr>
        <w:t xml:space="preserve">EXTERNAL ANALYSIS </w:t>
      </w:r>
    </w:p>
    <w:p w14:paraId="2F5280E0" w14:textId="77777777" w:rsidR="00C976B1" w:rsidRPr="001E584B" w:rsidRDefault="00C976B1" w:rsidP="00C976B1">
      <w:pPr>
        <w:widowControl w:val="0"/>
        <w:autoSpaceDE w:val="0"/>
        <w:autoSpaceDN w:val="0"/>
        <w:adjustRightInd w:val="0"/>
        <w:jc w:val="both"/>
        <w:rPr>
          <w:color w:val="000000"/>
          <w:sz w:val="22"/>
          <w:szCs w:val="22"/>
        </w:rPr>
      </w:pPr>
    </w:p>
    <w:p w14:paraId="0B26DCC2" w14:textId="264C9DCE" w:rsidR="00C976B1" w:rsidRDefault="00C976B1" w:rsidP="00C976B1">
      <w:pPr>
        <w:pStyle w:val="BodyTextMain"/>
      </w:pPr>
      <w:r w:rsidRPr="001E584B">
        <w:t xml:space="preserve">By the end of 2014, Tanzania’s population </w:t>
      </w:r>
      <w:r>
        <w:t xml:space="preserve">had </w:t>
      </w:r>
      <w:r w:rsidRPr="001E584B">
        <w:t>reached over 50 million.</w:t>
      </w:r>
      <w:r w:rsidRPr="001E584B">
        <w:rPr>
          <w:rStyle w:val="FootnoteReference"/>
          <w:color w:val="000000"/>
        </w:rPr>
        <w:footnoteReference w:id="1"/>
      </w:r>
      <w:r w:rsidR="00BF6746">
        <w:t xml:space="preserve"> T</w:t>
      </w:r>
      <w:r w:rsidRPr="001E584B">
        <w:t>he country’s agriculture industry employed approximately 75</w:t>
      </w:r>
      <w:r>
        <w:t xml:space="preserve"> per cent</w:t>
      </w:r>
      <w:r w:rsidRPr="001E584B">
        <w:t xml:space="preserve"> of the population and accounted for over one-quarter of </w:t>
      </w:r>
      <w:r>
        <w:t>the country’s gross domestic product;</w:t>
      </w:r>
      <w:r w:rsidRPr="001E584B">
        <w:rPr>
          <w:rStyle w:val="FootnoteReference"/>
          <w:color w:val="000000"/>
        </w:rPr>
        <w:footnoteReference w:id="2"/>
      </w:r>
      <w:r w:rsidRPr="001E584B">
        <w:t xml:space="preserve"> however</w:t>
      </w:r>
      <w:r>
        <w:t>,</w:t>
      </w:r>
      <w:r w:rsidRPr="001E584B">
        <w:t xml:space="preserve"> manufacturing, real</w:t>
      </w:r>
      <w:r>
        <w:t xml:space="preserve"> </w:t>
      </w:r>
      <w:r w:rsidRPr="001E584B">
        <w:t>estate, tourism</w:t>
      </w:r>
      <w:r>
        <w:t>,</w:t>
      </w:r>
      <w:r w:rsidRPr="001E584B">
        <w:t xml:space="preserve"> and business services were the fastest-growing sectors.</w:t>
      </w:r>
      <w:r w:rsidRPr="001E584B">
        <w:rPr>
          <w:rStyle w:val="FootnoteReference"/>
          <w:color w:val="000000"/>
        </w:rPr>
        <w:footnoteReference w:id="3"/>
      </w:r>
      <w:r>
        <w:t xml:space="preserve"> </w:t>
      </w:r>
      <w:r w:rsidRPr="001E584B">
        <w:t xml:space="preserve">In 2014, the average annual income per capita was </w:t>
      </w:r>
      <w:r>
        <w:t>US</w:t>
      </w:r>
      <w:r w:rsidRPr="001E584B">
        <w:t>$930,</w:t>
      </w:r>
      <w:r>
        <w:rPr>
          <w:rStyle w:val="FootnoteReference"/>
          <w:color w:val="000000"/>
        </w:rPr>
        <w:footnoteReference w:id="4"/>
      </w:r>
      <w:r w:rsidRPr="001E584B">
        <w:t xml:space="preserve"> but only 28.2</w:t>
      </w:r>
      <w:r>
        <w:t xml:space="preserve"> per cent</w:t>
      </w:r>
      <w:r w:rsidRPr="001E584B">
        <w:t xml:space="preserve"> of the population w</w:t>
      </w:r>
      <w:r>
        <w:t>as</w:t>
      </w:r>
      <w:r w:rsidRPr="001E584B">
        <w:t xml:space="preserve"> living below the poverty line, a decrease of </w:t>
      </w:r>
      <w:r>
        <w:t>5</w:t>
      </w:r>
      <w:r w:rsidRPr="001E584B">
        <w:t xml:space="preserve"> per</w:t>
      </w:r>
      <w:r>
        <w:t xml:space="preserve"> </w:t>
      </w:r>
      <w:r w:rsidRPr="001E584B">
        <w:t>cent since 2007.</w:t>
      </w:r>
      <w:r w:rsidRPr="001E584B">
        <w:rPr>
          <w:rStyle w:val="FootnoteReference"/>
          <w:color w:val="000000"/>
        </w:rPr>
        <w:footnoteReference w:id="5"/>
      </w:r>
      <w:r w:rsidRPr="001E584B">
        <w:rPr>
          <w:position w:val="13"/>
        </w:rPr>
        <w:t xml:space="preserve"> </w:t>
      </w:r>
      <w:r w:rsidRPr="001E584B">
        <w:t>The completion of the National ICT Broadband Backbone</w:t>
      </w:r>
      <w:r>
        <w:t xml:space="preserve">, the country’s national </w:t>
      </w:r>
      <w:proofErr w:type="spellStart"/>
      <w:r>
        <w:t>fibre</w:t>
      </w:r>
      <w:proofErr w:type="spellEnd"/>
      <w:r>
        <w:t>-optic cable network in 2010,</w:t>
      </w:r>
      <w:r w:rsidRPr="001E584B">
        <w:t xml:space="preserve"> and the increased number of cell phone users had consequently increased the number of </w:t>
      </w:r>
      <w:r>
        <w:t>I</w:t>
      </w:r>
      <w:r w:rsidRPr="001E584B">
        <w:t xml:space="preserve">nternet users in Tanzania to </w:t>
      </w:r>
      <w:r>
        <w:t>9</w:t>
      </w:r>
      <w:r w:rsidRPr="001E584B">
        <w:t xml:space="preserve"> million.</w:t>
      </w:r>
      <w:r w:rsidRPr="001E584B">
        <w:rPr>
          <w:rStyle w:val="FootnoteReference"/>
          <w:color w:val="000000"/>
        </w:rPr>
        <w:footnoteReference w:id="6"/>
      </w:r>
      <w:r w:rsidRPr="001E584B">
        <w:t xml:space="preserve"> According to the 2013 National Household Budget Survey, Tanzania was well-positioned to reach middle-income status in the next decade.</w:t>
      </w:r>
      <w:r w:rsidRPr="001E584B">
        <w:rPr>
          <w:rStyle w:val="FootnoteReference"/>
          <w:color w:val="000000"/>
        </w:rPr>
        <w:footnoteReference w:id="7"/>
      </w:r>
    </w:p>
    <w:p w14:paraId="40FE0129" w14:textId="77777777" w:rsidR="00C976B1" w:rsidRDefault="00C976B1" w:rsidP="00C976B1">
      <w:pPr>
        <w:widowControl w:val="0"/>
        <w:autoSpaceDE w:val="0"/>
        <w:autoSpaceDN w:val="0"/>
        <w:adjustRightInd w:val="0"/>
        <w:jc w:val="both"/>
        <w:rPr>
          <w:rFonts w:ascii="Times" w:hAnsi="Times" w:cs="Times"/>
          <w:color w:val="000000"/>
          <w:sz w:val="22"/>
          <w:szCs w:val="22"/>
        </w:rPr>
      </w:pPr>
      <w:r w:rsidRPr="001E584B">
        <w:rPr>
          <w:color w:val="000000"/>
          <w:sz w:val="22"/>
          <w:szCs w:val="22"/>
        </w:rPr>
        <w:lastRenderedPageBreak/>
        <w:t>As the second-largest city in Tanzania, Mwanza boasted one of the fastest growth rates of East African cities in 2014.</w:t>
      </w:r>
      <w:r w:rsidRPr="001E584B">
        <w:rPr>
          <w:rStyle w:val="FootnoteReference"/>
          <w:color w:val="000000"/>
          <w:sz w:val="22"/>
          <w:szCs w:val="22"/>
        </w:rPr>
        <w:footnoteReference w:id="8"/>
      </w:r>
      <w:r w:rsidRPr="001E584B">
        <w:rPr>
          <w:color w:val="000000"/>
          <w:sz w:val="22"/>
          <w:szCs w:val="22"/>
        </w:rPr>
        <w:t xml:space="preserve"> Mwanza has historically served as Tanzania’s main port on Lake Victoria, establishing itself as a primary trade route between Tanzania, Uganda</w:t>
      </w:r>
      <w:r>
        <w:rPr>
          <w:color w:val="000000"/>
          <w:sz w:val="22"/>
          <w:szCs w:val="22"/>
        </w:rPr>
        <w:t>,</w:t>
      </w:r>
      <w:r w:rsidRPr="001E584B">
        <w:rPr>
          <w:color w:val="000000"/>
          <w:sz w:val="22"/>
          <w:szCs w:val="22"/>
        </w:rPr>
        <w:t xml:space="preserve"> and Kenya. Government efforts to attract foreign investment in Mwanza had also increased drastically over the past eight years due to political stability, growth in the business sector</w:t>
      </w:r>
      <w:r>
        <w:rPr>
          <w:color w:val="000000"/>
          <w:sz w:val="22"/>
          <w:szCs w:val="22"/>
        </w:rPr>
        <w:t>,</w:t>
      </w:r>
      <w:r w:rsidRPr="001E584B">
        <w:rPr>
          <w:color w:val="000000"/>
          <w:sz w:val="22"/>
          <w:szCs w:val="22"/>
        </w:rPr>
        <w:t xml:space="preserve"> and a rising middle</w:t>
      </w:r>
      <w:r>
        <w:rPr>
          <w:color w:val="000000"/>
          <w:sz w:val="22"/>
          <w:szCs w:val="22"/>
        </w:rPr>
        <w:t xml:space="preserve"> </w:t>
      </w:r>
      <w:r w:rsidRPr="001E584B">
        <w:rPr>
          <w:color w:val="000000"/>
          <w:sz w:val="22"/>
          <w:szCs w:val="22"/>
        </w:rPr>
        <w:t>class.</w:t>
      </w:r>
      <w:r w:rsidRPr="001E584B">
        <w:rPr>
          <w:rStyle w:val="FootnoteReference"/>
          <w:color w:val="000000"/>
          <w:sz w:val="22"/>
          <w:szCs w:val="22"/>
        </w:rPr>
        <w:footnoteReference w:id="9"/>
      </w:r>
      <w:r w:rsidRPr="001E584B">
        <w:rPr>
          <w:color w:val="000000"/>
          <w:sz w:val="22"/>
          <w:szCs w:val="22"/>
        </w:rPr>
        <w:t xml:space="preserve"> Although drastic capital investments in infrastructure had begun to modernize the city, sporadic power shortages, unpaved roads</w:t>
      </w:r>
      <w:r>
        <w:rPr>
          <w:color w:val="000000"/>
          <w:sz w:val="22"/>
          <w:szCs w:val="22"/>
        </w:rPr>
        <w:t>,</w:t>
      </w:r>
      <w:r w:rsidRPr="001E584B">
        <w:rPr>
          <w:color w:val="000000"/>
          <w:sz w:val="22"/>
          <w:szCs w:val="22"/>
        </w:rPr>
        <w:t xml:space="preserve"> and poor sewage systems were areas for improvement. Mwanza was only a two-hour drive from </w:t>
      </w:r>
      <w:r>
        <w:rPr>
          <w:color w:val="000000"/>
          <w:sz w:val="22"/>
          <w:szCs w:val="22"/>
        </w:rPr>
        <w:t xml:space="preserve">the most visited park in Tanzania, the </w:t>
      </w:r>
      <w:r w:rsidRPr="001E584B">
        <w:rPr>
          <w:color w:val="000000"/>
          <w:sz w:val="22"/>
          <w:szCs w:val="22"/>
        </w:rPr>
        <w:t xml:space="preserve">Serengeti National Park, </w:t>
      </w:r>
      <w:r>
        <w:rPr>
          <w:color w:val="000000"/>
          <w:sz w:val="22"/>
          <w:szCs w:val="22"/>
        </w:rPr>
        <w:t xml:space="preserve">which had </w:t>
      </w:r>
      <w:r w:rsidRPr="001E584B">
        <w:rPr>
          <w:color w:val="000000"/>
          <w:sz w:val="22"/>
          <w:szCs w:val="22"/>
        </w:rPr>
        <w:t>attracted 336,177 tourists in 2013—</w:t>
      </w:r>
      <w:r>
        <w:rPr>
          <w:color w:val="000000"/>
          <w:sz w:val="22"/>
          <w:szCs w:val="22"/>
        </w:rPr>
        <w:t xml:space="preserve">almost </w:t>
      </w:r>
      <w:r w:rsidRPr="001E584B">
        <w:rPr>
          <w:color w:val="000000"/>
          <w:sz w:val="22"/>
          <w:szCs w:val="22"/>
        </w:rPr>
        <w:t>doubl</w:t>
      </w:r>
      <w:r>
        <w:rPr>
          <w:color w:val="000000"/>
          <w:sz w:val="22"/>
          <w:szCs w:val="22"/>
        </w:rPr>
        <w:t>e</w:t>
      </w:r>
      <w:r w:rsidRPr="001E584B">
        <w:rPr>
          <w:color w:val="000000"/>
          <w:sz w:val="22"/>
          <w:szCs w:val="22"/>
        </w:rPr>
        <w:t xml:space="preserve"> the </w:t>
      </w:r>
      <w:r>
        <w:rPr>
          <w:color w:val="000000"/>
          <w:sz w:val="22"/>
          <w:szCs w:val="22"/>
        </w:rPr>
        <w:t xml:space="preserve">number of tourists that had visited the </w:t>
      </w:r>
      <w:r w:rsidRPr="001E584B">
        <w:rPr>
          <w:color w:val="000000"/>
          <w:sz w:val="22"/>
          <w:szCs w:val="22"/>
        </w:rPr>
        <w:t>second most-visited</w:t>
      </w:r>
      <w:r>
        <w:rPr>
          <w:color w:val="000000"/>
          <w:sz w:val="22"/>
          <w:szCs w:val="22"/>
        </w:rPr>
        <w:t xml:space="preserve">, Lake </w:t>
      </w:r>
      <w:proofErr w:type="spellStart"/>
      <w:r>
        <w:rPr>
          <w:color w:val="000000"/>
          <w:sz w:val="22"/>
          <w:szCs w:val="22"/>
        </w:rPr>
        <w:t>Manyara</w:t>
      </w:r>
      <w:proofErr w:type="spellEnd"/>
      <w:r>
        <w:rPr>
          <w:color w:val="000000"/>
          <w:sz w:val="22"/>
          <w:szCs w:val="22"/>
        </w:rPr>
        <w:t xml:space="preserve"> National Park</w:t>
      </w:r>
      <w:r w:rsidRPr="001E584B">
        <w:rPr>
          <w:color w:val="000000"/>
          <w:sz w:val="22"/>
          <w:szCs w:val="22"/>
        </w:rPr>
        <w:t>.</w:t>
      </w:r>
      <w:r w:rsidRPr="001E584B">
        <w:rPr>
          <w:rStyle w:val="FootnoteReference"/>
          <w:color w:val="000000"/>
          <w:sz w:val="22"/>
          <w:szCs w:val="22"/>
        </w:rPr>
        <w:footnoteReference w:id="10"/>
      </w:r>
      <w:r w:rsidRPr="001E584B">
        <w:rPr>
          <w:rFonts w:ascii="Times" w:hAnsi="Times" w:cs="Times"/>
          <w:color w:val="000000"/>
          <w:sz w:val="22"/>
          <w:szCs w:val="22"/>
        </w:rPr>
        <w:t xml:space="preserve"> </w:t>
      </w:r>
    </w:p>
    <w:p w14:paraId="6B7F548A" w14:textId="77777777" w:rsidR="00C976B1" w:rsidRDefault="00C976B1" w:rsidP="00C976B1">
      <w:pPr>
        <w:widowControl w:val="0"/>
        <w:autoSpaceDE w:val="0"/>
        <w:autoSpaceDN w:val="0"/>
        <w:adjustRightInd w:val="0"/>
        <w:jc w:val="both"/>
        <w:rPr>
          <w:rFonts w:ascii="Times" w:hAnsi="Times" w:cs="Times"/>
          <w:color w:val="000000"/>
          <w:sz w:val="22"/>
          <w:szCs w:val="22"/>
        </w:rPr>
      </w:pPr>
    </w:p>
    <w:p w14:paraId="0EDB1963" w14:textId="77777777" w:rsidR="00C976B1" w:rsidRDefault="00C976B1" w:rsidP="00C976B1">
      <w:pPr>
        <w:widowControl w:val="0"/>
        <w:autoSpaceDE w:val="0"/>
        <w:autoSpaceDN w:val="0"/>
        <w:adjustRightInd w:val="0"/>
        <w:jc w:val="both"/>
        <w:rPr>
          <w:rFonts w:ascii="Times" w:hAnsi="Times" w:cs="Times"/>
          <w:color w:val="000000"/>
          <w:sz w:val="22"/>
          <w:szCs w:val="22"/>
        </w:rPr>
      </w:pPr>
    </w:p>
    <w:p w14:paraId="0669AA22" w14:textId="77777777" w:rsidR="00C976B1" w:rsidRPr="009C6663" w:rsidRDefault="00C976B1" w:rsidP="00C976B1">
      <w:pPr>
        <w:widowControl w:val="0"/>
        <w:autoSpaceDE w:val="0"/>
        <w:autoSpaceDN w:val="0"/>
        <w:adjustRightInd w:val="0"/>
        <w:jc w:val="both"/>
        <w:rPr>
          <w:rFonts w:ascii="Arial" w:hAnsi="Arial" w:cs="Arial"/>
          <w:b/>
          <w:color w:val="000000"/>
        </w:rPr>
      </w:pPr>
      <w:r w:rsidRPr="001E584B">
        <w:rPr>
          <w:rFonts w:ascii="Arial" w:hAnsi="Arial" w:cs="Arial"/>
          <w:b/>
          <w:color w:val="000000"/>
        </w:rPr>
        <w:t>Competition</w:t>
      </w:r>
    </w:p>
    <w:p w14:paraId="1EB0928D" w14:textId="77777777" w:rsidR="00C976B1" w:rsidRDefault="00C976B1" w:rsidP="00C976B1">
      <w:pPr>
        <w:widowControl w:val="0"/>
        <w:autoSpaceDE w:val="0"/>
        <w:autoSpaceDN w:val="0"/>
        <w:adjustRightInd w:val="0"/>
        <w:jc w:val="both"/>
        <w:rPr>
          <w:color w:val="000000"/>
          <w:sz w:val="22"/>
          <w:szCs w:val="22"/>
        </w:rPr>
      </w:pPr>
    </w:p>
    <w:p w14:paraId="76F2E789" w14:textId="77777777" w:rsidR="00C976B1" w:rsidRDefault="00C976B1" w:rsidP="003629B9">
      <w:pPr>
        <w:pStyle w:val="BodyTextMain"/>
      </w:pPr>
      <w:r w:rsidRPr="001E584B">
        <w:t xml:space="preserve">In addition to the Gold Crest, a number of luxury hotels in Mwanza competed for the luxury tourist customer segment: the </w:t>
      </w:r>
      <w:proofErr w:type="spellStart"/>
      <w:r w:rsidRPr="001E584B">
        <w:t>Malaka</w:t>
      </w:r>
      <w:proofErr w:type="spellEnd"/>
      <w:r w:rsidRPr="001E584B">
        <w:t xml:space="preserve"> Beach Resort, La Cairo Hotel, Villa Park, New Mwanza Hotel, and the JB Belmont Hotel (</w:t>
      </w:r>
      <w:r>
        <w:t xml:space="preserve">see </w:t>
      </w:r>
      <w:r w:rsidRPr="001E584B">
        <w:t xml:space="preserve">Exhibit 1). While these hotels provided luxurious guest rooms </w:t>
      </w:r>
      <w:r>
        <w:t>that</w:t>
      </w:r>
      <w:r w:rsidRPr="001E584B">
        <w:t xml:space="preserve"> catered to tourists, they lacked the space and resources to meet </w:t>
      </w:r>
      <w:r>
        <w:t xml:space="preserve">the </w:t>
      </w:r>
      <w:r w:rsidRPr="001E584B">
        <w:t>needs of business and wedding guests who required large conference spaces. Additionally, the Gold Crest was one of the select few hotels to offer a swimming pool, a</w:t>
      </w:r>
      <w:r>
        <w:t>n</w:t>
      </w:r>
      <w:r w:rsidRPr="001E584B">
        <w:t xml:space="preserve"> amenity </w:t>
      </w:r>
      <w:r>
        <w:t xml:space="preserve">highly valued </w:t>
      </w:r>
      <w:r w:rsidRPr="001E584B">
        <w:t xml:space="preserve">by families and tourists. </w:t>
      </w:r>
    </w:p>
    <w:p w14:paraId="5FA97B70" w14:textId="77777777" w:rsidR="00C976B1" w:rsidRPr="001E584B" w:rsidRDefault="00C976B1" w:rsidP="00C976B1">
      <w:pPr>
        <w:widowControl w:val="0"/>
        <w:autoSpaceDE w:val="0"/>
        <w:autoSpaceDN w:val="0"/>
        <w:adjustRightInd w:val="0"/>
        <w:jc w:val="both"/>
        <w:rPr>
          <w:rFonts w:ascii="Times" w:hAnsi="Times" w:cs="Times"/>
          <w:color w:val="000000"/>
          <w:sz w:val="22"/>
          <w:szCs w:val="22"/>
        </w:rPr>
      </w:pPr>
    </w:p>
    <w:p w14:paraId="03F15D85" w14:textId="77777777" w:rsidR="00C976B1" w:rsidRPr="001E584B" w:rsidRDefault="00C976B1" w:rsidP="003629B9">
      <w:pPr>
        <w:pStyle w:val="BodyTextMain"/>
        <w:rPr>
          <w:rFonts w:ascii="Times" w:hAnsi="Times" w:cs="Times"/>
        </w:rPr>
      </w:pPr>
      <w:r w:rsidRPr="001E584B">
        <w:t>Other direct competitors included over 50 privately-owned small discount hotels that competed on price. These hotels catered to tourists</w:t>
      </w:r>
      <w:r>
        <w:t>,</w:t>
      </w:r>
      <w:r w:rsidRPr="001E584B">
        <w:t xml:space="preserve"> locals with limited disposable income</w:t>
      </w:r>
      <w:r>
        <w:t xml:space="preserve">, and </w:t>
      </w:r>
      <w:r w:rsidRPr="001E584B">
        <w:t xml:space="preserve">price-sensitive business professionals. </w:t>
      </w:r>
    </w:p>
    <w:p w14:paraId="5D9D6505" w14:textId="77777777" w:rsidR="00C976B1" w:rsidRPr="001E584B" w:rsidRDefault="00C976B1" w:rsidP="00C976B1">
      <w:pPr>
        <w:widowControl w:val="0"/>
        <w:autoSpaceDE w:val="0"/>
        <w:autoSpaceDN w:val="0"/>
        <w:adjustRightInd w:val="0"/>
        <w:jc w:val="both"/>
        <w:rPr>
          <w:rFonts w:ascii="Times" w:hAnsi="Times" w:cs="Times"/>
          <w:color w:val="000000"/>
          <w:sz w:val="22"/>
          <w:szCs w:val="22"/>
        </w:rPr>
      </w:pPr>
    </w:p>
    <w:p w14:paraId="7A39695F" w14:textId="77777777" w:rsidR="00C976B1" w:rsidRPr="00901FE6" w:rsidRDefault="00C976B1" w:rsidP="00C976B1">
      <w:pPr>
        <w:widowControl w:val="0"/>
        <w:autoSpaceDE w:val="0"/>
        <w:autoSpaceDN w:val="0"/>
        <w:adjustRightInd w:val="0"/>
        <w:jc w:val="both"/>
        <w:rPr>
          <w:rFonts w:ascii="Times" w:hAnsi="Times" w:cs="Times"/>
          <w:color w:val="000000"/>
          <w:sz w:val="22"/>
          <w:szCs w:val="22"/>
        </w:rPr>
      </w:pPr>
    </w:p>
    <w:p w14:paraId="078C6BAF" w14:textId="77777777" w:rsidR="00C976B1" w:rsidRDefault="00C976B1" w:rsidP="00C976B1">
      <w:pPr>
        <w:widowControl w:val="0"/>
        <w:autoSpaceDE w:val="0"/>
        <w:autoSpaceDN w:val="0"/>
        <w:adjustRightInd w:val="0"/>
        <w:jc w:val="both"/>
        <w:rPr>
          <w:rFonts w:ascii="Arial" w:hAnsi="Arial" w:cs="Arial"/>
          <w:b/>
          <w:color w:val="000000"/>
        </w:rPr>
      </w:pPr>
      <w:r w:rsidRPr="001F7D71">
        <w:rPr>
          <w:rFonts w:ascii="Arial" w:hAnsi="Arial" w:cs="Arial"/>
          <w:b/>
          <w:color w:val="000000"/>
        </w:rPr>
        <w:t>INTERNAL ANALYSIS</w:t>
      </w:r>
      <w:r>
        <w:rPr>
          <w:rFonts w:ascii="Arial" w:hAnsi="Arial" w:cs="Arial"/>
          <w:b/>
          <w:color w:val="000000"/>
        </w:rPr>
        <w:t>—THE GOLD CREST HOTEL</w:t>
      </w:r>
      <w:r w:rsidRPr="001F7D71">
        <w:rPr>
          <w:rFonts w:ascii="Arial" w:hAnsi="Arial" w:cs="Arial"/>
          <w:b/>
          <w:color w:val="000000"/>
        </w:rPr>
        <w:t xml:space="preserve"> </w:t>
      </w:r>
    </w:p>
    <w:p w14:paraId="310BC9F4" w14:textId="77777777" w:rsidR="00C976B1" w:rsidRPr="001E584B" w:rsidRDefault="00C976B1" w:rsidP="00C976B1">
      <w:pPr>
        <w:widowControl w:val="0"/>
        <w:autoSpaceDE w:val="0"/>
        <w:autoSpaceDN w:val="0"/>
        <w:adjustRightInd w:val="0"/>
        <w:jc w:val="both"/>
        <w:rPr>
          <w:color w:val="000000"/>
          <w:sz w:val="22"/>
          <w:szCs w:val="22"/>
        </w:rPr>
      </w:pPr>
    </w:p>
    <w:p w14:paraId="2C4F6404" w14:textId="7148F5F1" w:rsidR="00C976B1" w:rsidRDefault="00C976B1" w:rsidP="003629B9">
      <w:pPr>
        <w:pStyle w:val="BodyTextMain"/>
      </w:pPr>
      <w:r>
        <w:t>The Gold Crest was l</w:t>
      </w:r>
      <w:r w:rsidRPr="001E584B">
        <w:t xml:space="preserve">ocated in the heart of downtown Mwanza only 10 minutes from Mwanza International Airport, </w:t>
      </w:r>
      <w:r>
        <w:t>and its construction</w:t>
      </w:r>
      <w:r w:rsidRPr="001E584B">
        <w:t xml:space="preserve"> was completed by the Public Provident Fund (PPF) in 2011. Managing Director Mathias Manga of the Gold Crest had invested $360,000 for the building’s interior furnishings, a sum later reimbursed by the PPF. A</w:t>
      </w:r>
      <w:r>
        <w:t xml:space="preserve">ccording to </w:t>
      </w:r>
      <w:r w:rsidRPr="001E584B">
        <w:t xml:space="preserve">the PPF contract, the Gold Crest was obligated to pay a monthly rent expense of $44,000. The rent expense represented the hotel’s largest fixed cost and </w:t>
      </w:r>
      <w:r>
        <w:t xml:space="preserve">the </w:t>
      </w:r>
      <w:r w:rsidRPr="001E584B">
        <w:t xml:space="preserve">company’s greatest financial strain. With a modern design, spacious guest rooms, and a dedicated staff of 130 employees, the hotel aimed to become Mwanza’s preferred hotel. </w:t>
      </w:r>
      <w:r>
        <w:t>It</w:t>
      </w:r>
      <w:r w:rsidRPr="001E584B">
        <w:t xml:space="preserve"> offered 24-hour surveillance and always had two security guards on site, maki</w:t>
      </w:r>
      <w:r w:rsidR="003629B9">
        <w:t>ng guest safety a top priority.</w:t>
      </w:r>
    </w:p>
    <w:p w14:paraId="7CBCC724" w14:textId="77777777" w:rsidR="00C976B1" w:rsidRPr="001E584B" w:rsidRDefault="00C976B1" w:rsidP="00C976B1">
      <w:pPr>
        <w:widowControl w:val="0"/>
        <w:autoSpaceDE w:val="0"/>
        <w:autoSpaceDN w:val="0"/>
        <w:adjustRightInd w:val="0"/>
        <w:jc w:val="both"/>
        <w:rPr>
          <w:rFonts w:ascii="Times" w:hAnsi="Times" w:cs="Times"/>
          <w:color w:val="000000"/>
          <w:sz w:val="22"/>
          <w:szCs w:val="22"/>
        </w:rPr>
      </w:pPr>
    </w:p>
    <w:p w14:paraId="71309A2D" w14:textId="77777777" w:rsidR="00C976B1" w:rsidRPr="001E584B" w:rsidRDefault="00C976B1" w:rsidP="003629B9">
      <w:pPr>
        <w:pStyle w:val="BodyTextMain"/>
      </w:pPr>
      <w:r w:rsidRPr="001E584B">
        <w:t>The Gold Crest had four major sources of revenue: conference rooms</w:t>
      </w:r>
      <w:r>
        <w:t>;</w:t>
      </w:r>
      <w:r w:rsidRPr="001E584B">
        <w:t xml:space="preserve"> guest rooms</w:t>
      </w:r>
      <w:r>
        <w:t>;</w:t>
      </w:r>
      <w:r w:rsidRPr="001E584B">
        <w:t xml:space="preserve"> restaurants and bars</w:t>
      </w:r>
      <w:r>
        <w:t>;</w:t>
      </w:r>
      <w:r w:rsidRPr="001E584B">
        <w:t xml:space="preserve"> and </w:t>
      </w:r>
      <w:r>
        <w:t xml:space="preserve">Club </w:t>
      </w:r>
      <w:r w:rsidRPr="001E584B">
        <w:t>Rock</w:t>
      </w:r>
      <w:r>
        <w:t xml:space="preserve"> </w:t>
      </w:r>
      <w:r w:rsidRPr="001E584B">
        <w:t>Bottom</w:t>
      </w:r>
      <w:r>
        <w:t>, a nightclub</w:t>
      </w:r>
      <w:r w:rsidRPr="001E584B">
        <w:t xml:space="preserve">. </w:t>
      </w:r>
    </w:p>
    <w:p w14:paraId="709791FA" w14:textId="77777777" w:rsidR="00C976B1" w:rsidRDefault="00C976B1" w:rsidP="00C976B1">
      <w:pPr>
        <w:widowControl w:val="0"/>
        <w:autoSpaceDE w:val="0"/>
        <w:autoSpaceDN w:val="0"/>
        <w:adjustRightInd w:val="0"/>
        <w:jc w:val="both"/>
        <w:rPr>
          <w:color w:val="000000"/>
          <w:sz w:val="22"/>
          <w:szCs w:val="22"/>
        </w:rPr>
      </w:pPr>
    </w:p>
    <w:p w14:paraId="0F2E06C9" w14:textId="77777777" w:rsidR="00565181" w:rsidRPr="001E584B" w:rsidRDefault="00565181" w:rsidP="00C976B1">
      <w:pPr>
        <w:widowControl w:val="0"/>
        <w:autoSpaceDE w:val="0"/>
        <w:autoSpaceDN w:val="0"/>
        <w:adjustRightInd w:val="0"/>
        <w:jc w:val="both"/>
        <w:rPr>
          <w:color w:val="000000"/>
          <w:sz w:val="22"/>
          <w:szCs w:val="22"/>
        </w:rPr>
      </w:pPr>
    </w:p>
    <w:p w14:paraId="74436122" w14:textId="77777777" w:rsidR="00C976B1" w:rsidRPr="001F7D71" w:rsidRDefault="00C976B1" w:rsidP="00C976B1">
      <w:pPr>
        <w:widowControl w:val="0"/>
        <w:autoSpaceDE w:val="0"/>
        <w:autoSpaceDN w:val="0"/>
        <w:adjustRightInd w:val="0"/>
        <w:jc w:val="both"/>
        <w:rPr>
          <w:rFonts w:ascii="Arial" w:hAnsi="Arial" w:cs="Arial"/>
          <w:b/>
          <w:color w:val="000000"/>
        </w:rPr>
      </w:pPr>
      <w:r w:rsidRPr="001F7D71">
        <w:rPr>
          <w:rFonts w:ascii="Arial" w:hAnsi="Arial" w:cs="Arial"/>
          <w:b/>
          <w:color w:val="000000"/>
        </w:rPr>
        <w:t xml:space="preserve">Conference Rooms </w:t>
      </w:r>
    </w:p>
    <w:p w14:paraId="57F24D63" w14:textId="77777777" w:rsidR="00C976B1" w:rsidRPr="001E584B" w:rsidRDefault="00C976B1" w:rsidP="00C976B1">
      <w:pPr>
        <w:widowControl w:val="0"/>
        <w:autoSpaceDE w:val="0"/>
        <w:autoSpaceDN w:val="0"/>
        <w:adjustRightInd w:val="0"/>
        <w:jc w:val="both"/>
        <w:rPr>
          <w:color w:val="000000"/>
          <w:sz w:val="22"/>
          <w:szCs w:val="22"/>
        </w:rPr>
      </w:pPr>
    </w:p>
    <w:p w14:paraId="058FBF70" w14:textId="77777777" w:rsidR="00C976B1" w:rsidRPr="00873977" w:rsidRDefault="00C976B1" w:rsidP="00873977">
      <w:pPr>
        <w:pStyle w:val="BodyTextMain"/>
      </w:pPr>
      <w:r w:rsidRPr="00873977">
        <w:t xml:space="preserve">Conference room bookings were the hotel’s most reliable source of income. The hotel’s five air-conditioned conference rooms had varying prices based on the room size, the number of guests attending, and any additional service offerings (see Exhibit 2). The hotel’s core customer groups for conference </w:t>
      </w:r>
      <w:r w:rsidRPr="00873977">
        <w:lastRenderedPageBreak/>
        <w:t xml:space="preserve">rooms were business and wedding clients. Business clients valued the variety of room sizes, electrical outlets, and amenities; wedding clients valued the choice between bringing food into the venue </w:t>
      </w:r>
      <w:proofErr w:type="gramStart"/>
      <w:r w:rsidRPr="00873977">
        <w:t>or</w:t>
      </w:r>
      <w:proofErr w:type="gramEnd"/>
      <w:r w:rsidRPr="00873977">
        <w:t xml:space="preserve"> having food catered by the hotel. Currently, the hotel was experiencing great success with full occupancy for conferences on weekends, forcing </w:t>
      </w:r>
      <w:proofErr w:type="spellStart"/>
      <w:r w:rsidRPr="00873977">
        <w:t>Paliath</w:t>
      </w:r>
      <w:proofErr w:type="spellEnd"/>
      <w:r w:rsidRPr="00873977">
        <w:t xml:space="preserve"> to turn down business because the hotel had no additional conference space. </w:t>
      </w:r>
    </w:p>
    <w:p w14:paraId="76AFD173" w14:textId="77777777" w:rsidR="00C976B1" w:rsidRPr="001E584B" w:rsidRDefault="00C976B1" w:rsidP="00C976B1">
      <w:pPr>
        <w:widowControl w:val="0"/>
        <w:autoSpaceDE w:val="0"/>
        <w:autoSpaceDN w:val="0"/>
        <w:adjustRightInd w:val="0"/>
        <w:jc w:val="both"/>
        <w:rPr>
          <w:color w:val="000000"/>
          <w:sz w:val="22"/>
          <w:szCs w:val="22"/>
        </w:rPr>
      </w:pPr>
    </w:p>
    <w:p w14:paraId="52031798" w14:textId="77777777" w:rsidR="00C976B1" w:rsidRPr="001E584B" w:rsidRDefault="00C976B1" w:rsidP="00C976B1">
      <w:pPr>
        <w:widowControl w:val="0"/>
        <w:autoSpaceDE w:val="0"/>
        <w:autoSpaceDN w:val="0"/>
        <w:adjustRightInd w:val="0"/>
        <w:jc w:val="both"/>
        <w:rPr>
          <w:rFonts w:ascii="Times" w:hAnsi="Times" w:cs="Times"/>
          <w:color w:val="000000"/>
          <w:sz w:val="22"/>
          <w:szCs w:val="22"/>
        </w:rPr>
      </w:pPr>
    </w:p>
    <w:p w14:paraId="5BAD14EF" w14:textId="77777777" w:rsidR="00C976B1" w:rsidRPr="001F7D71" w:rsidRDefault="00C976B1" w:rsidP="00C976B1">
      <w:pPr>
        <w:widowControl w:val="0"/>
        <w:autoSpaceDE w:val="0"/>
        <w:autoSpaceDN w:val="0"/>
        <w:adjustRightInd w:val="0"/>
        <w:jc w:val="both"/>
        <w:rPr>
          <w:rFonts w:ascii="Arial" w:hAnsi="Arial" w:cs="Arial"/>
          <w:b/>
          <w:color w:val="000000"/>
        </w:rPr>
      </w:pPr>
      <w:r w:rsidRPr="001F7D71">
        <w:rPr>
          <w:rFonts w:ascii="Arial" w:hAnsi="Arial" w:cs="Arial"/>
          <w:b/>
          <w:color w:val="000000"/>
        </w:rPr>
        <w:t xml:space="preserve">Guest Rooms </w:t>
      </w:r>
    </w:p>
    <w:p w14:paraId="1A08F230" w14:textId="77777777" w:rsidR="00C976B1" w:rsidRPr="001E584B" w:rsidRDefault="00C976B1" w:rsidP="00C976B1">
      <w:pPr>
        <w:widowControl w:val="0"/>
        <w:autoSpaceDE w:val="0"/>
        <w:autoSpaceDN w:val="0"/>
        <w:adjustRightInd w:val="0"/>
        <w:jc w:val="both"/>
        <w:rPr>
          <w:color w:val="000000"/>
          <w:sz w:val="22"/>
          <w:szCs w:val="22"/>
        </w:rPr>
      </w:pPr>
    </w:p>
    <w:p w14:paraId="643FDB59" w14:textId="77777777" w:rsidR="00C976B1" w:rsidRPr="001E584B" w:rsidRDefault="00C976B1" w:rsidP="00873977">
      <w:pPr>
        <w:pStyle w:val="BodyTextMain"/>
      </w:pPr>
      <w:r w:rsidRPr="001E584B">
        <w:t xml:space="preserve">The Gold Crest had a maximum occupancy of 80 guest rooms </w:t>
      </w:r>
      <w:r>
        <w:t>of</w:t>
      </w:r>
      <w:r w:rsidRPr="001E584B">
        <w:t xml:space="preserve"> varying types (</w:t>
      </w:r>
      <w:r>
        <w:t xml:space="preserve">see </w:t>
      </w:r>
      <w:r w:rsidRPr="001E584B">
        <w:t xml:space="preserve">Exhibit 3). Approximately two-thirds of guest room bookings were </w:t>
      </w:r>
      <w:r>
        <w:t>done</w:t>
      </w:r>
      <w:r w:rsidRPr="001E584B">
        <w:t xml:space="preserve"> through travel agents, repeat corporate clients, and partnership tourism companies. The remaining bookings were made through the hotel by returning guests. The Gold Crest valued its reoccurring customer base and relied heavily on its staff to recognize familiar guests and their preferences; however</w:t>
      </w:r>
      <w:r>
        <w:t>,</w:t>
      </w:r>
      <w:r w:rsidRPr="001E584B">
        <w:t xml:space="preserve"> no formal guest loyalty program </w:t>
      </w:r>
      <w:r>
        <w:t xml:space="preserve">was </w:t>
      </w:r>
      <w:r w:rsidRPr="001E584B">
        <w:t>in place. Less than 10</w:t>
      </w:r>
      <w:r>
        <w:t xml:space="preserve"> per cent</w:t>
      </w:r>
      <w:r w:rsidRPr="001E584B">
        <w:t xml:space="preserve"> of Gold Crest guests were tourists. </w:t>
      </w:r>
    </w:p>
    <w:p w14:paraId="00CEE337" w14:textId="77777777" w:rsidR="00C976B1" w:rsidRPr="001E584B" w:rsidRDefault="00C976B1" w:rsidP="00C976B1">
      <w:pPr>
        <w:widowControl w:val="0"/>
        <w:autoSpaceDE w:val="0"/>
        <w:autoSpaceDN w:val="0"/>
        <w:adjustRightInd w:val="0"/>
        <w:jc w:val="both"/>
        <w:rPr>
          <w:color w:val="000000"/>
          <w:sz w:val="22"/>
          <w:szCs w:val="22"/>
        </w:rPr>
      </w:pPr>
    </w:p>
    <w:p w14:paraId="1BEF6E74" w14:textId="77777777" w:rsidR="00C976B1" w:rsidRPr="001E584B" w:rsidRDefault="00C976B1" w:rsidP="00C976B1">
      <w:pPr>
        <w:widowControl w:val="0"/>
        <w:autoSpaceDE w:val="0"/>
        <w:autoSpaceDN w:val="0"/>
        <w:adjustRightInd w:val="0"/>
        <w:jc w:val="both"/>
        <w:rPr>
          <w:rFonts w:ascii="Times" w:hAnsi="Times" w:cs="Times"/>
          <w:color w:val="000000"/>
          <w:sz w:val="22"/>
          <w:szCs w:val="22"/>
        </w:rPr>
      </w:pPr>
    </w:p>
    <w:p w14:paraId="4B6D17D5" w14:textId="77777777" w:rsidR="00C976B1" w:rsidRPr="001F7D71" w:rsidRDefault="00C976B1" w:rsidP="00C976B1">
      <w:pPr>
        <w:widowControl w:val="0"/>
        <w:autoSpaceDE w:val="0"/>
        <w:autoSpaceDN w:val="0"/>
        <w:adjustRightInd w:val="0"/>
        <w:jc w:val="both"/>
        <w:rPr>
          <w:rFonts w:ascii="Arial" w:hAnsi="Arial" w:cs="Arial"/>
          <w:b/>
          <w:color w:val="000000"/>
        </w:rPr>
      </w:pPr>
      <w:r w:rsidRPr="001F7D71">
        <w:rPr>
          <w:rFonts w:ascii="Arial" w:hAnsi="Arial" w:cs="Arial"/>
          <w:b/>
          <w:color w:val="000000"/>
        </w:rPr>
        <w:t xml:space="preserve">Restaurants </w:t>
      </w:r>
      <w:r>
        <w:rPr>
          <w:rFonts w:ascii="Arial" w:hAnsi="Arial" w:cs="Arial"/>
          <w:b/>
          <w:color w:val="000000"/>
        </w:rPr>
        <w:t>and</w:t>
      </w:r>
      <w:r w:rsidRPr="001F7D71">
        <w:rPr>
          <w:rFonts w:ascii="Arial" w:hAnsi="Arial" w:cs="Arial"/>
          <w:b/>
          <w:color w:val="000000"/>
        </w:rPr>
        <w:t xml:space="preserve"> Night</w:t>
      </w:r>
      <w:r>
        <w:rPr>
          <w:rFonts w:ascii="Arial" w:hAnsi="Arial" w:cs="Arial"/>
          <w:b/>
          <w:color w:val="000000"/>
        </w:rPr>
        <w:t>c</w:t>
      </w:r>
      <w:r w:rsidRPr="001F7D71">
        <w:rPr>
          <w:rFonts w:ascii="Arial" w:hAnsi="Arial" w:cs="Arial"/>
          <w:b/>
          <w:color w:val="000000"/>
        </w:rPr>
        <w:t xml:space="preserve">lub </w:t>
      </w:r>
    </w:p>
    <w:p w14:paraId="3338147E" w14:textId="77777777" w:rsidR="00C976B1" w:rsidRPr="001E584B" w:rsidRDefault="00C976B1" w:rsidP="00C976B1">
      <w:pPr>
        <w:widowControl w:val="0"/>
        <w:autoSpaceDE w:val="0"/>
        <w:autoSpaceDN w:val="0"/>
        <w:adjustRightInd w:val="0"/>
        <w:jc w:val="both"/>
        <w:rPr>
          <w:color w:val="000000"/>
          <w:sz w:val="22"/>
          <w:szCs w:val="22"/>
        </w:rPr>
      </w:pPr>
    </w:p>
    <w:p w14:paraId="0976FA4C" w14:textId="77777777" w:rsidR="00C976B1" w:rsidRPr="001E584B" w:rsidRDefault="00C976B1" w:rsidP="00873977">
      <w:pPr>
        <w:pStyle w:val="BodyTextMain"/>
      </w:pPr>
      <w:r w:rsidRPr="001E584B">
        <w:t>The Gold Crest had three restaurants</w:t>
      </w:r>
      <w:r>
        <w:t>,</w:t>
      </w:r>
      <w:r w:rsidRPr="001E584B">
        <w:t xml:space="preserve"> which served breakfast, lunch</w:t>
      </w:r>
      <w:r>
        <w:t>,</w:t>
      </w:r>
      <w:r w:rsidRPr="001E584B">
        <w:t xml:space="preserve"> and dinner to hotel guests and local visitors. Although restaurant revenues were not directly correlated with room bookings, </w:t>
      </w:r>
      <w:proofErr w:type="spellStart"/>
      <w:r w:rsidRPr="001E584B">
        <w:t>Paliath</w:t>
      </w:r>
      <w:proofErr w:type="spellEnd"/>
      <w:r w:rsidRPr="001E584B">
        <w:t xml:space="preserve"> was pleased with the restaurants’ financial performance and anticipated revenues to grow with additional guests and visitors. </w:t>
      </w:r>
    </w:p>
    <w:p w14:paraId="346CE4E4" w14:textId="77777777" w:rsidR="00C976B1" w:rsidRPr="001E584B" w:rsidRDefault="00C976B1" w:rsidP="00C976B1">
      <w:pPr>
        <w:widowControl w:val="0"/>
        <w:autoSpaceDE w:val="0"/>
        <w:autoSpaceDN w:val="0"/>
        <w:adjustRightInd w:val="0"/>
        <w:jc w:val="both"/>
        <w:rPr>
          <w:color w:val="000000"/>
          <w:sz w:val="22"/>
          <w:szCs w:val="22"/>
        </w:rPr>
      </w:pPr>
    </w:p>
    <w:p w14:paraId="5095C9E8" w14:textId="77777777" w:rsidR="00C976B1" w:rsidRPr="001E584B" w:rsidRDefault="00C976B1" w:rsidP="00873977">
      <w:pPr>
        <w:pStyle w:val="BodyTextMain"/>
      </w:pPr>
      <w:r>
        <w:t>Club</w:t>
      </w:r>
      <w:r w:rsidRPr="001E584B">
        <w:t xml:space="preserve"> Rock</w:t>
      </w:r>
      <w:r>
        <w:t xml:space="preserve"> </w:t>
      </w:r>
      <w:r w:rsidRPr="001E584B">
        <w:t xml:space="preserve">Bottom was open Thursday to Sunday and provided the hotel with stable revenues on weekends. The nightclub’s profitability was negatively affected during the slow tourist season. </w:t>
      </w:r>
    </w:p>
    <w:p w14:paraId="1D6FA346" w14:textId="77777777" w:rsidR="00C976B1" w:rsidRPr="001E584B" w:rsidRDefault="00C976B1" w:rsidP="00C976B1">
      <w:pPr>
        <w:widowControl w:val="0"/>
        <w:autoSpaceDE w:val="0"/>
        <w:autoSpaceDN w:val="0"/>
        <w:adjustRightInd w:val="0"/>
        <w:jc w:val="both"/>
        <w:rPr>
          <w:color w:val="000000"/>
          <w:sz w:val="22"/>
          <w:szCs w:val="22"/>
        </w:rPr>
      </w:pPr>
    </w:p>
    <w:p w14:paraId="5ED76DAC" w14:textId="77777777" w:rsidR="00C976B1" w:rsidRPr="00901FE6" w:rsidRDefault="00C976B1" w:rsidP="00C976B1">
      <w:pPr>
        <w:widowControl w:val="0"/>
        <w:autoSpaceDE w:val="0"/>
        <w:autoSpaceDN w:val="0"/>
        <w:adjustRightInd w:val="0"/>
        <w:jc w:val="both"/>
        <w:rPr>
          <w:rFonts w:ascii="Times" w:hAnsi="Times" w:cs="Times"/>
          <w:color w:val="000000"/>
          <w:sz w:val="22"/>
          <w:szCs w:val="22"/>
        </w:rPr>
      </w:pPr>
    </w:p>
    <w:p w14:paraId="09975700" w14:textId="77777777" w:rsidR="00C976B1" w:rsidRPr="001E584B" w:rsidRDefault="00C976B1" w:rsidP="00C976B1">
      <w:pPr>
        <w:widowControl w:val="0"/>
        <w:autoSpaceDE w:val="0"/>
        <w:autoSpaceDN w:val="0"/>
        <w:adjustRightInd w:val="0"/>
        <w:jc w:val="both"/>
        <w:rPr>
          <w:rFonts w:ascii="Arial" w:hAnsi="Arial" w:cs="Arial"/>
          <w:b/>
          <w:color w:val="000000"/>
        </w:rPr>
      </w:pPr>
      <w:r w:rsidRPr="001E584B">
        <w:rPr>
          <w:rFonts w:ascii="Arial" w:hAnsi="Arial" w:cs="Arial"/>
          <w:b/>
          <w:color w:val="000000"/>
        </w:rPr>
        <w:t>CURRENT ISSUE</w:t>
      </w:r>
      <w:r>
        <w:rPr>
          <w:rFonts w:ascii="Arial" w:hAnsi="Arial" w:cs="Arial"/>
          <w:b/>
          <w:color w:val="000000"/>
        </w:rPr>
        <w:t xml:space="preserve"> </w:t>
      </w:r>
    </w:p>
    <w:p w14:paraId="0DF1439D" w14:textId="77777777" w:rsidR="00C976B1" w:rsidRPr="001E584B" w:rsidRDefault="00C976B1" w:rsidP="00C976B1">
      <w:pPr>
        <w:widowControl w:val="0"/>
        <w:autoSpaceDE w:val="0"/>
        <w:autoSpaceDN w:val="0"/>
        <w:adjustRightInd w:val="0"/>
        <w:jc w:val="both"/>
        <w:rPr>
          <w:color w:val="000000"/>
          <w:sz w:val="22"/>
          <w:szCs w:val="22"/>
        </w:rPr>
      </w:pPr>
    </w:p>
    <w:p w14:paraId="7BBBA2BE" w14:textId="77777777" w:rsidR="00C976B1" w:rsidRPr="001E584B" w:rsidRDefault="00C976B1" w:rsidP="00873977">
      <w:pPr>
        <w:pStyle w:val="BodyTextMain"/>
      </w:pPr>
      <w:r w:rsidRPr="001E584B">
        <w:t xml:space="preserve">Although conference rooms were in high demand on weekends, the hotel </w:t>
      </w:r>
      <w:r>
        <w:t>had</w:t>
      </w:r>
      <w:r w:rsidRPr="001E584B">
        <w:t xml:space="preserve"> difficulty reaching target occupancy with guest room bookings. In the high season (April to June)</w:t>
      </w:r>
      <w:r>
        <w:t>,</w:t>
      </w:r>
      <w:r w:rsidRPr="001E584B">
        <w:t xml:space="preserve"> the hotel </w:t>
      </w:r>
      <w:r>
        <w:t>maintained</w:t>
      </w:r>
      <w:r w:rsidRPr="001E584B">
        <w:t xml:space="preserve"> an average room occupancy figure of 80</w:t>
      </w:r>
      <w:r>
        <w:t xml:space="preserve"> per cent</w:t>
      </w:r>
      <w:r w:rsidRPr="001E584B">
        <w:t xml:space="preserve"> </w:t>
      </w:r>
      <w:r>
        <w:t>but</w:t>
      </w:r>
      <w:r w:rsidRPr="001E584B">
        <w:t xml:space="preserve"> </w:t>
      </w:r>
      <w:r>
        <w:t>retained</w:t>
      </w:r>
      <w:r w:rsidRPr="001E584B">
        <w:t xml:space="preserve"> only 50</w:t>
      </w:r>
      <w:r>
        <w:t xml:space="preserve"> per cent</w:t>
      </w:r>
      <w:r w:rsidRPr="001E584B">
        <w:t xml:space="preserve"> occupancy in </w:t>
      </w:r>
      <w:r>
        <w:t xml:space="preserve">the </w:t>
      </w:r>
      <w:r w:rsidRPr="001E584B">
        <w:t xml:space="preserve">remaining slow months. The pressure to turn a profit was heightened by the hotel’s seasonality and a high fixed rent expense. Moreover, with increasing competition from local hotels with discounted room rates, </w:t>
      </w:r>
      <w:proofErr w:type="spellStart"/>
      <w:r w:rsidRPr="001E584B">
        <w:t>Paliath</w:t>
      </w:r>
      <w:proofErr w:type="spellEnd"/>
      <w:r w:rsidRPr="001E584B">
        <w:t xml:space="preserve"> wondered how he could leverage the Gold Crest’s </w:t>
      </w:r>
      <w:r>
        <w:t xml:space="preserve">reputation as a </w:t>
      </w:r>
      <w:r w:rsidRPr="001E584B">
        <w:t>luxury hotel brand to attract customers. Preparing for the upcoming slow season (July</w:t>
      </w:r>
      <w:r>
        <w:t xml:space="preserve"> to </w:t>
      </w:r>
      <w:r w:rsidRPr="001E584B">
        <w:t xml:space="preserve">March), he needed to decide if he should continue to target business professionals to fill room </w:t>
      </w:r>
      <w:r>
        <w:t>vacancies</w:t>
      </w:r>
      <w:r w:rsidRPr="001E584B">
        <w:t xml:space="preserve"> or if he should target the growing tourist segment. </w:t>
      </w:r>
    </w:p>
    <w:p w14:paraId="685F4284" w14:textId="77777777" w:rsidR="00C976B1" w:rsidRPr="001E584B" w:rsidRDefault="00C976B1" w:rsidP="00C976B1">
      <w:pPr>
        <w:widowControl w:val="0"/>
        <w:autoSpaceDE w:val="0"/>
        <w:autoSpaceDN w:val="0"/>
        <w:adjustRightInd w:val="0"/>
        <w:jc w:val="both"/>
        <w:rPr>
          <w:color w:val="000000"/>
          <w:sz w:val="22"/>
          <w:szCs w:val="22"/>
        </w:rPr>
      </w:pPr>
    </w:p>
    <w:p w14:paraId="2987A695" w14:textId="77777777" w:rsidR="00C976B1" w:rsidRDefault="00C976B1" w:rsidP="00C976B1">
      <w:pPr>
        <w:widowControl w:val="0"/>
        <w:autoSpaceDE w:val="0"/>
        <w:autoSpaceDN w:val="0"/>
        <w:adjustRightInd w:val="0"/>
        <w:jc w:val="both"/>
        <w:rPr>
          <w:rFonts w:ascii="Times" w:hAnsi="Times" w:cs="Times"/>
          <w:color w:val="000000"/>
        </w:rPr>
      </w:pPr>
    </w:p>
    <w:p w14:paraId="540E79CB" w14:textId="77777777" w:rsidR="00C976B1" w:rsidRPr="001F7D71" w:rsidRDefault="00C976B1" w:rsidP="00C976B1">
      <w:pPr>
        <w:widowControl w:val="0"/>
        <w:autoSpaceDE w:val="0"/>
        <w:autoSpaceDN w:val="0"/>
        <w:adjustRightInd w:val="0"/>
        <w:jc w:val="both"/>
        <w:rPr>
          <w:rFonts w:ascii="Arial" w:hAnsi="Arial" w:cs="Arial"/>
          <w:b/>
          <w:color w:val="000000"/>
        </w:rPr>
      </w:pPr>
      <w:r w:rsidRPr="001F7D71">
        <w:rPr>
          <w:rFonts w:ascii="Arial" w:hAnsi="Arial" w:cs="Arial"/>
          <w:b/>
          <w:color w:val="000000"/>
        </w:rPr>
        <w:t xml:space="preserve">ALTERNATIVES </w:t>
      </w:r>
    </w:p>
    <w:p w14:paraId="4A634E84" w14:textId="77777777" w:rsidR="00C976B1" w:rsidRPr="001F7D71" w:rsidRDefault="00C976B1" w:rsidP="00C976B1">
      <w:pPr>
        <w:widowControl w:val="0"/>
        <w:autoSpaceDE w:val="0"/>
        <w:autoSpaceDN w:val="0"/>
        <w:adjustRightInd w:val="0"/>
        <w:jc w:val="both"/>
        <w:rPr>
          <w:color w:val="000000"/>
          <w:sz w:val="22"/>
          <w:szCs w:val="22"/>
        </w:rPr>
      </w:pPr>
    </w:p>
    <w:p w14:paraId="5EC7FBC3" w14:textId="3001974C" w:rsidR="00C976B1" w:rsidRPr="002E7B1D" w:rsidRDefault="00C976B1" w:rsidP="00873977">
      <w:pPr>
        <w:pStyle w:val="BodyTextMain"/>
        <w:rPr>
          <w:spacing w:val="-2"/>
        </w:rPr>
      </w:pPr>
      <w:r w:rsidRPr="002E7B1D">
        <w:rPr>
          <w:spacing w:val="-2"/>
        </w:rPr>
        <w:t xml:space="preserve">The first alternative </w:t>
      </w:r>
      <w:proofErr w:type="spellStart"/>
      <w:r w:rsidRPr="002E7B1D">
        <w:rPr>
          <w:spacing w:val="-2"/>
        </w:rPr>
        <w:t>Paliath</w:t>
      </w:r>
      <w:proofErr w:type="spellEnd"/>
      <w:r w:rsidRPr="002E7B1D">
        <w:rPr>
          <w:spacing w:val="-2"/>
        </w:rPr>
        <w:t xml:space="preserve"> considered was to continue targeting business professionals. He knew that major businesses valued the conference facilities, and he believed business clients would value the luxurious atmosphere and the personalized care offered by Gold Crest staff. Moreover, business guests would greatly value staying close to the conference venues rather than commuting to the site. He wondered how he could leverage strategic partnerships with local and foreign businesses for corporate guest room bookings. Currently, conference rooms had fixed rates based on their size, but </w:t>
      </w:r>
      <w:proofErr w:type="spellStart"/>
      <w:r w:rsidRPr="002E7B1D">
        <w:rPr>
          <w:spacing w:val="-2"/>
        </w:rPr>
        <w:t>Paliath</w:t>
      </w:r>
      <w:proofErr w:type="spellEnd"/>
      <w:r w:rsidRPr="002E7B1D">
        <w:rPr>
          <w:spacing w:val="-2"/>
        </w:rPr>
        <w:t xml:space="preserve"> wondered if he should provide a discount for conference rooms if a certain number of hotel rooms were booked.</w:t>
      </w:r>
    </w:p>
    <w:p w14:paraId="69763E3A" w14:textId="77777777" w:rsidR="00873977" w:rsidRPr="001F7D71" w:rsidRDefault="00873977" w:rsidP="00C976B1">
      <w:pPr>
        <w:widowControl w:val="0"/>
        <w:autoSpaceDE w:val="0"/>
        <w:autoSpaceDN w:val="0"/>
        <w:adjustRightInd w:val="0"/>
        <w:jc w:val="both"/>
        <w:rPr>
          <w:rFonts w:ascii="Times" w:hAnsi="Times" w:cs="Times"/>
          <w:color w:val="000000"/>
          <w:sz w:val="22"/>
          <w:szCs w:val="22"/>
        </w:rPr>
      </w:pPr>
    </w:p>
    <w:p w14:paraId="0ECFE678" w14:textId="77777777" w:rsidR="00C976B1" w:rsidRDefault="00C976B1" w:rsidP="00873977">
      <w:pPr>
        <w:pStyle w:val="BodyTextMain"/>
      </w:pPr>
      <w:r w:rsidRPr="001F7D71">
        <w:lastRenderedPageBreak/>
        <w:t>The second option was to target the growing tourist segment in Tanzania. International tourists trave</w:t>
      </w:r>
      <w:r>
        <w:t>l</w:t>
      </w:r>
      <w:r w:rsidRPr="001F7D71">
        <w:t xml:space="preserve">ling to Tanzania would have disposable income and would value the safe and relaxed environment the Gold Crest provided. With Mwanza’s proximity to the Serengeti and other national parks, the Gold Crest was in an ideal location to accommodate incoming tourists. Multiple safari companies had approached </w:t>
      </w:r>
      <w:proofErr w:type="spellStart"/>
      <w:r w:rsidRPr="001F7D71">
        <w:t>Paliath</w:t>
      </w:r>
      <w:proofErr w:type="spellEnd"/>
      <w:r w:rsidRPr="001F7D71">
        <w:t xml:space="preserve"> </w:t>
      </w:r>
      <w:r>
        <w:t xml:space="preserve">about </w:t>
      </w:r>
      <w:r w:rsidRPr="001F7D71">
        <w:t xml:space="preserve">offering </w:t>
      </w:r>
      <w:r>
        <w:t xml:space="preserve">safari </w:t>
      </w:r>
      <w:r w:rsidRPr="001F7D71">
        <w:t>package</w:t>
      </w:r>
      <w:r>
        <w:t>s</w:t>
      </w:r>
      <w:r w:rsidRPr="001F7D71">
        <w:t xml:space="preserve"> </w:t>
      </w:r>
      <w:r>
        <w:t>to</w:t>
      </w:r>
      <w:r w:rsidRPr="001F7D71">
        <w:t xml:space="preserve"> customers. </w:t>
      </w:r>
      <w:r>
        <w:t>For instance, u</w:t>
      </w:r>
      <w:r w:rsidRPr="001F7D71">
        <w:t>pon landing in Mwanza, customers could stay for one or m</w:t>
      </w:r>
      <w:r>
        <w:t>ore</w:t>
      </w:r>
      <w:r w:rsidRPr="001F7D71">
        <w:t xml:space="preserve"> nights at the Gold Crest and </w:t>
      </w:r>
      <w:r>
        <w:t xml:space="preserve">then </w:t>
      </w:r>
      <w:r w:rsidRPr="001F7D71">
        <w:t xml:space="preserve">leave </w:t>
      </w:r>
      <w:r>
        <w:t xml:space="preserve">from there </w:t>
      </w:r>
      <w:r w:rsidRPr="001F7D71">
        <w:t>for their safari.</w:t>
      </w:r>
      <w:r w:rsidRPr="001F7D71">
        <w:rPr>
          <w:rStyle w:val="FootnoteReference"/>
          <w:color w:val="000000"/>
        </w:rPr>
        <w:footnoteReference w:id="11"/>
      </w:r>
      <w:r w:rsidRPr="001F7D71">
        <w:rPr>
          <w:position w:val="13"/>
        </w:rPr>
        <w:t xml:space="preserve"> </w:t>
      </w:r>
      <w:proofErr w:type="spellStart"/>
      <w:r w:rsidRPr="001F7D71">
        <w:t>Paliath</w:t>
      </w:r>
      <w:proofErr w:type="spellEnd"/>
      <w:r w:rsidRPr="001F7D71">
        <w:t xml:space="preserve"> considered the effectiveness of online advertising campaigns to attract tourists overseas. He wondered if shifting his target customer segment would hurt the hotel’s brand perception as Mwanza’s premier business hotel and if there would be enough tourist traffic to increase occupancy during the low season. </w:t>
      </w:r>
    </w:p>
    <w:p w14:paraId="58C9454F" w14:textId="77777777" w:rsidR="00C976B1" w:rsidRPr="001F7D71" w:rsidRDefault="00C976B1" w:rsidP="00C976B1">
      <w:pPr>
        <w:widowControl w:val="0"/>
        <w:autoSpaceDE w:val="0"/>
        <w:autoSpaceDN w:val="0"/>
        <w:adjustRightInd w:val="0"/>
        <w:jc w:val="both"/>
        <w:rPr>
          <w:color w:val="000000"/>
          <w:sz w:val="22"/>
          <w:szCs w:val="22"/>
        </w:rPr>
      </w:pPr>
    </w:p>
    <w:p w14:paraId="3C74DEFC" w14:textId="77777777" w:rsidR="00C976B1" w:rsidRPr="001F7D71" w:rsidRDefault="00C976B1" w:rsidP="00873977">
      <w:pPr>
        <w:pStyle w:val="BodyTextMain"/>
      </w:pPr>
      <w:r w:rsidRPr="001F7D71">
        <w:t xml:space="preserve">His final consideration was whether to renovate the hotel’s </w:t>
      </w:r>
      <w:r>
        <w:t>nin</w:t>
      </w:r>
      <w:r w:rsidRPr="001F7D71">
        <w:t xml:space="preserve">th floor, which </w:t>
      </w:r>
      <w:r>
        <w:t>had been</w:t>
      </w:r>
      <w:r w:rsidRPr="001F7D71">
        <w:t xml:space="preserve"> left unfinished due to budget constraints. In order to cater to his chosen consumer segment, </w:t>
      </w:r>
      <w:proofErr w:type="spellStart"/>
      <w:r>
        <w:t>Paliath</w:t>
      </w:r>
      <w:proofErr w:type="spellEnd"/>
      <w:r w:rsidRPr="001F7D71">
        <w:t xml:space="preserve"> could either add 10 guest rooms (five lake view</w:t>
      </w:r>
      <w:r>
        <w:t xml:space="preserve"> rooms</w:t>
      </w:r>
      <w:r w:rsidRPr="001F7D71">
        <w:t xml:space="preserve"> and five deluxe rooms) or add three additional conference rooms. To add the new conference rooms, the </w:t>
      </w:r>
      <w:r>
        <w:t xml:space="preserve">necessary </w:t>
      </w:r>
      <w:r w:rsidRPr="001F7D71">
        <w:t xml:space="preserve">investment would be $60,600, while the </w:t>
      </w:r>
      <w:r>
        <w:t>10</w:t>
      </w:r>
      <w:r w:rsidRPr="001F7D71">
        <w:t xml:space="preserve"> additional guest rooms would cost $110,500. With conference rooms making up the majority of the hotel’s current income, </w:t>
      </w:r>
      <w:proofErr w:type="spellStart"/>
      <w:r w:rsidRPr="001F7D71">
        <w:t>Paliath</w:t>
      </w:r>
      <w:proofErr w:type="spellEnd"/>
      <w:r w:rsidRPr="001F7D71">
        <w:t xml:space="preserve"> thought additional conference spaces would further strengthen </w:t>
      </w:r>
      <w:r>
        <w:t>the hotel’s</w:t>
      </w:r>
      <w:r w:rsidRPr="001F7D71">
        <w:t xml:space="preserve"> current competitive advantage and allow for additional clients in the high season. </w:t>
      </w:r>
      <w:proofErr w:type="spellStart"/>
      <w:r w:rsidRPr="001F7D71">
        <w:t>Paliath</w:t>
      </w:r>
      <w:proofErr w:type="spellEnd"/>
      <w:r w:rsidRPr="001F7D71">
        <w:t xml:space="preserve"> wondered how much monthly profit the hotel would generate by adding three conference rooms with a capacity of 80 people each.</w:t>
      </w:r>
      <w:r w:rsidRPr="001F7D71">
        <w:rPr>
          <w:rStyle w:val="FootnoteReference"/>
          <w:color w:val="000000"/>
        </w:rPr>
        <w:footnoteReference w:id="12"/>
      </w:r>
      <w:r w:rsidRPr="001F7D71">
        <w:rPr>
          <w:position w:val="13"/>
        </w:rPr>
        <w:t xml:space="preserve"> </w:t>
      </w:r>
      <w:r w:rsidRPr="001F7D71">
        <w:t>Assuming 70</w:t>
      </w:r>
      <w:r>
        <w:t xml:space="preserve"> per cent</w:t>
      </w:r>
      <w:r w:rsidRPr="001F7D71">
        <w:t xml:space="preserve"> occupancy </w:t>
      </w:r>
      <w:r>
        <w:t>for</w:t>
      </w:r>
      <w:r w:rsidRPr="001F7D71">
        <w:t xml:space="preserve"> the </w:t>
      </w:r>
      <w:r>
        <w:t>10</w:t>
      </w:r>
      <w:r w:rsidRPr="001F7D71">
        <w:t xml:space="preserve"> additional guest rooms, </w:t>
      </w:r>
      <w:proofErr w:type="spellStart"/>
      <w:r>
        <w:t>Paliath</w:t>
      </w:r>
      <w:proofErr w:type="spellEnd"/>
      <w:r w:rsidRPr="001F7D71">
        <w:t xml:space="preserve"> forecasted additional room profits of $15,068 per month</w:t>
      </w:r>
      <w:r>
        <w:t>—</w:t>
      </w:r>
      <w:r w:rsidRPr="001F7D71">
        <w:t xml:space="preserve">a figure he </w:t>
      </w:r>
      <w:r>
        <w:t>believed</w:t>
      </w:r>
      <w:r w:rsidRPr="001F7D71">
        <w:t xml:space="preserve"> to be optimistic. He wondered how long it would take to pay</w:t>
      </w:r>
      <w:r>
        <w:t xml:space="preserve"> </w:t>
      </w:r>
      <w:r w:rsidRPr="001F7D71">
        <w:t xml:space="preserve">back his initial investment for both options, especially if actual demand was lower than his forecast. He also worried </w:t>
      </w:r>
      <w:r>
        <w:t xml:space="preserve">about </w:t>
      </w:r>
      <w:r w:rsidRPr="001F7D71">
        <w:t xml:space="preserve">how he could convince corporate executives to invest a large sum in renovations, given the hotel was only in its fourth year of operations. </w:t>
      </w:r>
    </w:p>
    <w:p w14:paraId="6A9B49FA" w14:textId="77777777" w:rsidR="00C976B1" w:rsidRPr="001F7D71" w:rsidRDefault="00C976B1" w:rsidP="00C976B1">
      <w:pPr>
        <w:widowControl w:val="0"/>
        <w:autoSpaceDE w:val="0"/>
        <w:autoSpaceDN w:val="0"/>
        <w:adjustRightInd w:val="0"/>
        <w:jc w:val="both"/>
        <w:rPr>
          <w:color w:val="000000"/>
          <w:sz w:val="22"/>
          <w:szCs w:val="22"/>
        </w:rPr>
      </w:pPr>
    </w:p>
    <w:p w14:paraId="6271F341" w14:textId="77777777" w:rsidR="00C976B1" w:rsidRDefault="00C976B1" w:rsidP="00C976B1">
      <w:pPr>
        <w:widowControl w:val="0"/>
        <w:autoSpaceDE w:val="0"/>
        <w:autoSpaceDN w:val="0"/>
        <w:adjustRightInd w:val="0"/>
        <w:jc w:val="both"/>
        <w:rPr>
          <w:rFonts w:ascii="Times" w:hAnsi="Times" w:cs="Times"/>
          <w:color w:val="000000"/>
        </w:rPr>
      </w:pPr>
    </w:p>
    <w:p w14:paraId="488DF2FC" w14:textId="77777777" w:rsidR="00C976B1" w:rsidRPr="001F7D71" w:rsidRDefault="00C976B1" w:rsidP="00C976B1">
      <w:pPr>
        <w:widowControl w:val="0"/>
        <w:autoSpaceDE w:val="0"/>
        <w:autoSpaceDN w:val="0"/>
        <w:adjustRightInd w:val="0"/>
        <w:jc w:val="both"/>
        <w:rPr>
          <w:rFonts w:ascii="Arial" w:hAnsi="Arial" w:cs="Arial"/>
          <w:b/>
          <w:color w:val="000000"/>
        </w:rPr>
      </w:pPr>
      <w:r w:rsidRPr="001F7D71">
        <w:rPr>
          <w:rFonts w:ascii="Arial" w:hAnsi="Arial" w:cs="Arial"/>
          <w:b/>
          <w:color w:val="000000"/>
        </w:rPr>
        <w:t xml:space="preserve">CONCLUSION </w:t>
      </w:r>
    </w:p>
    <w:p w14:paraId="08AF7662" w14:textId="77777777" w:rsidR="00C976B1" w:rsidRPr="001F7D71" w:rsidRDefault="00C976B1" w:rsidP="00C976B1">
      <w:pPr>
        <w:widowControl w:val="0"/>
        <w:autoSpaceDE w:val="0"/>
        <w:autoSpaceDN w:val="0"/>
        <w:adjustRightInd w:val="0"/>
        <w:jc w:val="both"/>
        <w:rPr>
          <w:color w:val="000000"/>
          <w:sz w:val="22"/>
          <w:szCs w:val="22"/>
        </w:rPr>
      </w:pPr>
    </w:p>
    <w:p w14:paraId="4E5D2FFE" w14:textId="77777777" w:rsidR="00C976B1" w:rsidRPr="001F7D71" w:rsidRDefault="00C976B1" w:rsidP="00873977">
      <w:pPr>
        <w:pStyle w:val="BodyTextMain"/>
        <w:rPr>
          <w:rFonts w:ascii="Times" w:hAnsi="Times" w:cs="Times"/>
        </w:rPr>
      </w:pPr>
      <w:proofErr w:type="spellStart"/>
      <w:r w:rsidRPr="001F7D71">
        <w:t>Paliath</w:t>
      </w:r>
      <w:proofErr w:type="spellEnd"/>
      <w:r w:rsidRPr="001F7D71">
        <w:t xml:space="preserve"> knew he needed to combat the slow season by choosing a segment to actively target in order to increase hotel occupancy. </w:t>
      </w:r>
      <w:r>
        <w:t>D</w:t>
      </w:r>
      <w:r w:rsidRPr="001F7D71">
        <w:t>epending on which consumer segment he chose</w:t>
      </w:r>
      <w:r>
        <w:t>,</w:t>
      </w:r>
      <w:r w:rsidRPr="001F7D71">
        <w:t xml:space="preserve"> </w:t>
      </w:r>
      <w:r>
        <w:t>h</w:t>
      </w:r>
      <w:r w:rsidRPr="001F7D71">
        <w:t xml:space="preserve">e also wondered how the hotel could make use of the vacant </w:t>
      </w:r>
      <w:r>
        <w:t>ninth</w:t>
      </w:r>
      <w:r w:rsidRPr="001F7D71">
        <w:rPr>
          <w:position w:val="13"/>
        </w:rPr>
        <w:t xml:space="preserve"> </w:t>
      </w:r>
      <w:r w:rsidRPr="001F7D71">
        <w:t xml:space="preserve">floor to combat seasonality. With much to </w:t>
      </w:r>
      <w:r>
        <w:t>consider</w:t>
      </w:r>
      <w:r w:rsidRPr="001F7D71">
        <w:t xml:space="preserve">, </w:t>
      </w:r>
      <w:proofErr w:type="spellStart"/>
      <w:r w:rsidRPr="001F7D71">
        <w:t>Paliath</w:t>
      </w:r>
      <w:proofErr w:type="spellEnd"/>
      <w:r w:rsidRPr="001F7D71">
        <w:t xml:space="preserve"> gather</w:t>
      </w:r>
      <w:r>
        <w:t>ed</w:t>
      </w:r>
      <w:r w:rsidRPr="001F7D71">
        <w:t xml:space="preserve"> his thoughts to make a decision. </w:t>
      </w:r>
      <w:r>
        <w:t>How</w:t>
      </w:r>
      <w:r w:rsidRPr="001F7D71">
        <w:t xml:space="preserve"> would </w:t>
      </w:r>
      <w:r>
        <w:t>the</w:t>
      </w:r>
      <w:r w:rsidRPr="001F7D71">
        <w:t xml:space="preserve"> corporate executives react to additional renovations, especially as a young company? Whichever options he chose, he knew he would have to present a compelling marketing plan and strategy to the executive team at the upcoming meeting. </w:t>
      </w:r>
    </w:p>
    <w:p w14:paraId="68070B6C" w14:textId="77777777" w:rsidR="00C976B1" w:rsidRPr="00901FE6" w:rsidRDefault="00C976B1" w:rsidP="00C976B1">
      <w:pPr>
        <w:jc w:val="both"/>
        <w:rPr>
          <w:sz w:val="22"/>
          <w:szCs w:val="22"/>
        </w:rPr>
      </w:pPr>
      <w:r w:rsidRPr="00901FE6">
        <w:rPr>
          <w:sz w:val="22"/>
          <w:szCs w:val="22"/>
        </w:rPr>
        <w:br w:type="page"/>
      </w:r>
    </w:p>
    <w:p w14:paraId="714E1A81" w14:textId="77777777" w:rsidR="00C976B1" w:rsidRPr="001F7D71" w:rsidRDefault="00C976B1" w:rsidP="00C976B1">
      <w:pPr>
        <w:widowControl w:val="0"/>
        <w:autoSpaceDE w:val="0"/>
        <w:autoSpaceDN w:val="0"/>
        <w:adjustRightInd w:val="0"/>
        <w:jc w:val="center"/>
        <w:rPr>
          <w:rFonts w:ascii="Arial" w:hAnsi="Arial" w:cs="Arial"/>
          <w:b/>
          <w:caps/>
          <w:color w:val="000000"/>
        </w:rPr>
      </w:pPr>
      <w:r w:rsidRPr="001F7D71">
        <w:rPr>
          <w:rFonts w:ascii="Arial" w:hAnsi="Arial" w:cs="Arial"/>
          <w:b/>
          <w:caps/>
          <w:color w:val="000000"/>
        </w:rPr>
        <w:lastRenderedPageBreak/>
        <w:t>Exhibit 1:</w:t>
      </w:r>
      <w:r>
        <w:rPr>
          <w:rFonts w:ascii="Arial" w:hAnsi="Arial" w:cs="Arial"/>
          <w:b/>
          <w:caps/>
          <w:color w:val="000000"/>
        </w:rPr>
        <w:t xml:space="preserve"> Competitor breakdown</w:t>
      </w:r>
    </w:p>
    <w:p w14:paraId="5C5BB2C2" w14:textId="77777777" w:rsidR="00C976B1" w:rsidRPr="00DE2EB7" w:rsidRDefault="00C976B1" w:rsidP="00C976B1">
      <w:pPr>
        <w:widowControl w:val="0"/>
        <w:autoSpaceDE w:val="0"/>
        <w:autoSpaceDN w:val="0"/>
        <w:adjustRightInd w:val="0"/>
        <w:jc w:val="both"/>
        <w:rPr>
          <w:rFonts w:ascii="Times" w:hAnsi="Times" w:cs="Times"/>
          <w:color w:val="000000"/>
          <w:sz w:val="17"/>
          <w:szCs w:val="17"/>
        </w:rPr>
      </w:pPr>
    </w:p>
    <w:tbl>
      <w:tblPr>
        <w:tblStyle w:val="TableGrid"/>
        <w:tblW w:w="9286" w:type="dxa"/>
        <w:jc w:val="center"/>
        <w:tblInd w:w="108" w:type="dxa"/>
        <w:tblLook w:val="04A0" w:firstRow="1" w:lastRow="0" w:firstColumn="1" w:lastColumn="0" w:noHBand="0" w:noVBand="1"/>
      </w:tblPr>
      <w:tblGrid>
        <w:gridCol w:w="2318"/>
        <w:gridCol w:w="1659"/>
        <w:gridCol w:w="1837"/>
        <w:gridCol w:w="1608"/>
        <w:gridCol w:w="1864"/>
      </w:tblGrid>
      <w:tr w:rsidR="00C976B1" w:rsidRPr="0069746E" w14:paraId="6F64DF1F" w14:textId="77777777" w:rsidTr="0069746E">
        <w:trPr>
          <w:trHeight w:val="476"/>
          <w:jc w:val="center"/>
        </w:trPr>
        <w:tc>
          <w:tcPr>
            <w:tcW w:w="2318" w:type="dxa"/>
            <w:shd w:val="clear" w:color="auto" w:fill="auto"/>
            <w:vAlign w:val="center"/>
          </w:tcPr>
          <w:p w14:paraId="44E5ABE5" w14:textId="77777777" w:rsidR="00C976B1" w:rsidRPr="0069746E" w:rsidRDefault="00C976B1" w:rsidP="00CE6610">
            <w:pPr>
              <w:widowControl w:val="0"/>
              <w:autoSpaceDE w:val="0"/>
              <w:autoSpaceDN w:val="0"/>
              <w:adjustRightInd w:val="0"/>
              <w:jc w:val="center"/>
              <w:rPr>
                <w:rFonts w:ascii="Arial" w:hAnsi="Arial" w:cs="Arial"/>
                <w:b/>
                <w:color w:val="000000"/>
                <w:sz w:val="18"/>
                <w:szCs w:val="18"/>
              </w:rPr>
            </w:pPr>
            <w:r w:rsidRPr="0069746E">
              <w:rPr>
                <w:rFonts w:ascii="Arial" w:hAnsi="Arial" w:cs="Arial"/>
                <w:b/>
                <w:color w:val="000000"/>
                <w:sz w:val="18"/>
                <w:szCs w:val="18"/>
              </w:rPr>
              <w:t>Companies</w:t>
            </w:r>
          </w:p>
        </w:tc>
        <w:tc>
          <w:tcPr>
            <w:tcW w:w="1659" w:type="dxa"/>
            <w:shd w:val="clear" w:color="auto" w:fill="auto"/>
            <w:vAlign w:val="center"/>
          </w:tcPr>
          <w:p w14:paraId="3A004DDA" w14:textId="77777777" w:rsidR="00C976B1" w:rsidRPr="0069746E" w:rsidRDefault="00C976B1" w:rsidP="00CE6610">
            <w:pPr>
              <w:widowControl w:val="0"/>
              <w:autoSpaceDE w:val="0"/>
              <w:autoSpaceDN w:val="0"/>
              <w:adjustRightInd w:val="0"/>
              <w:jc w:val="center"/>
              <w:rPr>
                <w:rFonts w:ascii="Arial" w:hAnsi="Arial" w:cs="Arial"/>
                <w:b/>
                <w:color w:val="000000"/>
                <w:sz w:val="18"/>
                <w:szCs w:val="18"/>
              </w:rPr>
            </w:pPr>
            <w:r w:rsidRPr="0069746E">
              <w:rPr>
                <w:rFonts w:ascii="Arial" w:hAnsi="Arial" w:cs="Arial"/>
                <w:b/>
                <w:color w:val="000000"/>
                <w:sz w:val="18"/>
                <w:szCs w:val="18"/>
              </w:rPr>
              <w:t>Competitive Advantages</w:t>
            </w:r>
          </w:p>
        </w:tc>
        <w:tc>
          <w:tcPr>
            <w:tcW w:w="1837" w:type="dxa"/>
            <w:shd w:val="clear" w:color="auto" w:fill="auto"/>
            <w:vAlign w:val="center"/>
          </w:tcPr>
          <w:p w14:paraId="38B77FFC" w14:textId="77777777" w:rsidR="00C976B1" w:rsidRPr="0069746E" w:rsidRDefault="00C976B1" w:rsidP="00CE6610">
            <w:pPr>
              <w:widowControl w:val="0"/>
              <w:autoSpaceDE w:val="0"/>
              <w:autoSpaceDN w:val="0"/>
              <w:adjustRightInd w:val="0"/>
              <w:jc w:val="center"/>
              <w:rPr>
                <w:rFonts w:ascii="Arial" w:hAnsi="Arial" w:cs="Arial"/>
                <w:b/>
                <w:color w:val="000000"/>
                <w:sz w:val="18"/>
                <w:szCs w:val="18"/>
              </w:rPr>
            </w:pPr>
            <w:r w:rsidRPr="0069746E">
              <w:rPr>
                <w:rFonts w:ascii="Arial" w:hAnsi="Arial" w:cs="Arial"/>
                <w:b/>
                <w:color w:val="000000"/>
                <w:sz w:val="18"/>
                <w:szCs w:val="18"/>
              </w:rPr>
              <w:t>Target Market</w:t>
            </w:r>
          </w:p>
        </w:tc>
        <w:tc>
          <w:tcPr>
            <w:tcW w:w="1608" w:type="dxa"/>
            <w:shd w:val="clear" w:color="auto" w:fill="auto"/>
            <w:vAlign w:val="center"/>
          </w:tcPr>
          <w:p w14:paraId="72B5AD93" w14:textId="77777777" w:rsidR="00C976B1" w:rsidRPr="0069746E" w:rsidRDefault="00C976B1" w:rsidP="00CE6610">
            <w:pPr>
              <w:widowControl w:val="0"/>
              <w:autoSpaceDE w:val="0"/>
              <w:autoSpaceDN w:val="0"/>
              <w:adjustRightInd w:val="0"/>
              <w:jc w:val="center"/>
              <w:rPr>
                <w:rFonts w:ascii="Arial" w:hAnsi="Arial" w:cs="Arial"/>
                <w:b/>
                <w:color w:val="000000"/>
                <w:sz w:val="18"/>
                <w:szCs w:val="18"/>
              </w:rPr>
            </w:pPr>
            <w:r w:rsidRPr="0069746E">
              <w:rPr>
                <w:rFonts w:ascii="Arial" w:hAnsi="Arial" w:cs="Arial"/>
                <w:b/>
                <w:color w:val="000000"/>
                <w:sz w:val="18"/>
                <w:szCs w:val="18"/>
              </w:rPr>
              <w:t>Location</w:t>
            </w:r>
          </w:p>
        </w:tc>
        <w:tc>
          <w:tcPr>
            <w:tcW w:w="1864" w:type="dxa"/>
            <w:shd w:val="clear" w:color="auto" w:fill="auto"/>
            <w:vAlign w:val="center"/>
          </w:tcPr>
          <w:p w14:paraId="3ED0E819" w14:textId="77777777" w:rsidR="00C976B1" w:rsidRPr="0069746E" w:rsidRDefault="00C976B1" w:rsidP="00CE6610">
            <w:pPr>
              <w:widowControl w:val="0"/>
              <w:autoSpaceDE w:val="0"/>
              <w:autoSpaceDN w:val="0"/>
              <w:adjustRightInd w:val="0"/>
              <w:jc w:val="center"/>
              <w:rPr>
                <w:rFonts w:ascii="Arial" w:hAnsi="Arial" w:cs="Arial"/>
                <w:b/>
                <w:color w:val="000000"/>
                <w:sz w:val="18"/>
                <w:szCs w:val="18"/>
              </w:rPr>
            </w:pPr>
            <w:r w:rsidRPr="0069746E">
              <w:rPr>
                <w:rFonts w:ascii="Arial" w:hAnsi="Arial" w:cs="Arial"/>
                <w:b/>
                <w:color w:val="000000"/>
                <w:sz w:val="18"/>
                <w:szCs w:val="18"/>
              </w:rPr>
              <w:t>Amenities</w:t>
            </w:r>
          </w:p>
        </w:tc>
      </w:tr>
      <w:tr w:rsidR="00C976B1" w:rsidRPr="0069746E" w14:paraId="4939AFE1" w14:textId="77777777" w:rsidTr="0069746E">
        <w:trPr>
          <w:trHeight w:val="980"/>
          <w:jc w:val="center"/>
        </w:trPr>
        <w:tc>
          <w:tcPr>
            <w:tcW w:w="2318" w:type="dxa"/>
            <w:vAlign w:val="center"/>
          </w:tcPr>
          <w:p w14:paraId="0BD09283" w14:textId="77777777" w:rsidR="00C976B1" w:rsidRPr="0069746E" w:rsidRDefault="00C976B1" w:rsidP="00CE6610">
            <w:pPr>
              <w:widowControl w:val="0"/>
              <w:autoSpaceDE w:val="0"/>
              <w:autoSpaceDN w:val="0"/>
              <w:adjustRightInd w:val="0"/>
              <w:rPr>
                <w:rFonts w:ascii="Arial" w:hAnsi="Arial" w:cs="Arial"/>
                <w:color w:val="000000"/>
                <w:sz w:val="18"/>
                <w:szCs w:val="18"/>
              </w:rPr>
            </w:pPr>
            <w:proofErr w:type="spellStart"/>
            <w:r w:rsidRPr="0069746E">
              <w:rPr>
                <w:rFonts w:ascii="Arial" w:hAnsi="Arial" w:cs="Arial"/>
                <w:color w:val="000000"/>
                <w:sz w:val="18"/>
                <w:szCs w:val="18"/>
              </w:rPr>
              <w:t>Malaka</w:t>
            </w:r>
            <w:proofErr w:type="spellEnd"/>
            <w:r w:rsidRPr="0069746E">
              <w:rPr>
                <w:rFonts w:ascii="Arial" w:hAnsi="Arial" w:cs="Arial"/>
                <w:color w:val="000000"/>
                <w:sz w:val="18"/>
                <w:szCs w:val="18"/>
              </w:rPr>
              <w:t xml:space="preserve"> Beach Resort, La Cairo Hotel, Villa Park, New Mwanza Hotel, and JB Belmont Hotel</w:t>
            </w:r>
          </w:p>
        </w:tc>
        <w:tc>
          <w:tcPr>
            <w:tcW w:w="1659" w:type="dxa"/>
            <w:vAlign w:val="center"/>
          </w:tcPr>
          <w:p w14:paraId="5B9174F1"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Service</w:t>
            </w:r>
          </w:p>
          <w:p w14:paraId="76403B15"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Aesthetics</w:t>
            </w:r>
          </w:p>
          <w:p w14:paraId="1927864C"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Amenity offerings</w:t>
            </w:r>
          </w:p>
        </w:tc>
        <w:tc>
          <w:tcPr>
            <w:tcW w:w="1837" w:type="dxa"/>
            <w:vAlign w:val="center"/>
          </w:tcPr>
          <w:p w14:paraId="1C57DA38"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1) Tourists</w:t>
            </w:r>
          </w:p>
          <w:p w14:paraId="715B4A31" w14:textId="43D2948D"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 xml:space="preserve">2) Local </w:t>
            </w:r>
            <w:proofErr w:type="spellStart"/>
            <w:r w:rsidRPr="0069746E">
              <w:rPr>
                <w:rFonts w:ascii="Arial" w:hAnsi="Arial" w:cs="Arial"/>
                <w:color w:val="000000"/>
                <w:sz w:val="18"/>
                <w:szCs w:val="18"/>
              </w:rPr>
              <w:t>travel</w:t>
            </w:r>
            <w:r w:rsidR="0069746E">
              <w:rPr>
                <w:rFonts w:ascii="Arial" w:hAnsi="Arial" w:cs="Arial"/>
                <w:color w:val="000000"/>
                <w:sz w:val="18"/>
                <w:szCs w:val="18"/>
              </w:rPr>
              <w:t>l</w:t>
            </w:r>
            <w:r w:rsidRPr="0069746E">
              <w:rPr>
                <w:rFonts w:ascii="Arial" w:hAnsi="Arial" w:cs="Arial"/>
                <w:color w:val="000000"/>
                <w:sz w:val="18"/>
                <w:szCs w:val="18"/>
              </w:rPr>
              <w:t>ers</w:t>
            </w:r>
            <w:proofErr w:type="spellEnd"/>
          </w:p>
          <w:p w14:paraId="563A2E50"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3) Business guests</w:t>
            </w:r>
          </w:p>
        </w:tc>
        <w:tc>
          <w:tcPr>
            <w:tcW w:w="1608" w:type="dxa"/>
            <w:vAlign w:val="center"/>
          </w:tcPr>
          <w:p w14:paraId="110F9E4A"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Within a 20-minute drive of Mwanza</w:t>
            </w:r>
          </w:p>
        </w:tc>
        <w:tc>
          <w:tcPr>
            <w:tcW w:w="1864" w:type="dxa"/>
            <w:vAlign w:val="center"/>
          </w:tcPr>
          <w:p w14:paraId="1F382D97"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 xml:space="preserve">On-site restaurants; some have swimming pools </w:t>
            </w:r>
          </w:p>
        </w:tc>
      </w:tr>
      <w:tr w:rsidR="00C976B1" w:rsidRPr="0069746E" w14:paraId="67BD97C3" w14:textId="77777777" w:rsidTr="0069746E">
        <w:trPr>
          <w:trHeight w:val="511"/>
          <w:jc w:val="center"/>
        </w:trPr>
        <w:tc>
          <w:tcPr>
            <w:tcW w:w="2318" w:type="dxa"/>
            <w:vAlign w:val="center"/>
          </w:tcPr>
          <w:p w14:paraId="451D2327"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50 privately-owned small discount hotels</w:t>
            </w:r>
          </w:p>
        </w:tc>
        <w:tc>
          <w:tcPr>
            <w:tcW w:w="1659" w:type="dxa"/>
            <w:vAlign w:val="center"/>
          </w:tcPr>
          <w:p w14:paraId="09DA75E6"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Low price</w:t>
            </w:r>
          </w:p>
        </w:tc>
        <w:tc>
          <w:tcPr>
            <w:tcW w:w="1837" w:type="dxa"/>
            <w:vAlign w:val="center"/>
          </w:tcPr>
          <w:p w14:paraId="1CE9AD28" w14:textId="0099BFE4"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 xml:space="preserve">1) Budget </w:t>
            </w:r>
            <w:proofErr w:type="spellStart"/>
            <w:r w:rsidRPr="0069746E">
              <w:rPr>
                <w:rFonts w:ascii="Arial" w:hAnsi="Arial" w:cs="Arial"/>
                <w:color w:val="000000"/>
                <w:sz w:val="18"/>
                <w:szCs w:val="18"/>
              </w:rPr>
              <w:t>travel</w:t>
            </w:r>
            <w:r w:rsidR="0069746E">
              <w:rPr>
                <w:rFonts w:ascii="Arial" w:hAnsi="Arial" w:cs="Arial"/>
                <w:color w:val="000000"/>
                <w:sz w:val="18"/>
                <w:szCs w:val="18"/>
              </w:rPr>
              <w:t>l</w:t>
            </w:r>
            <w:r w:rsidRPr="0069746E">
              <w:rPr>
                <w:rFonts w:ascii="Arial" w:hAnsi="Arial" w:cs="Arial"/>
                <w:color w:val="000000"/>
                <w:sz w:val="18"/>
                <w:szCs w:val="18"/>
              </w:rPr>
              <w:t>ers</w:t>
            </w:r>
            <w:proofErr w:type="spellEnd"/>
          </w:p>
          <w:p w14:paraId="4BA49EA3"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2) Budget locals</w:t>
            </w:r>
          </w:p>
        </w:tc>
        <w:tc>
          <w:tcPr>
            <w:tcW w:w="1608" w:type="dxa"/>
            <w:vAlign w:val="center"/>
          </w:tcPr>
          <w:p w14:paraId="0566BB85"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In and outside of Mwanza City</w:t>
            </w:r>
          </w:p>
        </w:tc>
        <w:tc>
          <w:tcPr>
            <w:tcW w:w="1864" w:type="dxa"/>
            <w:vAlign w:val="center"/>
          </w:tcPr>
          <w:p w14:paraId="51348ACC" w14:textId="77777777" w:rsidR="00C976B1" w:rsidRPr="0069746E" w:rsidRDefault="00C976B1" w:rsidP="00CE6610">
            <w:pPr>
              <w:widowControl w:val="0"/>
              <w:autoSpaceDE w:val="0"/>
              <w:autoSpaceDN w:val="0"/>
              <w:adjustRightInd w:val="0"/>
              <w:rPr>
                <w:rFonts w:ascii="Arial" w:hAnsi="Arial" w:cs="Arial"/>
                <w:color w:val="000000"/>
                <w:sz w:val="18"/>
                <w:szCs w:val="18"/>
              </w:rPr>
            </w:pPr>
            <w:r w:rsidRPr="0069746E">
              <w:rPr>
                <w:rFonts w:ascii="Arial" w:hAnsi="Arial" w:cs="Arial"/>
                <w:color w:val="000000"/>
                <w:sz w:val="18"/>
                <w:szCs w:val="18"/>
              </w:rPr>
              <w:t>Limited amenities such as pools and restaurants</w:t>
            </w:r>
          </w:p>
        </w:tc>
      </w:tr>
    </w:tbl>
    <w:p w14:paraId="6F740401" w14:textId="77777777" w:rsidR="00C976B1" w:rsidRDefault="00C976B1" w:rsidP="00C976B1">
      <w:pPr>
        <w:widowControl w:val="0"/>
        <w:autoSpaceDE w:val="0"/>
        <w:autoSpaceDN w:val="0"/>
        <w:adjustRightInd w:val="0"/>
        <w:jc w:val="both"/>
        <w:rPr>
          <w:rFonts w:ascii="Arial" w:hAnsi="Arial" w:cs="Arial"/>
          <w:color w:val="000000"/>
          <w:sz w:val="17"/>
          <w:szCs w:val="17"/>
        </w:rPr>
      </w:pPr>
    </w:p>
    <w:p w14:paraId="50CA9758" w14:textId="77777777" w:rsidR="00C976B1" w:rsidRDefault="00C976B1" w:rsidP="00C976B1">
      <w:pPr>
        <w:widowControl w:val="0"/>
        <w:autoSpaceDE w:val="0"/>
        <w:autoSpaceDN w:val="0"/>
        <w:adjustRightInd w:val="0"/>
        <w:jc w:val="both"/>
        <w:rPr>
          <w:rFonts w:ascii="Arial" w:hAnsi="Arial" w:cs="Arial"/>
          <w:color w:val="000000"/>
          <w:sz w:val="17"/>
          <w:szCs w:val="17"/>
        </w:rPr>
      </w:pPr>
      <w:r>
        <w:rPr>
          <w:rFonts w:ascii="Arial" w:hAnsi="Arial" w:cs="Arial"/>
          <w:color w:val="000000"/>
          <w:sz w:val="17"/>
          <w:szCs w:val="17"/>
        </w:rPr>
        <w:t>Source: Created by the case authors.</w:t>
      </w:r>
    </w:p>
    <w:p w14:paraId="071CE3EA" w14:textId="77777777" w:rsidR="00C976B1" w:rsidRPr="00DC7317" w:rsidRDefault="00C976B1" w:rsidP="00C976B1">
      <w:pPr>
        <w:widowControl w:val="0"/>
        <w:autoSpaceDE w:val="0"/>
        <w:autoSpaceDN w:val="0"/>
        <w:adjustRightInd w:val="0"/>
        <w:jc w:val="both"/>
        <w:rPr>
          <w:color w:val="000000"/>
          <w:szCs w:val="22"/>
        </w:rPr>
      </w:pPr>
    </w:p>
    <w:p w14:paraId="7A602C6B" w14:textId="77777777" w:rsidR="00C976B1" w:rsidRPr="00DC7317" w:rsidRDefault="00C976B1" w:rsidP="00C976B1">
      <w:pPr>
        <w:widowControl w:val="0"/>
        <w:autoSpaceDE w:val="0"/>
        <w:autoSpaceDN w:val="0"/>
        <w:adjustRightInd w:val="0"/>
        <w:jc w:val="both"/>
        <w:rPr>
          <w:color w:val="000000"/>
          <w:szCs w:val="22"/>
        </w:rPr>
      </w:pPr>
    </w:p>
    <w:p w14:paraId="56950FB6" w14:textId="77777777" w:rsidR="00C976B1" w:rsidRDefault="00C976B1" w:rsidP="00C976B1">
      <w:pPr>
        <w:widowControl w:val="0"/>
        <w:autoSpaceDE w:val="0"/>
        <w:autoSpaceDN w:val="0"/>
        <w:adjustRightInd w:val="0"/>
        <w:jc w:val="center"/>
        <w:rPr>
          <w:rFonts w:ascii="Arial Bold" w:hAnsi="Arial Bold" w:cs="Arial"/>
          <w:b/>
          <w:caps/>
          <w:color w:val="000000"/>
        </w:rPr>
      </w:pPr>
      <w:r w:rsidRPr="001F7D71">
        <w:rPr>
          <w:rFonts w:ascii="Arial Bold" w:hAnsi="Arial Bold" w:cs="Arial"/>
          <w:b/>
          <w:caps/>
          <w:color w:val="000000"/>
        </w:rPr>
        <w:t>Exhibit 2: Conference room capacities and prices (in US</w:t>
      </w:r>
      <w:r>
        <w:rPr>
          <w:rFonts w:ascii="Arial Bold" w:hAnsi="Arial Bold" w:cs="Arial"/>
          <w:b/>
          <w:caps/>
          <w:color w:val="000000"/>
        </w:rPr>
        <w:t>$</w:t>
      </w:r>
      <w:r w:rsidRPr="001F7D71">
        <w:rPr>
          <w:rFonts w:ascii="Arial Bold" w:hAnsi="Arial Bold" w:cs="Arial"/>
          <w:b/>
          <w:caps/>
          <w:color w:val="000000"/>
        </w:rPr>
        <w:t>)</w:t>
      </w:r>
    </w:p>
    <w:p w14:paraId="2F88A949" w14:textId="77777777" w:rsidR="00C976B1" w:rsidRPr="00B740A4" w:rsidRDefault="00C976B1" w:rsidP="00C976B1">
      <w:pPr>
        <w:widowControl w:val="0"/>
        <w:autoSpaceDE w:val="0"/>
        <w:autoSpaceDN w:val="0"/>
        <w:adjustRightInd w:val="0"/>
        <w:jc w:val="both"/>
        <w:rPr>
          <w:caps/>
          <w:color w:val="000000"/>
          <w:sz w:val="18"/>
          <w:szCs w:val="18"/>
        </w:rPr>
      </w:pPr>
    </w:p>
    <w:tbl>
      <w:tblPr>
        <w:tblStyle w:val="TableGrid"/>
        <w:tblW w:w="8117" w:type="dxa"/>
        <w:jc w:val="center"/>
        <w:tblLook w:val="04A0" w:firstRow="1" w:lastRow="0" w:firstColumn="1" w:lastColumn="0" w:noHBand="0" w:noVBand="1"/>
      </w:tblPr>
      <w:tblGrid>
        <w:gridCol w:w="1198"/>
        <w:gridCol w:w="1607"/>
        <w:gridCol w:w="1695"/>
        <w:gridCol w:w="1710"/>
        <w:gridCol w:w="1907"/>
      </w:tblGrid>
      <w:tr w:rsidR="00C976B1" w:rsidRPr="00B740A4" w14:paraId="23012034" w14:textId="77777777" w:rsidTr="00CE6610">
        <w:trPr>
          <w:jc w:val="center"/>
        </w:trPr>
        <w:tc>
          <w:tcPr>
            <w:tcW w:w="1198" w:type="dxa"/>
            <w:shd w:val="clear" w:color="auto" w:fill="auto"/>
            <w:vAlign w:val="center"/>
          </w:tcPr>
          <w:p w14:paraId="28D32C23"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Room</w:t>
            </w:r>
          </w:p>
        </w:tc>
        <w:tc>
          <w:tcPr>
            <w:tcW w:w="1607" w:type="dxa"/>
            <w:shd w:val="clear" w:color="auto" w:fill="auto"/>
            <w:vAlign w:val="center"/>
          </w:tcPr>
          <w:p w14:paraId="485113A8"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Maximum Capacity</w:t>
            </w:r>
          </w:p>
        </w:tc>
        <w:tc>
          <w:tcPr>
            <w:tcW w:w="1695" w:type="dxa"/>
            <w:shd w:val="clear" w:color="auto" w:fill="auto"/>
            <w:vAlign w:val="center"/>
          </w:tcPr>
          <w:p w14:paraId="696BDECF"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Full Weekend Rate</w:t>
            </w:r>
          </w:p>
        </w:tc>
        <w:tc>
          <w:tcPr>
            <w:tcW w:w="1710" w:type="dxa"/>
            <w:shd w:val="clear" w:color="auto" w:fill="auto"/>
            <w:vAlign w:val="center"/>
          </w:tcPr>
          <w:p w14:paraId="6A4F8FAD"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Variable Costs</w:t>
            </w:r>
          </w:p>
        </w:tc>
        <w:tc>
          <w:tcPr>
            <w:tcW w:w="1907" w:type="dxa"/>
            <w:shd w:val="clear" w:color="auto" w:fill="auto"/>
            <w:vAlign w:val="center"/>
          </w:tcPr>
          <w:p w14:paraId="0947CFF2"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Average Price per Person</w:t>
            </w:r>
          </w:p>
        </w:tc>
      </w:tr>
      <w:tr w:rsidR="00C976B1" w:rsidRPr="00B740A4" w14:paraId="5F9BA735" w14:textId="77777777" w:rsidTr="00CE6610">
        <w:trPr>
          <w:jc w:val="center"/>
        </w:trPr>
        <w:tc>
          <w:tcPr>
            <w:tcW w:w="1198" w:type="dxa"/>
            <w:vAlign w:val="center"/>
          </w:tcPr>
          <w:p w14:paraId="7D3D2196"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1</w:t>
            </w:r>
          </w:p>
        </w:tc>
        <w:tc>
          <w:tcPr>
            <w:tcW w:w="1607" w:type="dxa"/>
            <w:vAlign w:val="center"/>
          </w:tcPr>
          <w:p w14:paraId="2D3E6843" w14:textId="77777777" w:rsidR="00C976B1" w:rsidRPr="00B740A4" w:rsidRDefault="00C976B1" w:rsidP="00BF6746">
            <w:pPr>
              <w:ind w:right="144"/>
              <w:jc w:val="right"/>
              <w:rPr>
                <w:rFonts w:ascii="Arial" w:hAnsi="Arial" w:cs="Arial"/>
                <w:sz w:val="19"/>
                <w:szCs w:val="19"/>
              </w:rPr>
            </w:pPr>
            <w:r w:rsidRPr="00B740A4">
              <w:rPr>
                <w:rFonts w:ascii="Arial" w:hAnsi="Arial" w:cs="Arial"/>
                <w:sz w:val="19"/>
                <w:szCs w:val="19"/>
              </w:rPr>
              <w:t>800</w:t>
            </w:r>
          </w:p>
        </w:tc>
        <w:tc>
          <w:tcPr>
            <w:tcW w:w="1695" w:type="dxa"/>
            <w:vAlign w:val="center"/>
          </w:tcPr>
          <w:p w14:paraId="4E32940D"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$9,600</w:t>
            </w:r>
          </w:p>
        </w:tc>
        <w:tc>
          <w:tcPr>
            <w:tcW w:w="1710" w:type="dxa"/>
            <w:vAlign w:val="center"/>
          </w:tcPr>
          <w:p w14:paraId="05669C08"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$1,920</w:t>
            </w:r>
          </w:p>
        </w:tc>
        <w:tc>
          <w:tcPr>
            <w:tcW w:w="1907" w:type="dxa"/>
            <w:vAlign w:val="center"/>
          </w:tcPr>
          <w:p w14:paraId="4C7C8232"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$12</w:t>
            </w:r>
          </w:p>
        </w:tc>
      </w:tr>
      <w:tr w:rsidR="00C976B1" w:rsidRPr="00B740A4" w14:paraId="1F1A8622" w14:textId="77777777" w:rsidTr="00CE6610">
        <w:trPr>
          <w:jc w:val="center"/>
        </w:trPr>
        <w:tc>
          <w:tcPr>
            <w:tcW w:w="1198" w:type="dxa"/>
            <w:vAlign w:val="center"/>
          </w:tcPr>
          <w:p w14:paraId="716A7D6F"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2</w:t>
            </w:r>
          </w:p>
        </w:tc>
        <w:tc>
          <w:tcPr>
            <w:tcW w:w="1607" w:type="dxa"/>
            <w:vAlign w:val="center"/>
          </w:tcPr>
          <w:p w14:paraId="1D5AFBB8" w14:textId="77777777" w:rsidR="00C976B1" w:rsidRPr="00B740A4" w:rsidRDefault="00C976B1" w:rsidP="00BF6746">
            <w:pPr>
              <w:ind w:right="144"/>
              <w:jc w:val="right"/>
              <w:rPr>
                <w:rFonts w:ascii="Arial" w:hAnsi="Arial" w:cs="Arial"/>
                <w:sz w:val="19"/>
                <w:szCs w:val="19"/>
              </w:rPr>
            </w:pPr>
            <w:r w:rsidRPr="00B740A4">
              <w:rPr>
                <w:rFonts w:ascii="Arial" w:hAnsi="Arial" w:cs="Arial"/>
                <w:sz w:val="19"/>
                <w:szCs w:val="19"/>
              </w:rPr>
              <w:t>400</w:t>
            </w:r>
          </w:p>
        </w:tc>
        <w:tc>
          <w:tcPr>
            <w:tcW w:w="1695" w:type="dxa"/>
            <w:vAlign w:val="center"/>
          </w:tcPr>
          <w:p w14:paraId="46778701"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$6,000</w:t>
            </w:r>
          </w:p>
        </w:tc>
        <w:tc>
          <w:tcPr>
            <w:tcW w:w="1710" w:type="dxa"/>
            <w:vAlign w:val="center"/>
          </w:tcPr>
          <w:p w14:paraId="7282FDF0"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$1,200</w:t>
            </w:r>
          </w:p>
        </w:tc>
        <w:tc>
          <w:tcPr>
            <w:tcW w:w="1907" w:type="dxa"/>
            <w:vAlign w:val="center"/>
          </w:tcPr>
          <w:p w14:paraId="2654D274"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$15</w:t>
            </w:r>
          </w:p>
        </w:tc>
      </w:tr>
      <w:tr w:rsidR="00C976B1" w:rsidRPr="00B740A4" w14:paraId="57D68E11" w14:textId="77777777" w:rsidTr="00CE6610">
        <w:trPr>
          <w:jc w:val="center"/>
        </w:trPr>
        <w:tc>
          <w:tcPr>
            <w:tcW w:w="1198" w:type="dxa"/>
            <w:vAlign w:val="center"/>
          </w:tcPr>
          <w:p w14:paraId="57987F98"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3</w:t>
            </w:r>
          </w:p>
        </w:tc>
        <w:tc>
          <w:tcPr>
            <w:tcW w:w="1607" w:type="dxa"/>
            <w:vAlign w:val="center"/>
          </w:tcPr>
          <w:p w14:paraId="1063E1BC" w14:textId="77777777" w:rsidR="00C976B1" w:rsidRPr="00B740A4" w:rsidRDefault="00C976B1" w:rsidP="00BF6746">
            <w:pPr>
              <w:ind w:right="144"/>
              <w:jc w:val="right"/>
              <w:rPr>
                <w:rFonts w:ascii="Arial" w:hAnsi="Arial" w:cs="Arial"/>
                <w:sz w:val="19"/>
                <w:szCs w:val="19"/>
              </w:rPr>
            </w:pPr>
            <w:r w:rsidRPr="00B740A4">
              <w:rPr>
                <w:rFonts w:ascii="Arial" w:hAnsi="Arial" w:cs="Arial"/>
                <w:sz w:val="19"/>
                <w:szCs w:val="19"/>
              </w:rPr>
              <w:t>80</w:t>
            </w:r>
          </w:p>
        </w:tc>
        <w:tc>
          <w:tcPr>
            <w:tcW w:w="1695" w:type="dxa"/>
            <w:vAlign w:val="center"/>
          </w:tcPr>
          <w:p w14:paraId="62D791E8"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$1,200</w:t>
            </w:r>
          </w:p>
        </w:tc>
        <w:tc>
          <w:tcPr>
            <w:tcW w:w="1710" w:type="dxa"/>
            <w:vAlign w:val="center"/>
          </w:tcPr>
          <w:p w14:paraId="03055C5C"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$240</w:t>
            </w:r>
          </w:p>
        </w:tc>
        <w:tc>
          <w:tcPr>
            <w:tcW w:w="1907" w:type="dxa"/>
            <w:vAlign w:val="center"/>
          </w:tcPr>
          <w:p w14:paraId="7FB4D82F"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$15</w:t>
            </w:r>
          </w:p>
        </w:tc>
      </w:tr>
      <w:tr w:rsidR="00C976B1" w:rsidRPr="00B740A4" w14:paraId="60A0DCB2" w14:textId="77777777" w:rsidTr="00CE6610">
        <w:trPr>
          <w:jc w:val="center"/>
        </w:trPr>
        <w:tc>
          <w:tcPr>
            <w:tcW w:w="1198" w:type="dxa"/>
            <w:vAlign w:val="center"/>
          </w:tcPr>
          <w:p w14:paraId="5D1510D8"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4</w:t>
            </w:r>
          </w:p>
        </w:tc>
        <w:tc>
          <w:tcPr>
            <w:tcW w:w="1607" w:type="dxa"/>
            <w:vAlign w:val="center"/>
          </w:tcPr>
          <w:p w14:paraId="0C34132D" w14:textId="77777777" w:rsidR="00C976B1" w:rsidRPr="00B740A4" w:rsidRDefault="00C976B1" w:rsidP="00BF6746">
            <w:pPr>
              <w:ind w:right="144"/>
              <w:jc w:val="right"/>
              <w:rPr>
                <w:rFonts w:ascii="Arial" w:hAnsi="Arial" w:cs="Arial"/>
                <w:sz w:val="19"/>
                <w:szCs w:val="19"/>
              </w:rPr>
            </w:pPr>
            <w:r w:rsidRPr="00B740A4">
              <w:rPr>
                <w:rFonts w:ascii="Arial" w:hAnsi="Arial" w:cs="Arial"/>
                <w:sz w:val="19"/>
                <w:szCs w:val="19"/>
              </w:rPr>
              <w:t>35</w:t>
            </w:r>
          </w:p>
        </w:tc>
        <w:tc>
          <w:tcPr>
            <w:tcW w:w="1695" w:type="dxa"/>
            <w:vAlign w:val="center"/>
          </w:tcPr>
          <w:p w14:paraId="44D05D9E"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$630</w:t>
            </w:r>
          </w:p>
        </w:tc>
        <w:tc>
          <w:tcPr>
            <w:tcW w:w="1710" w:type="dxa"/>
            <w:vAlign w:val="center"/>
          </w:tcPr>
          <w:p w14:paraId="08A4600D"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$126</w:t>
            </w:r>
          </w:p>
        </w:tc>
        <w:tc>
          <w:tcPr>
            <w:tcW w:w="1907" w:type="dxa"/>
            <w:vAlign w:val="center"/>
          </w:tcPr>
          <w:p w14:paraId="25058A8C"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$18</w:t>
            </w:r>
          </w:p>
        </w:tc>
      </w:tr>
      <w:tr w:rsidR="00C976B1" w:rsidRPr="00B740A4" w14:paraId="5DDB1A21" w14:textId="77777777" w:rsidTr="00CE6610">
        <w:trPr>
          <w:trHeight w:val="227"/>
          <w:jc w:val="center"/>
        </w:trPr>
        <w:tc>
          <w:tcPr>
            <w:tcW w:w="1198" w:type="dxa"/>
            <w:vAlign w:val="center"/>
          </w:tcPr>
          <w:p w14:paraId="163F8F94"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5</w:t>
            </w:r>
          </w:p>
        </w:tc>
        <w:tc>
          <w:tcPr>
            <w:tcW w:w="1607" w:type="dxa"/>
            <w:vAlign w:val="center"/>
          </w:tcPr>
          <w:p w14:paraId="1F73DE5C" w14:textId="77777777" w:rsidR="00C976B1" w:rsidRPr="00B740A4" w:rsidRDefault="00C976B1" w:rsidP="00BF6746">
            <w:pPr>
              <w:ind w:right="144"/>
              <w:jc w:val="right"/>
              <w:rPr>
                <w:rFonts w:ascii="Arial" w:hAnsi="Arial" w:cs="Arial"/>
                <w:sz w:val="19"/>
                <w:szCs w:val="19"/>
              </w:rPr>
            </w:pPr>
            <w:r w:rsidRPr="00B740A4">
              <w:rPr>
                <w:rFonts w:ascii="Arial" w:hAnsi="Arial" w:cs="Arial"/>
                <w:sz w:val="19"/>
                <w:szCs w:val="19"/>
              </w:rPr>
              <w:t>20</w:t>
            </w:r>
          </w:p>
        </w:tc>
        <w:tc>
          <w:tcPr>
            <w:tcW w:w="1695" w:type="dxa"/>
            <w:vAlign w:val="center"/>
          </w:tcPr>
          <w:p w14:paraId="3B262EBD"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$400</w:t>
            </w:r>
          </w:p>
        </w:tc>
        <w:tc>
          <w:tcPr>
            <w:tcW w:w="1710" w:type="dxa"/>
            <w:vAlign w:val="center"/>
          </w:tcPr>
          <w:p w14:paraId="42DBCECB"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$80</w:t>
            </w:r>
          </w:p>
        </w:tc>
        <w:tc>
          <w:tcPr>
            <w:tcW w:w="1907" w:type="dxa"/>
            <w:vAlign w:val="center"/>
          </w:tcPr>
          <w:p w14:paraId="05991C30"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$20</w:t>
            </w:r>
          </w:p>
        </w:tc>
      </w:tr>
    </w:tbl>
    <w:p w14:paraId="398642C6" w14:textId="77777777" w:rsidR="00C976B1" w:rsidRDefault="00C976B1" w:rsidP="00C976B1">
      <w:pPr>
        <w:jc w:val="both"/>
        <w:rPr>
          <w:rFonts w:ascii="Arial" w:hAnsi="Arial" w:cs="Arial"/>
          <w:sz w:val="17"/>
          <w:szCs w:val="17"/>
        </w:rPr>
      </w:pPr>
    </w:p>
    <w:p w14:paraId="6EBC7726" w14:textId="77777777" w:rsidR="00C976B1" w:rsidRDefault="00C976B1" w:rsidP="00C976B1">
      <w:pPr>
        <w:jc w:val="both"/>
        <w:rPr>
          <w:rFonts w:ascii="Arial" w:hAnsi="Arial" w:cs="Arial"/>
          <w:sz w:val="17"/>
          <w:szCs w:val="17"/>
        </w:rPr>
      </w:pPr>
      <w:r>
        <w:rPr>
          <w:rFonts w:ascii="Arial" w:hAnsi="Arial" w:cs="Arial"/>
          <w:sz w:val="17"/>
          <w:szCs w:val="17"/>
        </w:rPr>
        <w:t>Source: Company files.</w:t>
      </w:r>
    </w:p>
    <w:p w14:paraId="4F33E91C" w14:textId="77777777" w:rsidR="00C976B1" w:rsidRPr="00DC7317" w:rsidRDefault="00C976B1" w:rsidP="00C976B1">
      <w:pPr>
        <w:jc w:val="both"/>
        <w:rPr>
          <w:szCs w:val="22"/>
        </w:rPr>
      </w:pPr>
    </w:p>
    <w:p w14:paraId="1582BE34" w14:textId="77777777" w:rsidR="00C976B1" w:rsidRPr="00DC7317" w:rsidRDefault="00C976B1" w:rsidP="00C976B1">
      <w:pPr>
        <w:jc w:val="both"/>
        <w:rPr>
          <w:szCs w:val="22"/>
        </w:rPr>
      </w:pPr>
    </w:p>
    <w:p w14:paraId="53C77B00" w14:textId="77777777" w:rsidR="00C976B1" w:rsidRDefault="00C976B1" w:rsidP="00C976B1">
      <w:pPr>
        <w:widowControl w:val="0"/>
        <w:autoSpaceDE w:val="0"/>
        <w:autoSpaceDN w:val="0"/>
        <w:adjustRightInd w:val="0"/>
        <w:jc w:val="center"/>
        <w:rPr>
          <w:rFonts w:ascii="Arial" w:hAnsi="Arial" w:cs="Arial"/>
          <w:b/>
          <w:caps/>
          <w:color w:val="000000"/>
        </w:rPr>
      </w:pPr>
      <w:r w:rsidRPr="001F7D71">
        <w:rPr>
          <w:rFonts w:ascii="Arial" w:hAnsi="Arial" w:cs="Arial"/>
          <w:b/>
          <w:caps/>
          <w:color w:val="000000"/>
        </w:rPr>
        <w:t>Exhibit 3: Room types and prices (in US</w:t>
      </w:r>
      <w:r>
        <w:rPr>
          <w:rFonts w:ascii="Arial" w:hAnsi="Arial" w:cs="Arial"/>
          <w:b/>
          <w:caps/>
          <w:color w:val="000000"/>
        </w:rPr>
        <w:t>$</w:t>
      </w:r>
      <w:r w:rsidRPr="001F7D71">
        <w:rPr>
          <w:rFonts w:ascii="Arial" w:hAnsi="Arial" w:cs="Arial"/>
          <w:b/>
          <w:caps/>
          <w:color w:val="000000"/>
        </w:rPr>
        <w:t>)</w:t>
      </w:r>
    </w:p>
    <w:p w14:paraId="26C68BFD" w14:textId="77777777" w:rsidR="00C976B1" w:rsidRPr="00DE2EB7" w:rsidRDefault="00C976B1" w:rsidP="00C976B1">
      <w:pPr>
        <w:widowControl w:val="0"/>
        <w:autoSpaceDE w:val="0"/>
        <w:autoSpaceDN w:val="0"/>
        <w:adjustRightInd w:val="0"/>
        <w:jc w:val="center"/>
        <w:rPr>
          <w:rFonts w:ascii="Times" w:hAnsi="Times" w:cs="Times"/>
          <w:color w:val="000000"/>
          <w:sz w:val="17"/>
          <w:szCs w:val="17"/>
        </w:rPr>
      </w:pPr>
    </w:p>
    <w:tbl>
      <w:tblPr>
        <w:tblStyle w:val="TableGrid"/>
        <w:tblW w:w="0" w:type="auto"/>
        <w:jc w:val="center"/>
        <w:tblLook w:val="04A0" w:firstRow="1" w:lastRow="0" w:firstColumn="1" w:lastColumn="0" w:noHBand="0" w:noVBand="1"/>
      </w:tblPr>
      <w:tblGrid>
        <w:gridCol w:w="3033"/>
        <w:gridCol w:w="1147"/>
        <w:gridCol w:w="1438"/>
      </w:tblGrid>
      <w:tr w:rsidR="00C976B1" w:rsidRPr="00B740A4" w14:paraId="6E3BDCB8" w14:textId="77777777" w:rsidTr="00CE6610">
        <w:trPr>
          <w:trHeight w:val="20"/>
          <w:jc w:val="center"/>
        </w:trPr>
        <w:tc>
          <w:tcPr>
            <w:tcW w:w="3033" w:type="dxa"/>
            <w:shd w:val="clear" w:color="auto" w:fill="auto"/>
          </w:tcPr>
          <w:p w14:paraId="29F52C59"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Room Type (and Quantity)</w:t>
            </w:r>
          </w:p>
        </w:tc>
        <w:tc>
          <w:tcPr>
            <w:tcW w:w="1147" w:type="dxa"/>
            <w:shd w:val="clear" w:color="auto" w:fill="auto"/>
            <w:vAlign w:val="center"/>
          </w:tcPr>
          <w:p w14:paraId="3DB31817"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Meal Plan</w:t>
            </w:r>
          </w:p>
        </w:tc>
        <w:tc>
          <w:tcPr>
            <w:tcW w:w="1438" w:type="dxa"/>
            <w:shd w:val="clear" w:color="auto" w:fill="auto"/>
            <w:vAlign w:val="center"/>
          </w:tcPr>
          <w:p w14:paraId="1AB00851" w14:textId="77777777" w:rsidR="00C976B1" w:rsidRPr="00B740A4" w:rsidRDefault="00C976B1" w:rsidP="00CE6610">
            <w:pPr>
              <w:jc w:val="center"/>
              <w:rPr>
                <w:rFonts w:ascii="Arial" w:hAnsi="Arial" w:cs="Arial"/>
                <w:b/>
                <w:sz w:val="19"/>
                <w:szCs w:val="19"/>
              </w:rPr>
            </w:pPr>
            <w:r w:rsidRPr="00B740A4">
              <w:rPr>
                <w:rFonts w:ascii="Arial" w:hAnsi="Arial" w:cs="Arial"/>
                <w:b/>
                <w:sz w:val="19"/>
                <w:szCs w:val="19"/>
              </w:rPr>
              <w:t>Nightly Rate</w:t>
            </w:r>
          </w:p>
        </w:tc>
      </w:tr>
      <w:tr w:rsidR="00C976B1" w:rsidRPr="00B740A4" w14:paraId="617F9BBA" w14:textId="77777777" w:rsidTr="00CE6610">
        <w:trPr>
          <w:trHeight w:val="20"/>
          <w:jc w:val="center"/>
        </w:trPr>
        <w:tc>
          <w:tcPr>
            <w:tcW w:w="5618" w:type="dxa"/>
            <w:gridSpan w:val="3"/>
          </w:tcPr>
          <w:p w14:paraId="098F821F" w14:textId="77777777" w:rsidR="00C976B1" w:rsidRPr="00B740A4" w:rsidRDefault="00C976B1" w:rsidP="00CE6610">
            <w:pPr>
              <w:jc w:val="both"/>
              <w:rPr>
                <w:rFonts w:ascii="Arial" w:hAnsi="Arial" w:cs="Arial"/>
                <w:sz w:val="19"/>
                <w:szCs w:val="19"/>
              </w:rPr>
            </w:pPr>
            <w:r w:rsidRPr="00B740A4">
              <w:rPr>
                <w:rFonts w:ascii="Arial" w:hAnsi="Arial" w:cs="Arial"/>
                <w:b/>
                <w:sz w:val="19"/>
                <w:szCs w:val="19"/>
              </w:rPr>
              <w:t>Deluxe Rooms (32)</w:t>
            </w:r>
          </w:p>
        </w:tc>
      </w:tr>
      <w:tr w:rsidR="00C976B1" w:rsidRPr="00B740A4" w14:paraId="170CFA3A" w14:textId="77777777" w:rsidTr="00CE6610">
        <w:trPr>
          <w:trHeight w:val="20"/>
          <w:jc w:val="center"/>
        </w:trPr>
        <w:tc>
          <w:tcPr>
            <w:tcW w:w="3033" w:type="dxa"/>
          </w:tcPr>
          <w:p w14:paraId="77861ECF"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Single Occupancy</w:t>
            </w:r>
          </w:p>
        </w:tc>
        <w:tc>
          <w:tcPr>
            <w:tcW w:w="1147" w:type="dxa"/>
            <w:vAlign w:val="center"/>
          </w:tcPr>
          <w:p w14:paraId="6F58EF25"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41DB59B3"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95</w:t>
            </w:r>
          </w:p>
        </w:tc>
      </w:tr>
      <w:tr w:rsidR="00C976B1" w:rsidRPr="00B740A4" w14:paraId="045D574E" w14:textId="77777777" w:rsidTr="00CE6610">
        <w:trPr>
          <w:trHeight w:val="20"/>
          <w:jc w:val="center"/>
        </w:trPr>
        <w:tc>
          <w:tcPr>
            <w:tcW w:w="3033" w:type="dxa"/>
          </w:tcPr>
          <w:p w14:paraId="67E84082"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Double Occupancy</w:t>
            </w:r>
          </w:p>
        </w:tc>
        <w:tc>
          <w:tcPr>
            <w:tcW w:w="1147" w:type="dxa"/>
            <w:vAlign w:val="center"/>
          </w:tcPr>
          <w:p w14:paraId="53FFB954"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1475C042"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125</w:t>
            </w:r>
          </w:p>
        </w:tc>
      </w:tr>
      <w:tr w:rsidR="00C976B1" w:rsidRPr="00B740A4" w14:paraId="53AE072B" w14:textId="77777777" w:rsidTr="00CE6610">
        <w:trPr>
          <w:trHeight w:val="20"/>
          <w:jc w:val="center"/>
        </w:trPr>
        <w:tc>
          <w:tcPr>
            <w:tcW w:w="5618" w:type="dxa"/>
            <w:gridSpan w:val="3"/>
          </w:tcPr>
          <w:p w14:paraId="0BEB0F13" w14:textId="77777777" w:rsidR="00C976B1" w:rsidRPr="00B740A4" w:rsidRDefault="00C976B1" w:rsidP="00CE6610">
            <w:pPr>
              <w:jc w:val="both"/>
              <w:rPr>
                <w:rFonts w:ascii="Arial" w:hAnsi="Arial" w:cs="Arial"/>
                <w:sz w:val="19"/>
                <w:szCs w:val="19"/>
              </w:rPr>
            </w:pPr>
            <w:r w:rsidRPr="00B740A4">
              <w:rPr>
                <w:rFonts w:ascii="Arial" w:hAnsi="Arial" w:cs="Arial"/>
                <w:b/>
                <w:sz w:val="19"/>
                <w:szCs w:val="19"/>
              </w:rPr>
              <w:t>Lake View Rooms (33)</w:t>
            </w:r>
          </w:p>
        </w:tc>
      </w:tr>
      <w:tr w:rsidR="00C976B1" w:rsidRPr="00B740A4" w14:paraId="59195243" w14:textId="77777777" w:rsidTr="00CE6610">
        <w:trPr>
          <w:trHeight w:val="20"/>
          <w:jc w:val="center"/>
        </w:trPr>
        <w:tc>
          <w:tcPr>
            <w:tcW w:w="3033" w:type="dxa"/>
          </w:tcPr>
          <w:p w14:paraId="5655F076"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Single Occupancy</w:t>
            </w:r>
          </w:p>
        </w:tc>
        <w:tc>
          <w:tcPr>
            <w:tcW w:w="1147" w:type="dxa"/>
            <w:vAlign w:val="center"/>
          </w:tcPr>
          <w:p w14:paraId="39F6B1AA"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480A9595"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110</w:t>
            </w:r>
          </w:p>
        </w:tc>
      </w:tr>
      <w:tr w:rsidR="00C976B1" w:rsidRPr="00B740A4" w14:paraId="4B689367" w14:textId="77777777" w:rsidTr="00CE6610">
        <w:trPr>
          <w:trHeight w:val="20"/>
          <w:jc w:val="center"/>
        </w:trPr>
        <w:tc>
          <w:tcPr>
            <w:tcW w:w="3033" w:type="dxa"/>
          </w:tcPr>
          <w:p w14:paraId="3B75CC13"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Double Occupancy</w:t>
            </w:r>
          </w:p>
        </w:tc>
        <w:tc>
          <w:tcPr>
            <w:tcW w:w="1147" w:type="dxa"/>
            <w:vAlign w:val="center"/>
          </w:tcPr>
          <w:p w14:paraId="3122D8C8"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20E34F5E"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140</w:t>
            </w:r>
          </w:p>
        </w:tc>
      </w:tr>
      <w:tr w:rsidR="00C976B1" w:rsidRPr="00B740A4" w14:paraId="3DDE4543" w14:textId="77777777" w:rsidTr="00CE6610">
        <w:trPr>
          <w:trHeight w:val="20"/>
          <w:jc w:val="center"/>
        </w:trPr>
        <w:tc>
          <w:tcPr>
            <w:tcW w:w="5618" w:type="dxa"/>
            <w:gridSpan w:val="3"/>
          </w:tcPr>
          <w:p w14:paraId="05EBB07C" w14:textId="77777777" w:rsidR="00C976B1" w:rsidRPr="00B740A4" w:rsidRDefault="00C976B1" w:rsidP="00CE6610">
            <w:pPr>
              <w:jc w:val="both"/>
              <w:rPr>
                <w:rFonts w:ascii="Arial" w:hAnsi="Arial" w:cs="Arial"/>
                <w:sz w:val="19"/>
                <w:szCs w:val="19"/>
              </w:rPr>
            </w:pPr>
            <w:r w:rsidRPr="00B740A4">
              <w:rPr>
                <w:rFonts w:ascii="Arial" w:hAnsi="Arial" w:cs="Arial"/>
                <w:b/>
                <w:sz w:val="19"/>
                <w:szCs w:val="19"/>
              </w:rPr>
              <w:t>Executive Suite (5)</w:t>
            </w:r>
          </w:p>
        </w:tc>
      </w:tr>
      <w:tr w:rsidR="00C976B1" w:rsidRPr="00B740A4" w14:paraId="560D62F9" w14:textId="77777777" w:rsidTr="00CE6610">
        <w:trPr>
          <w:trHeight w:val="20"/>
          <w:jc w:val="center"/>
        </w:trPr>
        <w:tc>
          <w:tcPr>
            <w:tcW w:w="3033" w:type="dxa"/>
          </w:tcPr>
          <w:p w14:paraId="1313E85F"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Single Occupancy</w:t>
            </w:r>
          </w:p>
        </w:tc>
        <w:tc>
          <w:tcPr>
            <w:tcW w:w="1147" w:type="dxa"/>
            <w:vAlign w:val="center"/>
          </w:tcPr>
          <w:p w14:paraId="7DC62D7E"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36CC48B0"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140</w:t>
            </w:r>
          </w:p>
        </w:tc>
      </w:tr>
      <w:tr w:rsidR="00C976B1" w:rsidRPr="00B740A4" w14:paraId="7205A911" w14:textId="77777777" w:rsidTr="00CE6610">
        <w:trPr>
          <w:trHeight w:val="20"/>
          <w:jc w:val="center"/>
        </w:trPr>
        <w:tc>
          <w:tcPr>
            <w:tcW w:w="3033" w:type="dxa"/>
          </w:tcPr>
          <w:p w14:paraId="5A9ADEE5"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Double Occupancy</w:t>
            </w:r>
          </w:p>
        </w:tc>
        <w:tc>
          <w:tcPr>
            <w:tcW w:w="1147" w:type="dxa"/>
            <w:vAlign w:val="center"/>
          </w:tcPr>
          <w:p w14:paraId="0265DB60"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189D9FBC"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180</w:t>
            </w:r>
          </w:p>
        </w:tc>
      </w:tr>
      <w:tr w:rsidR="00C976B1" w:rsidRPr="00B740A4" w14:paraId="07B4BF87" w14:textId="77777777" w:rsidTr="00CE6610">
        <w:trPr>
          <w:trHeight w:val="20"/>
          <w:jc w:val="center"/>
        </w:trPr>
        <w:tc>
          <w:tcPr>
            <w:tcW w:w="5618" w:type="dxa"/>
            <w:gridSpan w:val="3"/>
          </w:tcPr>
          <w:p w14:paraId="5E33E3BD" w14:textId="77777777" w:rsidR="00C976B1" w:rsidRPr="00B740A4" w:rsidRDefault="00C976B1" w:rsidP="00CE6610">
            <w:pPr>
              <w:jc w:val="both"/>
              <w:rPr>
                <w:rFonts w:ascii="Arial" w:hAnsi="Arial" w:cs="Arial"/>
                <w:sz w:val="19"/>
                <w:szCs w:val="19"/>
              </w:rPr>
            </w:pPr>
            <w:r w:rsidRPr="00B740A4">
              <w:rPr>
                <w:rFonts w:ascii="Arial" w:hAnsi="Arial" w:cs="Arial"/>
                <w:b/>
                <w:sz w:val="19"/>
                <w:szCs w:val="19"/>
              </w:rPr>
              <w:t>Presidential Suite (2)</w:t>
            </w:r>
          </w:p>
        </w:tc>
      </w:tr>
      <w:tr w:rsidR="00C976B1" w:rsidRPr="00B740A4" w14:paraId="7790EE33" w14:textId="77777777" w:rsidTr="00CE6610">
        <w:trPr>
          <w:trHeight w:val="20"/>
          <w:jc w:val="center"/>
        </w:trPr>
        <w:tc>
          <w:tcPr>
            <w:tcW w:w="3033" w:type="dxa"/>
          </w:tcPr>
          <w:p w14:paraId="3C2446CE"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Single Occupancy</w:t>
            </w:r>
          </w:p>
        </w:tc>
        <w:tc>
          <w:tcPr>
            <w:tcW w:w="1147" w:type="dxa"/>
            <w:vAlign w:val="center"/>
          </w:tcPr>
          <w:p w14:paraId="56BD1F7B"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306D98F0"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900</w:t>
            </w:r>
          </w:p>
        </w:tc>
      </w:tr>
      <w:tr w:rsidR="00C976B1" w:rsidRPr="00B740A4" w14:paraId="1FD15077" w14:textId="77777777" w:rsidTr="00CE6610">
        <w:trPr>
          <w:trHeight w:val="20"/>
          <w:jc w:val="center"/>
        </w:trPr>
        <w:tc>
          <w:tcPr>
            <w:tcW w:w="3033" w:type="dxa"/>
          </w:tcPr>
          <w:p w14:paraId="0E0F1184"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Double Occupancy</w:t>
            </w:r>
          </w:p>
        </w:tc>
        <w:tc>
          <w:tcPr>
            <w:tcW w:w="1147" w:type="dxa"/>
            <w:vAlign w:val="center"/>
          </w:tcPr>
          <w:p w14:paraId="731FB982"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231CB826"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1,000</w:t>
            </w:r>
          </w:p>
        </w:tc>
      </w:tr>
      <w:tr w:rsidR="00C976B1" w:rsidRPr="00B740A4" w14:paraId="327DB66A" w14:textId="77777777" w:rsidTr="00CE6610">
        <w:trPr>
          <w:trHeight w:val="20"/>
          <w:jc w:val="center"/>
        </w:trPr>
        <w:tc>
          <w:tcPr>
            <w:tcW w:w="5618" w:type="dxa"/>
            <w:gridSpan w:val="3"/>
          </w:tcPr>
          <w:p w14:paraId="3C08A3B9" w14:textId="77777777" w:rsidR="00C976B1" w:rsidRPr="00B740A4" w:rsidRDefault="00C976B1" w:rsidP="00CE6610">
            <w:pPr>
              <w:jc w:val="both"/>
              <w:rPr>
                <w:rFonts w:ascii="Arial" w:hAnsi="Arial" w:cs="Arial"/>
                <w:sz w:val="19"/>
                <w:szCs w:val="19"/>
              </w:rPr>
            </w:pPr>
            <w:r w:rsidRPr="00B740A4">
              <w:rPr>
                <w:rFonts w:ascii="Arial" w:hAnsi="Arial" w:cs="Arial"/>
                <w:b/>
                <w:sz w:val="19"/>
                <w:szCs w:val="19"/>
              </w:rPr>
              <w:t>Business Suite (2)</w:t>
            </w:r>
          </w:p>
        </w:tc>
      </w:tr>
      <w:tr w:rsidR="00C976B1" w:rsidRPr="00B740A4" w14:paraId="1434ABF8" w14:textId="77777777" w:rsidTr="00CE6610">
        <w:trPr>
          <w:trHeight w:val="20"/>
          <w:jc w:val="center"/>
        </w:trPr>
        <w:tc>
          <w:tcPr>
            <w:tcW w:w="3033" w:type="dxa"/>
          </w:tcPr>
          <w:p w14:paraId="1BCBE1EB"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Single Occupancy</w:t>
            </w:r>
          </w:p>
        </w:tc>
        <w:tc>
          <w:tcPr>
            <w:tcW w:w="1147" w:type="dxa"/>
            <w:vAlign w:val="center"/>
          </w:tcPr>
          <w:p w14:paraId="77A6ACF0"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504578B6"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900</w:t>
            </w:r>
          </w:p>
        </w:tc>
      </w:tr>
      <w:tr w:rsidR="00C976B1" w:rsidRPr="00B740A4" w14:paraId="21FB75AE" w14:textId="77777777" w:rsidTr="00CE6610">
        <w:trPr>
          <w:trHeight w:val="20"/>
          <w:jc w:val="center"/>
        </w:trPr>
        <w:tc>
          <w:tcPr>
            <w:tcW w:w="3033" w:type="dxa"/>
          </w:tcPr>
          <w:p w14:paraId="43B6185E" w14:textId="77777777" w:rsidR="00C976B1" w:rsidRPr="00B740A4" w:rsidRDefault="00C976B1" w:rsidP="00CE6610">
            <w:pPr>
              <w:jc w:val="both"/>
              <w:rPr>
                <w:rFonts w:ascii="Arial" w:hAnsi="Arial" w:cs="Arial"/>
                <w:sz w:val="19"/>
                <w:szCs w:val="19"/>
              </w:rPr>
            </w:pPr>
            <w:r w:rsidRPr="00B740A4">
              <w:rPr>
                <w:rFonts w:ascii="Arial" w:hAnsi="Arial" w:cs="Arial"/>
                <w:sz w:val="19"/>
                <w:szCs w:val="19"/>
              </w:rPr>
              <w:t xml:space="preserve">     Double Occupancy</w:t>
            </w:r>
          </w:p>
        </w:tc>
        <w:tc>
          <w:tcPr>
            <w:tcW w:w="1147" w:type="dxa"/>
            <w:vAlign w:val="center"/>
          </w:tcPr>
          <w:p w14:paraId="3BD1AEBB"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76291AF1"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1,000</w:t>
            </w:r>
          </w:p>
        </w:tc>
      </w:tr>
      <w:tr w:rsidR="00C976B1" w:rsidRPr="00B740A4" w14:paraId="06D2DE0F" w14:textId="77777777" w:rsidTr="00CE6610">
        <w:trPr>
          <w:trHeight w:val="241"/>
          <w:jc w:val="center"/>
        </w:trPr>
        <w:tc>
          <w:tcPr>
            <w:tcW w:w="3033" w:type="dxa"/>
          </w:tcPr>
          <w:p w14:paraId="46DE5DDE" w14:textId="77777777" w:rsidR="00C976B1" w:rsidRPr="00B740A4" w:rsidRDefault="00C976B1" w:rsidP="00CE6610">
            <w:pPr>
              <w:jc w:val="both"/>
              <w:rPr>
                <w:rFonts w:ascii="Arial" w:hAnsi="Arial" w:cs="Arial"/>
                <w:b/>
                <w:sz w:val="19"/>
                <w:szCs w:val="19"/>
              </w:rPr>
            </w:pPr>
            <w:r w:rsidRPr="00B740A4">
              <w:rPr>
                <w:rFonts w:ascii="Arial" w:hAnsi="Arial" w:cs="Arial"/>
                <w:b/>
                <w:sz w:val="19"/>
                <w:szCs w:val="19"/>
              </w:rPr>
              <w:t>Family Room (6)</w:t>
            </w:r>
          </w:p>
        </w:tc>
        <w:tc>
          <w:tcPr>
            <w:tcW w:w="1147" w:type="dxa"/>
            <w:vAlign w:val="center"/>
          </w:tcPr>
          <w:p w14:paraId="5BC3D654" w14:textId="77777777" w:rsidR="00C976B1" w:rsidRPr="00B740A4" w:rsidRDefault="00C976B1" w:rsidP="00CE6610">
            <w:pPr>
              <w:jc w:val="center"/>
              <w:rPr>
                <w:rFonts w:ascii="Arial" w:hAnsi="Arial" w:cs="Arial"/>
                <w:sz w:val="19"/>
                <w:szCs w:val="19"/>
              </w:rPr>
            </w:pPr>
            <w:r w:rsidRPr="00B740A4">
              <w:rPr>
                <w:rFonts w:ascii="Arial" w:hAnsi="Arial" w:cs="Arial"/>
                <w:sz w:val="19"/>
                <w:szCs w:val="19"/>
              </w:rPr>
              <w:t>BB</w:t>
            </w:r>
          </w:p>
        </w:tc>
        <w:tc>
          <w:tcPr>
            <w:tcW w:w="1438" w:type="dxa"/>
            <w:vAlign w:val="center"/>
          </w:tcPr>
          <w:p w14:paraId="030235B4" w14:textId="77777777" w:rsidR="00C976B1" w:rsidRPr="00B740A4" w:rsidRDefault="00C976B1" w:rsidP="00CE6610">
            <w:pPr>
              <w:ind w:right="144"/>
              <w:jc w:val="right"/>
              <w:rPr>
                <w:rFonts w:ascii="Arial" w:hAnsi="Arial" w:cs="Arial"/>
                <w:sz w:val="19"/>
                <w:szCs w:val="19"/>
              </w:rPr>
            </w:pPr>
            <w:r w:rsidRPr="00B740A4">
              <w:rPr>
                <w:rFonts w:ascii="Arial" w:hAnsi="Arial" w:cs="Arial"/>
                <w:sz w:val="19"/>
                <w:szCs w:val="19"/>
              </w:rPr>
              <w:t>280</w:t>
            </w:r>
          </w:p>
        </w:tc>
      </w:tr>
    </w:tbl>
    <w:p w14:paraId="629DAA9C" w14:textId="77777777" w:rsidR="00C976B1" w:rsidRPr="00B740A4" w:rsidRDefault="00C976B1" w:rsidP="00C976B1">
      <w:pPr>
        <w:jc w:val="both"/>
        <w:rPr>
          <w:rFonts w:ascii="Arial" w:hAnsi="Arial" w:cs="Arial"/>
          <w:sz w:val="17"/>
          <w:szCs w:val="17"/>
        </w:rPr>
      </w:pPr>
    </w:p>
    <w:p w14:paraId="55A7063E" w14:textId="77777777" w:rsidR="00C976B1" w:rsidRPr="00DC7317" w:rsidRDefault="00C976B1" w:rsidP="00C976B1">
      <w:pPr>
        <w:widowControl w:val="0"/>
        <w:autoSpaceDE w:val="0"/>
        <w:autoSpaceDN w:val="0"/>
        <w:adjustRightInd w:val="0"/>
        <w:jc w:val="both"/>
        <w:rPr>
          <w:rFonts w:ascii="Arial" w:hAnsi="Arial" w:cs="Arial"/>
          <w:color w:val="000000"/>
          <w:sz w:val="18"/>
        </w:rPr>
      </w:pPr>
      <w:r w:rsidRPr="00DC7317">
        <w:rPr>
          <w:rFonts w:ascii="Arial" w:hAnsi="Arial" w:cs="Arial"/>
          <w:color w:val="000000"/>
          <w:sz w:val="18"/>
        </w:rPr>
        <w:t xml:space="preserve">All rooms were on a bed-and-breakfast basis. </w:t>
      </w:r>
    </w:p>
    <w:p w14:paraId="03A75271" w14:textId="77777777" w:rsidR="00C976B1" w:rsidRPr="00DC7317" w:rsidRDefault="00C976B1" w:rsidP="00C976B1">
      <w:pPr>
        <w:pStyle w:val="ListParagraph"/>
        <w:widowControl w:val="0"/>
        <w:numPr>
          <w:ilvl w:val="0"/>
          <w:numId w:val="1"/>
        </w:numPr>
        <w:tabs>
          <w:tab w:val="left" w:pos="220"/>
          <w:tab w:val="left" w:pos="720"/>
        </w:tabs>
        <w:autoSpaceDE w:val="0"/>
        <w:autoSpaceDN w:val="0"/>
        <w:adjustRightInd w:val="0"/>
        <w:rPr>
          <w:rFonts w:ascii="Arial" w:hAnsi="Arial" w:cs="Arial"/>
          <w:color w:val="000000"/>
          <w:sz w:val="18"/>
          <w:szCs w:val="20"/>
        </w:rPr>
      </w:pPr>
      <w:r w:rsidRPr="00DC7317">
        <w:rPr>
          <w:rFonts w:ascii="Arial" w:hAnsi="Arial" w:cs="Arial"/>
          <w:color w:val="000000"/>
          <w:sz w:val="18"/>
          <w:szCs w:val="20"/>
        </w:rPr>
        <w:t>Lunch only (buffet) US$15 (this rate did not include beverages)</w:t>
      </w:r>
    </w:p>
    <w:p w14:paraId="45126B54" w14:textId="77777777" w:rsidR="00C976B1" w:rsidRPr="00DC7317" w:rsidRDefault="00C976B1" w:rsidP="00C976B1">
      <w:pPr>
        <w:pStyle w:val="ListParagraph"/>
        <w:widowControl w:val="0"/>
        <w:numPr>
          <w:ilvl w:val="0"/>
          <w:numId w:val="1"/>
        </w:numPr>
        <w:tabs>
          <w:tab w:val="left" w:pos="220"/>
          <w:tab w:val="left" w:pos="720"/>
        </w:tabs>
        <w:autoSpaceDE w:val="0"/>
        <w:autoSpaceDN w:val="0"/>
        <w:adjustRightInd w:val="0"/>
        <w:rPr>
          <w:rFonts w:ascii="Arial" w:hAnsi="Arial" w:cs="Arial"/>
          <w:sz w:val="18"/>
          <w:szCs w:val="20"/>
        </w:rPr>
      </w:pPr>
      <w:r w:rsidRPr="00DC7317">
        <w:rPr>
          <w:rFonts w:ascii="Arial" w:hAnsi="Arial" w:cs="Arial"/>
          <w:color w:val="000000"/>
          <w:sz w:val="18"/>
          <w:szCs w:val="20"/>
        </w:rPr>
        <w:t>Dinner only (buffet) US$15 (this rate did not include beverages)</w:t>
      </w:r>
    </w:p>
    <w:p w14:paraId="6EAC4AC8" w14:textId="77777777" w:rsidR="00C976B1" w:rsidRDefault="00C976B1" w:rsidP="00C976B1">
      <w:pPr>
        <w:jc w:val="both"/>
        <w:rPr>
          <w:rFonts w:ascii="Arial" w:hAnsi="Arial" w:cs="Arial"/>
          <w:sz w:val="17"/>
          <w:szCs w:val="17"/>
        </w:rPr>
      </w:pPr>
    </w:p>
    <w:p w14:paraId="62BDCF9E" w14:textId="77777777" w:rsidR="00C976B1" w:rsidRPr="00DE2EB7" w:rsidRDefault="00C976B1" w:rsidP="00C976B1">
      <w:pPr>
        <w:jc w:val="both"/>
        <w:rPr>
          <w:rFonts w:ascii="Arial" w:hAnsi="Arial" w:cs="Arial"/>
          <w:sz w:val="17"/>
          <w:szCs w:val="17"/>
        </w:rPr>
      </w:pPr>
      <w:r>
        <w:rPr>
          <w:rFonts w:ascii="Arial" w:hAnsi="Arial" w:cs="Arial"/>
          <w:sz w:val="17"/>
          <w:szCs w:val="17"/>
        </w:rPr>
        <w:t>Note: BB = bed and breakfast</w:t>
      </w:r>
    </w:p>
    <w:p w14:paraId="005EA3E2" w14:textId="1D80795C" w:rsidR="004B632F" w:rsidRPr="00DC7317" w:rsidRDefault="00C976B1" w:rsidP="00DC7317">
      <w:pPr>
        <w:jc w:val="both"/>
        <w:rPr>
          <w:rFonts w:ascii="Arial" w:hAnsi="Arial" w:cs="Arial"/>
        </w:rPr>
      </w:pPr>
      <w:r w:rsidRPr="00DE2EB7">
        <w:rPr>
          <w:rFonts w:ascii="Arial" w:hAnsi="Arial" w:cs="Arial"/>
          <w:sz w:val="17"/>
          <w:szCs w:val="17"/>
        </w:rPr>
        <w:t>Source: Company files</w:t>
      </w:r>
      <w:r w:rsidR="00BF6746">
        <w:rPr>
          <w:rFonts w:ascii="Arial" w:hAnsi="Arial" w:cs="Arial"/>
          <w:sz w:val="17"/>
          <w:szCs w:val="17"/>
        </w:rPr>
        <w:t>.</w:t>
      </w:r>
    </w:p>
    <w:sectPr w:rsidR="004B632F" w:rsidRPr="00DC7317" w:rsidSect="00751E0B">
      <w:headerReference w:type="default" r:id="rId14"/>
      <w:pgSz w:w="12240" w:h="15840" w:code="1"/>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A04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2A82" w14:textId="77777777" w:rsidR="00711642" w:rsidRDefault="00711642" w:rsidP="00D75295">
      <w:r>
        <w:separator/>
      </w:r>
    </w:p>
  </w:endnote>
  <w:endnote w:type="continuationSeparator" w:id="0">
    <w:p w14:paraId="789DBA3B" w14:textId="77777777"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4A7BE" w14:textId="77777777" w:rsidR="00711642" w:rsidRDefault="00711642" w:rsidP="00D75295">
      <w:r>
        <w:separator/>
      </w:r>
    </w:p>
  </w:footnote>
  <w:footnote w:type="continuationSeparator" w:id="0">
    <w:p w14:paraId="7DBF7671" w14:textId="77777777" w:rsidR="00711642" w:rsidRDefault="00711642" w:rsidP="00D75295">
      <w:r>
        <w:continuationSeparator/>
      </w:r>
    </w:p>
  </w:footnote>
  <w:footnote w:id="1">
    <w:p w14:paraId="7BDBE2AC" w14:textId="1CCCF097" w:rsidR="00C976B1" w:rsidRPr="00172D15" w:rsidRDefault="00C976B1" w:rsidP="00FD41B4">
      <w:pPr>
        <w:pStyle w:val="FootnoteText1"/>
        <w:rPr>
          <w:color w:val="000000"/>
        </w:rPr>
      </w:pPr>
      <w:r w:rsidRPr="00803FE4">
        <w:rPr>
          <w:rStyle w:val="FootnoteReference"/>
        </w:rPr>
        <w:footnoteRef/>
      </w:r>
      <w:r w:rsidRPr="00803FE4">
        <w:t xml:space="preserve"> “Population, </w:t>
      </w:r>
      <w:r w:rsidRPr="00172D15">
        <w:t xml:space="preserve">Total,” The World Bank: Data, accessed May 20, 2015, </w:t>
      </w:r>
      <w:r w:rsidRPr="00172D15">
        <w:rPr>
          <w:color w:val="000000"/>
        </w:rPr>
        <w:t>http://data.world</w:t>
      </w:r>
      <w:r w:rsidR="0069746E">
        <w:rPr>
          <w:color w:val="000000"/>
        </w:rPr>
        <w:t>bank.org/indicator/SP.POP.TOTL.</w:t>
      </w:r>
    </w:p>
  </w:footnote>
  <w:footnote w:id="2">
    <w:p w14:paraId="3D93DD8A" w14:textId="77777777" w:rsidR="00C976B1" w:rsidRPr="00172D15" w:rsidRDefault="00C976B1" w:rsidP="00FD41B4">
      <w:pPr>
        <w:pStyle w:val="FootnoteText1"/>
        <w:rPr>
          <w:color w:val="000000"/>
        </w:rPr>
      </w:pPr>
      <w:r w:rsidRPr="00172D15">
        <w:rPr>
          <w:rStyle w:val="FootnoteReference"/>
          <w:sz w:val="16"/>
        </w:rPr>
        <w:footnoteRef/>
      </w:r>
      <w:r w:rsidRPr="00172D15">
        <w:t xml:space="preserve"> </w:t>
      </w:r>
      <w:r w:rsidRPr="00172D15">
        <w:rPr>
          <w:color w:val="000000"/>
        </w:rPr>
        <w:t>Ibid.</w:t>
      </w:r>
    </w:p>
  </w:footnote>
  <w:footnote w:id="3">
    <w:p w14:paraId="6CA6D71D" w14:textId="77777777" w:rsidR="00C976B1" w:rsidRPr="00FD41B4" w:rsidRDefault="00C976B1" w:rsidP="00FD41B4">
      <w:pPr>
        <w:pStyle w:val="FootnoteText1"/>
      </w:pPr>
      <w:r w:rsidRPr="00172D15">
        <w:rPr>
          <w:rStyle w:val="FootnoteReference"/>
          <w:sz w:val="16"/>
        </w:rPr>
        <w:footnoteRef/>
      </w:r>
      <w:r w:rsidRPr="00172D15">
        <w:rPr>
          <w:color w:val="000000"/>
        </w:rPr>
        <w:t xml:space="preserve"> </w:t>
      </w:r>
      <w:r w:rsidRPr="00FD41B4">
        <w:t>“Tanzanian Economy,” United Republic of Tanzania: Government Portal, last updated October 2, 2015, accessed May 19, 2015, www.tanzania.go.tz/home/pages/29; “Tourism,” United Republic of Tanzania: Government Portal, last updated October 7, 2015, accessed May 10, 2015, www.tanzania.go.tz/home/pages/210.</w:t>
      </w:r>
      <w:r w:rsidRPr="00FD41B4">
        <w:rPr>
          <w:rFonts w:eastAsia="MS Gothic" w:hint="eastAsia"/>
        </w:rPr>
        <w:t> </w:t>
      </w:r>
    </w:p>
  </w:footnote>
  <w:footnote w:id="4">
    <w:p w14:paraId="57976786" w14:textId="77777777" w:rsidR="00C976B1" w:rsidRPr="00172D15" w:rsidRDefault="00C976B1" w:rsidP="00FD41B4">
      <w:pPr>
        <w:pStyle w:val="FootnoteText1"/>
        <w:rPr>
          <w:lang w:val="en-CA"/>
        </w:rPr>
      </w:pPr>
      <w:r w:rsidRPr="00172D15">
        <w:rPr>
          <w:rStyle w:val="FootnoteReference"/>
          <w:sz w:val="16"/>
        </w:rPr>
        <w:footnoteRef/>
      </w:r>
      <w:r w:rsidRPr="00172D15">
        <w:t xml:space="preserve"> </w:t>
      </w:r>
      <w:r w:rsidRPr="00172D15">
        <w:rPr>
          <w:lang w:val="en-CA"/>
        </w:rPr>
        <w:t>All currency amounts are in US$ unless otherwise specified.</w:t>
      </w:r>
    </w:p>
  </w:footnote>
  <w:footnote w:id="5">
    <w:p w14:paraId="666B6069" w14:textId="77777777" w:rsidR="00C976B1" w:rsidRPr="00172D15" w:rsidRDefault="00C976B1" w:rsidP="00FD41B4">
      <w:pPr>
        <w:pStyle w:val="FootnoteText1"/>
        <w:rPr>
          <w:color w:val="000000"/>
        </w:rPr>
      </w:pPr>
      <w:r w:rsidRPr="00172D15">
        <w:rPr>
          <w:rStyle w:val="FootnoteReference"/>
          <w:sz w:val="16"/>
        </w:rPr>
        <w:footnoteRef/>
      </w:r>
      <w:r w:rsidRPr="00172D15">
        <w:t xml:space="preserve"> </w:t>
      </w:r>
      <w:proofErr w:type="gramStart"/>
      <w:r w:rsidRPr="00172D15">
        <w:rPr>
          <w:color w:val="000000"/>
        </w:rPr>
        <w:t>“Tourism,” op. cit.</w:t>
      </w:r>
      <w:proofErr w:type="gramEnd"/>
    </w:p>
  </w:footnote>
  <w:footnote w:id="6">
    <w:p w14:paraId="17101AC9" w14:textId="5FE04ACA" w:rsidR="003629B9" w:rsidRPr="00172D15" w:rsidRDefault="00C976B1" w:rsidP="00FD41B4">
      <w:pPr>
        <w:pStyle w:val="FootnoteText1"/>
        <w:rPr>
          <w:rFonts w:ascii="MS Gothic" w:eastAsia="MS Gothic" w:hAnsi="MS Gothic" w:cs="MS Gothic"/>
          <w:color w:val="000000"/>
        </w:rPr>
      </w:pPr>
      <w:r w:rsidRPr="00172D15">
        <w:rPr>
          <w:rStyle w:val="FootnoteReference"/>
          <w:sz w:val="16"/>
        </w:rPr>
        <w:footnoteRef/>
      </w:r>
      <w:r w:rsidRPr="00172D15">
        <w:t xml:space="preserve"> </w:t>
      </w:r>
      <w:proofErr w:type="spellStart"/>
      <w:r w:rsidRPr="00172D15">
        <w:t>Sturmius</w:t>
      </w:r>
      <w:proofErr w:type="spellEnd"/>
      <w:r w:rsidRPr="00172D15">
        <w:t xml:space="preserve"> </w:t>
      </w:r>
      <w:proofErr w:type="spellStart"/>
      <w:r w:rsidRPr="00172D15">
        <w:t>Mtweve</w:t>
      </w:r>
      <w:proofErr w:type="spellEnd"/>
      <w:r w:rsidRPr="00172D15">
        <w:t xml:space="preserve">, “Tanzania’s Internet Users Hit 9m,” </w:t>
      </w:r>
      <w:r w:rsidRPr="00172D15">
        <w:rPr>
          <w:i/>
        </w:rPr>
        <w:t>The Citizen</w:t>
      </w:r>
      <w:r w:rsidRPr="00172D15">
        <w:t xml:space="preserve">, March 23, 2014, accessed May 29, 2015, </w:t>
      </w:r>
      <w:r w:rsidRPr="00172D15">
        <w:rPr>
          <w:color w:val="000000"/>
        </w:rPr>
        <w:t>www.thecitizen.co.tz/Business/Tanzania-s-Internet-users-hit-9m/-/1840414/2254676/-/dgt0ps/-/index.html.</w:t>
      </w:r>
      <w:r w:rsidRPr="00172D15">
        <w:rPr>
          <w:rFonts w:ascii="MS Gothic" w:eastAsia="MS Gothic" w:hAnsi="MS Gothic" w:cs="MS Gothic" w:hint="eastAsia"/>
          <w:color w:val="000000"/>
        </w:rPr>
        <w:t> </w:t>
      </w:r>
    </w:p>
  </w:footnote>
  <w:footnote w:id="7">
    <w:p w14:paraId="05BE153F" w14:textId="77777777" w:rsidR="00C976B1" w:rsidRPr="00803FE4" w:rsidRDefault="00C976B1" w:rsidP="00FD41B4">
      <w:pPr>
        <w:pStyle w:val="FootnoteText1"/>
        <w:rPr>
          <w:color w:val="000000"/>
        </w:rPr>
      </w:pPr>
      <w:r w:rsidRPr="00172D15">
        <w:rPr>
          <w:rStyle w:val="FootnoteReference"/>
          <w:sz w:val="16"/>
        </w:rPr>
        <w:footnoteRef/>
      </w:r>
      <w:r w:rsidRPr="00172D15">
        <w:t xml:space="preserve"> “The World Bank </w:t>
      </w:r>
      <w:r w:rsidRPr="00803FE4">
        <w:t>in Tanzania: Overview,” The World Bank</w:t>
      </w:r>
      <w:r>
        <w:t>: Where We Work</w:t>
      </w:r>
      <w:r w:rsidRPr="00803FE4">
        <w:t xml:space="preserve">, accessed June 5, 2015, </w:t>
      </w:r>
      <w:r w:rsidRPr="00803FE4">
        <w:rPr>
          <w:color w:val="000000"/>
        </w:rPr>
        <w:t>www.worldbank.org/en/country/tanzania/overview.</w:t>
      </w:r>
    </w:p>
  </w:footnote>
  <w:footnote w:id="8">
    <w:p w14:paraId="6841B5DA" w14:textId="77777777" w:rsidR="00C976B1" w:rsidRPr="00803FE4" w:rsidRDefault="00C976B1" w:rsidP="00C976B1">
      <w:pPr>
        <w:widowControl w:val="0"/>
        <w:autoSpaceDE w:val="0"/>
        <w:autoSpaceDN w:val="0"/>
        <w:adjustRightInd w:val="0"/>
        <w:rPr>
          <w:rFonts w:ascii="Arial" w:hAnsi="Arial" w:cs="Arial"/>
          <w:color w:val="000000"/>
          <w:sz w:val="17"/>
          <w:szCs w:val="17"/>
        </w:rPr>
      </w:pPr>
      <w:r w:rsidRPr="00803FE4">
        <w:rPr>
          <w:rStyle w:val="FootnoteReference"/>
          <w:rFonts w:ascii="Arial" w:hAnsi="Arial" w:cs="Arial"/>
          <w:sz w:val="17"/>
          <w:szCs w:val="17"/>
        </w:rPr>
        <w:footnoteRef/>
      </w:r>
      <w:r w:rsidRPr="00803FE4">
        <w:rPr>
          <w:rFonts w:ascii="Arial" w:hAnsi="Arial" w:cs="Arial"/>
          <w:sz w:val="17"/>
          <w:szCs w:val="17"/>
        </w:rPr>
        <w:t xml:space="preserve"> Interview with the </w:t>
      </w:r>
      <w:r w:rsidRPr="00803FE4">
        <w:rPr>
          <w:rFonts w:ascii="Arial" w:hAnsi="Arial" w:cs="Arial"/>
          <w:color w:val="000000"/>
          <w:sz w:val="17"/>
          <w:szCs w:val="17"/>
        </w:rPr>
        <w:t xml:space="preserve">company conducted May 13, 2015. </w:t>
      </w:r>
    </w:p>
  </w:footnote>
  <w:footnote w:id="9">
    <w:p w14:paraId="3BEA4D3A" w14:textId="16C4FD81" w:rsidR="00C976B1" w:rsidRPr="00FD41B4" w:rsidRDefault="00C976B1" w:rsidP="00FD41B4">
      <w:pPr>
        <w:pStyle w:val="FootnoteText1"/>
      </w:pPr>
      <w:r w:rsidRPr="00803FE4">
        <w:rPr>
          <w:rStyle w:val="FootnoteReference"/>
        </w:rPr>
        <w:footnoteRef/>
      </w:r>
      <w:r w:rsidRPr="00803FE4">
        <w:t xml:space="preserve"> </w:t>
      </w:r>
      <w:r w:rsidRPr="00FD41B4">
        <w:t xml:space="preserve">The United Republic of Tanzania, Prime Minister’s Office, Mwanza Investment Profile 2013, 4, October 2013, accessed June 10, 2015, </w:t>
      </w:r>
      <w:hyperlink r:id="rId1" w:history="1">
        <w:r w:rsidR="00FD41B4" w:rsidRPr="00FD41B4">
          <w:t>http://esrf.or.tz/docs/MwanzaRegionInvestementGuide.pdf</w:t>
        </w:r>
      </w:hyperlink>
      <w:r w:rsidRPr="00FD41B4">
        <w:t>1.</w:t>
      </w:r>
    </w:p>
  </w:footnote>
  <w:footnote w:id="10">
    <w:p w14:paraId="26A18C87" w14:textId="77777777" w:rsidR="00C976B1" w:rsidRPr="00803FE4" w:rsidRDefault="00C976B1" w:rsidP="00FD41B4">
      <w:pPr>
        <w:pStyle w:val="FootnoteText1"/>
      </w:pPr>
      <w:r w:rsidRPr="00803FE4">
        <w:rPr>
          <w:rStyle w:val="FootnoteReference"/>
        </w:rPr>
        <w:footnoteRef/>
      </w:r>
      <w:r w:rsidRPr="00803FE4">
        <w:t xml:space="preserve"> “About TANAPA”, </w:t>
      </w:r>
      <w:r>
        <w:t xml:space="preserve">Tanzania National Parks: Sustainable Conservation for </w:t>
      </w:r>
      <w:proofErr w:type="gramStart"/>
      <w:r>
        <w:t>Development,</w:t>
      </w:r>
      <w:proofErr w:type="gramEnd"/>
      <w:r>
        <w:t xml:space="preserve"> </w:t>
      </w:r>
      <w:r w:rsidRPr="00803FE4">
        <w:t>accessed May 23, 2015, www.tanzaniaparks.go.tz/index.php/2016-02-03-12-30-54/2016-02-03-12-31-41</w:t>
      </w:r>
      <w:r>
        <w:t>.</w:t>
      </w:r>
    </w:p>
  </w:footnote>
  <w:footnote w:id="11">
    <w:p w14:paraId="1E98E472" w14:textId="77777777" w:rsidR="00C976B1" w:rsidRPr="001E584B" w:rsidRDefault="00C976B1" w:rsidP="00FD41B4">
      <w:pPr>
        <w:pStyle w:val="FootnoteText1"/>
      </w:pPr>
      <w:r w:rsidRPr="001E584B">
        <w:rPr>
          <w:rStyle w:val="FootnoteReference"/>
        </w:rPr>
        <w:footnoteRef/>
      </w:r>
      <w:r w:rsidRPr="001E584B">
        <w:t xml:space="preserve"> There were over 256 tour operators from both </w:t>
      </w:r>
      <w:r>
        <w:t>m</w:t>
      </w:r>
      <w:r w:rsidRPr="001E584B">
        <w:t>ainland Tanzania and Zanzibar</w:t>
      </w:r>
      <w:r>
        <w:t>;</w:t>
      </w:r>
      <w:r w:rsidRPr="001E584B">
        <w:t xml:space="preserve"> </w:t>
      </w:r>
      <w:r>
        <w:t>“About Us,” Tanzania Association of Tour Operators, accessed May 12, 2015,</w:t>
      </w:r>
      <w:r w:rsidRPr="001E584B">
        <w:t xml:space="preserve"> www.tatotz.org. </w:t>
      </w:r>
    </w:p>
  </w:footnote>
  <w:footnote w:id="12">
    <w:p w14:paraId="6A80B53D" w14:textId="77777777" w:rsidR="00C976B1" w:rsidRPr="00901FE6" w:rsidRDefault="00C976B1" w:rsidP="00FD41B4">
      <w:pPr>
        <w:pStyle w:val="FootnoteText1"/>
      </w:pPr>
      <w:r w:rsidRPr="00901FE6">
        <w:rPr>
          <w:rStyle w:val="FootnoteReference"/>
        </w:rPr>
        <w:footnoteRef/>
      </w:r>
      <w:r w:rsidRPr="00901FE6">
        <w:t xml:space="preserve"> </w:t>
      </w:r>
      <w:r>
        <w:t>This amount a</w:t>
      </w:r>
      <w:r w:rsidRPr="00901FE6">
        <w:t>ssum</w:t>
      </w:r>
      <w:r>
        <w:t>ed</w:t>
      </w:r>
      <w:r w:rsidRPr="00901FE6">
        <w:t xml:space="preserve"> </w:t>
      </w:r>
      <w:r>
        <w:t>four</w:t>
      </w:r>
      <w:r w:rsidRPr="00901FE6">
        <w:t xml:space="preserve"> weekends in a month</w:t>
      </w:r>
      <w:r>
        <w:t>.</w:t>
      </w:r>
      <w:r w:rsidRPr="00901FE6">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506A0" w14:textId="2AD70B2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F6746">
      <w:rPr>
        <w:rFonts w:ascii="Arial" w:hAnsi="Arial"/>
        <w:b/>
        <w:noProof/>
      </w:rPr>
      <w:t>2</w:t>
    </w:r>
    <w:r>
      <w:rPr>
        <w:rFonts w:ascii="Arial" w:hAnsi="Arial"/>
        <w:b/>
      </w:rPr>
      <w:fldChar w:fldCharType="end"/>
    </w:r>
    <w:r>
      <w:rPr>
        <w:rFonts w:ascii="Arial" w:hAnsi="Arial"/>
        <w:b/>
      </w:rPr>
      <w:tab/>
    </w:r>
    <w:r w:rsidR="00FD41B4">
      <w:rPr>
        <w:rFonts w:ascii="Arial" w:hAnsi="Arial"/>
        <w:b/>
      </w:rPr>
      <w:t>9B18A028</w:t>
    </w:r>
  </w:p>
  <w:p w14:paraId="3C7BDA07" w14:textId="77777777" w:rsidR="00D13667" w:rsidRDefault="00D13667" w:rsidP="00D13667">
    <w:pPr>
      <w:pStyle w:val="Header"/>
      <w:tabs>
        <w:tab w:val="clear" w:pos="4680"/>
      </w:tabs>
      <w:rPr>
        <w:sz w:val="18"/>
        <w:szCs w:val="18"/>
      </w:rPr>
    </w:pPr>
  </w:p>
  <w:p w14:paraId="76681754"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120B"/>
    <w:multiLevelType w:val="hybridMultilevel"/>
    <w:tmpl w:val="C164A29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C2CF0"/>
    <w:rsid w:val="000D7091"/>
    <w:rsid w:val="000F0C22"/>
    <w:rsid w:val="000F6B09"/>
    <w:rsid w:val="000F6FDC"/>
    <w:rsid w:val="00104567"/>
    <w:rsid w:val="00104916"/>
    <w:rsid w:val="00104AA7"/>
    <w:rsid w:val="0012732D"/>
    <w:rsid w:val="00143F25"/>
    <w:rsid w:val="00152682"/>
    <w:rsid w:val="00154FC9"/>
    <w:rsid w:val="00172D15"/>
    <w:rsid w:val="0019241A"/>
    <w:rsid w:val="001A22D1"/>
    <w:rsid w:val="001A752D"/>
    <w:rsid w:val="001A757E"/>
    <w:rsid w:val="001B5032"/>
    <w:rsid w:val="001C7777"/>
    <w:rsid w:val="001E364F"/>
    <w:rsid w:val="001F4222"/>
    <w:rsid w:val="00203AA1"/>
    <w:rsid w:val="00213E98"/>
    <w:rsid w:val="0023081A"/>
    <w:rsid w:val="002E7B1D"/>
    <w:rsid w:val="002F460C"/>
    <w:rsid w:val="002F48D6"/>
    <w:rsid w:val="00317391"/>
    <w:rsid w:val="00326216"/>
    <w:rsid w:val="00336580"/>
    <w:rsid w:val="00354899"/>
    <w:rsid w:val="00355FD6"/>
    <w:rsid w:val="003629B9"/>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5181"/>
    <w:rsid w:val="00566771"/>
    <w:rsid w:val="00581E2E"/>
    <w:rsid w:val="00584F15"/>
    <w:rsid w:val="0059514B"/>
    <w:rsid w:val="005A1B0F"/>
    <w:rsid w:val="006163F7"/>
    <w:rsid w:val="00627C63"/>
    <w:rsid w:val="0063350B"/>
    <w:rsid w:val="00652606"/>
    <w:rsid w:val="006946EE"/>
    <w:rsid w:val="0069746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73977"/>
    <w:rsid w:val="00877111"/>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C7C95"/>
    <w:rsid w:val="00BD6EFB"/>
    <w:rsid w:val="00BF6746"/>
    <w:rsid w:val="00C1584D"/>
    <w:rsid w:val="00C15BE2"/>
    <w:rsid w:val="00C3447F"/>
    <w:rsid w:val="00C67102"/>
    <w:rsid w:val="00C81491"/>
    <w:rsid w:val="00C81676"/>
    <w:rsid w:val="00C85C5D"/>
    <w:rsid w:val="00C92CC4"/>
    <w:rsid w:val="00C976B1"/>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731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C24A0"/>
    <w:rsid w:val="00FD0B18"/>
    <w:rsid w:val="00FD2FAD"/>
    <w:rsid w:val="00FD41B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6942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D41B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D41B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srf.or.tz/docs/MwanzaRegionInvestement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1E3A7-F351-4661-9A64-2E30F1F1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16</cp:revision>
  <cp:lastPrinted>2015-03-04T20:34:00Z</cp:lastPrinted>
  <dcterms:created xsi:type="dcterms:W3CDTF">2018-04-18T18:45:00Z</dcterms:created>
  <dcterms:modified xsi:type="dcterms:W3CDTF">2018-07-12T18:48:00Z</dcterms:modified>
</cp:coreProperties>
</file>