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80"/>
        <w:gridCol w:w="4788"/>
      </w:tblGrid>
      <w:tr w:rsidR="00D50264" w14:paraId="06F2A89D" w14:textId="77777777" w:rsidTr="00735B78">
        <w:tc>
          <w:tcPr>
            <w:tcW w:w="4680" w:type="dxa"/>
            <w:shd w:val="clear" w:color="auto" w:fill="auto"/>
          </w:tcPr>
          <w:p w14:paraId="45003351" w14:textId="51B25D1C" w:rsidR="00D50264" w:rsidRPr="00183661" w:rsidRDefault="00D50264" w:rsidP="00735B78">
            <w:pPr>
              <w:pStyle w:val="Casehead2"/>
            </w:pPr>
            <w:r>
              <w:rPr>
                <w:noProof/>
              </w:rPr>
              <w:drawing>
                <wp:inline distT="0" distB="0" distL="0" distR="0" wp14:anchorId="5CFD93E0" wp14:editId="3AD67E26">
                  <wp:extent cx="2611755"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33BD79B3" w14:textId="77777777" w:rsidR="00D50264" w:rsidRPr="00183661" w:rsidRDefault="00735B78" w:rsidP="00735B78">
            <w:pPr>
              <w:tabs>
                <w:tab w:val="left" w:pos="-1440"/>
                <w:tab w:val="left" w:pos="-720"/>
                <w:tab w:val="left" w:pos="1"/>
              </w:tabs>
              <w:jc w:val="right"/>
              <w:rPr>
                <w:rFonts w:ascii="Arial" w:hAnsi="Arial" w:cs="Calibri"/>
                <w:b/>
                <w:sz w:val="24"/>
              </w:rPr>
            </w:pPr>
            <w:r>
              <w:rPr>
                <w:rFonts w:asciiTheme="minorHAnsi" w:hAnsiTheme="minorHAnsi"/>
                <w:sz w:val="3276"/>
              </w:rPr>
            </w:r>
            <w:r>
              <w:rPr>
                <w:rFonts w:asciiTheme="minorHAnsi" w:hAnsiTheme="minorHAnsi"/>
                <w:sz w:val="3276"/>
              </w:rPr>
              <w:pict w14:anchorId="071ED5E4">
                <v:group id="Canvas 6" o:spid="_x0000_s1026" editas="canvas" style="width:162.45pt;height:34pt;mso-position-horizontal-relative:char;mso-position-vertical-relative:line" coordsize="20631,4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
                    <v:fill o:detectmouseclick="t"/>
                    <v:path o:connecttype="none"/>
                  </v:shape>
                  <v:shape id="Picture 5" o:spid="_x0000_s1028" type="#_x0000_t75" style="position:absolute;left:-323;top:-768;width:22135;height:53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9" o:title="" grayscale="t"/>
                  </v:shape>
                  <w10:wrap type="none"/>
                  <w10:anchorlock/>
                </v:group>
              </w:pict>
            </w:r>
          </w:p>
        </w:tc>
      </w:tr>
    </w:tbl>
    <w:p w14:paraId="5D2673AF" w14:textId="26F1E5DD" w:rsidR="006A218B" w:rsidRPr="00D50264" w:rsidRDefault="006A218B" w:rsidP="008467D5">
      <w:pPr>
        <w:pBdr>
          <w:bottom w:val="single" w:sz="18" w:space="1" w:color="auto"/>
        </w:pBdr>
        <w:tabs>
          <w:tab w:val="left" w:pos="-1440"/>
          <w:tab w:val="left" w:pos="-720"/>
          <w:tab w:val="left" w:pos="1"/>
        </w:tabs>
        <w:jc w:val="both"/>
        <w:rPr>
          <w:rFonts w:ascii="Arial" w:hAnsi="Arial"/>
          <w:b/>
          <w:noProof/>
          <w:sz w:val="2"/>
          <w:szCs w:val="2"/>
          <w:lang w:val="en-GB"/>
        </w:rPr>
      </w:pPr>
    </w:p>
    <w:p w14:paraId="2730FB89" w14:textId="6FD368F5" w:rsidR="00D75295" w:rsidRPr="00E93126" w:rsidRDefault="002A1025" w:rsidP="00733495">
      <w:pPr>
        <w:pStyle w:val="ProductNumber"/>
        <w:outlineLvl w:val="0"/>
        <w:rPr>
          <w:lang w:val="en-GB"/>
        </w:rPr>
      </w:pPr>
      <w:r>
        <w:rPr>
          <w:lang w:val="en-GB"/>
        </w:rPr>
        <w:t>9B18A033</w:t>
      </w:r>
    </w:p>
    <w:p w14:paraId="1D2E6D05" w14:textId="77777777" w:rsidR="00D75295" w:rsidRPr="00E93126" w:rsidRDefault="00D75295" w:rsidP="00D75295">
      <w:pPr>
        <w:jc w:val="right"/>
        <w:rPr>
          <w:rFonts w:ascii="Arial" w:hAnsi="Arial"/>
          <w:b/>
          <w:sz w:val="28"/>
          <w:szCs w:val="28"/>
          <w:lang w:val="en-GB"/>
        </w:rPr>
      </w:pPr>
    </w:p>
    <w:p w14:paraId="19191FC7" w14:textId="77777777" w:rsidR="00013360" w:rsidRPr="00E93126" w:rsidRDefault="00013360" w:rsidP="00D75295">
      <w:pPr>
        <w:jc w:val="right"/>
        <w:rPr>
          <w:rFonts w:ascii="Arial" w:hAnsi="Arial"/>
          <w:b/>
          <w:sz w:val="28"/>
          <w:szCs w:val="28"/>
          <w:lang w:val="en-GB"/>
        </w:rPr>
      </w:pPr>
    </w:p>
    <w:p w14:paraId="73E4C94A" w14:textId="77777777" w:rsidR="00013360" w:rsidRPr="00E93126" w:rsidRDefault="006A218B" w:rsidP="00013360">
      <w:pPr>
        <w:pStyle w:val="CaseTitle"/>
        <w:spacing w:after="0" w:line="240" w:lineRule="auto"/>
        <w:rPr>
          <w:sz w:val="20"/>
          <w:szCs w:val="20"/>
          <w:lang w:val="en-GB"/>
        </w:rPr>
      </w:pPr>
      <w:r w:rsidRPr="00E93126">
        <w:rPr>
          <w:rFonts w:eastAsia="Times New Roman"/>
          <w:szCs w:val="20"/>
          <w:lang w:val="en-GB"/>
        </w:rPr>
        <w:t>FAIRDEAL APPLIANCES: MANAGING the DEALER NETWORK FOR OPTIMAL SALES</w:t>
      </w:r>
    </w:p>
    <w:p w14:paraId="2B0B1E56" w14:textId="77777777" w:rsidR="00CA3976" w:rsidRPr="00E93126" w:rsidRDefault="00CA3976" w:rsidP="00013360">
      <w:pPr>
        <w:pStyle w:val="CaseTitle"/>
        <w:spacing w:after="0" w:line="240" w:lineRule="auto"/>
        <w:rPr>
          <w:sz w:val="20"/>
          <w:szCs w:val="20"/>
          <w:lang w:val="en-GB"/>
        </w:rPr>
      </w:pPr>
    </w:p>
    <w:p w14:paraId="649785DB" w14:textId="77777777" w:rsidR="00013360" w:rsidRPr="00E93126" w:rsidRDefault="00013360" w:rsidP="00013360">
      <w:pPr>
        <w:pStyle w:val="CaseTitle"/>
        <w:spacing w:after="0" w:line="240" w:lineRule="auto"/>
        <w:rPr>
          <w:sz w:val="20"/>
          <w:szCs w:val="20"/>
          <w:lang w:val="en-GB"/>
        </w:rPr>
      </w:pPr>
    </w:p>
    <w:p w14:paraId="23F720BD" w14:textId="518DB17D" w:rsidR="00FB6D92" w:rsidRPr="00E93126" w:rsidRDefault="00FB6D92" w:rsidP="00FB6D92">
      <w:pPr>
        <w:pStyle w:val="StyleCopyrightStatementAfter0ptBottomSinglesolidline1"/>
        <w:rPr>
          <w:lang w:val="en-GB"/>
        </w:rPr>
      </w:pPr>
      <w:proofErr w:type="spellStart"/>
      <w:r w:rsidRPr="00E93126">
        <w:rPr>
          <w:lang w:val="en-GB"/>
        </w:rPr>
        <w:t>Jaydeep</w:t>
      </w:r>
      <w:proofErr w:type="spellEnd"/>
      <w:r w:rsidRPr="00E93126">
        <w:rPr>
          <w:lang w:val="en-GB"/>
        </w:rPr>
        <w:t xml:space="preserve"> Mukherjee wrote this case solely to provide material f</w:t>
      </w:r>
      <w:r w:rsidR="002A1025">
        <w:rPr>
          <w:lang w:val="en-GB"/>
        </w:rPr>
        <w:t>or class discussion. The author</w:t>
      </w:r>
      <w:r w:rsidRPr="00E93126">
        <w:rPr>
          <w:lang w:val="en-GB"/>
        </w:rPr>
        <w:t xml:space="preserve"> do</w:t>
      </w:r>
      <w:r w:rsidR="002A1025">
        <w:rPr>
          <w:lang w:val="en-GB"/>
        </w:rPr>
        <w:t>es</w:t>
      </w:r>
      <w:r w:rsidRPr="00E93126">
        <w:rPr>
          <w:lang w:val="en-GB"/>
        </w:rPr>
        <w:t xml:space="preserve"> not intend to illustrate either effective or ineffective handling of a manag</w:t>
      </w:r>
      <w:r w:rsidR="002A1025">
        <w:rPr>
          <w:lang w:val="en-GB"/>
        </w:rPr>
        <w:t>erial situation. The author</w:t>
      </w:r>
      <w:r w:rsidRPr="00E93126">
        <w:rPr>
          <w:lang w:val="en-GB"/>
        </w:rPr>
        <w:t xml:space="preserve"> may have disguised certain names and other identifying information to protect confidentiality.</w:t>
      </w:r>
    </w:p>
    <w:p w14:paraId="5AAFC801" w14:textId="77777777" w:rsidR="00751E0B" w:rsidRPr="00E93126" w:rsidRDefault="00751E0B" w:rsidP="00FB6D92">
      <w:pPr>
        <w:pStyle w:val="StyleCopyrightStatementAfter0ptBottomSinglesolidline1"/>
        <w:rPr>
          <w:lang w:val="en-GB"/>
        </w:rPr>
      </w:pPr>
    </w:p>
    <w:p w14:paraId="2498A3EF" w14:textId="77777777" w:rsidR="00E93126" w:rsidRPr="00E93126" w:rsidRDefault="00E93126" w:rsidP="008669D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E93126">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93126">
          <w:rPr>
            <w:rFonts w:ascii="Arial" w:hAnsi="Arial"/>
            <w:i/>
            <w:iCs/>
            <w:color w:val="000000"/>
            <w:sz w:val="16"/>
            <w:lang w:val="en-GB"/>
          </w:rPr>
          <w:t>cases@ivey.ca</w:t>
        </w:r>
      </w:hyperlink>
      <w:r w:rsidRPr="00E93126">
        <w:rPr>
          <w:rFonts w:ascii="Arial" w:hAnsi="Arial"/>
          <w:i/>
          <w:iCs/>
          <w:color w:val="000000"/>
          <w:sz w:val="16"/>
          <w:lang w:val="en-GB"/>
        </w:rPr>
        <w:t xml:space="preserve">; </w:t>
      </w:r>
      <w:hyperlink r:id="rId11" w:history="1">
        <w:r w:rsidRPr="00E93126">
          <w:rPr>
            <w:rFonts w:ascii="Arial" w:hAnsi="Arial"/>
            <w:i/>
            <w:iCs/>
            <w:color w:val="000000"/>
            <w:sz w:val="16"/>
            <w:lang w:val="en-GB"/>
          </w:rPr>
          <w:t>www.iveycases.com</w:t>
        </w:r>
      </w:hyperlink>
      <w:r w:rsidRPr="00E93126">
        <w:rPr>
          <w:rFonts w:ascii="Arial" w:hAnsi="Arial"/>
          <w:i/>
          <w:iCs/>
          <w:color w:val="000000"/>
          <w:sz w:val="16"/>
          <w:lang w:val="en-GB"/>
        </w:rPr>
        <w:t>.</w:t>
      </w:r>
    </w:p>
    <w:p w14:paraId="0ED5CBF0" w14:textId="77777777" w:rsidR="006A218B" w:rsidRPr="00E93126" w:rsidRDefault="006A218B" w:rsidP="00751E0B">
      <w:pPr>
        <w:pStyle w:val="StyleCopyrightStatementAfter0ptBottomSinglesolidline1"/>
        <w:rPr>
          <w:lang w:val="en-GB"/>
        </w:rPr>
      </w:pPr>
    </w:p>
    <w:p w14:paraId="3AFD6DEF" w14:textId="22059D4B" w:rsidR="00751E0B" w:rsidRPr="00E93126" w:rsidRDefault="00E93126" w:rsidP="00751E0B">
      <w:pPr>
        <w:pStyle w:val="StyleStyleCopyrightStatementAfter0ptBottomSinglesolid"/>
        <w:rPr>
          <w:lang w:val="en-GB"/>
        </w:rPr>
      </w:pPr>
      <w:r w:rsidRPr="00E93126">
        <w:rPr>
          <w:rFonts w:cs="Arial"/>
          <w:szCs w:val="16"/>
          <w:lang w:val="en-GB"/>
        </w:rPr>
        <w:t>Copyright © 2018, Ivey Business School Foundation</w:t>
      </w:r>
      <w:r w:rsidR="00A569EA" w:rsidRPr="00E93126">
        <w:rPr>
          <w:rFonts w:cs="Arial"/>
          <w:szCs w:val="16"/>
          <w:lang w:val="en-GB"/>
        </w:rPr>
        <w:tab/>
      </w:r>
      <w:r w:rsidR="00751E0B" w:rsidRPr="00E93126">
        <w:rPr>
          <w:lang w:val="en-GB"/>
        </w:rPr>
        <w:t xml:space="preserve">Version: </w:t>
      </w:r>
      <w:r w:rsidR="003D0BA1" w:rsidRPr="00E93126">
        <w:rPr>
          <w:lang w:val="en-GB"/>
        </w:rPr>
        <w:t>20</w:t>
      </w:r>
      <w:r w:rsidR="006A218B" w:rsidRPr="00E93126">
        <w:rPr>
          <w:lang w:val="en-GB"/>
        </w:rPr>
        <w:t>18</w:t>
      </w:r>
      <w:r w:rsidR="001C7777" w:rsidRPr="00E93126">
        <w:rPr>
          <w:lang w:val="en-GB"/>
        </w:rPr>
        <w:t>-</w:t>
      </w:r>
      <w:r w:rsidR="00FB6D92" w:rsidRPr="00E93126">
        <w:rPr>
          <w:lang w:val="en-GB"/>
        </w:rPr>
        <w:t>0</w:t>
      </w:r>
      <w:r w:rsidR="00D50264">
        <w:rPr>
          <w:lang w:val="en-GB"/>
        </w:rPr>
        <w:t>6</w:t>
      </w:r>
      <w:r w:rsidR="00751E0B" w:rsidRPr="00E93126">
        <w:rPr>
          <w:lang w:val="en-GB"/>
        </w:rPr>
        <w:t>-</w:t>
      </w:r>
      <w:r w:rsidR="00735B78">
        <w:rPr>
          <w:lang w:val="en-GB"/>
        </w:rPr>
        <w:t>08</w:t>
      </w:r>
    </w:p>
    <w:p w14:paraId="276F490F" w14:textId="77777777" w:rsidR="00751E0B" w:rsidRPr="00E93126" w:rsidRDefault="00751E0B" w:rsidP="00751E0B">
      <w:pPr>
        <w:pStyle w:val="StyleCopyrightStatementAfter0ptBottomSinglesolidline1"/>
        <w:rPr>
          <w:rFonts w:ascii="Times New Roman" w:hAnsi="Times New Roman"/>
          <w:sz w:val="20"/>
          <w:lang w:val="en-GB"/>
        </w:rPr>
      </w:pPr>
    </w:p>
    <w:p w14:paraId="7352991E" w14:textId="77777777" w:rsidR="004B632F" w:rsidRPr="00E93126" w:rsidRDefault="004B632F" w:rsidP="004B632F">
      <w:pPr>
        <w:pStyle w:val="StyleCopyrightStatementAfter0ptBottomSinglesolidline1"/>
        <w:rPr>
          <w:rFonts w:ascii="Times New Roman" w:hAnsi="Times New Roman"/>
          <w:sz w:val="20"/>
          <w:lang w:val="en-GB"/>
        </w:rPr>
      </w:pPr>
    </w:p>
    <w:p w14:paraId="42C8F77A" w14:textId="0E41F733" w:rsidR="006A218B" w:rsidRPr="00E3419F" w:rsidRDefault="006A218B" w:rsidP="006A218B">
      <w:pPr>
        <w:pStyle w:val="BodyTextMain"/>
        <w:rPr>
          <w:rFonts w:eastAsiaTheme="minorHAnsi"/>
          <w:spacing w:val="-4"/>
          <w:kern w:val="22"/>
          <w:lang w:val="en-GB"/>
        </w:rPr>
      </w:pPr>
      <w:r w:rsidRPr="00E3419F">
        <w:rPr>
          <w:rFonts w:eastAsiaTheme="minorHAnsi"/>
          <w:spacing w:val="-4"/>
          <w:kern w:val="22"/>
          <w:lang w:val="en-GB"/>
        </w:rPr>
        <w:t xml:space="preserve">Hassan Umar, </w:t>
      </w:r>
      <w:r w:rsidR="00172C39" w:rsidRPr="00E3419F">
        <w:rPr>
          <w:rFonts w:eastAsiaTheme="minorHAnsi"/>
          <w:spacing w:val="-4"/>
          <w:kern w:val="22"/>
          <w:lang w:val="en-GB"/>
        </w:rPr>
        <w:t>r</w:t>
      </w:r>
      <w:r w:rsidRPr="00E3419F">
        <w:rPr>
          <w:rFonts w:eastAsiaTheme="minorHAnsi"/>
          <w:spacing w:val="-4"/>
          <w:kern w:val="22"/>
          <w:lang w:val="en-GB"/>
        </w:rPr>
        <w:t xml:space="preserve">egional </w:t>
      </w:r>
      <w:r w:rsidR="00172C39" w:rsidRPr="00E3419F">
        <w:rPr>
          <w:rFonts w:eastAsiaTheme="minorHAnsi"/>
          <w:spacing w:val="-4"/>
          <w:kern w:val="22"/>
          <w:lang w:val="en-GB"/>
        </w:rPr>
        <w:t>m</w:t>
      </w:r>
      <w:r w:rsidRPr="00E3419F">
        <w:rPr>
          <w:rFonts w:eastAsiaTheme="minorHAnsi"/>
          <w:spacing w:val="-4"/>
          <w:kern w:val="22"/>
          <w:lang w:val="en-GB"/>
        </w:rPr>
        <w:t xml:space="preserve">anager of </w:t>
      </w:r>
      <w:proofErr w:type="spellStart"/>
      <w:r w:rsidRPr="00E3419F">
        <w:rPr>
          <w:rFonts w:eastAsiaTheme="minorHAnsi"/>
          <w:spacing w:val="-4"/>
          <w:kern w:val="22"/>
          <w:lang w:val="en-GB"/>
        </w:rPr>
        <w:t>Fairdeal</w:t>
      </w:r>
      <w:proofErr w:type="spellEnd"/>
      <w:r w:rsidRPr="00E3419F">
        <w:rPr>
          <w:rFonts w:eastAsiaTheme="minorHAnsi"/>
          <w:spacing w:val="-4"/>
          <w:kern w:val="22"/>
          <w:lang w:val="en-GB"/>
        </w:rPr>
        <w:t xml:space="preserve"> Appliances (</w:t>
      </w:r>
      <w:proofErr w:type="spellStart"/>
      <w:r w:rsidRPr="00E3419F">
        <w:rPr>
          <w:rFonts w:eastAsiaTheme="minorHAnsi"/>
          <w:spacing w:val="-4"/>
          <w:kern w:val="22"/>
          <w:lang w:val="en-GB"/>
        </w:rPr>
        <w:t>Fairdeal</w:t>
      </w:r>
      <w:proofErr w:type="spellEnd"/>
      <w:r w:rsidRPr="00E3419F">
        <w:rPr>
          <w:rFonts w:eastAsiaTheme="minorHAnsi"/>
          <w:spacing w:val="-4"/>
          <w:kern w:val="22"/>
          <w:lang w:val="en-GB"/>
        </w:rPr>
        <w:t>)</w:t>
      </w:r>
      <w:r w:rsidR="00172C39" w:rsidRPr="00E3419F">
        <w:rPr>
          <w:rFonts w:eastAsiaTheme="minorHAnsi"/>
          <w:spacing w:val="-4"/>
          <w:kern w:val="22"/>
          <w:lang w:val="en-GB"/>
        </w:rPr>
        <w:t>,</w:t>
      </w:r>
      <w:r w:rsidRPr="00E3419F">
        <w:rPr>
          <w:rFonts w:eastAsiaTheme="minorHAnsi"/>
          <w:spacing w:val="-4"/>
          <w:kern w:val="22"/>
          <w:lang w:val="en-GB"/>
        </w:rPr>
        <w:t xml:space="preserve"> was in </w:t>
      </w:r>
      <w:r w:rsidR="004208F2" w:rsidRPr="00E3419F">
        <w:rPr>
          <w:rFonts w:eastAsiaTheme="minorHAnsi"/>
          <w:spacing w:val="-4"/>
          <w:kern w:val="22"/>
          <w:lang w:val="en-GB"/>
        </w:rPr>
        <w:t xml:space="preserve">his office on January 8, 2018. </w:t>
      </w:r>
      <w:r w:rsidRPr="00E3419F">
        <w:rPr>
          <w:rFonts w:eastAsiaTheme="minorHAnsi"/>
          <w:spacing w:val="-4"/>
          <w:kern w:val="22"/>
          <w:lang w:val="en-GB"/>
        </w:rPr>
        <w:t xml:space="preserve">Umar had been struggling to retain </w:t>
      </w:r>
      <w:proofErr w:type="spellStart"/>
      <w:r w:rsidRPr="00E3419F">
        <w:rPr>
          <w:rFonts w:eastAsiaTheme="minorHAnsi"/>
          <w:spacing w:val="-4"/>
          <w:kern w:val="22"/>
          <w:lang w:val="en-GB"/>
        </w:rPr>
        <w:t>Fairdeal</w:t>
      </w:r>
      <w:proofErr w:type="spellEnd"/>
      <w:r w:rsidRPr="00E3419F">
        <w:rPr>
          <w:rFonts w:eastAsiaTheme="minorHAnsi"/>
          <w:spacing w:val="-4"/>
          <w:kern w:val="22"/>
          <w:lang w:val="en-GB"/>
        </w:rPr>
        <w:t xml:space="preserve"> air conditioners’ market share in the urban markets of Bali, Indonesia, where the retail outlets were mostly multi</w:t>
      </w:r>
      <w:r w:rsidR="00CE537C" w:rsidRPr="00E3419F">
        <w:rPr>
          <w:rFonts w:eastAsiaTheme="minorHAnsi"/>
          <w:spacing w:val="-4"/>
          <w:kern w:val="22"/>
          <w:lang w:val="en-GB"/>
        </w:rPr>
        <w:t>-</w:t>
      </w:r>
      <w:r w:rsidRPr="00E3419F">
        <w:rPr>
          <w:rFonts w:eastAsiaTheme="minorHAnsi"/>
          <w:spacing w:val="-4"/>
          <w:kern w:val="22"/>
          <w:lang w:val="en-GB"/>
        </w:rPr>
        <w:t>brand (</w:t>
      </w:r>
      <w:r w:rsidR="0087011A" w:rsidRPr="00E3419F">
        <w:rPr>
          <w:rFonts w:eastAsiaTheme="minorHAnsi"/>
          <w:spacing w:val="-4"/>
          <w:kern w:val="22"/>
          <w:lang w:val="en-GB"/>
        </w:rPr>
        <w:t xml:space="preserve">i.e., </w:t>
      </w:r>
      <w:r w:rsidRPr="00E3419F">
        <w:rPr>
          <w:rFonts w:eastAsiaTheme="minorHAnsi"/>
          <w:spacing w:val="-4"/>
          <w:kern w:val="22"/>
          <w:lang w:val="en-GB"/>
        </w:rPr>
        <w:t>stocked multiple brands of a product category). Abdul Electronics</w:t>
      </w:r>
      <w:r w:rsidR="00AD6F3E" w:rsidRPr="00E3419F">
        <w:rPr>
          <w:rFonts w:eastAsiaTheme="minorHAnsi"/>
          <w:spacing w:val="-4"/>
          <w:kern w:val="22"/>
          <w:lang w:val="en-GB"/>
        </w:rPr>
        <w:t xml:space="preserve"> (Abdul)</w:t>
      </w:r>
      <w:r w:rsidRPr="00E3419F">
        <w:rPr>
          <w:rFonts w:eastAsiaTheme="minorHAnsi"/>
          <w:spacing w:val="-4"/>
          <w:kern w:val="22"/>
          <w:lang w:val="en-GB"/>
        </w:rPr>
        <w:t xml:space="preserve">, </w:t>
      </w:r>
      <w:proofErr w:type="spellStart"/>
      <w:r w:rsidR="0087011A" w:rsidRPr="00E3419F">
        <w:rPr>
          <w:rFonts w:eastAsiaTheme="minorHAnsi"/>
          <w:spacing w:val="-4"/>
          <w:kern w:val="22"/>
          <w:lang w:val="en-GB"/>
        </w:rPr>
        <w:t>Fairdeal’s</w:t>
      </w:r>
      <w:proofErr w:type="spellEnd"/>
      <w:r w:rsidR="0087011A" w:rsidRPr="00E3419F">
        <w:rPr>
          <w:rFonts w:eastAsiaTheme="minorHAnsi"/>
          <w:spacing w:val="-4"/>
          <w:kern w:val="22"/>
          <w:lang w:val="en-GB"/>
        </w:rPr>
        <w:t xml:space="preserve"> </w:t>
      </w:r>
      <w:r w:rsidRPr="00E3419F">
        <w:rPr>
          <w:rFonts w:eastAsiaTheme="minorHAnsi"/>
          <w:spacing w:val="-4"/>
          <w:kern w:val="22"/>
          <w:lang w:val="en-GB"/>
        </w:rPr>
        <w:t xml:space="preserve">biggest retail outlet in Denpasar, </w:t>
      </w:r>
      <w:r w:rsidR="009624EF" w:rsidRPr="00E3419F">
        <w:rPr>
          <w:rFonts w:eastAsiaTheme="minorHAnsi"/>
          <w:spacing w:val="-4"/>
          <w:kern w:val="22"/>
          <w:lang w:val="en-GB"/>
        </w:rPr>
        <w:t xml:space="preserve">the capital city of the island of </w:t>
      </w:r>
      <w:r w:rsidRPr="00E3419F">
        <w:rPr>
          <w:rFonts w:eastAsiaTheme="minorHAnsi"/>
          <w:spacing w:val="-4"/>
          <w:kern w:val="22"/>
          <w:lang w:val="en-GB"/>
        </w:rPr>
        <w:t xml:space="preserve">Bali, </w:t>
      </w:r>
      <w:r w:rsidR="00735B78" w:rsidRPr="00E3419F">
        <w:rPr>
          <w:rFonts w:eastAsiaTheme="minorHAnsi"/>
          <w:spacing w:val="-4"/>
          <w:kern w:val="22"/>
          <w:lang w:val="en-GB"/>
        </w:rPr>
        <w:t xml:space="preserve">had just started </w:t>
      </w:r>
      <w:r w:rsidR="00735B78" w:rsidRPr="00E3419F">
        <w:rPr>
          <w:rFonts w:eastAsiaTheme="minorHAnsi"/>
          <w:spacing w:val="-4"/>
          <w:kern w:val="22"/>
        </w:rPr>
        <w:t xml:space="preserve">stocking </w:t>
      </w:r>
      <w:proofErr w:type="spellStart"/>
      <w:r w:rsidR="00735B78" w:rsidRPr="00E3419F">
        <w:rPr>
          <w:rFonts w:eastAsiaTheme="minorHAnsi"/>
          <w:spacing w:val="-4"/>
          <w:kern w:val="22"/>
        </w:rPr>
        <w:t>Technica</w:t>
      </w:r>
      <w:proofErr w:type="spellEnd"/>
      <w:r w:rsidR="00735B78" w:rsidRPr="00E3419F">
        <w:rPr>
          <w:rFonts w:eastAsiaTheme="minorHAnsi"/>
          <w:spacing w:val="-4"/>
          <w:kern w:val="22"/>
        </w:rPr>
        <w:t xml:space="preserve"> products</w:t>
      </w:r>
      <w:r w:rsidRPr="00E3419F">
        <w:rPr>
          <w:rFonts w:eastAsiaTheme="minorHAnsi"/>
          <w:spacing w:val="-4"/>
          <w:kern w:val="22"/>
          <w:lang w:val="en-GB"/>
        </w:rPr>
        <w:t>,</w:t>
      </w:r>
      <w:r w:rsidR="00735B78" w:rsidRPr="00E3419F">
        <w:rPr>
          <w:rFonts w:eastAsiaTheme="minorHAnsi"/>
          <w:spacing w:val="-4"/>
          <w:kern w:val="22"/>
          <w:lang w:val="en-GB"/>
        </w:rPr>
        <w:t xml:space="preserve"> and </w:t>
      </w:r>
      <w:proofErr w:type="spellStart"/>
      <w:r w:rsidR="00735B78" w:rsidRPr="00E3419F">
        <w:rPr>
          <w:rFonts w:eastAsiaTheme="minorHAnsi"/>
          <w:spacing w:val="-4"/>
          <w:kern w:val="22"/>
          <w:lang w:val="en-GB"/>
        </w:rPr>
        <w:t>Technica</w:t>
      </w:r>
      <w:proofErr w:type="spellEnd"/>
      <w:r w:rsidR="00735B78" w:rsidRPr="00E3419F">
        <w:rPr>
          <w:rFonts w:eastAsiaTheme="minorHAnsi"/>
          <w:spacing w:val="-4"/>
          <w:kern w:val="22"/>
          <w:lang w:val="en-GB"/>
        </w:rPr>
        <w:t xml:space="preserve"> was</w:t>
      </w:r>
      <w:r w:rsidRPr="00E3419F">
        <w:rPr>
          <w:rFonts w:eastAsiaTheme="minorHAnsi"/>
          <w:spacing w:val="-4"/>
          <w:kern w:val="22"/>
          <w:lang w:val="en-GB"/>
        </w:rPr>
        <w:t xml:space="preserve"> a strong competitor of </w:t>
      </w:r>
      <w:proofErr w:type="spellStart"/>
      <w:r w:rsidRPr="00E3419F">
        <w:rPr>
          <w:rFonts w:eastAsiaTheme="minorHAnsi"/>
          <w:spacing w:val="-4"/>
          <w:kern w:val="22"/>
          <w:lang w:val="en-GB"/>
        </w:rPr>
        <w:t>Fairdeal</w:t>
      </w:r>
      <w:proofErr w:type="spellEnd"/>
      <w:r w:rsidRPr="00E3419F">
        <w:rPr>
          <w:rFonts w:eastAsiaTheme="minorHAnsi"/>
          <w:spacing w:val="-4"/>
          <w:kern w:val="22"/>
          <w:lang w:val="en-GB"/>
        </w:rPr>
        <w:t>. Umar could respond by</w:t>
      </w:r>
      <w:r w:rsidR="004F5DC8" w:rsidRPr="00E3419F">
        <w:rPr>
          <w:rFonts w:eastAsiaTheme="minorHAnsi"/>
          <w:spacing w:val="-4"/>
          <w:kern w:val="22"/>
          <w:lang w:val="en-GB"/>
        </w:rPr>
        <w:t xml:space="preserve"> ending </w:t>
      </w:r>
      <w:proofErr w:type="spellStart"/>
      <w:r w:rsidR="004F5DC8" w:rsidRPr="00E3419F">
        <w:rPr>
          <w:rFonts w:eastAsiaTheme="minorHAnsi"/>
          <w:spacing w:val="-4"/>
          <w:kern w:val="22"/>
          <w:lang w:val="en-GB"/>
        </w:rPr>
        <w:t>Fairdeal’s</w:t>
      </w:r>
      <w:proofErr w:type="spellEnd"/>
      <w:r w:rsidR="004F5DC8" w:rsidRPr="00E3419F">
        <w:rPr>
          <w:rFonts w:eastAsiaTheme="minorHAnsi"/>
          <w:spacing w:val="-4"/>
          <w:kern w:val="22"/>
          <w:lang w:val="en-GB"/>
        </w:rPr>
        <w:t xml:space="preserve"> relationship with Abdul and partnering</w:t>
      </w:r>
      <w:r w:rsidRPr="00E3419F">
        <w:rPr>
          <w:rFonts w:eastAsiaTheme="minorHAnsi"/>
          <w:spacing w:val="-4"/>
          <w:kern w:val="22"/>
          <w:lang w:val="en-GB"/>
        </w:rPr>
        <w:t xml:space="preserve"> with other dealers in Denpasar</w:t>
      </w:r>
      <w:r w:rsidR="0087011A" w:rsidRPr="00E3419F">
        <w:rPr>
          <w:rFonts w:eastAsiaTheme="minorHAnsi"/>
          <w:spacing w:val="-4"/>
          <w:kern w:val="22"/>
          <w:lang w:val="en-GB"/>
        </w:rPr>
        <w:t>;</w:t>
      </w:r>
      <w:r w:rsidRPr="00E3419F">
        <w:rPr>
          <w:rFonts w:eastAsiaTheme="minorHAnsi"/>
          <w:spacing w:val="-4"/>
          <w:kern w:val="22"/>
          <w:lang w:val="en-GB"/>
        </w:rPr>
        <w:t xml:space="preserve"> </w:t>
      </w:r>
      <w:r w:rsidR="000A075C" w:rsidRPr="00E3419F">
        <w:rPr>
          <w:spacing w:val="-4"/>
          <w:kern w:val="22"/>
        </w:rPr>
        <w:t xml:space="preserve">however, this step would likely reduce </w:t>
      </w:r>
      <w:proofErr w:type="spellStart"/>
      <w:r w:rsidR="000A075C" w:rsidRPr="00E3419F">
        <w:rPr>
          <w:spacing w:val="-4"/>
          <w:kern w:val="22"/>
        </w:rPr>
        <w:t>Fairdeal’s</w:t>
      </w:r>
      <w:proofErr w:type="spellEnd"/>
      <w:r w:rsidR="000A075C" w:rsidRPr="00E3419F">
        <w:rPr>
          <w:spacing w:val="-4"/>
          <w:kern w:val="22"/>
        </w:rPr>
        <w:t xml:space="preserve"> sales in Denpasar</w:t>
      </w:r>
      <w:r w:rsidRPr="00E3419F">
        <w:rPr>
          <w:rFonts w:eastAsiaTheme="minorHAnsi"/>
          <w:spacing w:val="-4"/>
          <w:kern w:val="22"/>
          <w:lang w:val="en-GB"/>
        </w:rPr>
        <w:t xml:space="preserve">. On the other hand, if </w:t>
      </w:r>
      <w:proofErr w:type="spellStart"/>
      <w:r w:rsidR="000273AB" w:rsidRPr="00E3419F">
        <w:rPr>
          <w:rFonts w:eastAsiaTheme="minorHAnsi"/>
          <w:spacing w:val="-4"/>
          <w:kern w:val="22"/>
          <w:lang w:val="en-GB"/>
        </w:rPr>
        <w:t>Fairdeal</w:t>
      </w:r>
      <w:proofErr w:type="spellEnd"/>
      <w:r w:rsidR="000273AB" w:rsidRPr="00E3419F">
        <w:rPr>
          <w:rFonts w:eastAsiaTheme="minorHAnsi"/>
          <w:spacing w:val="-4"/>
          <w:kern w:val="22"/>
          <w:lang w:val="en-GB"/>
        </w:rPr>
        <w:t xml:space="preserve"> </w:t>
      </w:r>
      <w:r w:rsidRPr="00E3419F">
        <w:rPr>
          <w:rFonts w:eastAsiaTheme="minorHAnsi"/>
          <w:spacing w:val="-4"/>
          <w:kern w:val="22"/>
          <w:lang w:val="en-GB"/>
        </w:rPr>
        <w:t xml:space="preserve">did not open new counters, </w:t>
      </w:r>
      <w:r w:rsidR="000273AB" w:rsidRPr="00E3419F">
        <w:rPr>
          <w:rFonts w:eastAsiaTheme="minorHAnsi"/>
          <w:spacing w:val="-4"/>
          <w:kern w:val="22"/>
          <w:lang w:val="en-GB"/>
        </w:rPr>
        <w:t xml:space="preserve">it </w:t>
      </w:r>
      <w:r w:rsidR="0087011A" w:rsidRPr="00E3419F">
        <w:rPr>
          <w:rFonts w:eastAsiaTheme="minorHAnsi"/>
          <w:spacing w:val="-4"/>
          <w:kern w:val="22"/>
          <w:lang w:val="en-GB"/>
        </w:rPr>
        <w:t xml:space="preserve">would be </w:t>
      </w:r>
      <w:r w:rsidRPr="00E3419F">
        <w:rPr>
          <w:rFonts w:eastAsiaTheme="minorHAnsi"/>
          <w:spacing w:val="-4"/>
          <w:kern w:val="22"/>
          <w:lang w:val="en-GB"/>
        </w:rPr>
        <w:t>signal</w:t>
      </w:r>
      <w:r w:rsidR="0087011A" w:rsidRPr="00E3419F">
        <w:rPr>
          <w:rFonts w:eastAsiaTheme="minorHAnsi"/>
          <w:spacing w:val="-4"/>
          <w:kern w:val="22"/>
          <w:lang w:val="en-GB"/>
        </w:rPr>
        <w:t>l</w:t>
      </w:r>
      <w:r w:rsidRPr="00E3419F">
        <w:rPr>
          <w:rFonts w:eastAsiaTheme="minorHAnsi"/>
          <w:spacing w:val="-4"/>
          <w:kern w:val="22"/>
          <w:lang w:val="en-GB"/>
        </w:rPr>
        <w:t xml:space="preserve">ing to </w:t>
      </w:r>
      <w:r w:rsidR="000273AB" w:rsidRPr="00E3419F">
        <w:rPr>
          <w:rFonts w:eastAsiaTheme="minorHAnsi"/>
          <w:spacing w:val="-4"/>
          <w:kern w:val="22"/>
          <w:lang w:val="en-GB"/>
        </w:rPr>
        <w:t xml:space="preserve">its </w:t>
      </w:r>
      <w:r w:rsidRPr="00E3419F">
        <w:rPr>
          <w:rFonts w:eastAsiaTheme="minorHAnsi"/>
          <w:spacing w:val="-4"/>
          <w:kern w:val="22"/>
          <w:lang w:val="en-GB"/>
        </w:rPr>
        <w:t xml:space="preserve">existing dealers that </w:t>
      </w:r>
      <w:proofErr w:type="spellStart"/>
      <w:r w:rsidR="000273AB" w:rsidRPr="00E3419F">
        <w:rPr>
          <w:rFonts w:eastAsiaTheme="minorHAnsi"/>
          <w:spacing w:val="-4"/>
          <w:kern w:val="22"/>
          <w:lang w:val="en-GB"/>
        </w:rPr>
        <w:t>Fairdeal</w:t>
      </w:r>
      <w:proofErr w:type="spellEnd"/>
      <w:r w:rsidR="000273AB" w:rsidRPr="00E3419F">
        <w:rPr>
          <w:rFonts w:eastAsiaTheme="minorHAnsi"/>
          <w:spacing w:val="-4"/>
          <w:kern w:val="22"/>
          <w:lang w:val="en-GB"/>
        </w:rPr>
        <w:t xml:space="preserve"> </w:t>
      </w:r>
      <w:r w:rsidRPr="00E3419F">
        <w:rPr>
          <w:rFonts w:eastAsiaTheme="minorHAnsi"/>
          <w:spacing w:val="-4"/>
          <w:kern w:val="22"/>
          <w:lang w:val="en-GB"/>
        </w:rPr>
        <w:t xml:space="preserve">would not take any retaliatory action, which would encourage </w:t>
      </w:r>
      <w:r w:rsidR="000273AB" w:rsidRPr="00E3419F">
        <w:rPr>
          <w:rFonts w:eastAsiaTheme="minorHAnsi"/>
          <w:spacing w:val="-4"/>
          <w:kern w:val="22"/>
          <w:lang w:val="en-GB"/>
        </w:rPr>
        <w:t xml:space="preserve">those dealers </w:t>
      </w:r>
      <w:r w:rsidRPr="00E3419F">
        <w:rPr>
          <w:rFonts w:eastAsiaTheme="minorHAnsi"/>
          <w:spacing w:val="-4"/>
          <w:kern w:val="22"/>
          <w:lang w:val="en-GB"/>
        </w:rPr>
        <w:t xml:space="preserve">to also start doing business with </w:t>
      </w:r>
      <w:proofErr w:type="spellStart"/>
      <w:r w:rsidRPr="00E3419F">
        <w:rPr>
          <w:rFonts w:eastAsiaTheme="minorHAnsi"/>
          <w:spacing w:val="-4"/>
          <w:kern w:val="22"/>
          <w:lang w:val="en-GB"/>
        </w:rPr>
        <w:t>Technica</w:t>
      </w:r>
      <w:proofErr w:type="spellEnd"/>
      <w:r w:rsidRPr="00E3419F">
        <w:rPr>
          <w:rFonts w:eastAsiaTheme="minorHAnsi"/>
          <w:spacing w:val="-4"/>
          <w:kern w:val="22"/>
          <w:lang w:val="en-GB"/>
        </w:rPr>
        <w:t xml:space="preserve">. This </w:t>
      </w:r>
      <w:r w:rsidR="0087011A" w:rsidRPr="00E3419F">
        <w:rPr>
          <w:rFonts w:eastAsiaTheme="minorHAnsi"/>
          <w:spacing w:val="-4"/>
          <w:kern w:val="22"/>
          <w:lang w:val="en-GB"/>
        </w:rPr>
        <w:t xml:space="preserve">situation </w:t>
      </w:r>
      <w:r w:rsidRPr="00E3419F">
        <w:rPr>
          <w:rFonts w:eastAsiaTheme="minorHAnsi"/>
          <w:spacing w:val="-4"/>
          <w:kern w:val="22"/>
          <w:lang w:val="en-GB"/>
        </w:rPr>
        <w:t xml:space="preserve">was likely to reduce </w:t>
      </w:r>
      <w:r w:rsidR="000273AB" w:rsidRPr="00E3419F">
        <w:rPr>
          <w:rFonts w:eastAsiaTheme="minorHAnsi"/>
          <w:spacing w:val="-4"/>
          <w:kern w:val="22"/>
          <w:lang w:val="en-GB"/>
        </w:rPr>
        <w:t xml:space="preserve">not only </w:t>
      </w:r>
      <w:proofErr w:type="spellStart"/>
      <w:r w:rsidRPr="00E3419F">
        <w:rPr>
          <w:rFonts w:eastAsiaTheme="minorHAnsi"/>
          <w:spacing w:val="-4"/>
          <w:kern w:val="22"/>
          <w:lang w:val="en-GB"/>
        </w:rPr>
        <w:t>Fairdeal</w:t>
      </w:r>
      <w:r w:rsidR="000273AB" w:rsidRPr="00E3419F">
        <w:rPr>
          <w:rFonts w:eastAsiaTheme="minorHAnsi"/>
          <w:spacing w:val="-4"/>
          <w:kern w:val="22"/>
          <w:lang w:val="en-GB"/>
        </w:rPr>
        <w:t>’s</w:t>
      </w:r>
      <w:proofErr w:type="spellEnd"/>
      <w:r w:rsidRPr="00E3419F">
        <w:rPr>
          <w:rFonts w:eastAsiaTheme="minorHAnsi"/>
          <w:spacing w:val="-4"/>
          <w:kern w:val="22"/>
          <w:lang w:val="en-GB"/>
        </w:rPr>
        <w:t xml:space="preserve"> sales </w:t>
      </w:r>
      <w:r w:rsidR="000273AB" w:rsidRPr="00E3419F">
        <w:rPr>
          <w:rFonts w:eastAsiaTheme="minorHAnsi"/>
          <w:spacing w:val="-4"/>
          <w:kern w:val="22"/>
          <w:lang w:val="en-GB"/>
        </w:rPr>
        <w:t xml:space="preserve">but also </w:t>
      </w:r>
      <w:r w:rsidRPr="00E3419F">
        <w:rPr>
          <w:rFonts w:eastAsiaTheme="minorHAnsi"/>
          <w:spacing w:val="-4"/>
          <w:kern w:val="22"/>
          <w:lang w:val="en-GB"/>
        </w:rPr>
        <w:t>Umar’s image in the market as a capable manager.</w:t>
      </w:r>
    </w:p>
    <w:p w14:paraId="32CAEC98" w14:textId="77777777" w:rsidR="006A218B" w:rsidRPr="00E93126" w:rsidRDefault="006A218B" w:rsidP="006A218B">
      <w:pPr>
        <w:pStyle w:val="BodyTextMain"/>
        <w:rPr>
          <w:rFonts w:eastAsiaTheme="minorHAnsi"/>
          <w:lang w:val="en-GB"/>
        </w:rPr>
      </w:pPr>
    </w:p>
    <w:p w14:paraId="2DE364ED" w14:textId="4D983A28" w:rsidR="006A218B" w:rsidRPr="00E93126" w:rsidRDefault="006A218B" w:rsidP="006A218B">
      <w:pPr>
        <w:pStyle w:val="BodyTextMain"/>
        <w:rPr>
          <w:rFonts w:eastAsiaTheme="minorHAnsi"/>
          <w:lang w:val="en-GB"/>
        </w:rPr>
      </w:pPr>
      <w:proofErr w:type="spellStart"/>
      <w:r w:rsidRPr="00E93126">
        <w:rPr>
          <w:rFonts w:eastAsiaTheme="minorHAnsi"/>
          <w:lang w:val="en-GB"/>
        </w:rPr>
        <w:t>Fairdeal</w:t>
      </w:r>
      <w:proofErr w:type="spellEnd"/>
      <w:r w:rsidRPr="00E93126">
        <w:rPr>
          <w:rFonts w:eastAsiaTheme="minorHAnsi"/>
          <w:lang w:val="en-GB"/>
        </w:rPr>
        <w:t xml:space="preserve"> was a dominant brand</w:t>
      </w:r>
      <w:r w:rsidR="000273AB" w:rsidRPr="00E93126">
        <w:rPr>
          <w:rFonts w:eastAsiaTheme="minorHAnsi"/>
          <w:lang w:val="en-GB"/>
        </w:rPr>
        <w:t>,</w:t>
      </w:r>
      <w:r w:rsidRPr="00E93126">
        <w:rPr>
          <w:rFonts w:eastAsiaTheme="minorHAnsi"/>
          <w:lang w:val="en-GB"/>
        </w:rPr>
        <w:t xml:space="preserve"> </w:t>
      </w:r>
      <w:r w:rsidR="000273AB" w:rsidRPr="00E93126">
        <w:rPr>
          <w:rFonts w:eastAsiaTheme="minorHAnsi"/>
          <w:lang w:val="en-GB"/>
        </w:rPr>
        <w:t xml:space="preserve">which had </w:t>
      </w:r>
      <w:r w:rsidR="00E45E7F" w:rsidRPr="00E93126">
        <w:rPr>
          <w:rFonts w:eastAsiaTheme="minorHAnsi"/>
          <w:lang w:val="en-GB"/>
        </w:rPr>
        <w:t xml:space="preserve">more than </w:t>
      </w:r>
      <w:r w:rsidR="000273AB" w:rsidRPr="00E93126">
        <w:rPr>
          <w:rFonts w:eastAsiaTheme="minorHAnsi"/>
          <w:lang w:val="en-GB"/>
        </w:rPr>
        <w:t xml:space="preserve">a </w:t>
      </w:r>
      <w:r w:rsidR="00E45E7F" w:rsidRPr="00E93126">
        <w:rPr>
          <w:rFonts w:eastAsiaTheme="minorHAnsi"/>
          <w:lang w:val="en-GB"/>
        </w:rPr>
        <w:t>30 per cent share</w:t>
      </w:r>
      <w:r w:rsidRPr="00E93126">
        <w:rPr>
          <w:rFonts w:eastAsiaTheme="minorHAnsi"/>
          <w:lang w:val="en-GB"/>
        </w:rPr>
        <w:t xml:space="preserve"> in the Indonesian air conditioner market until the early 2000s. Thereafter, it had steadily lost its position to international </w:t>
      </w:r>
      <w:r w:rsidR="000273AB" w:rsidRPr="00E93126">
        <w:rPr>
          <w:rFonts w:eastAsiaTheme="minorHAnsi"/>
          <w:lang w:val="en-GB"/>
        </w:rPr>
        <w:t xml:space="preserve">competitors, </w:t>
      </w:r>
      <w:r w:rsidR="0087011A" w:rsidRPr="00E93126">
        <w:rPr>
          <w:rFonts w:eastAsiaTheme="minorHAnsi"/>
          <w:lang w:val="en-GB"/>
        </w:rPr>
        <w:t xml:space="preserve">such as </w:t>
      </w:r>
      <w:r w:rsidRPr="00E93126">
        <w:rPr>
          <w:rFonts w:eastAsiaTheme="minorHAnsi"/>
          <w:lang w:val="en-GB"/>
        </w:rPr>
        <w:t>GOLDY</w:t>
      </w:r>
      <w:r w:rsidR="00733495">
        <w:rPr>
          <w:rFonts w:eastAsiaTheme="minorHAnsi"/>
          <w:lang w:val="en-GB"/>
        </w:rPr>
        <w:t xml:space="preserve"> Electronics (GOLDY)</w:t>
      </w:r>
      <w:r w:rsidRPr="00E93126">
        <w:rPr>
          <w:rFonts w:eastAsiaTheme="minorHAnsi"/>
          <w:lang w:val="en-GB"/>
        </w:rPr>
        <w:t>, Smart Line</w:t>
      </w:r>
      <w:r w:rsidR="0087011A" w:rsidRPr="00E93126">
        <w:rPr>
          <w:rFonts w:eastAsiaTheme="minorHAnsi"/>
          <w:lang w:val="en-GB"/>
        </w:rPr>
        <w:t>,</w:t>
      </w:r>
      <w:r w:rsidRPr="00E93126">
        <w:rPr>
          <w:rFonts w:eastAsiaTheme="minorHAnsi"/>
          <w:lang w:val="en-GB"/>
        </w:rPr>
        <w:t xml:space="preserve"> and </w:t>
      </w:r>
      <w:proofErr w:type="spellStart"/>
      <w:r w:rsidRPr="00E93126">
        <w:rPr>
          <w:rFonts w:eastAsiaTheme="minorHAnsi"/>
          <w:lang w:val="en-GB"/>
        </w:rPr>
        <w:t>Technica</w:t>
      </w:r>
      <w:proofErr w:type="spellEnd"/>
      <w:r w:rsidRPr="00E93126">
        <w:rPr>
          <w:rFonts w:eastAsiaTheme="minorHAnsi"/>
          <w:lang w:val="en-GB"/>
        </w:rPr>
        <w:t xml:space="preserve">, </w:t>
      </w:r>
      <w:r w:rsidR="00735B78">
        <w:rPr>
          <w:rFonts w:eastAsiaTheme="minorHAnsi"/>
          <w:lang w:val="en-GB"/>
        </w:rPr>
        <w:t xml:space="preserve">the latter of </w:t>
      </w:r>
      <w:r w:rsidR="0087011A" w:rsidRPr="00E93126">
        <w:rPr>
          <w:rFonts w:eastAsiaTheme="minorHAnsi"/>
          <w:lang w:val="en-GB"/>
        </w:rPr>
        <w:t>which</w:t>
      </w:r>
      <w:r w:rsidRPr="00E93126">
        <w:rPr>
          <w:rFonts w:eastAsiaTheme="minorHAnsi"/>
          <w:lang w:val="en-GB"/>
        </w:rPr>
        <w:t xml:space="preserve"> commanded greater </w:t>
      </w:r>
      <w:r w:rsidR="00735B78">
        <w:rPr>
          <w:rFonts w:eastAsiaTheme="minorHAnsi"/>
          <w:lang w:val="en-GB"/>
        </w:rPr>
        <w:t>market shares</w:t>
      </w:r>
      <w:r w:rsidR="004F5DC8">
        <w:rPr>
          <w:rFonts w:eastAsiaTheme="minorHAnsi"/>
          <w:lang w:val="en-GB"/>
        </w:rPr>
        <w:t xml:space="preserve"> by 2018</w:t>
      </w:r>
      <w:r w:rsidRPr="00E93126">
        <w:rPr>
          <w:rFonts w:eastAsiaTheme="minorHAnsi"/>
          <w:lang w:val="en-GB"/>
        </w:rPr>
        <w:t>. GOLDY and Smart Line were also dominant players in the Indonesian television market, which was more than three times the</w:t>
      </w:r>
      <w:r w:rsidR="0087011A" w:rsidRPr="00E93126">
        <w:rPr>
          <w:rFonts w:eastAsiaTheme="minorHAnsi"/>
          <w:lang w:val="en-GB"/>
        </w:rPr>
        <w:t xml:space="preserve"> size </w:t>
      </w:r>
      <w:r w:rsidR="004F5DC8">
        <w:rPr>
          <w:rFonts w:eastAsiaTheme="minorHAnsi"/>
          <w:lang w:val="en-GB"/>
        </w:rPr>
        <w:t>of the</w:t>
      </w:r>
      <w:r w:rsidR="0087011A" w:rsidRPr="00E93126">
        <w:rPr>
          <w:rFonts w:eastAsiaTheme="minorHAnsi"/>
          <w:lang w:val="en-GB"/>
        </w:rPr>
        <w:t xml:space="preserve"> </w:t>
      </w:r>
      <w:r w:rsidRPr="00E93126">
        <w:rPr>
          <w:rFonts w:eastAsiaTheme="minorHAnsi"/>
          <w:lang w:val="en-GB"/>
        </w:rPr>
        <w:t>air conditioner</w:t>
      </w:r>
      <w:r w:rsidR="004F5DC8">
        <w:rPr>
          <w:rFonts w:eastAsiaTheme="minorHAnsi"/>
          <w:lang w:val="en-GB"/>
        </w:rPr>
        <w:t xml:space="preserve"> market</w:t>
      </w:r>
      <w:r w:rsidRPr="00E93126">
        <w:rPr>
          <w:rFonts w:eastAsiaTheme="minorHAnsi"/>
          <w:lang w:val="en-GB"/>
        </w:rPr>
        <w:t xml:space="preserve">. </w:t>
      </w:r>
      <w:r w:rsidR="004F1552">
        <w:rPr>
          <w:rFonts w:eastAsiaTheme="minorHAnsi"/>
          <w:lang w:val="en-GB"/>
        </w:rPr>
        <w:t>Since 2008</w:t>
      </w:r>
      <w:r w:rsidRPr="00E93126">
        <w:rPr>
          <w:rFonts w:eastAsiaTheme="minorHAnsi"/>
          <w:lang w:val="en-GB"/>
        </w:rPr>
        <w:t>, the Denpasar market had become an increasingly brand pull</w:t>
      </w:r>
      <w:r w:rsidR="0087011A" w:rsidRPr="00E93126">
        <w:rPr>
          <w:rFonts w:eastAsiaTheme="minorHAnsi"/>
          <w:lang w:val="en-GB"/>
        </w:rPr>
        <w:t>-</w:t>
      </w:r>
      <w:r w:rsidRPr="00E93126">
        <w:rPr>
          <w:rFonts w:eastAsiaTheme="minorHAnsi"/>
          <w:lang w:val="en-GB"/>
        </w:rPr>
        <w:t xml:space="preserve">driven market. </w:t>
      </w:r>
      <w:proofErr w:type="spellStart"/>
      <w:r w:rsidRPr="00E93126">
        <w:rPr>
          <w:rFonts w:eastAsiaTheme="minorHAnsi"/>
          <w:lang w:val="en-GB"/>
        </w:rPr>
        <w:t>Fairdeal</w:t>
      </w:r>
      <w:proofErr w:type="spellEnd"/>
      <w:r w:rsidRPr="00E93126">
        <w:rPr>
          <w:rFonts w:eastAsiaTheme="minorHAnsi"/>
          <w:lang w:val="en-GB"/>
        </w:rPr>
        <w:t xml:space="preserve">, with its diminished brand power, had depended more on the dealer push. </w:t>
      </w:r>
      <w:r w:rsidR="004F5DC8">
        <w:rPr>
          <w:rFonts w:eastAsiaTheme="minorHAnsi"/>
          <w:lang w:val="en-GB"/>
        </w:rPr>
        <w:t>The company</w:t>
      </w:r>
      <w:r w:rsidRPr="00E93126">
        <w:rPr>
          <w:rFonts w:eastAsiaTheme="minorHAnsi"/>
          <w:lang w:val="en-GB"/>
        </w:rPr>
        <w:t xml:space="preserve"> </w:t>
      </w:r>
      <w:r w:rsidR="0087011A" w:rsidRPr="00E93126">
        <w:rPr>
          <w:rFonts w:eastAsiaTheme="minorHAnsi"/>
          <w:lang w:val="en-GB"/>
        </w:rPr>
        <w:t xml:space="preserve">had </w:t>
      </w:r>
      <w:r w:rsidRPr="00E93126">
        <w:rPr>
          <w:rFonts w:eastAsiaTheme="minorHAnsi"/>
          <w:lang w:val="en-GB"/>
        </w:rPr>
        <w:t>deliberately followed a selective distribution strategy</w:t>
      </w:r>
      <w:r w:rsidR="0087011A" w:rsidRPr="00E93126">
        <w:rPr>
          <w:rFonts w:eastAsiaTheme="minorHAnsi"/>
          <w:lang w:val="en-GB"/>
        </w:rPr>
        <w:t>,</w:t>
      </w:r>
      <w:r w:rsidRPr="00E93126">
        <w:rPr>
          <w:rFonts w:eastAsiaTheme="minorHAnsi"/>
          <w:lang w:val="en-GB"/>
        </w:rPr>
        <w:t xml:space="preserve"> as opposed to the intensive distribution model followed by its major competitors. Now, with consumers looking for greater brand choice, dealers were under pressure to stock and display all the </w:t>
      </w:r>
      <w:r w:rsidR="000273AB" w:rsidRPr="00E93126">
        <w:rPr>
          <w:rFonts w:eastAsiaTheme="minorHAnsi"/>
          <w:lang w:val="en-GB"/>
        </w:rPr>
        <w:t xml:space="preserve">available </w:t>
      </w:r>
      <w:r w:rsidRPr="00E93126">
        <w:rPr>
          <w:rFonts w:eastAsiaTheme="minorHAnsi"/>
          <w:lang w:val="en-GB"/>
        </w:rPr>
        <w:t>brands. Umar wonder</w:t>
      </w:r>
      <w:r w:rsidR="004F5DC8">
        <w:rPr>
          <w:rFonts w:eastAsiaTheme="minorHAnsi"/>
          <w:lang w:val="en-GB"/>
        </w:rPr>
        <w:t>ed:</w:t>
      </w:r>
      <w:r w:rsidRPr="00E93126">
        <w:rPr>
          <w:rFonts w:eastAsiaTheme="minorHAnsi"/>
          <w:lang w:val="en-GB"/>
        </w:rPr>
        <w:t xml:space="preserve"> Had </w:t>
      </w:r>
      <w:proofErr w:type="spellStart"/>
      <w:r w:rsidR="0087011A" w:rsidRPr="00E93126">
        <w:rPr>
          <w:rFonts w:eastAsiaTheme="minorHAnsi"/>
          <w:lang w:val="en-GB"/>
        </w:rPr>
        <w:t>Fairdeal’s</w:t>
      </w:r>
      <w:proofErr w:type="spellEnd"/>
      <w:r w:rsidR="0087011A" w:rsidRPr="00E93126">
        <w:rPr>
          <w:rFonts w:eastAsiaTheme="minorHAnsi"/>
          <w:lang w:val="en-GB"/>
        </w:rPr>
        <w:t xml:space="preserve"> </w:t>
      </w:r>
      <w:r w:rsidRPr="00E93126">
        <w:rPr>
          <w:rFonts w:eastAsiaTheme="minorHAnsi"/>
          <w:lang w:val="en-GB"/>
        </w:rPr>
        <w:t xml:space="preserve">selective distribution strategy run its course? Was the </w:t>
      </w:r>
      <w:r w:rsidR="0087011A" w:rsidRPr="00E93126">
        <w:rPr>
          <w:rFonts w:eastAsiaTheme="minorHAnsi"/>
          <w:lang w:val="en-GB"/>
        </w:rPr>
        <w:t xml:space="preserve">timing </w:t>
      </w:r>
      <w:r w:rsidRPr="00E93126">
        <w:rPr>
          <w:rFonts w:eastAsiaTheme="minorHAnsi"/>
          <w:lang w:val="en-GB"/>
        </w:rPr>
        <w:t xml:space="preserve">right for </w:t>
      </w:r>
      <w:proofErr w:type="spellStart"/>
      <w:r w:rsidRPr="00E93126">
        <w:rPr>
          <w:rFonts w:eastAsiaTheme="minorHAnsi"/>
          <w:lang w:val="en-GB"/>
        </w:rPr>
        <w:t>Fairdeal</w:t>
      </w:r>
      <w:proofErr w:type="spellEnd"/>
      <w:r w:rsidRPr="00E93126">
        <w:rPr>
          <w:rFonts w:eastAsiaTheme="minorHAnsi"/>
          <w:lang w:val="en-GB"/>
        </w:rPr>
        <w:t xml:space="preserve"> to open up the market and move toward intensive distribution? </w:t>
      </w:r>
    </w:p>
    <w:p w14:paraId="07A3AC8C" w14:textId="77777777" w:rsidR="006A218B" w:rsidRPr="00E93126" w:rsidRDefault="006A218B" w:rsidP="006A218B">
      <w:pPr>
        <w:pStyle w:val="BodyTextMain"/>
        <w:rPr>
          <w:rFonts w:eastAsiaTheme="minorHAnsi"/>
          <w:lang w:val="en-GB"/>
        </w:rPr>
      </w:pPr>
    </w:p>
    <w:p w14:paraId="2D1F1F2C" w14:textId="77777777" w:rsidR="006A218B" w:rsidRPr="00E93126" w:rsidRDefault="006A218B" w:rsidP="006A218B">
      <w:pPr>
        <w:pStyle w:val="BodyTextMain"/>
        <w:rPr>
          <w:rFonts w:eastAsiaTheme="minorHAnsi"/>
          <w:lang w:val="en-GB"/>
        </w:rPr>
      </w:pPr>
    </w:p>
    <w:p w14:paraId="1DFBAA30" w14:textId="77777777" w:rsidR="006A218B" w:rsidRPr="00E93126" w:rsidRDefault="006A218B" w:rsidP="00733495">
      <w:pPr>
        <w:pStyle w:val="Casehead1"/>
        <w:outlineLvl w:val="0"/>
        <w:rPr>
          <w:rFonts w:eastAsiaTheme="minorHAnsi"/>
          <w:lang w:val="en-GB"/>
        </w:rPr>
      </w:pPr>
      <w:r w:rsidRPr="00E93126">
        <w:rPr>
          <w:rFonts w:eastAsiaTheme="minorHAnsi"/>
          <w:lang w:val="en-GB"/>
        </w:rPr>
        <w:t>COMPANY BACKGROUND</w:t>
      </w:r>
    </w:p>
    <w:p w14:paraId="5ABCA6B0" w14:textId="77777777" w:rsidR="006A218B" w:rsidRPr="00E93126" w:rsidRDefault="006A218B" w:rsidP="006A218B">
      <w:pPr>
        <w:pStyle w:val="BodyTextMain"/>
        <w:rPr>
          <w:lang w:val="en-GB"/>
        </w:rPr>
      </w:pPr>
    </w:p>
    <w:p w14:paraId="12539112" w14:textId="4B005E4D" w:rsidR="006A218B" w:rsidRPr="00E93126" w:rsidRDefault="006A218B" w:rsidP="006A218B">
      <w:pPr>
        <w:pStyle w:val="BodyTextMain"/>
        <w:rPr>
          <w:lang w:val="en-GB"/>
        </w:rPr>
      </w:pPr>
      <w:r w:rsidRPr="00E93126">
        <w:rPr>
          <w:lang w:val="en-GB"/>
        </w:rPr>
        <w:t>The Indonesian air conditioner market experienced a compound annual growth rate</w:t>
      </w:r>
      <w:r w:rsidR="00735B78">
        <w:rPr>
          <w:lang w:val="en-GB"/>
        </w:rPr>
        <w:t xml:space="preserve"> (CAGR)</w:t>
      </w:r>
      <w:r w:rsidRPr="00E93126">
        <w:rPr>
          <w:lang w:val="en-GB"/>
        </w:rPr>
        <w:t xml:space="preserve"> of 20 per</w:t>
      </w:r>
      <w:r w:rsidR="004208F2" w:rsidRPr="00E93126">
        <w:rPr>
          <w:lang w:val="en-GB"/>
        </w:rPr>
        <w:t xml:space="preserve"> </w:t>
      </w:r>
      <w:r w:rsidRPr="00E93126">
        <w:rPr>
          <w:lang w:val="en-GB"/>
        </w:rPr>
        <w:t>cent from 2010 to 2016. This growth was driven by rising household income</w:t>
      </w:r>
      <w:r w:rsidR="009624EF" w:rsidRPr="00E93126">
        <w:rPr>
          <w:lang w:val="en-GB"/>
        </w:rPr>
        <w:t>s</w:t>
      </w:r>
      <w:r w:rsidRPr="00E93126">
        <w:rPr>
          <w:lang w:val="en-GB"/>
        </w:rPr>
        <w:t>, improving living standards, rapid urbanization</w:t>
      </w:r>
      <w:r w:rsidR="0087011A" w:rsidRPr="00E93126">
        <w:rPr>
          <w:lang w:val="en-GB"/>
        </w:rPr>
        <w:t>,</w:t>
      </w:r>
      <w:r w:rsidRPr="00E93126">
        <w:rPr>
          <w:lang w:val="en-GB"/>
        </w:rPr>
        <w:t xml:space="preserve"> and </w:t>
      </w:r>
      <w:r w:rsidR="00440CCD">
        <w:rPr>
          <w:lang w:val="en-GB"/>
        </w:rPr>
        <w:t>an</w:t>
      </w:r>
      <w:r w:rsidRPr="00E93126">
        <w:rPr>
          <w:lang w:val="en-GB"/>
        </w:rPr>
        <w:t xml:space="preserve"> </w:t>
      </w:r>
      <w:r w:rsidR="00440CCD">
        <w:rPr>
          <w:lang w:val="en-GB"/>
        </w:rPr>
        <w:t>expanding</w:t>
      </w:r>
      <w:r w:rsidR="00440CCD" w:rsidRPr="00E93126">
        <w:rPr>
          <w:lang w:val="en-GB"/>
        </w:rPr>
        <w:t xml:space="preserve"> </w:t>
      </w:r>
      <w:r w:rsidRPr="00E93126">
        <w:rPr>
          <w:lang w:val="en-GB"/>
        </w:rPr>
        <w:t>distribution network</w:t>
      </w:r>
      <w:r w:rsidR="00735B78">
        <w:rPr>
          <w:lang w:val="en-GB"/>
        </w:rPr>
        <w:t>.</w:t>
      </w:r>
      <w:r w:rsidRPr="00E93126">
        <w:rPr>
          <w:lang w:val="en-GB"/>
        </w:rPr>
        <w:t xml:space="preserve"> </w:t>
      </w:r>
      <w:r w:rsidR="00735B78">
        <w:rPr>
          <w:lang w:val="en-GB"/>
        </w:rPr>
        <w:t>CAGR</w:t>
      </w:r>
      <w:r w:rsidRPr="00E93126">
        <w:rPr>
          <w:lang w:val="en-GB"/>
        </w:rPr>
        <w:t xml:space="preserve"> was expected to accelerate further in coming years. </w:t>
      </w:r>
      <w:r w:rsidR="00E45E7F" w:rsidRPr="00E93126">
        <w:rPr>
          <w:lang w:val="en-GB"/>
        </w:rPr>
        <w:t>The a</w:t>
      </w:r>
      <w:r w:rsidRPr="00E93126">
        <w:rPr>
          <w:lang w:val="en-GB"/>
        </w:rPr>
        <w:t>ir conditioner market could be broadly divided into two categories</w:t>
      </w:r>
      <w:r w:rsidR="0087011A" w:rsidRPr="00E93126">
        <w:rPr>
          <w:lang w:val="en-GB"/>
        </w:rPr>
        <w:t>: r</w:t>
      </w:r>
      <w:r w:rsidRPr="00E93126">
        <w:rPr>
          <w:lang w:val="en-GB"/>
        </w:rPr>
        <w:t xml:space="preserve">eciprocating and </w:t>
      </w:r>
      <w:r w:rsidR="00F366A9" w:rsidRPr="00E93126">
        <w:rPr>
          <w:lang w:val="en-GB"/>
        </w:rPr>
        <w:t>r</w:t>
      </w:r>
      <w:r w:rsidRPr="00E93126">
        <w:rPr>
          <w:lang w:val="en-GB"/>
        </w:rPr>
        <w:t>otary. Reciprocating products were priced lower</w:t>
      </w:r>
      <w:r w:rsidR="00735B78">
        <w:rPr>
          <w:lang w:val="en-GB"/>
        </w:rPr>
        <w:t xml:space="preserve"> than rotary products</w:t>
      </w:r>
      <w:r w:rsidRPr="00E93126">
        <w:rPr>
          <w:lang w:val="en-GB"/>
        </w:rPr>
        <w:t xml:space="preserve"> and </w:t>
      </w:r>
      <w:r w:rsidR="00F366A9" w:rsidRPr="00E93126">
        <w:rPr>
          <w:lang w:val="en-GB"/>
        </w:rPr>
        <w:t xml:space="preserve">were </w:t>
      </w:r>
      <w:r w:rsidR="00735B78">
        <w:rPr>
          <w:lang w:val="en-GB"/>
        </w:rPr>
        <w:t xml:space="preserve">popular </w:t>
      </w:r>
      <w:r w:rsidR="00735B78">
        <w:rPr>
          <w:lang w:val="en-GB"/>
        </w:rPr>
        <w:lastRenderedPageBreak/>
        <w:t>in the rural markets. R</w:t>
      </w:r>
      <w:r w:rsidRPr="00E93126">
        <w:rPr>
          <w:lang w:val="en-GB"/>
        </w:rPr>
        <w:t xml:space="preserve">otary </w:t>
      </w:r>
      <w:r w:rsidR="009624EF" w:rsidRPr="00E93126">
        <w:rPr>
          <w:lang w:val="en-GB"/>
        </w:rPr>
        <w:t xml:space="preserve">products </w:t>
      </w:r>
      <w:r w:rsidR="00E45E7F" w:rsidRPr="00E93126">
        <w:rPr>
          <w:lang w:val="en-GB"/>
        </w:rPr>
        <w:t>were</w:t>
      </w:r>
      <w:r w:rsidRPr="00E93126">
        <w:rPr>
          <w:lang w:val="en-GB"/>
        </w:rPr>
        <w:t xml:space="preserve"> </w:t>
      </w:r>
      <w:r w:rsidR="00735B78">
        <w:rPr>
          <w:lang w:val="en-GB"/>
        </w:rPr>
        <w:t xml:space="preserve">popular in </w:t>
      </w:r>
      <w:r w:rsidRPr="00E93126">
        <w:rPr>
          <w:lang w:val="en-GB"/>
        </w:rPr>
        <w:t>urban</w:t>
      </w:r>
      <w:r w:rsidR="00735B78">
        <w:rPr>
          <w:lang w:val="en-GB"/>
        </w:rPr>
        <w:t xml:space="preserve"> markets and were</w:t>
      </w:r>
      <w:r w:rsidRPr="00E93126">
        <w:rPr>
          <w:lang w:val="en-GB"/>
        </w:rPr>
        <w:t xml:space="preserve"> growing at a higher rate</w:t>
      </w:r>
      <w:r w:rsidR="00735B78">
        <w:rPr>
          <w:lang w:val="en-GB"/>
        </w:rPr>
        <w:t>, becoming more popular than reciprocating products</w:t>
      </w:r>
      <w:r w:rsidRPr="00E93126">
        <w:rPr>
          <w:lang w:val="en-GB"/>
        </w:rPr>
        <w:t xml:space="preserve">. Reciprocating models had </w:t>
      </w:r>
      <w:r w:rsidR="004208F2" w:rsidRPr="00E93126">
        <w:rPr>
          <w:lang w:val="en-GB"/>
        </w:rPr>
        <w:t>capacities ranging from 1</w:t>
      </w:r>
      <w:r w:rsidR="00F366A9" w:rsidRPr="00E93126">
        <w:rPr>
          <w:lang w:val="en-GB"/>
        </w:rPr>
        <w:t>–</w:t>
      </w:r>
      <w:r w:rsidR="004208F2" w:rsidRPr="00E93126">
        <w:rPr>
          <w:lang w:val="en-GB"/>
        </w:rPr>
        <w:t>3 t</w:t>
      </w:r>
      <w:r w:rsidRPr="00E93126">
        <w:rPr>
          <w:lang w:val="en-GB"/>
        </w:rPr>
        <w:t>on</w:t>
      </w:r>
      <w:r w:rsidR="004208F2" w:rsidRPr="00E93126">
        <w:rPr>
          <w:lang w:val="en-GB"/>
        </w:rPr>
        <w:t>s</w:t>
      </w:r>
      <w:r w:rsidR="00735B78">
        <w:rPr>
          <w:lang w:val="en-GB"/>
        </w:rPr>
        <w:t>.</w:t>
      </w:r>
      <w:r w:rsidR="009624EF" w:rsidRPr="00E93126">
        <w:rPr>
          <w:rStyle w:val="FootnoteReference"/>
          <w:lang w:val="en-GB"/>
        </w:rPr>
        <w:footnoteReference w:id="1"/>
      </w:r>
      <w:r w:rsidR="00735B78">
        <w:rPr>
          <w:lang w:val="en-GB"/>
        </w:rPr>
        <w:t xml:space="preserve"> T</w:t>
      </w:r>
      <w:r w:rsidR="00F366A9" w:rsidRPr="00E93126">
        <w:rPr>
          <w:lang w:val="en-GB"/>
        </w:rPr>
        <w:t xml:space="preserve">he </w:t>
      </w:r>
      <w:r w:rsidR="004208F2" w:rsidRPr="00E93126">
        <w:rPr>
          <w:lang w:val="en-GB"/>
        </w:rPr>
        <w:t xml:space="preserve">most popular </w:t>
      </w:r>
      <w:r w:rsidR="00735B78">
        <w:rPr>
          <w:lang w:val="en-GB"/>
        </w:rPr>
        <w:t>model had a 1.5-ton capacity and was</w:t>
      </w:r>
      <w:r w:rsidR="004208F2" w:rsidRPr="00E93126">
        <w:rPr>
          <w:lang w:val="en-GB"/>
        </w:rPr>
        <w:t xml:space="preserve"> priced around US$</w:t>
      </w:r>
      <w:r w:rsidRPr="00E93126">
        <w:rPr>
          <w:lang w:val="en-GB"/>
        </w:rPr>
        <w:t>500</w:t>
      </w:r>
      <w:r w:rsidR="004208F2" w:rsidRPr="00E93126">
        <w:rPr>
          <w:rStyle w:val="FootnoteReference"/>
          <w:lang w:val="en-GB"/>
        </w:rPr>
        <w:footnoteReference w:id="2"/>
      </w:r>
      <w:r w:rsidRPr="00E93126">
        <w:rPr>
          <w:lang w:val="en-GB"/>
        </w:rPr>
        <w:t xml:space="preserve"> per unit. Rotary models </w:t>
      </w:r>
      <w:r w:rsidR="00F366A9" w:rsidRPr="00E93126">
        <w:rPr>
          <w:lang w:val="en-GB"/>
        </w:rPr>
        <w:t xml:space="preserve">had </w:t>
      </w:r>
      <w:r w:rsidR="004208F2" w:rsidRPr="00E93126">
        <w:rPr>
          <w:lang w:val="en-GB"/>
        </w:rPr>
        <w:t>capacities from 0.75</w:t>
      </w:r>
      <w:r w:rsidR="00F366A9" w:rsidRPr="00E93126">
        <w:rPr>
          <w:lang w:val="en-GB"/>
        </w:rPr>
        <w:t>–</w:t>
      </w:r>
      <w:r w:rsidR="004208F2" w:rsidRPr="00E93126">
        <w:rPr>
          <w:lang w:val="en-GB"/>
        </w:rPr>
        <w:t>2.0 t</w:t>
      </w:r>
      <w:r w:rsidRPr="00E93126">
        <w:rPr>
          <w:lang w:val="en-GB"/>
        </w:rPr>
        <w:t xml:space="preserve">ons </w:t>
      </w:r>
      <w:r w:rsidR="00F366A9" w:rsidRPr="00E93126">
        <w:rPr>
          <w:lang w:val="en-GB"/>
        </w:rPr>
        <w:t xml:space="preserve">and </w:t>
      </w:r>
      <w:r w:rsidRPr="00E93126">
        <w:rPr>
          <w:lang w:val="en-GB"/>
        </w:rPr>
        <w:t>recorded</w:t>
      </w:r>
      <w:r w:rsidR="004208F2" w:rsidRPr="00E93126">
        <w:rPr>
          <w:lang w:val="en-GB"/>
        </w:rPr>
        <w:t xml:space="preserve"> high sales, </w:t>
      </w:r>
      <w:r w:rsidR="00F366A9" w:rsidRPr="00E93126">
        <w:rPr>
          <w:lang w:val="en-GB"/>
        </w:rPr>
        <w:t xml:space="preserve">with </w:t>
      </w:r>
      <w:r w:rsidR="009624EF" w:rsidRPr="00E93126">
        <w:rPr>
          <w:lang w:val="en-GB"/>
        </w:rPr>
        <w:t xml:space="preserve">the </w:t>
      </w:r>
      <w:r w:rsidR="007151EB">
        <w:rPr>
          <w:lang w:val="en-GB"/>
        </w:rPr>
        <w:t>best-</w:t>
      </w:r>
      <w:r w:rsidR="00150B40" w:rsidRPr="00E93126">
        <w:rPr>
          <w:lang w:val="en-GB"/>
        </w:rPr>
        <w:t>selling capacity</w:t>
      </w:r>
      <w:r w:rsidR="004208F2" w:rsidRPr="00E93126">
        <w:rPr>
          <w:lang w:val="en-GB"/>
        </w:rPr>
        <w:t xml:space="preserve"> being 1.5 tons priced </w:t>
      </w:r>
      <w:r w:rsidR="00F366A9" w:rsidRPr="00E93126">
        <w:rPr>
          <w:lang w:val="en-GB"/>
        </w:rPr>
        <w:t xml:space="preserve">at approximately </w:t>
      </w:r>
      <w:r w:rsidR="004208F2" w:rsidRPr="00E93126">
        <w:rPr>
          <w:lang w:val="en-GB"/>
        </w:rPr>
        <w:t>$</w:t>
      </w:r>
      <w:r w:rsidRPr="00E93126">
        <w:rPr>
          <w:lang w:val="en-GB"/>
        </w:rPr>
        <w:t xml:space="preserve">650 per unit. </w:t>
      </w:r>
      <w:r w:rsidR="00F366A9" w:rsidRPr="00E93126">
        <w:rPr>
          <w:lang w:val="en-GB"/>
        </w:rPr>
        <w:t xml:space="preserve">Apart from the brand name and the dealer influence, consumers’ purchase decisions were determined by the products’ </w:t>
      </w:r>
      <w:r w:rsidRPr="00E93126">
        <w:rPr>
          <w:lang w:val="en-GB"/>
        </w:rPr>
        <w:t>features</w:t>
      </w:r>
      <w:r w:rsidR="00F366A9" w:rsidRPr="00E93126">
        <w:rPr>
          <w:lang w:val="en-GB"/>
        </w:rPr>
        <w:t>,</w:t>
      </w:r>
      <w:r w:rsidRPr="00E93126">
        <w:rPr>
          <w:lang w:val="en-GB"/>
        </w:rPr>
        <w:t xml:space="preserve"> </w:t>
      </w:r>
      <w:r w:rsidR="00F366A9" w:rsidRPr="00E93126">
        <w:rPr>
          <w:lang w:val="en-GB"/>
        </w:rPr>
        <w:t xml:space="preserve">including the </w:t>
      </w:r>
      <w:r w:rsidRPr="00E93126">
        <w:rPr>
          <w:lang w:val="en-GB"/>
        </w:rPr>
        <w:t xml:space="preserve">energy (star) rating, warranty period, </w:t>
      </w:r>
      <w:r w:rsidR="002631F4" w:rsidRPr="00E93126">
        <w:rPr>
          <w:lang w:val="en-GB"/>
        </w:rPr>
        <w:t xml:space="preserve">general </w:t>
      </w:r>
      <w:r w:rsidRPr="00E93126">
        <w:rPr>
          <w:lang w:val="en-GB"/>
        </w:rPr>
        <w:t>quality, cooling</w:t>
      </w:r>
      <w:r w:rsidR="002631F4" w:rsidRPr="00E93126">
        <w:rPr>
          <w:lang w:val="en-GB"/>
        </w:rPr>
        <w:t xml:space="preserve"> function</w:t>
      </w:r>
      <w:r w:rsidRPr="00E93126">
        <w:rPr>
          <w:lang w:val="en-GB"/>
        </w:rPr>
        <w:t>, price, functionality, and styling.</w:t>
      </w:r>
    </w:p>
    <w:p w14:paraId="2AF11EEE" w14:textId="77777777" w:rsidR="006A218B" w:rsidRPr="00E93126" w:rsidRDefault="006A218B" w:rsidP="006A218B">
      <w:pPr>
        <w:pStyle w:val="BodyTextMain"/>
        <w:rPr>
          <w:lang w:val="en-GB"/>
        </w:rPr>
      </w:pPr>
    </w:p>
    <w:p w14:paraId="7F3C5D8F" w14:textId="67E3AAE1" w:rsidR="006A218B" w:rsidRPr="00E93126" w:rsidRDefault="00E45E7F" w:rsidP="006A218B">
      <w:pPr>
        <w:pStyle w:val="BodyTextMain"/>
        <w:rPr>
          <w:lang w:val="en-GB"/>
        </w:rPr>
      </w:pPr>
      <w:r w:rsidRPr="00E93126">
        <w:rPr>
          <w:lang w:val="en-GB"/>
        </w:rPr>
        <w:t>The c</w:t>
      </w:r>
      <w:r w:rsidR="006A218B" w:rsidRPr="00E93126">
        <w:rPr>
          <w:lang w:val="en-GB"/>
        </w:rPr>
        <w:t>ompetitive landscape</w:t>
      </w:r>
      <w:r w:rsidR="00264C05">
        <w:rPr>
          <w:lang w:val="en-GB"/>
        </w:rPr>
        <w:t xml:space="preserve"> in the</w:t>
      </w:r>
      <w:r w:rsidR="00264C05" w:rsidRPr="00264C05">
        <w:rPr>
          <w:lang w:val="en-GB"/>
        </w:rPr>
        <w:t xml:space="preserve"> </w:t>
      </w:r>
      <w:r w:rsidR="00E11580">
        <w:rPr>
          <w:lang w:val="en-GB"/>
        </w:rPr>
        <w:t xml:space="preserve">Indonesian air </w:t>
      </w:r>
      <w:r w:rsidR="00264C05" w:rsidRPr="00E93126">
        <w:rPr>
          <w:lang w:val="en-GB"/>
        </w:rPr>
        <w:t>condition</w:t>
      </w:r>
      <w:r w:rsidR="00E11580">
        <w:rPr>
          <w:lang w:val="en-GB"/>
        </w:rPr>
        <w:t>er</w:t>
      </w:r>
      <w:r w:rsidR="00264C05" w:rsidRPr="00E93126">
        <w:rPr>
          <w:lang w:val="en-GB"/>
        </w:rPr>
        <w:t xml:space="preserve"> market</w:t>
      </w:r>
      <w:r w:rsidR="006A218B" w:rsidRPr="00E93126">
        <w:rPr>
          <w:lang w:val="en-GB"/>
        </w:rPr>
        <w:t xml:space="preserve"> had changed over time</w:t>
      </w:r>
      <w:r w:rsidR="008B0877" w:rsidRPr="00E93126">
        <w:rPr>
          <w:lang w:val="en-GB"/>
        </w:rPr>
        <w:t>,</w:t>
      </w:r>
      <w:r w:rsidR="006A218B" w:rsidRPr="00E93126">
        <w:rPr>
          <w:lang w:val="en-GB"/>
        </w:rPr>
        <w:t xml:space="preserve"> with many players entering and leaving </w:t>
      </w:r>
      <w:r w:rsidR="004F1552">
        <w:rPr>
          <w:lang w:val="en-GB"/>
        </w:rPr>
        <w:t>since 2007</w:t>
      </w:r>
      <w:r w:rsidR="006A218B" w:rsidRPr="00E93126">
        <w:rPr>
          <w:lang w:val="en-GB"/>
        </w:rPr>
        <w:t xml:space="preserve">. </w:t>
      </w:r>
      <w:r w:rsidR="008A09F4">
        <w:rPr>
          <w:lang w:val="en-GB"/>
        </w:rPr>
        <w:t>By 2017, t</w:t>
      </w:r>
      <w:r w:rsidR="006A218B" w:rsidRPr="00E93126">
        <w:rPr>
          <w:lang w:val="en-GB"/>
        </w:rPr>
        <w:t xml:space="preserve">he top five players in </w:t>
      </w:r>
      <w:r w:rsidR="00150B40" w:rsidRPr="00E93126">
        <w:rPr>
          <w:lang w:val="en-GB"/>
        </w:rPr>
        <w:t>the market</w:t>
      </w:r>
      <w:r w:rsidR="008A09F4">
        <w:rPr>
          <w:lang w:val="en-GB"/>
        </w:rPr>
        <w:t xml:space="preserve"> </w:t>
      </w:r>
      <w:r w:rsidR="006A218B" w:rsidRPr="00E93126">
        <w:rPr>
          <w:lang w:val="en-GB"/>
        </w:rPr>
        <w:t xml:space="preserve">in terms of units sold were GOLDY, Smart Line, </w:t>
      </w:r>
      <w:proofErr w:type="spellStart"/>
      <w:r w:rsidR="006A218B" w:rsidRPr="00E93126">
        <w:rPr>
          <w:lang w:val="en-GB"/>
        </w:rPr>
        <w:t>Technica</w:t>
      </w:r>
      <w:proofErr w:type="spellEnd"/>
      <w:r w:rsidR="006A218B" w:rsidRPr="00E93126">
        <w:rPr>
          <w:lang w:val="en-GB"/>
        </w:rPr>
        <w:t xml:space="preserve">, </w:t>
      </w:r>
      <w:proofErr w:type="spellStart"/>
      <w:r w:rsidR="006A218B" w:rsidRPr="00E93126">
        <w:rPr>
          <w:lang w:val="en-GB"/>
        </w:rPr>
        <w:t>Fairdeal</w:t>
      </w:r>
      <w:proofErr w:type="spellEnd"/>
      <w:r w:rsidR="006A218B" w:rsidRPr="00E93126">
        <w:rPr>
          <w:lang w:val="en-GB"/>
        </w:rPr>
        <w:t xml:space="preserve">, and Harlem. All </w:t>
      </w:r>
      <w:r w:rsidR="008A09F4">
        <w:rPr>
          <w:lang w:val="en-GB"/>
        </w:rPr>
        <w:t>five firms</w:t>
      </w:r>
      <w:r w:rsidR="006A218B" w:rsidRPr="00E93126">
        <w:rPr>
          <w:lang w:val="en-GB"/>
        </w:rPr>
        <w:t xml:space="preserve"> tried to deliver products </w:t>
      </w:r>
      <w:r w:rsidR="00F366A9" w:rsidRPr="00E93126">
        <w:rPr>
          <w:lang w:val="en-GB"/>
        </w:rPr>
        <w:t>that used the latest technology</w:t>
      </w:r>
      <w:r w:rsidR="008B0877" w:rsidRPr="00E93126">
        <w:rPr>
          <w:lang w:val="en-GB"/>
        </w:rPr>
        <w:t>, which would</w:t>
      </w:r>
      <w:r w:rsidR="00F366A9" w:rsidRPr="00E93126">
        <w:rPr>
          <w:lang w:val="en-GB"/>
        </w:rPr>
        <w:t xml:space="preserve"> </w:t>
      </w:r>
      <w:r w:rsidR="006A218B" w:rsidRPr="00E93126">
        <w:rPr>
          <w:lang w:val="en-GB"/>
        </w:rPr>
        <w:t>add value to the changing needs of customer</w:t>
      </w:r>
      <w:r w:rsidR="008B0877" w:rsidRPr="00E93126">
        <w:rPr>
          <w:lang w:val="en-GB"/>
        </w:rPr>
        <w:t>s</w:t>
      </w:r>
      <w:r w:rsidR="006A218B" w:rsidRPr="00E93126">
        <w:rPr>
          <w:lang w:val="en-GB"/>
        </w:rPr>
        <w:t>. Air conditioner penetration in Indonesia was only 21 per</w:t>
      </w:r>
      <w:r w:rsidR="004208F2" w:rsidRPr="00E93126">
        <w:rPr>
          <w:lang w:val="en-GB"/>
        </w:rPr>
        <w:t xml:space="preserve"> </w:t>
      </w:r>
      <w:r w:rsidR="00735B78">
        <w:rPr>
          <w:lang w:val="en-GB"/>
        </w:rPr>
        <w:t>cent of households (</w:t>
      </w:r>
      <w:r w:rsidR="006A218B" w:rsidRPr="00E93126">
        <w:rPr>
          <w:lang w:val="en-GB"/>
        </w:rPr>
        <w:t>33 per</w:t>
      </w:r>
      <w:r w:rsidR="004208F2" w:rsidRPr="00E93126">
        <w:rPr>
          <w:lang w:val="en-GB"/>
        </w:rPr>
        <w:t xml:space="preserve"> </w:t>
      </w:r>
      <w:r w:rsidR="006A218B" w:rsidRPr="00E93126">
        <w:rPr>
          <w:lang w:val="en-GB"/>
        </w:rPr>
        <w:t>cent</w:t>
      </w:r>
      <w:r w:rsidR="00735B78">
        <w:rPr>
          <w:lang w:val="en-GB"/>
        </w:rPr>
        <w:t xml:space="preserve"> in urban areas)</w:t>
      </w:r>
      <w:r w:rsidR="006A218B" w:rsidRPr="00E93126">
        <w:rPr>
          <w:lang w:val="en-GB"/>
        </w:rPr>
        <w:t xml:space="preserve">, while </w:t>
      </w:r>
      <w:r w:rsidR="00F366A9" w:rsidRPr="00E93126">
        <w:rPr>
          <w:lang w:val="en-GB"/>
        </w:rPr>
        <w:t xml:space="preserve">the </w:t>
      </w:r>
      <w:r w:rsidR="006A218B" w:rsidRPr="00E93126">
        <w:rPr>
          <w:lang w:val="en-GB"/>
        </w:rPr>
        <w:t>global average was 58 per</w:t>
      </w:r>
      <w:r w:rsidR="004208F2" w:rsidRPr="00E93126">
        <w:rPr>
          <w:lang w:val="en-GB"/>
        </w:rPr>
        <w:t xml:space="preserve"> </w:t>
      </w:r>
      <w:r w:rsidR="006A218B" w:rsidRPr="00E93126">
        <w:rPr>
          <w:lang w:val="en-GB"/>
        </w:rPr>
        <w:t xml:space="preserve">cent. </w:t>
      </w:r>
    </w:p>
    <w:p w14:paraId="49DE33A1" w14:textId="77777777" w:rsidR="006A218B" w:rsidRPr="00E93126" w:rsidRDefault="006A218B" w:rsidP="006A218B">
      <w:pPr>
        <w:pStyle w:val="BodyTextMain"/>
        <w:rPr>
          <w:lang w:val="en-GB"/>
        </w:rPr>
      </w:pPr>
    </w:p>
    <w:p w14:paraId="6C6F8AEA" w14:textId="77777777" w:rsidR="006A218B" w:rsidRPr="00B53995" w:rsidRDefault="006A218B" w:rsidP="006A218B">
      <w:pPr>
        <w:pStyle w:val="BodyTextMain"/>
        <w:rPr>
          <w:spacing w:val="-2"/>
          <w:kern w:val="22"/>
          <w:lang w:val="en-GB"/>
        </w:rPr>
      </w:pPr>
      <w:r w:rsidRPr="00B53995">
        <w:rPr>
          <w:spacing w:val="-2"/>
          <w:kern w:val="22"/>
          <w:lang w:val="en-GB"/>
        </w:rPr>
        <w:t xml:space="preserve">Rural Indonesia comprised </w:t>
      </w:r>
      <w:r w:rsidR="00F366A9" w:rsidRPr="00B53995">
        <w:rPr>
          <w:spacing w:val="-2"/>
          <w:kern w:val="22"/>
          <w:lang w:val="en-GB"/>
        </w:rPr>
        <w:t xml:space="preserve">approximately </w:t>
      </w:r>
      <w:r w:rsidRPr="00B53995">
        <w:rPr>
          <w:spacing w:val="-2"/>
          <w:kern w:val="22"/>
          <w:lang w:val="en-GB"/>
        </w:rPr>
        <w:t xml:space="preserve">200,000 villages, inhabited by </w:t>
      </w:r>
      <w:r w:rsidR="00F366A9" w:rsidRPr="00B53995">
        <w:rPr>
          <w:spacing w:val="-2"/>
          <w:kern w:val="22"/>
          <w:lang w:val="en-GB"/>
        </w:rPr>
        <w:t xml:space="preserve">some </w:t>
      </w:r>
      <w:r w:rsidRPr="00B53995">
        <w:rPr>
          <w:spacing w:val="-2"/>
          <w:kern w:val="22"/>
          <w:lang w:val="en-GB"/>
        </w:rPr>
        <w:t xml:space="preserve">150 million consumers, </w:t>
      </w:r>
      <w:r w:rsidR="00F366A9" w:rsidRPr="00B53995">
        <w:rPr>
          <w:spacing w:val="-2"/>
          <w:kern w:val="22"/>
          <w:lang w:val="en-GB"/>
        </w:rPr>
        <w:t xml:space="preserve">who </w:t>
      </w:r>
      <w:r w:rsidR="00CE537C" w:rsidRPr="00B53995">
        <w:rPr>
          <w:spacing w:val="-2"/>
          <w:kern w:val="22"/>
          <w:lang w:val="en-GB"/>
        </w:rPr>
        <w:t xml:space="preserve">represented </w:t>
      </w:r>
      <w:r w:rsidRPr="00B53995">
        <w:rPr>
          <w:spacing w:val="-2"/>
          <w:kern w:val="22"/>
          <w:lang w:val="en-GB"/>
        </w:rPr>
        <w:t>almost 70 per</w:t>
      </w:r>
      <w:r w:rsidR="004208F2" w:rsidRPr="00B53995">
        <w:rPr>
          <w:spacing w:val="-2"/>
          <w:kern w:val="22"/>
          <w:lang w:val="en-GB"/>
        </w:rPr>
        <w:t xml:space="preserve"> </w:t>
      </w:r>
      <w:r w:rsidRPr="00B53995">
        <w:rPr>
          <w:spacing w:val="-2"/>
          <w:kern w:val="22"/>
          <w:lang w:val="en-GB"/>
        </w:rPr>
        <w:t xml:space="preserve">cent of </w:t>
      </w:r>
      <w:r w:rsidR="008B0877" w:rsidRPr="00B53995">
        <w:rPr>
          <w:spacing w:val="-2"/>
          <w:kern w:val="22"/>
          <w:lang w:val="en-GB"/>
        </w:rPr>
        <w:t xml:space="preserve">Indonesia’s </w:t>
      </w:r>
      <w:r w:rsidRPr="00B53995">
        <w:rPr>
          <w:spacing w:val="-2"/>
          <w:kern w:val="22"/>
          <w:lang w:val="en-GB"/>
        </w:rPr>
        <w:t xml:space="preserve">population, </w:t>
      </w:r>
      <w:r w:rsidR="00CE537C" w:rsidRPr="00B53995">
        <w:rPr>
          <w:spacing w:val="-2"/>
          <w:kern w:val="22"/>
          <w:lang w:val="en-GB"/>
        </w:rPr>
        <w:t xml:space="preserve">and </w:t>
      </w:r>
      <w:r w:rsidRPr="00B53995">
        <w:rPr>
          <w:spacing w:val="-2"/>
          <w:kern w:val="22"/>
          <w:lang w:val="en-GB"/>
        </w:rPr>
        <w:t xml:space="preserve">accounted for approximately half of the country’s </w:t>
      </w:r>
      <w:r w:rsidR="004208F2" w:rsidRPr="00B53995">
        <w:rPr>
          <w:spacing w:val="-2"/>
          <w:kern w:val="22"/>
          <w:lang w:val="en-GB"/>
        </w:rPr>
        <w:t>gross domestic product</w:t>
      </w:r>
      <w:r w:rsidRPr="00B53995">
        <w:rPr>
          <w:spacing w:val="-2"/>
          <w:kern w:val="22"/>
          <w:lang w:val="en-GB"/>
        </w:rPr>
        <w:t xml:space="preserve">. Rural areas provided </w:t>
      </w:r>
      <w:r w:rsidR="008A09F4">
        <w:rPr>
          <w:spacing w:val="-2"/>
          <w:kern w:val="22"/>
          <w:lang w:val="en-GB"/>
        </w:rPr>
        <w:t>substantial</w:t>
      </w:r>
      <w:r w:rsidR="008A09F4" w:rsidRPr="00B53995">
        <w:rPr>
          <w:spacing w:val="-2"/>
          <w:kern w:val="22"/>
          <w:lang w:val="en-GB"/>
        </w:rPr>
        <w:t xml:space="preserve"> </w:t>
      </w:r>
      <w:r w:rsidRPr="00B53995">
        <w:rPr>
          <w:spacing w:val="-2"/>
          <w:kern w:val="22"/>
          <w:lang w:val="en-GB"/>
        </w:rPr>
        <w:t xml:space="preserve">business </w:t>
      </w:r>
      <w:r w:rsidR="008A09F4">
        <w:rPr>
          <w:spacing w:val="-2"/>
          <w:kern w:val="22"/>
          <w:lang w:val="en-GB"/>
        </w:rPr>
        <w:t>for</w:t>
      </w:r>
      <w:r w:rsidRPr="00B53995">
        <w:rPr>
          <w:spacing w:val="-2"/>
          <w:kern w:val="22"/>
          <w:lang w:val="en-GB"/>
        </w:rPr>
        <w:t xml:space="preserve"> Indonesia’s consumer durable</w:t>
      </w:r>
      <w:r w:rsidR="008A09F4">
        <w:rPr>
          <w:spacing w:val="-2"/>
          <w:kern w:val="22"/>
          <w:lang w:val="en-GB"/>
        </w:rPr>
        <w:t>s</w:t>
      </w:r>
      <w:r w:rsidRPr="00B53995">
        <w:rPr>
          <w:spacing w:val="-2"/>
          <w:kern w:val="22"/>
          <w:lang w:val="en-GB"/>
        </w:rPr>
        <w:t xml:space="preserve"> companies</w:t>
      </w:r>
      <w:r w:rsidR="008A09F4">
        <w:rPr>
          <w:spacing w:val="-2"/>
          <w:kern w:val="22"/>
          <w:lang w:val="en-GB"/>
        </w:rPr>
        <w:t>, with many</w:t>
      </w:r>
      <w:r w:rsidRPr="00B53995">
        <w:rPr>
          <w:spacing w:val="-2"/>
          <w:kern w:val="22"/>
          <w:lang w:val="en-GB"/>
        </w:rPr>
        <w:t xml:space="preserve"> deriving one-third of their consumers from rural Indonesia. </w:t>
      </w:r>
      <w:r w:rsidR="008B0877" w:rsidRPr="00B53995">
        <w:rPr>
          <w:spacing w:val="-2"/>
          <w:kern w:val="22"/>
          <w:lang w:val="en-GB"/>
        </w:rPr>
        <w:t>Consumers in t</w:t>
      </w:r>
      <w:r w:rsidRPr="00B53995">
        <w:rPr>
          <w:spacing w:val="-2"/>
          <w:kern w:val="22"/>
          <w:lang w:val="en-GB"/>
        </w:rPr>
        <w:t xml:space="preserve">hese areas had different consumption patterns from </w:t>
      </w:r>
      <w:r w:rsidR="008B0877" w:rsidRPr="00B53995">
        <w:rPr>
          <w:spacing w:val="-2"/>
          <w:kern w:val="22"/>
          <w:lang w:val="en-GB"/>
        </w:rPr>
        <w:t xml:space="preserve">consumers in </w:t>
      </w:r>
      <w:r w:rsidRPr="00B53995">
        <w:rPr>
          <w:spacing w:val="-2"/>
          <w:kern w:val="22"/>
          <w:lang w:val="en-GB"/>
        </w:rPr>
        <w:t>the urban areas, but their preference</w:t>
      </w:r>
      <w:r w:rsidR="008B0877" w:rsidRPr="00B53995">
        <w:rPr>
          <w:spacing w:val="-2"/>
          <w:kern w:val="22"/>
          <w:lang w:val="en-GB"/>
        </w:rPr>
        <w:t>s</w:t>
      </w:r>
      <w:r w:rsidRPr="00B53995">
        <w:rPr>
          <w:spacing w:val="-2"/>
          <w:kern w:val="22"/>
          <w:lang w:val="en-GB"/>
        </w:rPr>
        <w:t xml:space="preserve"> </w:t>
      </w:r>
      <w:r w:rsidR="008B0877" w:rsidRPr="00B53995">
        <w:rPr>
          <w:spacing w:val="-2"/>
          <w:kern w:val="22"/>
          <w:lang w:val="en-GB"/>
        </w:rPr>
        <w:t xml:space="preserve">were </w:t>
      </w:r>
      <w:r w:rsidRPr="00B53995">
        <w:rPr>
          <w:spacing w:val="-2"/>
          <w:kern w:val="22"/>
          <w:lang w:val="en-GB"/>
        </w:rPr>
        <w:t xml:space="preserve">gradually but definitely changing to resemble </w:t>
      </w:r>
      <w:r w:rsidR="008B0877" w:rsidRPr="00B53995">
        <w:rPr>
          <w:spacing w:val="-2"/>
          <w:kern w:val="22"/>
          <w:lang w:val="en-GB"/>
        </w:rPr>
        <w:t xml:space="preserve">those </w:t>
      </w:r>
      <w:r w:rsidRPr="00B53995">
        <w:rPr>
          <w:spacing w:val="-2"/>
          <w:kern w:val="22"/>
          <w:lang w:val="en-GB"/>
        </w:rPr>
        <w:t xml:space="preserve">of </w:t>
      </w:r>
      <w:r w:rsidR="008B0877" w:rsidRPr="00B53995">
        <w:rPr>
          <w:spacing w:val="-2"/>
          <w:kern w:val="22"/>
          <w:lang w:val="en-GB"/>
        </w:rPr>
        <w:t xml:space="preserve">consumers in </w:t>
      </w:r>
      <w:r w:rsidRPr="00B53995">
        <w:rPr>
          <w:spacing w:val="-2"/>
          <w:kern w:val="22"/>
          <w:lang w:val="en-GB"/>
        </w:rPr>
        <w:t>the urban areas.</w:t>
      </w:r>
    </w:p>
    <w:p w14:paraId="0E3134A3" w14:textId="77777777" w:rsidR="006A218B" w:rsidRPr="00E93126" w:rsidRDefault="006A218B" w:rsidP="006A218B">
      <w:pPr>
        <w:pStyle w:val="BodyTextMain"/>
        <w:rPr>
          <w:lang w:val="en-GB"/>
        </w:rPr>
      </w:pPr>
    </w:p>
    <w:p w14:paraId="10BD0DFC" w14:textId="77777777" w:rsidR="006A218B" w:rsidRPr="00E93126" w:rsidRDefault="006A218B" w:rsidP="006A218B">
      <w:pPr>
        <w:pStyle w:val="BodyTextMain"/>
        <w:rPr>
          <w:lang w:val="en-GB"/>
        </w:rPr>
      </w:pPr>
    </w:p>
    <w:p w14:paraId="3FCE3BF0" w14:textId="77777777" w:rsidR="006A218B" w:rsidRPr="00E93126" w:rsidRDefault="002631F4" w:rsidP="00733495">
      <w:pPr>
        <w:pStyle w:val="Casehead1"/>
        <w:outlineLvl w:val="0"/>
        <w:rPr>
          <w:lang w:val="en-GB"/>
        </w:rPr>
      </w:pPr>
      <w:r w:rsidRPr="00E93126">
        <w:rPr>
          <w:lang w:val="en-GB"/>
        </w:rPr>
        <w:t xml:space="preserve">the </w:t>
      </w:r>
      <w:r w:rsidR="006A218B" w:rsidRPr="00E93126">
        <w:rPr>
          <w:lang w:val="en-GB"/>
        </w:rPr>
        <w:t>DENPASAR MARKET</w:t>
      </w:r>
    </w:p>
    <w:p w14:paraId="65DE3349" w14:textId="77777777" w:rsidR="006A218B" w:rsidRPr="00E93126" w:rsidRDefault="006A218B" w:rsidP="006A218B">
      <w:pPr>
        <w:pStyle w:val="BodyTextMain"/>
        <w:rPr>
          <w:lang w:val="en-GB"/>
        </w:rPr>
      </w:pPr>
    </w:p>
    <w:p w14:paraId="18627434" w14:textId="44C5E6D9" w:rsidR="006A218B" w:rsidRPr="00E93126" w:rsidRDefault="006A218B" w:rsidP="006A218B">
      <w:pPr>
        <w:pStyle w:val="BodyTextMain"/>
        <w:rPr>
          <w:lang w:val="en-GB"/>
        </w:rPr>
      </w:pPr>
      <w:r w:rsidRPr="00E93126">
        <w:rPr>
          <w:lang w:val="en-GB"/>
        </w:rPr>
        <w:t xml:space="preserve">All </w:t>
      </w:r>
      <w:r w:rsidR="00AD6F3E">
        <w:rPr>
          <w:lang w:val="en-GB"/>
        </w:rPr>
        <w:t xml:space="preserve">of </w:t>
      </w:r>
      <w:r w:rsidR="007C3834">
        <w:rPr>
          <w:lang w:val="en-GB"/>
        </w:rPr>
        <w:t>the</w:t>
      </w:r>
      <w:r w:rsidR="00AD6F3E">
        <w:rPr>
          <w:lang w:val="en-GB"/>
        </w:rPr>
        <w:t xml:space="preserve"> largest</w:t>
      </w:r>
      <w:r w:rsidR="002631F4" w:rsidRPr="00E93126">
        <w:rPr>
          <w:lang w:val="en-GB"/>
        </w:rPr>
        <w:t xml:space="preserve"> </w:t>
      </w:r>
      <w:r w:rsidRPr="00E93126">
        <w:rPr>
          <w:lang w:val="en-GB"/>
        </w:rPr>
        <w:t xml:space="preserve">air conditioner </w:t>
      </w:r>
      <w:r w:rsidR="002631F4" w:rsidRPr="00E93126">
        <w:rPr>
          <w:lang w:val="en-GB"/>
        </w:rPr>
        <w:t>companies</w:t>
      </w:r>
      <w:r w:rsidR="007C3834">
        <w:rPr>
          <w:lang w:val="en-GB"/>
        </w:rPr>
        <w:t xml:space="preserve"> in Indonesia</w:t>
      </w:r>
      <w:r w:rsidR="002631F4" w:rsidRPr="00E93126">
        <w:rPr>
          <w:lang w:val="en-GB"/>
        </w:rPr>
        <w:t xml:space="preserve"> </w:t>
      </w:r>
      <w:r w:rsidRPr="00E93126">
        <w:rPr>
          <w:lang w:val="en-GB"/>
        </w:rPr>
        <w:t xml:space="preserve">operated from branch offices in Denpasar. </w:t>
      </w:r>
      <w:r w:rsidR="00522440" w:rsidRPr="00E93126">
        <w:rPr>
          <w:lang w:val="en-GB"/>
        </w:rPr>
        <w:t>The b</w:t>
      </w:r>
      <w:r w:rsidRPr="00E93126">
        <w:rPr>
          <w:lang w:val="en-GB"/>
        </w:rPr>
        <w:t>ranches were headed by branch manager</w:t>
      </w:r>
      <w:r w:rsidR="00AD6F3E">
        <w:rPr>
          <w:lang w:val="en-GB"/>
        </w:rPr>
        <w:t>s</w:t>
      </w:r>
      <w:r w:rsidRPr="00E93126">
        <w:rPr>
          <w:lang w:val="en-GB"/>
        </w:rPr>
        <w:t xml:space="preserve">, </w:t>
      </w:r>
      <w:r w:rsidR="00522440" w:rsidRPr="00E93126">
        <w:rPr>
          <w:lang w:val="en-GB"/>
        </w:rPr>
        <w:t xml:space="preserve">who supervised </w:t>
      </w:r>
      <w:r w:rsidRPr="00E93126">
        <w:rPr>
          <w:lang w:val="en-GB"/>
        </w:rPr>
        <w:t>sales executives and commercial staff. Sales executives were responsible for delivering budgeted sales through the deale</w:t>
      </w:r>
      <w:r w:rsidR="00735B78">
        <w:rPr>
          <w:lang w:val="en-GB"/>
        </w:rPr>
        <w:t>r and distributor network. B</w:t>
      </w:r>
      <w:r w:rsidRPr="00E93126">
        <w:rPr>
          <w:lang w:val="en-GB"/>
        </w:rPr>
        <w:t xml:space="preserve">ranches supplied </w:t>
      </w:r>
      <w:r w:rsidR="00735B78">
        <w:rPr>
          <w:lang w:val="en-GB"/>
        </w:rPr>
        <w:t xml:space="preserve">products </w:t>
      </w:r>
      <w:r w:rsidRPr="00E93126">
        <w:rPr>
          <w:lang w:val="en-GB"/>
        </w:rPr>
        <w:t xml:space="preserve">directly to their dealers and </w:t>
      </w:r>
      <w:r w:rsidR="00CE537C" w:rsidRPr="00E93126">
        <w:rPr>
          <w:lang w:val="en-GB"/>
        </w:rPr>
        <w:t xml:space="preserve">to </w:t>
      </w:r>
      <w:r w:rsidRPr="00E93126">
        <w:rPr>
          <w:lang w:val="en-GB"/>
        </w:rPr>
        <w:t>distributors located in Denpasar and upcountry markets.</w:t>
      </w:r>
      <w:r w:rsidR="00AF475B">
        <w:rPr>
          <w:rStyle w:val="FootnoteReference"/>
          <w:lang w:val="en-GB"/>
        </w:rPr>
        <w:footnoteReference w:id="3"/>
      </w:r>
      <w:r w:rsidR="00293576">
        <w:rPr>
          <w:lang w:val="en-GB"/>
        </w:rPr>
        <w:t xml:space="preserve"> D</w:t>
      </w:r>
      <w:r w:rsidRPr="00E93126">
        <w:rPr>
          <w:lang w:val="en-GB"/>
        </w:rPr>
        <w:t xml:space="preserve">istributors typically supplied </w:t>
      </w:r>
      <w:r w:rsidR="00293576">
        <w:rPr>
          <w:lang w:val="en-GB"/>
        </w:rPr>
        <w:t xml:space="preserve">products </w:t>
      </w:r>
      <w:r w:rsidRPr="00E93126">
        <w:rPr>
          <w:lang w:val="en-GB"/>
        </w:rPr>
        <w:t>to the smaller retailers</w:t>
      </w:r>
      <w:r w:rsidR="00293576">
        <w:rPr>
          <w:lang w:val="en-GB"/>
        </w:rPr>
        <w:t>.</w:t>
      </w:r>
    </w:p>
    <w:p w14:paraId="1410ABF6" w14:textId="77777777" w:rsidR="006A218B" w:rsidRPr="00E93126" w:rsidRDefault="006A218B" w:rsidP="006A218B">
      <w:pPr>
        <w:pStyle w:val="BodyTextMain"/>
        <w:rPr>
          <w:lang w:val="en-GB"/>
        </w:rPr>
      </w:pPr>
    </w:p>
    <w:p w14:paraId="5EA1B144" w14:textId="14D59E2B" w:rsidR="006A218B" w:rsidRPr="00E93126" w:rsidRDefault="006A218B" w:rsidP="003B7558">
      <w:pPr>
        <w:pStyle w:val="BodyTextMain"/>
        <w:tabs>
          <w:tab w:val="decimal" w:pos="9214"/>
        </w:tabs>
        <w:rPr>
          <w:lang w:val="en-GB"/>
        </w:rPr>
      </w:pPr>
      <w:r w:rsidRPr="00E93126">
        <w:rPr>
          <w:lang w:val="en-GB"/>
        </w:rPr>
        <w:t>The major appliance dealers in Denpasar were Indonesia United Appliances (</w:t>
      </w:r>
      <w:proofErr w:type="spellStart"/>
      <w:r w:rsidRPr="00E93126">
        <w:rPr>
          <w:lang w:val="en-GB"/>
        </w:rPr>
        <w:t>Induapp</w:t>
      </w:r>
      <w:proofErr w:type="spellEnd"/>
      <w:r w:rsidRPr="00E93126">
        <w:rPr>
          <w:lang w:val="en-GB"/>
        </w:rPr>
        <w:t xml:space="preserve">), Abdul, Vision Electronics (Vision), Spectrum Electronics (Spectrum), Northeast Electronics (Northeast), </w:t>
      </w:r>
      <w:r w:rsidR="00522440" w:rsidRPr="00E93126">
        <w:rPr>
          <w:lang w:val="en-GB"/>
        </w:rPr>
        <w:t xml:space="preserve">and </w:t>
      </w:r>
      <w:r w:rsidRPr="00E93126">
        <w:rPr>
          <w:lang w:val="en-GB"/>
        </w:rPr>
        <w:t xml:space="preserve">Rahman Sales (Rahman). </w:t>
      </w:r>
      <w:r w:rsidR="00CE537C" w:rsidRPr="00E93126">
        <w:rPr>
          <w:lang w:val="en-GB"/>
        </w:rPr>
        <w:t>In addition, Denpasar had</w:t>
      </w:r>
      <w:r w:rsidRPr="00E93126">
        <w:rPr>
          <w:lang w:val="en-GB"/>
        </w:rPr>
        <w:t xml:space="preserve"> many smaller dealers</w:t>
      </w:r>
      <w:r w:rsidR="00CE537C" w:rsidRPr="00E93126">
        <w:rPr>
          <w:lang w:val="en-GB"/>
        </w:rPr>
        <w:t>,</w:t>
      </w:r>
      <w:r w:rsidRPr="00E93126">
        <w:rPr>
          <w:lang w:val="en-GB"/>
        </w:rPr>
        <w:t xml:space="preserve"> </w:t>
      </w:r>
      <w:r w:rsidR="00CE537C" w:rsidRPr="00E93126">
        <w:rPr>
          <w:lang w:val="en-GB"/>
        </w:rPr>
        <w:t xml:space="preserve">such as </w:t>
      </w:r>
      <w:proofErr w:type="spellStart"/>
      <w:r w:rsidRPr="00E93126">
        <w:rPr>
          <w:lang w:val="en-GB"/>
        </w:rPr>
        <w:t>Taufiq</w:t>
      </w:r>
      <w:proofErr w:type="spellEnd"/>
      <w:r w:rsidRPr="00E93126">
        <w:rPr>
          <w:lang w:val="en-GB"/>
        </w:rPr>
        <w:t xml:space="preserve"> Stores, </w:t>
      </w:r>
      <w:proofErr w:type="spellStart"/>
      <w:r w:rsidRPr="00E93126">
        <w:rPr>
          <w:lang w:val="en-GB"/>
        </w:rPr>
        <w:t>Ramnath</w:t>
      </w:r>
      <w:proofErr w:type="spellEnd"/>
      <w:r w:rsidRPr="00E93126">
        <w:rPr>
          <w:lang w:val="en-GB"/>
        </w:rPr>
        <w:t xml:space="preserve"> Traders, </w:t>
      </w:r>
      <w:r w:rsidR="00CE537C" w:rsidRPr="00E93126">
        <w:rPr>
          <w:lang w:val="en-GB"/>
        </w:rPr>
        <w:t xml:space="preserve">and </w:t>
      </w:r>
      <w:r w:rsidRPr="00E93126">
        <w:rPr>
          <w:lang w:val="en-GB"/>
        </w:rPr>
        <w:t xml:space="preserve">Ibrahim Electronics, but they did not </w:t>
      </w:r>
      <w:r w:rsidR="00753BFB" w:rsidRPr="00E93126">
        <w:rPr>
          <w:lang w:val="en-GB"/>
        </w:rPr>
        <w:t xml:space="preserve">generate </w:t>
      </w:r>
      <w:r w:rsidRPr="00E93126">
        <w:rPr>
          <w:lang w:val="en-GB"/>
        </w:rPr>
        <w:t xml:space="preserve">significant air conditioner sales. All </w:t>
      </w:r>
      <w:r w:rsidR="00E63A1A">
        <w:rPr>
          <w:lang w:val="en-GB"/>
        </w:rPr>
        <w:t xml:space="preserve">of </w:t>
      </w:r>
      <w:r w:rsidRPr="00E93126">
        <w:rPr>
          <w:lang w:val="en-GB"/>
        </w:rPr>
        <w:t xml:space="preserve">these dealers were multi-brand, multi-product outlets </w:t>
      </w:r>
      <w:r w:rsidR="00CE537C" w:rsidRPr="00E93126">
        <w:rPr>
          <w:lang w:val="en-GB"/>
        </w:rPr>
        <w:t xml:space="preserve">that </w:t>
      </w:r>
      <w:r w:rsidRPr="00E93126">
        <w:rPr>
          <w:lang w:val="en-GB"/>
        </w:rPr>
        <w:t xml:space="preserve">provided consumers </w:t>
      </w:r>
      <w:r w:rsidR="00CE537C" w:rsidRPr="00E93126">
        <w:rPr>
          <w:lang w:val="en-GB"/>
        </w:rPr>
        <w:t xml:space="preserve">with a </w:t>
      </w:r>
      <w:r w:rsidRPr="00E93126">
        <w:rPr>
          <w:lang w:val="en-GB"/>
        </w:rPr>
        <w:t>one</w:t>
      </w:r>
      <w:r w:rsidR="00CE537C" w:rsidRPr="00E93126">
        <w:rPr>
          <w:lang w:val="en-GB"/>
        </w:rPr>
        <w:t>-</w:t>
      </w:r>
      <w:r w:rsidRPr="00E93126">
        <w:rPr>
          <w:lang w:val="en-GB"/>
        </w:rPr>
        <w:t xml:space="preserve">stop solution for their appliance needs. </w:t>
      </w:r>
      <w:r w:rsidR="008E1278" w:rsidRPr="00E93126">
        <w:rPr>
          <w:lang w:val="en-GB"/>
        </w:rPr>
        <w:t>In addition to selling air conditioners, t</w:t>
      </w:r>
      <w:r w:rsidRPr="00E93126">
        <w:rPr>
          <w:lang w:val="en-GB"/>
        </w:rPr>
        <w:t xml:space="preserve">hey </w:t>
      </w:r>
      <w:r w:rsidR="008E1278" w:rsidRPr="00E93126">
        <w:rPr>
          <w:lang w:val="en-GB"/>
        </w:rPr>
        <w:t xml:space="preserve">also </w:t>
      </w:r>
      <w:r w:rsidRPr="00E93126">
        <w:rPr>
          <w:lang w:val="en-GB"/>
        </w:rPr>
        <w:t xml:space="preserve">sold televisions, washing machines, refrigerators, </w:t>
      </w:r>
      <w:r w:rsidR="008E1278" w:rsidRPr="00E93126">
        <w:rPr>
          <w:lang w:val="en-GB"/>
        </w:rPr>
        <w:t xml:space="preserve">and </w:t>
      </w:r>
      <w:r w:rsidRPr="00E93126">
        <w:rPr>
          <w:lang w:val="en-GB"/>
        </w:rPr>
        <w:t xml:space="preserve">microwaves. </w:t>
      </w:r>
      <w:r w:rsidR="00522440" w:rsidRPr="00E93126">
        <w:rPr>
          <w:lang w:val="en-GB"/>
        </w:rPr>
        <w:t>For these dealer</w:t>
      </w:r>
      <w:r w:rsidR="00753BFB" w:rsidRPr="00E93126">
        <w:rPr>
          <w:lang w:val="en-GB"/>
        </w:rPr>
        <w:t>s</w:t>
      </w:r>
      <w:r w:rsidRPr="00E93126">
        <w:rPr>
          <w:lang w:val="en-GB"/>
        </w:rPr>
        <w:t>, the air conditioner business accounted for</w:t>
      </w:r>
      <w:r w:rsidR="00522440" w:rsidRPr="00E93126">
        <w:rPr>
          <w:lang w:val="en-GB"/>
        </w:rPr>
        <w:t>, on average,</w:t>
      </w:r>
      <w:r w:rsidRPr="00E93126">
        <w:rPr>
          <w:lang w:val="en-GB"/>
        </w:rPr>
        <w:t xml:space="preserve"> </w:t>
      </w:r>
      <w:r w:rsidR="008E1278" w:rsidRPr="00E93126">
        <w:rPr>
          <w:lang w:val="en-GB"/>
        </w:rPr>
        <w:t xml:space="preserve">20 </w:t>
      </w:r>
      <w:r w:rsidRPr="00E93126">
        <w:rPr>
          <w:lang w:val="en-GB"/>
        </w:rPr>
        <w:t>per</w:t>
      </w:r>
      <w:r w:rsidR="008E1278" w:rsidRPr="00E93126">
        <w:rPr>
          <w:lang w:val="en-GB"/>
        </w:rPr>
        <w:t xml:space="preserve"> </w:t>
      </w:r>
      <w:r w:rsidRPr="00E93126">
        <w:rPr>
          <w:lang w:val="en-GB"/>
        </w:rPr>
        <w:t xml:space="preserve">cent of their turnover and </w:t>
      </w:r>
      <w:r w:rsidR="008E1278" w:rsidRPr="00E93126">
        <w:rPr>
          <w:lang w:val="en-GB"/>
        </w:rPr>
        <w:t xml:space="preserve">15 </w:t>
      </w:r>
      <w:r w:rsidRPr="00E93126">
        <w:rPr>
          <w:lang w:val="en-GB"/>
        </w:rPr>
        <w:t>per</w:t>
      </w:r>
      <w:r w:rsidR="004208F2" w:rsidRPr="00E93126">
        <w:rPr>
          <w:lang w:val="en-GB"/>
        </w:rPr>
        <w:t xml:space="preserve"> </w:t>
      </w:r>
      <w:r w:rsidRPr="00E93126">
        <w:rPr>
          <w:lang w:val="en-GB"/>
        </w:rPr>
        <w:t>cent of their profit</w:t>
      </w:r>
      <w:r w:rsidR="00293576">
        <w:rPr>
          <w:lang w:val="en-GB"/>
        </w:rPr>
        <w:t xml:space="preserve"> (see Exhibit 1)</w:t>
      </w:r>
      <w:r w:rsidRPr="00E93126">
        <w:rPr>
          <w:lang w:val="en-GB"/>
        </w:rPr>
        <w:t>. The companies selling air conditioner</w:t>
      </w:r>
      <w:r w:rsidR="008E1278" w:rsidRPr="00E93126">
        <w:rPr>
          <w:lang w:val="en-GB"/>
        </w:rPr>
        <w:t>s</w:t>
      </w:r>
      <w:r w:rsidRPr="00E93126">
        <w:rPr>
          <w:lang w:val="en-GB"/>
        </w:rPr>
        <w:t xml:space="preserve"> also </w:t>
      </w:r>
      <w:r w:rsidR="008E1278" w:rsidRPr="00E93126">
        <w:rPr>
          <w:lang w:val="en-GB"/>
        </w:rPr>
        <w:t xml:space="preserve">represented </w:t>
      </w:r>
      <w:r w:rsidRPr="00E93126">
        <w:rPr>
          <w:lang w:val="en-GB"/>
        </w:rPr>
        <w:t xml:space="preserve">multiple product </w:t>
      </w:r>
      <w:r w:rsidR="00293576">
        <w:rPr>
          <w:lang w:val="en-GB"/>
        </w:rPr>
        <w:t>ranges.</w:t>
      </w:r>
    </w:p>
    <w:p w14:paraId="7C1A60AE" w14:textId="77777777" w:rsidR="006A218B" w:rsidRPr="00E93126" w:rsidRDefault="006A218B" w:rsidP="006A218B">
      <w:pPr>
        <w:pStyle w:val="BodyTextMain"/>
        <w:rPr>
          <w:lang w:val="en-GB"/>
        </w:rPr>
      </w:pPr>
    </w:p>
    <w:p w14:paraId="1AFBF165" w14:textId="77777777" w:rsidR="006A218B" w:rsidRPr="00E93126" w:rsidRDefault="006A218B" w:rsidP="006A218B">
      <w:pPr>
        <w:pStyle w:val="BodyTextMain"/>
        <w:rPr>
          <w:lang w:val="en-GB"/>
        </w:rPr>
      </w:pPr>
      <w:r w:rsidRPr="00E93126">
        <w:rPr>
          <w:lang w:val="en-GB"/>
        </w:rPr>
        <w:t>There was intense competition among the dealers</w:t>
      </w:r>
      <w:r w:rsidR="008E1278" w:rsidRPr="00E93126">
        <w:rPr>
          <w:lang w:val="en-GB"/>
        </w:rPr>
        <w:t>,</w:t>
      </w:r>
      <w:r w:rsidRPr="00E93126">
        <w:rPr>
          <w:lang w:val="en-GB"/>
        </w:rPr>
        <w:t xml:space="preserve"> and price-cutting was common. The gross margin earned </w:t>
      </w:r>
      <w:r w:rsidR="004208F2" w:rsidRPr="00E93126">
        <w:rPr>
          <w:lang w:val="en-GB"/>
        </w:rPr>
        <w:t>by the dealers varied between $20</w:t>
      </w:r>
      <w:r w:rsidR="008E1278" w:rsidRPr="00E93126">
        <w:rPr>
          <w:lang w:val="en-GB"/>
        </w:rPr>
        <w:t xml:space="preserve"> and </w:t>
      </w:r>
      <w:r w:rsidR="004208F2" w:rsidRPr="00E93126">
        <w:rPr>
          <w:lang w:val="en-GB"/>
        </w:rPr>
        <w:t xml:space="preserve">$30 </w:t>
      </w:r>
      <w:r w:rsidRPr="00E93126">
        <w:rPr>
          <w:lang w:val="en-GB"/>
        </w:rPr>
        <w:t xml:space="preserve">per air conditioner sold. This variation in gross margin </w:t>
      </w:r>
      <w:r w:rsidR="008E1278" w:rsidRPr="00E93126">
        <w:rPr>
          <w:lang w:val="en-GB"/>
        </w:rPr>
        <w:t xml:space="preserve">depended </w:t>
      </w:r>
      <w:r w:rsidRPr="00E93126">
        <w:rPr>
          <w:lang w:val="en-GB"/>
        </w:rPr>
        <w:t xml:space="preserve">on the specific model being sold, </w:t>
      </w:r>
      <w:r w:rsidR="008E1278" w:rsidRPr="00E93126">
        <w:rPr>
          <w:lang w:val="en-GB"/>
        </w:rPr>
        <w:t xml:space="preserve">the </w:t>
      </w:r>
      <w:r w:rsidRPr="00E93126">
        <w:rPr>
          <w:lang w:val="en-GB"/>
        </w:rPr>
        <w:t>season</w:t>
      </w:r>
      <w:r w:rsidR="008E1278" w:rsidRPr="00E93126">
        <w:rPr>
          <w:lang w:val="en-GB"/>
        </w:rPr>
        <w:t>,</w:t>
      </w:r>
      <w:r w:rsidRPr="00E93126">
        <w:rPr>
          <w:lang w:val="en-GB"/>
        </w:rPr>
        <w:t xml:space="preserve"> and the bargaining capability of </w:t>
      </w:r>
      <w:r w:rsidR="00E63A1A">
        <w:rPr>
          <w:lang w:val="en-GB"/>
        </w:rPr>
        <w:t xml:space="preserve">the </w:t>
      </w:r>
      <w:r w:rsidRPr="00E93126">
        <w:rPr>
          <w:lang w:val="en-GB"/>
        </w:rPr>
        <w:t>customer, apart from the dealer</w:t>
      </w:r>
      <w:r w:rsidR="008E1278" w:rsidRPr="00E93126">
        <w:rPr>
          <w:lang w:val="en-GB"/>
        </w:rPr>
        <w:t>’</w:t>
      </w:r>
      <w:r w:rsidRPr="00E93126">
        <w:rPr>
          <w:lang w:val="en-GB"/>
        </w:rPr>
        <w:t>s sales target, turnover, and inventory level of the specific model of the product.</w:t>
      </w:r>
    </w:p>
    <w:p w14:paraId="1504C20E" w14:textId="77777777" w:rsidR="006A218B" w:rsidRPr="00E93126" w:rsidRDefault="006A218B" w:rsidP="006A218B">
      <w:pPr>
        <w:pStyle w:val="BodyTextMain"/>
        <w:rPr>
          <w:lang w:val="en-GB"/>
        </w:rPr>
      </w:pPr>
      <w:r w:rsidRPr="00E93126">
        <w:rPr>
          <w:lang w:val="en-GB"/>
        </w:rPr>
        <w:lastRenderedPageBreak/>
        <w:t>Companies provided after</w:t>
      </w:r>
      <w:r w:rsidR="008E1278" w:rsidRPr="00E93126">
        <w:rPr>
          <w:lang w:val="en-GB"/>
        </w:rPr>
        <w:t>-</w:t>
      </w:r>
      <w:r w:rsidRPr="00E93126">
        <w:rPr>
          <w:lang w:val="en-GB"/>
        </w:rPr>
        <w:t xml:space="preserve">sales service to consumers directly, using a separate service franchisee network. </w:t>
      </w:r>
      <w:r w:rsidR="008E1278" w:rsidRPr="00E93126">
        <w:rPr>
          <w:lang w:val="en-GB"/>
        </w:rPr>
        <w:t>The s</w:t>
      </w:r>
      <w:r w:rsidRPr="00E93126">
        <w:rPr>
          <w:lang w:val="en-GB"/>
        </w:rPr>
        <w:t>ervice department</w:t>
      </w:r>
      <w:r w:rsidR="00E63A1A">
        <w:rPr>
          <w:lang w:val="en-GB"/>
        </w:rPr>
        <w:t>s</w:t>
      </w:r>
      <w:r w:rsidRPr="00E93126">
        <w:rPr>
          <w:lang w:val="en-GB"/>
        </w:rPr>
        <w:t xml:space="preserve"> of these appliance companies supervised these franchisees</w:t>
      </w:r>
      <w:r w:rsidR="00753BFB" w:rsidRPr="00E93126">
        <w:rPr>
          <w:lang w:val="en-GB"/>
        </w:rPr>
        <w:t xml:space="preserve"> and</w:t>
      </w:r>
      <w:r w:rsidRPr="00E93126">
        <w:rPr>
          <w:lang w:val="en-GB"/>
        </w:rPr>
        <w:t xml:space="preserve"> reported to the branch manager, but operate</w:t>
      </w:r>
      <w:r w:rsidR="00E45E7F" w:rsidRPr="00E93126">
        <w:rPr>
          <w:lang w:val="en-GB"/>
        </w:rPr>
        <w:t>d</w:t>
      </w:r>
      <w:r w:rsidRPr="00E93126">
        <w:rPr>
          <w:lang w:val="en-GB"/>
        </w:rPr>
        <w:t xml:space="preserve"> independent</w:t>
      </w:r>
      <w:r w:rsidR="008E1278" w:rsidRPr="00E93126">
        <w:rPr>
          <w:lang w:val="en-GB"/>
        </w:rPr>
        <w:t>ly</w:t>
      </w:r>
      <w:r w:rsidRPr="00E93126">
        <w:rPr>
          <w:lang w:val="en-GB"/>
        </w:rPr>
        <w:t xml:space="preserve"> of the sales function unless a specific issue </w:t>
      </w:r>
      <w:r w:rsidR="008E1278" w:rsidRPr="00E93126">
        <w:rPr>
          <w:lang w:val="en-GB"/>
        </w:rPr>
        <w:t xml:space="preserve">arose </w:t>
      </w:r>
      <w:r w:rsidRPr="00E93126">
        <w:rPr>
          <w:lang w:val="en-GB"/>
        </w:rPr>
        <w:t>with any dealer or distributor.</w:t>
      </w:r>
    </w:p>
    <w:p w14:paraId="72955731" w14:textId="77777777" w:rsidR="004208F2" w:rsidRPr="00E93126" w:rsidRDefault="004208F2" w:rsidP="006A218B">
      <w:pPr>
        <w:pStyle w:val="BodyTextMain"/>
        <w:rPr>
          <w:lang w:val="en-GB"/>
        </w:rPr>
      </w:pPr>
    </w:p>
    <w:p w14:paraId="663EF746" w14:textId="421C485F" w:rsidR="006A218B" w:rsidRPr="00E93126" w:rsidRDefault="006A218B" w:rsidP="006A218B">
      <w:pPr>
        <w:pStyle w:val="BodyTextMain"/>
        <w:rPr>
          <w:lang w:val="en-GB"/>
        </w:rPr>
      </w:pPr>
      <w:r w:rsidRPr="00E93126">
        <w:rPr>
          <w:lang w:val="en-GB"/>
        </w:rPr>
        <w:t xml:space="preserve">Retail appliance sales in Denpasar </w:t>
      </w:r>
      <w:r w:rsidR="00E45E7F" w:rsidRPr="00E93126">
        <w:rPr>
          <w:lang w:val="en-GB"/>
        </w:rPr>
        <w:t>were</w:t>
      </w:r>
      <w:r w:rsidRPr="00E93126">
        <w:rPr>
          <w:lang w:val="en-GB"/>
        </w:rPr>
        <w:t xml:space="preserve"> concentrated in three m</w:t>
      </w:r>
      <w:r w:rsidR="00714F0A">
        <w:rPr>
          <w:lang w:val="en-GB"/>
        </w:rPr>
        <w:t>ain</w:t>
      </w:r>
      <w:r w:rsidRPr="00E93126">
        <w:rPr>
          <w:lang w:val="en-GB"/>
        </w:rPr>
        <w:t xml:space="preserve"> markets</w:t>
      </w:r>
      <w:r w:rsidR="00714F0A">
        <w:rPr>
          <w:lang w:val="en-GB"/>
        </w:rPr>
        <w:t>:</w:t>
      </w:r>
      <w:r w:rsidRPr="00E93126">
        <w:rPr>
          <w:lang w:val="en-GB"/>
        </w:rPr>
        <w:t xml:space="preserve"> </w:t>
      </w:r>
      <w:proofErr w:type="spellStart"/>
      <w:r w:rsidRPr="00E93126">
        <w:rPr>
          <w:lang w:val="en-GB"/>
        </w:rPr>
        <w:t>Beringharjo</w:t>
      </w:r>
      <w:proofErr w:type="spellEnd"/>
      <w:r w:rsidRPr="00E93126">
        <w:rPr>
          <w:lang w:val="en-GB"/>
        </w:rPr>
        <w:t xml:space="preserve"> (30 per</w:t>
      </w:r>
      <w:r w:rsidR="004208F2" w:rsidRPr="00E93126">
        <w:rPr>
          <w:lang w:val="en-GB"/>
        </w:rPr>
        <w:t xml:space="preserve"> </w:t>
      </w:r>
      <w:r w:rsidRPr="00E93126">
        <w:rPr>
          <w:lang w:val="en-GB"/>
        </w:rPr>
        <w:t xml:space="preserve">cent), </w:t>
      </w:r>
      <w:proofErr w:type="spellStart"/>
      <w:r w:rsidRPr="00E93126">
        <w:rPr>
          <w:lang w:val="en-GB"/>
        </w:rPr>
        <w:t>Baru</w:t>
      </w:r>
      <w:proofErr w:type="spellEnd"/>
      <w:r w:rsidRPr="00E93126">
        <w:rPr>
          <w:lang w:val="en-GB"/>
        </w:rPr>
        <w:t xml:space="preserve"> (20 per</w:t>
      </w:r>
      <w:r w:rsidR="004208F2" w:rsidRPr="00E93126">
        <w:rPr>
          <w:lang w:val="en-GB"/>
        </w:rPr>
        <w:t xml:space="preserve"> </w:t>
      </w:r>
      <w:r w:rsidRPr="00E93126">
        <w:rPr>
          <w:lang w:val="en-GB"/>
        </w:rPr>
        <w:t>cent)</w:t>
      </w:r>
      <w:r w:rsidR="008E0040" w:rsidRPr="00E93126">
        <w:rPr>
          <w:lang w:val="en-GB"/>
        </w:rPr>
        <w:t>,</w:t>
      </w:r>
      <w:r w:rsidRPr="00E93126">
        <w:rPr>
          <w:lang w:val="en-GB"/>
        </w:rPr>
        <w:t xml:space="preserve"> </w:t>
      </w:r>
      <w:r w:rsidR="00E45E7F" w:rsidRPr="00E93126">
        <w:rPr>
          <w:lang w:val="en-GB"/>
        </w:rPr>
        <w:t>and Santa Modern (45 per</w:t>
      </w:r>
      <w:r w:rsidR="004208F2" w:rsidRPr="00E93126">
        <w:rPr>
          <w:lang w:val="en-GB"/>
        </w:rPr>
        <w:t xml:space="preserve"> </w:t>
      </w:r>
      <w:r w:rsidR="00E45E7F" w:rsidRPr="00E93126">
        <w:rPr>
          <w:lang w:val="en-GB"/>
        </w:rPr>
        <w:t>cent). T</w:t>
      </w:r>
      <w:r w:rsidRPr="00E93126">
        <w:rPr>
          <w:lang w:val="en-GB"/>
        </w:rPr>
        <w:t xml:space="preserve">he </w:t>
      </w:r>
      <w:r w:rsidR="00E45E7F" w:rsidRPr="00E93126">
        <w:rPr>
          <w:lang w:val="en-GB"/>
        </w:rPr>
        <w:t>remaining</w:t>
      </w:r>
      <w:r w:rsidRPr="00E93126">
        <w:rPr>
          <w:lang w:val="en-GB"/>
        </w:rPr>
        <w:t xml:space="preserve"> 5 per</w:t>
      </w:r>
      <w:r w:rsidR="004208F2" w:rsidRPr="00E93126">
        <w:rPr>
          <w:lang w:val="en-GB"/>
        </w:rPr>
        <w:t xml:space="preserve"> </w:t>
      </w:r>
      <w:r w:rsidRPr="00E93126">
        <w:rPr>
          <w:lang w:val="en-GB"/>
        </w:rPr>
        <w:t xml:space="preserve">cent of sales </w:t>
      </w:r>
      <w:r w:rsidR="00E45E7F" w:rsidRPr="00E93126">
        <w:rPr>
          <w:lang w:val="en-GB"/>
        </w:rPr>
        <w:t>were</w:t>
      </w:r>
      <w:r w:rsidRPr="00E93126">
        <w:rPr>
          <w:lang w:val="en-GB"/>
        </w:rPr>
        <w:t xml:space="preserve"> in smaller markets distributed </w:t>
      </w:r>
      <w:r w:rsidR="008E1278" w:rsidRPr="00E93126">
        <w:rPr>
          <w:lang w:val="en-GB"/>
        </w:rPr>
        <w:t>across</w:t>
      </w:r>
      <w:r w:rsidRPr="00E93126">
        <w:rPr>
          <w:lang w:val="en-GB"/>
        </w:rPr>
        <w:t xml:space="preserve"> Denpasar. </w:t>
      </w:r>
      <w:r w:rsidR="00E45E7F" w:rsidRPr="00E93126">
        <w:rPr>
          <w:lang w:val="en-GB"/>
        </w:rPr>
        <w:t xml:space="preserve">The </w:t>
      </w:r>
      <w:proofErr w:type="spellStart"/>
      <w:r w:rsidRPr="00E93126">
        <w:rPr>
          <w:lang w:val="en-GB"/>
        </w:rPr>
        <w:t>Beringharj</w:t>
      </w:r>
      <w:r w:rsidR="00293576">
        <w:rPr>
          <w:lang w:val="en-GB"/>
        </w:rPr>
        <w:t>o</w:t>
      </w:r>
      <w:proofErr w:type="spellEnd"/>
      <w:r w:rsidR="00293576">
        <w:rPr>
          <w:lang w:val="en-GB"/>
        </w:rPr>
        <w:t xml:space="preserve"> outlet of </w:t>
      </w:r>
      <w:proofErr w:type="spellStart"/>
      <w:r w:rsidR="00293576">
        <w:rPr>
          <w:lang w:val="en-GB"/>
        </w:rPr>
        <w:t>Induapp</w:t>
      </w:r>
      <w:proofErr w:type="spellEnd"/>
      <w:r w:rsidR="00293576">
        <w:rPr>
          <w:lang w:val="en-GB"/>
        </w:rPr>
        <w:t xml:space="preserve"> contributed</w:t>
      </w:r>
      <w:r w:rsidR="00AD0638" w:rsidRPr="00E93126">
        <w:rPr>
          <w:lang w:val="en-GB"/>
        </w:rPr>
        <w:t xml:space="preserve"> </w:t>
      </w:r>
      <w:r w:rsidRPr="00E93126">
        <w:rPr>
          <w:lang w:val="en-GB"/>
        </w:rPr>
        <w:t>almost 32 per</w:t>
      </w:r>
      <w:r w:rsidR="004208F2" w:rsidRPr="00E93126">
        <w:rPr>
          <w:lang w:val="en-GB"/>
        </w:rPr>
        <w:t xml:space="preserve"> </w:t>
      </w:r>
      <w:r w:rsidR="00293576">
        <w:rPr>
          <w:lang w:val="en-GB"/>
        </w:rPr>
        <w:t>cent to</w:t>
      </w:r>
      <w:r w:rsidRPr="00E93126">
        <w:rPr>
          <w:lang w:val="en-GB"/>
        </w:rPr>
        <w:t xml:space="preserve"> </w:t>
      </w:r>
      <w:proofErr w:type="spellStart"/>
      <w:r w:rsidR="00AD0638" w:rsidRPr="00E93126">
        <w:rPr>
          <w:lang w:val="en-GB"/>
        </w:rPr>
        <w:t>Induapp’s</w:t>
      </w:r>
      <w:proofErr w:type="spellEnd"/>
      <w:r w:rsidR="00AD0638" w:rsidRPr="00E93126">
        <w:rPr>
          <w:lang w:val="en-GB"/>
        </w:rPr>
        <w:t xml:space="preserve"> </w:t>
      </w:r>
      <w:r w:rsidRPr="00E93126">
        <w:rPr>
          <w:lang w:val="en-GB"/>
        </w:rPr>
        <w:t xml:space="preserve">total </w:t>
      </w:r>
      <w:r w:rsidR="00AD0638" w:rsidRPr="00E93126">
        <w:rPr>
          <w:lang w:val="en-GB"/>
        </w:rPr>
        <w:t xml:space="preserve">annual </w:t>
      </w:r>
      <w:r w:rsidRPr="00E93126">
        <w:rPr>
          <w:lang w:val="en-GB"/>
        </w:rPr>
        <w:t xml:space="preserve">air conditioner sales. </w:t>
      </w:r>
      <w:r w:rsidR="008E0040" w:rsidRPr="00E93126">
        <w:rPr>
          <w:lang w:val="en-GB"/>
        </w:rPr>
        <w:t>In contrast</w:t>
      </w:r>
      <w:r w:rsidRPr="00E93126">
        <w:rPr>
          <w:lang w:val="en-GB"/>
        </w:rPr>
        <w:t>, in the initial six month</w:t>
      </w:r>
      <w:r w:rsidR="004208F2" w:rsidRPr="00E93126">
        <w:rPr>
          <w:lang w:val="en-GB"/>
        </w:rPr>
        <w:t>s</w:t>
      </w:r>
      <w:r w:rsidR="00150B40" w:rsidRPr="00E93126">
        <w:rPr>
          <w:lang w:val="en-GB"/>
        </w:rPr>
        <w:t xml:space="preserve"> of ope</w:t>
      </w:r>
      <w:r w:rsidR="00E85339">
        <w:rPr>
          <w:lang w:val="en-GB"/>
        </w:rPr>
        <w:t>rating a</w:t>
      </w:r>
      <w:r w:rsidR="00150B40" w:rsidRPr="00E93126">
        <w:rPr>
          <w:lang w:val="en-GB"/>
        </w:rPr>
        <w:t xml:space="preserve"> retail counter in </w:t>
      </w:r>
      <w:proofErr w:type="spellStart"/>
      <w:r w:rsidR="00150B40" w:rsidRPr="00E93126">
        <w:rPr>
          <w:lang w:val="en-GB"/>
        </w:rPr>
        <w:t>Beringharjo</w:t>
      </w:r>
      <w:proofErr w:type="spellEnd"/>
      <w:r w:rsidR="004208F2" w:rsidRPr="00E93126">
        <w:rPr>
          <w:lang w:val="en-GB"/>
        </w:rPr>
        <w:t>, Abdul could generate only 25 per cent</w:t>
      </w:r>
      <w:r w:rsidRPr="00E93126">
        <w:rPr>
          <w:lang w:val="en-GB"/>
        </w:rPr>
        <w:t xml:space="preserve"> of its total monthly air conditioner sales from </w:t>
      </w:r>
      <w:r w:rsidR="00E93126">
        <w:rPr>
          <w:lang w:val="en-GB"/>
        </w:rPr>
        <w:t xml:space="preserve">the </w:t>
      </w:r>
      <w:proofErr w:type="spellStart"/>
      <w:r w:rsidRPr="00E93126">
        <w:rPr>
          <w:lang w:val="en-GB"/>
        </w:rPr>
        <w:t>Beringharjo</w:t>
      </w:r>
      <w:proofErr w:type="spellEnd"/>
      <w:r w:rsidRPr="00E93126">
        <w:rPr>
          <w:lang w:val="en-GB"/>
        </w:rPr>
        <w:t xml:space="preserve"> outlet.</w:t>
      </w:r>
    </w:p>
    <w:p w14:paraId="18A117AB" w14:textId="77777777" w:rsidR="006A218B" w:rsidRPr="00E93126" w:rsidRDefault="006A218B" w:rsidP="006A218B">
      <w:pPr>
        <w:pStyle w:val="BodyTextMain"/>
        <w:rPr>
          <w:lang w:val="en-GB"/>
        </w:rPr>
      </w:pPr>
    </w:p>
    <w:p w14:paraId="7715A96C" w14:textId="77777777" w:rsidR="006A218B" w:rsidRPr="00E93126" w:rsidRDefault="006A218B" w:rsidP="006A218B">
      <w:pPr>
        <w:pStyle w:val="BodyTextMain"/>
        <w:rPr>
          <w:lang w:val="en-GB"/>
        </w:rPr>
      </w:pPr>
    </w:p>
    <w:p w14:paraId="15119E2E" w14:textId="77777777" w:rsidR="006A218B" w:rsidRPr="00E93126" w:rsidRDefault="006A218B" w:rsidP="00733495">
      <w:pPr>
        <w:pStyle w:val="Casehead1"/>
        <w:outlineLvl w:val="0"/>
        <w:rPr>
          <w:lang w:val="en-GB"/>
        </w:rPr>
      </w:pPr>
      <w:r w:rsidRPr="00E93126">
        <w:rPr>
          <w:lang w:val="en-GB"/>
        </w:rPr>
        <w:t>APPLIANCE COMPANIES IN DENPASAR</w:t>
      </w:r>
    </w:p>
    <w:p w14:paraId="5FEE0D9F" w14:textId="77777777" w:rsidR="006A218B" w:rsidRPr="00E93126" w:rsidRDefault="006A218B" w:rsidP="006A218B">
      <w:pPr>
        <w:pStyle w:val="BodyTextMain"/>
        <w:rPr>
          <w:rFonts w:eastAsiaTheme="minorHAnsi"/>
          <w:lang w:val="en-GB"/>
        </w:rPr>
      </w:pPr>
    </w:p>
    <w:p w14:paraId="4A8D6E78" w14:textId="77777777" w:rsidR="00FE5EEB" w:rsidRPr="00E93126" w:rsidRDefault="006A218B" w:rsidP="00733495">
      <w:pPr>
        <w:pStyle w:val="Casehead2"/>
        <w:outlineLvl w:val="0"/>
        <w:rPr>
          <w:lang w:val="en-GB"/>
        </w:rPr>
      </w:pPr>
      <w:proofErr w:type="spellStart"/>
      <w:r w:rsidRPr="00E93126">
        <w:rPr>
          <w:lang w:val="en-GB"/>
        </w:rPr>
        <w:t>Fairdeal</w:t>
      </w:r>
      <w:proofErr w:type="spellEnd"/>
      <w:r w:rsidR="00C25160" w:rsidRPr="00E93126">
        <w:rPr>
          <w:lang w:val="en-GB"/>
        </w:rPr>
        <w:t xml:space="preserve"> Appliances</w:t>
      </w:r>
    </w:p>
    <w:p w14:paraId="2ED3C60A" w14:textId="77777777" w:rsidR="00FE5EEB" w:rsidRPr="00E93126" w:rsidRDefault="00FE5EEB" w:rsidP="006A218B">
      <w:pPr>
        <w:pStyle w:val="BodyTextMain"/>
        <w:rPr>
          <w:lang w:val="en-GB"/>
        </w:rPr>
      </w:pPr>
    </w:p>
    <w:p w14:paraId="0D613C50" w14:textId="52114F22" w:rsidR="006A218B" w:rsidRPr="00E93126" w:rsidRDefault="006A218B" w:rsidP="006A218B">
      <w:pPr>
        <w:pStyle w:val="BodyTextMain"/>
        <w:rPr>
          <w:lang w:val="en-GB"/>
        </w:rPr>
      </w:pPr>
      <w:proofErr w:type="spellStart"/>
      <w:r w:rsidRPr="00E93126">
        <w:rPr>
          <w:lang w:val="en-GB"/>
        </w:rPr>
        <w:t>Fairdeal</w:t>
      </w:r>
      <w:proofErr w:type="spellEnd"/>
      <w:r w:rsidRPr="00E93126">
        <w:rPr>
          <w:lang w:val="en-GB"/>
        </w:rPr>
        <w:t xml:space="preserve"> had set up its </w:t>
      </w:r>
      <w:r w:rsidR="00E00042" w:rsidRPr="00E93126">
        <w:rPr>
          <w:lang w:val="en-GB"/>
        </w:rPr>
        <w:t xml:space="preserve">Denpasar </w:t>
      </w:r>
      <w:r w:rsidRPr="00E93126">
        <w:rPr>
          <w:lang w:val="en-GB"/>
        </w:rPr>
        <w:t xml:space="preserve">branch operation in 1986. </w:t>
      </w:r>
      <w:r w:rsidR="00FE5EEB" w:rsidRPr="00E93126">
        <w:rPr>
          <w:lang w:val="en-GB"/>
        </w:rPr>
        <w:t xml:space="preserve">It </w:t>
      </w:r>
      <w:r w:rsidRPr="00E93126">
        <w:rPr>
          <w:lang w:val="en-GB"/>
        </w:rPr>
        <w:t xml:space="preserve">had </w:t>
      </w:r>
      <w:r w:rsidR="00FE5EEB" w:rsidRPr="00E93126">
        <w:rPr>
          <w:lang w:val="en-GB"/>
        </w:rPr>
        <w:t xml:space="preserve">a </w:t>
      </w:r>
      <w:r w:rsidRPr="00E93126">
        <w:rPr>
          <w:lang w:val="en-GB"/>
        </w:rPr>
        <w:t xml:space="preserve">stable </w:t>
      </w:r>
      <w:r w:rsidR="00FE5EEB" w:rsidRPr="00E93126">
        <w:rPr>
          <w:lang w:val="en-GB"/>
        </w:rPr>
        <w:t>workforce</w:t>
      </w:r>
      <w:r w:rsidRPr="00E93126">
        <w:rPr>
          <w:lang w:val="en-GB"/>
        </w:rPr>
        <w:t xml:space="preserve">, which showed a rise in the attrition rate of </w:t>
      </w:r>
      <w:r w:rsidR="00FE5EEB" w:rsidRPr="00E93126">
        <w:rPr>
          <w:lang w:val="en-GB"/>
        </w:rPr>
        <w:t xml:space="preserve">its </w:t>
      </w:r>
      <w:r w:rsidRPr="00E93126">
        <w:rPr>
          <w:lang w:val="en-GB"/>
        </w:rPr>
        <w:t>sales force</w:t>
      </w:r>
      <w:r w:rsidR="000A075C">
        <w:rPr>
          <w:lang w:val="en-GB"/>
        </w:rPr>
        <w:t xml:space="preserve"> </w:t>
      </w:r>
      <w:r w:rsidR="00AF475B">
        <w:rPr>
          <w:lang w:val="en-GB"/>
        </w:rPr>
        <w:t>from</w:t>
      </w:r>
      <w:r w:rsidR="000A075C">
        <w:rPr>
          <w:lang w:val="en-GB"/>
        </w:rPr>
        <w:t xml:space="preserve"> 2015</w:t>
      </w:r>
      <w:r w:rsidR="00AF475B">
        <w:rPr>
          <w:lang w:val="en-GB"/>
        </w:rPr>
        <w:t xml:space="preserve"> to 2018</w:t>
      </w:r>
      <w:r w:rsidRPr="00E93126">
        <w:rPr>
          <w:lang w:val="en-GB"/>
        </w:rPr>
        <w:t xml:space="preserve">. The support staff </w:t>
      </w:r>
      <w:r w:rsidR="000206F9" w:rsidRPr="00E93126">
        <w:rPr>
          <w:lang w:val="en-GB"/>
        </w:rPr>
        <w:t xml:space="preserve">looked after </w:t>
      </w:r>
      <w:r w:rsidRPr="00E93126">
        <w:rPr>
          <w:lang w:val="en-GB"/>
        </w:rPr>
        <w:t>accounts, after</w:t>
      </w:r>
      <w:r w:rsidR="00FE5EEB" w:rsidRPr="00E93126">
        <w:rPr>
          <w:lang w:val="en-GB"/>
        </w:rPr>
        <w:t>-</w:t>
      </w:r>
      <w:r w:rsidRPr="00E93126">
        <w:rPr>
          <w:lang w:val="en-GB"/>
        </w:rPr>
        <w:t>sales service</w:t>
      </w:r>
      <w:r w:rsidR="00FE5EEB" w:rsidRPr="00E93126">
        <w:rPr>
          <w:lang w:val="en-GB"/>
        </w:rPr>
        <w:t>,</w:t>
      </w:r>
      <w:r w:rsidRPr="00E93126">
        <w:rPr>
          <w:lang w:val="en-GB"/>
        </w:rPr>
        <w:t xml:space="preserve"> and logistics</w:t>
      </w:r>
      <w:r w:rsidR="00FE5EEB" w:rsidRPr="00E93126">
        <w:rPr>
          <w:lang w:val="en-GB"/>
        </w:rPr>
        <w:t>,</w:t>
      </w:r>
      <w:r w:rsidRPr="00E93126">
        <w:rPr>
          <w:lang w:val="en-GB"/>
        </w:rPr>
        <w:t xml:space="preserve"> </w:t>
      </w:r>
      <w:r w:rsidR="000206F9" w:rsidRPr="00E93126">
        <w:rPr>
          <w:lang w:val="en-GB"/>
        </w:rPr>
        <w:t xml:space="preserve">and </w:t>
      </w:r>
      <w:r w:rsidRPr="00E93126">
        <w:rPr>
          <w:lang w:val="en-GB"/>
        </w:rPr>
        <w:t xml:space="preserve">had remained </w:t>
      </w:r>
      <w:r w:rsidR="00FE5EEB" w:rsidRPr="00E93126">
        <w:rPr>
          <w:lang w:val="en-GB"/>
        </w:rPr>
        <w:t xml:space="preserve">virtually </w:t>
      </w:r>
      <w:r w:rsidRPr="00E93126">
        <w:rPr>
          <w:lang w:val="en-GB"/>
        </w:rPr>
        <w:t xml:space="preserve">unchanged since </w:t>
      </w:r>
      <w:proofErr w:type="spellStart"/>
      <w:r w:rsidR="00CC2258" w:rsidRPr="00E93126">
        <w:rPr>
          <w:lang w:val="en-GB"/>
        </w:rPr>
        <w:t>Fairdeal’s</w:t>
      </w:r>
      <w:proofErr w:type="spellEnd"/>
      <w:r w:rsidR="00CC2258" w:rsidRPr="00E93126">
        <w:rPr>
          <w:lang w:val="en-GB"/>
        </w:rPr>
        <w:t xml:space="preserve"> </w:t>
      </w:r>
      <w:r w:rsidRPr="00E93126">
        <w:rPr>
          <w:lang w:val="en-GB"/>
        </w:rPr>
        <w:t xml:space="preserve">inception. </w:t>
      </w:r>
      <w:r w:rsidR="00CC2258" w:rsidRPr="00E93126">
        <w:rPr>
          <w:lang w:val="en-GB"/>
        </w:rPr>
        <w:t xml:space="preserve">The company </w:t>
      </w:r>
      <w:r w:rsidRPr="00E93126">
        <w:rPr>
          <w:lang w:val="en-GB"/>
        </w:rPr>
        <w:t xml:space="preserve">appointed </w:t>
      </w:r>
      <w:r w:rsidR="00CC2258" w:rsidRPr="00E93126">
        <w:rPr>
          <w:lang w:val="en-GB"/>
        </w:rPr>
        <w:t xml:space="preserve">its </w:t>
      </w:r>
      <w:r w:rsidRPr="00E93126">
        <w:rPr>
          <w:lang w:val="en-GB"/>
        </w:rPr>
        <w:t xml:space="preserve">dealers and distributors carefully with the objective of </w:t>
      </w:r>
      <w:r w:rsidR="00293576">
        <w:rPr>
          <w:lang w:val="en-GB"/>
        </w:rPr>
        <w:t xml:space="preserve">creating </w:t>
      </w:r>
      <w:r w:rsidR="00CC2258" w:rsidRPr="00E93126">
        <w:rPr>
          <w:lang w:val="en-GB"/>
        </w:rPr>
        <w:t xml:space="preserve">a </w:t>
      </w:r>
      <w:r w:rsidRPr="00E93126">
        <w:rPr>
          <w:lang w:val="en-GB"/>
        </w:rPr>
        <w:t>long</w:t>
      </w:r>
      <w:r w:rsidR="00CC2258" w:rsidRPr="00E93126">
        <w:rPr>
          <w:lang w:val="en-GB"/>
        </w:rPr>
        <w:t>-</w:t>
      </w:r>
      <w:r w:rsidRPr="00E93126">
        <w:rPr>
          <w:lang w:val="en-GB"/>
        </w:rPr>
        <w:t xml:space="preserve">term business association. </w:t>
      </w:r>
      <w:proofErr w:type="spellStart"/>
      <w:r w:rsidR="00CC2258" w:rsidRPr="00E93126">
        <w:rPr>
          <w:lang w:val="en-GB"/>
        </w:rPr>
        <w:t>Fairdeal</w:t>
      </w:r>
      <w:proofErr w:type="spellEnd"/>
      <w:r w:rsidR="00CC2258" w:rsidRPr="00E93126">
        <w:rPr>
          <w:lang w:val="en-GB"/>
        </w:rPr>
        <w:t xml:space="preserve"> was </w:t>
      </w:r>
      <w:r w:rsidRPr="00E93126">
        <w:rPr>
          <w:lang w:val="en-GB"/>
        </w:rPr>
        <w:t xml:space="preserve">not aggressive </w:t>
      </w:r>
      <w:r w:rsidR="00CC2258" w:rsidRPr="00E93126">
        <w:rPr>
          <w:lang w:val="en-GB"/>
        </w:rPr>
        <w:t xml:space="preserve">in terms of </w:t>
      </w:r>
      <w:r w:rsidRPr="00E93126">
        <w:rPr>
          <w:lang w:val="en-GB"/>
        </w:rPr>
        <w:t>discounts, credit terms</w:t>
      </w:r>
      <w:r w:rsidR="00E00042" w:rsidRPr="00E93126">
        <w:rPr>
          <w:lang w:val="en-GB"/>
        </w:rPr>
        <w:t>,</w:t>
      </w:r>
      <w:r w:rsidRPr="00E93126">
        <w:rPr>
          <w:lang w:val="en-GB"/>
        </w:rPr>
        <w:t xml:space="preserve"> or network expansion plans, but kept up with major changes in the market conditions. For the annual business tie-up with dealers, </w:t>
      </w:r>
      <w:proofErr w:type="spellStart"/>
      <w:r w:rsidRPr="00E93126">
        <w:rPr>
          <w:lang w:val="en-GB"/>
        </w:rPr>
        <w:t>Fairdeal</w:t>
      </w:r>
      <w:proofErr w:type="spellEnd"/>
      <w:r w:rsidRPr="00E93126">
        <w:rPr>
          <w:lang w:val="en-GB"/>
        </w:rPr>
        <w:t xml:space="preserve"> followed the financial year </w:t>
      </w:r>
      <w:r w:rsidR="00BC426A" w:rsidRPr="00E93126">
        <w:rPr>
          <w:lang w:val="en-GB"/>
        </w:rPr>
        <w:t xml:space="preserve">(i.e., </w:t>
      </w:r>
      <w:r w:rsidRPr="00E93126">
        <w:rPr>
          <w:lang w:val="en-GB"/>
        </w:rPr>
        <w:t>April</w:t>
      </w:r>
      <w:r w:rsidR="00BC426A" w:rsidRPr="00E93126">
        <w:rPr>
          <w:lang w:val="en-GB"/>
        </w:rPr>
        <w:t xml:space="preserve"> 1</w:t>
      </w:r>
      <w:r w:rsidRPr="00E93126">
        <w:rPr>
          <w:lang w:val="en-GB"/>
        </w:rPr>
        <w:t xml:space="preserve"> to March</w:t>
      </w:r>
      <w:r w:rsidR="00BC426A" w:rsidRPr="00E93126">
        <w:rPr>
          <w:lang w:val="en-GB"/>
        </w:rPr>
        <w:t xml:space="preserve"> 31)</w:t>
      </w:r>
      <w:r w:rsidRPr="00E93126">
        <w:rPr>
          <w:lang w:val="en-GB"/>
        </w:rPr>
        <w:t xml:space="preserve">, while all other appliance companies followed the calendar year </w:t>
      </w:r>
      <w:r w:rsidR="00BC426A" w:rsidRPr="00E93126">
        <w:rPr>
          <w:lang w:val="en-GB"/>
        </w:rPr>
        <w:t>(</w:t>
      </w:r>
      <w:r w:rsidRPr="00E93126">
        <w:rPr>
          <w:lang w:val="en-GB"/>
        </w:rPr>
        <w:t>i.e., January</w:t>
      </w:r>
      <w:r w:rsidR="00BC426A" w:rsidRPr="00E93126">
        <w:rPr>
          <w:lang w:val="en-GB"/>
        </w:rPr>
        <w:t xml:space="preserve"> 1</w:t>
      </w:r>
      <w:r w:rsidRPr="00E93126">
        <w:rPr>
          <w:lang w:val="en-GB"/>
        </w:rPr>
        <w:t xml:space="preserve"> to December</w:t>
      </w:r>
      <w:r w:rsidR="00BC426A" w:rsidRPr="00E93126">
        <w:rPr>
          <w:lang w:val="en-GB"/>
        </w:rPr>
        <w:t xml:space="preserve"> 31)</w:t>
      </w:r>
      <w:r w:rsidRPr="00E93126">
        <w:rPr>
          <w:lang w:val="en-GB"/>
        </w:rPr>
        <w:t>.</w:t>
      </w:r>
    </w:p>
    <w:p w14:paraId="665371E5" w14:textId="77777777" w:rsidR="006A218B" w:rsidRPr="00E93126" w:rsidRDefault="006A218B" w:rsidP="006A218B">
      <w:pPr>
        <w:pStyle w:val="BodyTextMain"/>
        <w:rPr>
          <w:lang w:val="en-GB"/>
        </w:rPr>
      </w:pPr>
    </w:p>
    <w:p w14:paraId="2A455E2C" w14:textId="77777777" w:rsidR="006A218B" w:rsidRPr="00E93126" w:rsidRDefault="00CC2258" w:rsidP="006A218B">
      <w:pPr>
        <w:pStyle w:val="BodyTextMain"/>
        <w:rPr>
          <w:lang w:val="en-GB"/>
        </w:rPr>
      </w:pPr>
      <w:proofErr w:type="spellStart"/>
      <w:r w:rsidRPr="00E93126">
        <w:rPr>
          <w:lang w:val="en-GB"/>
        </w:rPr>
        <w:t>Fairdeal’s</w:t>
      </w:r>
      <w:proofErr w:type="spellEnd"/>
      <w:r w:rsidRPr="00E93126">
        <w:rPr>
          <w:lang w:val="en-GB"/>
        </w:rPr>
        <w:t xml:space="preserve"> </w:t>
      </w:r>
      <w:r w:rsidR="006A218B" w:rsidRPr="00E93126">
        <w:rPr>
          <w:lang w:val="en-GB"/>
        </w:rPr>
        <w:t xml:space="preserve">air conditioner range was capable of meeting the product requirements of most customers (in terms of </w:t>
      </w:r>
      <w:r w:rsidRPr="00E93126">
        <w:rPr>
          <w:lang w:val="en-GB"/>
        </w:rPr>
        <w:t xml:space="preserve">both </w:t>
      </w:r>
      <w:r w:rsidR="006A218B" w:rsidRPr="00E93126">
        <w:rPr>
          <w:lang w:val="en-GB"/>
        </w:rPr>
        <w:t xml:space="preserve">price </w:t>
      </w:r>
      <w:r w:rsidRPr="00E93126">
        <w:rPr>
          <w:lang w:val="en-GB"/>
        </w:rPr>
        <w:t>and</w:t>
      </w:r>
      <w:r w:rsidR="006A218B" w:rsidRPr="00E93126">
        <w:rPr>
          <w:lang w:val="en-GB"/>
        </w:rPr>
        <w:t xml:space="preserve"> product features). The brand was considered by consumers </w:t>
      </w:r>
      <w:r w:rsidRPr="00E93126">
        <w:rPr>
          <w:lang w:val="en-GB"/>
        </w:rPr>
        <w:t xml:space="preserve">to be reliable </w:t>
      </w:r>
      <w:r w:rsidR="006A218B" w:rsidRPr="00E93126">
        <w:rPr>
          <w:lang w:val="en-GB"/>
        </w:rPr>
        <w:t xml:space="preserve">but was not perceived as </w:t>
      </w:r>
      <w:r w:rsidRPr="00E93126">
        <w:rPr>
          <w:lang w:val="en-GB"/>
        </w:rPr>
        <w:t xml:space="preserve">being </w:t>
      </w:r>
      <w:r w:rsidR="006A218B" w:rsidRPr="00E93126">
        <w:rPr>
          <w:lang w:val="en-GB"/>
        </w:rPr>
        <w:t>trendy or high</w:t>
      </w:r>
      <w:r w:rsidR="000206F9" w:rsidRPr="00E93126">
        <w:rPr>
          <w:lang w:val="en-GB"/>
        </w:rPr>
        <w:t>-</w:t>
      </w:r>
      <w:r w:rsidR="006A218B" w:rsidRPr="00E93126">
        <w:rPr>
          <w:lang w:val="en-GB"/>
        </w:rPr>
        <w:t>technology</w:t>
      </w:r>
      <w:r w:rsidR="00E00042" w:rsidRPr="00E93126">
        <w:rPr>
          <w:lang w:val="en-GB"/>
        </w:rPr>
        <w:t xml:space="preserve"> (high-tech)</w:t>
      </w:r>
      <w:r w:rsidR="006A218B" w:rsidRPr="00E93126">
        <w:rPr>
          <w:lang w:val="en-GB"/>
        </w:rPr>
        <w:t xml:space="preserve">. </w:t>
      </w:r>
      <w:r w:rsidR="00E11580">
        <w:rPr>
          <w:lang w:val="en-GB"/>
        </w:rPr>
        <w:t>Thus, i</w:t>
      </w:r>
      <w:r w:rsidRPr="00E93126">
        <w:rPr>
          <w:lang w:val="en-GB"/>
        </w:rPr>
        <w:t xml:space="preserve">n 2016, </w:t>
      </w:r>
      <w:proofErr w:type="spellStart"/>
      <w:r w:rsidR="006A218B" w:rsidRPr="00E93126">
        <w:rPr>
          <w:lang w:val="en-GB"/>
        </w:rPr>
        <w:t>Fairdeal</w:t>
      </w:r>
      <w:proofErr w:type="spellEnd"/>
      <w:r w:rsidR="006A218B" w:rsidRPr="00E93126">
        <w:rPr>
          <w:lang w:val="en-GB"/>
        </w:rPr>
        <w:t xml:space="preserve"> launched a new range of hi</w:t>
      </w:r>
      <w:r w:rsidR="00BC426A" w:rsidRPr="00E93126">
        <w:rPr>
          <w:lang w:val="en-GB"/>
        </w:rPr>
        <w:t>gh</w:t>
      </w:r>
      <w:r w:rsidRPr="00E93126">
        <w:rPr>
          <w:lang w:val="en-GB"/>
        </w:rPr>
        <w:t>-</w:t>
      </w:r>
      <w:r w:rsidR="006A218B" w:rsidRPr="00E93126">
        <w:rPr>
          <w:lang w:val="en-GB"/>
        </w:rPr>
        <w:t>tech, energy</w:t>
      </w:r>
      <w:r w:rsidRPr="00E93126">
        <w:rPr>
          <w:lang w:val="en-GB"/>
        </w:rPr>
        <w:t>-</w:t>
      </w:r>
      <w:r w:rsidR="006A218B" w:rsidRPr="00E93126">
        <w:rPr>
          <w:lang w:val="en-GB"/>
        </w:rPr>
        <w:t xml:space="preserve">saving air conditioners named </w:t>
      </w:r>
      <w:proofErr w:type="spellStart"/>
      <w:r w:rsidR="006A218B" w:rsidRPr="00E93126">
        <w:rPr>
          <w:lang w:val="en-GB"/>
        </w:rPr>
        <w:t>Fairdeal</w:t>
      </w:r>
      <w:proofErr w:type="spellEnd"/>
      <w:r w:rsidR="006A218B" w:rsidRPr="00E93126">
        <w:rPr>
          <w:lang w:val="en-GB"/>
        </w:rPr>
        <w:t xml:space="preserve"> EDGE</w:t>
      </w:r>
      <w:r w:rsidR="00E00042" w:rsidRPr="00E93126">
        <w:rPr>
          <w:lang w:val="en-GB"/>
        </w:rPr>
        <w:t>-</w:t>
      </w:r>
      <w:r w:rsidR="006A218B" w:rsidRPr="00E93126">
        <w:rPr>
          <w:lang w:val="en-GB"/>
        </w:rPr>
        <w:t xml:space="preserve">DIGITAL and NEWEX. Both </w:t>
      </w:r>
      <w:r w:rsidR="00E11580">
        <w:rPr>
          <w:lang w:val="en-GB"/>
        </w:rPr>
        <w:t xml:space="preserve">of </w:t>
      </w:r>
      <w:r w:rsidR="006A218B" w:rsidRPr="00E93126">
        <w:rPr>
          <w:lang w:val="en-GB"/>
        </w:rPr>
        <w:t xml:space="preserve">these products were designed to meet the competition from multinational companies. </w:t>
      </w:r>
      <w:proofErr w:type="spellStart"/>
      <w:r w:rsidR="006A218B" w:rsidRPr="00E93126">
        <w:rPr>
          <w:lang w:val="en-GB"/>
        </w:rPr>
        <w:t>Fairdeal</w:t>
      </w:r>
      <w:proofErr w:type="spellEnd"/>
      <w:r w:rsidR="006A218B" w:rsidRPr="00E93126">
        <w:rPr>
          <w:lang w:val="en-GB"/>
        </w:rPr>
        <w:t xml:space="preserve"> invested heavily in </w:t>
      </w:r>
      <w:r w:rsidRPr="00E93126">
        <w:rPr>
          <w:lang w:val="en-GB"/>
        </w:rPr>
        <w:t xml:space="preserve">a </w:t>
      </w:r>
      <w:r w:rsidR="006A218B" w:rsidRPr="00E93126">
        <w:rPr>
          <w:lang w:val="en-GB"/>
        </w:rPr>
        <w:t>high</w:t>
      </w:r>
      <w:r w:rsidRPr="00E93126">
        <w:rPr>
          <w:lang w:val="en-GB"/>
        </w:rPr>
        <w:t>-</w:t>
      </w:r>
      <w:r w:rsidR="006A218B" w:rsidRPr="00E93126">
        <w:rPr>
          <w:lang w:val="en-GB"/>
        </w:rPr>
        <w:t>visibility</w:t>
      </w:r>
      <w:r w:rsidRPr="00E93126">
        <w:rPr>
          <w:lang w:val="en-GB"/>
        </w:rPr>
        <w:t>,</w:t>
      </w:r>
      <w:r w:rsidR="006A218B" w:rsidRPr="00E93126">
        <w:rPr>
          <w:lang w:val="en-GB"/>
        </w:rPr>
        <w:t xml:space="preserve"> mass</w:t>
      </w:r>
      <w:r w:rsidRPr="00E93126">
        <w:rPr>
          <w:lang w:val="en-GB"/>
        </w:rPr>
        <w:t>-</w:t>
      </w:r>
      <w:r w:rsidR="006A218B" w:rsidRPr="00E93126">
        <w:rPr>
          <w:lang w:val="en-GB"/>
        </w:rPr>
        <w:t>media campaign throughout 2017</w:t>
      </w:r>
      <w:r w:rsidRPr="00E93126">
        <w:rPr>
          <w:lang w:val="en-GB"/>
        </w:rPr>
        <w:t>, in an effort</w:t>
      </w:r>
      <w:r w:rsidR="006A218B" w:rsidRPr="00E93126">
        <w:rPr>
          <w:lang w:val="en-GB"/>
        </w:rPr>
        <w:t xml:space="preserve"> to give these products a modern and high</w:t>
      </w:r>
      <w:r w:rsidRPr="00E93126">
        <w:rPr>
          <w:lang w:val="en-GB"/>
        </w:rPr>
        <w:t>-</w:t>
      </w:r>
      <w:r w:rsidR="006A218B" w:rsidRPr="00E93126">
        <w:rPr>
          <w:lang w:val="en-GB"/>
        </w:rPr>
        <w:t>tech profile and generate sales.</w:t>
      </w:r>
    </w:p>
    <w:p w14:paraId="423A7AC0" w14:textId="77777777" w:rsidR="006A218B" w:rsidRPr="00E93126" w:rsidRDefault="006A218B" w:rsidP="006A218B">
      <w:pPr>
        <w:pStyle w:val="BodyTextMain"/>
        <w:rPr>
          <w:lang w:val="en-GB"/>
        </w:rPr>
      </w:pPr>
    </w:p>
    <w:p w14:paraId="5883FD80" w14:textId="77777777" w:rsidR="00FE5EEB" w:rsidRPr="00E93126" w:rsidRDefault="00FE5EEB" w:rsidP="006A218B">
      <w:pPr>
        <w:pStyle w:val="BodyTextMain"/>
        <w:rPr>
          <w:lang w:val="en-GB"/>
        </w:rPr>
      </w:pPr>
    </w:p>
    <w:p w14:paraId="5AA10AF7" w14:textId="77777777" w:rsidR="00FE5EEB" w:rsidRPr="00E93126" w:rsidRDefault="006A218B" w:rsidP="00733495">
      <w:pPr>
        <w:pStyle w:val="Casehead2"/>
        <w:outlineLvl w:val="0"/>
        <w:rPr>
          <w:lang w:val="en-GB"/>
        </w:rPr>
      </w:pPr>
      <w:proofErr w:type="spellStart"/>
      <w:r w:rsidRPr="00E93126">
        <w:rPr>
          <w:lang w:val="en-GB"/>
        </w:rPr>
        <w:t>Technica</w:t>
      </w:r>
      <w:proofErr w:type="spellEnd"/>
    </w:p>
    <w:p w14:paraId="6F2E7C0C" w14:textId="77777777" w:rsidR="00FE5EEB" w:rsidRPr="00E93126" w:rsidRDefault="00FE5EEB" w:rsidP="006A218B">
      <w:pPr>
        <w:pStyle w:val="BodyTextMain"/>
        <w:rPr>
          <w:lang w:val="en-GB"/>
        </w:rPr>
      </w:pPr>
    </w:p>
    <w:p w14:paraId="6559BBCA" w14:textId="77777777" w:rsidR="006A218B" w:rsidRPr="00E93126" w:rsidRDefault="006A218B" w:rsidP="006A218B">
      <w:pPr>
        <w:pStyle w:val="BodyTextMain"/>
        <w:rPr>
          <w:lang w:val="en-GB"/>
        </w:rPr>
      </w:pPr>
      <w:proofErr w:type="spellStart"/>
      <w:r w:rsidRPr="00E93126">
        <w:rPr>
          <w:lang w:val="en-GB"/>
        </w:rPr>
        <w:t>Technica</w:t>
      </w:r>
      <w:proofErr w:type="spellEnd"/>
      <w:r w:rsidRPr="00E93126">
        <w:rPr>
          <w:lang w:val="en-GB"/>
        </w:rPr>
        <w:t xml:space="preserve"> had set up its </w:t>
      </w:r>
      <w:r w:rsidR="000206F9" w:rsidRPr="00E93126">
        <w:rPr>
          <w:lang w:val="en-GB"/>
        </w:rPr>
        <w:t xml:space="preserve">Denpasar </w:t>
      </w:r>
      <w:r w:rsidRPr="00E93126">
        <w:rPr>
          <w:lang w:val="en-GB"/>
        </w:rPr>
        <w:t xml:space="preserve">branch operations in 1996. The company experienced high employee turnover. </w:t>
      </w:r>
      <w:r w:rsidR="000206F9" w:rsidRPr="00E93126">
        <w:rPr>
          <w:lang w:val="en-GB"/>
        </w:rPr>
        <w:t xml:space="preserve">At </w:t>
      </w:r>
      <w:proofErr w:type="spellStart"/>
      <w:r w:rsidR="000206F9" w:rsidRPr="00E93126">
        <w:rPr>
          <w:lang w:val="en-GB"/>
        </w:rPr>
        <w:t>Technica’s</w:t>
      </w:r>
      <w:proofErr w:type="spellEnd"/>
      <w:r w:rsidR="000206F9" w:rsidRPr="00E93126">
        <w:rPr>
          <w:lang w:val="en-GB"/>
        </w:rPr>
        <w:t xml:space="preserve"> </w:t>
      </w:r>
      <w:r w:rsidRPr="00E93126">
        <w:rPr>
          <w:lang w:val="en-GB"/>
        </w:rPr>
        <w:t>Denpasar branch</w:t>
      </w:r>
      <w:r w:rsidR="000206F9" w:rsidRPr="00E93126">
        <w:rPr>
          <w:lang w:val="en-GB"/>
        </w:rPr>
        <w:t>,</w:t>
      </w:r>
      <w:r w:rsidRPr="00E93126">
        <w:rPr>
          <w:lang w:val="en-GB"/>
        </w:rPr>
        <w:t xml:space="preserve"> </w:t>
      </w:r>
      <w:r w:rsidR="003B7558" w:rsidRPr="00E93126">
        <w:rPr>
          <w:lang w:val="en-GB"/>
        </w:rPr>
        <w:t xml:space="preserve">employees in </w:t>
      </w:r>
      <w:r w:rsidRPr="00E93126">
        <w:rPr>
          <w:lang w:val="en-GB"/>
        </w:rPr>
        <w:t>sales, service</w:t>
      </w:r>
      <w:r w:rsidR="000206F9" w:rsidRPr="00E93126">
        <w:rPr>
          <w:lang w:val="en-GB"/>
        </w:rPr>
        <w:t>,</w:t>
      </w:r>
      <w:r w:rsidRPr="00E93126">
        <w:rPr>
          <w:lang w:val="en-GB"/>
        </w:rPr>
        <w:t xml:space="preserve"> and the commercial functions</w:t>
      </w:r>
      <w:r w:rsidR="000206F9" w:rsidRPr="00E93126">
        <w:rPr>
          <w:lang w:val="en-GB"/>
        </w:rPr>
        <w:t xml:space="preserve"> stayed with the company for an average of only </w:t>
      </w:r>
      <w:r w:rsidR="00D31C8F">
        <w:rPr>
          <w:lang w:val="en-GB"/>
        </w:rPr>
        <w:t>2.5</w:t>
      </w:r>
      <w:r w:rsidR="000206F9" w:rsidRPr="00E93126">
        <w:rPr>
          <w:lang w:val="en-GB"/>
        </w:rPr>
        <w:t xml:space="preserve"> years</w:t>
      </w:r>
      <w:r w:rsidRPr="00E93126">
        <w:rPr>
          <w:lang w:val="en-GB"/>
        </w:rPr>
        <w:t>.</w:t>
      </w:r>
    </w:p>
    <w:p w14:paraId="3E860FB9" w14:textId="77777777" w:rsidR="006A218B" w:rsidRPr="00E93126" w:rsidRDefault="006A218B" w:rsidP="006A218B">
      <w:pPr>
        <w:pStyle w:val="BodyTextMain"/>
        <w:rPr>
          <w:lang w:val="en-GB"/>
        </w:rPr>
      </w:pPr>
    </w:p>
    <w:p w14:paraId="3815EFCB" w14:textId="77777777" w:rsidR="006A218B" w:rsidRPr="00E93126" w:rsidRDefault="003B7558" w:rsidP="006A218B">
      <w:pPr>
        <w:pStyle w:val="BodyTextMain"/>
        <w:rPr>
          <w:lang w:val="en-GB"/>
        </w:rPr>
      </w:pPr>
      <w:proofErr w:type="spellStart"/>
      <w:r w:rsidRPr="00E93126">
        <w:rPr>
          <w:lang w:val="en-GB"/>
        </w:rPr>
        <w:t>Technica’s</w:t>
      </w:r>
      <w:proofErr w:type="spellEnd"/>
      <w:r w:rsidRPr="00E93126">
        <w:rPr>
          <w:lang w:val="en-GB"/>
        </w:rPr>
        <w:t xml:space="preserve"> </w:t>
      </w:r>
      <w:r w:rsidR="006A218B" w:rsidRPr="00E93126">
        <w:rPr>
          <w:lang w:val="en-GB"/>
        </w:rPr>
        <w:t xml:space="preserve">air conditioner range was competitive and consisted of </w:t>
      </w:r>
      <w:r w:rsidR="00E112FD">
        <w:rPr>
          <w:lang w:val="en-GB"/>
        </w:rPr>
        <w:t xml:space="preserve">a </w:t>
      </w:r>
      <w:r w:rsidR="00150B40" w:rsidRPr="00E93126">
        <w:rPr>
          <w:lang w:val="en-GB"/>
        </w:rPr>
        <w:t xml:space="preserve">range of </w:t>
      </w:r>
      <w:r w:rsidR="00E112FD" w:rsidRPr="00E93126">
        <w:rPr>
          <w:lang w:val="en-GB"/>
        </w:rPr>
        <w:t xml:space="preserve">technologically advanced </w:t>
      </w:r>
      <w:r w:rsidR="00150B40" w:rsidRPr="00E93126">
        <w:rPr>
          <w:lang w:val="en-GB"/>
        </w:rPr>
        <w:t>products named “</w:t>
      </w:r>
      <w:r w:rsidR="006A218B" w:rsidRPr="00E93126">
        <w:rPr>
          <w:lang w:val="en-GB"/>
        </w:rPr>
        <w:t xml:space="preserve">6th Sense </w:t>
      </w:r>
      <w:proofErr w:type="spellStart"/>
      <w:r w:rsidR="006A218B" w:rsidRPr="00E93126">
        <w:rPr>
          <w:lang w:val="en-GB"/>
        </w:rPr>
        <w:t>Intelfresh</w:t>
      </w:r>
      <w:proofErr w:type="spellEnd"/>
      <w:r w:rsidR="00150B40" w:rsidRPr="00E93126">
        <w:rPr>
          <w:lang w:val="en-GB"/>
        </w:rPr>
        <w:t>”</w:t>
      </w:r>
      <w:r w:rsidR="00E93126">
        <w:rPr>
          <w:lang w:val="en-GB"/>
        </w:rPr>
        <w:t xml:space="preserve"> </w:t>
      </w:r>
      <w:r w:rsidR="006A218B" w:rsidRPr="00E93126">
        <w:rPr>
          <w:lang w:val="en-GB"/>
        </w:rPr>
        <w:t xml:space="preserve">and </w:t>
      </w:r>
      <w:r w:rsidR="00150B40" w:rsidRPr="00E93126">
        <w:rPr>
          <w:lang w:val="en-GB"/>
        </w:rPr>
        <w:t>“</w:t>
      </w:r>
      <w:r w:rsidR="006A218B" w:rsidRPr="00E93126">
        <w:rPr>
          <w:lang w:val="en-GB"/>
        </w:rPr>
        <w:t>6th Sense Fast Cool</w:t>
      </w:r>
      <w:r w:rsidR="00E112FD">
        <w:rPr>
          <w:lang w:val="en-GB"/>
        </w:rPr>
        <w:t>.</w:t>
      </w:r>
      <w:r w:rsidR="00150B40" w:rsidRPr="00E93126">
        <w:rPr>
          <w:lang w:val="en-GB"/>
        </w:rPr>
        <w:t>”</w:t>
      </w:r>
      <w:r w:rsidR="006A218B" w:rsidRPr="00E93126">
        <w:rPr>
          <w:lang w:val="en-GB"/>
        </w:rPr>
        <w:t xml:space="preserve"> The brand enjoyed a positive and high</w:t>
      </w:r>
      <w:r w:rsidR="00F26210" w:rsidRPr="00E93126">
        <w:rPr>
          <w:lang w:val="en-GB"/>
        </w:rPr>
        <w:t>-</w:t>
      </w:r>
      <w:r w:rsidR="006A218B" w:rsidRPr="00E93126">
        <w:rPr>
          <w:lang w:val="en-GB"/>
        </w:rPr>
        <w:t xml:space="preserve">tech image. The channel partners also considered </w:t>
      </w:r>
      <w:proofErr w:type="spellStart"/>
      <w:r w:rsidR="00F26210" w:rsidRPr="00E93126">
        <w:rPr>
          <w:lang w:val="en-GB"/>
        </w:rPr>
        <w:t>Technica</w:t>
      </w:r>
      <w:proofErr w:type="spellEnd"/>
      <w:r w:rsidR="00F26210" w:rsidRPr="00E93126">
        <w:rPr>
          <w:lang w:val="en-GB"/>
        </w:rPr>
        <w:t xml:space="preserve"> to be</w:t>
      </w:r>
      <w:r w:rsidR="006A218B" w:rsidRPr="00E93126">
        <w:rPr>
          <w:lang w:val="en-GB"/>
        </w:rPr>
        <w:t xml:space="preserve"> a major multinational brand with </w:t>
      </w:r>
      <w:r w:rsidR="00C25160" w:rsidRPr="00E93126">
        <w:rPr>
          <w:lang w:val="en-GB"/>
        </w:rPr>
        <w:t xml:space="preserve">a </w:t>
      </w:r>
      <w:r w:rsidR="006A218B" w:rsidRPr="00E93126">
        <w:rPr>
          <w:lang w:val="en-GB"/>
        </w:rPr>
        <w:t xml:space="preserve">strong local presence in Bali. </w:t>
      </w:r>
      <w:proofErr w:type="spellStart"/>
      <w:r w:rsidR="006A218B" w:rsidRPr="00E93126">
        <w:rPr>
          <w:lang w:val="en-GB"/>
        </w:rPr>
        <w:t>Technica</w:t>
      </w:r>
      <w:proofErr w:type="spellEnd"/>
      <w:r w:rsidR="006A218B" w:rsidRPr="00E93126">
        <w:rPr>
          <w:lang w:val="en-GB"/>
        </w:rPr>
        <w:t xml:space="preserve"> had a large dealer base spread </w:t>
      </w:r>
      <w:r w:rsidR="00C25160" w:rsidRPr="00E93126">
        <w:rPr>
          <w:lang w:val="en-GB"/>
        </w:rPr>
        <w:t>across</w:t>
      </w:r>
      <w:r w:rsidR="006A218B" w:rsidRPr="00E93126">
        <w:rPr>
          <w:lang w:val="en-GB"/>
        </w:rPr>
        <w:t xml:space="preserve"> Bali, and was the market leader in washing machines. </w:t>
      </w:r>
      <w:r w:rsidR="00F26210" w:rsidRPr="00E93126">
        <w:rPr>
          <w:lang w:val="en-GB"/>
        </w:rPr>
        <w:t>The company was</w:t>
      </w:r>
      <w:r w:rsidR="006A218B" w:rsidRPr="00E93126">
        <w:rPr>
          <w:lang w:val="en-GB"/>
        </w:rPr>
        <w:t xml:space="preserve"> aggressive with discounts</w:t>
      </w:r>
      <w:r w:rsidR="00F26210" w:rsidRPr="00E93126">
        <w:rPr>
          <w:lang w:val="en-GB"/>
        </w:rPr>
        <w:t xml:space="preserve"> and </w:t>
      </w:r>
      <w:r w:rsidR="00C25160" w:rsidRPr="00E93126">
        <w:rPr>
          <w:lang w:val="en-GB"/>
        </w:rPr>
        <w:t xml:space="preserve">with </w:t>
      </w:r>
      <w:r w:rsidR="00F26210" w:rsidRPr="00E93126">
        <w:rPr>
          <w:lang w:val="en-GB"/>
        </w:rPr>
        <w:t>expan</w:t>
      </w:r>
      <w:r w:rsidR="00C25160" w:rsidRPr="00E93126">
        <w:rPr>
          <w:lang w:val="en-GB"/>
        </w:rPr>
        <w:t>ding</w:t>
      </w:r>
      <w:r w:rsidR="00F26210" w:rsidRPr="00E93126">
        <w:rPr>
          <w:lang w:val="en-GB"/>
        </w:rPr>
        <w:t xml:space="preserve"> its </w:t>
      </w:r>
      <w:r w:rsidR="006A218B" w:rsidRPr="00E93126">
        <w:rPr>
          <w:lang w:val="en-GB"/>
        </w:rPr>
        <w:t>distribution network</w:t>
      </w:r>
      <w:r w:rsidR="00F26210" w:rsidRPr="00E93126">
        <w:rPr>
          <w:lang w:val="en-GB"/>
        </w:rPr>
        <w:t>,</w:t>
      </w:r>
      <w:r w:rsidR="006A218B" w:rsidRPr="00E93126">
        <w:rPr>
          <w:lang w:val="en-GB"/>
        </w:rPr>
        <w:t xml:space="preserve"> and even offered </w:t>
      </w:r>
      <w:r w:rsidR="00C25160" w:rsidRPr="00E93126">
        <w:rPr>
          <w:lang w:val="en-GB"/>
        </w:rPr>
        <w:t xml:space="preserve">generous </w:t>
      </w:r>
      <w:r w:rsidR="006A218B" w:rsidRPr="00E93126">
        <w:rPr>
          <w:lang w:val="en-GB"/>
        </w:rPr>
        <w:t xml:space="preserve">credit </w:t>
      </w:r>
      <w:r w:rsidR="00C25160" w:rsidRPr="00E93126">
        <w:rPr>
          <w:lang w:val="en-GB"/>
        </w:rPr>
        <w:t xml:space="preserve">terms </w:t>
      </w:r>
      <w:r w:rsidR="006A218B" w:rsidRPr="00E93126">
        <w:rPr>
          <w:lang w:val="en-GB"/>
        </w:rPr>
        <w:t xml:space="preserve">on </w:t>
      </w:r>
      <w:r w:rsidR="00F26210" w:rsidRPr="00E93126">
        <w:rPr>
          <w:lang w:val="en-GB"/>
        </w:rPr>
        <w:t xml:space="preserve">a </w:t>
      </w:r>
      <w:r w:rsidR="006A218B" w:rsidRPr="00E93126">
        <w:rPr>
          <w:lang w:val="en-GB"/>
        </w:rPr>
        <w:t>selective basis to some strategically important dealers and distributors.</w:t>
      </w:r>
    </w:p>
    <w:p w14:paraId="3C9D1271" w14:textId="77777777" w:rsidR="006A218B" w:rsidRDefault="006A218B" w:rsidP="006A218B">
      <w:pPr>
        <w:pStyle w:val="BodyTextMain"/>
        <w:rPr>
          <w:lang w:val="en-GB"/>
        </w:rPr>
      </w:pPr>
    </w:p>
    <w:p w14:paraId="70D94EC4" w14:textId="77777777" w:rsidR="00E11580" w:rsidRPr="00E93126" w:rsidRDefault="00E11580" w:rsidP="006A218B">
      <w:pPr>
        <w:pStyle w:val="BodyTextMain"/>
        <w:rPr>
          <w:lang w:val="en-GB"/>
        </w:rPr>
      </w:pPr>
    </w:p>
    <w:p w14:paraId="5BAFAD9D" w14:textId="77777777" w:rsidR="00FE5EEB" w:rsidRPr="00E93126" w:rsidRDefault="006A218B" w:rsidP="00733495">
      <w:pPr>
        <w:pStyle w:val="Casehead2"/>
        <w:outlineLvl w:val="0"/>
        <w:rPr>
          <w:lang w:val="en-GB"/>
        </w:rPr>
      </w:pPr>
      <w:r w:rsidRPr="00E93126">
        <w:rPr>
          <w:lang w:val="en-GB"/>
        </w:rPr>
        <w:lastRenderedPageBreak/>
        <w:t>GOLDY</w:t>
      </w:r>
      <w:r w:rsidR="00C25160" w:rsidRPr="00E93126">
        <w:rPr>
          <w:lang w:val="en-GB"/>
        </w:rPr>
        <w:t xml:space="preserve"> Electronics</w:t>
      </w:r>
    </w:p>
    <w:p w14:paraId="7DA435F9" w14:textId="77777777" w:rsidR="00FE5EEB" w:rsidRPr="00E93126" w:rsidRDefault="00FE5EEB" w:rsidP="006A218B">
      <w:pPr>
        <w:pStyle w:val="BodyTextMain"/>
        <w:rPr>
          <w:lang w:val="en-GB"/>
        </w:rPr>
      </w:pPr>
    </w:p>
    <w:p w14:paraId="1FB79EC6" w14:textId="5454E144" w:rsidR="006A218B" w:rsidRPr="00E93126" w:rsidRDefault="00C25160" w:rsidP="006A218B">
      <w:pPr>
        <w:pStyle w:val="BodyTextMain"/>
        <w:rPr>
          <w:lang w:val="en-GB"/>
        </w:rPr>
      </w:pPr>
      <w:r w:rsidRPr="00E93126">
        <w:rPr>
          <w:lang w:val="en-GB"/>
        </w:rPr>
        <w:t xml:space="preserve">GOLDY </w:t>
      </w:r>
      <w:r w:rsidR="006A218B" w:rsidRPr="00E93126">
        <w:rPr>
          <w:lang w:val="en-GB"/>
        </w:rPr>
        <w:t xml:space="preserve">was </w:t>
      </w:r>
      <w:r w:rsidR="00E45E7F" w:rsidRPr="00E93126">
        <w:rPr>
          <w:lang w:val="en-GB"/>
        </w:rPr>
        <w:t xml:space="preserve">a </w:t>
      </w:r>
      <w:r w:rsidR="006A218B" w:rsidRPr="00E93126">
        <w:rPr>
          <w:lang w:val="en-GB"/>
        </w:rPr>
        <w:t>Korean multinational</w:t>
      </w:r>
      <w:r w:rsidRPr="00E93126">
        <w:rPr>
          <w:lang w:val="en-GB"/>
        </w:rPr>
        <w:t xml:space="preserve"> company</w:t>
      </w:r>
      <w:r w:rsidR="00293576">
        <w:rPr>
          <w:lang w:val="en-GB"/>
        </w:rPr>
        <w:t xml:space="preserve"> </w:t>
      </w:r>
      <w:r w:rsidR="00F26210" w:rsidRPr="00E93126">
        <w:rPr>
          <w:lang w:val="en-GB"/>
        </w:rPr>
        <w:t>whose slogan was</w:t>
      </w:r>
      <w:r w:rsidR="006A218B" w:rsidRPr="00E93126">
        <w:rPr>
          <w:lang w:val="en-GB"/>
        </w:rPr>
        <w:t xml:space="preserve"> </w:t>
      </w:r>
      <w:r w:rsidR="00F26210" w:rsidRPr="00E93126">
        <w:rPr>
          <w:lang w:val="en-GB"/>
        </w:rPr>
        <w:t>“</w:t>
      </w:r>
      <w:r w:rsidR="006A218B" w:rsidRPr="00E93126">
        <w:rPr>
          <w:lang w:val="en-GB"/>
        </w:rPr>
        <w:t>Enjoy Life.</w:t>
      </w:r>
      <w:r w:rsidR="00F26210" w:rsidRPr="00E93126">
        <w:rPr>
          <w:lang w:val="en-GB"/>
        </w:rPr>
        <w:t>”</w:t>
      </w:r>
      <w:r w:rsidR="006A218B" w:rsidRPr="00E93126">
        <w:rPr>
          <w:lang w:val="en-GB"/>
        </w:rPr>
        <w:t xml:space="preserve"> </w:t>
      </w:r>
      <w:r w:rsidR="00F26210" w:rsidRPr="00E93126">
        <w:rPr>
          <w:lang w:val="en-GB"/>
        </w:rPr>
        <w:t xml:space="preserve">Since 1998, </w:t>
      </w:r>
      <w:r w:rsidR="006A218B" w:rsidRPr="00E93126">
        <w:rPr>
          <w:lang w:val="en-GB"/>
        </w:rPr>
        <w:t xml:space="preserve">GOLDY had consistently been </w:t>
      </w:r>
      <w:r w:rsidR="00F26210" w:rsidRPr="00E93126">
        <w:rPr>
          <w:lang w:val="en-GB"/>
        </w:rPr>
        <w:t xml:space="preserve">Indonesia’s </w:t>
      </w:r>
      <w:r w:rsidR="006A218B" w:rsidRPr="00E93126">
        <w:rPr>
          <w:lang w:val="en-GB"/>
        </w:rPr>
        <w:t>fastest</w:t>
      </w:r>
      <w:r w:rsidR="00F26210" w:rsidRPr="00E93126">
        <w:rPr>
          <w:lang w:val="en-GB"/>
        </w:rPr>
        <w:t>-</w:t>
      </w:r>
      <w:r w:rsidR="006A218B" w:rsidRPr="00E93126">
        <w:rPr>
          <w:lang w:val="en-GB"/>
        </w:rPr>
        <w:t xml:space="preserve">growing brand in all appliance categories. </w:t>
      </w:r>
      <w:r w:rsidR="00F26210" w:rsidRPr="00E93126">
        <w:rPr>
          <w:lang w:val="en-GB"/>
        </w:rPr>
        <w:t xml:space="preserve">The company </w:t>
      </w:r>
      <w:r w:rsidR="006A218B" w:rsidRPr="00E93126">
        <w:rPr>
          <w:lang w:val="en-GB"/>
        </w:rPr>
        <w:t xml:space="preserve">had captured the Indonesian market essentially on the strength of </w:t>
      </w:r>
      <w:r w:rsidR="00F26210" w:rsidRPr="00E93126">
        <w:rPr>
          <w:lang w:val="en-GB"/>
        </w:rPr>
        <w:t xml:space="preserve">its </w:t>
      </w:r>
      <w:r w:rsidR="006A218B" w:rsidRPr="00E93126">
        <w:rPr>
          <w:lang w:val="en-GB"/>
        </w:rPr>
        <w:t xml:space="preserve">brand pull, </w:t>
      </w:r>
      <w:r w:rsidR="00F26210" w:rsidRPr="00E93126">
        <w:rPr>
          <w:lang w:val="en-GB"/>
        </w:rPr>
        <w:t xml:space="preserve">its </w:t>
      </w:r>
      <w:r w:rsidR="006A218B" w:rsidRPr="00E93126">
        <w:rPr>
          <w:lang w:val="en-GB"/>
        </w:rPr>
        <w:t>distribution presence</w:t>
      </w:r>
      <w:r w:rsidR="00F26210" w:rsidRPr="00E93126">
        <w:rPr>
          <w:lang w:val="en-GB"/>
        </w:rPr>
        <w:t>,</w:t>
      </w:r>
      <w:r w:rsidR="006A218B" w:rsidRPr="00E93126">
        <w:rPr>
          <w:lang w:val="en-GB"/>
        </w:rPr>
        <w:t xml:space="preserve"> and </w:t>
      </w:r>
      <w:r w:rsidR="00F26210" w:rsidRPr="00E93126">
        <w:rPr>
          <w:lang w:val="en-GB"/>
        </w:rPr>
        <w:t xml:space="preserve">its </w:t>
      </w:r>
      <w:r w:rsidR="00293576">
        <w:rPr>
          <w:lang w:val="en-GB"/>
        </w:rPr>
        <w:t>matching-</w:t>
      </w:r>
      <w:r w:rsidR="006A218B" w:rsidRPr="00E93126">
        <w:rPr>
          <w:lang w:val="en-GB"/>
        </w:rPr>
        <w:t>product delivery. GOLDY started its Denpasar operations i</w:t>
      </w:r>
      <w:r w:rsidR="00293576">
        <w:rPr>
          <w:lang w:val="en-GB"/>
        </w:rPr>
        <w:t>n 1997</w:t>
      </w:r>
      <w:r w:rsidR="006A218B" w:rsidRPr="00E93126">
        <w:rPr>
          <w:lang w:val="en-GB"/>
        </w:rPr>
        <w:t xml:space="preserve"> and initially focused on the television and washing machine markets. In 1998, </w:t>
      </w:r>
      <w:r w:rsidR="00F26210" w:rsidRPr="00E93126">
        <w:rPr>
          <w:lang w:val="en-GB"/>
        </w:rPr>
        <w:t xml:space="preserve">it </w:t>
      </w:r>
      <w:r w:rsidR="006A218B" w:rsidRPr="00E93126">
        <w:rPr>
          <w:lang w:val="en-GB"/>
        </w:rPr>
        <w:t xml:space="preserve">expanded </w:t>
      </w:r>
      <w:r w:rsidR="00F26210" w:rsidRPr="00E93126">
        <w:rPr>
          <w:lang w:val="en-GB"/>
        </w:rPr>
        <w:t xml:space="preserve">its </w:t>
      </w:r>
      <w:r w:rsidR="006A218B" w:rsidRPr="00E93126">
        <w:rPr>
          <w:lang w:val="en-GB"/>
        </w:rPr>
        <w:t xml:space="preserve">portfolio to </w:t>
      </w:r>
      <w:r w:rsidR="00F26210" w:rsidRPr="00E93126">
        <w:rPr>
          <w:lang w:val="en-GB"/>
        </w:rPr>
        <w:t xml:space="preserve">include </w:t>
      </w:r>
      <w:r w:rsidR="006A218B" w:rsidRPr="00E93126">
        <w:rPr>
          <w:lang w:val="en-GB"/>
        </w:rPr>
        <w:t>microwave ovens, refrigerators</w:t>
      </w:r>
      <w:r w:rsidR="00F26210" w:rsidRPr="00E93126">
        <w:rPr>
          <w:lang w:val="en-GB"/>
        </w:rPr>
        <w:t>,</w:t>
      </w:r>
      <w:r w:rsidR="006A218B" w:rsidRPr="00E93126">
        <w:rPr>
          <w:lang w:val="en-GB"/>
        </w:rPr>
        <w:t xml:space="preserve"> </w:t>
      </w:r>
      <w:r w:rsidR="00F26210" w:rsidRPr="00E93126">
        <w:rPr>
          <w:lang w:val="en-GB"/>
        </w:rPr>
        <w:t xml:space="preserve">and </w:t>
      </w:r>
      <w:r w:rsidR="006A218B" w:rsidRPr="00E93126">
        <w:rPr>
          <w:lang w:val="en-GB"/>
        </w:rPr>
        <w:t xml:space="preserve">air conditioners. </w:t>
      </w:r>
      <w:r w:rsidR="00F26210" w:rsidRPr="00E93126">
        <w:rPr>
          <w:lang w:val="en-GB"/>
        </w:rPr>
        <w:t>GOLDY was</w:t>
      </w:r>
      <w:r w:rsidR="006A218B" w:rsidRPr="00E93126">
        <w:rPr>
          <w:lang w:val="en-GB"/>
        </w:rPr>
        <w:t xml:space="preserve"> aggressive in </w:t>
      </w:r>
      <w:r w:rsidR="00F26210" w:rsidRPr="00E93126">
        <w:rPr>
          <w:lang w:val="en-GB"/>
        </w:rPr>
        <w:t xml:space="preserve">its </w:t>
      </w:r>
      <w:r w:rsidR="006A218B" w:rsidRPr="00E93126">
        <w:rPr>
          <w:lang w:val="en-GB"/>
        </w:rPr>
        <w:t xml:space="preserve">distribution network expansion and discount </w:t>
      </w:r>
      <w:proofErr w:type="spellStart"/>
      <w:r w:rsidR="006A218B" w:rsidRPr="00E93126">
        <w:rPr>
          <w:lang w:val="en-GB"/>
        </w:rPr>
        <w:t>payouts</w:t>
      </w:r>
      <w:proofErr w:type="spellEnd"/>
      <w:r w:rsidR="006A218B" w:rsidRPr="00E93126">
        <w:rPr>
          <w:lang w:val="en-GB"/>
        </w:rPr>
        <w:t xml:space="preserve">. </w:t>
      </w:r>
      <w:r w:rsidR="00F26210" w:rsidRPr="00E93126">
        <w:rPr>
          <w:lang w:val="en-GB"/>
        </w:rPr>
        <w:t>The company exerted pressure</w:t>
      </w:r>
      <w:r w:rsidR="006A218B" w:rsidRPr="00E93126">
        <w:rPr>
          <w:lang w:val="en-GB"/>
        </w:rPr>
        <w:t xml:space="preserve"> on </w:t>
      </w:r>
      <w:r w:rsidR="00F26210" w:rsidRPr="00E93126">
        <w:rPr>
          <w:lang w:val="en-GB"/>
        </w:rPr>
        <w:t xml:space="preserve">its </w:t>
      </w:r>
      <w:r w:rsidR="006A218B" w:rsidRPr="00E93126">
        <w:rPr>
          <w:lang w:val="en-GB"/>
        </w:rPr>
        <w:t xml:space="preserve">dealers and distributors </w:t>
      </w:r>
      <w:r w:rsidR="00F26210" w:rsidRPr="00E93126">
        <w:rPr>
          <w:lang w:val="en-GB"/>
        </w:rPr>
        <w:t xml:space="preserve">to achieve </w:t>
      </w:r>
      <w:r w:rsidR="006A218B" w:rsidRPr="00E93126">
        <w:rPr>
          <w:lang w:val="en-GB"/>
        </w:rPr>
        <w:t xml:space="preserve">high sales volumes and </w:t>
      </w:r>
      <w:r w:rsidR="00F26210" w:rsidRPr="00E93126">
        <w:rPr>
          <w:lang w:val="en-GB"/>
        </w:rPr>
        <w:t xml:space="preserve">was </w:t>
      </w:r>
      <w:r w:rsidR="006A218B" w:rsidRPr="00E93126">
        <w:rPr>
          <w:lang w:val="en-GB"/>
        </w:rPr>
        <w:t xml:space="preserve">ready to support </w:t>
      </w:r>
      <w:r w:rsidR="00F26210" w:rsidRPr="00E93126">
        <w:rPr>
          <w:lang w:val="en-GB"/>
        </w:rPr>
        <w:t xml:space="preserve">its dealers and distributors through </w:t>
      </w:r>
      <w:r w:rsidR="006A218B" w:rsidRPr="00E93126">
        <w:rPr>
          <w:lang w:val="en-GB"/>
        </w:rPr>
        <w:t>local promotions. GOLDY products enjoyed high customer confidence</w:t>
      </w:r>
      <w:r w:rsidRPr="00E93126">
        <w:rPr>
          <w:lang w:val="en-GB"/>
        </w:rPr>
        <w:t>.</w:t>
      </w:r>
      <w:r w:rsidR="006A218B" w:rsidRPr="00E93126">
        <w:rPr>
          <w:lang w:val="en-GB"/>
        </w:rPr>
        <w:t xml:space="preserve"> </w:t>
      </w:r>
      <w:r w:rsidRPr="00E93126">
        <w:rPr>
          <w:lang w:val="en-GB"/>
        </w:rPr>
        <w:t xml:space="preserve">A </w:t>
      </w:r>
      <w:r w:rsidR="006A218B" w:rsidRPr="00E93126">
        <w:rPr>
          <w:lang w:val="en-GB"/>
        </w:rPr>
        <w:t>major attraction for many appliance dealers</w:t>
      </w:r>
      <w:r w:rsidRPr="00E93126">
        <w:rPr>
          <w:lang w:val="en-GB"/>
        </w:rPr>
        <w:t xml:space="preserve"> was the customer attention and </w:t>
      </w:r>
      <w:r w:rsidR="00293576">
        <w:rPr>
          <w:lang w:val="en-GB"/>
        </w:rPr>
        <w:t>store traffic</w:t>
      </w:r>
      <w:r w:rsidRPr="00E93126">
        <w:rPr>
          <w:lang w:val="en-GB"/>
        </w:rPr>
        <w:t xml:space="preserve"> that the brand generated across its product portfolio</w:t>
      </w:r>
      <w:r w:rsidR="006A218B" w:rsidRPr="00E93126">
        <w:rPr>
          <w:lang w:val="en-GB"/>
        </w:rPr>
        <w:t>.</w:t>
      </w:r>
    </w:p>
    <w:p w14:paraId="6252DB95" w14:textId="77777777" w:rsidR="006A218B" w:rsidRPr="00E93126" w:rsidRDefault="006A218B" w:rsidP="006A218B">
      <w:pPr>
        <w:pStyle w:val="BodyTextMain"/>
        <w:rPr>
          <w:lang w:val="en-GB"/>
        </w:rPr>
      </w:pPr>
    </w:p>
    <w:p w14:paraId="1FBED22D" w14:textId="77777777" w:rsidR="00FE5EEB" w:rsidRPr="00E93126" w:rsidRDefault="00FE5EEB" w:rsidP="006A218B">
      <w:pPr>
        <w:pStyle w:val="BodyTextMain"/>
        <w:rPr>
          <w:lang w:val="en-GB"/>
        </w:rPr>
      </w:pPr>
    </w:p>
    <w:p w14:paraId="7691C32A" w14:textId="77777777" w:rsidR="00FE5EEB" w:rsidRPr="00E93126" w:rsidRDefault="006A218B" w:rsidP="00733495">
      <w:pPr>
        <w:pStyle w:val="Casehead2"/>
        <w:outlineLvl w:val="0"/>
        <w:rPr>
          <w:lang w:val="en-GB"/>
        </w:rPr>
      </w:pPr>
      <w:r w:rsidRPr="00E93126">
        <w:rPr>
          <w:lang w:val="en-GB"/>
        </w:rPr>
        <w:t>Smart Line</w:t>
      </w:r>
    </w:p>
    <w:p w14:paraId="50F912A6" w14:textId="77777777" w:rsidR="00FE5EEB" w:rsidRPr="00E93126" w:rsidRDefault="00FE5EEB" w:rsidP="006A218B">
      <w:pPr>
        <w:pStyle w:val="BodyTextMain"/>
        <w:rPr>
          <w:lang w:val="en-GB"/>
        </w:rPr>
      </w:pPr>
    </w:p>
    <w:p w14:paraId="7E4D55D3" w14:textId="1F6F26D3" w:rsidR="006A218B" w:rsidRPr="00E93126" w:rsidRDefault="006A218B" w:rsidP="006A218B">
      <w:pPr>
        <w:pStyle w:val="BodyTextMain"/>
        <w:rPr>
          <w:lang w:val="en-GB"/>
        </w:rPr>
      </w:pPr>
      <w:r w:rsidRPr="00E93126">
        <w:rPr>
          <w:lang w:val="en-GB"/>
        </w:rPr>
        <w:t xml:space="preserve">Smart Line was a </w:t>
      </w:r>
      <w:r w:rsidR="00714F0A">
        <w:rPr>
          <w:lang w:val="en-GB"/>
        </w:rPr>
        <w:t>large</w:t>
      </w:r>
      <w:r w:rsidR="00F26210" w:rsidRPr="00E93126">
        <w:rPr>
          <w:lang w:val="en-GB"/>
        </w:rPr>
        <w:t xml:space="preserve"> </w:t>
      </w:r>
      <w:r w:rsidRPr="00E93126">
        <w:rPr>
          <w:lang w:val="en-GB"/>
        </w:rPr>
        <w:t xml:space="preserve">Korean appliance </w:t>
      </w:r>
      <w:r w:rsidR="00F26210" w:rsidRPr="00E93126">
        <w:rPr>
          <w:lang w:val="en-GB"/>
        </w:rPr>
        <w:t>retailer</w:t>
      </w:r>
      <w:r w:rsidR="00D079AC">
        <w:rPr>
          <w:lang w:val="en-GB"/>
        </w:rPr>
        <w:t xml:space="preserve"> that was </w:t>
      </w:r>
      <w:r w:rsidRPr="00E93126">
        <w:rPr>
          <w:lang w:val="en-GB"/>
        </w:rPr>
        <w:t xml:space="preserve">present in the Indonesian consumer goods market across </w:t>
      </w:r>
      <w:r w:rsidR="00F26210" w:rsidRPr="00E93126">
        <w:rPr>
          <w:lang w:val="en-GB"/>
        </w:rPr>
        <w:t xml:space="preserve">such </w:t>
      </w:r>
      <w:r w:rsidRPr="00E93126">
        <w:rPr>
          <w:lang w:val="en-GB"/>
        </w:rPr>
        <w:t xml:space="preserve">categories </w:t>
      </w:r>
      <w:r w:rsidR="00F26210" w:rsidRPr="00E93126">
        <w:rPr>
          <w:lang w:val="en-GB"/>
        </w:rPr>
        <w:t xml:space="preserve">as </w:t>
      </w:r>
      <w:r w:rsidRPr="00E93126">
        <w:rPr>
          <w:lang w:val="en-GB"/>
        </w:rPr>
        <w:t>mobile phones, television</w:t>
      </w:r>
      <w:r w:rsidR="00F26210" w:rsidRPr="00E93126">
        <w:rPr>
          <w:lang w:val="en-GB"/>
        </w:rPr>
        <w:t>s</w:t>
      </w:r>
      <w:r w:rsidRPr="00E93126">
        <w:rPr>
          <w:lang w:val="en-GB"/>
        </w:rPr>
        <w:t xml:space="preserve">, refrigerators, </w:t>
      </w:r>
      <w:r w:rsidR="00F26210" w:rsidRPr="00E93126">
        <w:rPr>
          <w:lang w:val="en-GB"/>
        </w:rPr>
        <w:t xml:space="preserve">and </w:t>
      </w:r>
      <w:r w:rsidRPr="00E93126">
        <w:rPr>
          <w:lang w:val="en-GB"/>
        </w:rPr>
        <w:t xml:space="preserve">air conditioners. Smart Line set up its Bali operations in 1998. </w:t>
      </w:r>
      <w:r w:rsidR="00F26210" w:rsidRPr="00E93126">
        <w:rPr>
          <w:lang w:val="en-GB"/>
        </w:rPr>
        <w:t xml:space="preserve">Its </w:t>
      </w:r>
      <w:r w:rsidR="00714F0A">
        <w:rPr>
          <w:lang w:val="en-GB"/>
        </w:rPr>
        <w:t xml:space="preserve">greatest </w:t>
      </w:r>
      <w:r w:rsidRPr="00E93126">
        <w:rPr>
          <w:lang w:val="en-GB"/>
        </w:rPr>
        <w:t xml:space="preserve">strength was the strong demand for </w:t>
      </w:r>
      <w:r w:rsidR="00F26210" w:rsidRPr="00E93126">
        <w:rPr>
          <w:lang w:val="en-GB"/>
        </w:rPr>
        <w:t xml:space="preserve">its </w:t>
      </w:r>
      <w:r w:rsidRPr="00E93126">
        <w:rPr>
          <w:lang w:val="en-GB"/>
        </w:rPr>
        <w:t>television</w:t>
      </w:r>
      <w:r w:rsidR="00F26210" w:rsidRPr="00E93126">
        <w:rPr>
          <w:lang w:val="en-GB"/>
        </w:rPr>
        <w:t>s</w:t>
      </w:r>
      <w:r w:rsidRPr="00E93126">
        <w:rPr>
          <w:lang w:val="en-GB"/>
        </w:rPr>
        <w:t>, washing machine</w:t>
      </w:r>
      <w:r w:rsidR="00F26210" w:rsidRPr="00E93126">
        <w:rPr>
          <w:lang w:val="en-GB"/>
        </w:rPr>
        <w:t>s</w:t>
      </w:r>
      <w:r w:rsidRPr="00E93126">
        <w:rPr>
          <w:lang w:val="en-GB"/>
        </w:rPr>
        <w:t xml:space="preserve">, and refrigerators throughout </w:t>
      </w:r>
      <w:r w:rsidR="00F26210" w:rsidRPr="00E93126">
        <w:rPr>
          <w:lang w:val="en-GB"/>
        </w:rPr>
        <w:t xml:space="preserve">its </w:t>
      </w:r>
      <w:r w:rsidRPr="00E93126">
        <w:rPr>
          <w:lang w:val="en-GB"/>
        </w:rPr>
        <w:t xml:space="preserve">extensive distributor and dealer network. </w:t>
      </w:r>
      <w:r w:rsidR="00F26210" w:rsidRPr="00E93126">
        <w:rPr>
          <w:lang w:val="en-GB"/>
        </w:rPr>
        <w:t>Smart Line did not initially focus on a</w:t>
      </w:r>
      <w:r w:rsidRPr="00E93126">
        <w:rPr>
          <w:lang w:val="en-GB"/>
        </w:rPr>
        <w:t>ir conditioner</w:t>
      </w:r>
      <w:r w:rsidR="00F26210" w:rsidRPr="00E93126">
        <w:rPr>
          <w:lang w:val="en-GB"/>
        </w:rPr>
        <w:t>s</w:t>
      </w:r>
      <w:r w:rsidRPr="00E93126">
        <w:rPr>
          <w:lang w:val="en-GB"/>
        </w:rPr>
        <w:t xml:space="preserve">, but from 2010 onward, </w:t>
      </w:r>
      <w:r w:rsidR="00F26210" w:rsidRPr="00E93126">
        <w:rPr>
          <w:lang w:val="en-GB"/>
        </w:rPr>
        <w:t xml:space="preserve">it </w:t>
      </w:r>
      <w:r w:rsidRPr="00E93126">
        <w:rPr>
          <w:lang w:val="en-GB"/>
        </w:rPr>
        <w:t xml:space="preserve">ensured that air conditioners were present in all </w:t>
      </w:r>
      <w:r w:rsidR="00F26210" w:rsidRPr="00E93126">
        <w:rPr>
          <w:lang w:val="en-GB"/>
        </w:rPr>
        <w:t xml:space="preserve">its </w:t>
      </w:r>
      <w:r w:rsidRPr="00E93126">
        <w:rPr>
          <w:lang w:val="en-GB"/>
        </w:rPr>
        <w:t>retail outlets</w:t>
      </w:r>
      <w:r w:rsidR="00F26210" w:rsidRPr="00E93126">
        <w:rPr>
          <w:lang w:val="en-GB"/>
        </w:rPr>
        <w:t>,</w:t>
      </w:r>
      <w:r w:rsidRPr="00E93126">
        <w:rPr>
          <w:lang w:val="en-GB"/>
        </w:rPr>
        <w:t xml:space="preserve"> and </w:t>
      </w:r>
      <w:r w:rsidR="00D079AC">
        <w:rPr>
          <w:lang w:val="en-GB"/>
        </w:rPr>
        <w:t>Smart Line received a</w:t>
      </w:r>
      <w:r w:rsidR="00F26210" w:rsidRPr="00E93126">
        <w:rPr>
          <w:lang w:val="en-GB"/>
        </w:rPr>
        <w:t xml:space="preserve"> </w:t>
      </w:r>
      <w:r w:rsidRPr="00E93126">
        <w:rPr>
          <w:lang w:val="en-GB"/>
        </w:rPr>
        <w:t>share of air conditioner sale</w:t>
      </w:r>
      <w:r w:rsidR="00F26210" w:rsidRPr="00E93126">
        <w:rPr>
          <w:lang w:val="en-GB"/>
        </w:rPr>
        <w:t>s</w:t>
      </w:r>
      <w:r w:rsidRPr="00E93126">
        <w:rPr>
          <w:lang w:val="en-GB"/>
        </w:rPr>
        <w:t xml:space="preserve"> from all</w:t>
      </w:r>
      <w:r w:rsidR="00714F0A">
        <w:rPr>
          <w:lang w:val="en-GB"/>
        </w:rPr>
        <w:t xml:space="preserve"> of</w:t>
      </w:r>
      <w:r w:rsidRPr="00E93126">
        <w:rPr>
          <w:lang w:val="en-GB"/>
        </w:rPr>
        <w:t xml:space="preserve"> </w:t>
      </w:r>
      <w:r w:rsidR="00DC7A97" w:rsidRPr="00E93126">
        <w:rPr>
          <w:lang w:val="en-GB"/>
        </w:rPr>
        <w:t xml:space="preserve">its </w:t>
      </w:r>
      <w:r w:rsidRPr="00E93126">
        <w:rPr>
          <w:lang w:val="en-GB"/>
        </w:rPr>
        <w:t xml:space="preserve">outlets. </w:t>
      </w:r>
      <w:r w:rsidR="00DC7A97" w:rsidRPr="00E93126">
        <w:rPr>
          <w:lang w:val="en-GB"/>
        </w:rPr>
        <w:t>Its f</w:t>
      </w:r>
      <w:r w:rsidRPr="00E93126">
        <w:rPr>
          <w:lang w:val="en-GB"/>
        </w:rPr>
        <w:t>ull</w:t>
      </w:r>
      <w:r w:rsidR="00714F0A">
        <w:rPr>
          <w:lang w:val="en-GB"/>
        </w:rPr>
        <w:t>-</w:t>
      </w:r>
      <w:r w:rsidRPr="00E93126">
        <w:rPr>
          <w:lang w:val="en-GB"/>
        </w:rPr>
        <w:t>line forcing strategy</w:t>
      </w:r>
      <w:r w:rsidR="00150B40" w:rsidRPr="00E93126">
        <w:rPr>
          <w:rStyle w:val="FootnoteReference"/>
          <w:lang w:val="en-GB"/>
        </w:rPr>
        <w:footnoteReference w:id="4"/>
      </w:r>
      <w:r w:rsidRPr="00E93126">
        <w:rPr>
          <w:lang w:val="en-GB"/>
        </w:rPr>
        <w:t xml:space="preserve"> </w:t>
      </w:r>
      <w:r w:rsidR="00DC7A97" w:rsidRPr="00E93126">
        <w:rPr>
          <w:lang w:val="en-GB"/>
        </w:rPr>
        <w:t>provided the company with</w:t>
      </w:r>
      <w:r w:rsidRPr="00E93126">
        <w:rPr>
          <w:lang w:val="en-GB"/>
        </w:rPr>
        <w:t xml:space="preserve"> good dividends.</w:t>
      </w:r>
    </w:p>
    <w:p w14:paraId="77E27297" w14:textId="77777777" w:rsidR="006A218B" w:rsidRPr="00E93126" w:rsidRDefault="006A218B" w:rsidP="006A218B">
      <w:pPr>
        <w:pStyle w:val="BodyTextMain"/>
        <w:rPr>
          <w:lang w:val="en-GB"/>
        </w:rPr>
      </w:pPr>
    </w:p>
    <w:p w14:paraId="4552FD45" w14:textId="77777777" w:rsidR="00FE5EEB" w:rsidRPr="00E93126" w:rsidRDefault="00FE5EEB" w:rsidP="006A218B">
      <w:pPr>
        <w:pStyle w:val="BodyTextMain"/>
        <w:rPr>
          <w:lang w:val="en-GB"/>
        </w:rPr>
      </w:pPr>
    </w:p>
    <w:p w14:paraId="1BCB27FF" w14:textId="77777777" w:rsidR="00FE5EEB" w:rsidRPr="00E93126" w:rsidRDefault="006A218B" w:rsidP="00733495">
      <w:pPr>
        <w:pStyle w:val="Casehead2"/>
        <w:outlineLvl w:val="0"/>
        <w:rPr>
          <w:lang w:val="en-GB"/>
        </w:rPr>
      </w:pPr>
      <w:r w:rsidRPr="00E93126">
        <w:rPr>
          <w:lang w:val="en-GB"/>
        </w:rPr>
        <w:t>Harlem</w:t>
      </w:r>
    </w:p>
    <w:p w14:paraId="5BCA12A3" w14:textId="77777777" w:rsidR="00FE5EEB" w:rsidRPr="00E93126" w:rsidRDefault="00FE5EEB" w:rsidP="006A218B">
      <w:pPr>
        <w:pStyle w:val="BodyTextMain"/>
        <w:rPr>
          <w:lang w:val="en-GB"/>
        </w:rPr>
      </w:pPr>
    </w:p>
    <w:p w14:paraId="7239EF79" w14:textId="14144ECF" w:rsidR="006A218B" w:rsidRPr="00E93126" w:rsidRDefault="006A218B" w:rsidP="006A218B">
      <w:pPr>
        <w:pStyle w:val="BodyTextMain"/>
        <w:rPr>
          <w:lang w:val="en-GB"/>
        </w:rPr>
      </w:pPr>
      <w:r w:rsidRPr="00E93126">
        <w:rPr>
          <w:lang w:val="en-GB"/>
        </w:rPr>
        <w:t xml:space="preserve">Harlem was </w:t>
      </w:r>
      <w:r w:rsidR="00DC7A97" w:rsidRPr="00E93126">
        <w:rPr>
          <w:lang w:val="en-GB"/>
        </w:rPr>
        <w:t xml:space="preserve">a </w:t>
      </w:r>
      <w:r w:rsidRPr="00E93126">
        <w:rPr>
          <w:lang w:val="en-GB"/>
        </w:rPr>
        <w:t>S</w:t>
      </w:r>
      <w:r w:rsidR="00E45E7F" w:rsidRPr="00E93126">
        <w:rPr>
          <w:lang w:val="en-GB"/>
        </w:rPr>
        <w:t>h</w:t>
      </w:r>
      <w:r w:rsidRPr="00E93126">
        <w:rPr>
          <w:lang w:val="en-GB"/>
        </w:rPr>
        <w:t>anghai</w:t>
      </w:r>
      <w:r w:rsidR="00DC7A97" w:rsidRPr="00E93126">
        <w:rPr>
          <w:lang w:val="en-GB"/>
        </w:rPr>
        <w:t>-</w:t>
      </w:r>
      <w:r w:rsidRPr="00E93126">
        <w:rPr>
          <w:lang w:val="en-GB"/>
        </w:rPr>
        <w:t>based Chinese company. Harlem Indonesia started in January 2004 as a 100 per</w:t>
      </w:r>
      <w:r w:rsidR="00DC7A97" w:rsidRPr="00E93126">
        <w:rPr>
          <w:lang w:val="en-GB"/>
        </w:rPr>
        <w:t xml:space="preserve"> </w:t>
      </w:r>
      <w:r w:rsidRPr="00E93126">
        <w:rPr>
          <w:lang w:val="en-GB"/>
        </w:rPr>
        <w:t xml:space="preserve">cent subsidiary. </w:t>
      </w:r>
      <w:r w:rsidR="00714F0A">
        <w:rPr>
          <w:lang w:val="en-GB"/>
        </w:rPr>
        <w:t>The firm</w:t>
      </w:r>
      <w:r w:rsidR="00714F0A" w:rsidRPr="00E93126">
        <w:rPr>
          <w:lang w:val="en-GB"/>
        </w:rPr>
        <w:t xml:space="preserve"> </w:t>
      </w:r>
      <w:r w:rsidRPr="00E93126">
        <w:rPr>
          <w:lang w:val="en-GB"/>
        </w:rPr>
        <w:t>was known for introducing innovative products</w:t>
      </w:r>
      <w:r w:rsidR="008E7560" w:rsidRPr="00E93126">
        <w:rPr>
          <w:lang w:val="en-GB"/>
        </w:rPr>
        <w:t>, including</w:t>
      </w:r>
      <w:r w:rsidRPr="00E93126">
        <w:rPr>
          <w:lang w:val="en-GB"/>
        </w:rPr>
        <w:t xml:space="preserve"> its revolutionary </w:t>
      </w:r>
      <w:r w:rsidR="00DC7A97" w:rsidRPr="00E93126">
        <w:rPr>
          <w:lang w:val="en-GB"/>
        </w:rPr>
        <w:t>s</w:t>
      </w:r>
      <w:r w:rsidRPr="00E93126">
        <w:rPr>
          <w:lang w:val="en-GB"/>
        </w:rPr>
        <w:t xml:space="preserve">plit </w:t>
      </w:r>
      <w:r w:rsidR="00DC7A97" w:rsidRPr="00E93126">
        <w:rPr>
          <w:lang w:val="en-GB"/>
        </w:rPr>
        <w:t>a</w:t>
      </w:r>
      <w:r w:rsidRPr="00E93126">
        <w:rPr>
          <w:lang w:val="en-GB"/>
        </w:rPr>
        <w:t xml:space="preserve">ir conditioners, </w:t>
      </w:r>
      <w:r w:rsidR="00DC7A97" w:rsidRPr="00E93126">
        <w:rPr>
          <w:lang w:val="en-GB"/>
        </w:rPr>
        <w:t xml:space="preserve">which were first </w:t>
      </w:r>
      <w:r w:rsidRPr="00E93126">
        <w:rPr>
          <w:lang w:val="en-GB"/>
        </w:rPr>
        <w:t xml:space="preserve">launched in Indonesia. </w:t>
      </w:r>
      <w:r w:rsidR="00714F0A">
        <w:rPr>
          <w:lang w:val="en-GB"/>
        </w:rPr>
        <w:t>Harlem</w:t>
      </w:r>
      <w:r w:rsidR="00DC7A97" w:rsidRPr="00E93126">
        <w:rPr>
          <w:lang w:val="en-GB"/>
        </w:rPr>
        <w:t xml:space="preserve"> </w:t>
      </w:r>
      <w:r w:rsidRPr="00E93126">
        <w:rPr>
          <w:lang w:val="en-GB"/>
        </w:rPr>
        <w:t xml:space="preserve">also offered </w:t>
      </w:r>
      <w:r w:rsidR="00DC7A97" w:rsidRPr="00E93126">
        <w:rPr>
          <w:lang w:val="en-GB"/>
        </w:rPr>
        <w:t xml:space="preserve">a </w:t>
      </w:r>
      <w:r w:rsidRPr="00E93126">
        <w:rPr>
          <w:lang w:val="en-GB"/>
        </w:rPr>
        <w:t>10</w:t>
      </w:r>
      <w:r w:rsidR="00DC7A97" w:rsidRPr="00E93126">
        <w:rPr>
          <w:lang w:val="en-GB"/>
        </w:rPr>
        <w:t>-</w:t>
      </w:r>
      <w:r w:rsidR="00D079AC">
        <w:rPr>
          <w:lang w:val="en-GB"/>
        </w:rPr>
        <w:t>year product guarantee—</w:t>
      </w:r>
      <w:r w:rsidR="00DC7A97" w:rsidRPr="00E93126">
        <w:rPr>
          <w:lang w:val="en-GB"/>
        </w:rPr>
        <w:t xml:space="preserve">the </w:t>
      </w:r>
      <w:r w:rsidR="007151EB">
        <w:rPr>
          <w:lang w:val="en-GB"/>
        </w:rPr>
        <w:t>longest</w:t>
      </w:r>
      <w:r w:rsidRPr="00E93126">
        <w:rPr>
          <w:lang w:val="en-GB"/>
        </w:rPr>
        <w:t xml:space="preserve"> in the industry</w:t>
      </w:r>
      <w:r w:rsidR="00D079AC">
        <w:rPr>
          <w:lang w:val="en-GB"/>
        </w:rPr>
        <w:t>—</w:t>
      </w:r>
      <w:r w:rsidR="00714F0A">
        <w:rPr>
          <w:lang w:val="en-GB"/>
        </w:rPr>
        <w:t>as well as</w:t>
      </w:r>
      <w:r w:rsidRPr="00E93126">
        <w:rPr>
          <w:lang w:val="en-GB"/>
        </w:rPr>
        <w:t xml:space="preserve"> a wide range of </w:t>
      </w:r>
      <w:r w:rsidR="00DC7A97" w:rsidRPr="00E93126">
        <w:rPr>
          <w:lang w:val="en-GB"/>
        </w:rPr>
        <w:t>t</w:t>
      </w:r>
      <w:r w:rsidRPr="00E93126">
        <w:rPr>
          <w:lang w:val="en-GB"/>
        </w:rPr>
        <w:t xml:space="preserve">elevisions, </w:t>
      </w:r>
      <w:r w:rsidR="00DC7A97" w:rsidRPr="00E93126">
        <w:rPr>
          <w:lang w:val="en-GB"/>
        </w:rPr>
        <w:t>w</w:t>
      </w:r>
      <w:r w:rsidRPr="00E93126">
        <w:rPr>
          <w:lang w:val="en-GB"/>
        </w:rPr>
        <w:t xml:space="preserve">ater </w:t>
      </w:r>
      <w:r w:rsidR="00DC7A97" w:rsidRPr="00E93126">
        <w:rPr>
          <w:lang w:val="en-GB"/>
        </w:rPr>
        <w:t>h</w:t>
      </w:r>
      <w:r w:rsidRPr="00E93126">
        <w:rPr>
          <w:lang w:val="en-GB"/>
        </w:rPr>
        <w:t xml:space="preserve">eaters, </w:t>
      </w:r>
      <w:r w:rsidR="00DC7A97" w:rsidRPr="00E93126">
        <w:rPr>
          <w:lang w:val="en-GB"/>
        </w:rPr>
        <w:t>a</w:t>
      </w:r>
      <w:r w:rsidRPr="00E93126">
        <w:rPr>
          <w:lang w:val="en-GB"/>
        </w:rPr>
        <w:t xml:space="preserve">ir conditioners, </w:t>
      </w:r>
      <w:r w:rsidR="00DC7A97" w:rsidRPr="00E93126">
        <w:rPr>
          <w:lang w:val="en-GB"/>
        </w:rPr>
        <w:t>w</w:t>
      </w:r>
      <w:r w:rsidRPr="00E93126">
        <w:rPr>
          <w:lang w:val="en-GB"/>
        </w:rPr>
        <w:t xml:space="preserve">ine </w:t>
      </w:r>
      <w:r w:rsidR="00DC7A97" w:rsidRPr="00E93126">
        <w:rPr>
          <w:lang w:val="en-GB"/>
        </w:rPr>
        <w:t>c</w:t>
      </w:r>
      <w:r w:rsidRPr="00E93126">
        <w:rPr>
          <w:lang w:val="en-GB"/>
        </w:rPr>
        <w:t xml:space="preserve">ellars, </w:t>
      </w:r>
      <w:r w:rsidR="00DC7A97" w:rsidRPr="00E93126">
        <w:rPr>
          <w:lang w:val="en-GB"/>
        </w:rPr>
        <w:t>w</w:t>
      </w:r>
      <w:r w:rsidRPr="00E93126">
        <w:rPr>
          <w:lang w:val="en-GB"/>
        </w:rPr>
        <w:t xml:space="preserve">ashing </w:t>
      </w:r>
      <w:r w:rsidR="00DC7A97" w:rsidRPr="00E93126">
        <w:rPr>
          <w:lang w:val="en-GB"/>
        </w:rPr>
        <w:t>m</w:t>
      </w:r>
      <w:r w:rsidRPr="00E93126">
        <w:rPr>
          <w:lang w:val="en-GB"/>
        </w:rPr>
        <w:t xml:space="preserve">achines, </w:t>
      </w:r>
      <w:r w:rsidR="00DC7A97" w:rsidRPr="00E93126">
        <w:rPr>
          <w:lang w:val="en-GB"/>
        </w:rPr>
        <w:t>w</w:t>
      </w:r>
      <w:r w:rsidRPr="00E93126">
        <w:rPr>
          <w:lang w:val="en-GB"/>
        </w:rPr>
        <w:t xml:space="preserve">ater </w:t>
      </w:r>
      <w:r w:rsidR="00DC7A97" w:rsidRPr="00E93126">
        <w:rPr>
          <w:lang w:val="en-GB"/>
        </w:rPr>
        <w:t>h</w:t>
      </w:r>
      <w:r w:rsidRPr="00E93126">
        <w:rPr>
          <w:lang w:val="en-GB"/>
        </w:rPr>
        <w:t>eaters</w:t>
      </w:r>
      <w:r w:rsidR="00DC7A97" w:rsidRPr="00E93126">
        <w:rPr>
          <w:lang w:val="en-GB"/>
        </w:rPr>
        <w:t>,</w:t>
      </w:r>
      <w:r w:rsidRPr="00E93126">
        <w:rPr>
          <w:lang w:val="en-GB"/>
        </w:rPr>
        <w:t xml:space="preserve"> and </w:t>
      </w:r>
      <w:r w:rsidR="00DC7A97" w:rsidRPr="00E93126">
        <w:rPr>
          <w:lang w:val="en-GB"/>
        </w:rPr>
        <w:t>d</w:t>
      </w:r>
      <w:r w:rsidRPr="00E93126">
        <w:rPr>
          <w:lang w:val="en-GB"/>
        </w:rPr>
        <w:t xml:space="preserve">eep </w:t>
      </w:r>
      <w:r w:rsidR="00DC7A97" w:rsidRPr="00E93126">
        <w:rPr>
          <w:lang w:val="en-GB"/>
        </w:rPr>
        <w:t>f</w:t>
      </w:r>
      <w:r w:rsidRPr="00E93126">
        <w:rPr>
          <w:lang w:val="en-GB"/>
        </w:rPr>
        <w:t xml:space="preserve">reezers. However, </w:t>
      </w:r>
      <w:r w:rsidR="00DC7A97" w:rsidRPr="00E93126">
        <w:rPr>
          <w:lang w:val="en-GB"/>
        </w:rPr>
        <w:t xml:space="preserve">it </w:t>
      </w:r>
      <w:r w:rsidR="00714F0A">
        <w:rPr>
          <w:lang w:val="en-GB"/>
        </w:rPr>
        <w:t>had</w:t>
      </w:r>
      <w:r w:rsidRPr="00E93126">
        <w:rPr>
          <w:lang w:val="en-GB"/>
        </w:rPr>
        <w:t xml:space="preserve"> yet to firmly establish </w:t>
      </w:r>
      <w:r w:rsidR="00DC7A97" w:rsidRPr="00E93126">
        <w:rPr>
          <w:lang w:val="en-GB"/>
        </w:rPr>
        <w:t xml:space="preserve">its </w:t>
      </w:r>
      <w:r w:rsidRPr="00E93126">
        <w:rPr>
          <w:lang w:val="en-GB"/>
        </w:rPr>
        <w:t>brand image in Indonesia.</w:t>
      </w:r>
    </w:p>
    <w:p w14:paraId="33A4E341" w14:textId="77777777" w:rsidR="006A218B" w:rsidRPr="00E93126" w:rsidRDefault="006A218B" w:rsidP="006A218B">
      <w:pPr>
        <w:pStyle w:val="BodyTextMain"/>
        <w:rPr>
          <w:lang w:val="en-GB"/>
        </w:rPr>
      </w:pPr>
    </w:p>
    <w:p w14:paraId="57AEF679" w14:textId="77777777" w:rsidR="006A218B" w:rsidRPr="00E93126" w:rsidRDefault="00E45E7F" w:rsidP="006A218B">
      <w:pPr>
        <w:pStyle w:val="BodyTextMain"/>
        <w:rPr>
          <w:lang w:val="en-GB"/>
        </w:rPr>
      </w:pPr>
      <w:r w:rsidRPr="00E93126">
        <w:rPr>
          <w:lang w:val="en-GB"/>
        </w:rPr>
        <w:t xml:space="preserve">The </w:t>
      </w:r>
      <w:r w:rsidR="006A218B" w:rsidRPr="00E93126">
        <w:rPr>
          <w:lang w:val="en-GB"/>
        </w:rPr>
        <w:t>Harlem branch operation was set up in Bali in 2011, model</w:t>
      </w:r>
      <w:r w:rsidR="00DC7A97" w:rsidRPr="00E93126">
        <w:rPr>
          <w:lang w:val="en-GB"/>
        </w:rPr>
        <w:t>l</w:t>
      </w:r>
      <w:r w:rsidR="006A218B" w:rsidRPr="00E93126">
        <w:rPr>
          <w:lang w:val="en-GB"/>
        </w:rPr>
        <w:t xml:space="preserve">ed after </w:t>
      </w:r>
      <w:proofErr w:type="spellStart"/>
      <w:r w:rsidR="006A218B" w:rsidRPr="00E93126">
        <w:rPr>
          <w:lang w:val="en-GB"/>
        </w:rPr>
        <w:t>Fairdeal</w:t>
      </w:r>
      <w:r w:rsidR="00DC7A97" w:rsidRPr="00E93126">
        <w:rPr>
          <w:lang w:val="en-GB"/>
        </w:rPr>
        <w:t>’s</w:t>
      </w:r>
      <w:proofErr w:type="spellEnd"/>
      <w:r w:rsidR="006A218B" w:rsidRPr="00E93126">
        <w:rPr>
          <w:lang w:val="en-GB"/>
        </w:rPr>
        <w:t xml:space="preserve"> branch operations. </w:t>
      </w:r>
      <w:r w:rsidR="0013518A">
        <w:rPr>
          <w:lang w:val="en-GB"/>
        </w:rPr>
        <w:t xml:space="preserve">Yet unlike </w:t>
      </w:r>
      <w:proofErr w:type="spellStart"/>
      <w:r w:rsidR="0013518A">
        <w:rPr>
          <w:lang w:val="en-GB"/>
        </w:rPr>
        <w:t>Fairdeal</w:t>
      </w:r>
      <w:proofErr w:type="spellEnd"/>
      <w:r w:rsidR="006A218B" w:rsidRPr="00E93126">
        <w:rPr>
          <w:lang w:val="en-GB"/>
        </w:rPr>
        <w:t xml:space="preserve">, </w:t>
      </w:r>
      <w:r w:rsidR="00DC7A97" w:rsidRPr="00E93126">
        <w:rPr>
          <w:lang w:val="en-GB"/>
        </w:rPr>
        <w:t xml:space="preserve">Harlem </w:t>
      </w:r>
      <w:r w:rsidR="006A218B" w:rsidRPr="00E93126">
        <w:rPr>
          <w:lang w:val="en-GB"/>
        </w:rPr>
        <w:t xml:space="preserve">sold </w:t>
      </w:r>
      <w:r w:rsidR="00DC7A97" w:rsidRPr="00E93126">
        <w:rPr>
          <w:lang w:val="en-GB"/>
        </w:rPr>
        <w:t xml:space="preserve">only </w:t>
      </w:r>
      <w:r w:rsidR="006A218B" w:rsidRPr="00E93126">
        <w:rPr>
          <w:lang w:val="en-GB"/>
        </w:rPr>
        <w:t xml:space="preserve">through distributors, </w:t>
      </w:r>
      <w:r w:rsidR="008E7560" w:rsidRPr="00E93126">
        <w:rPr>
          <w:lang w:val="en-GB"/>
        </w:rPr>
        <w:t xml:space="preserve">which </w:t>
      </w:r>
      <w:r w:rsidR="006A218B" w:rsidRPr="00E93126">
        <w:rPr>
          <w:lang w:val="en-GB"/>
        </w:rPr>
        <w:t xml:space="preserve">supplied dealers. </w:t>
      </w:r>
      <w:r w:rsidR="00DC7A97" w:rsidRPr="00E93126">
        <w:rPr>
          <w:lang w:val="en-GB"/>
        </w:rPr>
        <w:t xml:space="preserve">Its </w:t>
      </w:r>
      <w:r w:rsidR="006A218B" w:rsidRPr="00E93126">
        <w:rPr>
          <w:lang w:val="en-GB"/>
        </w:rPr>
        <w:t xml:space="preserve">sales force had direct interaction with some key dealers. </w:t>
      </w:r>
      <w:r w:rsidR="00DC7A97" w:rsidRPr="00E93126">
        <w:rPr>
          <w:lang w:val="en-GB"/>
        </w:rPr>
        <w:t xml:space="preserve">The company had </w:t>
      </w:r>
      <w:r w:rsidR="006A218B" w:rsidRPr="00E93126">
        <w:rPr>
          <w:lang w:val="en-GB"/>
        </w:rPr>
        <w:t>maintain</w:t>
      </w:r>
      <w:r w:rsidR="00DC7A97" w:rsidRPr="00E93126">
        <w:rPr>
          <w:lang w:val="en-GB"/>
        </w:rPr>
        <w:t>ed</w:t>
      </w:r>
      <w:r w:rsidR="006A218B" w:rsidRPr="00E93126">
        <w:rPr>
          <w:lang w:val="en-GB"/>
        </w:rPr>
        <w:t xml:space="preserve"> a steady share in the market for the </w:t>
      </w:r>
      <w:r w:rsidR="00DC7A97" w:rsidRPr="00E93126">
        <w:rPr>
          <w:lang w:val="en-GB"/>
        </w:rPr>
        <w:t xml:space="preserve">past </w:t>
      </w:r>
      <w:r w:rsidR="006A218B" w:rsidRPr="00E93126">
        <w:rPr>
          <w:lang w:val="en-GB"/>
        </w:rPr>
        <w:t xml:space="preserve">few years. </w:t>
      </w:r>
      <w:r w:rsidR="00DC7A97" w:rsidRPr="00E93126">
        <w:rPr>
          <w:lang w:val="en-GB"/>
        </w:rPr>
        <w:t xml:space="preserve">It </w:t>
      </w:r>
      <w:r w:rsidR="006A218B" w:rsidRPr="00E93126">
        <w:rPr>
          <w:lang w:val="en-GB"/>
        </w:rPr>
        <w:t xml:space="preserve">leveraged </w:t>
      </w:r>
      <w:r w:rsidR="00DC7A97" w:rsidRPr="00E93126">
        <w:rPr>
          <w:lang w:val="en-GB"/>
        </w:rPr>
        <w:t xml:space="preserve">its </w:t>
      </w:r>
      <w:r w:rsidR="006A218B" w:rsidRPr="00E93126">
        <w:rPr>
          <w:lang w:val="en-GB"/>
        </w:rPr>
        <w:t xml:space="preserve">television sales and greater discounts to drive </w:t>
      </w:r>
      <w:r w:rsidR="00DC7A97" w:rsidRPr="00E93126">
        <w:rPr>
          <w:lang w:val="en-GB"/>
        </w:rPr>
        <w:t xml:space="preserve">its </w:t>
      </w:r>
      <w:r w:rsidR="006A218B" w:rsidRPr="00E93126">
        <w:rPr>
          <w:lang w:val="en-GB"/>
        </w:rPr>
        <w:t>air conditioner sales.</w:t>
      </w:r>
    </w:p>
    <w:p w14:paraId="6E327332" w14:textId="77777777" w:rsidR="006A218B" w:rsidRPr="00E93126" w:rsidRDefault="006A218B" w:rsidP="006A218B">
      <w:pPr>
        <w:pStyle w:val="BodyTextMain"/>
        <w:rPr>
          <w:lang w:val="en-GB"/>
        </w:rPr>
      </w:pPr>
    </w:p>
    <w:p w14:paraId="207A2CF1" w14:textId="77777777" w:rsidR="006A218B" w:rsidRPr="00E93126" w:rsidRDefault="006A218B" w:rsidP="006A218B">
      <w:pPr>
        <w:pStyle w:val="BodyTextMain"/>
        <w:rPr>
          <w:lang w:val="en-GB"/>
        </w:rPr>
      </w:pPr>
    </w:p>
    <w:p w14:paraId="0A1AE30F" w14:textId="77777777" w:rsidR="006A218B" w:rsidRPr="00E93126" w:rsidRDefault="006A218B" w:rsidP="00733495">
      <w:pPr>
        <w:pStyle w:val="Casehead1"/>
        <w:outlineLvl w:val="0"/>
        <w:rPr>
          <w:lang w:val="en-GB"/>
        </w:rPr>
      </w:pPr>
      <w:r w:rsidRPr="00E93126">
        <w:rPr>
          <w:lang w:val="en-GB"/>
        </w:rPr>
        <w:t xml:space="preserve">KEY DEALERS IN </w:t>
      </w:r>
      <w:r w:rsidR="00DC7A97" w:rsidRPr="00E93126">
        <w:rPr>
          <w:lang w:val="en-GB"/>
        </w:rPr>
        <w:t xml:space="preserve">the </w:t>
      </w:r>
      <w:r w:rsidRPr="00E93126">
        <w:rPr>
          <w:lang w:val="en-GB"/>
        </w:rPr>
        <w:t>DENPASAR MARKET</w:t>
      </w:r>
    </w:p>
    <w:p w14:paraId="44857131" w14:textId="77777777" w:rsidR="006A218B" w:rsidRPr="00E93126" w:rsidRDefault="006A218B" w:rsidP="006A218B">
      <w:pPr>
        <w:pStyle w:val="BodyTextMain"/>
        <w:rPr>
          <w:rFonts w:eastAsiaTheme="minorHAnsi"/>
          <w:lang w:val="en-GB"/>
        </w:rPr>
      </w:pPr>
    </w:p>
    <w:p w14:paraId="4E544E39" w14:textId="77777777" w:rsidR="006A218B" w:rsidRPr="00E93126" w:rsidRDefault="006A218B" w:rsidP="00733495">
      <w:pPr>
        <w:pStyle w:val="Casehead2"/>
        <w:outlineLvl w:val="0"/>
        <w:rPr>
          <w:rFonts w:eastAsiaTheme="minorHAnsi"/>
          <w:lang w:val="en-GB"/>
        </w:rPr>
      </w:pPr>
      <w:r w:rsidRPr="00E93126">
        <w:rPr>
          <w:rFonts w:eastAsiaTheme="minorHAnsi"/>
          <w:lang w:val="en-GB"/>
        </w:rPr>
        <w:t>Indonesia United Appliances (</w:t>
      </w:r>
      <w:proofErr w:type="spellStart"/>
      <w:r w:rsidRPr="00E93126">
        <w:rPr>
          <w:rFonts w:eastAsiaTheme="minorHAnsi"/>
          <w:lang w:val="en-GB"/>
        </w:rPr>
        <w:t>Induapp</w:t>
      </w:r>
      <w:proofErr w:type="spellEnd"/>
      <w:r w:rsidRPr="00E93126">
        <w:rPr>
          <w:rFonts w:eastAsiaTheme="minorHAnsi"/>
          <w:lang w:val="en-GB"/>
        </w:rPr>
        <w:t>)</w:t>
      </w:r>
    </w:p>
    <w:p w14:paraId="1349D05A" w14:textId="77777777" w:rsidR="006A218B" w:rsidRPr="00E93126" w:rsidRDefault="006A218B" w:rsidP="006A218B">
      <w:pPr>
        <w:pStyle w:val="BodyTextMain"/>
        <w:rPr>
          <w:rFonts w:eastAsiaTheme="minorHAnsi"/>
          <w:lang w:val="en-GB"/>
        </w:rPr>
      </w:pPr>
    </w:p>
    <w:p w14:paraId="11CAD8E7" w14:textId="50942FB0" w:rsidR="006A218B" w:rsidRPr="00E93126" w:rsidRDefault="000838A8" w:rsidP="006A218B">
      <w:pPr>
        <w:pStyle w:val="BodyTextMain"/>
        <w:rPr>
          <w:lang w:val="en-GB"/>
        </w:rPr>
      </w:pPr>
      <w:proofErr w:type="spellStart"/>
      <w:r w:rsidRPr="00E93126">
        <w:rPr>
          <w:lang w:val="en-GB"/>
        </w:rPr>
        <w:t>Induapp</w:t>
      </w:r>
      <w:proofErr w:type="spellEnd"/>
      <w:r w:rsidRPr="00E93126">
        <w:rPr>
          <w:lang w:val="en-GB"/>
        </w:rPr>
        <w:t xml:space="preserve"> </w:t>
      </w:r>
      <w:r w:rsidR="006A218B" w:rsidRPr="00E93126">
        <w:rPr>
          <w:lang w:val="en-GB"/>
        </w:rPr>
        <w:t>was a</w:t>
      </w:r>
      <w:r w:rsidR="0013518A">
        <w:rPr>
          <w:lang w:val="en-GB"/>
        </w:rPr>
        <w:t xml:space="preserve"> large</w:t>
      </w:r>
      <w:r w:rsidR="006A218B" w:rsidRPr="00E93126">
        <w:rPr>
          <w:lang w:val="en-GB"/>
        </w:rPr>
        <w:t xml:space="preserve"> retail chain in </w:t>
      </w:r>
      <w:r w:rsidR="0013518A">
        <w:rPr>
          <w:lang w:val="en-GB"/>
        </w:rPr>
        <w:t>E</w:t>
      </w:r>
      <w:r w:rsidR="006A218B" w:rsidRPr="00E93126">
        <w:rPr>
          <w:lang w:val="en-GB"/>
        </w:rPr>
        <w:t xml:space="preserve">astern Indonesia and </w:t>
      </w:r>
      <w:r w:rsidR="008E7560" w:rsidRPr="00E93126">
        <w:rPr>
          <w:lang w:val="en-GB"/>
        </w:rPr>
        <w:t>Denpasar’s</w:t>
      </w:r>
      <w:r w:rsidRPr="00E93126">
        <w:rPr>
          <w:lang w:val="en-GB"/>
        </w:rPr>
        <w:t xml:space="preserve"> largest</w:t>
      </w:r>
      <w:r w:rsidR="008E7560" w:rsidRPr="00E93126">
        <w:rPr>
          <w:lang w:val="en-GB"/>
        </w:rPr>
        <w:t xml:space="preserve"> retailer</w:t>
      </w:r>
      <w:r w:rsidRPr="00E93126">
        <w:rPr>
          <w:lang w:val="en-GB"/>
        </w:rPr>
        <w:t xml:space="preserve"> </w:t>
      </w:r>
      <w:r w:rsidR="006A218B" w:rsidRPr="00E93126">
        <w:rPr>
          <w:lang w:val="en-GB"/>
        </w:rPr>
        <w:t xml:space="preserve">in terms of appliance sales. </w:t>
      </w:r>
      <w:r w:rsidRPr="00E93126">
        <w:rPr>
          <w:lang w:val="en-GB"/>
        </w:rPr>
        <w:t xml:space="preserve">It </w:t>
      </w:r>
      <w:r w:rsidR="006A218B" w:rsidRPr="00E93126">
        <w:rPr>
          <w:lang w:val="en-GB"/>
        </w:rPr>
        <w:t>had three retail outlets strategically located in all three major markets in Denpasar</w:t>
      </w:r>
      <w:r w:rsidR="00293576">
        <w:rPr>
          <w:lang w:val="en-GB"/>
        </w:rPr>
        <w:t xml:space="preserve"> (see Exhibit 2)</w:t>
      </w:r>
      <w:r w:rsidR="006A218B" w:rsidRPr="00E93126">
        <w:rPr>
          <w:lang w:val="en-GB"/>
        </w:rPr>
        <w:t>.</w:t>
      </w:r>
      <w:r w:rsidR="0013518A">
        <w:rPr>
          <w:lang w:val="en-GB"/>
        </w:rPr>
        <w:t xml:space="preserve"> </w:t>
      </w:r>
      <w:r w:rsidR="006A218B" w:rsidRPr="00E93126">
        <w:rPr>
          <w:lang w:val="en-GB"/>
        </w:rPr>
        <w:t xml:space="preserve">The owner of </w:t>
      </w:r>
      <w:proofErr w:type="spellStart"/>
      <w:r w:rsidR="006A218B" w:rsidRPr="00E93126">
        <w:rPr>
          <w:lang w:val="en-GB"/>
        </w:rPr>
        <w:t>Induapp</w:t>
      </w:r>
      <w:proofErr w:type="spellEnd"/>
      <w:r w:rsidRPr="00E93126">
        <w:rPr>
          <w:lang w:val="en-GB"/>
        </w:rPr>
        <w:t>,</w:t>
      </w:r>
      <w:r w:rsidR="006A218B" w:rsidRPr="00E93126">
        <w:rPr>
          <w:lang w:val="en-GB"/>
        </w:rPr>
        <w:t xml:space="preserve"> a management graduate from a reputed institute </w:t>
      </w:r>
      <w:r w:rsidRPr="00E93126">
        <w:rPr>
          <w:lang w:val="en-GB"/>
        </w:rPr>
        <w:t xml:space="preserve">in </w:t>
      </w:r>
      <w:r w:rsidR="006A218B" w:rsidRPr="00E93126">
        <w:rPr>
          <w:lang w:val="en-GB"/>
        </w:rPr>
        <w:t>Indonesia</w:t>
      </w:r>
      <w:r w:rsidRPr="00E93126">
        <w:rPr>
          <w:lang w:val="en-GB"/>
        </w:rPr>
        <w:t>,</w:t>
      </w:r>
      <w:r w:rsidR="006A218B" w:rsidRPr="00E93126">
        <w:rPr>
          <w:lang w:val="en-GB"/>
        </w:rPr>
        <w:t xml:space="preserve"> ensured that the organization was professionally run. </w:t>
      </w:r>
      <w:r w:rsidRPr="00E93126">
        <w:rPr>
          <w:lang w:val="en-GB"/>
        </w:rPr>
        <w:t>A</w:t>
      </w:r>
      <w:r w:rsidR="006A218B" w:rsidRPr="00E93126">
        <w:rPr>
          <w:lang w:val="en-GB"/>
        </w:rPr>
        <w:t xml:space="preserve"> central team located in Jakarta decided on </w:t>
      </w:r>
      <w:r w:rsidRPr="00E93126">
        <w:rPr>
          <w:lang w:val="en-GB"/>
        </w:rPr>
        <w:t xml:space="preserve">which </w:t>
      </w:r>
      <w:r w:rsidR="006A218B" w:rsidRPr="00E93126">
        <w:rPr>
          <w:lang w:val="en-GB"/>
        </w:rPr>
        <w:t xml:space="preserve">brands to stock. </w:t>
      </w:r>
      <w:r w:rsidR="0013518A">
        <w:rPr>
          <w:lang w:val="en-GB"/>
        </w:rPr>
        <w:lastRenderedPageBreak/>
        <w:t>This team</w:t>
      </w:r>
      <w:r w:rsidR="008E7560" w:rsidRPr="00E93126">
        <w:rPr>
          <w:lang w:val="en-GB"/>
        </w:rPr>
        <w:t xml:space="preserve"> </w:t>
      </w:r>
      <w:r w:rsidR="006A218B" w:rsidRPr="00E93126">
        <w:rPr>
          <w:lang w:val="en-GB"/>
        </w:rPr>
        <w:t xml:space="preserve">had </w:t>
      </w:r>
      <w:r w:rsidR="008E7560" w:rsidRPr="00E93126">
        <w:rPr>
          <w:lang w:val="en-GB"/>
        </w:rPr>
        <w:t xml:space="preserve">often </w:t>
      </w:r>
      <w:r w:rsidR="006A218B" w:rsidRPr="00E93126">
        <w:rPr>
          <w:lang w:val="en-GB"/>
        </w:rPr>
        <w:t xml:space="preserve">claimed that </w:t>
      </w:r>
      <w:r w:rsidR="00D6666D" w:rsidRPr="00E93126">
        <w:rPr>
          <w:lang w:val="en-GB"/>
        </w:rPr>
        <w:t xml:space="preserve">it </w:t>
      </w:r>
      <w:r w:rsidR="006A218B" w:rsidRPr="00E93126">
        <w:rPr>
          <w:lang w:val="en-GB"/>
        </w:rPr>
        <w:t xml:space="preserve">did not find </w:t>
      </w:r>
      <w:proofErr w:type="spellStart"/>
      <w:r w:rsidR="006A218B" w:rsidRPr="00E93126">
        <w:rPr>
          <w:lang w:val="en-GB"/>
        </w:rPr>
        <w:t>Fairdeal’s</w:t>
      </w:r>
      <w:proofErr w:type="spellEnd"/>
      <w:r w:rsidR="006A218B" w:rsidRPr="00E93126">
        <w:rPr>
          <w:lang w:val="en-GB"/>
        </w:rPr>
        <w:t xml:space="preserve"> business terms to be attractive. It was unlikely that </w:t>
      </w:r>
      <w:proofErr w:type="spellStart"/>
      <w:r w:rsidR="00D6666D" w:rsidRPr="00E93126">
        <w:rPr>
          <w:lang w:val="en-GB"/>
        </w:rPr>
        <w:t>Induapp</w:t>
      </w:r>
      <w:proofErr w:type="spellEnd"/>
      <w:r w:rsidR="00D6666D" w:rsidRPr="00E93126">
        <w:rPr>
          <w:lang w:val="en-GB"/>
        </w:rPr>
        <w:t xml:space="preserve"> </w:t>
      </w:r>
      <w:r w:rsidR="006A218B" w:rsidRPr="00E93126">
        <w:rPr>
          <w:lang w:val="en-GB"/>
        </w:rPr>
        <w:t xml:space="preserve">would deal with </w:t>
      </w:r>
      <w:proofErr w:type="spellStart"/>
      <w:r w:rsidR="006A218B" w:rsidRPr="00E93126">
        <w:rPr>
          <w:lang w:val="en-GB"/>
        </w:rPr>
        <w:t>Fairdeal</w:t>
      </w:r>
      <w:proofErr w:type="spellEnd"/>
      <w:r w:rsidR="006A218B" w:rsidRPr="00E93126">
        <w:rPr>
          <w:lang w:val="en-GB"/>
        </w:rPr>
        <w:t xml:space="preserve"> </w:t>
      </w:r>
      <w:r w:rsidR="0013518A">
        <w:rPr>
          <w:lang w:val="en-GB"/>
        </w:rPr>
        <w:t>with</w:t>
      </w:r>
      <w:r w:rsidR="006A218B" w:rsidRPr="00E93126">
        <w:rPr>
          <w:lang w:val="en-GB"/>
        </w:rPr>
        <w:t>in</w:t>
      </w:r>
      <w:r w:rsidR="0013518A">
        <w:rPr>
          <w:lang w:val="en-GB"/>
        </w:rPr>
        <w:t xml:space="preserve"> the</w:t>
      </w:r>
      <w:r w:rsidR="00D079AC">
        <w:rPr>
          <w:lang w:val="en-GB"/>
        </w:rPr>
        <w:t xml:space="preserve"> next two years.</w:t>
      </w:r>
    </w:p>
    <w:p w14:paraId="2DEFBEFB" w14:textId="77777777" w:rsidR="006A218B" w:rsidRPr="00E93126" w:rsidRDefault="006A218B" w:rsidP="006A218B">
      <w:pPr>
        <w:pStyle w:val="BodyTextMain"/>
        <w:rPr>
          <w:lang w:val="en-GB"/>
        </w:rPr>
      </w:pPr>
    </w:p>
    <w:p w14:paraId="617E6B56" w14:textId="0BB90FE1" w:rsidR="006A218B" w:rsidRPr="00E93126" w:rsidRDefault="00D6666D" w:rsidP="006A218B">
      <w:pPr>
        <w:pStyle w:val="BodyTextMain"/>
        <w:rPr>
          <w:lang w:val="en-GB"/>
        </w:rPr>
      </w:pPr>
      <w:proofErr w:type="spellStart"/>
      <w:r w:rsidRPr="00E93126">
        <w:rPr>
          <w:lang w:val="en-GB"/>
        </w:rPr>
        <w:t>Induapp</w:t>
      </w:r>
      <w:proofErr w:type="spellEnd"/>
      <w:r w:rsidRPr="00E93126">
        <w:rPr>
          <w:lang w:val="en-GB"/>
        </w:rPr>
        <w:t xml:space="preserve"> </w:t>
      </w:r>
      <w:r w:rsidR="006A218B" w:rsidRPr="00E93126">
        <w:rPr>
          <w:lang w:val="en-GB"/>
        </w:rPr>
        <w:t xml:space="preserve">acquired new customers through innovative customer schemes that </w:t>
      </w:r>
      <w:r w:rsidR="00D079AC">
        <w:rPr>
          <w:lang w:val="en-GB"/>
        </w:rPr>
        <w:t>it</w:t>
      </w:r>
      <w:r w:rsidR="006A218B" w:rsidRPr="00E93126">
        <w:rPr>
          <w:lang w:val="en-GB"/>
        </w:rPr>
        <w:t xml:space="preserve"> regularly</w:t>
      </w:r>
      <w:r w:rsidR="00D079AC">
        <w:rPr>
          <w:lang w:val="en-GB"/>
        </w:rPr>
        <w:t xml:space="preserve"> ran</w:t>
      </w:r>
      <w:r w:rsidR="006A218B" w:rsidRPr="00E93126">
        <w:rPr>
          <w:lang w:val="en-GB"/>
        </w:rPr>
        <w:t xml:space="preserve">, at the regional level. </w:t>
      </w:r>
      <w:r w:rsidRPr="00E93126">
        <w:rPr>
          <w:lang w:val="en-GB"/>
        </w:rPr>
        <w:t xml:space="preserve">Its </w:t>
      </w:r>
      <w:r w:rsidR="006A218B" w:rsidRPr="00E93126">
        <w:rPr>
          <w:lang w:val="en-GB"/>
        </w:rPr>
        <w:t xml:space="preserve">promotions were supported by huge advertising budgets and were normally well accepted in the market. </w:t>
      </w:r>
      <w:r w:rsidRPr="00E93126">
        <w:rPr>
          <w:lang w:val="en-GB"/>
        </w:rPr>
        <w:t xml:space="preserve">The company </w:t>
      </w:r>
      <w:r w:rsidR="006A218B" w:rsidRPr="00E93126">
        <w:rPr>
          <w:lang w:val="en-GB"/>
        </w:rPr>
        <w:t xml:space="preserve">provided prompt and professional services, </w:t>
      </w:r>
      <w:r w:rsidRPr="00E93126">
        <w:rPr>
          <w:lang w:val="en-GB"/>
        </w:rPr>
        <w:t xml:space="preserve">which helped </w:t>
      </w:r>
      <w:r w:rsidR="0013518A">
        <w:rPr>
          <w:lang w:val="en-GB"/>
        </w:rPr>
        <w:t>it</w:t>
      </w:r>
      <w:r w:rsidRPr="00E93126">
        <w:rPr>
          <w:lang w:val="en-GB"/>
        </w:rPr>
        <w:t xml:space="preserve"> </w:t>
      </w:r>
      <w:r w:rsidR="006A218B" w:rsidRPr="00E93126">
        <w:rPr>
          <w:lang w:val="en-GB"/>
        </w:rPr>
        <w:t xml:space="preserve">retain a loyal customer base. </w:t>
      </w:r>
      <w:proofErr w:type="spellStart"/>
      <w:r w:rsidRPr="00E93126">
        <w:rPr>
          <w:lang w:val="en-GB"/>
        </w:rPr>
        <w:t>Induapp’s</w:t>
      </w:r>
      <w:proofErr w:type="spellEnd"/>
      <w:r w:rsidRPr="00E93126">
        <w:rPr>
          <w:lang w:val="en-GB"/>
        </w:rPr>
        <w:t xml:space="preserve"> </w:t>
      </w:r>
      <w:r w:rsidR="006A218B" w:rsidRPr="00E93126">
        <w:rPr>
          <w:lang w:val="en-GB"/>
        </w:rPr>
        <w:t>strength was marketing</w:t>
      </w:r>
      <w:r w:rsidRPr="00E93126">
        <w:rPr>
          <w:lang w:val="en-GB"/>
        </w:rPr>
        <w:t>,</w:t>
      </w:r>
      <w:r w:rsidR="006A218B" w:rsidRPr="00E93126">
        <w:rPr>
          <w:lang w:val="en-GB"/>
        </w:rPr>
        <w:t xml:space="preserve"> and </w:t>
      </w:r>
      <w:r w:rsidRPr="00E93126">
        <w:rPr>
          <w:lang w:val="en-GB"/>
        </w:rPr>
        <w:t>it also had</w:t>
      </w:r>
      <w:r w:rsidR="006A218B" w:rsidRPr="00E93126">
        <w:rPr>
          <w:lang w:val="en-GB"/>
        </w:rPr>
        <w:t xml:space="preserve"> tremendous financial backing.</w:t>
      </w:r>
    </w:p>
    <w:p w14:paraId="49E8BF5F" w14:textId="77777777" w:rsidR="006A218B" w:rsidRPr="00E93126" w:rsidRDefault="006A218B" w:rsidP="006A218B">
      <w:pPr>
        <w:pStyle w:val="BodyTextMain"/>
        <w:rPr>
          <w:lang w:val="en-GB"/>
        </w:rPr>
      </w:pPr>
    </w:p>
    <w:p w14:paraId="01028664" w14:textId="77777777" w:rsidR="006A218B" w:rsidRPr="00E93126" w:rsidRDefault="006A218B" w:rsidP="006A218B">
      <w:pPr>
        <w:pStyle w:val="BodyTextMain"/>
        <w:rPr>
          <w:lang w:val="en-GB"/>
        </w:rPr>
      </w:pPr>
    </w:p>
    <w:p w14:paraId="58EA6CDD" w14:textId="77777777" w:rsidR="006A218B" w:rsidRPr="00E93126" w:rsidRDefault="006A218B" w:rsidP="00733495">
      <w:pPr>
        <w:pStyle w:val="Casehead2"/>
        <w:outlineLvl w:val="0"/>
        <w:rPr>
          <w:rFonts w:eastAsiaTheme="minorHAnsi"/>
          <w:lang w:val="en-GB"/>
        </w:rPr>
      </w:pPr>
      <w:r w:rsidRPr="00E93126">
        <w:rPr>
          <w:rFonts w:eastAsiaTheme="minorHAnsi"/>
          <w:lang w:val="en-GB"/>
        </w:rPr>
        <w:t>Vision Electronics</w:t>
      </w:r>
    </w:p>
    <w:p w14:paraId="345F3F84" w14:textId="77777777" w:rsidR="006A218B" w:rsidRPr="00E93126" w:rsidRDefault="006A218B" w:rsidP="006A218B">
      <w:pPr>
        <w:pStyle w:val="BodyTextMain"/>
        <w:rPr>
          <w:lang w:val="en-GB"/>
        </w:rPr>
      </w:pPr>
    </w:p>
    <w:p w14:paraId="4514791A" w14:textId="3683B988" w:rsidR="006A218B" w:rsidRPr="00E3419F" w:rsidRDefault="00D6666D" w:rsidP="006A218B">
      <w:pPr>
        <w:pStyle w:val="BodyTextMain"/>
        <w:rPr>
          <w:spacing w:val="-4"/>
          <w:kern w:val="22"/>
          <w:lang w:val="en-GB"/>
        </w:rPr>
      </w:pPr>
      <w:r w:rsidRPr="00E3419F">
        <w:rPr>
          <w:spacing w:val="-4"/>
          <w:kern w:val="22"/>
          <w:lang w:val="en-GB"/>
        </w:rPr>
        <w:t xml:space="preserve">Vision had a </w:t>
      </w:r>
      <w:r w:rsidR="006A218B" w:rsidRPr="00E3419F">
        <w:rPr>
          <w:spacing w:val="-4"/>
          <w:kern w:val="22"/>
          <w:lang w:val="en-GB"/>
        </w:rPr>
        <w:t xml:space="preserve">showroom located </w:t>
      </w:r>
      <w:r w:rsidRPr="00E3419F">
        <w:rPr>
          <w:spacing w:val="-4"/>
          <w:kern w:val="22"/>
          <w:lang w:val="en-GB"/>
        </w:rPr>
        <w:t xml:space="preserve">in </w:t>
      </w:r>
      <w:r w:rsidR="006A218B" w:rsidRPr="00E3419F">
        <w:rPr>
          <w:spacing w:val="-4"/>
          <w:kern w:val="22"/>
          <w:lang w:val="en-GB"/>
        </w:rPr>
        <w:t xml:space="preserve">a prime location in the Santa Modern Market. </w:t>
      </w:r>
      <w:r w:rsidRPr="00E3419F">
        <w:rPr>
          <w:spacing w:val="-4"/>
          <w:kern w:val="22"/>
          <w:lang w:val="en-GB"/>
        </w:rPr>
        <w:t>It was a</w:t>
      </w:r>
      <w:r w:rsidR="006A218B" w:rsidRPr="00E3419F">
        <w:rPr>
          <w:spacing w:val="-4"/>
          <w:kern w:val="22"/>
          <w:lang w:val="en-GB"/>
        </w:rPr>
        <w:t xml:space="preserve"> </w:t>
      </w:r>
      <w:r w:rsidR="0013518A" w:rsidRPr="00E3419F">
        <w:rPr>
          <w:spacing w:val="-4"/>
          <w:kern w:val="22"/>
          <w:lang w:val="en-GB"/>
        </w:rPr>
        <w:t>major</w:t>
      </w:r>
      <w:r w:rsidR="006A218B" w:rsidRPr="00E3419F">
        <w:rPr>
          <w:spacing w:val="-4"/>
          <w:kern w:val="22"/>
          <w:lang w:val="en-GB"/>
        </w:rPr>
        <w:t xml:space="preserve"> seller of GOLDY and </w:t>
      </w:r>
      <w:proofErr w:type="spellStart"/>
      <w:r w:rsidR="006A218B" w:rsidRPr="00E3419F">
        <w:rPr>
          <w:spacing w:val="-4"/>
          <w:kern w:val="22"/>
          <w:lang w:val="en-GB"/>
        </w:rPr>
        <w:t>Technica</w:t>
      </w:r>
      <w:proofErr w:type="spellEnd"/>
      <w:r w:rsidR="006A218B" w:rsidRPr="00E3419F">
        <w:rPr>
          <w:spacing w:val="-4"/>
          <w:kern w:val="22"/>
          <w:lang w:val="en-GB"/>
        </w:rPr>
        <w:t xml:space="preserve"> air conditioners</w:t>
      </w:r>
      <w:r w:rsidR="0013518A" w:rsidRPr="00E3419F">
        <w:rPr>
          <w:spacing w:val="-4"/>
          <w:kern w:val="22"/>
          <w:lang w:val="en-GB"/>
        </w:rPr>
        <w:t>,</w:t>
      </w:r>
      <w:r w:rsidR="006A218B" w:rsidRPr="00E3419F">
        <w:rPr>
          <w:spacing w:val="-4"/>
          <w:kern w:val="22"/>
          <w:lang w:val="en-GB"/>
        </w:rPr>
        <w:t xml:space="preserve"> and of televisions, washing machines</w:t>
      </w:r>
      <w:r w:rsidRPr="00E3419F">
        <w:rPr>
          <w:spacing w:val="-4"/>
          <w:kern w:val="22"/>
          <w:lang w:val="en-GB"/>
        </w:rPr>
        <w:t>,</w:t>
      </w:r>
      <w:r w:rsidR="006A218B" w:rsidRPr="00E3419F">
        <w:rPr>
          <w:spacing w:val="-4"/>
          <w:kern w:val="22"/>
          <w:lang w:val="en-GB"/>
        </w:rPr>
        <w:t xml:space="preserve"> and refrigerators. Because of </w:t>
      </w:r>
      <w:r w:rsidRPr="00E3419F">
        <w:rPr>
          <w:spacing w:val="-4"/>
          <w:kern w:val="22"/>
          <w:lang w:val="en-GB"/>
        </w:rPr>
        <w:t xml:space="preserve">its </w:t>
      </w:r>
      <w:r w:rsidR="006A218B" w:rsidRPr="00E3419F">
        <w:rPr>
          <w:spacing w:val="-4"/>
          <w:kern w:val="22"/>
          <w:lang w:val="en-GB"/>
        </w:rPr>
        <w:t xml:space="preserve">location, </w:t>
      </w:r>
      <w:r w:rsidRPr="00E3419F">
        <w:rPr>
          <w:spacing w:val="-4"/>
          <w:kern w:val="22"/>
          <w:lang w:val="en-GB"/>
        </w:rPr>
        <w:t>Vision found itself</w:t>
      </w:r>
      <w:r w:rsidR="006A218B" w:rsidRPr="00E3419F">
        <w:rPr>
          <w:spacing w:val="-4"/>
          <w:kern w:val="22"/>
          <w:lang w:val="en-GB"/>
        </w:rPr>
        <w:t xml:space="preserve"> in direct competition with Abdul and </w:t>
      </w:r>
      <w:proofErr w:type="spellStart"/>
      <w:r w:rsidR="006A218B" w:rsidRPr="00E3419F">
        <w:rPr>
          <w:spacing w:val="-4"/>
          <w:kern w:val="22"/>
          <w:lang w:val="en-GB"/>
        </w:rPr>
        <w:t>Induapp</w:t>
      </w:r>
      <w:proofErr w:type="spellEnd"/>
      <w:r w:rsidR="006A218B" w:rsidRPr="00E3419F">
        <w:rPr>
          <w:spacing w:val="-4"/>
          <w:kern w:val="22"/>
          <w:lang w:val="en-GB"/>
        </w:rPr>
        <w:t xml:space="preserve">. </w:t>
      </w:r>
      <w:r w:rsidRPr="00E3419F">
        <w:rPr>
          <w:spacing w:val="-4"/>
          <w:kern w:val="22"/>
          <w:lang w:val="en-GB"/>
        </w:rPr>
        <w:t xml:space="preserve">Its </w:t>
      </w:r>
      <w:r w:rsidR="007C4F91" w:rsidRPr="00E3419F">
        <w:rPr>
          <w:spacing w:val="-4"/>
          <w:kern w:val="22"/>
          <w:lang w:val="en-GB"/>
        </w:rPr>
        <w:t xml:space="preserve">more </w:t>
      </w:r>
      <w:r w:rsidR="006A218B" w:rsidRPr="00E3419F">
        <w:rPr>
          <w:spacing w:val="-4"/>
          <w:kern w:val="22"/>
          <w:lang w:val="en-GB"/>
        </w:rPr>
        <w:t xml:space="preserve">limited financial clout forced </w:t>
      </w:r>
      <w:r w:rsidRPr="00E3419F">
        <w:rPr>
          <w:spacing w:val="-4"/>
          <w:kern w:val="22"/>
          <w:lang w:val="en-GB"/>
        </w:rPr>
        <w:t xml:space="preserve">it </w:t>
      </w:r>
      <w:r w:rsidR="006A218B" w:rsidRPr="00E3419F">
        <w:rPr>
          <w:spacing w:val="-4"/>
          <w:kern w:val="22"/>
          <w:lang w:val="en-GB"/>
        </w:rPr>
        <w:t xml:space="preserve">to undercut </w:t>
      </w:r>
      <w:r w:rsidR="007C4F91" w:rsidRPr="00E3419F">
        <w:rPr>
          <w:spacing w:val="-4"/>
          <w:kern w:val="22"/>
          <w:lang w:val="en-GB"/>
        </w:rPr>
        <w:t>these</w:t>
      </w:r>
      <w:r w:rsidR="008E7560" w:rsidRPr="00E3419F">
        <w:rPr>
          <w:spacing w:val="-4"/>
          <w:kern w:val="22"/>
          <w:lang w:val="en-GB"/>
        </w:rPr>
        <w:t xml:space="preserve"> competitors </w:t>
      </w:r>
      <w:r w:rsidR="006A218B" w:rsidRPr="00E3419F">
        <w:rPr>
          <w:spacing w:val="-4"/>
          <w:kern w:val="22"/>
          <w:lang w:val="en-GB"/>
        </w:rPr>
        <w:t>(</w:t>
      </w:r>
      <w:r w:rsidRPr="00E3419F">
        <w:rPr>
          <w:spacing w:val="-4"/>
          <w:kern w:val="22"/>
          <w:lang w:val="en-GB"/>
        </w:rPr>
        <w:t xml:space="preserve">i.e., </w:t>
      </w:r>
      <w:r w:rsidR="006A218B" w:rsidRPr="00E3419F">
        <w:rPr>
          <w:spacing w:val="-4"/>
          <w:kern w:val="22"/>
          <w:lang w:val="en-GB"/>
        </w:rPr>
        <w:t xml:space="preserve">sell </w:t>
      </w:r>
      <w:r w:rsidRPr="00E3419F">
        <w:rPr>
          <w:spacing w:val="-4"/>
          <w:kern w:val="22"/>
          <w:lang w:val="en-GB"/>
        </w:rPr>
        <w:t xml:space="preserve">its </w:t>
      </w:r>
      <w:r w:rsidR="006A218B" w:rsidRPr="00E3419F">
        <w:rPr>
          <w:spacing w:val="-4"/>
          <w:kern w:val="22"/>
          <w:lang w:val="en-GB"/>
        </w:rPr>
        <w:t>products at low</w:t>
      </w:r>
      <w:r w:rsidR="007C4F91" w:rsidRPr="00E3419F">
        <w:rPr>
          <w:spacing w:val="-4"/>
          <w:kern w:val="22"/>
          <w:lang w:val="en-GB"/>
        </w:rPr>
        <w:t>er</w:t>
      </w:r>
      <w:r w:rsidR="006A218B" w:rsidRPr="00E3419F">
        <w:rPr>
          <w:spacing w:val="-4"/>
          <w:kern w:val="22"/>
          <w:lang w:val="en-GB"/>
        </w:rPr>
        <w:t xml:space="preserve"> rates). Thus, </w:t>
      </w:r>
      <w:r w:rsidR="0013518A" w:rsidRPr="00E3419F">
        <w:rPr>
          <w:spacing w:val="-4"/>
          <w:kern w:val="22"/>
          <w:lang w:val="en-GB"/>
        </w:rPr>
        <w:t>the company</w:t>
      </w:r>
      <w:r w:rsidRPr="00E3419F">
        <w:rPr>
          <w:spacing w:val="-4"/>
          <w:kern w:val="22"/>
          <w:lang w:val="en-GB"/>
        </w:rPr>
        <w:t xml:space="preserve"> </w:t>
      </w:r>
      <w:r w:rsidR="006A218B" w:rsidRPr="00E3419F">
        <w:rPr>
          <w:spacing w:val="-4"/>
          <w:kern w:val="22"/>
          <w:lang w:val="en-GB"/>
        </w:rPr>
        <w:t xml:space="preserve">operated on </w:t>
      </w:r>
      <w:r w:rsidR="000D2A51" w:rsidRPr="00E3419F">
        <w:rPr>
          <w:spacing w:val="-4"/>
          <w:kern w:val="22"/>
          <w:lang w:val="en-GB"/>
        </w:rPr>
        <w:t xml:space="preserve">smaller </w:t>
      </w:r>
      <w:r w:rsidR="006A218B" w:rsidRPr="00E3419F">
        <w:rPr>
          <w:spacing w:val="-4"/>
          <w:kern w:val="22"/>
          <w:lang w:val="en-GB"/>
        </w:rPr>
        <w:t xml:space="preserve">margins </w:t>
      </w:r>
      <w:r w:rsidR="00D079AC" w:rsidRPr="00E3419F">
        <w:rPr>
          <w:spacing w:val="-4"/>
          <w:kern w:val="22"/>
          <w:lang w:val="en-GB"/>
        </w:rPr>
        <w:t>and</w:t>
      </w:r>
      <w:r w:rsidRPr="00E3419F">
        <w:rPr>
          <w:spacing w:val="-4"/>
          <w:kern w:val="22"/>
          <w:lang w:val="en-GB"/>
        </w:rPr>
        <w:t xml:space="preserve"> </w:t>
      </w:r>
      <w:r w:rsidR="00D079AC" w:rsidRPr="00E3419F">
        <w:rPr>
          <w:spacing w:val="-4"/>
          <w:kern w:val="22"/>
          <w:lang w:val="en-GB"/>
        </w:rPr>
        <w:t>high</w:t>
      </w:r>
      <w:r w:rsidR="006A218B" w:rsidRPr="00E3419F">
        <w:rPr>
          <w:spacing w:val="-4"/>
          <w:kern w:val="22"/>
          <w:lang w:val="en-GB"/>
        </w:rPr>
        <w:t xml:space="preserve"> turnover. However, </w:t>
      </w:r>
      <w:r w:rsidRPr="00E3419F">
        <w:rPr>
          <w:spacing w:val="-4"/>
          <w:kern w:val="22"/>
          <w:lang w:val="en-GB"/>
        </w:rPr>
        <w:t xml:space="preserve">it </w:t>
      </w:r>
      <w:r w:rsidR="006A218B" w:rsidRPr="00E3419F">
        <w:rPr>
          <w:spacing w:val="-4"/>
          <w:kern w:val="22"/>
          <w:lang w:val="en-GB"/>
        </w:rPr>
        <w:t xml:space="preserve">made up </w:t>
      </w:r>
      <w:r w:rsidR="000D2A51" w:rsidRPr="00E3419F">
        <w:rPr>
          <w:spacing w:val="-4"/>
          <w:kern w:val="22"/>
          <w:lang w:val="en-GB"/>
        </w:rPr>
        <w:t xml:space="preserve">for </w:t>
      </w:r>
      <w:r w:rsidRPr="00E3419F">
        <w:rPr>
          <w:spacing w:val="-4"/>
          <w:kern w:val="22"/>
          <w:lang w:val="en-GB"/>
        </w:rPr>
        <w:t>it</w:t>
      </w:r>
      <w:r w:rsidR="000D2A51" w:rsidRPr="00E3419F">
        <w:rPr>
          <w:spacing w:val="-4"/>
          <w:kern w:val="22"/>
          <w:lang w:val="en-GB"/>
        </w:rPr>
        <w:t>s</w:t>
      </w:r>
      <w:r w:rsidRPr="00E3419F">
        <w:rPr>
          <w:spacing w:val="-4"/>
          <w:kern w:val="22"/>
          <w:lang w:val="en-GB"/>
        </w:rPr>
        <w:t xml:space="preserve"> </w:t>
      </w:r>
      <w:r w:rsidR="006A218B" w:rsidRPr="00E3419F">
        <w:rPr>
          <w:spacing w:val="-4"/>
          <w:kern w:val="22"/>
          <w:lang w:val="en-GB"/>
        </w:rPr>
        <w:t xml:space="preserve">financial limitations </w:t>
      </w:r>
      <w:r w:rsidR="0013518A" w:rsidRPr="00E3419F">
        <w:rPr>
          <w:spacing w:val="-4"/>
          <w:kern w:val="22"/>
          <w:lang w:val="en-GB"/>
        </w:rPr>
        <w:t>with</w:t>
      </w:r>
      <w:r w:rsidRPr="00E3419F">
        <w:rPr>
          <w:spacing w:val="-4"/>
          <w:kern w:val="22"/>
          <w:lang w:val="en-GB"/>
        </w:rPr>
        <w:t xml:space="preserve"> its</w:t>
      </w:r>
      <w:r w:rsidR="006A218B" w:rsidRPr="00E3419F">
        <w:rPr>
          <w:spacing w:val="-4"/>
          <w:kern w:val="22"/>
          <w:lang w:val="en-GB"/>
        </w:rPr>
        <w:t xml:space="preserve"> aggressive selling orientation, display</w:t>
      </w:r>
      <w:r w:rsidR="007C4F91" w:rsidRPr="00E3419F">
        <w:rPr>
          <w:spacing w:val="-4"/>
          <w:kern w:val="22"/>
          <w:lang w:val="en-GB"/>
        </w:rPr>
        <w:t>s</w:t>
      </w:r>
      <w:r w:rsidRPr="00E3419F">
        <w:rPr>
          <w:spacing w:val="-4"/>
          <w:kern w:val="22"/>
          <w:lang w:val="en-GB"/>
        </w:rPr>
        <w:t>,</w:t>
      </w:r>
      <w:r w:rsidR="006A218B" w:rsidRPr="00E3419F">
        <w:rPr>
          <w:spacing w:val="-4"/>
          <w:kern w:val="22"/>
          <w:lang w:val="en-GB"/>
        </w:rPr>
        <w:t xml:space="preserve"> and promotion of brands </w:t>
      </w:r>
      <w:r w:rsidR="000D2A51" w:rsidRPr="00E3419F">
        <w:rPr>
          <w:spacing w:val="-4"/>
          <w:kern w:val="22"/>
          <w:lang w:val="en-GB"/>
        </w:rPr>
        <w:t>that did not compete with brands represented by</w:t>
      </w:r>
      <w:r w:rsidR="006A218B" w:rsidRPr="00E3419F">
        <w:rPr>
          <w:spacing w:val="-4"/>
          <w:kern w:val="22"/>
          <w:lang w:val="en-GB"/>
        </w:rPr>
        <w:t xml:space="preserve"> Abdul and </w:t>
      </w:r>
      <w:proofErr w:type="spellStart"/>
      <w:r w:rsidR="006A218B" w:rsidRPr="00E3419F">
        <w:rPr>
          <w:spacing w:val="-4"/>
          <w:kern w:val="22"/>
          <w:lang w:val="en-GB"/>
        </w:rPr>
        <w:t>Induapp</w:t>
      </w:r>
      <w:proofErr w:type="spellEnd"/>
      <w:r w:rsidR="006A218B" w:rsidRPr="00E3419F">
        <w:rPr>
          <w:spacing w:val="-4"/>
          <w:kern w:val="22"/>
          <w:lang w:val="en-GB"/>
        </w:rPr>
        <w:t xml:space="preserve">. </w:t>
      </w:r>
      <w:r w:rsidR="0013518A" w:rsidRPr="00E3419F">
        <w:rPr>
          <w:spacing w:val="-4"/>
          <w:kern w:val="22"/>
          <w:lang w:val="en-GB"/>
        </w:rPr>
        <w:t>Vision</w:t>
      </w:r>
      <w:r w:rsidRPr="00E3419F">
        <w:rPr>
          <w:spacing w:val="-4"/>
          <w:kern w:val="22"/>
          <w:lang w:val="en-GB"/>
        </w:rPr>
        <w:t xml:space="preserve"> </w:t>
      </w:r>
      <w:r w:rsidR="00D079AC" w:rsidRPr="00E3419F">
        <w:rPr>
          <w:spacing w:val="-4"/>
          <w:kern w:val="22"/>
          <w:lang w:val="en-GB"/>
        </w:rPr>
        <w:t>was often behind in its accounts payable</w:t>
      </w:r>
      <w:r w:rsidR="006A218B" w:rsidRPr="00E3419F">
        <w:rPr>
          <w:spacing w:val="-4"/>
          <w:kern w:val="22"/>
          <w:lang w:val="en-GB"/>
        </w:rPr>
        <w:t>. Hence</w:t>
      </w:r>
      <w:r w:rsidR="007C4F91" w:rsidRPr="00E3419F">
        <w:rPr>
          <w:spacing w:val="-4"/>
          <w:kern w:val="22"/>
          <w:lang w:val="en-GB"/>
        </w:rPr>
        <w:t>,</w:t>
      </w:r>
      <w:r w:rsidR="006A218B" w:rsidRPr="00E3419F">
        <w:rPr>
          <w:spacing w:val="-4"/>
          <w:kern w:val="22"/>
          <w:lang w:val="en-GB"/>
        </w:rPr>
        <w:t xml:space="preserve"> companies would not extend additional credit to </w:t>
      </w:r>
      <w:r w:rsidRPr="00E3419F">
        <w:rPr>
          <w:spacing w:val="-4"/>
          <w:kern w:val="22"/>
          <w:lang w:val="en-GB"/>
        </w:rPr>
        <w:t xml:space="preserve">Vision </w:t>
      </w:r>
      <w:r w:rsidR="006A218B" w:rsidRPr="00E3419F">
        <w:rPr>
          <w:spacing w:val="-4"/>
          <w:kern w:val="22"/>
          <w:lang w:val="en-GB"/>
        </w:rPr>
        <w:t xml:space="preserve">unless </w:t>
      </w:r>
      <w:r w:rsidR="000A075C" w:rsidRPr="00E3419F">
        <w:rPr>
          <w:spacing w:val="-4"/>
          <w:kern w:val="22"/>
          <w:lang w:val="en-GB"/>
        </w:rPr>
        <w:t xml:space="preserve">they </w:t>
      </w:r>
      <w:r w:rsidRPr="00E3419F">
        <w:rPr>
          <w:spacing w:val="-4"/>
          <w:kern w:val="22"/>
          <w:lang w:val="en-GB"/>
        </w:rPr>
        <w:t>w</w:t>
      </w:r>
      <w:r w:rsidR="000A075C" w:rsidRPr="00E3419F">
        <w:rPr>
          <w:spacing w:val="-4"/>
          <w:kern w:val="22"/>
          <w:lang w:val="en-GB"/>
        </w:rPr>
        <w:t>ere</w:t>
      </w:r>
      <w:r w:rsidR="006A218B" w:rsidRPr="00E3419F">
        <w:rPr>
          <w:spacing w:val="-4"/>
          <w:kern w:val="22"/>
          <w:lang w:val="en-GB"/>
        </w:rPr>
        <w:t xml:space="preserve"> </w:t>
      </w:r>
      <w:r w:rsidR="0013518A" w:rsidRPr="00E3419F">
        <w:rPr>
          <w:spacing w:val="-4"/>
          <w:kern w:val="22"/>
          <w:lang w:val="en-GB"/>
        </w:rPr>
        <w:t xml:space="preserve">extremely </w:t>
      </w:r>
      <w:r w:rsidR="006A218B" w:rsidRPr="00E3419F">
        <w:rPr>
          <w:spacing w:val="-4"/>
          <w:kern w:val="22"/>
          <w:lang w:val="en-GB"/>
        </w:rPr>
        <w:t xml:space="preserve">hard pressed for sales. </w:t>
      </w:r>
      <w:r w:rsidRPr="00E3419F">
        <w:rPr>
          <w:spacing w:val="-4"/>
          <w:kern w:val="22"/>
          <w:lang w:val="en-GB"/>
        </w:rPr>
        <w:t>Although</w:t>
      </w:r>
      <w:r w:rsidR="006A218B" w:rsidRPr="00E3419F">
        <w:rPr>
          <w:spacing w:val="-4"/>
          <w:kern w:val="22"/>
          <w:lang w:val="en-GB"/>
        </w:rPr>
        <w:t xml:space="preserve"> Vision did not have a clear case of bad debt, </w:t>
      </w:r>
      <w:r w:rsidRPr="00E3419F">
        <w:rPr>
          <w:spacing w:val="-4"/>
          <w:kern w:val="22"/>
          <w:lang w:val="en-GB"/>
        </w:rPr>
        <w:t xml:space="preserve">the </w:t>
      </w:r>
      <w:r w:rsidR="006A218B" w:rsidRPr="00E3419F">
        <w:rPr>
          <w:spacing w:val="-4"/>
          <w:kern w:val="22"/>
          <w:lang w:val="en-GB"/>
        </w:rPr>
        <w:t xml:space="preserve">sales team </w:t>
      </w:r>
      <w:r w:rsidR="007C4F91" w:rsidRPr="00E3419F">
        <w:rPr>
          <w:spacing w:val="-4"/>
          <w:kern w:val="22"/>
          <w:lang w:val="en-GB"/>
        </w:rPr>
        <w:t xml:space="preserve">often required much follow-up to release </w:t>
      </w:r>
      <w:r w:rsidR="006A218B" w:rsidRPr="00E3419F">
        <w:rPr>
          <w:spacing w:val="-4"/>
          <w:kern w:val="22"/>
          <w:lang w:val="en-GB"/>
        </w:rPr>
        <w:t xml:space="preserve">payments. </w:t>
      </w:r>
    </w:p>
    <w:p w14:paraId="3D76C598" w14:textId="77777777" w:rsidR="006A218B" w:rsidRPr="00E93126" w:rsidRDefault="006A218B" w:rsidP="006A218B">
      <w:pPr>
        <w:pStyle w:val="BodyTextMain"/>
        <w:rPr>
          <w:lang w:val="en-GB"/>
        </w:rPr>
      </w:pPr>
    </w:p>
    <w:p w14:paraId="10872852" w14:textId="77777777" w:rsidR="006A218B" w:rsidRPr="00E93126" w:rsidRDefault="006A218B" w:rsidP="006A218B">
      <w:pPr>
        <w:pStyle w:val="BodyTextMain"/>
        <w:rPr>
          <w:lang w:val="en-GB"/>
        </w:rPr>
      </w:pPr>
    </w:p>
    <w:p w14:paraId="2C228BEF" w14:textId="77777777" w:rsidR="006A218B" w:rsidRPr="00E93126" w:rsidRDefault="006A218B" w:rsidP="00733495">
      <w:pPr>
        <w:pStyle w:val="Casehead2"/>
        <w:outlineLvl w:val="0"/>
        <w:rPr>
          <w:rFonts w:eastAsiaTheme="minorHAnsi"/>
          <w:lang w:val="en-GB"/>
        </w:rPr>
      </w:pPr>
      <w:r w:rsidRPr="00E93126">
        <w:rPr>
          <w:rFonts w:eastAsiaTheme="minorHAnsi"/>
          <w:lang w:val="en-GB"/>
        </w:rPr>
        <w:t>Northeast Electronics</w:t>
      </w:r>
    </w:p>
    <w:p w14:paraId="445F27DD" w14:textId="77777777" w:rsidR="006A218B" w:rsidRPr="00E93126" w:rsidRDefault="006A218B" w:rsidP="006A218B">
      <w:pPr>
        <w:pStyle w:val="BodyTextMain"/>
        <w:rPr>
          <w:rFonts w:eastAsiaTheme="minorHAnsi"/>
          <w:lang w:val="en-GB"/>
        </w:rPr>
      </w:pPr>
    </w:p>
    <w:p w14:paraId="11893389" w14:textId="767163A8" w:rsidR="006A218B" w:rsidRPr="00E3419F" w:rsidRDefault="00D6666D" w:rsidP="006A218B">
      <w:pPr>
        <w:pStyle w:val="BodyTextMain"/>
        <w:rPr>
          <w:spacing w:val="-2"/>
          <w:kern w:val="22"/>
          <w:lang w:val="en-GB"/>
        </w:rPr>
      </w:pPr>
      <w:r w:rsidRPr="00E3419F">
        <w:rPr>
          <w:spacing w:val="-2"/>
          <w:kern w:val="22"/>
          <w:lang w:val="en-GB"/>
        </w:rPr>
        <w:t>Northeast</w:t>
      </w:r>
      <w:r w:rsidR="000A075C" w:rsidRPr="00E3419F">
        <w:rPr>
          <w:spacing w:val="-2"/>
          <w:kern w:val="22"/>
          <w:lang w:val="en-GB"/>
        </w:rPr>
        <w:t xml:space="preserve">, located in </w:t>
      </w:r>
      <w:proofErr w:type="spellStart"/>
      <w:r w:rsidR="000A075C" w:rsidRPr="00E3419F">
        <w:rPr>
          <w:spacing w:val="-2"/>
          <w:kern w:val="22"/>
          <w:lang w:val="en-GB"/>
        </w:rPr>
        <w:t>Baru</w:t>
      </w:r>
      <w:proofErr w:type="spellEnd"/>
      <w:r w:rsidR="000A075C" w:rsidRPr="00E3419F">
        <w:rPr>
          <w:spacing w:val="-2"/>
          <w:kern w:val="22"/>
          <w:lang w:val="en-GB"/>
        </w:rPr>
        <w:t xml:space="preserve"> Market,</w:t>
      </w:r>
      <w:r w:rsidRPr="00E3419F">
        <w:rPr>
          <w:spacing w:val="-2"/>
          <w:kern w:val="22"/>
          <w:lang w:val="en-GB"/>
        </w:rPr>
        <w:t xml:space="preserve"> </w:t>
      </w:r>
      <w:r w:rsidR="006A218B" w:rsidRPr="00E3419F">
        <w:rPr>
          <w:spacing w:val="-2"/>
          <w:kern w:val="22"/>
          <w:lang w:val="en-GB"/>
        </w:rPr>
        <w:t>was the premium appliance retail</w:t>
      </w:r>
      <w:r w:rsidR="00D5370B" w:rsidRPr="00E3419F">
        <w:rPr>
          <w:spacing w:val="-2"/>
          <w:kern w:val="22"/>
          <w:lang w:val="en-GB"/>
        </w:rPr>
        <w:t>er</w:t>
      </w:r>
      <w:r w:rsidR="006A218B" w:rsidRPr="00E3419F">
        <w:rPr>
          <w:spacing w:val="-2"/>
          <w:kern w:val="22"/>
          <w:lang w:val="en-GB"/>
        </w:rPr>
        <w:t xml:space="preserve"> </w:t>
      </w:r>
      <w:r w:rsidR="007C4F91" w:rsidRPr="00E3419F">
        <w:rPr>
          <w:spacing w:val="-2"/>
          <w:kern w:val="22"/>
          <w:lang w:val="en-GB"/>
        </w:rPr>
        <w:t>in</w:t>
      </w:r>
      <w:r w:rsidR="006A218B" w:rsidRPr="00E3419F">
        <w:rPr>
          <w:spacing w:val="-2"/>
          <w:kern w:val="22"/>
          <w:lang w:val="en-GB"/>
        </w:rPr>
        <w:t xml:space="preserve"> Denpasar</w:t>
      </w:r>
      <w:r w:rsidR="000A075C" w:rsidRPr="00E3419F">
        <w:rPr>
          <w:spacing w:val="-2"/>
          <w:kern w:val="22"/>
          <w:lang w:val="en-GB"/>
        </w:rPr>
        <w:t>. It</w:t>
      </w:r>
      <w:r w:rsidR="006A218B" w:rsidRPr="00E3419F">
        <w:rPr>
          <w:spacing w:val="-2"/>
          <w:kern w:val="22"/>
          <w:lang w:val="en-GB"/>
        </w:rPr>
        <w:t xml:space="preserve"> had a wealthy and loyal client base. </w:t>
      </w:r>
      <w:r w:rsidRPr="00E3419F">
        <w:rPr>
          <w:spacing w:val="-2"/>
          <w:kern w:val="22"/>
          <w:lang w:val="en-GB"/>
        </w:rPr>
        <w:t xml:space="preserve">The company </w:t>
      </w:r>
      <w:r w:rsidR="006A218B" w:rsidRPr="00E3419F">
        <w:rPr>
          <w:spacing w:val="-2"/>
          <w:kern w:val="22"/>
          <w:lang w:val="en-GB"/>
        </w:rPr>
        <w:t xml:space="preserve">stocked all </w:t>
      </w:r>
      <w:r w:rsidR="003D326F" w:rsidRPr="00E3419F">
        <w:rPr>
          <w:spacing w:val="-2"/>
          <w:kern w:val="22"/>
          <w:lang w:val="en-GB"/>
        </w:rPr>
        <w:t xml:space="preserve">of </w:t>
      </w:r>
      <w:r w:rsidR="006A218B" w:rsidRPr="00E3419F">
        <w:rPr>
          <w:spacing w:val="-2"/>
          <w:kern w:val="22"/>
          <w:lang w:val="en-GB"/>
        </w:rPr>
        <w:t xml:space="preserve">the top brands in all product categories. </w:t>
      </w:r>
      <w:r w:rsidRPr="00E3419F">
        <w:rPr>
          <w:spacing w:val="-2"/>
          <w:kern w:val="22"/>
          <w:lang w:val="en-GB"/>
        </w:rPr>
        <w:t xml:space="preserve">It </w:t>
      </w:r>
      <w:r w:rsidR="006A218B" w:rsidRPr="00E3419F">
        <w:rPr>
          <w:spacing w:val="-2"/>
          <w:kern w:val="22"/>
          <w:lang w:val="en-GB"/>
        </w:rPr>
        <w:t xml:space="preserve">did not provide high sales volume to any of the </w:t>
      </w:r>
      <w:r w:rsidR="000A075C" w:rsidRPr="00E3419F">
        <w:rPr>
          <w:spacing w:val="-2"/>
          <w:kern w:val="22"/>
          <w:lang w:val="en-GB"/>
        </w:rPr>
        <w:t>brands</w:t>
      </w:r>
      <w:r w:rsidR="006A218B" w:rsidRPr="00E3419F">
        <w:rPr>
          <w:spacing w:val="-2"/>
          <w:kern w:val="22"/>
          <w:lang w:val="en-GB"/>
        </w:rPr>
        <w:t xml:space="preserve"> but helped enhance the image of the</w:t>
      </w:r>
      <w:r w:rsidR="003D326F" w:rsidRPr="00E3419F">
        <w:rPr>
          <w:spacing w:val="-2"/>
          <w:kern w:val="22"/>
          <w:lang w:val="en-GB"/>
        </w:rPr>
        <w:t>se</w:t>
      </w:r>
      <w:r w:rsidR="006A218B" w:rsidRPr="00E3419F">
        <w:rPr>
          <w:spacing w:val="-2"/>
          <w:kern w:val="22"/>
          <w:lang w:val="en-GB"/>
        </w:rPr>
        <w:t xml:space="preserve"> </w:t>
      </w:r>
      <w:r w:rsidR="000A075C" w:rsidRPr="00E3419F">
        <w:rPr>
          <w:spacing w:val="-2"/>
          <w:kern w:val="22"/>
          <w:lang w:val="en-GB"/>
        </w:rPr>
        <w:t>brands</w:t>
      </w:r>
      <w:r w:rsidR="007C4F91" w:rsidRPr="00E3419F">
        <w:rPr>
          <w:spacing w:val="-2"/>
          <w:kern w:val="22"/>
          <w:lang w:val="en-GB"/>
        </w:rPr>
        <w:t xml:space="preserve"> </w:t>
      </w:r>
      <w:r w:rsidR="006A218B" w:rsidRPr="00E3419F">
        <w:rPr>
          <w:spacing w:val="-2"/>
          <w:kern w:val="22"/>
          <w:lang w:val="en-GB"/>
        </w:rPr>
        <w:t xml:space="preserve">in </w:t>
      </w:r>
      <w:r w:rsidR="007C4F91" w:rsidRPr="00E3419F">
        <w:rPr>
          <w:spacing w:val="-2"/>
          <w:kern w:val="22"/>
          <w:lang w:val="en-GB"/>
        </w:rPr>
        <w:t xml:space="preserve">the </w:t>
      </w:r>
      <w:r w:rsidR="006A218B" w:rsidRPr="00E3419F">
        <w:rPr>
          <w:spacing w:val="-2"/>
          <w:kern w:val="22"/>
          <w:lang w:val="en-GB"/>
        </w:rPr>
        <w:t>Denpasar market.</w:t>
      </w:r>
    </w:p>
    <w:p w14:paraId="578AD7F9" w14:textId="77777777" w:rsidR="006A218B" w:rsidRPr="00E93126" w:rsidRDefault="006A218B" w:rsidP="006A218B">
      <w:pPr>
        <w:pStyle w:val="BodyTextMain"/>
        <w:rPr>
          <w:lang w:val="en-GB"/>
        </w:rPr>
      </w:pPr>
    </w:p>
    <w:p w14:paraId="048C570F" w14:textId="47CFA03D" w:rsidR="006A218B" w:rsidRPr="00E93126" w:rsidRDefault="00D6666D" w:rsidP="006A218B">
      <w:pPr>
        <w:pStyle w:val="BodyTextMain"/>
        <w:rPr>
          <w:lang w:val="en-GB"/>
        </w:rPr>
      </w:pPr>
      <w:r w:rsidRPr="00E93126">
        <w:rPr>
          <w:lang w:val="en-GB"/>
        </w:rPr>
        <w:t xml:space="preserve">Northeast </w:t>
      </w:r>
      <w:r w:rsidR="003D326F">
        <w:rPr>
          <w:lang w:val="en-GB"/>
        </w:rPr>
        <w:t>offered</w:t>
      </w:r>
      <w:r w:rsidR="006A218B" w:rsidRPr="00E93126">
        <w:rPr>
          <w:lang w:val="en-GB"/>
        </w:rPr>
        <w:t xml:space="preserve"> </w:t>
      </w:r>
      <w:r w:rsidR="00D079AC">
        <w:rPr>
          <w:lang w:val="en-GB"/>
        </w:rPr>
        <w:t>attractive</w:t>
      </w:r>
      <w:r w:rsidR="006A218B" w:rsidRPr="00E93126">
        <w:rPr>
          <w:lang w:val="en-GB"/>
        </w:rPr>
        <w:t xml:space="preserve"> display</w:t>
      </w:r>
      <w:r w:rsidRPr="00E93126">
        <w:rPr>
          <w:lang w:val="en-GB"/>
        </w:rPr>
        <w:t>s</w:t>
      </w:r>
      <w:r w:rsidR="00D079AC">
        <w:rPr>
          <w:lang w:val="en-GB"/>
        </w:rPr>
        <w:t xml:space="preserve"> and an enjoyable</w:t>
      </w:r>
      <w:r w:rsidR="006A218B" w:rsidRPr="00E93126">
        <w:rPr>
          <w:lang w:val="en-GB"/>
        </w:rPr>
        <w:t xml:space="preserve"> ambience</w:t>
      </w:r>
      <w:r w:rsidR="00D079AC">
        <w:rPr>
          <w:lang w:val="en-GB"/>
        </w:rPr>
        <w:t xml:space="preserve"> in addition to giving customers the opportunity to negotiate prices.</w:t>
      </w:r>
      <w:r w:rsidR="006A218B" w:rsidRPr="00E93126">
        <w:rPr>
          <w:lang w:val="en-GB"/>
        </w:rPr>
        <w:t xml:space="preserve"> </w:t>
      </w:r>
      <w:r w:rsidRPr="00E93126">
        <w:rPr>
          <w:lang w:val="en-GB"/>
        </w:rPr>
        <w:t xml:space="preserve">The company </w:t>
      </w:r>
      <w:r w:rsidR="006A218B" w:rsidRPr="00E93126">
        <w:rPr>
          <w:lang w:val="en-GB"/>
        </w:rPr>
        <w:t xml:space="preserve">did not push any particular brand and sold at prices </w:t>
      </w:r>
      <w:r w:rsidR="00615C28" w:rsidRPr="00E93126">
        <w:rPr>
          <w:lang w:val="en-GB"/>
        </w:rPr>
        <w:t xml:space="preserve">that </w:t>
      </w:r>
      <w:r w:rsidR="006A218B" w:rsidRPr="00E93126">
        <w:rPr>
          <w:lang w:val="en-GB"/>
        </w:rPr>
        <w:t xml:space="preserve">were consistently higher than any other </w:t>
      </w:r>
      <w:r w:rsidR="007C4F91" w:rsidRPr="00E93126">
        <w:rPr>
          <w:lang w:val="en-GB"/>
        </w:rPr>
        <w:t xml:space="preserve">appliance </w:t>
      </w:r>
      <w:r w:rsidR="006A218B" w:rsidRPr="00E93126">
        <w:rPr>
          <w:lang w:val="en-GB"/>
        </w:rPr>
        <w:t>retail</w:t>
      </w:r>
      <w:r w:rsidR="007C4F91" w:rsidRPr="00E93126">
        <w:rPr>
          <w:lang w:val="en-GB"/>
        </w:rPr>
        <w:t>er</w:t>
      </w:r>
      <w:r w:rsidR="006A218B" w:rsidRPr="00E93126">
        <w:rPr>
          <w:lang w:val="en-GB"/>
        </w:rPr>
        <w:t xml:space="preserve"> in Denpasar. </w:t>
      </w:r>
      <w:r w:rsidR="00615C28" w:rsidRPr="00E93126">
        <w:rPr>
          <w:lang w:val="en-GB"/>
        </w:rPr>
        <w:t>A</w:t>
      </w:r>
      <w:r w:rsidR="006A218B" w:rsidRPr="00E93126">
        <w:rPr>
          <w:lang w:val="en-GB"/>
        </w:rPr>
        <w:t xml:space="preserve">dequate sales support </w:t>
      </w:r>
      <w:r w:rsidR="00615C28" w:rsidRPr="00E93126">
        <w:rPr>
          <w:lang w:val="en-GB"/>
        </w:rPr>
        <w:t xml:space="preserve">was available </w:t>
      </w:r>
      <w:r w:rsidR="006A218B" w:rsidRPr="00E93126">
        <w:rPr>
          <w:lang w:val="en-GB"/>
        </w:rPr>
        <w:t xml:space="preserve">for consumers who wanted to know about product features </w:t>
      </w:r>
      <w:r w:rsidR="00D079AC">
        <w:rPr>
          <w:lang w:val="en-GB"/>
        </w:rPr>
        <w:t>and</w:t>
      </w:r>
      <w:r w:rsidR="006A218B" w:rsidRPr="00E93126">
        <w:rPr>
          <w:lang w:val="en-GB"/>
        </w:rPr>
        <w:t xml:space="preserve"> compare across brands.</w:t>
      </w:r>
      <w:r w:rsidR="003D326F">
        <w:rPr>
          <w:lang w:val="en-GB"/>
        </w:rPr>
        <w:t xml:space="preserve"> Northeast’s</w:t>
      </w:r>
      <w:r w:rsidR="00615C28" w:rsidRPr="00E93126">
        <w:rPr>
          <w:lang w:val="en-GB"/>
        </w:rPr>
        <w:t xml:space="preserve"> </w:t>
      </w:r>
      <w:r w:rsidR="006A218B" w:rsidRPr="00E93126">
        <w:rPr>
          <w:lang w:val="en-GB"/>
        </w:rPr>
        <w:t>customer base was less</w:t>
      </w:r>
      <w:r w:rsidR="00615C28" w:rsidRPr="00E93126">
        <w:rPr>
          <w:lang w:val="en-GB"/>
        </w:rPr>
        <w:t xml:space="preserve"> </w:t>
      </w:r>
      <w:r w:rsidR="006A218B" w:rsidRPr="00E93126">
        <w:rPr>
          <w:lang w:val="en-GB"/>
        </w:rPr>
        <w:t>price</w:t>
      </w:r>
      <w:r w:rsidR="003D326F">
        <w:rPr>
          <w:lang w:val="en-GB"/>
        </w:rPr>
        <w:t xml:space="preserve"> </w:t>
      </w:r>
      <w:r w:rsidR="006A218B" w:rsidRPr="00E93126">
        <w:rPr>
          <w:lang w:val="en-GB"/>
        </w:rPr>
        <w:t xml:space="preserve">sensitive </w:t>
      </w:r>
      <w:r w:rsidR="00D079AC">
        <w:rPr>
          <w:lang w:val="en-GB"/>
        </w:rPr>
        <w:t>than others</w:t>
      </w:r>
      <w:r w:rsidR="00615C28" w:rsidRPr="00E93126">
        <w:rPr>
          <w:lang w:val="en-GB"/>
        </w:rPr>
        <w:t xml:space="preserve"> </w:t>
      </w:r>
      <w:r w:rsidR="006A218B" w:rsidRPr="00E93126">
        <w:rPr>
          <w:lang w:val="en-GB"/>
        </w:rPr>
        <w:t xml:space="preserve">and was </w:t>
      </w:r>
      <w:r w:rsidR="00615C28" w:rsidRPr="00E93126">
        <w:rPr>
          <w:lang w:val="en-GB"/>
        </w:rPr>
        <w:t xml:space="preserve">typically </w:t>
      </w:r>
      <w:r w:rsidR="006A218B" w:rsidRPr="00E93126">
        <w:rPr>
          <w:lang w:val="en-GB"/>
        </w:rPr>
        <w:t xml:space="preserve">looking for premium products. </w:t>
      </w:r>
      <w:r w:rsidR="003D326F">
        <w:rPr>
          <w:lang w:val="en-GB"/>
        </w:rPr>
        <w:t>The firm’s</w:t>
      </w:r>
      <w:r w:rsidR="006A218B" w:rsidRPr="00E93126">
        <w:rPr>
          <w:lang w:val="en-GB"/>
        </w:rPr>
        <w:t xml:space="preserve"> sales mix </w:t>
      </w:r>
      <w:r w:rsidR="007C4F91" w:rsidRPr="00E93126">
        <w:rPr>
          <w:lang w:val="en-GB"/>
        </w:rPr>
        <w:t>included</w:t>
      </w:r>
      <w:r w:rsidR="006A218B" w:rsidRPr="00E93126">
        <w:rPr>
          <w:lang w:val="en-GB"/>
        </w:rPr>
        <w:t xml:space="preserve"> the higher</w:t>
      </w:r>
      <w:r w:rsidR="003D326F">
        <w:rPr>
          <w:lang w:val="en-GB"/>
        </w:rPr>
        <w:t>-</w:t>
      </w:r>
      <w:r w:rsidR="006A218B" w:rsidRPr="00E93126">
        <w:rPr>
          <w:lang w:val="en-GB"/>
        </w:rPr>
        <w:t xml:space="preserve">end models of the </w:t>
      </w:r>
      <w:r w:rsidR="007C4F91" w:rsidRPr="00E93126">
        <w:rPr>
          <w:lang w:val="en-GB"/>
        </w:rPr>
        <w:t xml:space="preserve">various </w:t>
      </w:r>
      <w:r w:rsidR="006A218B" w:rsidRPr="00E93126">
        <w:rPr>
          <w:lang w:val="en-GB"/>
        </w:rPr>
        <w:t>product categories.</w:t>
      </w:r>
    </w:p>
    <w:p w14:paraId="16F487A2" w14:textId="77777777" w:rsidR="006A218B" w:rsidRPr="00E93126" w:rsidRDefault="006A218B" w:rsidP="006A218B">
      <w:pPr>
        <w:pStyle w:val="BodyTextMain"/>
        <w:rPr>
          <w:sz w:val="18"/>
          <w:szCs w:val="18"/>
          <w:lang w:val="en-GB"/>
        </w:rPr>
      </w:pPr>
    </w:p>
    <w:p w14:paraId="3E0419A2" w14:textId="77777777" w:rsidR="006A218B" w:rsidRPr="00E93126" w:rsidRDefault="006A218B" w:rsidP="006A218B">
      <w:pPr>
        <w:pStyle w:val="BodyTextMain"/>
        <w:rPr>
          <w:sz w:val="18"/>
          <w:szCs w:val="18"/>
          <w:lang w:val="en-GB"/>
        </w:rPr>
      </w:pPr>
    </w:p>
    <w:p w14:paraId="3E583624" w14:textId="77777777" w:rsidR="006A218B" w:rsidRPr="00E93126" w:rsidRDefault="006A218B" w:rsidP="00733495">
      <w:pPr>
        <w:pStyle w:val="Casehead2"/>
        <w:outlineLvl w:val="0"/>
        <w:rPr>
          <w:rFonts w:eastAsiaTheme="minorHAnsi"/>
          <w:lang w:val="en-GB"/>
        </w:rPr>
      </w:pPr>
      <w:r w:rsidRPr="00E93126">
        <w:rPr>
          <w:rFonts w:eastAsiaTheme="minorHAnsi"/>
          <w:lang w:val="en-GB"/>
        </w:rPr>
        <w:t>Rahman Sales</w:t>
      </w:r>
    </w:p>
    <w:p w14:paraId="5921D832" w14:textId="77777777" w:rsidR="006A218B" w:rsidRPr="00E93126" w:rsidRDefault="006A218B" w:rsidP="006A218B">
      <w:pPr>
        <w:pStyle w:val="BodyTextMain"/>
        <w:rPr>
          <w:rFonts w:eastAsiaTheme="minorHAnsi"/>
          <w:sz w:val="18"/>
          <w:szCs w:val="18"/>
          <w:lang w:val="en-GB"/>
        </w:rPr>
      </w:pPr>
    </w:p>
    <w:p w14:paraId="026FDD32" w14:textId="65400031" w:rsidR="006A218B" w:rsidRPr="00E93126" w:rsidRDefault="0045389C" w:rsidP="006A218B">
      <w:pPr>
        <w:pStyle w:val="BodyTextMain"/>
        <w:rPr>
          <w:lang w:val="en-GB"/>
        </w:rPr>
      </w:pPr>
      <w:r>
        <w:rPr>
          <w:lang w:val="en-GB"/>
        </w:rPr>
        <w:t>Established</w:t>
      </w:r>
      <w:r w:rsidR="006A218B" w:rsidRPr="00E93126">
        <w:rPr>
          <w:lang w:val="en-GB"/>
        </w:rPr>
        <w:t xml:space="preserve"> in 2001, </w:t>
      </w:r>
      <w:r w:rsidR="00615C28" w:rsidRPr="00E93126">
        <w:rPr>
          <w:lang w:val="en-GB"/>
        </w:rPr>
        <w:t xml:space="preserve">Rahman </w:t>
      </w:r>
      <w:r w:rsidR="006A218B" w:rsidRPr="00E93126">
        <w:rPr>
          <w:lang w:val="en-GB"/>
        </w:rPr>
        <w:t xml:space="preserve">was one of </w:t>
      </w:r>
      <w:r w:rsidR="00615C28" w:rsidRPr="00E93126">
        <w:rPr>
          <w:lang w:val="en-GB"/>
        </w:rPr>
        <w:t xml:space="preserve">Denpasar’s </w:t>
      </w:r>
      <w:r w:rsidR="00BC561A">
        <w:rPr>
          <w:lang w:val="en-GB"/>
        </w:rPr>
        <w:t>best</w:t>
      </w:r>
      <w:r w:rsidR="00615C28" w:rsidRPr="00E93126">
        <w:rPr>
          <w:lang w:val="en-GB"/>
        </w:rPr>
        <w:t>-</w:t>
      </w:r>
      <w:r w:rsidR="006A218B" w:rsidRPr="00E93126">
        <w:rPr>
          <w:lang w:val="en-GB"/>
        </w:rPr>
        <w:t>managed retail</w:t>
      </w:r>
      <w:r w:rsidR="00D5370B" w:rsidRPr="00E93126">
        <w:rPr>
          <w:lang w:val="en-GB"/>
        </w:rPr>
        <w:t>ers</w:t>
      </w:r>
      <w:r w:rsidR="006A218B" w:rsidRPr="00E93126">
        <w:rPr>
          <w:lang w:val="en-GB"/>
        </w:rPr>
        <w:t xml:space="preserve">. </w:t>
      </w:r>
      <w:r w:rsidR="00615C28" w:rsidRPr="00E93126">
        <w:rPr>
          <w:lang w:val="en-GB"/>
        </w:rPr>
        <w:t xml:space="preserve">Its </w:t>
      </w:r>
      <w:r w:rsidR="006A218B" w:rsidRPr="00E93126">
        <w:rPr>
          <w:lang w:val="en-GB"/>
        </w:rPr>
        <w:t xml:space="preserve">owners were two brothers, </w:t>
      </w:r>
      <w:proofErr w:type="spellStart"/>
      <w:r w:rsidR="006A218B" w:rsidRPr="00E93126">
        <w:rPr>
          <w:lang w:val="en-GB"/>
        </w:rPr>
        <w:t>Hashim</w:t>
      </w:r>
      <w:proofErr w:type="spellEnd"/>
      <w:r w:rsidR="006A218B" w:rsidRPr="00E93126">
        <w:rPr>
          <w:lang w:val="en-GB"/>
        </w:rPr>
        <w:t xml:space="preserve"> and Jalal. </w:t>
      </w:r>
      <w:r w:rsidR="00D5370B" w:rsidRPr="00E93126">
        <w:rPr>
          <w:lang w:val="en-GB"/>
        </w:rPr>
        <w:t>O</w:t>
      </w:r>
      <w:r w:rsidR="006A218B" w:rsidRPr="00E93126">
        <w:rPr>
          <w:lang w:val="en-GB"/>
        </w:rPr>
        <w:t xml:space="preserve">ne of them was always present </w:t>
      </w:r>
      <w:r w:rsidR="00615C28" w:rsidRPr="00E93126">
        <w:rPr>
          <w:lang w:val="en-GB"/>
        </w:rPr>
        <w:t xml:space="preserve">at </w:t>
      </w:r>
      <w:r w:rsidR="006A218B" w:rsidRPr="00E93126">
        <w:rPr>
          <w:lang w:val="en-GB"/>
        </w:rPr>
        <w:t xml:space="preserve">the counter </w:t>
      </w:r>
      <w:r w:rsidR="00D5370B" w:rsidRPr="00E93126">
        <w:rPr>
          <w:lang w:val="en-GB"/>
        </w:rPr>
        <w:t>to</w:t>
      </w:r>
      <w:r w:rsidR="006A218B" w:rsidRPr="00E93126">
        <w:rPr>
          <w:lang w:val="en-GB"/>
        </w:rPr>
        <w:t xml:space="preserve"> provide personal attention to customers. </w:t>
      </w:r>
      <w:r w:rsidR="00D5370B" w:rsidRPr="00E93126">
        <w:rPr>
          <w:lang w:val="en-GB"/>
        </w:rPr>
        <w:t xml:space="preserve">The brothers </w:t>
      </w:r>
      <w:r w:rsidR="006A218B" w:rsidRPr="00E93126">
        <w:rPr>
          <w:lang w:val="en-GB"/>
        </w:rPr>
        <w:t xml:space="preserve">gave tremendous importance to customer care and also offered lower prices compared </w:t>
      </w:r>
      <w:r w:rsidR="00615C28" w:rsidRPr="00E93126">
        <w:rPr>
          <w:lang w:val="en-GB"/>
        </w:rPr>
        <w:t xml:space="preserve">with </w:t>
      </w:r>
      <w:r w:rsidR="006A218B" w:rsidRPr="00E93126">
        <w:rPr>
          <w:lang w:val="en-GB"/>
        </w:rPr>
        <w:t xml:space="preserve">others in </w:t>
      </w:r>
      <w:proofErr w:type="spellStart"/>
      <w:r w:rsidR="006A218B" w:rsidRPr="00E93126">
        <w:rPr>
          <w:lang w:val="en-GB"/>
        </w:rPr>
        <w:t>Beringharjo</w:t>
      </w:r>
      <w:proofErr w:type="spellEnd"/>
      <w:r w:rsidR="006A218B" w:rsidRPr="00E93126">
        <w:rPr>
          <w:lang w:val="en-GB"/>
        </w:rPr>
        <w:t xml:space="preserve"> </w:t>
      </w:r>
      <w:r w:rsidR="0033309A">
        <w:rPr>
          <w:lang w:val="en-GB"/>
        </w:rPr>
        <w:t>M</w:t>
      </w:r>
      <w:r w:rsidR="006A218B" w:rsidRPr="00E93126">
        <w:rPr>
          <w:lang w:val="en-GB"/>
        </w:rPr>
        <w:t xml:space="preserve">arket. Because of </w:t>
      </w:r>
      <w:r w:rsidR="00615C28" w:rsidRPr="00E93126">
        <w:rPr>
          <w:lang w:val="en-GB"/>
        </w:rPr>
        <w:t xml:space="preserve">the company’s </w:t>
      </w:r>
      <w:r w:rsidR="006A218B" w:rsidRPr="00E93126">
        <w:rPr>
          <w:lang w:val="en-GB"/>
        </w:rPr>
        <w:t>customer</w:t>
      </w:r>
      <w:r w:rsidR="00615C28" w:rsidRPr="00E93126">
        <w:rPr>
          <w:lang w:val="en-GB"/>
        </w:rPr>
        <w:t>-</w:t>
      </w:r>
      <w:r w:rsidR="006A218B" w:rsidRPr="00E93126">
        <w:rPr>
          <w:lang w:val="en-GB"/>
        </w:rPr>
        <w:t>centric policies</w:t>
      </w:r>
      <w:r w:rsidR="00D079AC">
        <w:rPr>
          <w:lang w:val="en-GB"/>
        </w:rPr>
        <w:t xml:space="preserve"> and competent sales team</w:t>
      </w:r>
      <w:r w:rsidR="006A218B" w:rsidRPr="00E93126">
        <w:rPr>
          <w:lang w:val="en-GB"/>
        </w:rPr>
        <w:t xml:space="preserve">, </w:t>
      </w:r>
      <w:r w:rsidR="00615C28" w:rsidRPr="00E93126">
        <w:rPr>
          <w:lang w:val="en-GB"/>
        </w:rPr>
        <w:t xml:space="preserve">it </w:t>
      </w:r>
      <w:r w:rsidR="006A218B" w:rsidRPr="00E93126">
        <w:rPr>
          <w:lang w:val="en-GB"/>
        </w:rPr>
        <w:t>had developed a l</w:t>
      </w:r>
      <w:r w:rsidR="00D079AC">
        <w:rPr>
          <w:lang w:val="en-GB"/>
        </w:rPr>
        <w:t>arge and loyal client base.</w:t>
      </w:r>
    </w:p>
    <w:p w14:paraId="18857147" w14:textId="77777777" w:rsidR="006A218B" w:rsidRPr="00E93126" w:rsidRDefault="006A218B" w:rsidP="006A218B">
      <w:pPr>
        <w:pStyle w:val="BodyTextMain"/>
        <w:rPr>
          <w:sz w:val="18"/>
          <w:szCs w:val="18"/>
          <w:lang w:val="en-GB"/>
        </w:rPr>
      </w:pPr>
    </w:p>
    <w:p w14:paraId="5257676B" w14:textId="77777777" w:rsidR="006A218B" w:rsidRPr="00E93126" w:rsidRDefault="00615C28" w:rsidP="006A218B">
      <w:pPr>
        <w:pStyle w:val="BodyTextMain"/>
        <w:rPr>
          <w:lang w:val="en-GB"/>
        </w:rPr>
      </w:pPr>
      <w:r w:rsidRPr="00E93126">
        <w:rPr>
          <w:lang w:val="en-GB"/>
        </w:rPr>
        <w:t>Rahman</w:t>
      </w:r>
      <w:r w:rsidR="00BC561A">
        <w:rPr>
          <w:lang w:val="en-GB"/>
        </w:rPr>
        <w:t>’s owners were</w:t>
      </w:r>
      <w:r w:rsidRPr="00E93126">
        <w:rPr>
          <w:lang w:val="en-GB"/>
        </w:rPr>
        <w:t xml:space="preserve"> </w:t>
      </w:r>
      <w:r w:rsidR="006A218B" w:rsidRPr="00E93126">
        <w:rPr>
          <w:lang w:val="en-GB"/>
        </w:rPr>
        <w:t xml:space="preserve">offended when </w:t>
      </w:r>
      <w:proofErr w:type="spellStart"/>
      <w:r w:rsidR="00BC561A">
        <w:rPr>
          <w:lang w:val="en-GB"/>
        </w:rPr>
        <w:t>Fairdeal</w:t>
      </w:r>
      <w:proofErr w:type="spellEnd"/>
      <w:r w:rsidRPr="00E93126">
        <w:rPr>
          <w:lang w:val="en-GB"/>
        </w:rPr>
        <w:t xml:space="preserve"> </w:t>
      </w:r>
      <w:r w:rsidR="006A218B" w:rsidRPr="00E93126">
        <w:rPr>
          <w:lang w:val="en-GB"/>
        </w:rPr>
        <w:t xml:space="preserve">opened a new dealership with M/S </w:t>
      </w:r>
      <w:proofErr w:type="spellStart"/>
      <w:r w:rsidR="006A218B" w:rsidRPr="00E93126">
        <w:rPr>
          <w:lang w:val="en-GB"/>
        </w:rPr>
        <w:t>Taufiq</w:t>
      </w:r>
      <w:proofErr w:type="spellEnd"/>
      <w:r w:rsidR="006A218B" w:rsidRPr="00E93126">
        <w:rPr>
          <w:lang w:val="en-GB"/>
        </w:rPr>
        <w:t xml:space="preserve">, which was located </w:t>
      </w:r>
      <w:r w:rsidR="00D5370B" w:rsidRPr="00E93126">
        <w:rPr>
          <w:lang w:val="en-GB"/>
        </w:rPr>
        <w:t>nearby</w:t>
      </w:r>
      <w:r w:rsidR="00BC561A">
        <w:rPr>
          <w:lang w:val="en-GB"/>
        </w:rPr>
        <w:t>, in 2014</w:t>
      </w:r>
      <w:r w:rsidR="006A218B" w:rsidRPr="00E93126">
        <w:rPr>
          <w:lang w:val="en-GB"/>
        </w:rPr>
        <w:t xml:space="preserve">. </w:t>
      </w:r>
      <w:r w:rsidRPr="00E93126">
        <w:rPr>
          <w:lang w:val="en-GB"/>
        </w:rPr>
        <w:t xml:space="preserve">Rahman </w:t>
      </w:r>
      <w:r w:rsidR="006A218B" w:rsidRPr="00E93126">
        <w:rPr>
          <w:lang w:val="en-GB"/>
        </w:rPr>
        <w:t xml:space="preserve">retaliated by shifting </w:t>
      </w:r>
      <w:r w:rsidRPr="00E93126">
        <w:rPr>
          <w:lang w:val="en-GB"/>
        </w:rPr>
        <w:t xml:space="preserve">its </w:t>
      </w:r>
      <w:r w:rsidR="006A218B" w:rsidRPr="00E93126">
        <w:rPr>
          <w:lang w:val="en-GB"/>
        </w:rPr>
        <w:t xml:space="preserve">focus away from </w:t>
      </w:r>
      <w:proofErr w:type="spellStart"/>
      <w:r w:rsidR="006A218B" w:rsidRPr="00E93126">
        <w:rPr>
          <w:lang w:val="en-GB"/>
        </w:rPr>
        <w:t>Fairdeal</w:t>
      </w:r>
      <w:proofErr w:type="spellEnd"/>
      <w:r w:rsidRPr="00E93126">
        <w:rPr>
          <w:lang w:val="en-GB"/>
        </w:rPr>
        <w:t>;</w:t>
      </w:r>
      <w:r w:rsidR="006A218B" w:rsidRPr="00E93126">
        <w:rPr>
          <w:lang w:val="en-GB"/>
        </w:rPr>
        <w:t xml:space="preserve"> however</w:t>
      </w:r>
      <w:r w:rsidRPr="00E93126">
        <w:rPr>
          <w:lang w:val="en-GB"/>
        </w:rPr>
        <w:t>,</w:t>
      </w:r>
      <w:r w:rsidR="006A218B" w:rsidRPr="00E93126">
        <w:rPr>
          <w:lang w:val="en-GB"/>
        </w:rPr>
        <w:t xml:space="preserve"> </w:t>
      </w:r>
      <w:r w:rsidRPr="00E93126">
        <w:rPr>
          <w:lang w:val="en-GB"/>
        </w:rPr>
        <w:t xml:space="preserve">it </w:t>
      </w:r>
      <w:r w:rsidR="006A218B" w:rsidRPr="00E93126">
        <w:rPr>
          <w:lang w:val="en-GB"/>
        </w:rPr>
        <w:t xml:space="preserve">did not </w:t>
      </w:r>
      <w:r w:rsidR="00BC561A">
        <w:rPr>
          <w:lang w:val="en-GB"/>
        </w:rPr>
        <w:t>cease dealing with the company entirely</w:t>
      </w:r>
      <w:r w:rsidR="006A218B" w:rsidRPr="00E93126">
        <w:rPr>
          <w:lang w:val="en-GB"/>
        </w:rPr>
        <w:t xml:space="preserve">. </w:t>
      </w:r>
      <w:r w:rsidR="00BC561A">
        <w:rPr>
          <w:lang w:val="en-GB"/>
        </w:rPr>
        <w:t>In 2018,</w:t>
      </w:r>
      <w:r w:rsidR="006A218B" w:rsidRPr="00E93126">
        <w:rPr>
          <w:lang w:val="en-GB"/>
        </w:rPr>
        <w:t xml:space="preserve"> </w:t>
      </w:r>
      <w:r w:rsidR="00D5370B" w:rsidRPr="00E93126">
        <w:rPr>
          <w:lang w:val="en-GB"/>
        </w:rPr>
        <w:t xml:space="preserve">Rahman </w:t>
      </w:r>
      <w:r w:rsidR="00BC561A">
        <w:rPr>
          <w:lang w:val="en-GB"/>
        </w:rPr>
        <w:t xml:space="preserve">still </w:t>
      </w:r>
      <w:r w:rsidR="006A218B" w:rsidRPr="00E93126">
        <w:rPr>
          <w:lang w:val="en-GB"/>
        </w:rPr>
        <w:t xml:space="preserve">sold </w:t>
      </w:r>
      <w:r w:rsidRPr="00E93126">
        <w:rPr>
          <w:lang w:val="en-GB"/>
        </w:rPr>
        <w:t>many</w:t>
      </w:r>
      <w:r w:rsidR="006A218B" w:rsidRPr="00E93126">
        <w:rPr>
          <w:lang w:val="en-GB"/>
        </w:rPr>
        <w:t xml:space="preserve"> </w:t>
      </w:r>
      <w:proofErr w:type="spellStart"/>
      <w:r w:rsidR="006A218B" w:rsidRPr="00E93126">
        <w:rPr>
          <w:lang w:val="en-GB"/>
        </w:rPr>
        <w:t>Fairdeal</w:t>
      </w:r>
      <w:proofErr w:type="spellEnd"/>
      <w:r w:rsidR="006A218B" w:rsidRPr="00E93126">
        <w:rPr>
          <w:lang w:val="en-GB"/>
        </w:rPr>
        <w:t xml:space="preserve"> air conditioners, as </w:t>
      </w:r>
      <w:proofErr w:type="spellStart"/>
      <w:r w:rsidR="006A218B" w:rsidRPr="00E93126">
        <w:rPr>
          <w:lang w:val="en-GB"/>
        </w:rPr>
        <w:t>Fairdeal</w:t>
      </w:r>
      <w:proofErr w:type="spellEnd"/>
      <w:r w:rsidR="006A218B" w:rsidRPr="00E93126">
        <w:rPr>
          <w:lang w:val="en-GB"/>
        </w:rPr>
        <w:t xml:space="preserve"> provided good margins. Rahman was </w:t>
      </w:r>
      <w:r w:rsidR="00BC561A">
        <w:rPr>
          <w:lang w:val="en-GB"/>
        </w:rPr>
        <w:t>adept</w:t>
      </w:r>
      <w:r w:rsidR="006A218B" w:rsidRPr="00E93126">
        <w:rPr>
          <w:lang w:val="en-GB"/>
        </w:rPr>
        <w:t xml:space="preserve"> at point</w:t>
      </w:r>
      <w:r w:rsidRPr="00E93126">
        <w:rPr>
          <w:lang w:val="en-GB"/>
        </w:rPr>
        <w:t>-</w:t>
      </w:r>
      <w:r w:rsidR="006A218B" w:rsidRPr="00E93126">
        <w:rPr>
          <w:lang w:val="en-GB"/>
        </w:rPr>
        <w:t>of</w:t>
      </w:r>
      <w:r w:rsidRPr="00E93126">
        <w:rPr>
          <w:lang w:val="en-GB"/>
        </w:rPr>
        <w:t>-</w:t>
      </w:r>
      <w:r w:rsidR="006A218B" w:rsidRPr="00E93126">
        <w:rPr>
          <w:lang w:val="en-GB"/>
        </w:rPr>
        <w:t xml:space="preserve">sales influence and was able to change </w:t>
      </w:r>
      <w:r w:rsidR="00BC561A">
        <w:rPr>
          <w:lang w:val="en-GB"/>
        </w:rPr>
        <w:t>a customer’s</w:t>
      </w:r>
      <w:r w:rsidR="006A218B" w:rsidRPr="00E93126">
        <w:rPr>
          <w:lang w:val="en-GB"/>
        </w:rPr>
        <w:t xml:space="preserve"> brand choice in about </w:t>
      </w:r>
      <w:r w:rsidRPr="00E93126">
        <w:rPr>
          <w:lang w:val="en-GB"/>
        </w:rPr>
        <w:t xml:space="preserve">60 </w:t>
      </w:r>
      <w:r w:rsidR="006A218B" w:rsidRPr="00E93126">
        <w:rPr>
          <w:lang w:val="en-GB"/>
        </w:rPr>
        <w:t>per</w:t>
      </w:r>
      <w:r w:rsidRPr="00E93126">
        <w:rPr>
          <w:lang w:val="en-GB"/>
        </w:rPr>
        <w:t xml:space="preserve"> </w:t>
      </w:r>
      <w:r w:rsidR="006A218B" w:rsidRPr="00E93126">
        <w:rPr>
          <w:lang w:val="en-GB"/>
        </w:rPr>
        <w:t>cent of cases.</w:t>
      </w:r>
    </w:p>
    <w:p w14:paraId="7E274E4E" w14:textId="77777777" w:rsidR="006A218B" w:rsidRPr="00E93126" w:rsidRDefault="006A218B" w:rsidP="006A218B">
      <w:pPr>
        <w:pStyle w:val="BodyTextMain"/>
        <w:rPr>
          <w:sz w:val="18"/>
          <w:szCs w:val="18"/>
          <w:lang w:val="en-GB"/>
        </w:rPr>
      </w:pPr>
    </w:p>
    <w:p w14:paraId="44F40FC1" w14:textId="77777777" w:rsidR="006A218B" w:rsidRPr="00E93126" w:rsidRDefault="006A218B" w:rsidP="006A218B">
      <w:pPr>
        <w:pStyle w:val="BodyTextMain"/>
        <w:rPr>
          <w:sz w:val="18"/>
          <w:szCs w:val="18"/>
          <w:lang w:val="en-GB"/>
        </w:rPr>
      </w:pPr>
    </w:p>
    <w:p w14:paraId="620D3E0C" w14:textId="77777777" w:rsidR="006A218B" w:rsidRPr="00E93126" w:rsidRDefault="006A218B" w:rsidP="00733495">
      <w:pPr>
        <w:pStyle w:val="Casehead2"/>
        <w:outlineLvl w:val="0"/>
        <w:rPr>
          <w:rFonts w:eastAsiaTheme="minorHAnsi"/>
          <w:lang w:val="en-GB"/>
        </w:rPr>
      </w:pPr>
      <w:r w:rsidRPr="00E93126">
        <w:rPr>
          <w:rFonts w:eastAsiaTheme="minorHAnsi"/>
          <w:bCs/>
          <w:lang w:val="en-GB"/>
        </w:rPr>
        <w:lastRenderedPageBreak/>
        <w:t xml:space="preserve">Spectrum </w:t>
      </w:r>
      <w:r w:rsidRPr="00E93126">
        <w:rPr>
          <w:rFonts w:eastAsiaTheme="minorHAnsi"/>
          <w:lang w:val="en-GB"/>
        </w:rPr>
        <w:t>Electronics</w:t>
      </w:r>
    </w:p>
    <w:p w14:paraId="31123185" w14:textId="77777777" w:rsidR="006A218B" w:rsidRPr="00E93126" w:rsidRDefault="006A218B" w:rsidP="006A218B">
      <w:pPr>
        <w:pStyle w:val="BodyTextMain"/>
        <w:rPr>
          <w:rFonts w:eastAsiaTheme="minorHAnsi"/>
          <w:sz w:val="18"/>
          <w:szCs w:val="18"/>
          <w:lang w:val="en-GB"/>
        </w:rPr>
      </w:pPr>
    </w:p>
    <w:p w14:paraId="22028905" w14:textId="77777777" w:rsidR="006A218B" w:rsidRPr="00B53995" w:rsidRDefault="006A218B" w:rsidP="006A218B">
      <w:pPr>
        <w:pStyle w:val="BodyTextMain"/>
        <w:rPr>
          <w:spacing w:val="-2"/>
          <w:kern w:val="22"/>
          <w:lang w:val="en-GB"/>
        </w:rPr>
      </w:pPr>
      <w:r w:rsidRPr="00B53995">
        <w:rPr>
          <w:spacing w:val="-2"/>
          <w:kern w:val="22"/>
          <w:lang w:val="en-GB"/>
        </w:rPr>
        <w:t xml:space="preserve">Spectrum was a two-outlet dealer present in two important markets, Santa Modern </w:t>
      </w:r>
      <w:r w:rsidR="00615C28" w:rsidRPr="00B53995">
        <w:rPr>
          <w:spacing w:val="-2"/>
          <w:kern w:val="22"/>
          <w:lang w:val="en-GB"/>
        </w:rPr>
        <w:t xml:space="preserve">and </w:t>
      </w:r>
      <w:proofErr w:type="spellStart"/>
      <w:r w:rsidRPr="00B53995">
        <w:rPr>
          <w:spacing w:val="-2"/>
          <w:kern w:val="22"/>
          <w:lang w:val="en-GB"/>
        </w:rPr>
        <w:t>Baru</w:t>
      </w:r>
      <w:proofErr w:type="spellEnd"/>
      <w:r w:rsidRPr="00B53995">
        <w:rPr>
          <w:spacing w:val="-2"/>
          <w:kern w:val="22"/>
          <w:lang w:val="en-GB"/>
        </w:rPr>
        <w:t xml:space="preserve">. </w:t>
      </w:r>
      <w:r w:rsidR="00D5370B" w:rsidRPr="00B53995">
        <w:rPr>
          <w:spacing w:val="-2"/>
          <w:kern w:val="22"/>
          <w:lang w:val="en-GB"/>
        </w:rPr>
        <w:t xml:space="preserve">These </w:t>
      </w:r>
      <w:r w:rsidR="00615C28" w:rsidRPr="00B53995">
        <w:rPr>
          <w:spacing w:val="-2"/>
          <w:kern w:val="22"/>
          <w:lang w:val="en-GB"/>
        </w:rPr>
        <w:t>location</w:t>
      </w:r>
      <w:r w:rsidR="00D5370B" w:rsidRPr="00B53995">
        <w:rPr>
          <w:spacing w:val="-2"/>
          <w:kern w:val="22"/>
          <w:lang w:val="en-GB"/>
        </w:rPr>
        <w:t>s</w:t>
      </w:r>
      <w:r w:rsidR="00615C28" w:rsidRPr="00B53995">
        <w:rPr>
          <w:spacing w:val="-2"/>
          <w:kern w:val="22"/>
          <w:lang w:val="en-GB"/>
        </w:rPr>
        <w:t xml:space="preserve"> </w:t>
      </w:r>
      <w:r w:rsidRPr="00B53995">
        <w:rPr>
          <w:spacing w:val="-2"/>
          <w:kern w:val="22"/>
          <w:lang w:val="en-GB"/>
        </w:rPr>
        <w:t xml:space="preserve">provided Spectrum </w:t>
      </w:r>
      <w:r w:rsidR="00615C28" w:rsidRPr="00B53995">
        <w:rPr>
          <w:spacing w:val="-2"/>
          <w:kern w:val="22"/>
          <w:lang w:val="en-GB"/>
        </w:rPr>
        <w:t xml:space="preserve">with </w:t>
      </w:r>
      <w:r w:rsidRPr="00B53995">
        <w:rPr>
          <w:spacing w:val="-2"/>
          <w:kern w:val="22"/>
          <w:lang w:val="en-GB"/>
        </w:rPr>
        <w:t>access to a larger customer base</w:t>
      </w:r>
      <w:r w:rsidR="00701A2C">
        <w:rPr>
          <w:spacing w:val="-2"/>
          <w:kern w:val="22"/>
          <w:lang w:val="en-GB"/>
        </w:rPr>
        <w:t>,</w:t>
      </w:r>
      <w:r w:rsidRPr="00B53995">
        <w:rPr>
          <w:spacing w:val="-2"/>
          <w:kern w:val="22"/>
          <w:lang w:val="en-GB"/>
        </w:rPr>
        <w:t xml:space="preserve"> and also helped in negotiating with the appliance companies for better deals. The showrooms and ambience at Spectrum were excellent</w:t>
      </w:r>
      <w:r w:rsidR="00615C28" w:rsidRPr="00B53995">
        <w:rPr>
          <w:spacing w:val="-2"/>
          <w:kern w:val="22"/>
          <w:lang w:val="en-GB"/>
        </w:rPr>
        <w:t>,</w:t>
      </w:r>
      <w:r w:rsidRPr="00B53995">
        <w:rPr>
          <w:spacing w:val="-2"/>
          <w:kern w:val="22"/>
          <w:lang w:val="en-GB"/>
        </w:rPr>
        <w:t xml:space="preserve"> but </w:t>
      </w:r>
      <w:r w:rsidR="00615C28" w:rsidRPr="00B53995">
        <w:rPr>
          <w:spacing w:val="-2"/>
          <w:kern w:val="22"/>
          <w:lang w:val="en-GB"/>
        </w:rPr>
        <w:t>the company had been</w:t>
      </w:r>
      <w:r w:rsidRPr="00B53995">
        <w:rPr>
          <w:spacing w:val="-2"/>
          <w:kern w:val="22"/>
          <w:lang w:val="en-GB"/>
        </w:rPr>
        <w:t xml:space="preserve"> </w:t>
      </w:r>
      <w:r w:rsidR="00615C28" w:rsidRPr="00B53995">
        <w:rPr>
          <w:spacing w:val="-2"/>
          <w:kern w:val="22"/>
          <w:lang w:val="en-GB"/>
        </w:rPr>
        <w:t>un</w:t>
      </w:r>
      <w:r w:rsidRPr="00B53995">
        <w:rPr>
          <w:spacing w:val="-2"/>
          <w:kern w:val="22"/>
          <w:lang w:val="en-GB"/>
        </w:rPr>
        <w:t xml:space="preserve">able to effectively convert </w:t>
      </w:r>
      <w:r w:rsidR="00615C28" w:rsidRPr="00B53995">
        <w:rPr>
          <w:spacing w:val="-2"/>
          <w:kern w:val="22"/>
          <w:lang w:val="en-GB"/>
        </w:rPr>
        <w:t xml:space="preserve">the showroom’s </w:t>
      </w:r>
      <w:r w:rsidRPr="00B53995">
        <w:rPr>
          <w:spacing w:val="-2"/>
          <w:kern w:val="22"/>
          <w:lang w:val="en-GB"/>
        </w:rPr>
        <w:t xml:space="preserve">footfalls </w:t>
      </w:r>
      <w:r w:rsidR="00D5370B" w:rsidRPr="00B53995">
        <w:rPr>
          <w:spacing w:val="-2"/>
          <w:kern w:val="22"/>
          <w:lang w:val="en-GB"/>
        </w:rPr>
        <w:t xml:space="preserve">to sales </w:t>
      </w:r>
      <w:r w:rsidRPr="00B53995">
        <w:rPr>
          <w:spacing w:val="-2"/>
          <w:kern w:val="22"/>
          <w:lang w:val="en-GB"/>
        </w:rPr>
        <w:t>or retain a loyal customer base</w:t>
      </w:r>
      <w:r w:rsidR="00701A2C">
        <w:rPr>
          <w:spacing w:val="-2"/>
          <w:kern w:val="22"/>
          <w:lang w:val="en-GB"/>
        </w:rPr>
        <w:t xml:space="preserve"> (unlike close competitors</w:t>
      </w:r>
      <w:r w:rsidRPr="00B53995">
        <w:rPr>
          <w:spacing w:val="-2"/>
          <w:kern w:val="22"/>
          <w:lang w:val="en-GB"/>
        </w:rPr>
        <w:t xml:space="preserve"> Abdul and </w:t>
      </w:r>
      <w:proofErr w:type="spellStart"/>
      <w:r w:rsidRPr="00B53995">
        <w:rPr>
          <w:spacing w:val="-2"/>
          <w:kern w:val="22"/>
          <w:lang w:val="en-GB"/>
        </w:rPr>
        <w:t>Induapp</w:t>
      </w:r>
      <w:proofErr w:type="spellEnd"/>
      <w:r w:rsidR="00701A2C">
        <w:rPr>
          <w:spacing w:val="-2"/>
          <w:kern w:val="22"/>
          <w:lang w:val="en-GB"/>
        </w:rPr>
        <w:t>)</w:t>
      </w:r>
      <w:r w:rsidRPr="00B53995">
        <w:rPr>
          <w:spacing w:val="-2"/>
          <w:kern w:val="22"/>
          <w:lang w:val="en-GB"/>
        </w:rPr>
        <w:t xml:space="preserve">. </w:t>
      </w:r>
      <w:r w:rsidR="00615C28" w:rsidRPr="00B53995">
        <w:rPr>
          <w:spacing w:val="-2"/>
          <w:kern w:val="22"/>
          <w:lang w:val="en-GB"/>
        </w:rPr>
        <w:t>Spectrum’</w:t>
      </w:r>
      <w:r w:rsidR="00AD6F3E">
        <w:rPr>
          <w:spacing w:val="-2"/>
          <w:kern w:val="22"/>
          <w:lang w:val="en-GB"/>
        </w:rPr>
        <w:t>s</w:t>
      </w:r>
      <w:r w:rsidR="00615C28" w:rsidRPr="00B53995">
        <w:rPr>
          <w:spacing w:val="-2"/>
          <w:kern w:val="22"/>
          <w:lang w:val="en-GB"/>
        </w:rPr>
        <w:t xml:space="preserve"> </w:t>
      </w:r>
      <w:r w:rsidRPr="00B53995">
        <w:rPr>
          <w:spacing w:val="-2"/>
          <w:kern w:val="22"/>
          <w:lang w:val="en-GB"/>
        </w:rPr>
        <w:t xml:space="preserve">owner was </w:t>
      </w:r>
      <w:r w:rsidR="00615C28" w:rsidRPr="00B53995">
        <w:rPr>
          <w:spacing w:val="-2"/>
          <w:kern w:val="22"/>
          <w:lang w:val="en-GB"/>
        </w:rPr>
        <w:t>un</w:t>
      </w:r>
      <w:r w:rsidRPr="00B53995">
        <w:rPr>
          <w:spacing w:val="-2"/>
          <w:kern w:val="22"/>
          <w:lang w:val="en-GB"/>
        </w:rPr>
        <w:t xml:space="preserve">able to devote </w:t>
      </w:r>
      <w:r w:rsidR="00701A2C">
        <w:rPr>
          <w:spacing w:val="-2"/>
          <w:kern w:val="22"/>
          <w:lang w:val="en-GB"/>
        </w:rPr>
        <w:t>sufficient</w:t>
      </w:r>
      <w:r w:rsidR="00701A2C" w:rsidRPr="00B53995">
        <w:rPr>
          <w:spacing w:val="-2"/>
          <w:kern w:val="22"/>
          <w:lang w:val="en-GB"/>
        </w:rPr>
        <w:t xml:space="preserve"> </w:t>
      </w:r>
      <w:r w:rsidRPr="00B53995">
        <w:rPr>
          <w:spacing w:val="-2"/>
          <w:kern w:val="22"/>
          <w:lang w:val="en-GB"/>
        </w:rPr>
        <w:t xml:space="preserve">time to two counters and </w:t>
      </w:r>
      <w:r w:rsidR="00615C28" w:rsidRPr="00B53995">
        <w:rPr>
          <w:spacing w:val="-2"/>
          <w:kern w:val="22"/>
          <w:lang w:val="en-GB"/>
        </w:rPr>
        <w:t>several</w:t>
      </w:r>
      <w:r w:rsidRPr="00B53995">
        <w:rPr>
          <w:spacing w:val="-2"/>
          <w:kern w:val="22"/>
          <w:lang w:val="en-GB"/>
        </w:rPr>
        <w:t xml:space="preserve"> challenges </w:t>
      </w:r>
      <w:r w:rsidR="00091620" w:rsidRPr="00B53995">
        <w:rPr>
          <w:spacing w:val="-2"/>
          <w:kern w:val="22"/>
          <w:lang w:val="en-GB"/>
        </w:rPr>
        <w:t xml:space="preserve">remained </w:t>
      </w:r>
      <w:r w:rsidRPr="00B53995">
        <w:rPr>
          <w:spacing w:val="-2"/>
          <w:kern w:val="22"/>
          <w:lang w:val="en-GB"/>
        </w:rPr>
        <w:t xml:space="preserve">in the </w:t>
      </w:r>
      <w:r w:rsidR="00D5370B" w:rsidRPr="00B53995">
        <w:rPr>
          <w:spacing w:val="-2"/>
          <w:kern w:val="22"/>
          <w:lang w:val="en-GB"/>
        </w:rPr>
        <w:t xml:space="preserve">company’s </w:t>
      </w:r>
      <w:r w:rsidRPr="00B53995">
        <w:rPr>
          <w:spacing w:val="-2"/>
          <w:kern w:val="22"/>
          <w:lang w:val="en-GB"/>
        </w:rPr>
        <w:t>showroom management.</w:t>
      </w:r>
    </w:p>
    <w:p w14:paraId="564F4627" w14:textId="77777777" w:rsidR="006A218B" w:rsidRPr="00E93126" w:rsidRDefault="006A218B" w:rsidP="006A218B">
      <w:pPr>
        <w:pStyle w:val="BodyTextMain"/>
        <w:rPr>
          <w:sz w:val="18"/>
          <w:szCs w:val="18"/>
          <w:lang w:val="en-GB"/>
        </w:rPr>
      </w:pPr>
    </w:p>
    <w:p w14:paraId="3A432EFE" w14:textId="77777777" w:rsidR="006A218B" w:rsidRPr="00E93126" w:rsidRDefault="006A218B" w:rsidP="006A218B">
      <w:pPr>
        <w:pStyle w:val="BodyTextMain"/>
        <w:rPr>
          <w:sz w:val="18"/>
          <w:szCs w:val="18"/>
          <w:lang w:val="en-GB"/>
        </w:rPr>
      </w:pPr>
    </w:p>
    <w:p w14:paraId="3E6EA489" w14:textId="77777777" w:rsidR="006A218B" w:rsidRPr="00E93126" w:rsidRDefault="006A218B" w:rsidP="00733495">
      <w:pPr>
        <w:pStyle w:val="Casehead2"/>
        <w:outlineLvl w:val="0"/>
        <w:rPr>
          <w:lang w:val="en-GB"/>
        </w:rPr>
      </w:pPr>
      <w:r w:rsidRPr="00E93126">
        <w:rPr>
          <w:lang w:val="en-GB"/>
        </w:rPr>
        <w:t>Abdul</w:t>
      </w:r>
      <w:r w:rsidR="003E7D65" w:rsidRPr="00E93126">
        <w:rPr>
          <w:lang w:val="en-GB"/>
        </w:rPr>
        <w:t xml:space="preserve"> Electronics</w:t>
      </w:r>
    </w:p>
    <w:p w14:paraId="35AAE294" w14:textId="77777777" w:rsidR="006A218B" w:rsidRPr="00E93126" w:rsidRDefault="006A218B" w:rsidP="006A218B">
      <w:pPr>
        <w:pStyle w:val="BodyTextMain"/>
        <w:rPr>
          <w:sz w:val="18"/>
          <w:szCs w:val="18"/>
          <w:lang w:val="en-GB"/>
        </w:rPr>
      </w:pPr>
    </w:p>
    <w:p w14:paraId="77C31430" w14:textId="31A5E041" w:rsidR="006A218B" w:rsidRPr="00B53995" w:rsidRDefault="00130AD8" w:rsidP="006A218B">
      <w:pPr>
        <w:pStyle w:val="BodyTextMain"/>
        <w:rPr>
          <w:spacing w:val="-2"/>
          <w:kern w:val="22"/>
          <w:lang w:val="en-GB"/>
        </w:rPr>
      </w:pPr>
      <w:r w:rsidRPr="00B53995">
        <w:rPr>
          <w:spacing w:val="-2"/>
          <w:kern w:val="22"/>
          <w:lang w:val="en-GB"/>
        </w:rPr>
        <w:t xml:space="preserve">In 1991, </w:t>
      </w:r>
      <w:r w:rsidR="00BC426A" w:rsidRPr="00B53995">
        <w:rPr>
          <w:spacing w:val="-2"/>
          <w:kern w:val="22"/>
          <w:lang w:val="en-GB"/>
        </w:rPr>
        <w:t xml:space="preserve">Haroon Rashid started </w:t>
      </w:r>
      <w:proofErr w:type="spellStart"/>
      <w:r w:rsidR="00BC426A" w:rsidRPr="00B53995">
        <w:rPr>
          <w:spacing w:val="-2"/>
          <w:kern w:val="22"/>
          <w:lang w:val="en-GB"/>
        </w:rPr>
        <w:t>Adil</w:t>
      </w:r>
      <w:proofErr w:type="spellEnd"/>
      <w:r w:rsidR="00BC426A" w:rsidRPr="00B53995">
        <w:rPr>
          <w:spacing w:val="-2"/>
          <w:kern w:val="22"/>
          <w:lang w:val="en-GB"/>
        </w:rPr>
        <w:t xml:space="preserve"> Electronics</w:t>
      </w:r>
      <w:r w:rsidR="006A218B" w:rsidRPr="00B53995">
        <w:rPr>
          <w:spacing w:val="-2"/>
          <w:kern w:val="22"/>
          <w:lang w:val="en-GB"/>
        </w:rPr>
        <w:t xml:space="preserve"> in </w:t>
      </w:r>
      <w:r w:rsidR="00E45E7F" w:rsidRPr="00B53995">
        <w:rPr>
          <w:spacing w:val="-2"/>
          <w:kern w:val="22"/>
          <w:lang w:val="en-GB"/>
        </w:rPr>
        <w:t xml:space="preserve">the </w:t>
      </w:r>
      <w:proofErr w:type="spellStart"/>
      <w:r w:rsidR="006A218B" w:rsidRPr="00B53995">
        <w:rPr>
          <w:spacing w:val="-2"/>
          <w:kern w:val="22"/>
          <w:lang w:val="en-GB"/>
        </w:rPr>
        <w:t>Ubud</w:t>
      </w:r>
      <w:proofErr w:type="spellEnd"/>
      <w:r w:rsidR="006A218B" w:rsidRPr="00B53995">
        <w:rPr>
          <w:spacing w:val="-2"/>
          <w:kern w:val="22"/>
          <w:lang w:val="en-GB"/>
        </w:rPr>
        <w:t xml:space="preserve"> district of Bali</w:t>
      </w:r>
      <w:r w:rsidRPr="00B53995">
        <w:rPr>
          <w:spacing w:val="-2"/>
          <w:kern w:val="22"/>
          <w:lang w:val="en-GB"/>
        </w:rPr>
        <w:t>,</w:t>
      </w:r>
      <w:r w:rsidR="006A218B" w:rsidRPr="00B53995">
        <w:rPr>
          <w:spacing w:val="-2"/>
          <w:kern w:val="22"/>
          <w:lang w:val="en-GB"/>
        </w:rPr>
        <w:t xml:space="preserve"> as a distributor of </w:t>
      </w:r>
      <w:proofErr w:type="spellStart"/>
      <w:r w:rsidR="006A218B" w:rsidRPr="00B53995">
        <w:rPr>
          <w:spacing w:val="-2"/>
          <w:kern w:val="22"/>
          <w:lang w:val="en-GB"/>
        </w:rPr>
        <w:t>Fairdeal</w:t>
      </w:r>
      <w:proofErr w:type="spellEnd"/>
      <w:r w:rsidR="006A218B" w:rsidRPr="00B53995">
        <w:rPr>
          <w:spacing w:val="-2"/>
          <w:kern w:val="22"/>
          <w:lang w:val="en-GB"/>
        </w:rPr>
        <w:t xml:space="preserve"> air conditioners. His business grew exponentially over the next few years because of his commitment to developing customer loyalty through good service to the retailers and consumers, </w:t>
      </w:r>
      <w:r w:rsidR="00A748B9">
        <w:rPr>
          <w:spacing w:val="-2"/>
          <w:kern w:val="22"/>
          <w:lang w:val="en-GB"/>
        </w:rPr>
        <w:t xml:space="preserve">as well as his </w:t>
      </w:r>
      <w:r w:rsidR="006A218B" w:rsidRPr="00B53995">
        <w:rPr>
          <w:spacing w:val="-2"/>
          <w:kern w:val="22"/>
          <w:lang w:val="en-GB"/>
        </w:rPr>
        <w:t xml:space="preserve">tremendous hard work, good business sense, and support of </w:t>
      </w:r>
      <w:proofErr w:type="spellStart"/>
      <w:r w:rsidR="006A218B" w:rsidRPr="00B53995">
        <w:rPr>
          <w:spacing w:val="-2"/>
          <w:kern w:val="22"/>
          <w:lang w:val="en-GB"/>
        </w:rPr>
        <w:t>Fairdeal</w:t>
      </w:r>
      <w:proofErr w:type="spellEnd"/>
      <w:r w:rsidR="006A218B" w:rsidRPr="00B53995">
        <w:rPr>
          <w:spacing w:val="-2"/>
          <w:kern w:val="22"/>
          <w:lang w:val="en-GB"/>
        </w:rPr>
        <w:t xml:space="preserve">. In </w:t>
      </w:r>
      <w:proofErr w:type="spellStart"/>
      <w:r w:rsidR="006A218B" w:rsidRPr="00B53995">
        <w:rPr>
          <w:spacing w:val="-2"/>
          <w:kern w:val="22"/>
          <w:lang w:val="en-GB"/>
        </w:rPr>
        <w:t>Ubud</w:t>
      </w:r>
      <w:proofErr w:type="spellEnd"/>
      <w:r w:rsidR="006A218B" w:rsidRPr="00B53995">
        <w:rPr>
          <w:spacing w:val="-2"/>
          <w:kern w:val="22"/>
          <w:lang w:val="en-GB"/>
        </w:rPr>
        <w:t xml:space="preserve">, </w:t>
      </w:r>
      <w:proofErr w:type="spellStart"/>
      <w:r w:rsidR="006A218B" w:rsidRPr="00B53995">
        <w:rPr>
          <w:spacing w:val="-2"/>
          <w:kern w:val="22"/>
          <w:lang w:val="en-GB"/>
        </w:rPr>
        <w:t>Adil</w:t>
      </w:r>
      <w:proofErr w:type="spellEnd"/>
      <w:r w:rsidR="006A218B" w:rsidRPr="00B53995">
        <w:rPr>
          <w:spacing w:val="-2"/>
          <w:kern w:val="22"/>
          <w:lang w:val="en-GB"/>
        </w:rPr>
        <w:t xml:space="preserve"> Electronics also had a retail outlet, which had grown from 1991 to 2007 by selling </w:t>
      </w:r>
      <w:proofErr w:type="spellStart"/>
      <w:r w:rsidR="006A218B" w:rsidRPr="00B53995">
        <w:rPr>
          <w:spacing w:val="-2"/>
          <w:kern w:val="22"/>
          <w:lang w:val="en-GB"/>
        </w:rPr>
        <w:t>Fairdeal</w:t>
      </w:r>
      <w:proofErr w:type="spellEnd"/>
      <w:r w:rsidR="006A218B" w:rsidRPr="00B53995">
        <w:rPr>
          <w:spacing w:val="-2"/>
          <w:kern w:val="22"/>
          <w:lang w:val="en-GB"/>
        </w:rPr>
        <w:t xml:space="preserve"> air conditioners and washing machines</w:t>
      </w:r>
      <w:r w:rsidR="00A748B9" w:rsidRPr="00A748B9">
        <w:rPr>
          <w:spacing w:val="-2"/>
          <w:kern w:val="22"/>
          <w:lang w:val="en-GB"/>
        </w:rPr>
        <w:t xml:space="preserve"> </w:t>
      </w:r>
      <w:r w:rsidR="00A748B9" w:rsidRPr="00B53995">
        <w:rPr>
          <w:spacing w:val="-2"/>
          <w:kern w:val="22"/>
          <w:lang w:val="en-GB"/>
        </w:rPr>
        <w:t>exclusively</w:t>
      </w:r>
      <w:r w:rsidR="006A218B" w:rsidRPr="00B53995">
        <w:rPr>
          <w:spacing w:val="-2"/>
          <w:kern w:val="22"/>
          <w:lang w:val="en-GB"/>
        </w:rPr>
        <w:t xml:space="preserve">. </w:t>
      </w:r>
      <w:r w:rsidR="004F1552">
        <w:rPr>
          <w:spacing w:val="-2"/>
          <w:kern w:val="22"/>
          <w:lang w:val="en-GB"/>
        </w:rPr>
        <w:t>Since 2007</w:t>
      </w:r>
      <w:r w:rsidR="006A218B" w:rsidRPr="00B53995">
        <w:rPr>
          <w:spacing w:val="-2"/>
          <w:kern w:val="22"/>
          <w:lang w:val="en-GB"/>
        </w:rPr>
        <w:t xml:space="preserve">, due to consumer demand, </w:t>
      </w:r>
      <w:proofErr w:type="spellStart"/>
      <w:r w:rsidR="00F56455" w:rsidRPr="00B53995">
        <w:rPr>
          <w:spacing w:val="-2"/>
          <w:kern w:val="22"/>
          <w:lang w:val="en-GB"/>
        </w:rPr>
        <w:t>Adil</w:t>
      </w:r>
      <w:proofErr w:type="spellEnd"/>
      <w:r w:rsidR="00720109" w:rsidRPr="00B53995">
        <w:rPr>
          <w:spacing w:val="-2"/>
          <w:kern w:val="22"/>
          <w:lang w:val="en-GB"/>
        </w:rPr>
        <w:t xml:space="preserve"> Electronics </w:t>
      </w:r>
      <w:r w:rsidR="006A218B" w:rsidRPr="00B53995">
        <w:rPr>
          <w:spacing w:val="-2"/>
          <w:kern w:val="22"/>
          <w:lang w:val="en-GB"/>
        </w:rPr>
        <w:t xml:space="preserve">had added other brands to </w:t>
      </w:r>
      <w:r w:rsidR="00720109" w:rsidRPr="00B53995">
        <w:rPr>
          <w:spacing w:val="-2"/>
          <w:kern w:val="22"/>
          <w:lang w:val="en-GB"/>
        </w:rPr>
        <w:t xml:space="preserve">its </w:t>
      </w:r>
      <w:r w:rsidR="006A218B" w:rsidRPr="00B53995">
        <w:rPr>
          <w:spacing w:val="-2"/>
          <w:kern w:val="22"/>
          <w:lang w:val="en-GB"/>
        </w:rPr>
        <w:t xml:space="preserve">product portfolio. However, </w:t>
      </w:r>
      <w:r w:rsidR="00720109" w:rsidRPr="00B53995">
        <w:rPr>
          <w:spacing w:val="-2"/>
          <w:kern w:val="22"/>
          <w:lang w:val="en-GB"/>
        </w:rPr>
        <w:t xml:space="preserve">its </w:t>
      </w:r>
      <w:r w:rsidR="006A218B" w:rsidRPr="00B53995">
        <w:rPr>
          <w:spacing w:val="-2"/>
          <w:kern w:val="22"/>
          <w:lang w:val="en-GB"/>
        </w:rPr>
        <w:t xml:space="preserve">distribution business was still exclusive to </w:t>
      </w:r>
      <w:proofErr w:type="spellStart"/>
      <w:r w:rsidR="006A218B" w:rsidRPr="00B53995">
        <w:rPr>
          <w:spacing w:val="-2"/>
          <w:kern w:val="22"/>
          <w:lang w:val="en-GB"/>
        </w:rPr>
        <w:t>Fairdeal</w:t>
      </w:r>
      <w:proofErr w:type="spellEnd"/>
      <w:r w:rsidR="00F56455" w:rsidRPr="00B53995">
        <w:rPr>
          <w:spacing w:val="-2"/>
          <w:kern w:val="22"/>
          <w:lang w:val="en-GB"/>
        </w:rPr>
        <w:t>.</w:t>
      </w:r>
      <w:r w:rsidR="006A218B" w:rsidRPr="00B53995">
        <w:rPr>
          <w:spacing w:val="-2"/>
          <w:kern w:val="22"/>
          <w:lang w:val="en-GB"/>
        </w:rPr>
        <w:t xml:space="preserve"> </w:t>
      </w:r>
      <w:r w:rsidRPr="00B53995">
        <w:rPr>
          <w:spacing w:val="-2"/>
          <w:kern w:val="22"/>
          <w:lang w:val="en-GB"/>
        </w:rPr>
        <w:t>I</w:t>
      </w:r>
      <w:r w:rsidR="00F56455" w:rsidRPr="00B53995">
        <w:rPr>
          <w:spacing w:val="-2"/>
          <w:kern w:val="22"/>
          <w:lang w:val="en-GB"/>
        </w:rPr>
        <w:t xml:space="preserve">t </w:t>
      </w:r>
      <w:r w:rsidR="00A537A8" w:rsidRPr="00B53995">
        <w:rPr>
          <w:spacing w:val="-2"/>
          <w:kern w:val="22"/>
          <w:lang w:val="en-GB"/>
        </w:rPr>
        <w:t xml:space="preserve">sold 3,500 </w:t>
      </w:r>
      <w:r w:rsidR="006A218B" w:rsidRPr="00B53995">
        <w:rPr>
          <w:spacing w:val="-2"/>
          <w:kern w:val="22"/>
          <w:lang w:val="en-GB"/>
        </w:rPr>
        <w:t>air conditioner units in 2017</w:t>
      </w:r>
      <w:r w:rsidR="00F56455" w:rsidRPr="00B53995">
        <w:rPr>
          <w:spacing w:val="-2"/>
          <w:kern w:val="22"/>
          <w:lang w:val="en-GB"/>
        </w:rPr>
        <w:t xml:space="preserve">, and </w:t>
      </w:r>
      <w:r w:rsidR="006A218B" w:rsidRPr="00B53995">
        <w:rPr>
          <w:spacing w:val="-2"/>
          <w:kern w:val="22"/>
          <w:lang w:val="en-GB"/>
        </w:rPr>
        <w:t xml:space="preserve">had shown a steady year-on-year growth of </w:t>
      </w:r>
      <w:r w:rsidR="00720109" w:rsidRPr="00B53995">
        <w:rPr>
          <w:spacing w:val="-2"/>
          <w:kern w:val="22"/>
          <w:lang w:val="en-GB"/>
        </w:rPr>
        <w:t xml:space="preserve">5 </w:t>
      </w:r>
      <w:r w:rsidR="006A218B" w:rsidRPr="00B53995">
        <w:rPr>
          <w:spacing w:val="-2"/>
          <w:kern w:val="22"/>
          <w:lang w:val="en-GB"/>
        </w:rPr>
        <w:t>per</w:t>
      </w:r>
      <w:r w:rsidR="00720109" w:rsidRPr="00B53995">
        <w:rPr>
          <w:spacing w:val="-2"/>
          <w:kern w:val="22"/>
          <w:lang w:val="en-GB"/>
        </w:rPr>
        <w:t xml:space="preserve"> </w:t>
      </w:r>
      <w:r w:rsidR="006A218B" w:rsidRPr="00B53995">
        <w:rPr>
          <w:spacing w:val="-2"/>
          <w:kern w:val="22"/>
          <w:lang w:val="en-GB"/>
        </w:rPr>
        <w:t xml:space="preserve">cent </w:t>
      </w:r>
      <w:r w:rsidR="00A748B9">
        <w:rPr>
          <w:spacing w:val="-2"/>
          <w:kern w:val="22"/>
          <w:lang w:val="en-GB"/>
        </w:rPr>
        <w:t>since 201</w:t>
      </w:r>
      <w:r w:rsidR="005A5017">
        <w:rPr>
          <w:spacing w:val="-2"/>
          <w:kern w:val="22"/>
          <w:lang w:val="en-GB"/>
        </w:rPr>
        <w:t>2</w:t>
      </w:r>
      <w:r w:rsidR="006A218B" w:rsidRPr="00B53995">
        <w:rPr>
          <w:spacing w:val="-2"/>
          <w:kern w:val="22"/>
          <w:lang w:val="en-GB"/>
        </w:rPr>
        <w:t>.</w:t>
      </w:r>
    </w:p>
    <w:p w14:paraId="11EA8022" w14:textId="77777777" w:rsidR="006A218B" w:rsidRPr="00E93126" w:rsidRDefault="006A218B" w:rsidP="006A218B">
      <w:pPr>
        <w:pStyle w:val="BodyTextMain"/>
        <w:rPr>
          <w:lang w:val="en-GB"/>
        </w:rPr>
      </w:pPr>
    </w:p>
    <w:p w14:paraId="6C425438" w14:textId="77777777" w:rsidR="006A218B" w:rsidRPr="00E93126" w:rsidRDefault="00B9284E" w:rsidP="006A218B">
      <w:pPr>
        <w:pStyle w:val="BodyTextMain"/>
        <w:rPr>
          <w:lang w:val="en-GB"/>
        </w:rPr>
      </w:pPr>
      <w:r>
        <w:rPr>
          <w:lang w:val="en-GB"/>
        </w:rPr>
        <w:t>Rashid’s</w:t>
      </w:r>
      <w:r w:rsidR="006A218B" w:rsidRPr="00E93126">
        <w:rPr>
          <w:lang w:val="en-GB"/>
        </w:rPr>
        <w:t xml:space="preserve"> ambition was </w:t>
      </w:r>
      <w:r w:rsidR="007324A0" w:rsidRPr="00E93126">
        <w:rPr>
          <w:lang w:val="en-GB"/>
        </w:rPr>
        <w:t xml:space="preserve">for </w:t>
      </w:r>
      <w:r w:rsidR="00F56455" w:rsidRPr="00E93126">
        <w:rPr>
          <w:lang w:val="en-GB"/>
        </w:rPr>
        <w:t>his company</w:t>
      </w:r>
      <w:r w:rsidR="007324A0" w:rsidRPr="00E93126">
        <w:rPr>
          <w:lang w:val="en-GB"/>
        </w:rPr>
        <w:t xml:space="preserve"> </w:t>
      </w:r>
      <w:r w:rsidR="006A218B" w:rsidRPr="00E93126">
        <w:rPr>
          <w:lang w:val="en-GB"/>
        </w:rPr>
        <w:t xml:space="preserve">to become as </w:t>
      </w:r>
      <w:r w:rsidR="007C3834">
        <w:rPr>
          <w:lang w:val="en-GB"/>
        </w:rPr>
        <w:t xml:space="preserve">large </w:t>
      </w:r>
      <w:r w:rsidR="006A218B" w:rsidRPr="00E93126">
        <w:rPr>
          <w:lang w:val="en-GB"/>
        </w:rPr>
        <w:t xml:space="preserve">as </w:t>
      </w:r>
      <w:proofErr w:type="spellStart"/>
      <w:r w:rsidR="006A218B" w:rsidRPr="00E93126">
        <w:rPr>
          <w:lang w:val="en-GB"/>
        </w:rPr>
        <w:t>Induapp</w:t>
      </w:r>
      <w:proofErr w:type="spellEnd"/>
      <w:r w:rsidR="006A218B" w:rsidRPr="00E93126">
        <w:rPr>
          <w:lang w:val="en-GB"/>
        </w:rPr>
        <w:t xml:space="preserve"> in </w:t>
      </w:r>
      <w:r w:rsidR="00E45E7F" w:rsidRPr="00E93126">
        <w:rPr>
          <w:lang w:val="en-GB"/>
        </w:rPr>
        <w:t xml:space="preserve">the </w:t>
      </w:r>
      <w:r w:rsidR="006A218B" w:rsidRPr="00E93126">
        <w:rPr>
          <w:lang w:val="en-GB"/>
        </w:rPr>
        <w:t>Denpasar market. Hence, he handed over the distribut</w:t>
      </w:r>
      <w:r w:rsidR="00E45E7F" w:rsidRPr="00E93126">
        <w:rPr>
          <w:lang w:val="en-GB"/>
        </w:rPr>
        <w:t xml:space="preserve">ion at </w:t>
      </w:r>
      <w:proofErr w:type="spellStart"/>
      <w:r w:rsidR="00E45E7F" w:rsidRPr="00E93126">
        <w:rPr>
          <w:lang w:val="en-GB"/>
        </w:rPr>
        <w:t>Ubud</w:t>
      </w:r>
      <w:proofErr w:type="spellEnd"/>
      <w:r w:rsidR="00E45E7F" w:rsidRPr="00E93126">
        <w:rPr>
          <w:lang w:val="en-GB"/>
        </w:rPr>
        <w:t xml:space="preserve"> to his brother </w:t>
      </w:r>
      <w:r w:rsidR="006A218B" w:rsidRPr="00E93126">
        <w:rPr>
          <w:lang w:val="en-GB"/>
        </w:rPr>
        <w:t xml:space="preserve">and shifted to Denpasar to build up his retail business. He set up </w:t>
      </w:r>
      <w:r w:rsidR="00E64D3A" w:rsidRPr="00E93126">
        <w:rPr>
          <w:lang w:val="en-GB"/>
        </w:rPr>
        <w:t xml:space="preserve">the company’s </w:t>
      </w:r>
      <w:r w:rsidR="006A218B" w:rsidRPr="00E93126">
        <w:rPr>
          <w:lang w:val="en-GB"/>
        </w:rPr>
        <w:t>first retail outlet</w:t>
      </w:r>
      <w:r w:rsidR="00F56455" w:rsidRPr="00E93126">
        <w:rPr>
          <w:lang w:val="en-GB"/>
        </w:rPr>
        <w:t>,</w:t>
      </w:r>
      <w:r w:rsidR="006A218B" w:rsidRPr="00E93126">
        <w:rPr>
          <w:lang w:val="en-GB"/>
        </w:rPr>
        <w:t xml:space="preserve"> </w:t>
      </w:r>
      <w:r w:rsidR="00F56455" w:rsidRPr="00E93126">
        <w:rPr>
          <w:lang w:val="en-GB"/>
        </w:rPr>
        <w:t>Abdul,</w:t>
      </w:r>
      <w:r w:rsidR="006A218B" w:rsidRPr="00E93126">
        <w:rPr>
          <w:lang w:val="en-GB"/>
        </w:rPr>
        <w:t xml:space="preserve"> in </w:t>
      </w:r>
      <w:r w:rsidR="00E64D3A" w:rsidRPr="00E93126">
        <w:rPr>
          <w:lang w:val="en-GB"/>
        </w:rPr>
        <w:t xml:space="preserve">Denpasar’s </w:t>
      </w:r>
      <w:r w:rsidR="006A218B" w:rsidRPr="00E93126">
        <w:rPr>
          <w:lang w:val="en-GB"/>
        </w:rPr>
        <w:t>high</w:t>
      </w:r>
      <w:r w:rsidR="00E64D3A" w:rsidRPr="00E93126">
        <w:rPr>
          <w:lang w:val="en-GB"/>
        </w:rPr>
        <w:t>-</w:t>
      </w:r>
      <w:r w:rsidR="006A218B" w:rsidRPr="00E93126">
        <w:rPr>
          <w:lang w:val="en-GB"/>
        </w:rPr>
        <w:t xml:space="preserve">potential Santa Modern </w:t>
      </w:r>
      <w:r w:rsidR="00F56455" w:rsidRPr="00E93126">
        <w:rPr>
          <w:lang w:val="en-GB"/>
        </w:rPr>
        <w:t xml:space="preserve">Market </w:t>
      </w:r>
      <w:r w:rsidR="006A218B" w:rsidRPr="00E93126">
        <w:rPr>
          <w:lang w:val="en-GB"/>
        </w:rPr>
        <w:t xml:space="preserve">in 2006, as an independent dealer of </w:t>
      </w:r>
      <w:proofErr w:type="spellStart"/>
      <w:r w:rsidR="006A218B" w:rsidRPr="00E93126">
        <w:rPr>
          <w:lang w:val="en-GB"/>
        </w:rPr>
        <w:t>Fairdeal</w:t>
      </w:r>
      <w:proofErr w:type="spellEnd"/>
      <w:r w:rsidR="006A218B" w:rsidRPr="00E93126">
        <w:rPr>
          <w:lang w:val="en-GB"/>
        </w:rPr>
        <w:t xml:space="preserve">. </w:t>
      </w:r>
    </w:p>
    <w:p w14:paraId="47A5C734" w14:textId="77777777" w:rsidR="006A218B" w:rsidRPr="00E93126" w:rsidRDefault="006A218B" w:rsidP="006A218B">
      <w:pPr>
        <w:pStyle w:val="BodyTextMain"/>
        <w:rPr>
          <w:lang w:val="en-GB"/>
        </w:rPr>
      </w:pPr>
    </w:p>
    <w:p w14:paraId="3DD7EE3B" w14:textId="77777777" w:rsidR="006A218B" w:rsidRPr="00E93126" w:rsidRDefault="004F1552" w:rsidP="006A218B">
      <w:pPr>
        <w:pStyle w:val="BodyTextMain"/>
        <w:rPr>
          <w:lang w:val="en-GB"/>
        </w:rPr>
      </w:pPr>
      <w:r>
        <w:rPr>
          <w:lang w:val="en-GB"/>
        </w:rPr>
        <w:t>Since 2008</w:t>
      </w:r>
      <w:r w:rsidR="006A218B" w:rsidRPr="00E93126">
        <w:rPr>
          <w:lang w:val="en-GB"/>
        </w:rPr>
        <w:t xml:space="preserve">, Abdul had been able to generate </w:t>
      </w:r>
      <w:r w:rsidR="00042D28">
        <w:rPr>
          <w:lang w:val="en-GB"/>
        </w:rPr>
        <w:t>significant</w:t>
      </w:r>
      <w:r w:rsidR="006A218B" w:rsidRPr="00E93126">
        <w:rPr>
          <w:lang w:val="en-GB"/>
        </w:rPr>
        <w:t xml:space="preserve"> retail sale</w:t>
      </w:r>
      <w:r w:rsidR="00F56455" w:rsidRPr="00E93126">
        <w:rPr>
          <w:lang w:val="en-GB"/>
        </w:rPr>
        <w:t>s</w:t>
      </w:r>
      <w:r w:rsidR="006A218B" w:rsidRPr="00E93126">
        <w:rPr>
          <w:lang w:val="en-GB"/>
        </w:rPr>
        <w:t xml:space="preserve"> in Denpasar by offering customers good prices, quality selling</w:t>
      </w:r>
      <w:r w:rsidR="00E64D3A" w:rsidRPr="00E93126">
        <w:rPr>
          <w:lang w:val="en-GB"/>
        </w:rPr>
        <w:t>,</w:t>
      </w:r>
      <w:r w:rsidR="006A218B" w:rsidRPr="00E93126">
        <w:rPr>
          <w:lang w:val="en-GB"/>
        </w:rPr>
        <w:t xml:space="preserve"> and personalized service. </w:t>
      </w:r>
      <w:r w:rsidR="007C3834">
        <w:rPr>
          <w:lang w:val="en-GB"/>
        </w:rPr>
        <w:t xml:space="preserve">Moreover, </w:t>
      </w:r>
      <w:r w:rsidR="006A218B" w:rsidRPr="00E93126">
        <w:rPr>
          <w:lang w:val="en-GB"/>
        </w:rPr>
        <w:t xml:space="preserve">Abdul had been supported by most of the appliance and electronics companies because it </w:t>
      </w:r>
      <w:r w:rsidR="00F56455" w:rsidRPr="00E93126">
        <w:rPr>
          <w:lang w:val="en-GB"/>
        </w:rPr>
        <w:t>provided</w:t>
      </w:r>
      <w:r w:rsidR="006A218B" w:rsidRPr="00E93126">
        <w:rPr>
          <w:lang w:val="en-GB"/>
        </w:rPr>
        <w:t xml:space="preserve"> good competition to </w:t>
      </w:r>
      <w:proofErr w:type="spellStart"/>
      <w:r w:rsidR="006A218B" w:rsidRPr="00E93126">
        <w:rPr>
          <w:lang w:val="en-GB"/>
        </w:rPr>
        <w:t>Induapp</w:t>
      </w:r>
      <w:proofErr w:type="spellEnd"/>
      <w:r w:rsidR="006A218B" w:rsidRPr="00E93126">
        <w:rPr>
          <w:lang w:val="en-GB"/>
        </w:rPr>
        <w:t xml:space="preserve">. Rashid had high </w:t>
      </w:r>
      <w:r w:rsidR="00F56455" w:rsidRPr="00E93126">
        <w:rPr>
          <w:lang w:val="en-GB"/>
        </w:rPr>
        <w:t xml:space="preserve">personal </w:t>
      </w:r>
      <w:r w:rsidR="006A218B" w:rsidRPr="00E93126">
        <w:rPr>
          <w:lang w:val="en-GB"/>
        </w:rPr>
        <w:t xml:space="preserve">credibility as a reliable partner in terms of </w:t>
      </w:r>
      <w:r w:rsidR="00F56455" w:rsidRPr="00E93126">
        <w:rPr>
          <w:lang w:val="en-GB"/>
        </w:rPr>
        <w:t xml:space="preserve">his financial </w:t>
      </w:r>
      <w:r w:rsidR="006A218B" w:rsidRPr="00E93126">
        <w:rPr>
          <w:lang w:val="en-GB"/>
        </w:rPr>
        <w:t xml:space="preserve">and sales commitments. The entire appliance trade perceived that Abdul would never default on payments and </w:t>
      </w:r>
      <w:r w:rsidR="007C3834">
        <w:rPr>
          <w:lang w:val="en-GB"/>
        </w:rPr>
        <w:t>thus</w:t>
      </w:r>
      <w:r w:rsidR="006A218B" w:rsidRPr="00E93126">
        <w:rPr>
          <w:lang w:val="en-GB"/>
        </w:rPr>
        <w:t xml:space="preserve">, </w:t>
      </w:r>
      <w:r w:rsidR="00F56455" w:rsidRPr="00E93126">
        <w:rPr>
          <w:lang w:val="en-GB"/>
        </w:rPr>
        <w:t>other</w:t>
      </w:r>
      <w:r w:rsidR="007C3834">
        <w:rPr>
          <w:lang w:val="en-GB"/>
        </w:rPr>
        <w:t xml:space="preserve"> firm</w:t>
      </w:r>
      <w:r w:rsidR="00F56455" w:rsidRPr="00E93126">
        <w:rPr>
          <w:lang w:val="en-GB"/>
        </w:rPr>
        <w:t xml:space="preserve">s confidently </w:t>
      </w:r>
      <w:r w:rsidR="006A218B" w:rsidRPr="00E93126">
        <w:rPr>
          <w:lang w:val="en-GB"/>
        </w:rPr>
        <w:t>offered extra credit for extended period</w:t>
      </w:r>
      <w:r w:rsidR="00F56455" w:rsidRPr="00E93126">
        <w:rPr>
          <w:lang w:val="en-GB"/>
        </w:rPr>
        <w:t>s</w:t>
      </w:r>
      <w:r w:rsidR="006A218B" w:rsidRPr="00E93126">
        <w:rPr>
          <w:lang w:val="en-GB"/>
        </w:rPr>
        <w:t xml:space="preserve"> to Abdul </w:t>
      </w:r>
      <w:r w:rsidR="00F56455" w:rsidRPr="00E93126">
        <w:rPr>
          <w:lang w:val="en-GB"/>
        </w:rPr>
        <w:t>when</w:t>
      </w:r>
      <w:r w:rsidR="006A218B" w:rsidRPr="00E93126">
        <w:rPr>
          <w:lang w:val="en-GB"/>
        </w:rPr>
        <w:t xml:space="preserve"> required.</w:t>
      </w:r>
    </w:p>
    <w:p w14:paraId="1FDB2D32" w14:textId="77777777" w:rsidR="006A218B" w:rsidRPr="00E93126" w:rsidRDefault="006A218B" w:rsidP="006A218B">
      <w:pPr>
        <w:pStyle w:val="BodyTextMain"/>
        <w:rPr>
          <w:lang w:val="en-GB"/>
        </w:rPr>
      </w:pPr>
    </w:p>
    <w:p w14:paraId="36618FE3" w14:textId="77777777" w:rsidR="006A218B" w:rsidRPr="00E93126" w:rsidRDefault="006A218B" w:rsidP="006A218B">
      <w:pPr>
        <w:pStyle w:val="BodyTextMain"/>
        <w:rPr>
          <w:lang w:val="en-GB"/>
        </w:rPr>
      </w:pPr>
      <w:r w:rsidRPr="00E93126">
        <w:rPr>
          <w:lang w:val="en-GB"/>
        </w:rPr>
        <w:t>Abdul started its Denpasar operations as a multi</w:t>
      </w:r>
      <w:r w:rsidR="00E64D3A" w:rsidRPr="00E93126">
        <w:rPr>
          <w:lang w:val="en-GB"/>
        </w:rPr>
        <w:t>-</w:t>
      </w:r>
      <w:r w:rsidRPr="00E93126">
        <w:rPr>
          <w:lang w:val="en-GB"/>
        </w:rPr>
        <w:t>brand and multi</w:t>
      </w:r>
      <w:r w:rsidR="00E64D3A" w:rsidRPr="00E93126">
        <w:rPr>
          <w:lang w:val="en-GB"/>
        </w:rPr>
        <w:t>-</w:t>
      </w:r>
      <w:r w:rsidRPr="00E93126">
        <w:rPr>
          <w:lang w:val="en-GB"/>
        </w:rPr>
        <w:t xml:space="preserve">product outlet. </w:t>
      </w:r>
      <w:r w:rsidR="00B9284E">
        <w:rPr>
          <w:lang w:val="en-GB"/>
        </w:rPr>
        <w:t xml:space="preserve">Rashid </w:t>
      </w:r>
      <w:r w:rsidRPr="00E93126">
        <w:rPr>
          <w:lang w:val="en-GB"/>
        </w:rPr>
        <w:t xml:space="preserve">had been able to convince </w:t>
      </w:r>
      <w:proofErr w:type="spellStart"/>
      <w:r w:rsidRPr="00E93126">
        <w:rPr>
          <w:lang w:val="en-GB"/>
        </w:rPr>
        <w:t>Fairdeal</w:t>
      </w:r>
      <w:r w:rsidR="00E64D3A" w:rsidRPr="00E93126">
        <w:rPr>
          <w:lang w:val="en-GB"/>
        </w:rPr>
        <w:t>’s</w:t>
      </w:r>
      <w:proofErr w:type="spellEnd"/>
      <w:r w:rsidRPr="00E93126">
        <w:rPr>
          <w:lang w:val="en-GB"/>
        </w:rPr>
        <w:t xml:space="preserve"> sales team that he needed to deal with GOLDY and Smart Line</w:t>
      </w:r>
      <w:r w:rsidR="008C4E84">
        <w:rPr>
          <w:lang w:val="en-GB"/>
        </w:rPr>
        <w:t xml:space="preserve"> for</w:t>
      </w:r>
      <w:r w:rsidRPr="00E93126">
        <w:rPr>
          <w:lang w:val="en-GB"/>
        </w:rPr>
        <w:t xml:space="preserve"> air conditioners</w:t>
      </w:r>
      <w:r w:rsidR="00F56455" w:rsidRPr="00E93126">
        <w:rPr>
          <w:lang w:val="en-GB"/>
        </w:rPr>
        <w:t>,</w:t>
      </w:r>
      <w:r w:rsidRPr="00E93126">
        <w:rPr>
          <w:lang w:val="en-GB"/>
        </w:rPr>
        <w:t xml:space="preserve"> as those companies would not </w:t>
      </w:r>
      <w:r w:rsidR="00F56455" w:rsidRPr="00E93126">
        <w:rPr>
          <w:lang w:val="en-GB"/>
        </w:rPr>
        <w:t xml:space="preserve">allow </w:t>
      </w:r>
      <w:r w:rsidRPr="00E93126">
        <w:rPr>
          <w:lang w:val="en-GB"/>
        </w:rPr>
        <w:t xml:space="preserve">him </w:t>
      </w:r>
      <w:r w:rsidR="00F56455" w:rsidRPr="00E93126">
        <w:rPr>
          <w:lang w:val="en-GB"/>
        </w:rPr>
        <w:t xml:space="preserve">to sell their </w:t>
      </w:r>
      <w:r w:rsidRPr="00E93126">
        <w:rPr>
          <w:lang w:val="en-GB"/>
        </w:rPr>
        <w:t xml:space="preserve">televisions unless he also sold their air conditioners. However, he continued focusing on </w:t>
      </w:r>
      <w:proofErr w:type="spellStart"/>
      <w:r w:rsidRPr="00E93126">
        <w:rPr>
          <w:lang w:val="en-GB"/>
        </w:rPr>
        <w:t>Fairdeal</w:t>
      </w:r>
      <w:proofErr w:type="spellEnd"/>
      <w:r w:rsidRPr="00E93126">
        <w:rPr>
          <w:lang w:val="en-GB"/>
        </w:rPr>
        <w:t xml:space="preserve"> air conditioners over the years </w:t>
      </w:r>
      <w:r w:rsidR="00F56455" w:rsidRPr="00E93126">
        <w:rPr>
          <w:lang w:val="en-GB"/>
        </w:rPr>
        <w:t>for</w:t>
      </w:r>
      <w:r w:rsidRPr="00E93126">
        <w:rPr>
          <w:lang w:val="en-GB"/>
        </w:rPr>
        <w:t xml:space="preserve"> three reasons</w:t>
      </w:r>
      <w:r w:rsidR="008C4E84">
        <w:rPr>
          <w:lang w:val="en-GB"/>
        </w:rPr>
        <w:t>:</w:t>
      </w:r>
      <w:r w:rsidRPr="00E93126">
        <w:rPr>
          <w:lang w:val="en-GB"/>
        </w:rPr>
        <w:t xml:space="preserve"> </w:t>
      </w:r>
      <w:r w:rsidR="008C4E84">
        <w:rPr>
          <w:lang w:val="en-GB"/>
        </w:rPr>
        <w:t>t</w:t>
      </w:r>
      <w:r w:rsidRPr="00E93126">
        <w:rPr>
          <w:lang w:val="en-GB"/>
        </w:rPr>
        <w:t xml:space="preserve">he first was the long-term association and support received from </w:t>
      </w:r>
      <w:proofErr w:type="spellStart"/>
      <w:r w:rsidRPr="00E93126">
        <w:rPr>
          <w:lang w:val="en-GB"/>
        </w:rPr>
        <w:t>Fairdeal</w:t>
      </w:r>
      <w:proofErr w:type="spellEnd"/>
      <w:r w:rsidRPr="00E93126">
        <w:rPr>
          <w:lang w:val="en-GB"/>
        </w:rPr>
        <w:t xml:space="preserve">, which had helped him set up businesses </w:t>
      </w:r>
      <w:r w:rsidR="00F56455" w:rsidRPr="00E93126">
        <w:rPr>
          <w:lang w:val="en-GB"/>
        </w:rPr>
        <w:t xml:space="preserve">in </w:t>
      </w:r>
      <w:r w:rsidR="008C4E84">
        <w:rPr>
          <w:lang w:val="en-GB"/>
        </w:rPr>
        <w:t xml:space="preserve">both </w:t>
      </w:r>
      <w:proofErr w:type="spellStart"/>
      <w:r w:rsidRPr="00E93126">
        <w:rPr>
          <w:lang w:val="en-GB"/>
        </w:rPr>
        <w:t>Ubud</w:t>
      </w:r>
      <w:proofErr w:type="spellEnd"/>
      <w:r w:rsidRPr="00E93126">
        <w:rPr>
          <w:lang w:val="en-GB"/>
        </w:rPr>
        <w:t xml:space="preserve"> </w:t>
      </w:r>
      <w:r w:rsidR="00F56455" w:rsidRPr="00E93126">
        <w:rPr>
          <w:lang w:val="en-GB"/>
        </w:rPr>
        <w:t>and in</w:t>
      </w:r>
      <w:r w:rsidRPr="00E93126">
        <w:rPr>
          <w:lang w:val="en-GB"/>
        </w:rPr>
        <w:t xml:space="preserve"> Denpasar</w:t>
      </w:r>
      <w:r w:rsidR="008C4E84">
        <w:rPr>
          <w:lang w:val="en-GB"/>
        </w:rPr>
        <w:t>;</w:t>
      </w:r>
      <w:r w:rsidRPr="00E93126">
        <w:rPr>
          <w:lang w:val="en-GB"/>
        </w:rPr>
        <w:t xml:space="preserve"> </w:t>
      </w:r>
      <w:r w:rsidR="008C4E84">
        <w:rPr>
          <w:lang w:val="en-GB"/>
        </w:rPr>
        <w:t>t</w:t>
      </w:r>
      <w:r w:rsidRPr="00E93126">
        <w:rPr>
          <w:lang w:val="en-GB"/>
        </w:rPr>
        <w:t xml:space="preserve">he second reason was that </w:t>
      </w:r>
      <w:r w:rsidR="00F56455" w:rsidRPr="00E93126">
        <w:rPr>
          <w:lang w:val="en-GB"/>
        </w:rPr>
        <w:t xml:space="preserve">the entire market perceived </w:t>
      </w:r>
      <w:r w:rsidRPr="00E93126">
        <w:rPr>
          <w:lang w:val="en-GB"/>
        </w:rPr>
        <w:t xml:space="preserve">Abdul as a </w:t>
      </w:r>
      <w:proofErr w:type="spellStart"/>
      <w:r w:rsidRPr="00E93126">
        <w:rPr>
          <w:lang w:val="en-GB"/>
        </w:rPr>
        <w:t>Fairdeal</w:t>
      </w:r>
      <w:proofErr w:type="spellEnd"/>
      <w:r w:rsidRPr="00E93126">
        <w:rPr>
          <w:lang w:val="en-GB"/>
        </w:rPr>
        <w:t xml:space="preserve"> air conditioner counter</w:t>
      </w:r>
      <w:r w:rsidR="00F56455" w:rsidRPr="00E93126">
        <w:rPr>
          <w:lang w:val="en-GB"/>
        </w:rPr>
        <w:t>,</w:t>
      </w:r>
      <w:r w:rsidRPr="00E93126">
        <w:rPr>
          <w:lang w:val="en-GB"/>
        </w:rPr>
        <w:t xml:space="preserve"> and a major </w:t>
      </w:r>
      <w:r w:rsidR="00F56455" w:rsidRPr="00E93126">
        <w:rPr>
          <w:lang w:val="en-GB"/>
        </w:rPr>
        <w:t xml:space="preserve">portion </w:t>
      </w:r>
      <w:r w:rsidRPr="00E93126">
        <w:rPr>
          <w:lang w:val="en-GB"/>
        </w:rPr>
        <w:t xml:space="preserve">of its goodwill was derived from its long association with </w:t>
      </w:r>
      <w:proofErr w:type="spellStart"/>
      <w:r w:rsidRPr="00E93126">
        <w:rPr>
          <w:lang w:val="en-GB"/>
        </w:rPr>
        <w:t>Fairdeal</w:t>
      </w:r>
      <w:proofErr w:type="spellEnd"/>
      <w:r w:rsidRPr="00E93126">
        <w:rPr>
          <w:lang w:val="en-GB"/>
        </w:rPr>
        <w:t xml:space="preserve"> air conditioners</w:t>
      </w:r>
      <w:r w:rsidR="008C4E84">
        <w:rPr>
          <w:lang w:val="en-GB"/>
        </w:rPr>
        <w:t>; and</w:t>
      </w:r>
      <w:r w:rsidRPr="00E93126">
        <w:rPr>
          <w:lang w:val="en-GB"/>
        </w:rPr>
        <w:t xml:space="preserve"> </w:t>
      </w:r>
      <w:r w:rsidR="008C4E84">
        <w:rPr>
          <w:lang w:val="en-GB"/>
        </w:rPr>
        <w:t>t</w:t>
      </w:r>
      <w:r w:rsidRPr="00E93126">
        <w:rPr>
          <w:lang w:val="en-GB"/>
        </w:rPr>
        <w:t xml:space="preserve">hird, </w:t>
      </w:r>
      <w:r w:rsidR="008C4E84">
        <w:rPr>
          <w:lang w:val="en-GB"/>
        </w:rPr>
        <w:t>Abdul</w:t>
      </w:r>
      <w:r w:rsidRPr="00E93126">
        <w:rPr>
          <w:lang w:val="en-GB"/>
        </w:rPr>
        <w:t xml:space="preserve"> made much higher margins </w:t>
      </w:r>
      <w:r w:rsidR="00F56455" w:rsidRPr="00E93126">
        <w:rPr>
          <w:lang w:val="en-GB"/>
        </w:rPr>
        <w:t xml:space="preserve">from </w:t>
      </w:r>
      <w:proofErr w:type="spellStart"/>
      <w:r w:rsidRPr="00E93126">
        <w:rPr>
          <w:lang w:val="en-GB"/>
        </w:rPr>
        <w:t>Fairdeal</w:t>
      </w:r>
      <w:proofErr w:type="spellEnd"/>
      <w:r w:rsidRPr="00E93126">
        <w:rPr>
          <w:lang w:val="en-GB"/>
        </w:rPr>
        <w:t xml:space="preserve"> air conditioners </w:t>
      </w:r>
      <w:r w:rsidR="008C4E84">
        <w:rPr>
          <w:lang w:val="en-GB"/>
        </w:rPr>
        <w:t xml:space="preserve">than it did on those from </w:t>
      </w:r>
      <w:r w:rsidRPr="00E93126">
        <w:rPr>
          <w:lang w:val="en-GB"/>
        </w:rPr>
        <w:t>other</w:t>
      </w:r>
      <w:r w:rsidR="008C4E84">
        <w:rPr>
          <w:lang w:val="en-GB"/>
        </w:rPr>
        <w:t xml:space="preserve"> firms</w:t>
      </w:r>
      <w:r w:rsidRPr="00E93126">
        <w:rPr>
          <w:lang w:val="en-GB"/>
        </w:rPr>
        <w:t xml:space="preserve">. </w:t>
      </w:r>
    </w:p>
    <w:p w14:paraId="57D9BE32" w14:textId="77777777" w:rsidR="006A218B" w:rsidRPr="00E93126" w:rsidRDefault="006A218B" w:rsidP="006A218B">
      <w:pPr>
        <w:pStyle w:val="BodyTextMain"/>
        <w:rPr>
          <w:lang w:val="en-GB"/>
        </w:rPr>
      </w:pPr>
    </w:p>
    <w:p w14:paraId="57626FFC" w14:textId="3FDEB9FB" w:rsidR="006A218B" w:rsidRPr="00E93126" w:rsidRDefault="006A218B" w:rsidP="006A218B">
      <w:pPr>
        <w:pStyle w:val="BodyTextMain"/>
        <w:rPr>
          <w:lang w:val="en-GB"/>
        </w:rPr>
      </w:pPr>
      <w:r w:rsidRPr="00E93126">
        <w:rPr>
          <w:lang w:val="en-GB"/>
        </w:rPr>
        <w:t xml:space="preserve">In 2010, Abdul had </w:t>
      </w:r>
      <w:r w:rsidR="00D079AC">
        <w:rPr>
          <w:lang w:val="en-GB"/>
        </w:rPr>
        <w:t>begun selling</w:t>
      </w:r>
      <w:r w:rsidR="00800F12" w:rsidRPr="00E93126">
        <w:rPr>
          <w:lang w:val="en-GB"/>
        </w:rPr>
        <w:t xml:space="preserve"> </w:t>
      </w:r>
      <w:proofErr w:type="spellStart"/>
      <w:r w:rsidRPr="00E93126">
        <w:rPr>
          <w:lang w:val="en-GB"/>
        </w:rPr>
        <w:t>Technica</w:t>
      </w:r>
      <w:proofErr w:type="spellEnd"/>
      <w:r w:rsidRPr="00E93126">
        <w:rPr>
          <w:lang w:val="en-GB"/>
        </w:rPr>
        <w:t xml:space="preserve"> </w:t>
      </w:r>
      <w:r w:rsidR="00D079AC">
        <w:rPr>
          <w:lang w:val="en-GB"/>
        </w:rPr>
        <w:t>products</w:t>
      </w:r>
      <w:r w:rsidR="0033309A">
        <w:rPr>
          <w:lang w:val="en-GB"/>
        </w:rPr>
        <w:t>,</w:t>
      </w:r>
      <w:r w:rsidRPr="00E93126">
        <w:rPr>
          <w:lang w:val="en-GB"/>
        </w:rPr>
        <w:t xml:space="preserve"> but the </w:t>
      </w:r>
      <w:proofErr w:type="spellStart"/>
      <w:r w:rsidRPr="00E93126">
        <w:rPr>
          <w:lang w:val="en-GB"/>
        </w:rPr>
        <w:t>Fairdeal</w:t>
      </w:r>
      <w:proofErr w:type="spellEnd"/>
      <w:r w:rsidRPr="00E93126">
        <w:rPr>
          <w:lang w:val="en-GB"/>
        </w:rPr>
        <w:t xml:space="preserve"> sales team was able to persuade Abdul to </w:t>
      </w:r>
      <w:r w:rsidR="00D079AC">
        <w:rPr>
          <w:lang w:val="en-GB"/>
        </w:rPr>
        <w:t>discontinue sales</w:t>
      </w:r>
      <w:r w:rsidRPr="00E93126">
        <w:rPr>
          <w:lang w:val="en-GB"/>
        </w:rPr>
        <w:t xml:space="preserve"> and return the unsold </w:t>
      </w:r>
      <w:proofErr w:type="spellStart"/>
      <w:r w:rsidRPr="00E93126">
        <w:rPr>
          <w:lang w:val="en-GB"/>
        </w:rPr>
        <w:t>Technica</w:t>
      </w:r>
      <w:proofErr w:type="spellEnd"/>
      <w:r w:rsidRPr="00E93126">
        <w:rPr>
          <w:lang w:val="en-GB"/>
        </w:rPr>
        <w:t xml:space="preserve"> stocks within days. Abdul added a new retail counter in June 2017</w:t>
      </w:r>
      <w:r w:rsidR="00800F12" w:rsidRPr="00E93126">
        <w:rPr>
          <w:lang w:val="en-GB"/>
        </w:rPr>
        <w:t>,</w:t>
      </w:r>
      <w:r w:rsidRPr="00E93126">
        <w:rPr>
          <w:lang w:val="en-GB"/>
        </w:rPr>
        <w:t xml:space="preserve"> in </w:t>
      </w:r>
      <w:proofErr w:type="spellStart"/>
      <w:r w:rsidRPr="00E93126">
        <w:rPr>
          <w:lang w:val="en-GB"/>
        </w:rPr>
        <w:t>Beringharjo</w:t>
      </w:r>
      <w:proofErr w:type="spellEnd"/>
      <w:r w:rsidRPr="00E93126">
        <w:rPr>
          <w:lang w:val="en-GB"/>
        </w:rPr>
        <w:t xml:space="preserve"> </w:t>
      </w:r>
      <w:r w:rsidR="00130AD8" w:rsidRPr="00E93126">
        <w:rPr>
          <w:lang w:val="en-GB"/>
        </w:rPr>
        <w:t>M</w:t>
      </w:r>
      <w:r w:rsidRPr="00E93126">
        <w:rPr>
          <w:lang w:val="en-GB"/>
        </w:rPr>
        <w:t xml:space="preserve">arket, </w:t>
      </w:r>
      <w:r w:rsidR="00130AD8" w:rsidRPr="00E93126">
        <w:rPr>
          <w:lang w:val="en-GB"/>
        </w:rPr>
        <w:t xml:space="preserve">in an effort </w:t>
      </w:r>
      <w:r w:rsidRPr="00E93126">
        <w:rPr>
          <w:lang w:val="en-GB"/>
        </w:rPr>
        <w:t xml:space="preserve">to grow its customer base and achieve </w:t>
      </w:r>
      <w:r w:rsidR="00B9284E">
        <w:rPr>
          <w:lang w:val="en-GB"/>
        </w:rPr>
        <w:t>Rashid’</w:t>
      </w:r>
      <w:r w:rsidR="00B9284E" w:rsidRPr="00E93126">
        <w:rPr>
          <w:lang w:val="en-GB"/>
        </w:rPr>
        <w:t xml:space="preserve">s </w:t>
      </w:r>
      <w:r w:rsidRPr="00E93126">
        <w:rPr>
          <w:lang w:val="en-GB"/>
        </w:rPr>
        <w:t>dream of becoming the</w:t>
      </w:r>
      <w:r w:rsidR="00042D28">
        <w:rPr>
          <w:lang w:val="en-GB"/>
        </w:rPr>
        <w:t xml:space="preserve"> largest</w:t>
      </w:r>
      <w:r w:rsidRPr="00E93126">
        <w:rPr>
          <w:lang w:val="en-GB"/>
        </w:rPr>
        <w:t xml:space="preserve"> appliance dealer in Denpasar. By December 2017, Abdul had become </w:t>
      </w:r>
      <w:r w:rsidR="00130AD8" w:rsidRPr="00E93126">
        <w:rPr>
          <w:lang w:val="en-GB"/>
        </w:rPr>
        <w:t xml:space="preserve">Denpasar’s </w:t>
      </w:r>
      <w:r w:rsidR="00042D28">
        <w:rPr>
          <w:lang w:val="en-GB"/>
        </w:rPr>
        <w:t>best-</w:t>
      </w:r>
      <w:r w:rsidRPr="00E93126">
        <w:rPr>
          <w:lang w:val="en-GB"/>
        </w:rPr>
        <w:t>selling (with respect to total business done for the company) dealer for GOLDY, Smart Line</w:t>
      </w:r>
      <w:r w:rsidR="00130AD8" w:rsidRPr="00E93126">
        <w:rPr>
          <w:lang w:val="en-GB"/>
        </w:rPr>
        <w:t>,</w:t>
      </w:r>
      <w:r w:rsidRPr="00E93126">
        <w:rPr>
          <w:lang w:val="en-GB"/>
        </w:rPr>
        <w:t xml:space="preserve"> and </w:t>
      </w:r>
      <w:proofErr w:type="spellStart"/>
      <w:r w:rsidRPr="00E93126">
        <w:rPr>
          <w:lang w:val="en-GB"/>
        </w:rPr>
        <w:t>Fairdeal</w:t>
      </w:r>
      <w:proofErr w:type="spellEnd"/>
      <w:r w:rsidRPr="00E93126">
        <w:rPr>
          <w:lang w:val="en-GB"/>
        </w:rPr>
        <w:t>.</w:t>
      </w:r>
    </w:p>
    <w:p w14:paraId="766EFEFE" w14:textId="77777777" w:rsidR="006A218B" w:rsidRPr="00E93126" w:rsidRDefault="006A218B" w:rsidP="006A218B">
      <w:pPr>
        <w:pStyle w:val="BodyTextMain"/>
        <w:rPr>
          <w:lang w:val="en-GB"/>
        </w:rPr>
      </w:pPr>
    </w:p>
    <w:p w14:paraId="02E80A5D" w14:textId="77777777" w:rsidR="006A218B" w:rsidRPr="00E93126" w:rsidRDefault="006A218B" w:rsidP="00733495">
      <w:pPr>
        <w:pStyle w:val="Casehead1"/>
        <w:outlineLvl w:val="0"/>
        <w:rPr>
          <w:lang w:val="en-GB"/>
        </w:rPr>
      </w:pPr>
      <w:r w:rsidRPr="00E93126">
        <w:rPr>
          <w:lang w:val="en-GB"/>
        </w:rPr>
        <w:lastRenderedPageBreak/>
        <w:t>AIR CONDITIONER BUSINESS TRADE PRACTICES</w:t>
      </w:r>
    </w:p>
    <w:p w14:paraId="1AE23CF2" w14:textId="77777777" w:rsidR="006A218B" w:rsidRPr="00E93126" w:rsidRDefault="006A218B" w:rsidP="006A218B">
      <w:pPr>
        <w:pStyle w:val="BodyTextMain"/>
        <w:rPr>
          <w:rFonts w:eastAsiaTheme="minorHAnsi"/>
          <w:lang w:val="en-GB"/>
        </w:rPr>
      </w:pPr>
    </w:p>
    <w:p w14:paraId="7448DB5E" w14:textId="77777777" w:rsidR="006A218B" w:rsidRPr="00E93126" w:rsidRDefault="006A218B" w:rsidP="00733495">
      <w:pPr>
        <w:pStyle w:val="Casehead2"/>
        <w:outlineLvl w:val="0"/>
        <w:rPr>
          <w:rFonts w:eastAsiaTheme="minorHAnsi"/>
          <w:lang w:val="en-GB"/>
        </w:rPr>
      </w:pPr>
      <w:r w:rsidRPr="00E93126">
        <w:rPr>
          <w:rFonts w:eastAsiaTheme="minorHAnsi"/>
          <w:lang w:val="en-GB"/>
        </w:rPr>
        <w:t>Discounts</w:t>
      </w:r>
    </w:p>
    <w:p w14:paraId="2A14929F" w14:textId="77777777" w:rsidR="006A218B" w:rsidRPr="00E93126" w:rsidRDefault="006A218B" w:rsidP="006A218B">
      <w:pPr>
        <w:pStyle w:val="BodyTextMain"/>
        <w:rPr>
          <w:rFonts w:eastAsiaTheme="minorHAnsi"/>
          <w:lang w:val="en-GB"/>
        </w:rPr>
      </w:pPr>
    </w:p>
    <w:p w14:paraId="72499FC5" w14:textId="5E919A1D" w:rsidR="006A218B" w:rsidRPr="00B53995" w:rsidRDefault="006A218B" w:rsidP="006A218B">
      <w:pPr>
        <w:pStyle w:val="BodyTextMain"/>
        <w:rPr>
          <w:spacing w:val="-4"/>
          <w:kern w:val="22"/>
          <w:lang w:val="en-GB"/>
        </w:rPr>
      </w:pPr>
      <w:r w:rsidRPr="00B53995">
        <w:rPr>
          <w:spacing w:val="-4"/>
          <w:kern w:val="22"/>
          <w:lang w:val="en-GB"/>
        </w:rPr>
        <w:t xml:space="preserve">All </w:t>
      </w:r>
      <w:r w:rsidR="007151EB">
        <w:rPr>
          <w:spacing w:val="-4"/>
          <w:kern w:val="22"/>
          <w:lang w:val="en-GB"/>
        </w:rPr>
        <w:t xml:space="preserve">of the </w:t>
      </w:r>
      <w:r w:rsidR="007151EB" w:rsidRPr="00E93126">
        <w:rPr>
          <w:lang w:val="en-GB"/>
        </w:rPr>
        <w:t xml:space="preserve">air conditioner </w:t>
      </w:r>
      <w:r w:rsidR="005A5017">
        <w:rPr>
          <w:spacing w:val="-4"/>
          <w:kern w:val="22"/>
          <w:lang w:val="en-GB"/>
        </w:rPr>
        <w:t xml:space="preserve">manufacturers </w:t>
      </w:r>
      <w:r w:rsidR="007151EB">
        <w:rPr>
          <w:spacing w:val="-4"/>
          <w:kern w:val="22"/>
          <w:lang w:val="en-GB"/>
        </w:rPr>
        <w:t>in Indonesia</w:t>
      </w:r>
      <w:r w:rsidRPr="00B53995">
        <w:rPr>
          <w:spacing w:val="-4"/>
          <w:kern w:val="22"/>
          <w:lang w:val="en-GB"/>
        </w:rPr>
        <w:t xml:space="preserve"> </w:t>
      </w:r>
      <w:r w:rsidR="005A5017">
        <w:rPr>
          <w:spacing w:val="-4"/>
          <w:kern w:val="22"/>
          <w:lang w:val="en-GB"/>
        </w:rPr>
        <w:t>paid a</w:t>
      </w:r>
      <w:r w:rsidRPr="00B53995">
        <w:rPr>
          <w:spacing w:val="-4"/>
          <w:kern w:val="22"/>
          <w:lang w:val="en-GB"/>
        </w:rPr>
        <w:t xml:space="preserve"> standard </w:t>
      </w:r>
      <w:r w:rsidR="00BC426A" w:rsidRPr="00B53995">
        <w:rPr>
          <w:spacing w:val="-4"/>
          <w:kern w:val="22"/>
          <w:lang w:val="en-GB"/>
        </w:rPr>
        <w:t>cash discount of 5</w:t>
      </w:r>
      <w:r w:rsidR="003F5316" w:rsidRPr="00B53995">
        <w:rPr>
          <w:spacing w:val="-4"/>
          <w:kern w:val="22"/>
          <w:lang w:val="en-GB"/>
        </w:rPr>
        <w:t>–</w:t>
      </w:r>
      <w:r w:rsidR="00BC426A" w:rsidRPr="00B53995">
        <w:rPr>
          <w:spacing w:val="-4"/>
          <w:kern w:val="22"/>
          <w:lang w:val="en-GB"/>
        </w:rPr>
        <w:t>7 per cent</w:t>
      </w:r>
      <w:r w:rsidRPr="00B53995">
        <w:rPr>
          <w:spacing w:val="-4"/>
          <w:kern w:val="22"/>
          <w:lang w:val="en-GB"/>
        </w:rPr>
        <w:t xml:space="preserve"> of the </w:t>
      </w:r>
      <w:r w:rsidR="003F5316" w:rsidRPr="00B53995">
        <w:rPr>
          <w:spacing w:val="-4"/>
          <w:kern w:val="22"/>
          <w:lang w:val="en-GB"/>
        </w:rPr>
        <w:t xml:space="preserve">retail </w:t>
      </w:r>
      <w:r w:rsidRPr="00B53995">
        <w:rPr>
          <w:spacing w:val="-4"/>
          <w:kern w:val="22"/>
          <w:lang w:val="en-GB"/>
        </w:rPr>
        <w:t>price</w:t>
      </w:r>
      <w:r w:rsidR="005A5017">
        <w:rPr>
          <w:spacing w:val="-4"/>
          <w:kern w:val="22"/>
          <w:lang w:val="en-GB"/>
        </w:rPr>
        <w:t xml:space="preserve"> to its dealers</w:t>
      </w:r>
      <w:r w:rsidRPr="00B53995">
        <w:rPr>
          <w:spacing w:val="-4"/>
          <w:kern w:val="22"/>
          <w:lang w:val="en-GB"/>
        </w:rPr>
        <w:t xml:space="preserve">. </w:t>
      </w:r>
      <w:r w:rsidR="003F5316" w:rsidRPr="00B53995">
        <w:rPr>
          <w:spacing w:val="-4"/>
          <w:kern w:val="22"/>
          <w:lang w:val="en-GB"/>
        </w:rPr>
        <w:t>A</w:t>
      </w:r>
      <w:r w:rsidRPr="00B53995">
        <w:rPr>
          <w:spacing w:val="-4"/>
          <w:kern w:val="22"/>
          <w:lang w:val="en-GB"/>
        </w:rPr>
        <w:t>dditional payme</w:t>
      </w:r>
      <w:r w:rsidR="00BC426A" w:rsidRPr="00B53995">
        <w:rPr>
          <w:spacing w:val="-4"/>
          <w:kern w:val="22"/>
          <w:lang w:val="en-GB"/>
        </w:rPr>
        <w:t xml:space="preserve">nt discounts </w:t>
      </w:r>
      <w:r w:rsidR="003F5316" w:rsidRPr="00B53995">
        <w:rPr>
          <w:spacing w:val="-4"/>
          <w:kern w:val="22"/>
          <w:lang w:val="en-GB"/>
        </w:rPr>
        <w:t xml:space="preserve">were available </w:t>
      </w:r>
      <w:r w:rsidR="00BC426A" w:rsidRPr="00B53995">
        <w:rPr>
          <w:spacing w:val="-4"/>
          <w:kern w:val="22"/>
          <w:lang w:val="en-GB"/>
        </w:rPr>
        <w:t xml:space="preserve">in the range of 2 per cent for immediate payment to 1 per cent for payment </w:t>
      </w:r>
      <w:r w:rsidR="007151EB">
        <w:rPr>
          <w:spacing w:val="-4"/>
          <w:kern w:val="22"/>
          <w:lang w:val="en-GB"/>
        </w:rPr>
        <w:t>with</w:t>
      </w:r>
      <w:r w:rsidR="00BC426A" w:rsidRPr="00B53995">
        <w:rPr>
          <w:spacing w:val="-4"/>
          <w:kern w:val="22"/>
          <w:lang w:val="en-GB"/>
        </w:rPr>
        <w:t>in 15 days.</w:t>
      </w:r>
      <w:r w:rsidRPr="00B53995">
        <w:rPr>
          <w:spacing w:val="-4"/>
          <w:kern w:val="22"/>
          <w:lang w:val="en-GB"/>
        </w:rPr>
        <w:t xml:space="preserve"> </w:t>
      </w:r>
      <w:r w:rsidR="007151EB">
        <w:rPr>
          <w:spacing w:val="-4"/>
          <w:kern w:val="22"/>
          <w:lang w:val="en-GB"/>
        </w:rPr>
        <w:t>The c</w:t>
      </w:r>
      <w:r w:rsidRPr="00B53995">
        <w:rPr>
          <w:spacing w:val="-4"/>
          <w:kern w:val="22"/>
          <w:lang w:val="en-GB"/>
        </w:rPr>
        <w:t>ash discount was an annual policy and did not change within the year for any of the companies.</w:t>
      </w:r>
    </w:p>
    <w:p w14:paraId="0D8349BF" w14:textId="77777777" w:rsidR="006A218B" w:rsidRPr="00E93126" w:rsidRDefault="006A218B" w:rsidP="006A218B">
      <w:pPr>
        <w:pStyle w:val="BodyTextMain"/>
        <w:rPr>
          <w:lang w:val="en-GB"/>
        </w:rPr>
      </w:pPr>
    </w:p>
    <w:p w14:paraId="00B0DD90" w14:textId="77777777" w:rsidR="006A218B" w:rsidRPr="002A1025" w:rsidRDefault="003F5316" w:rsidP="006A218B">
      <w:pPr>
        <w:pStyle w:val="BodyTextMain"/>
        <w:rPr>
          <w:spacing w:val="-2"/>
          <w:kern w:val="22"/>
          <w:lang w:val="en-GB"/>
        </w:rPr>
      </w:pPr>
      <w:r w:rsidRPr="002A1025">
        <w:rPr>
          <w:spacing w:val="-2"/>
          <w:kern w:val="22"/>
          <w:lang w:val="en-GB"/>
        </w:rPr>
        <w:t>T</w:t>
      </w:r>
      <w:r w:rsidR="006A218B" w:rsidRPr="002A1025">
        <w:rPr>
          <w:spacing w:val="-2"/>
          <w:kern w:val="22"/>
          <w:lang w:val="en-GB"/>
        </w:rPr>
        <w:t xml:space="preserve">he manufacturers </w:t>
      </w:r>
      <w:r w:rsidRPr="002A1025">
        <w:rPr>
          <w:spacing w:val="-2"/>
          <w:kern w:val="22"/>
          <w:lang w:val="en-GB"/>
        </w:rPr>
        <w:t xml:space="preserve">typically </w:t>
      </w:r>
      <w:r w:rsidR="006A218B" w:rsidRPr="002A1025">
        <w:rPr>
          <w:spacing w:val="-2"/>
          <w:kern w:val="22"/>
          <w:lang w:val="en-GB"/>
        </w:rPr>
        <w:t>had an annual deal with every important dealer</w:t>
      </w:r>
      <w:r w:rsidRPr="002A1025">
        <w:rPr>
          <w:spacing w:val="-2"/>
          <w:kern w:val="22"/>
          <w:lang w:val="en-GB"/>
        </w:rPr>
        <w:t>, which</w:t>
      </w:r>
      <w:r w:rsidR="00BC426A" w:rsidRPr="002A1025">
        <w:rPr>
          <w:spacing w:val="-2"/>
          <w:kern w:val="22"/>
          <w:lang w:val="en-GB"/>
        </w:rPr>
        <w:t xml:space="preserve"> was in the range of $</w:t>
      </w:r>
      <w:r w:rsidR="00130AD8" w:rsidRPr="002A1025">
        <w:rPr>
          <w:spacing w:val="-2"/>
          <w:kern w:val="22"/>
          <w:lang w:val="en-GB"/>
        </w:rPr>
        <w:t xml:space="preserve">10 </w:t>
      </w:r>
      <w:r w:rsidR="00BC426A" w:rsidRPr="002A1025">
        <w:rPr>
          <w:spacing w:val="-2"/>
          <w:kern w:val="22"/>
          <w:lang w:val="en-GB"/>
        </w:rPr>
        <w:t>to $</w:t>
      </w:r>
      <w:r w:rsidR="00130AD8" w:rsidRPr="002A1025">
        <w:rPr>
          <w:spacing w:val="-2"/>
          <w:kern w:val="22"/>
          <w:lang w:val="en-GB"/>
        </w:rPr>
        <w:t xml:space="preserve">15 </w:t>
      </w:r>
      <w:r w:rsidR="006A218B" w:rsidRPr="002A1025">
        <w:rPr>
          <w:spacing w:val="-2"/>
          <w:kern w:val="22"/>
          <w:lang w:val="en-GB"/>
        </w:rPr>
        <w:t>per unit on achievement of an agreed</w:t>
      </w:r>
      <w:r w:rsidRPr="002A1025">
        <w:rPr>
          <w:spacing w:val="-2"/>
          <w:kern w:val="22"/>
          <w:lang w:val="en-GB"/>
        </w:rPr>
        <w:t>-</w:t>
      </w:r>
      <w:r w:rsidR="008A2F75" w:rsidRPr="002A1025">
        <w:rPr>
          <w:spacing w:val="-2"/>
          <w:kern w:val="22"/>
          <w:lang w:val="en-GB"/>
        </w:rPr>
        <w:t>up</w:t>
      </w:r>
      <w:r w:rsidRPr="002A1025">
        <w:rPr>
          <w:spacing w:val="-2"/>
          <w:kern w:val="22"/>
          <w:lang w:val="en-GB"/>
        </w:rPr>
        <w:t>on</w:t>
      </w:r>
      <w:r w:rsidR="006A218B" w:rsidRPr="002A1025">
        <w:rPr>
          <w:spacing w:val="-2"/>
          <w:kern w:val="22"/>
          <w:lang w:val="en-GB"/>
        </w:rPr>
        <w:t xml:space="preserve"> target. </w:t>
      </w:r>
      <w:r w:rsidRPr="002A1025">
        <w:rPr>
          <w:spacing w:val="-2"/>
          <w:kern w:val="22"/>
          <w:lang w:val="en-GB"/>
        </w:rPr>
        <w:t>T</w:t>
      </w:r>
      <w:r w:rsidR="006A218B" w:rsidRPr="002A1025">
        <w:rPr>
          <w:spacing w:val="-2"/>
          <w:kern w:val="22"/>
          <w:lang w:val="en-GB"/>
        </w:rPr>
        <w:t xml:space="preserve">he manufacturers </w:t>
      </w:r>
      <w:r w:rsidR="00314825" w:rsidRPr="002A1025">
        <w:rPr>
          <w:spacing w:val="-2"/>
          <w:kern w:val="22"/>
          <w:lang w:val="en-GB"/>
        </w:rPr>
        <w:t xml:space="preserve">also </w:t>
      </w:r>
      <w:r w:rsidR="00130AD8" w:rsidRPr="002A1025">
        <w:rPr>
          <w:spacing w:val="-2"/>
          <w:kern w:val="22"/>
          <w:lang w:val="en-GB"/>
        </w:rPr>
        <w:t>offered</w:t>
      </w:r>
      <w:r w:rsidR="00314825" w:rsidRPr="002A1025">
        <w:rPr>
          <w:spacing w:val="-2"/>
          <w:kern w:val="22"/>
          <w:lang w:val="en-GB"/>
        </w:rPr>
        <w:t xml:space="preserve"> monthly schemes </w:t>
      </w:r>
      <w:r w:rsidR="006A218B" w:rsidRPr="002A1025">
        <w:rPr>
          <w:spacing w:val="-2"/>
          <w:kern w:val="22"/>
          <w:lang w:val="en-GB"/>
        </w:rPr>
        <w:t xml:space="preserve">to manage temporary imbalances in their product mix or to counter targeted competitive actions. Monthly schemes </w:t>
      </w:r>
      <w:r w:rsidR="00314825" w:rsidRPr="002A1025">
        <w:rPr>
          <w:spacing w:val="-2"/>
          <w:kern w:val="22"/>
          <w:lang w:val="en-GB"/>
        </w:rPr>
        <w:t xml:space="preserve">usually </w:t>
      </w:r>
      <w:r w:rsidR="006A218B" w:rsidRPr="002A1025">
        <w:rPr>
          <w:spacing w:val="-2"/>
          <w:kern w:val="22"/>
          <w:lang w:val="en-GB"/>
        </w:rPr>
        <w:t>depended on the volume of monthly purchase</w:t>
      </w:r>
      <w:r w:rsidR="00314825" w:rsidRPr="002A1025">
        <w:rPr>
          <w:spacing w:val="-2"/>
          <w:kern w:val="22"/>
          <w:lang w:val="en-GB"/>
        </w:rPr>
        <w:t>s</w:t>
      </w:r>
      <w:r w:rsidR="008A2F75" w:rsidRPr="002A1025">
        <w:rPr>
          <w:spacing w:val="-2"/>
          <w:kern w:val="22"/>
          <w:lang w:val="en-GB"/>
        </w:rPr>
        <w:t>,</w:t>
      </w:r>
      <w:r w:rsidR="00BC426A" w:rsidRPr="002A1025">
        <w:rPr>
          <w:spacing w:val="-2"/>
          <w:kern w:val="22"/>
          <w:lang w:val="en-GB"/>
        </w:rPr>
        <w:t xml:space="preserve"> </w:t>
      </w:r>
      <w:r w:rsidR="00314825" w:rsidRPr="002A1025">
        <w:rPr>
          <w:spacing w:val="-2"/>
          <w:kern w:val="22"/>
          <w:lang w:val="en-GB"/>
        </w:rPr>
        <w:t xml:space="preserve">and </w:t>
      </w:r>
      <w:r w:rsidR="00BC426A" w:rsidRPr="002A1025">
        <w:rPr>
          <w:spacing w:val="-2"/>
          <w:kern w:val="22"/>
          <w:lang w:val="en-GB"/>
        </w:rPr>
        <w:t xml:space="preserve">were </w:t>
      </w:r>
      <w:r w:rsidR="00314825" w:rsidRPr="002A1025">
        <w:rPr>
          <w:spacing w:val="-2"/>
          <w:kern w:val="22"/>
          <w:lang w:val="en-GB"/>
        </w:rPr>
        <w:t xml:space="preserve">typically </w:t>
      </w:r>
      <w:r w:rsidR="00BC426A" w:rsidRPr="002A1025">
        <w:rPr>
          <w:spacing w:val="-2"/>
          <w:kern w:val="22"/>
          <w:lang w:val="en-GB"/>
        </w:rPr>
        <w:t>in the range of $5 to $15</w:t>
      </w:r>
      <w:r w:rsidR="006A218B" w:rsidRPr="002A1025">
        <w:rPr>
          <w:spacing w:val="-2"/>
          <w:kern w:val="22"/>
          <w:lang w:val="en-GB"/>
        </w:rPr>
        <w:t xml:space="preserve"> per unit, depending on volume of business, </w:t>
      </w:r>
      <w:r w:rsidR="00314825" w:rsidRPr="002A1025">
        <w:rPr>
          <w:spacing w:val="-2"/>
          <w:kern w:val="22"/>
          <w:lang w:val="en-GB"/>
        </w:rPr>
        <w:t xml:space="preserve">the </w:t>
      </w:r>
      <w:r w:rsidR="006A218B" w:rsidRPr="002A1025">
        <w:rPr>
          <w:spacing w:val="-2"/>
          <w:kern w:val="22"/>
          <w:lang w:val="en-GB"/>
        </w:rPr>
        <w:t>specific models sold</w:t>
      </w:r>
      <w:r w:rsidR="00314825" w:rsidRPr="002A1025">
        <w:rPr>
          <w:spacing w:val="-2"/>
          <w:kern w:val="22"/>
          <w:lang w:val="en-GB"/>
        </w:rPr>
        <w:t>,</w:t>
      </w:r>
      <w:r w:rsidR="006A218B" w:rsidRPr="002A1025">
        <w:rPr>
          <w:spacing w:val="-2"/>
          <w:kern w:val="22"/>
          <w:lang w:val="en-GB"/>
        </w:rPr>
        <w:t xml:space="preserve"> </w:t>
      </w:r>
      <w:r w:rsidR="00314825" w:rsidRPr="002A1025">
        <w:rPr>
          <w:spacing w:val="-2"/>
          <w:kern w:val="22"/>
          <w:lang w:val="en-GB"/>
        </w:rPr>
        <w:t xml:space="preserve">and other </w:t>
      </w:r>
      <w:r w:rsidR="00344FB0" w:rsidRPr="002A1025">
        <w:rPr>
          <w:spacing w:val="-2"/>
          <w:kern w:val="22"/>
          <w:lang w:val="en-GB"/>
        </w:rPr>
        <w:t xml:space="preserve">similar </w:t>
      </w:r>
      <w:r w:rsidR="00314825" w:rsidRPr="002A1025">
        <w:rPr>
          <w:spacing w:val="-2"/>
          <w:kern w:val="22"/>
          <w:lang w:val="en-GB"/>
        </w:rPr>
        <w:t>factors</w:t>
      </w:r>
      <w:r w:rsidR="006A218B" w:rsidRPr="002A1025">
        <w:rPr>
          <w:spacing w:val="-2"/>
          <w:kern w:val="22"/>
          <w:lang w:val="en-GB"/>
        </w:rPr>
        <w:t>. Because of the discount differentials, dealers tried to maximize their bonus earnings so that they could buy</w:t>
      </w:r>
      <w:r w:rsidR="008A2F75" w:rsidRPr="002A1025">
        <w:rPr>
          <w:spacing w:val="-2"/>
          <w:kern w:val="22"/>
          <w:lang w:val="en-GB"/>
        </w:rPr>
        <w:t xml:space="preserve"> products at</w:t>
      </w:r>
      <w:r w:rsidR="006A218B" w:rsidRPr="002A1025">
        <w:rPr>
          <w:spacing w:val="-2"/>
          <w:kern w:val="22"/>
          <w:lang w:val="en-GB"/>
        </w:rPr>
        <w:t xml:space="preserve"> cheaper</w:t>
      </w:r>
      <w:r w:rsidR="008A2F75" w:rsidRPr="002A1025">
        <w:rPr>
          <w:spacing w:val="-2"/>
          <w:kern w:val="22"/>
          <w:lang w:val="en-GB"/>
        </w:rPr>
        <w:t xml:space="preserve"> prices</w:t>
      </w:r>
      <w:r w:rsidR="006A218B" w:rsidRPr="002A1025">
        <w:rPr>
          <w:spacing w:val="-2"/>
          <w:kern w:val="22"/>
          <w:lang w:val="en-GB"/>
        </w:rPr>
        <w:t xml:space="preserve"> than the rest of the competition. The key to this </w:t>
      </w:r>
      <w:r w:rsidR="00314825" w:rsidRPr="002A1025">
        <w:rPr>
          <w:spacing w:val="-2"/>
          <w:kern w:val="22"/>
          <w:lang w:val="en-GB"/>
        </w:rPr>
        <w:t xml:space="preserve">strategy </w:t>
      </w:r>
      <w:r w:rsidR="006A218B" w:rsidRPr="002A1025">
        <w:rPr>
          <w:spacing w:val="-2"/>
          <w:kern w:val="22"/>
          <w:lang w:val="en-GB"/>
        </w:rPr>
        <w:t xml:space="preserve">was </w:t>
      </w:r>
      <w:r w:rsidR="00314825" w:rsidRPr="002A1025">
        <w:rPr>
          <w:spacing w:val="-2"/>
          <w:kern w:val="22"/>
          <w:lang w:val="en-GB"/>
        </w:rPr>
        <w:t>being able</w:t>
      </w:r>
      <w:r w:rsidR="006A218B" w:rsidRPr="002A1025">
        <w:rPr>
          <w:spacing w:val="-2"/>
          <w:kern w:val="22"/>
          <w:lang w:val="en-GB"/>
        </w:rPr>
        <w:t xml:space="preserve"> to negotiate with </w:t>
      </w:r>
      <w:r w:rsidR="008A2F75" w:rsidRPr="002A1025">
        <w:rPr>
          <w:spacing w:val="-2"/>
          <w:kern w:val="22"/>
          <w:lang w:val="en-GB"/>
        </w:rPr>
        <w:t>a manufacturer’s</w:t>
      </w:r>
      <w:r w:rsidR="006A218B" w:rsidRPr="002A1025">
        <w:rPr>
          <w:spacing w:val="-2"/>
          <w:kern w:val="22"/>
          <w:lang w:val="en-GB"/>
        </w:rPr>
        <w:t xml:space="preserve"> branch sales team, </w:t>
      </w:r>
      <w:r w:rsidR="00314825" w:rsidRPr="002A1025">
        <w:rPr>
          <w:spacing w:val="-2"/>
          <w:kern w:val="22"/>
          <w:lang w:val="en-GB"/>
        </w:rPr>
        <w:t xml:space="preserve">which </w:t>
      </w:r>
      <w:r w:rsidR="006A218B" w:rsidRPr="002A1025">
        <w:rPr>
          <w:spacing w:val="-2"/>
          <w:kern w:val="22"/>
          <w:lang w:val="en-GB"/>
        </w:rPr>
        <w:t>had some level of flexibility in giving higher monthly schemes to dealer</w:t>
      </w:r>
      <w:r w:rsidR="008A2F75" w:rsidRPr="002A1025">
        <w:rPr>
          <w:spacing w:val="-2"/>
          <w:kern w:val="22"/>
          <w:lang w:val="en-GB"/>
        </w:rPr>
        <w:t>s</w:t>
      </w:r>
      <w:r w:rsidR="006A218B" w:rsidRPr="002A1025">
        <w:rPr>
          <w:spacing w:val="-2"/>
          <w:kern w:val="22"/>
          <w:lang w:val="en-GB"/>
        </w:rPr>
        <w:t xml:space="preserve"> on a case</w:t>
      </w:r>
      <w:r w:rsidR="00314825" w:rsidRPr="002A1025">
        <w:rPr>
          <w:spacing w:val="-2"/>
          <w:kern w:val="22"/>
          <w:lang w:val="en-GB"/>
        </w:rPr>
        <w:t>-</w:t>
      </w:r>
      <w:r w:rsidR="006A218B" w:rsidRPr="002A1025">
        <w:rPr>
          <w:spacing w:val="-2"/>
          <w:kern w:val="22"/>
          <w:lang w:val="en-GB"/>
        </w:rPr>
        <w:t>to</w:t>
      </w:r>
      <w:r w:rsidR="00314825" w:rsidRPr="002A1025">
        <w:rPr>
          <w:spacing w:val="-2"/>
          <w:kern w:val="22"/>
          <w:lang w:val="en-GB"/>
        </w:rPr>
        <w:t>-</w:t>
      </w:r>
      <w:r w:rsidR="006A218B" w:rsidRPr="002A1025">
        <w:rPr>
          <w:spacing w:val="-2"/>
          <w:kern w:val="22"/>
          <w:lang w:val="en-GB"/>
        </w:rPr>
        <w:t xml:space="preserve">case basis. However, </w:t>
      </w:r>
      <w:r w:rsidR="00314825" w:rsidRPr="002A1025">
        <w:rPr>
          <w:spacing w:val="-2"/>
          <w:kern w:val="22"/>
          <w:lang w:val="en-GB"/>
        </w:rPr>
        <w:t xml:space="preserve">the </w:t>
      </w:r>
      <w:r w:rsidR="006A218B" w:rsidRPr="002A1025">
        <w:rPr>
          <w:spacing w:val="-2"/>
          <w:kern w:val="22"/>
          <w:lang w:val="en-GB"/>
        </w:rPr>
        <w:t xml:space="preserve">ability to sell the additional products purchased in </w:t>
      </w:r>
      <w:r w:rsidR="00314825" w:rsidRPr="002A1025">
        <w:rPr>
          <w:spacing w:val="-2"/>
          <w:kern w:val="22"/>
          <w:lang w:val="en-GB"/>
        </w:rPr>
        <w:t xml:space="preserve">a </w:t>
      </w:r>
      <w:r w:rsidR="006A218B" w:rsidRPr="002A1025">
        <w:rPr>
          <w:spacing w:val="-2"/>
          <w:kern w:val="22"/>
          <w:lang w:val="en-GB"/>
        </w:rPr>
        <w:t xml:space="preserve">scheme to retail consumers was important for realizing the real benefits of </w:t>
      </w:r>
      <w:r w:rsidR="008A2F75" w:rsidRPr="002A1025">
        <w:rPr>
          <w:spacing w:val="-2"/>
          <w:kern w:val="22"/>
          <w:lang w:val="en-GB"/>
        </w:rPr>
        <w:t xml:space="preserve">such </w:t>
      </w:r>
      <w:r w:rsidR="006A218B" w:rsidRPr="002A1025">
        <w:rPr>
          <w:spacing w:val="-2"/>
          <w:kern w:val="22"/>
          <w:lang w:val="en-GB"/>
        </w:rPr>
        <w:t>schemes.</w:t>
      </w:r>
    </w:p>
    <w:p w14:paraId="1C308121" w14:textId="77777777" w:rsidR="006A218B" w:rsidRPr="00E93126" w:rsidRDefault="006A218B" w:rsidP="006A218B">
      <w:pPr>
        <w:pStyle w:val="BodyTextMain"/>
        <w:rPr>
          <w:lang w:val="en-GB"/>
        </w:rPr>
      </w:pPr>
    </w:p>
    <w:p w14:paraId="0BD6A217" w14:textId="77777777" w:rsidR="006A218B" w:rsidRPr="00E93126" w:rsidRDefault="006A218B" w:rsidP="006A218B">
      <w:pPr>
        <w:pStyle w:val="BodyTextMain"/>
        <w:rPr>
          <w:lang w:val="en-GB"/>
        </w:rPr>
      </w:pPr>
    </w:p>
    <w:p w14:paraId="4414F5D4" w14:textId="77777777" w:rsidR="006A218B" w:rsidRPr="00E93126" w:rsidRDefault="006A218B" w:rsidP="00733495">
      <w:pPr>
        <w:pStyle w:val="Casehead2"/>
        <w:outlineLvl w:val="0"/>
        <w:rPr>
          <w:rFonts w:eastAsiaTheme="minorHAnsi"/>
          <w:lang w:val="en-GB"/>
        </w:rPr>
      </w:pPr>
      <w:r w:rsidRPr="00E93126">
        <w:rPr>
          <w:rFonts w:eastAsiaTheme="minorHAnsi"/>
          <w:lang w:val="en-GB"/>
        </w:rPr>
        <w:t>Social Networks</w:t>
      </w:r>
    </w:p>
    <w:p w14:paraId="7327A150" w14:textId="77777777" w:rsidR="006A218B" w:rsidRPr="00E93126" w:rsidRDefault="006A218B" w:rsidP="006A218B">
      <w:pPr>
        <w:pStyle w:val="BodyTextMain"/>
        <w:rPr>
          <w:rFonts w:eastAsiaTheme="minorHAnsi"/>
          <w:lang w:val="en-GB"/>
        </w:rPr>
      </w:pPr>
    </w:p>
    <w:p w14:paraId="526473BF" w14:textId="77777777" w:rsidR="006A218B" w:rsidRPr="00E93126" w:rsidRDefault="00E45E7F" w:rsidP="006A218B">
      <w:pPr>
        <w:pStyle w:val="BodyTextMain"/>
        <w:rPr>
          <w:lang w:val="en-GB"/>
        </w:rPr>
      </w:pPr>
      <w:r w:rsidRPr="00E93126">
        <w:rPr>
          <w:lang w:val="en-GB"/>
        </w:rPr>
        <w:t xml:space="preserve">The </w:t>
      </w:r>
      <w:r w:rsidR="008A2F75">
        <w:rPr>
          <w:lang w:val="en-GB"/>
        </w:rPr>
        <w:t xml:space="preserve">respective </w:t>
      </w:r>
      <w:r w:rsidRPr="00E93126">
        <w:rPr>
          <w:lang w:val="en-GB"/>
        </w:rPr>
        <w:t>o</w:t>
      </w:r>
      <w:r w:rsidR="006A218B" w:rsidRPr="00E93126">
        <w:rPr>
          <w:lang w:val="en-GB"/>
        </w:rPr>
        <w:t xml:space="preserve">wners of Rahman and Abdul were cousins </w:t>
      </w:r>
      <w:r w:rsidR="00314825" w:rsidRPr="00E93126">
        <w:rPr>
          <w:lang w:val="en-GB"/>
        </w:rPr>
        <w:t xml:space="preserve">who </w:t>
      </w:r>
      <w:r w:rsidR="006A218B" w:rsidRPr="00E93126">
        <w:rPr>
          <w:lang w:val="en-GB"/>
        </w:rPr>
        <w:t xml:space="preserve">competed in the market, </w:t>
      </w:r>
      <w:r w:rsidR="00314825" w:rsidRPr="00E93126">
        <w:rPr>
          <w:lang w:val="en-GB"/>
        </w:rPr>
        <w:t>often</w:t>
      </w:r>
      <w:r w:rsidR="006A218B" w:rsidRPr="00E93126">
        <w:rPr>
          <w:lang w:val="en-GB"/>
        </w:rPr>
        <w:t xml:space="preserve"> for the same consumer</w:t>
      </w:r>
      <w:r w:rsidR="008A2F75">
        <w:rPr>
          <w:lang w:val="en-GB"/>
        </w:rPr>
        <w:t>s</w:t>
      </w:r>
      <w:r w:rsidR="006A218B" w:rsidRPr="00E93126">
        <w:rPr>
          <w:lang w:val="en-GB"/>
        </w:rPr>
        <w:t>, but also co-ope</w:t>
      </w:r>
      <w:r w:rsidRPr="00E93126">
        <w:rPr>
          <w:lang w:val="en-GB"/>
        </w:rPr>
        <w:t>rated in terms of sharing stock</w:t>
      </w:r>
      <w:r w:rsidR="00BC426A" w:rsidRPr="00E93126">
        <w:rPr>
          <w:lang w:val="en-GB"/>
        </w:rPr>
        <w:t xml:space="preserve"> in </w:t>
      </w:r>
      <w:r w:rsidR="00314825" w:rsidRPr="00E93126">
        <w:rPr>
          <w:lang w:val="en-GB"/>
        </w:rPr>
        <w:t xml:space="preserve">the </w:t>
      </w:r>
      <w:r w:rsidR="00BC426A" w:rsidRPr="00E93126">
        <w:rPr>
          <w:lang w:val="en-GB"/>
        </w:rPr>
        <w:t xml:space="preserve">case of </w:t>
      </w:r>
      <w:r w:rsidR="00314825" w:rsidRPr="00E93126">
        <w:rPr>
          <w:lang w:val="en-GB"/>
        </w:rPr>
        <w:t xml:space="preserve">a </w:t>
      </w:r>
      <w:r w:rsidR="00BC426A" w:rsidRPr="00E93126">
        <w:rPr>
          <w:lang w:val="en-GB"/>
        </w:rPr>
        <w:t>shortage.</w:t>
      </w:r>
      <w:r w:rsidR="006A218B" w:rsidRPr="00E93126">
        <w:rPr>
          <w:lang w:val="en-GB"/>
        </w:rPr>
        <w:t xml:space="preserve"> It was common knowledge in the trade circle that </w:t>
      </w:r>
      <w:r w:rsidR="00314825" w:rsidRPr="00E93126">
        <w:rPr>
          <w:lang w:val="en-GB"/>
        </w:rPr>
        <w:t xml:space="preserve">the cousins usually </w:t>
      </w:r>
      <w:r w:rsidR="006A218B" w:rsidRPr="00E93126">
        <w:rPr>
          <w:lang w:val="en-GB"/>
        </w:rPr>
        <w:t xml:space="preserve">decided on which brands to support based on joint consultation. </w:t>
      </w:r>
      <w:r w:rsidR="00314825" w:rsidRPr="00E93126">
        <w:rPr>
          <w:lang w:val="en-GB"/>
        </w:rPr>
        <w:t>T</w:t>
      </w:r>
      <w:r w:rsidR="006A218B" w:rsidRPr="00E93126">
        <w:rPr>
          <w:lang w:val="en-GB"/>
        </w:rPr>
        <w:t xml:space="preserve">hese two </w:t>
      </w:r>
      <w:r w:rsidR="00FB6D92" w:rsidRPr="00E93126">
        <w:rPr>
          <w:lang w:val="en-GB"/>
        </w:rPr>
        <w:t>dealerships</w:t>
      </w:r>
      <w:r w:rsidR="006A218B" w:rsidRPr="00E93126">
        <w:rPr>
          <w:lang w:val="en-GB"/>
        </w:rPr>
        <w:t xml:space="preserve"> </w:t>
      </w:r>
      <w:r w:rsidR="00314825" w:rsidRPr="00E93126">
        <w:rPr>
          <w:lang w:val="en-GB"/>
        </w:rPr>
        <w:t xml:space="preserve">often </w:t>
      </w:r>
      <w:r w:rsidR="006A218B" w:rsidRPr="00E93126">
        <w:rPr>
          <w:lang w:val="en-GB"/>
        </w:rPr>
        <w:t xml:space="preserve">followed </w:t>
      </w:r>
      <w:r w:rsidR="00314825" w:rsidRPr="00E93126">
        <w:rPr>
          <w:lang w:val="en-GB"/>
        </w:rPr>
        <w:t xml:space="preserve">each other’s </w:t>
      </w:r>
      <w:r w:rsidR="006A218B" w:rsidRPr="00E93126">
        <w:rPr>
          <w:lang w:val="en-GB"/>
        </w:rPr>
        <w:t xml:space="preserve">successful strategies. </w:t>
      </w:r>
      <w:r w:rsidR="008A2F75">
        <w:rPr>
          <w:lang w:val="en-GB"/>
        </w:rPr>
        <w:t>Further, t</w:t>
      </w:r>
      <w:r w:rsidR="006A218B" w:rsidRPr="00E93126">
        <w:rPr>
          <w:lang w:val="en-GB"/>
        </w:rPr>
        <w:t>he owner of</w:t>
      </w:r>
      <w:r w:rsidR="00BC426A" w:rsidRPr="00E93126">
        <w:rPr>
          <w:lang w:val="en-GB"/>
        </w:rPr>
        <w:t xml:space="preserve"> Northeast </w:t>
      </w:r>
      <w:r w:rsidR="006A218B" w:rsidRPr="00E93126">
        <w:rPr>
          <w:lang w:val="en-GB"/>
        </w:rPr>
        <w:t xml:space="preserve">was a personal friend of </w:t>
      </w:r>
      <w:r w:rsidR="00605593" w:rsidRPr="00E93126">
        <w:rPr>
          <w:lang w:val="en-GB"/>
        </w:rPr>
        <w:t xml:space="preserve">the </w:t>
      </w:r>
      <w:r w:rsidR="006A218B" w:rsidRPr="00E93126">
        <w:rPr>
          <w:lang w:val="en-GB"/>
        </w:rPr>
        <w:t>owners of Abdul and Rahman. Together, the owners of these three outlets formed an informal cartel to put pressure on manufacturers and other dealers in the market.</w:t>
      </w:r>
    </w:p>
    <w:p w14:paraId="72B93FA0" w14:textId="77777777" w:rsidR="006A218B" w:rsidRPr="00E93126" w:rsidRDefault="006A218B" w:rsidP="006A218B">
      <w:pPr>
        <w:pStyle w:val="BodyTextMain"/>
        <w:rPr>
          <w:lang w:val="en-GB"/>
        </w:rPr>
      </w:pPr>
    </w:p>
    <w:p w14:paraId="47CAC3C7" w14:textId="77777777" w:rsidR="00FA0043" w:rsidRDefault="006A218B" w:rsidP="00FA0043">
      <w:pPr>
        <w:pStyle w:val="BodyTextMain"/>
        <w:rPr>
          <w:lang w:val="en-GB"/>
        </w:rPr>
      </w:pPr>
      <w:r w:rsidRPr="00E93126">
        <w:rPr>
          <w:lang w:val="en-GB"/>
        </w:rPr>
        <w:t>The</w:t>
      </w:r>
      <w:r w:rsidR="00FA0043">
        <w:rPr>
          <w:lang w:val="en-GB"/>
        </w:rPr>
        <w:t xml:space="preserve"> respective</w:t>
      </w:r>
      <w:r w:rsidRPr="00E93126">
        <w:rPr>
          <w:lang w:val="en-GB"/>
        </w:rPr>
        <w:t xml:space="preserve"> owners of Vision and Spectrum formed another team. </w:t>
      </w:r>
      <w:r w:rsidR="00FA0043" w:rsidRPr="00E93126">
        <w:rPr>
          <w:lang w:val="en-GB"/>
        </w:rPr>
        <w:t>They usually kept a low profile as dealers but were known to start the price competition in the market.</w:t>
      </w:r>
      <w:r w:rsidR="00FA0043">
        <w:rPr>
          <w:lang w:val="en-GB"/>
        </w:rPr>
        <w:t xml:space="preserve"> </w:t>
      </w:r>
      <w:r w:rsidR="00E80C28" w:rsidRPr="00E93126">
        <w:rPr>
          <w:lang w:val="en-GB"/>
        </w:rPr>
        <w:t xml:space="preserve">In addition to </w:t>
      </w:r>
      <w:r w:rsidR="00605593" w:rsidRPr="00E93126">
        <w:rPr>
          <w:lang w:val="en-GB"/>
        </w:rPr>
        <w:t xml:space="preserve">having been </w:t>
      </w:r>
      <w:r w:rsidRPr="00E93126">
        <w:rPr>
          <w:lang w:val="en-GB"/>
        </w:rPr>
        <w:t>classmates in school, they had become business friends because of the market situation</w:t>
      </w:r>
      <w:r w:rsidR="00FA0043">
        <w:rPr>
          <w:lang w:val="en-GB"/>
        </w:rPr>
        <w:t>;</w:t>
      </w:r>
      <w:r w:rsidRPr="00E93126">
        <w:rPr>
          <w:lang w:val="en-GB"/>
        </w:rPr>
        <w:t xml:space="preserve"> </w:t>
      </w:r>
      <w:r w:rsidR="00FA0043">
        <w:rPr>
          <w:lang w:val="en-GB"/>
        </w:rPr>
        <w:t>t</w:t>
      </w:r>
      <w:r w:rsidRPr="00E93126">
        <w:rPr>
          <w:lang w:val="en-GB"/>
        </w:rPr>
        <w:t xml:space="preserve">hey </w:t>
      </w:r>
      <w:r w:rsidR="00E80C28" w:rsidRPr="00E93126">
        <w:rPr>
          <w:lang w:val="en-GB"/>
        </w:rPr>
        <w:t xml:space="preserve">needed </w:t>
      </w:r>
      <w:r w:rsidRPr="00E93126">
        <w:rPr>
          <w:lang w:val="en-GB"/>
        </w:rPr>
        <w:t>to compete with the cartel of Abdul, Rahman</w:t>
      </w:r>
      <w:r w:rsidR="00E80C28" w:rsidRPr="00E93126">
        <w:rPr>
          <w:lang w:val="en-GB"/>
        </w:rPr>
        <w:t>,</w:t>
      </w:r>
      <w:r w:rsidRPr="00E93126">
        <w:rPr>
          <w:lang w:val="en-GB"/>
        </w:rPr>
        <w:t xml:space="preserve"> and Northeast </w:t>
      </w:r>
      <w:r w:rsidR="00E80C28" w:rsidRPr="00E93126">
        <w:rPr>
          <w:lang w:val="en-GB"/>
        </w:rPr>
        <w:t xml:space="preserve">on </w:t>
      </w:r>
      <w:r w:rsidRPr="00E93126">
        <w:rPr>
          <w:lang w:val="en-GB"/>
        </w:rPr>
        <w:t xml:space="preserve">one side and the giant </w:t>
      </w:r>
      <w:proofErr w:type="spellStart"/>
      <w:r w:rsidRPr="00E93126">
        <w:rPr>
          <w:lang w:val="en-GB"/>
        </w:rPr>
        <w:t>Induapp</w:t>
      </w:r>
      <w:proofErr w:type="spellEnd"/>
      <w:r w:rsidRPr="00E93126">
        <w:rPr>
          <w:lang w:val="en-GB"/>
        </w:rPr>
        <w:t xml:space="preserve"> </w:t>
      </w:r>
      <w:r w:rsidR="00E80C28" w:rsidRPr="00E93126">
        <w:rPr>
          <w:lang w:val="en-GB"/>
        </w:rPr>
        <w:t xml:space="preserve">on </w:t>
      </w:r>
      <w:r w:rsidRPr="00E93126">
        <w:rPr>
          <w:lang w:val="en-GB"/>
        </w:rPr>
        <w:t xml:space="preserve">the other. </w:t>
      </w:r>
    </w:p>
    <w:p w14:paraId="48C57D70" w14:textId="77777777" w:rsidR="00FA0043" w:rsidRDefault="00FA0043" w:rsidP="00FA0043">
      <w:pPr>
        <w:pStyle w:val="BodyTextMain"/>
        <w:rPr>
          <w:lang w:val="en-GB"/>
        </w:rPr>
      </w:pPr>
    </w:p>
    <w:p w14:paraId="5B6A0ADA" w14:textId="77777777" w:rsidR="006A218B" w:rsidRPr="00E93126" w:rsidRDefault="00FA0043" w:rsidP="006A218B">
      <w:pPr>
        <w:pStyle w:val="BodyTextMain"/>
        <w:rPr>
          <w:lang w:val="en-GB"/>
        </w:rPr>
      </w:pPr>
      <w:r>
        <w:rPr>
          <w:lang w:val="en-GB"/>
        </w:rPr>
        <w:t xml:space="preserve">Although </w:t>
      </w:r>
      <w:proofErr w:type="spellStart"/>
      <w:r>
        <w:rPr>
          <w:lang w:val="en-GB"/>
        </w:rPr>
        <w:t>Induapp</w:t>
      </w:r>
      <w:proofErr w:type="spellEnd"/>
      <w:r>
        <w:rPr>
          <w:lang w:val="en-GB"/>
        </w:rPr>
        <w:t xml:space="preserve"> operated independently, its</w:t>
      </w:r>
      <w:r w:rsidRPr="00E93126">
        <w:rPr>
          <w:lang w:val="en-GB"/>
        </w:rPr>
        <w:t xml:space="preserve"> strength</w:t>
      </w:r>
      <w:r>
        <w:rPr>
          <w:lang w:val="en-GB"/>
        </w:rPr>
        <w:t>s</w:t>
      </w:r>
      <w:r w:rsidRPr="00E93126">
        <w:rPr>
          <w:lang w:val="en-GB"/>
        </w:rPr>
        <w:t xml:space="preserve"> w</w:t>
      </w:r>
      <w:r>
        <w:rPr>
          <w:lang w:val="en-GB"/>
        </w:rPr>
        <w:t>ere</w:t>
      </w:r>
      <w:r w:rsidRPr="00E93126">
        <w:rPr>
          <w:lang w:val="en-GB"/>
        </w:rPr>
        <w:t xml:space="preserve"> </w:t>
      </w:r>
      <w:r>
        <w:rPr>
          <w:lang w:val="en-GB"/>
        </w:rPr>
        <w:t xml:space="preserve">significant: </w:t>
      </w:r>
      <w:r w:rsidRPr="00E93126">
        <w:rPr>
          <w:lang w:val="en-GB"/>
        </w:rPr>
        <w:t xml:space="preserve">sound business strategy, financial muscle, and marketing acumen. An undercurrent of competition existed between </w:t>
      </w:r>
      <w:proofErr w:type="spellStart"/>
      <w:r w:rsidRPr="00E93126">
        <w:rPr>
          <w:lang w:val="en-GB"/>
        </w:rPr>
        <w:t>Induapp</w:t>
      </w:r>
      <w:proofErr w:type="spellEnd"/>
      <w:r w:rsidRPr="00E93126">
        <w:rPr>
          <w:lang w:val="en-GB"/>
        </w:rPr>
        <w:t xml:space="preserve"> and the other appliance players in the Denpasar market</w:t>
      </w:r>
      <w:r>
        <w:rPr>
          <w:lang w:val="en-GB"/>
        </w:rPr>
        <w:t>, as</w:t>
      </w:r>
      <w:r w:rsidRPr="00E93126">
        <w:rPr>
          <w:lang w:val="en-GB"/>
        </w:rPr>
        <w:t xml:space="preserve"> </w:t>
      </w:r>
      <w:r>
        <w:rPr>
          <w:lang w:val="en-GB"/>
        </w:rPr>
        <w:t>every</w:t>
      </w:r>
      <w:r w:rsidRPr="00E93126">
        <w:rPr>
          <w:lang w:val="en-GB"/>
        </w:rPr>
        <w:t xml:space="preserve"> appliance</w:t>
      </w:r>
      <w:r>
        <w:rPr>
          <w:lang w:val="en-GB"/>
        </w:rPr>
        <w:t xml:space="preserve"> firm </w:t>
      </w:r>
      <w:r w:rsidRPr="00E93126">
        <w:rPr>
          <w:lang w:val="en-GB"/>
        </w:rPr>
        <w:t xml:space="preserve">aspired to become </w:t>
      </w:r>
      <w:r>
        <w:rPr>
          <w:lang w:val="en-GB"/>
        </w:rPr>
        <w:t>as successful</w:t>
      </w:r>
      <w:r w:rsidRPr="00E93126">
        <w:rPr>
          <w:lang w:val="en-GB"/>
        </w:rPr>
        <w:t xml:space="preserve"> as </w:t>
      </w:r>
      <w:proofErr w:type="spellStart"/>
      <w:r w:rsidRPr="00E93126">
        <w:rPr>
          <w:lang w:val="en-GB"/>
        </w:rPr>
        <w:t>Induapp</w:t>
      </w:r>
      <w:proofErr w:type="spellEnd"/>
      <w:r w:rsidRPr="00E93126">
        <w:rPr>
          <w:lang w:val="en-GB"/>
        </w:rPr>
        <w:t>.</w:t>
      </w:r>
    </w:p>
    <w:p w14:paraId="0E2F2CE2" w14:textId="77777777" w:rsidR="006A218B" w:rsidRPr="00E93126" w:rsidRDefault="006A218B" w:rsidP="006A218B">
      <w:pPr>
        <w:pStyle w:val="BodyTextMain"/>
        <w:rPr>
          <w:lang w:val="en-GB"/>
        </w:rPr>
      </w:pPr>
    </w:p>
    <w:p w14:paraId="42D98BDB" w14:textId="77777777" w:rsidR="006A218B" w:rsidRPr="00E93126" w:rsidRDefault="006A218B" w:rsidP="006A218B">
      <w:pPr>
        <w:pStyle w:val="BodyTextMain"/>
        <w:rPr>
          <w:lang w:val="en-GB"/>
        </w:rPr>
      </w:pPr>
      <w:r w:rsidRPr="00E93126">
        <w:rPr>
          <w:lang w:val="en-GB"/>
        </w:rPr>
        <w:t xml:space="preserve">Other </w:t>
      </w:r>
      <w:r w:rsidR="00E80C28" w:rsidRPr="00E93126">
        <w:rPr>
          <w:lang w:val="en-GB"/>
        </w:rPr>
        <w:t xml:space="preserve">players </w:t>
      </w:r>
      <w:r w:rsidRPr="00E93126">
        <w:rPr>
          <w:lang w:val="en-GB"/>
        </w:rPr>
        <w:t xml:space="preserve">in </w:t>
      </w:r>
      <w:r w:rsidR="00E80C28" w:rsidRPr="00E93126">
        <w:rPr>
          <w:lang w:val="en-GB"/>
        </w:rPr>
        <w:t xml:space="preserve">the </w:t>
      </w:r>
      <w:r w:rsidRPr="00E93126">
        <w:rPr>
          <w:lang w:val="en-GB"/>
        </w:rPr>
        <w:t xml:space="preserve">Denpasar </w:t>
      </w:r>
      <w:r w:rsidR="00E80C28" w:rsidRPr="00E93126">
        <w:rPr>
          <w:lang w:val="en-GB"/>
        </w:rPr>
        <w:t xml:space="preserve">appliance </w:t>
      </w:r>
      <w:r w:rsidRPr="00E93126">
        <w:rPr>
          <w:lang w:val="en-GB"/>
        </w:rPr>
        <w:t>market were essentially independent businesses focusing on their individual profit maximization. They did not have much clout in the market to influence company policies</w:t>
      </w:r>
      <w:r w:rsidR="00E733FD">
        <w:rPr>
          <w:lang w:val="en-GB"/>
        </w:rPr>
        <w:t>,</w:t>
      </w:r>
      <w:r w:rsidRPr="00E93126">
        <w:rPr>
          <w:lang w:val="en-GB"/>
        </w:rPr>
        <w:t xml:space="preserve"> and </w:t>
      </w:r>
      <w:r w:rsidR="00E80C28" w:rsidRPr="00E93126">
        <w:rPr>
          <w:lang w:val="en-GB"/>
        </w:rPr>
        <w:t xml:space="preserve">conducted </w:t>
      </w:r>
      <w:r w:rsidRPr="00E93126">
        <w:rPr>
          <w:lang w:val="en-GB"/>
        </w:rPr>
        <w:t>their business without much fuss.</w:t>
      </w:r>
    </w:p>
    <w:p w14:paraId="2ED71B6A" w14:textId="77777777" w:rsidR="006A218B" w:rsidRPr="00E93126" w:rsidRDefault="006A218B" w:rsidP="006A218B">
      <w:pPr>
        <w:pStyle w:val="BodyTextMain"/>
        <w:rPr>
          <w:lang w:val="en-GB"/>
        </w:rPr>
      </w:pPr>
    </w:p>
    <w:p w14:paraId="0D437698" w14:textId="77777777" w:rsidR="006A218B" w:rsidRPr="00E93126" w:rsidRDefault="006A218B" w:rsidP="006A218B">
      <w:pPr>
        <w:pStyle w:val="BodyTextMain"/>
        <w:rPr>
          <w:lang w:val="en-GB"/>
        </w:rPr>
      </w:pPr>
    </w:p>
    <w:p w14:paraId="70296AD3" w14:textId="77777777" w:rsidR="006A218B" w:rsidRPr="00E93126" w:rsidRDefault="006A218B" w:rsidP="002A1025">
      <w:pPr>
        <w:pStyle w:val="Casehead2"/>
        <w:keepNext/>
        <w:outlineLvl w:val="0"/>
        <w:rPr>
          <w:rFonts w:eastAsiaTheme="minorHAnsi"/>
          <w:lang w:val="en-GB"/>
        </w:rPr>
      </w:pPr>
      <w:r w:rsidRPr="00E93126">
        <w:rPr>
          <w:rFonts w:eastAsiaTheme="minorHAnsi"/>
          <w:lang w:val="en-GB"/>
        </w:rPr>
        <w:t xml:space="preserve">Consumer </w:t>
      </w:r>
      <w:r w:rsidR="00E80C28" w:rsidRPr="00E93126">
        <w:rPr>
          <w:rFonts w:eastAsiaTheme="minorHAnsi"/>
          <w:lang w:val="en-GB"/>
        </w:rPr>
        <w:t xml:space="preserve">and </w:t>
      </w:r>
      <w:r w:rsidRPr="00E93126">
        <w:rPr>
          <w:rFonts w:eastAsiaTheme="minorHAnsi"/>
          <w:lang w:val="en-GB"/>
        </w:rPr>
        <w:t xml:space="preserve">Channel </w:t>
      </w:r>
      <w:r w:rsidR="00E80C28" w:rsidRPr="00E93126">
        <w:rPr>
          <w:rFonts w:eastAsiaTheme="minorHAnsi"/>
          <w:lang w:val="en-GB"/>
        </w:rPr>
        <w:t>B</w:t>
      </w:r>
      <w:r w:rsidRPr="00E93126">
        <w:rPr>
          <w:rFonts w:eastAsiaTheme="minorHAnsi"/>
          <w:lang w:val="en-GB"/>
        </w:rPr>
        <w:t>ehavio</w:t>
      </w:r>
      <w:r w:rsidR="00E80C28" w:rsidRPr="00E93126">
        <w:rPr>
          <w:rFonts w:eastAsiaTheme="minorHAnsi"/>
          <w:lang w:val="en-GB"/>
        </w:rPr>
        <w:t>u</w:t>
      </w:r>
      <w:r w:rsidRPr="00E93126">
        <w:rPr>
          <w:rFonts w:eastAsiaTheme="minorHAnsi"/>
          <w:lang w:val="en-GB"/>
        </w:rPr>
        <w:t>r</w:t>
      </w:r>
    </w:p>
    <w:p w14:paraId="7FF41709" w14:textId="77777777" w:rsidR="006A218B" w:rsidRPr="00E93126" w:rsidRDefault="006A218B" w:rsidP="002A1025">
      <w:pPr>
        <w:pStyle w:val="BodyTextMain"/>
        <w:keepNext/>
        <w:jc w:val="right"/>
        <w:rPr>
          <w:rFonts w:eastAsiaTheme="minorHAnsi"/>
          <w:lang w:val="en-GB"/>
        </w:rPr>
      </w:pPr>
    </w:p>
    <w:p w14:paraId="5224B42C" w14:textId="2EA175E6" w:rsidR="006A218B" w:rsidRPr="00E93126" w:rsidRDefault="00E80C28" w:rsidP="002A1025">
      <w:pPr>
        <w:pStyle w:val="BodyTextMain"/>
        <w:keepNext/>
        <w:rPr>
          <w:lang w:val="en-GB"/>
        </w:rPr>
      </w:pPr>
      <w:r w:rsidRPr="00E93126">
        <w:rPr>
          <w:lang w:val="en-GB"/>
        </w:rPr>
        <w:t>P</w:t>
      </w:r>
      <w:r w:rsidR="006A218B" w:rsidRPr="00E93126">
        <w:rPr>
          <w:lang w:val="en-GB"/>
        </w:rPr>
        <w:t xml:space="preserve">rospective </w:t>
      </w:r>
      <w:r w:rsidR="00AB4A6C">
        <w:rPr>
          <w:lang w:val="en-GB"/>
        </w:rPr>
        <w:t>a</w:t>
      </w:r>
      <w:r w:rsidR="005A5017">
        <w:rPr>
          <w:lang w:val="en-GB"/>
        </w:rPr>
        <w:t xml:space="preserve">ir conditioner </w:t>
      </w:r>
      <w:r w:rsidR="006A218B" w:rsidRPr="00E93126">
        <w:rPr>
          <w:lang w:val="en-GB"/>
        </w:rPr>
        <w:t>customers</w:t>
      </w:r>
      <w:r w:rsidR="005A5017">
        <w:rPr>
          <w:lang w:val="en-GB"/>
        </w:rPr>
        <w:t xml:space="preserve"> in Indonesia</w:t>
      </w:r>
      <w:r w:rsidR="006A218B" w:rsidRPr="00E93126">
        <w:rPr>
          <w:lang w:val="en-GB"/>
        </w:rPr>
        <w:t xml:space="preserve"> </w:t>
      </w:r>
      <w:r w:rsidR="00344FB0" w:rsidRPr="00E93126">
        <w:rPr>
          <w:lang w:val="en-GB"/>
        </w:rPr>
        <w:t xml:space="preserve">typically </w:t>
      </w:r>
      <w:r w:rsidR="006A218B" w:rsidRPr="00E93126">
        <w:rPr>
          <w:lang w:val="en-GB"/>
        </w:rPr>
        <w:t xml:space="preserve">visited a </w:t>
      </w:r>
      <w:r w:rsidR="00344FB0" w:rsidRPr="00E93126">
        <w:rPr>
          <w:lang w:val="en-GB"/>
        </w:rPr>
        <w:t xml:space="preserve">retailer’s </w:t>
      </w:r>
      <w:r w:rsidR="006A218B" w:rsidRPr="00E93126">
        <w:rPr>
          <w:lang w:val="en-GB"/>
        </w:rPr>
        <w:t xml:space="preserve">counter and selected the brand and the model they </w:t>
      </w:r>
      <w:r w:rsidRPr="00E93126">
        <w:rPr>
          <w:lang w:val="en-GB"/>
        </w:rPr>
        <w:t>wanted</w:t>
      </w:r>
      <w:r w:rsidR="006A218B" w:rsidRPr="00E93126">
        <w:rPr>
          <w:lang w:val="en-GB"/>
        </w:rPr>
        <w:t xml:space="preserve"> to buy. </w:t>
      </w:r>
      <w:r w:rsidR="005A5017">
        <w:rPr>
          <w:lang w:val="en-GB"/>
        </w:rPr>
        <w:t>T</w:t>
      </w:r>
      <w:r w:rsidR="005A5017" w:rsidRPr="00E93126">
        <w:rPr>
          <w:lang w:val="en-GB"/>
        </w:rPr>
        <w:t>hen</w:t>
      </w:r>
      <w:r w:rsidR="005A5017">
        <w:rPr>
          <w:lang w:val="en-GB"/>
        </w:rPr>
        <w:t xml:space="preserve"> t</w:t>
      </w:r>
      <w:r w:rsidRPr="00E93126">
        <w:rPr>
          <w:lang w:val="en-GB"/>
        </w:rPr>
        <w:t>he</w:t>
      </w:r>
      <w:r w:rsidR="006A218B" w:rsidRPr="00E93126">
        <w:rPr>
          <w:lang w:val="en-GB"/>
        </w:rPr>
        <w:t xml:space="preserve"> price negotiations</w:t>
      </w:r>
      <w:r w:rsidRPr="00E93126">
        <w:rPr>
          <w:lang w:val="en-GB"/>
        </w:rPr>
        <w:t xml:space="preserve"> began</w:t>
      </w:r>
      <w:r w:rsidR="006A218B" w:rsidRPr="00E93126">
        <w:rPr>
          <w:lang w:val="en-GB"/>
        </w:rPr>
        <w:t xml:space="preserve">. </w:t>
      </w:r>
      <w:r w:rsidR="005A5017">
        <w:rPr>
          <w:lang w:val="en-GB"/>
        </w:rPr>
        <w:t>After knowing the best offer price from the r</w:t>
      </w:r>
      <w:r w:rsidR="00AF475B">
        <w:rPr>
          <w:lang w:val="en-GB"/>
        </w:rPr>
        <w:t>e</w:t>
      </w:r>
      <w:r w:rsidR="005A5017">
        <w:rPr>
          <w:lang w:val="en-GB"/>
        </w:rPr>
        <w:t>tail counter</w:t>
      </w:r>
      <w:r w:rsidRPr="00E93126">
        <w:rPr>
          <w:lang w:val="en-GB"/>
        </w:rPr>
        <w:t>,</w:t>
      </w:r>
      <w:r w:rsidR="006A218B" w:rsidRPr="00E93126">
        <w:rPr>
          <w:lang w:val="en-GB"/>
        </w:rPr>
        <w:t xml:space="preserve"> </w:t>
      </w:r>
      <w:r w:rsidRPr="00E93126">
        <w:rPr>
          <w:lang w:val="en-GB"/>
        </w:rPr>
        <w:t xml:space="preserve">customers </w:t>
      </w:r>
      <w:r w:rsidR="00D35C58">
        <w:rPr>
          <w:lang w:val="en-GB"/>
        </w:rPr>
        <w:t>conducted</w:t>
      </w:r>
      <w:r w:rsidR="00D35C58" w:rsidRPr="00E93126">
        <w:rPr>
          <w:lang w:val="en-GB"/>
        </w:rPr>
        <w:t xml:space="preserve"> </w:t>
      </w:r>
      <w:r w:rsidR="006A218B" w:rsidRPr="00E93126">
        <w:rPr>
          <w:lang w:val="en-GB"/>
        </w:rPr>
        <w:t xml:space="preserve">a price comparison across </w:t>
      </w:r>
      <w:r w:rsidR="001F6098">
        <w:rPr>
          <w:lang w:val="en-GB"/>
        </w:rPr>
        <w:t xml:space="preserve">other </w:t>
      </w:r>
      <w:r w:rsidR="006A218B" w:rsidRPr="00E93126">
        <w:rPr>
          <w:lang w:val="en-GB"/>
        </w:rPr>
        <w:t>counter</w:t>
      </w:r>
      <w:r w:rsidRPr="00E93126">
        <w:rPr>
          <w:lang w:val="en-GB"/>
        </w:rPr>
        <w:t>s</w:t>
      </w:r>
      <w:r w:rsidR="006A218B" w:rsidRPr="00E93126">
        <w:rPr>
          <w:lang w:val="en-GB"/>
        </w:rPr>
        <w:t xml:space="preserve">. For example, </w:t>
      </w:r>
      <w:r w:rsidR="006A218B" w:rsidRPr="00E93126">
        <w:rPr>
          <w:lang w:val="en-GB"/>
        </w:rPr>
        <w:lastRenderedPageBreak/>
        <w:t xml:space="preserve">if 100 customers </w:t>
      </w:r>
      <w:r w:rsidRPr="00E93126">
        <w:rPr>
          <w:lang w:val="en-GB"/>
        </w:rPr>
        <w:t xml:space="preserve">went to </w:t>
      </w:r>
      <w:proofErr w:type="spellStart"/>
      <w:r w:rsidRPr="00E93126">
        <w:rPr>
          <w:lang w:val="en-GB"/>
        </w:rPr>
        <w:t>Beringharjo</w:t>
      </w:r>
      <w:proofErr w:type="spellEnd"/>
      <w:r w:rsidRPr="00E93126">
        <w:rPr>
          <w:lang w:val="en-GB"/>
        </w:rPr>
        <w:t xml:space="preserve"> </w:t>
      </w:r>
      <w:r w:rsidR="006A218B" w:rsidRPr="00E93126">
        <w:rPr>
          <w:lang w:val="en-GB"/>
        </w:rPr>
        <w:t xml:space="preserve">to buy </w:t>
      </w:r>
      <w:r w:rsidRPr="00E93126">
        <w:rPr>
          <w:lang w:val="en-GB"/>
        </w:rPr>
        <w:t xml:space="preserve">an </w:t>
      </w:r>
      <w:r w:rsidR="006A218B" w:rsidRPr="00E93126">
        <w:rPr>
          <w:lang w:val="en-GB"/>
        </w:rPr>
        <w:t xml:space="preserve">air conditioner </w:t>
      </w:r>
      <w:r w:rsidRPr="00E93126">
        <w:rPr>
          <w:lang w:val="en-GB"/>
        </w:rPr>
        <w:t xml:space="preserve">from </w:t>
      </w:r>
      <w:r w:rsidR="006A218B" w:rsidRPr="00E93126">
        <w:rPr>
          <w:lang w:val="en-GB"/>
        </w:rPr>
        <w:t>Rahman</w:t>
      </w:r>
      <w:r w:rsidRPr="00E93126">
        <w:rPr>
          <w:lang w:val="en-GB"/>
        </w:rPr>
        <w:t>,</w:t>
      </w:r>
      <w:r w:rsidR="006A218B" w:rsidRPr="00E93126">
        <w:rPr>
          <w:lang w:val="en-GB"/>
        </w:rPr>
        <w:t xml:space="preserve"> 15 of them did not visit any other counter and purchased from Rahman after price negotiations</w:t>
      </w:r>
      <w:r w:rsidRPr="00E93126">
        <w:rPr>
          <w:lang w:val="en-GB"/>
        </w:rPr>
        <w:t>;</w:t>
      </w:r>
      <w:r w:rsidR="006A218B" w:rsidRPr="00E93126">
        <w:rPr>
          <w:lang w:val="en-GB"/>
        </w:rPr>
        <w:t xml:space="preserve"> 60 customers went to other counters in </w:t>
      </w:r>
      <w:proofErr w:type="spellStart"/>
      <w:r w:rsidR="006A218B" w:rsidRPr="00E93126">
        <w:rPr>
          <w:lang w:val="en-GB"/>
        </w:rPr>
        <w:t>Beringharjo</w:t>
      </w:r>
      <w:proofErr w:type="spellEnd"/>
      <w:r w:rsidR="006A218B" w:rsidRPr="00E93126">
        <w:rPr>
          <w:lang w:val="en-GB"/>
        </w:rPr>
        <w:t xml:space="preserve"> and enquired about the price</w:t>
      </w:r>
      <w:r w:rsidRPr="00E93126">
        <w:rPr>
          <w:lang w:val="en-GB"/>
        </w:rPr>
        <w:t>;</w:t>
      </w:r>
      <w:r w:rsidR="006A218B" w:rsidRPr="00E93126">
        <w:rPr>
          <w:lang w:val="en-GB"/>
        </w:rPr>
        <w:t xml:space="preserve"> </w:t>
      </w:r>
      <w:r w:rsidRPr="00E93126">
        <w:rPr>
          <w:lang w:val="en-GB"/>
        </w:rPr>
        <w:t>and the b</w:t>
      </w:r>
      <w:r w:rsidR="006A218B" w:rsidRPr="00E93126">
        <w:rPr>
          <w:lang w:val="en-GB"/>
        </w:rPr>
        <w:t xml:space="preserve">alance </w:t>
      </w:r>
      <w:r w:rsidRPr="00E93126">
        <w:rPr>
          <w:lang w:val="en-GB"/>
        </w:rPr>
        <w:t xml:space="preserve">of </w:t>
      </w:r>
      <w:r w:rsidR="006A218B" w:rsidRPr="00E93126">
        <w:rPr>
          <w:lang w:val="en-GB"/>
        </w:rPr>
        <w:t xml:space="preserve">25 </w:t>
      </w:r>
      <w:r w:rsidRPr="00E93126">
        <w:rPr>
          <w:lang w:val="en-GB"/>
        </w:rPr>
        <w:t xml:space="preserve">customers </w:t>
      </w:r>
      <w:r w:rsidR="006A218B" w:rsidRPr="00E93126">
        <w:rPr>
          <w:lang w:val="en-GB"/>
        </w:rPr>
        <w:t>went to counters in all the three markets (</w:t>
      </w:r>
      <w:proofErr w:type="spellStart"/>
      <w:r w:rsidR="006A218B" w:rsidRPr="00E93126">
        <w:rPr>
          <w:lang w:val="en-GB"/>
        </w:rPr>
        <w:t>Beringharjo</w:t>
      </w:r>
      <w:proofErr w:type="spellEnd"/>
      <w:r w:rsidR="006A218B" w:rsidRPr="00E93126">
        <w:rPr>
          <w:lang w:val="en-GB"/>
        </w:rPr>
        <w:t xml:space="preserve">, </w:t>
      </w:r>
      <w:proofErr w:type="spellStart"/>
      <w:r w:rsidR="006A218B" w:rsidRPr="00E93126">
        <w:rPr>
          <w:lang w:val="en-GB"/>
        </w:rPr>
        <w:t>Baru</w:t>
      </w:r>
      <w:proofErr w:type="spellEnd"/>
      <w:r w:rsidRPr="00E93126">
        <w:rPr>
          <w:lang w:val="en-GB"/>
        </w:rPr>
        <w:t>,</w:t>
      </w:r>
      <w:r w:rsidR="006A218B" w:rsidRPr="00E93126">
        <w:rPr>
          <w:lang w:val="en-GB"/>
        </w:rPr>
        <w:t xml:space="preserve"> and Santa Modern) before making their final purchase decision. The 85 customers who compared prices across counters </w:t>
      </w:r>
      <w:r w:rsidRPr="00E93126">
        <w:rPr>
          <w:lang w:val="en-GB"/>
        </w:rPr>
        <w:t xml:space="preserve">usually </w:t>
      </w:r>
      <w:r w:rsidR="006A218B" w:rsidRPr="00E93126">
        <w:rPr>
          <w:lang w:val="en-GB"/>
        </w:rPr>
        <w:t xml:space="preserve">bought from </w:t>
      </w:r>
      <w:r w:rsidRPr="00E93126">
        <w:rPr>
          <w:lang w:val="en-GB"/>
        </w:rPr>
        <w:t xml:space="preserve">the </w:t>
      </w:r>
      <w:r w:rsidR="006A218B" w:rsidRPr="00E93126">
        <w:rPr>
          <w:lang w:val="en-GB"/>
        </w:rPr>
        <w:t>dealer who had offered the lowest price for the model of their choice.</w:t>
      </w:r>
    </w:p>
    <w:p w14:paraId="6520D838" w14:textId="77777777" w:rsidR="006A218B" w:rsidRPr="00E93126" w:rsidRDefault="006A218B" w:rsidP="006A218B">
      <w:pPr>
        <w:pStyle w:val="BodyTextMain"/>
        <w:rPr>
          <w:lang w:val="en-GB"/>
        </w:rPr>
      </w:pPr>
    </w:p>
    <w:p w14:paraId="3813CD30" w14:textId="77777777" w:rsidR="006A218B" w:rsidRPr="00E3419F" w:rsidRDefault="00E80C28" w:rsidP="006A218B">
      <w:pPr>
        <w:pStyle w:val="BodyTextMain"/>
        <w:rPr>
          <w:spacing w:val="-4"/>
          <w:kern w:val="22"/>
          <w:lang w:val="en-GB"/>
        </w:rPr>
      </w:pPr>
      <w:r w:rsidRPr="00E3419F">
        <w:rPr>
          <w:spacing w:val="-4"/>
          <w:kern w:val="22"/>
          <w:lang w:val="en-GB"/>
        </w:rPr>
        <w:t>The d</w:t>
      </w:r>
      <w:r w:rsidR="006A218B" w:rsidRPr="00E3419F">
        <w:rPr>
          <w:spacing w:val="-4"/>
          <w:kern w:val="22"/>
          <w:lang w:val="en-GB"/>
        </w:rPr>
        <w:t xml:space="preserve">ealer’s motivation to sell a particular brand of air conditioner was directly proportional to the margin </w:t>
      </w:r>
      <w:r w:rsidRPr="00E3419F">
        <w:rPr>
          <w:spacing w:val="-4"/>
          <w:kern w:val="22"/>
          <w:lang w:val="en-GB"/>
        </w:rPr>
        <w:t>the dealer would make</w:t>
      </w:r>
      <w:r w:rsidR="006A218B" w:rsidRPr="00E3419F">
        <w:rPr>
          <w:spacing w:val="-4"/>
          <w:kern w:val="22"/>
          <w:lang w:val="en-GB"/>
        </w:rPr>
        <w:t xml:space="preserve">. </w:t>
      </w:r>
      <w:r w:rsidR="00344FB0" w:rsidRPr="00E3419F">
        <w:rPr>
          <w:spacing w:val="-4"/>
          <w:kern w:val="22"/>
          <w:lang w:val="en-GB"/>
        </w:rPr>
        <w:t>The m</w:t>
      </w:r>
      <w:r w:rsidR="006A218B" w:rsidRPr="00E3419F">
        <w:rPr>
          <w:spacing w:val="-4"/>
          <w:kern w:val="22"/>
          <w:lang w:val="en-GB"/>
        </w:rPr>
        <w:t xml:space="preserve">argin was typically </w:t>
      </w:r>
      <w:r w:rsidR="000953D0" w:rsidRPr="00E3419F">
        <w:rPr>
          <w:spacing w:val="-4"/>
          <w:kern w:val="22"/>
          <w:lang w:val="en-GB"/>
        </w:rPr>
        <w:t xml:space="preserve">less if there was another nearby </w:t>
      </w:r>
      <w:r w:rsidR="00E93126" w:rsidRPr="00E3419F">
        <w:rPr>
          <w:spacing w:val="-4"/>
          <w:kern w:val="22"/>
          <w:lang w:val="en-GB"/>
        </w:rPr>
        <w:t>counter selling</w:t>
      </w:r>
      <w:r w:rsidR="006A218B" w:rsidRPr="00E3419F">
        <w:rPr>
          <w:spacing w:val="-4"/>
          <w:kern w:val="22"/>
          <w:lang w:val="en-GB"/>
        </w:rPr>
        <w:t xml:space="preserve"> the same brand.</w:t>
      </w:r>
      <w:r w:rsidR="000953D0" w:rsidRPr="00E3419F">
        <w:rPr>
          <w:spacing w:val="-4"/>
          <w:kern w:val="22"/>
          <w:lang w:val="en-GB"/>
        </w:rPr>
        <w:t xml:space="preserve"> If any dealer did not have a competitor in its </w:t>
      </w:r>
      <w:r w:rsidR="00E93126" w:rsidRPr="00E3419F">
        <w:rPr>
          <w:spacing w:val="-4"/>
          <w:kern w:val="22"/>
          <w:lang w:val="en-GB"/>
        </w:rPr>
        <w:t>vicinity</w:t>
      </w:r>
      <w:r w:rsidR="000953D0" w:rsidRPr="00E3419F">
        <w:rPr>
          <w:spacing w:val="-4"/>
          <w:kern w:val="22"/>
          <w:lang w:val="en-GB"/>
        </w:rPr>
        <w:t xml:space="preserve">, </w:t>
      </w:r>
      <w:r w:rsidR="00D35C58" w:rsidRPr="00E3419F">
        <w:rPr>
          <w:spacing w:val="-4"/>
          <w:kern w:val="22"/>
          <w:lang w:val="en-GB"/>
        </w:rPr>
        <w:t>then it</w:t>
      </w:r>
      <w:r w:rsidR="000953D0" w:rsidRPr="00E3419F">
        <w:rPr>
          <w:spacing w:val="-4"/>
          <w:kern w:val="22"/>
          <w:lang w:val="en-GB"/>
        </w:rPr>
        <w:t xml:space="preserve"> </w:t>
      </w:r>
      <w:r w:rsidR="00D35C58" w:rsidRPr="00E3419F">
        <w:rPr>
          <w:spacing w:val="-4"/>
          <w:kern w:val="22"/>
          <w:lang w:val="en-GB"/>
        </w:rPr>
        <w:t xml:space="preserve">could be </w:t>
      </w:r>
      <w:r w:rsidR="000953D0" w:rsidRPr="00E3419F">
        <w:rPr>
          <w:spacing w:val="-4"/>
          <w:kern w:val="22"/>
          <w:lang w:val="en-GB"/>
        </w:rPr>
        <w:t>sure that the customer would not find a better price on the specific brand</w:t>
      </w:r>
      <w:r w:rsidR="00CC09EA" w:rsidRPr="00E3419F">
        <w:rPr>
          <w:spacing w:val="-4"/>
          <w:kern w:val="22"/>
          <w:lang w:val="en-GB"/>
        </w:rPr>
        <w:t>;</w:t>
      </w:r>
      <w:r w:rsidR="000953D0" w:rsidRPr="00E3419F">
        <w:rPr>
          <w:spacing w:val="-4"/>
          <w:kern w:val="22"/>
          <w:lang w:val="en-GB"/>
        </w:rPr>
        <w:t xml:space="preserve"> hence</w:t>
      </w:r>
      <w:r w:rsidR="00CC09EA" w:rsidRPr="00E3419F">
        <w:rPr>
          <w:spacing w:val="-4"/>
          <w:kern w:val="22"/>
          <w:lang w:val="en-GB"/>
        </w:rPr>
        <w:t>,</w:t>
      </w:r>
      <w:r w:rsidR="000953D0" w:rsidRPr="00E3419F">
        <w:rPr>
          <w:spacing w:val="-4"/>
          <w:kern w:val="22"/>
          <w:lang w:val="en-GB"/>
        </w:rPr>
        <w:t xml:space="preserve"> </w:t>
      </w:r>
      <w:r w:rsidR="00CC09EA" w:rsidRPr="00E3419F">
        <w:rPr>
          <w:spacing w:val="-4"/>
          <w:kern w:val="22"/>
          <w:lang w:val="en-GB"/>
        </w:rPr>
        <w:t xml:space="preserve">the dealer </w:t>
      </w:r>
      <w:r w:rsidR="000953D0" w:rsidRPr="00E3419F">
        <w:rPr>
          <w:spacing w:val="-4"/>
          <w:kern w:val="22"/>
          <w:lang w:val="en-GB"/>
        </w:rPr>
        <w:t xml:space="preserve">could charge a </w:t>
      </w:r>
      <w:r w:rsidR="00D35C58" w:rsidRPr="00E3419F">
        <w:rPr>
          <w:spacing w:val="-4"/>
          <w:kern w:val="22"/>
          <w:lang w:val="en-GB"/>
        </w:rPr>
        <w:t xml:space="preserve">higher </w:t>
      </w:r>
      <w:r w:rsidR="000953D0" w:rsidRPr="00E3419F">
        <w:rPr>
          <w:spacing w:val="-4"/>
          <w:kern w:val="22"/>
          <w:lang w:val="en-GB"/>
        </w:rPr>
        <w:t>price.</w:t>
      </w:r>
      <w:r w:rsidR="006A218B" w:rsidRPr="00E3419F">
        <w:rPr>
          <w:spacing w:val="-4"/>
          <w:kern w:val="22"/>
          <w:lang w:val="en-GB"/>
        </w:rPr>
        <w:t xml:space="preserve"> </w:t>
      </w:r>
      <w:r w:rsidR="00E45E7F" w:rsidRPr="00E3419F">
        <w:rPr>
          <w:spacing w:val="-4"/>
          <w:kern w:val="22"/>
          <w:lang w:val="en-GB"/>
        </w:rPr>
        <w:t>The a</w:t>
      </w:r>
      <w:r w:rsidR="006A218B" w:rsidRPr="00E3419F">
        <w:rPr>
          <w:spacing w:val="-4"/>
          <w:kern w:val="22"/>
          <w:lang w:val="en-GB"/>
        </w:rPr>
        <w:t xml:space="preserve">ir conditioner business showed characteristics </w:t>
      </w:r>
      <w:r w:rsidR="00D35C58" w:rsidRPr="00E3419F">
        <w:rPr>
          <w:spacing w:val="-4"/>
          <w:kern w:val="22"/>
          <w:lang w:val="en-GB"/>
        </w:rPr>
        <w:t>th</w:t>
      </w:r>
      <w:bookmarkStart w:id="0" w:name="_GoBack"/>
      <w:bookmarkEnd w:id="0"/>
      <w:r w:rsidR="00D35C58" w:rsidRPr="00E3419F">
        <w:rPr>
          <w:spacing w:val="-4"/>
          <w:kern w:val="22"/>
          <w:lang w:val="en-GB"/>
        </w:rPr>
        <w:t xml:space="preserve">at were typical </w:t>
      </w:r>
      <w:r w:rsidR="006A218B" w:rsidRPr="00E3419F">
        <w:rPr>
          <w:spacing w:val="-4"/>
          <w:kern w:val="22"/>
          <w:lang w:val="en-GB"/>
        </w:rPr>
        <w:t xml:space="preserve">of </w:t>
      </w:r>
      <w:r w:rsidR="00D35C58" w:rsidRPr="00E3419F">
        <w:rPr>
          <w:spacing w:val="-4"/>
          <w:kern w:val="22"/>
          <w:lang w:val="en-GB"/>
        </w:rPr>
        <w:t xml:space="preserve">the </w:t>
      </w:r>
      <w:r w:rsidR="006A218B" w:rsidRPr="00E3419F">
        <w:rPr>
          <w:spacing w:val="-4"/>
          <w:kern w:val="22"/>
          <w:lang w:val="en-GB"/>
        </w:rPr>
        <w:t>consumer durables</w:t>
      </w:r>
      <w:r w:rsidR="00D35C58" w:rsidRPr="00E3419F">
        <w:rPr>
          <w:spacing w:val="-4"/>
          <w:kern w:val="22"/>
          <w:lang w:val="en-GB"/>
        </w:rPr>
        <w:t xml:space="preserve"> segment</w:t>
      </w:r>
      <w:r w:rsidR="006A218B" w:rsidRPr="00E3419F">
        <w:rPr>
          <w:spacing w:val="-4"/>
          <w:kern w:val="22"/>
          <w:lang w:val="en-GB"/>
        </w:rPr>
        <w:t xml:space="preserve">, where dealers were able to influence the brand preference of some customers at the point of sale. On average, dealers were able to convert </w:t>
      </w:r>
      <w:r w:rsidRPr="00E3419F">
        <w:rPr>
          <w:spacing w:val="-4"/>
          <w:kern w:val="22"/>
          <w:lang w:val="en-GB"/>
        </w:rPr>
        <w:t>35–40</w:t>
      </w:r>
      <w:r w:rsidR="006A218B" w:rsidRPr="00E3419F">
        <w:rPr>
          <w:spacing w:val="-4"/>
          <w:kern w:val="22"/>
          <w:lang w:val="en-GB"/>
        </w:rPr>
        <w:t xml:space="preserve"> per</w:t>
      </w:r>
      <w:r w:rsidR="00BC426A" w:rsidRPr="00E3419F">
        <w:rPr>
          <w:spacing w:val="-4"/>
          <w:kern w:val="22"/>
          <w:lang w:val="en-GB"/>
        </w:rPr>
        <w:t xml:space="preserve"> </w:t>
      </w:r>
      <w:r w:rsidR="006A218B" w:rsidRPr="00E3419F">
        <w:rPr>
          <w:spacing w:val="-4"/>
          <w:kern w:val="22"/>
          <w:lang w:val="en-GB"/>
        </w:rPr>
        <w:t xml:space="preserve">cent of their air conditioner customers to the brand of </w:t>
      </w:r>
      <w:r w:rsidR="00D35C58" w:rsidRPr="00E3419F">
        <w:rPr>
          <w:spacing w:val="-4"/>
          <w:kern w:val="22"/>
          <w:lang w:val="en-GB"/>
        </w:rPr>
        <w:t xml:space="preserve">the </w:t>
      </w:r>
      <w:r w:rsidR="006A218B" w:rsidRPr="00E3419F">
        <w:rPr>
          <w:spacing w:val="-4"/>
          <w:kern w:val="22"/>
          <w:lang w:val="en-GB"/>
        </w:rPr>
        <w:t xml:space="preserve">dealer’s choice. </w:t>
      </w:r>
    </w:p>
    <w:p w14:paraId="6AB3730A" w14:textId="77777777" w:rsidR="006A218B" w:rsidRPr="00E93126" w:rsidRDefault="006A218B" w:rsidP="006A218B">
      <w:pPr>
        <w:pStyle w:val="BodyTextMain"/>
        <w:rPr>
          <w:rFonts w:eastAsiaTheme="minorHAnsi"/>
          <w:lang w:val="en-GB"/>
        </w:rPr>
      </w:pPr>
    </w:p>
    <w:p w14:paraId="01514737" w14:textId="77777777" w:rsidR="00E80C28" w:rsidRPr="00E93126" w:rsidRDefault="00E80C28" w:rsidP="00B7487B">
      <w:pPr>
        <w:pStyle w:val="Casehead1"/>
        <w:keepNext/>
        <w:rPr>
          <w:lang w:val="en-GB"/>
        </w:rPr>
      </w:pPr>
    </w:p>
    <w:p w14:paraId="2625B0C5" w14:textId="77777777" w:rsidR="006A218B" w:rsidRPr="00E93126" w:rsidRDefault="006A218B" w:rsidP="00733495">
      <w:pPr>
        <w:pStyle w:val="Casehead1"/>
        <w:keepNext/>
        <w:outlineLvl w:val="0"/>
        <w:rPr>
          <w:lang w:val="en-GB"/>
        </w:rPr>
      </w:pPr>
      <w:r w:rsidRPr="00E93126">
        <w:rPr>
          <w:lang w:val="en-GB"/>
        </w:rPr>
        <w:t>THE PROBLEM AT HAND</w:t>
      </w:r>
    </w:p>
    <w:p w14:paraId="0EFB3A5B" w14:textId="77777777" w:rsidR="00B7487B" w:rsidRPr="00E93126" w:rsidRDefault="00B7487B" w:rsidP="00B7487B">
      <w:pPr>
        <w:pStyle w:val="BodyTextMain"/>
        <w:rPr>
          <w:lang w:val="en-GB"/>
        </w:rPr>
      </w:pPr>
    </w:p>
    <w:p w14:paraId="56FA6A4B" w14:textId="27A246A3" w:rsidR="006A218B" w:rsidRPr="00E93126" w:rsidRDefault="00D61709" w:rsidP="00B7487B">
      <w:pPr>
        <w:pStyle w:val="BodyTextMain"/>
        <w:keepNext/>
        <w:rPr>
          <w:lang w:val="en-GB"/>
        </w:rPr>
      </w:pPr>
      <w:r>
        <w:rPr>
          <w:lang w:val="en-GB"/>
        </w:rPr>
        <w:t xml:space="preserve">In a repeat of the events in 2010, </w:t>
      </w:r>
      <w:r w:rsidR="006A218B" w:rsidRPr="00E93126">
        <w:rPr>
          <w:lang w:val="en-GB"/>
        </w:rPr>
        <w:t>Abdul</w:t>
      </w:r>
      <w:r>
        <w:rPr>
          <w:lang w:val="en-GB"/>
        </w:rPr>
        <w:t xml:space="preserve"> </w:t>
      </w:r>
      <w:r w:rsidR="00D74E59">
        <w:rPr>
          <w:lang w:val="en-GB"/>
        </w:rPr>
        <w:t xml:space="preserve">started </w:t>
      </w:r>
      <w:r w:rsidR="00D74E59" w:rsidRPr="002D2DA0">
        <w:t xml:space="preserve">stocking </w:t>
      </w:r>
      <w:proofErr w:type="spellStart"/>
      <w:r w:rsidR="00D74E59" w:rsidRPr="002D2DA0">
        <w:t>Technica</w:t>
      </w:r>
      <w:proofErr w:type="spellEnd"/>
      <w:r w:rsidR="00D74E59" w:rsidRPr="002D2DA0">
        <w:t xml:space="preserve"> products</w:t>
      </w:r>
      <w:r w:rsidR="00D74E59" w:rsidRPr="00E93126" w:rsidDel="00D74E59">
        <w:rPr>
          <w:lang w:val="en-GB"/>
        </w:rPr>
        <w:t xml:space="preserve"> </w:t>
      </w:r>
      <w:r w:rsidR="006A218B" w:rsidRPr="00E93126">
        <w:rPr>
          <w:lang w:val="en-GB"/>
        </w:rPr>
        <w:t xml:space="preserve">on January </w:t>
      </w:r>
      <w:r w:rsidR="00BC426A" w:rsidRPr="00E93126">
        <w:rPr>
          <w:lang w:val="en-GB"/>
        </w:rPr>
        <w:t xml:space="preserve">6, </w:t>
      </w:r>
      <w:r w:rsidR="006A218B" w:rsidRPr="00E93126">
        <w:rPr>
          <w:lang w:val="en-GB"/>
        </w:rPr>
        <w:t>2018</w:t>
      </w:r>
      <w:r>
        <w:rPr>
          <w:lang w:val="en-GB"/>
        </w:rPr>
        <w:t xml:space="preserve">; however, this time, Abdul did not inform </w:t>
      </w:r>
      <w:r w:rsidR="006A218B" w:rsidRPr="00E93126">
        <w:rPr>
          <w:lang w:val="en-GB"/>
        </w:rPr>
        <w:t xml:space="preserve">the </w:t>
      </w:r>
      <w:proofErr w:type="spellStart"/>
      <w:r w:rsidR="006A218B" w:rsidRPr="00E93126">
        <w:rPr>
          <w:lang w:val="en-GB"/>
        </w:rPr>
        <w:t>Fairdeal</w:t>
      </w:r>
      <w:proofErr w:type="spellEnd"/>
      <w:r w:rsidR="006A218B" w:rsidRPr="00E93126">
        <w:rPr>
          <w:lang w:val="en-GB"/>
        </w:rPr>
        <w:t xml:space="preserve"> team. When </w:t>
      </w:r>
      <w:proofErr w:type="spellStart"/>
      <w:r w:rsidR="00D74E59">
        <w:rPr>
          <w:lang w:val="en-GB"/>
        </w:rPr>
        <w:t>Ajmal</w:t>
      </w:r>
      <w:proofErr w:type="spellEnd"/>
      <w:r w:rsidR="00D74E59">
        <w:rPr>
          <w:lang w:val="en-GB"/>
        </w:rPr>
        <w:t xml:space="preserve"> </w:t>
      </w:r>
      <w:r w:rsidR="006A218B" w:rsidRPr="00E93126">
        <w:rPr>
          <w:lang w:val="en-GB"/>
        </w:rPr>
        <w:t>Jaffer</w:t>
      </w:r>
      <w:r w:rsidR="002D0536" w:rsidRPr="00E93126">
        <w:rPr>
          <w:lang w:val="en-GB"/>
        </w:rPr>
        <w:t>,</w:t>
      </w:r>
      <w:r w:rsidR="006A218B" w:rsidRPr="00E93126">
        <w:rPr>
          <w:lang w:val="en-GB"/>
        </w:rPr>
        <w:t xml:space="preserve"> </w:t>
      </w:r>
      <w:r w:rsidR="00D74E59">
        <w:rPr>
          <w:lang w:val="en-GB"/>
        </w:rPr>
        <w:t>the</w:t>
      </w:r>
      <w:r w:rsidR="002D0536" w:rsidRPr="00E93126">
        <w:rPr>
          <w:lang w:val="en-GB"/>
        </w:rPr>
        <w:t xml:space="preserve"> </w:t>
      </w:r>
      <w:proofErr w:type="spellStart"/>
      <w:r w:rsidR="006A218B" w:rsidRPr="00E93126">
        <w:rPr>
          <w:lang w:val="en-GB"/>
        </w:rPr>
        <w:t>Fairdeal</w:t>
      </w:r>
      <w:proofErr w:type="spellEnd"/>
      <w:r w:rsidR="002D0536" w:rsidRPr="00E93126">
        <w:rPr>
          <w:lang w:val="en-GB"/>
        </w:rPr>
        <w:t xml:space="preserve"> sales executive,</w:t>
      </w:r>
      <w:r w:rsidR="006A218B" w:rsidRPr="00E93126">
        <w:rPr>
          <w:lang w:val="en-GB"/>
        </w:rPr>
        <w:t xml:space="preserve"> visited the Abdul counter in Santa Modern </w:t>
      </w:r>
      <w:r w:rsidR="00E15DFA" w:rsidRPr="00E93126">
        <w:rPr>
          <w:lang w:val="en-GB"/>
        </w:rPr>
        <w:t>M</w:t>
      </w:r>
      <w:r w:rsidR="006A218B" w:rsidRPr="00E93126">
        <w:rPr>
          <w:lang w:val="en-GB"/>
        </w:rPr>
        <w:t xml:space="preserve">arket on January </w:t>
      </w:r>
      <w:r w:rsidR="00BC426A" w:rsidRPr="00E93126">
        <w:rPr>
          <w:lang w:val="en-GB"/>
        </w:rPr>
        <w:t xml:space="preserve">7, </w:t>
      </w:r>
      <w:r w:rsidR="006A218B" w:rsidRPr="00E93126">
        <w:rPr>
          <w:lang w:val="en-GB"/>
        </w:rPr>
        <w:t xml:space="preserve">2018, he found </w:t>
      </w:r>
      <w:proofErr w:type="spellStart"/>
      <w:r w:rsidR="006A218B" w:rsidRPr="00E93126">
        <w:rPr>
          <w:lang w:val="en-GB"/>
        </w:rPr>
        <w:t>Technica</w:t>
      </w:r>
      <w:r w:rsidR="00E15DFA" w:rsidRPr="00E93126">
        <w:rPr>
          <w:lang w:val="en-GB"/>
        </w:rPr>
        <w:t>’s</w:t>
      </w:r>
      <w:proofErr w:type="spellEnd"/>
      <w:r w:rsidR="00E15DFA" w:rsidRPr="00E93126">
        <w:rPr>
          <w:lang w:val="en-GB"/>
        </w:rPr>
        <w:t xml:space="preserve"> large sign board</w:t>
      </w:r>
      <w:r w:rsidR="006A218B" w:rsidRPr="00E93126">
        <w:rPr>
          <w:lang w:val="en-GB"/>
        </w:rPr>
        <w:t xml:space="preserve"> in front. When he went inside, he found a display of </w:t>
      </w:r>
      <w:proofErr w:type="spellStart"/>
      <w:r w:rsidR="006A218B" w:rsidRPr="00E93126">
        <w:rPr>
          <w:lang w:val="en-GB"/>
        </w:rPr>
        <w:t>Technica</w:t>
      </w:r>
      <w:proofErr w:type="spellEnd"/>
      <w:r w:rsidR="006A218B" w:rsidRPr="00E93126">
        <w:rPr>
          <w:lang w:val="en-GB"/>
        </w:rPr>
        <w:t xml:space="preserve"> products and noticed a distinct reduction in </w:t>
      </w:r>
      <w:r w:rsidR="002D0536" w:rsidRPr="00E93126">
        <w:rPr>
          <w:lang w:val="en-GB"/>
        </w:rPr>
        <w:t xml:space="preserve">the </w:t>
      </w:r>
      <w:r w:rsidR="006A218B" w:rsidRPr="00E93126">
        <w:rPr>
          <w:lang w:val="en-GB"/>
        </w:rPr>
        <w:t xml:space="preserve">display of </w:t>
      </w:r>
      <w:r w:rsidR="002D0536" w:rsidRPr="00E93126">
        <w:rPr>
          <w:lang w:val="en-GB"/>
        </w:rPr>
        <w:t xml:space="preserve">products from </w:t>
      </w:r>
      <w:proofErr w:type="spellStart"/>
      <w:r w:rsidR="006A218B" w:rsidRPr="00E93126">
        <w:rPr>
          <w:lang w:val="en-GB"/>
        </w:rPr>
        <w:t>Fairdeal</w:t>
      </w:r>
      <w:proofErr w:type="spellEnd"/>
      <w:r w:rsidR="006A218B" w:rsidRPr="00E93126">
        <w:rPr>
          <w:lang w:val="en-GB"/>
        </w:rPr>
        <w:t xml:space="preserve"> and all other brands.</w:t>
      </w:r>
    </w:p>
    <w:p w14:paraId="5FCCAE67" w14:textId="77777777" w:rsidR="006A218B" w:rsidRPr="00E93126" w:rsidRDefault="006A218B" w:rsidP="006A218B">
      <w:pPr>
        <w:pStyle w:val="BodyTextMain"/>
        <w:rPr>
          <w:lang w:val="en-GB"/>
        </w:rPr>
      </w:pPr>
    </w:p>
    <w:p w14:paraId="4A4B7DD5" w14:textId="77777777" w:rsidR="006A218B" w:rsidRPr="00E93126" w:rsidRDefault="002D0536" w:rsidP="006A218B">
      <w:pPr>
        <w:pStyle w:val="BodyTextMain"/>
        <w:rPr>
          <w:lang w:val="en-GB"/>
        </w:rPr>
      </w:pPr>
      <w:r w:rsidRPr="00E93126">
        <w:rPr>
          <w:lang w:val="en-GB"/>
        </w:rPr>
        <w:t>Jaffer was</w:t>
      </w:r>
      <w:r w:rsidR="006A218B" w:rsidRPr="00E93126">
        <w:rPr>
          <w:lang w:val="en-GB"/>
        </w:rPr>
        <w:t xml:space="preserve"> not at all happy with this development and demanded to know the reason for taking up the </w:t>
      </w:r>
      <w:proofErr w:type="spellStart"/>
      <w:r w:rsidR="006A218B" w:rsidRPr="00E93126">
        <w:rPr>
          <w:lang w:val="en-GB"/>
        </w:rPr>
        <w:t>Technica</w:t>
      </w:r>
      <w:proofErr w:type="spellEnd"/>
      <w:r w:rsidR="006A218B" w:rsidRPr="00E93126">
        <w:rPr>
          <w:lang w:val="en-GB"/>
        </w:rPr>
        <w:t xml:space="preserve"> dealership. </w:t>
      </w:r>
      <w:r w:rsidRPr="00E93126">
        <w:rPr>
          <w:lang w:val="en-GB"/>
        </w:rPr>
        <w:t>Rashid</w:t>
      </w:r>
      <w:r w:rsidR="00601372">
        <w:rPr>
          <w:lang w:val="en-GB"/>
        </w:rPr>
        <w:t>, who was working at the counter,</w:t>
      </w:r>
      <w:r w:rsidRPr="00E93126">
        <w:rPr>
          <w:lang w:val="en-GB"/>
        </w:rPr>
        <w:t xml:space="preserve"> </w:t>
      </w:r>
      <w:r w:rsidR="00E15DFA" w:rsidRPr="00E93126">
        <w:rPr>
          <w:lang w:val="en-GB"/>
        </w:rPr>
        <w:t xml:space="preserve">coolly </w:t>
      </w:r>
      <w:r w:rsidR="006A218B" w:rsidRPr="00E93126">
        <w:rPr>
          <w:lang w:val="en-GB"/>
        </w:rPr>
        <w:t xml:space="preserve">explained that Abdul was losing customers who wanted to see </w:t>
      </w:r>
      <w:proofErr w:type="spellStart"/>
      <w:r w:rsidR="006A218B" w:rsidRPr="00E93126">
        <w:rPr>
          <w:lang w:val="en-GB"/>
        </w:rPr>
        <w:t>Technica</w:t>
      </w:r>
      <w:proofErr w:type="spellEnd"/>
      <w:r w:rsidR="006A218B" w:rsidRPr="00E93126">
        <w:rPr>
          <w:lang w:val="en-GB"/>
        </w:rPr>
        <w:t xml:space="preserve"> air conditioners and washing machines for comparison. Since Abdul was not stocking </w:t>
      </w:r>
      <w:proofErr w:type="spellStart"/>
      <w:r w:rsidR="006A218B" w:rsidRPr="00E93126">
        <w:rPr>
          <w:lang w:val="en-GB"/>
        </w:rPr>
        <w:t>Technica</w:t>
      </w:r>
      <w:proofErr w:type="spellEnd"/>
      <w:r w:rsidR="006A218B" w:rsidRPr="00E93126">
        <w:rPr>
          <w:lang w:val="en-GB"/>
        </w:rPr>
        <w:t>, it was losing not only the air conditioner sales but also the associated television, washing machine</w:t>
      </w:r>
      <w:r w:rsidRPr="00E93126">
        <w:rPr>
          <w:lang w:val="en-GB"/>
        </w:rPr>
        <w:t>,</w:t>
      </w:r>
      <w:r w:rsidR="006A218B" w:rsidRPr="00E93126">
        <w:rPr>
          <w:lang w:val="en-GB"/>
        </w:rPr>
        <w:t xml:space="preserve"> and refrigerator sales </w:t>
      </w:r>
      <w:r w:rsidR="00601372">
        <w:rPr>
          <w:lang w:val="en-GB"/>
        </w:rPr>
        <w:t xml:space="preserve">that </w:t>
      </w:r>
      <w:r w:rsidR="006A218B" w:rsidRPr="00E93126">
        <w:rPr>
          <w:lang w:val="en-GB"/>
        </w:rPr>
        <w:t xml:space="preserve">could have accrued from that customer. </w:t>
      </w:r>
      <w:r w:rsidR="00601372">
        <w:rPr>
          <w:lang w:val="en-GB"/>
        </w:rPr>
        <w:t xml:space="preserve">However, Rashid emphasized that </w:t>
      </w:r>
      <w:r w:rsidR="006A218B" w:rsidRPr="00E93126">
        <w:rPr>
          <w:lang w:val="en-GB"/>
        </w:rPr>
        <w:t xml:space="preserve">Abdul would </w:t>
      </w:r>
      <w:r w:rsidR="00601372">
        <w:rPr>
          <w:lang w:val="en-GB"/>
        </w:rPr>
        <w:t>still meet</w:t>
      </w:r>
      <w:r w:rsidR="006A218B" w:rsidRPr="00E93126">
        <w:rPr>
          <w:lang w:val="en-GB"/>
        </w:rPr>
        <w:t xml:space="preserve"> the sales volume for </w:t>
      </w:r>
      <w:r w:rsidRPr="00E93126">
        <w:rPr>
          <w:lang w:val="en-GB"/>
        </w:rPr>
        <w:t xml:space="preserve">the </w:t>
      </w:r>
      <w:r w:rsidR="006A218B" w:rsidRPr="00E93126">
        <w:rPr>
          <w:lang w:val="en-GB"/>
        </w:rPr>
        <w:t>2017</w:t>
      </w:r>
      <w:r w:rsidRPr="00E93126">
        <w:rPr>
          <w:lang w:val="en-GB"/>
        </w:rPr>
        <w:t>–</w:t>
      </w:r>
      <w:r w:rsidR="006A218B" w:rsidRPr="00E93126">
        <w:rPr>
          <w:lang w:val="en-GB"/>
        </w:rPr>
        <w:t xml:space="preserve">18 commitment to </w:t>
      </w:r>
      <w:proofErr w:type="spellStart"/>
      <w:r w:rsidR="006A218B" w:rsidRPr="00E93126">
        <w:rPr>
          <w:lang w:val="en-GB"/>
        </w:rPr>
        <w:t>Fairdeal</w:t>
      </w:r>
      <w:proofErr w:type="spellEnd"/>
      <w:r w:rsidR="006A218B" w:rsidRPr="00E93126">
        <w:rPr>
          <w:lang w:val="en-GB"/>
        </w:rPr>
        <w:t xml:space="preserve"> and</w:t>
      </w:r>
      <w:r w:rsidRPr="00E93126">
        <w:rPr>
          <w:lang w:val="en-GB"/>
        </w:rPr>
        <w:t>, in any case,</w:t>
      </w:r>
      <w:r w:rsidR="006A218B" w:rsidRPr="00E93126">
        <w:rPr>
          <w:lang w:val="en-GB"/>
        </w:rPr>
        <w:t xml:space="preserve"> would sell </w:t>
      </w:r>
      <w:proofErr w:type="spellStart"/>
      <w:r w:rsidR="006A218B" w:rsidRPr="00E93126">
        <w:rPr>
          <w:lang w:val="en-GB"/>
        </w:rPr>
        <w:t>Technica</w:t>
      </w:r>
      <w:proofErr w:type="spellEnd"/>
      <w:r w:rsidR="00601372">
        <w:rPr>
          <w:lang w:val="en-GB"/>
        </w:rPr>
        <w:t xml:space="preserve"> products</w:t>
      </w:r>
      <w:r w:rsidR="006A218B" w:rsidRPr="00E93126">
        <w:rPr>
          <w:lang w:val="en-GB"/>
        </w:rPr>
        <w:t xml:space="preserve"> </w:t>
      </w:r>
      <w:r w:rsidRPr="00E93126">
        <w:rPr>
          <w:lang w:val="en-GB"/>
        </w:rPr>
        <w:t xml:space="preserve">only </w:t>
      </w:r>
      <w:r w:rsidR="006A218B" w:rsidRPr="00E93126">
        <w:rPr>
          <w:lang w:val="en-GB"/>
        </w:rPr>
        <w:t xml:space="preserve">to customers who would not buy </w:t>
      </w:r>
      <w:proofErr w:type="spellStart"/>
      <w:r w:rsidR="006A218B" w:rsidRPr="00E93126">
        <w:rPr>
          <w:lang w:val="en-GB"/>
        </w:rPr>
        <w:t>Fairdeal</w:t>
      </w:r>
      <w:proofErr w:type="spellEnd"/>
      <w:r w:rsidRPr="00E93126">
        <w:rPr>
          <w:lang w:val="en-GB"/>
        </w:rPr>
        <w:t xml:space="preserve"> products</w:t>
      </w:r>
      <w:r w:rsidR="006A218B" w:rsidRPr="00E93126">
        <w:rPr>
          <w:lang w:val="en-GB"/>
        </w:rPr>
        <w:t xml:space="preserve">. </w:t>
      </w:r>
      <w:r w:rsidRPr="00E93126">
        <w:rPr>
          <w:lang w:val="en-GB"/>
        </w:rPr>
        <w:t xml:space="preserve">Rashid </w:t>
      </w:r>
      <w:r w:rsidR="006A218B" w:rsidRPr="00E93126">
        <w:rPr>
          <w:lang w:val="en-GB"/>
        </w:rPr>
        <w:t xml:space="preserve">also shared his strong belief that stocking </w:t>
      </w:r>
      <w:proofErr w:type="spellStart"/>
      <w:r w:rsidR="006A218B" w:rsidRPr="00E93126">
        <w:rPr>
          <w:lang w:val="en-GB"/>
        </w:rPr>
        <w:t>Technica</w:t>
      </w:r>
      <w:proofErr w:type="spellEnd"/>
      <w:r w:rsidR="006A218B" w:rsidRPr="00E93126">
        <w:rPr>
          <w:lang w:val="en-GB"/>
        </w:rPr>
        <w:t xml:space="preserve"> </w:t>
      </w:r>
      <w:r w:rsidRPr="00E93126">
        <w:rPr>
          <w:lang w:val="en-GB"/>
        </w:rPr>
        <w:t xml:space="preserve">products </w:t>
      </w:r>
      <w:r w:rsidR="006A218B" w:rsidRPr="00E93126">
        <w:rPr>
          <w:lang w:val="en-GB"/>
        </w:rPr>
        <w:t xml:space="preserve">would lead to an increase in the counter’s volume sales and </w:t>
      </w:r>
      <w:proofErr w:type="spellStart"/>
      <w:r w:rsidR="006A218B" w:rsidRPr="00E93126">
        <w:rPr>
          <w:lang w:val="en-GB"/>
        </w:rPr>
        <w:t>Fairdeal</w:t>
      </w:r>
      <w:proofErr w:type="spellEnd"/>
      <w:r w:rsidR="006A218B" w:rsidRPr="00E93126">
        <w:rPr>
          <w:lang w:val="en-GB"/>
        </w:rPr>
        <w:t xml:space="preserve"> would benefit from th</w:t>
      </w:r>
      <w:r w:rsidR="00601372">
        <w:rPr>
          <w:lang w:val="en-GB"/>
        </w:rPr>
        <w:t>is</w:t>
      </w:r>
      <w:r w:rsidR="006A218B" w:rsidRPr="00E93126">
        <w:rPr>
          <w:lang w:val="en-GB"/>
        </w:rPr>
        <w:t xml:space="preserve"> increased traffic. </w:t>
      </w:r>
      <w:r w:rsidR="00601372">
        <w:rPr>
          <w:lang w:val="en-GB"/>
        </w:rPr>
        <w:t>Yet, h</w:t>
      </w:r>
      <w:r w:rsidR="006A218B" w:rsidRPr="00E93126">
        <w:rPr>
          <w:lang w:val="en-GB"/>
        </w:rPr>
        <w:t>e made it clear</w:t>
      </w:r>
      <w:r w:rsidR="00601372">
        <w:rPr>
          <w:lang w:val="en-GB"/>
        </w:rPr>
        <w:t xml:space="preserve"> </w:t>
      </w:r>
      <w:r w:rsidR="006A218B" w:rsidRPr="00E93126">
        <w:rPr>
          <w:lang w:val="en-GB"/>
        </w:rPr>
        <w:t xml:space="preserve">that </w:t>
      </w:r>
      <w:r w:rsidRPr="00E93126">
        <w:rPr>
          <w:lang w:val="en-GB"/>
        </w:rPr>
        <w:t>if</w:t>
      </w:r>
      <w:r w:rsidR="006A218B" w:rsidRPr="00E93126">
        <w:rPr>
          <w:lang w:val="en-GB"/>
        </w:rPr>
        <w:t xml:space="preserve"> </w:t>
      </w:r>
      <w:proofErr w:type="spellStart"/>
      <w:r w:rsidR="006A218B" w:rsidRPr="00E93126">
        <w:rPr>
          <w:lang w:val="en-GB"/>
        </w:rPr>
        <w:t>Fairdeal</w:t>
      </w:r>
      <w:proofErr w:type="spellEnd"/>
      <w:r w:rsidR="006A218B" w:rsidRPr="00E93126">
        <w:rPr>
          <w:lang w:val="en-GB"/>
        </w:rPr>
        <w:t xml:space="preserve"> wanted to </w:t>
      </w:r>
      <w:r w:rsidR="00601372">
        <w:rPr>
          <w:lang w:val="en-GB"/>
        </w:rPr>
        <w:t>reconsider</w:t>
      </w:r>
      <w:r w:rsidR="00601372" w:rsidRPr="00E93126">
        <w:rPr>
          <w:lang w:val="en-GB"/>
        </w:rPr>
        <w:t xml:space="preserve"> </w:t>
      </w:r>
      <w:r w:rsidR="006A218B" w:rsidRPr="00E93126">
        <w:rPr>
          <w:lang w:val="en-GB"/>
        </w:rPr>
        <w:t xml:space="preserve">any decision regarding its dealer network </w:t>
      </w:r>
      <w:r w:rsidRPr="00E93126">
        <w:rPr>
          <w:lang w:val="en-GB"/>
        </w:rPr>
        <w:t>and its</w:t>
      </w:r>
      <w:r w:rsidR="006A218B" w:rsidRPr="00E93126">
        <w:rPr>
          <w:lang w:val="en-GB"/>
        </w:rPr>
        <w:t xml:space="preserve"> business with Abdul in future</w:t>
      </w:r>
      <w:r w:rsidRPr="00E93126">
        <w:rPr>
          <w:lang w:val="en-GB"/>
        </w:rPr>
        <w:t>, then</w:t>
      </w:r>
      <w:r w:rsidR="006A218B" w:rsidRPr="00E93126">
        <w:rPr>
          <w:lang w:val="en-GB"/>
        </w:rPr>
        <w:t xml:space="preserve"> it was free to do so</w:t>
      </w:r>
      <w:r w:rsidR="00601372">
        <w:rPr>
          <w:lang w:val="en-GB"/>
        </w:rPr>
        <w:t>;</w:t>
      </w:r>
      <w:r w:rsidR="006A218B" w:rsidRPr="00E93126">
        <w:rPr>
          <w:lang w:val="en-GB"/>
        </w:rPr>
        <w:t xml:space="preserve"> Abdul would </w:t>
      </w:r>
      <w:r w:rsidR="00601372">
        <w:rPr>
          <w:lang w:val="en-GB"/>
        </w:rPr>
        <w:t>m</w:t>
      </w:r>
      <w:r w:rsidR="006A218B" w:rsidRPr="00E93126">
        <w:rPr>
          <w:lang w:val="en-GB"/>
        </w:rPr>
        <w:t xml:space="preserve">ake its own decisions, which would be driven by its own business interests. Jaffer </w:t>
      </w:r>
      <w:r w:rsidRPr="00E93126">
        <w:rPr>
          <w:lang w:val="en-GB"/>
        </w:rPr>
        <w:t xml:space="preserve">immediately </w:t>
      </w:r>
      <w:r w:rsidR="00601372">
        <w:rPr>
          <w:lang w:val="en-GB"/>
        </w:rPr>
        <w:t>called</w:t>
      </w:r>
      <w:r w:rsidR="00601372" w:rsidRPr="00E93126">
        <w:rPr>
          <w:lang w:val="en-GB"/>
        </w:rPr>
        <w:t xml:space="preserve"> </w:t>
      </w:r>
      <w:r w:rsidRPr="00E93126">
        <w:rPr>
          <w:lang w:val="en-GB"/>
        </w:rPr>
        <w:t xml:space="preserve">Umar to </w:t>
      </w:r>
      <w:r w:rsidR="006A218B" w:rsidRPr="00E93126">
        <w:rPr>
          <w:lang w:val="en-GB"/>
        </w:rPr>
        <w:t xml:space="preserve">report this </w:t>
      </w:r>
      <w:r w:rsidRPr="00E93126">
        <w:rPr>
          <w:lang w:val="en-GB"/>
        </w:rPr>
        <w:t>conversation</w:t>
      </w:r>
      <w:r w:rsidR="006A218B" w:rsidRPr="00E93126">
        <w:rPr>
          <w:lang w:val="en-GB"/>
        </w:rPr>
        <w:t xml:space="preserve">. </w:t>
      </w:r>
    </w:p>
    <w:p w14:paraId="4D273B1B" w14:textId="77777777" w:rsidR="00B7487B" w:rsidRPr="00E93126" w:rsidRDefault="00B7487B" w:rsidP="006A218B">
      <w:pPr>
        <w:pStyle w:val="BodyTextMain"/>
        <w:rPr>
          <w:lang w:val="en-GB"/>
        </w:rPr>
      </w:pPr>
    </w:p>
    <w:p w14:paraId="751355C5" w14:textId="77777777" w:rsidR="006A218B" w:rsidRPr="002A1025" w:rsidRDefault="002D0536" w:rsidP="006A218B">
      <w:pPr>
        <w:pStyle w:val="BodyTextMain"/>
        <w:rPr>
          <w:spacing w:val="-2"/>
          <w:kern w:val="22"/>
          <w:lang w:val="en-GB"/>
        </w:rPr>
      </w:pPr>
      <w:r w:rsidRPr="002A1025">
        <w:rPr>
          <w:spacing w:val="-2"/>
          <w:kern w:val="22"/>
          <w:lang w:val="en-GB"/>
        </w:rPr>
        <w:t xml:space="preserve">On </w:t>
      </w:r>
      <w:proofErr w:type="spellStart"/>
      <w:r w:rsidRPr="002A1025">
        <w:rPr>
          <w:spacing w:val="-2"/>
          <w:kern w:val="22"/>
          <w:lang w:val="en-GB"/>
        </w:rPr>
        <w:t>Fairdeal’s</w:t>
      </w:r>
      <w:proofErr w:type="spellEnd"/>
      <w:r w:rsidRPr="002A1025">
        <w:rPr>
          <w:spacing w:val="-2"/>
          <w:kern w:val="22"/>
          <w:lang w:val="en-GB"/>
        </w:rPr>
        <w:t xml:space="preserve"> behalf, </w:t>
      </w:r>
      <w:r w:rsidR="006A218B" w:rsidRPr="002A1025">
        <w:rPr>
          <w:spacing w:val="-2"/>
          <w:kern w:val="22"/>
          <w:lang w:val="en-GB"/>
        </w:rPr>
        <w:t xml:space="preserve">Umar had been dealing with Abdul </w:t>
      </w:r>
      <w:r w:rsidRPr="002A1025">
        <w:rPr>
          <w:spacing w:val="-2"/>
          <w:kern w:val="22"/>
          <w:lang w:val="en-GB"/>
        </w:rPr>
        <w:t>in various capacities</w:t>
      </w:r>
      <w:r w:rsidR="006A218B" w:rsidRPr="002A1025">
        <w:rPr>
          <w:spacing w:val="-2"/>
          <w:kern w:val="22"/>
          <w:lang w:val="en-GB"/>
        </w:rPr>
        <w:t xml:space="preserve"> for more than </w:t>
      </w:r>
      <w:r w:rsidRPr="002A1025">
        <w:rPr>
          <w:spacing w:val="-2"/>
          <w:kern w:val="22"/>
          <w:lang w:val="en-GB"/>
        </w:rPr>
        <w:t xml:space="preserve">20 </w:t>
      </w:r>
      <w:r w:rsidR="006A218B" w:rsidRPr="002A1025">
        <w:rPr>
          <w:spacing w:val="-2"/>
          <w:kern w:val="22"/>
          <w:lang w:val="en-GB"/>
        </w:rPr>
        <w:t xml:space="preserve">years. Umar’s first reaction was that this move would help Abdul grow bigger as an air conditioner counter but </w:t>
      </w:r>
      <w:r w:rsidR="000953D0" w:rsidRPr="002A1025">
        <w:rPr>
          <w:spacing w:val="-2"/>
          <w:kern w:val="22"/>
          <w:lang w:val="en-GB"/>
        </w:rPr>
        <w:t xml:space="preserve">at the same time, Abdul’s </w:t>
      </w:r>
      <w:r w:rsidR="006A218B" w:rsidRPr="002A1025">
        <w:rPr>
          <w:spacing w:val="-2"/>
          <w:kern w:val="22"/>
          <w:lang w:val="en-GB"/>
        </w:rPr>
        <w:t xml:space="preserve">air conditioner margins would </w:t>
      </w:r>
      <w:r w:rsidR="00806CDA" w:rsidRPr="002A1025">
        <w:rPr>
          <w:spacing w:val="-2"/>
          <w:kern w:val="22"/>
          <w:lang w:val="en-GB"/>
        </w:rPr>
        <w:t>be</w:t>
      </w:r>
      <w:r w:rsidR="00E15DFA" w:rsidRPr="002A1025">
        <w:rPr>
          <w:spacing w:val="-2"/>
          <w:kern w:val="22"/>
          <w:lang w:val="en-GB"/>
        </w:rPr>
        <w:t xml:space="preserve"> </w:t>
      </w:r>
      <w:r w:rsidR="006A218B" w:rsidRPr="002A1025">
        <w:rPr>
          <w:spacing w:val="-2"/>
          <w:kern w:val="22"/>
          <w:lang w:val="en-GB"/>
        </w:rPr>
        <w:t>reduce</w:t>
      </w:r>
      <w:r w:rsidR="00806CDA" w:rsidRPr="002A1025">
        <w:rPr>
          <w:spacing w:val="-2"/>
          <w:kern w:val="22"/>
          <w:lang w:val="en-GB"/>
        </w:rPr>
        <w:t>d</w:t>
      </w:r>
      <w:r w:rsidR="006A218B" w:rsidRPr="002A1025">
        <w:rPr>
          <w:spacing w:val="-2"/>
          <w:kern w:val="22"/>
          <w:lang w:val="en-GB"/>
        </w:rPr>
        <w:t>. He also noted that the timing of th</w:t>
      </w:r>
      <w:r w:rsidR="00806CDA" w:rsidRPr="002A1025">
        <w:rPr>
          <w:spacing w:val="-2"/>
          <w:kern w:val="22"/>
          <w:lang w:val="en-GB"/>
        </w:rPr>
        <w:t>is</w:t>
      </w:r>
      <w:r w:rsidR="006A218B" w:rsidRPr="002A1025">
        <w:rPr>
          <w:spacing w:val="-2"/>
          <w:kern w:val="22"/>
          <w:lang w:val="en-GB"/>
        </w:rPr>
        <w:t xml:space="preserve"> decision </w:t>
      </w:r>
      <w:r w:rsidR="00681A4F" w:rsidRPr="002A1025">
        <w:rPr>
          <w:spacing w:val="-2"/>
          <w:kern w:val="22"/>
          <w:lang w:val="en-GB"/>
        </w:rPr>
        <w:t xml:space="preserve">seemed </w:t>
      </w:r>
      <w:r w:rsidR="00806CDA" w:rsidRPr="002A1025">
        <w:rPr>
          <w:spacing w:val="-2"/>
          <w:kern w:val="22"/>
          <w:lang w:val="en-GB"/>
        </w:rPr>
        <w:t xml:space="preserve">highly </w:t>
      </w:r>
      <w:r w:rsidR="006A218B" w:rsidRPr="002A1025">
        <w:rPr>
          <w:spacing w:val="-2"/>
          <w:kern w:val="22"/>
          <w:lang w:val="en-GB"/>
        </w:rPr>
        <w:t>strategic</w:t>
      </w:r>
      <w:r w:rsidR="00681A4F" w:rsidRPr="002A1025">
        <w:rPr>
          <w:spacing w:val="-2"/>
          <w:kern w:val="22"/>
          <w:lang w:val="en-GB"/>
        </w:rPr>
        <w:t>:</w:t>
      </w:r>
      <w:r w:rsidR="006A218B" w:rsidRPr="002A1025">
        <w:rPr>
          <w:spacing w:val="-2"/>
          <w:kern w:val="22"/>
          <w:lang w:val="en-GB"/>
        </w:rPr>
        <w:t xml:space="preserve"> if </w:t>
      </w:r>
      <w:r w:rsidR="00681A4F" w:rsidRPr="002A1025">
        <w:rPr>
          <w:spacing w:val="-2"/>
          <w:kern w:val="22"/>
          <w:lang w:val="en-GB"/>
        </w:rPr>
        <w:t xml:space="preserve">Umar </w:t>
      </w:r>
      <w:r w:rsidR="006A218B" w:rsidRPr="002A1025">
        <w:rPr>
          <w:spacing w:val="-2"/>
          <w:kern w:val="22"/>
          <w:lang w:val="en-GB"/>
        </w:rPr>
        <w:t xml:space="preserve">did not take proper measures, </w:t>
      </w:r>
      <w:proofErr w:type="spellStart"/>
      <w:r w:rsidR="006A218B" w:rsidRPr="002A1025">
        <w:rPr>
          <w:spacing w:val="-2"/>
          <w:kern w:val="22"/>
          <w:lang w:val="en-GB"/>
        </w:rPr>
        <w:t>Fairdeal</w:t>
      </w:r>
      <w:proofErr w:type="spellEnd"/>
      <w:r w:rsidR="006A218B" w:rsidRPr="002A1025">
        <w:rPr>
          <w:spacing w:val="-2"/>
          <w:kern w:val="22"/>
          <w:lang w:val="en-GB"/>
        </w:rPr>
        <w:t xml:space="preserve"> might lose its share of sale</w:t>
      </w:r>
      <w:r w:rsidR="00681A4F" w:rsidRPr="002A1025">
        <w:rPr>
          <w:spacing w:val="-2"/>
          <w:kern w:val="22"/>
          <w:lang w:val="en-GB"/>
        </w:rPr>
        <w:t>s</w:t>
      </w:r>
      <w:r w:rsidR="006A218B" w:rsidRPr="002A1025">
        <w:rPr>
          <w:spacing w:val="-2"/>
          <w:kern w:val="22"/>
          <w:lang w:val="en-GB"/>
        </w:rPr>
        <w:t xml:space="preserve"> from this counter in </w:t>
      </w:r>
      <w:r w:rsidR="00681A4F" w:rsidRPr="002A1025">
        <w:rPr>
          <w:spacing w:val="-2"/>
          <w:kern w:val="22"/>
          <w:lang w:val="en-GB"/>
        </w:rPr>
        <w:t xml:space="preserve">both </w:t>
      </w:r>
      <w:r w:rsidR="006A218B" w:rsidRPr="002A1025">
        <w:rPr>
          <w:spacing w:val="-2"/>
          <w:kern w:val="22"/>
          <w:lang w:val="en-GB"/>
        </w:rPr>
        <w:t>the short</w:t>
      </w:r>
      <w:r w:rsidR="00681A4F" w:rsidRPr="002A1025">
        <w:rPr>
          <w:spacing w:val="-2"/>
          <w:kern w:val="22"/>
          <w:lang w:val="en-GB"/>
        </w:rPr>
        <w:t xml:space="preserve"> and</w:t>
      </w:r>
      <w:r w:rsidR="006A218B" w:rsidRPr="002A1025">
        <w:rPr>
          <w:spacing w:val="-2"/>
          <w:kern w:val="22"/>
          <w:lang w:val="en-GB"/>
        </w:rPr>
        <w:t xml:space="preserve"> long </w:t>
      </w:r>
      <w:r w:rsidR="00806CDA" w:rsidRPr="002A1025">
        <w:rPr>
          <w:spacing w:val="-2"/>
          <w:kern w:val="22"/>
          <w:lang w:val="en-GB"/>
        </w:rPr>
        <w:t>terms</w:t>
      </w:r>
      <w:r w:rsidR="006A218B" w:rsidRPr="002A1025">
        <w:rPr>
          <w:spacing w:val="-2"/>
          <w:kern w:val="22"/>
          <w:lang w:val="en-GB"/>
        </w:rPr>
        <w:t xml:space="preserve">. </w:t>
      </w:r>
      <w:r w:rsidR="00806CDA" w:rsidRPr="002A1025">
        <w:rPr>
          <w:spacing w:val="-2"/>
          <w:kern w:val="22"/>
          <w:lang w:val="en-GB"/>
        </w:rPr>
        <w:t xml:space="preserve">Because </w:t>
      </w:r>
      <w:r w:rsidR="006A218B" w:rsidRPr="002A1025">
        <w:rPr>
          <w:spacing w:val="-2"/>
          <w:kern w:val="22"/>
          <w:lang w:val="en-GB"/>
        </w:rPr>
        <w:t xml:space="preserve">Abdul </w:t>
      </w:r>
      <w:r w:rsidR="00681A4F" w:rsidRPr="002A1025">
        <w:rPr>
          <w:spacing w:val="-2"/>
          <w:kern w:val="22"/>
          <w:lang w:val="en-GB"/>
        </w:rPr>
        <w:t xml:space="preserve">represented </w:t>
      </w:r>
      <w:r w:rsidR="006A218B" w:rsidRPr="002A1025">
        <w:rPr>
          <w:spacing w:val="-2"/>
          <w:kern w:val="22"/>
          <w:lang w:val="en-GB"/>
        </w:rPr>
        <w:t xml:space="preserve">a </w:t>
      </w:r>
      <w:r w:rsidR="00806CDA" w:rsidRPr="002A1025">
        <w:rPr>
          <w:spacing w:val="-2"/>
          <w:kern w:val="22"/>
          <w:lang w:val="en-GB"/>
        </w:rPr>
        <w:t xml:space="preserve">large and </w:t>
      </w:r>
      <w:r w:rsidR="006A218B" w:rsidRPr="002A1025">
        <w:rPr>
          <w:spacing w:val="-2"/>
          <w:kern w:val="22"/>
          <w:lang w:val="en-GB"/>
        </w:rPr>
        <w:t xml:space="preserve">prestigious selling counter for </w:t>
      </w:r>
      <w:proofErr w:type="spellStart"/>
      <w:r w:rsidR="006A218B" w:rsidRPr="002A1025">
        <w:rPr>
          <w:spacing w:val="-2"/>
          <w:kern w:val="22"/>
          <w:lang w:val="en-GB"/>
        </w:rPr>
        <w:t>Fairdeal</w:t>
      </w:r>
      <w:proofErr w:type="spellEnd"/>
      <w:r w:rsidR="006A218B" w:rsidRPr="002A1025">
        <w:rPr>
          <w:spacing w:val="-2"/>
          <w:kern w:val="22"/>
          <w:lang w:val="en-GB"/>
        </w:rPr>
        <w:t xml:space="preserve">, any loss of share in this counter </w:t>
      </w:r>
      <w:r w:rsidR="00681A4F" w:rsidRPr="002A1025">
        <w:rPr>
          <w:spacing w:val="-2"/>
          <w:kern w:val="22"/>
          <w:lang w:val="en-GB"/>
        </w:rPr>
        <w:t>could send the</w:t>
      </w:r>
      <w:r w:rsidR="006A218B" w:rsidRPr="002A1025">
        <w:rPr>
          <w:spacing w:val="-2"/>
          <w:kern w:val="22"/>
          <w:lang w:val="en-GB"/>
        </w:rPr>
        <w:t xml:space="preserve"> wrong signal in the market. From experience, </w:t>
      </w:r>
      <w:r w:rsidR="00806CDA" w:rsidRPr="002A1025">
        <w:rPr>
          <w:spacing w:val="-2"/>
          <w:kern w:val="22"/>
          <w:lang w:val="en-GB"/>
        </w:rPr>
        <w:t>Umar</w:t>
      </w:r>
      <w:r w:rsidR="006A218B" w:rsidRPr="002A1025">
        <w:rPr>
          <w:spacing w:val="-2"/>
          <w:kern w:val="22"/>
          <w:lang w:val="en-GB"/>
        </w:rPr>
        <w:t xml:space="preserve"> knew that if </w:t>
      </w:r>
      <w:proofErr w:type="spellStart"/>
      <w:r w:rsidR="006A218B" w:rsidRPr="002A1025">
        <w:rPr>
          <w:spacing w:val="-2"/>
          <w:kern w:val="22"/>
          <w:lang w:val="en-GB"/>
        </w:rPr>
        <w:t>Fairdeal</w:t>
      </w:r>
      <w:proofErr w:type="spellEnd"/>
      <w:r w:rsidR="006A218B" w:rsidRPr="002A1025">
        <w:rPr>
          <w:spacing w:val="-2"/>
          <w:kern w:val="22"/>
          <w:lang w:val="en-GB"/>
        </w:rPr>
        <w:t xml:space="preserve"> decided to </w:t>
      </w:r>
      <w:r w:rsidR="00806CDA" w:rsidRPr="002A1025">
        <w:rPr>
          <w:spacing w:val="-2"/>
          <w:kern w:val="22"/>
          <w:lang w:val="en-GB"/>
        </w:rPr>
        <w:t>take a firm stance and sever ties with Abdul</w:t>
      </w:r>
      <w:r w:rsidR="006A218B" w:rsidRPr="002A1025">
        <w:rPr>
          <w:spacing w:val="-2"/>
          <w:kern w:val="22"/>
          <w:lang w:val="en-GB"/>
        </w:rPr>
        <w:t xml:space="preserve">, </w:t>
      </w:r>
      <w:r w:rsidR="00806CDA" w:rsidRPr="002A1025">
        <w:rPr>
          <w:spacing w:val="-2"/>
          <w:kern w:val="22"/>
          <w:lang w:val="en-GB"/>
        </w:rPr>
        <w:t>it could create greater obstacles to success in the future. He wanted to take a considered approach because whatever happened</w:t>
      </w:r>
      <w:r w:rsidR="006A218B" w:rsidRPr="002A1025">
        <w:rPr>
          <w:spacing w:val="-2"/>
          <w:kern w:val="22"/>
          <w:lang w:val="en-GB"/>
        </w:rPr>
        <w:t xml:space="preserve"> in the Denpasar market </w:t>
      </w:r>
      <w:r w:rsidR="00681A4F" w:rsidRPr="002A1025">
        <w:rPr>
          <w:spacing w:val="-2"/>
          <w:kern w:val="22"/>
          <w:lang w:val="en-GB"/>
        </w:rPr>
        <w:t>would</w:t>
      </w:r>
      <w:r w:rsidR="006A218B" w:rsidRPr="002A1025">
        <w:rPr>
          <w:spacing w:val="-2"/>
          <w:kern w:val="22"/>
          <w:lang w:val="en-GB"/>
        </w:rPr>
        <w:t xml:space="preserve"> </w:t>
      </w:r>
      <w:r w:rsidR="00681A4F" w:rsidRPr="002A1025">
        <w:rPr>
          <w:spacing w:val="-2"/>
          <w:kern w:val="22"/>
          <w:lang w:val="en-GB"/>
        </w:rPr>
        <w:t xml:space="preserve">indirectly affect </w:t>
      </w:r>
      <w:r w:rsidR="006A218B" w:rsidRPr="002A1025">
        <w:rPr>
          <w:spacing w:val="-2"/>
          <w:kern w:val="22"/>
          <w:lang w:val="en-GB"/>
        </w:rPr>
        <w:t xml:space="preserve">the rest of Bali and </w:t>
      </w:r>
      <w:r w:rsidR="00806CDA" w:rsidRPr="002A1025">
        <w:rPr>
          <w:spacing w:val="-2"/>
          <w:kern w:val="22"/>
          <w:lang w:val="en-GB"/>
        </w:rPr>
        <w:t xml:space="preserve">the </w:t>
      </w:r>
      <w:r w:rsidR="006A218B" w:rsidRPr="002A1025">
        <w:rPr>
          <w:spacing w:val="-2"/>
          <w:kern w:val="22"/>
          <w:lang w:val="en-GB"/>
        </w:rPr>
        <w:t>nearby islands</w:t>
      </w:r>
      <w:r w:rsidR="00806CDA" w:rsidRPr="002A1025">
        <w:rPr>
          <w:spacing w:val="-2"/>
          <w:kern w:val="22"/>
          <w:lang w:val="en-GB"/>
        </w:rPr>
        <w:t>.</w:t>
      </w:r>
    </w:p>
    <w:p w14:paraId="01CE540A" w14:textId="77777777" w:rsidR="006A218B" w:rsidRPr="00E93126" w:rsidRDefault="006A218B" w:rsidP="006A218B">
      <w:pPr>
        <w:pStyle w:val="BodyTextMain"/>
        <w:rPr>
          <w:lang w:val="en-GB"/>
        </w:rPr>
      </w:pPr>
    </w:p>
    <w:p w14:paraId="637AC5A5" w14:textId="77777777" w:rsidR="006A218B" w:rsidRPr="00E93126" w:rsidRDefault="006A218B" w:rsidP="006A218B">
      <w:pPr>
        <w:pStyle w:val="BodyTextMain"/>
        <w:rPr>
          <w:lang w:val="en-GB"/>
        </w:rPr>
      </w:pPr>
      <w:r w:rsidRPr="00E93126">
        <w:rPr>
          <w:lang w:val="en-GB"/>
        </w:rPr>
        <w:t xml:space="preserve">Umar </w:t>
      </w:r>
      <w:r w:rsidR="00806CDA">
        <w:rPr>
          <w:lang w:val="en-GB"/>
        </w:rPr>
        <w:t xml:space="preserve">had been actively </w:t>
      </w:r>
      <w:r w:rsidRPr="00E93126">
        <w:rPr>
          <w:lang w:val="en-GB"/>
        </w:rPr>
        <w:t xml:space="preserve">involved as </w:t>
      </w:r>
      <w:proofErr w:type="spellStart"/>
      <w:r w:rsidR="00681A4F" w:rsidRPr="00E93126">
        <w:rPr>
          <w:lang w:val="en-GB"/>
        </w:rPr>
        <w:t>Fairdeal’s</w:t>
      </w:r>
      <w:proofErr w:type="spellEnd"/>
      <w:r w:rsidR="00681A4F" w:rsidRPr="00E93126">
        <w:rPr>
          <w:lang w:val="en-GB"/>
        </w:rPr>
        <w:t xml:space="preserve"> b</w:t>
      </w:r>
      <w:r w:rsidRPr="00E93126">
        <w:rPr>
          <w:lang w:val="en-GB"/>
        </w:rPr>
        <w:t xml:space="preserve">ranch </w:t>
      </w:r>
      <w:r w:rsidR="00681A4F" w:rsidRPr="00E93126">
        <w:rPr>
          <w:lang w:val="en-GB"/>
        </w:rPr>
        <w:t>m</w:t>
      </w:r>
      <w:r w:rsidRPr="00E93126">
        <w:rPr>
          <w:lang w:val="en-GB"/>
        </w:rPr>
        <w:t xml:space="preserve">anager when </w:t>
      </w:r>
      <w:proofErr w:type="spellStart"/>
      <w:r w:rsidR="00681A4F" w:rsidRPr="00E93126">
        <w:rPr>
          <w:lang w:val="en-GB"/>
        </w:rPr>
        <w:t>Fairdeal</w:t>
      </w:r>
      <w:proofErr w:type="spellEnd"/>
      <w:r w:rsidR="00806CDA">
        <w:rPr>
          <w:lang w:val="en-GB"/>
        </w:rPr>
        <w:t xml:space="preserve"> managed</w:t>
      </w:r>
      <w:r w:rsidRPr="00E93126">
        <w:rPr>
          <w:lang w:val="en-GB"/>
        </w:rPr>
        <w:t xml:space="preserve"> </w:t>
      </w:r>
      <w:r w:rsidR="00806CDA">
        <w:rPr>
          <w:lang w:val="en-GB"/>
        </w:rPr>
        <w:t xml:space="preserve">to </w:t>
      </w:r>
      <w:r w:rsidRPr="00E93126">
        <w:rPr>
          <w:lang w:val="en-GB"/>
        </w:rPr>
        <w:t xml:space="preserve">change Abdul’s decision about taking </w:t>
      </w:r>
      <w:r w:rsidR="00806CDA">
        <w:rPr>
          <w:lang w:val="en-GB"/>
        </w:rPr>
        <w:t>on the</w:t>
      </w:r>
      <w:r w:rsidRPr="00E93126">
        <w:rPr>
          <w:lang w:val="en-GB"/>
        </w:rPr>
        <w:t xml:space="preserve"> </w:t>
      </w:r>
      <w:proofErr w:type="spellStart"/>
      <w:r w:rsidRPr="00E93126">
        <w:rPr>
          <w:lang w:val="en-GB"/>
        </w:rPr>
        <w:t>Technica</w:t>
      </w:r>
      <w:proofErr w:type="spellEnd"/>
      <w:r w:rsidRPr="00E93126">
        <w:rPr>
          <w:lang w:val="en-GB"/>
        </w:rPr>
        <w:t xml:space="preserve"> dealership</w:t>
      </w:r>
      <w:r w:rsidR="00806CDA">
        <w:rPr>
          <w:lang w:val="en-GB"/>
        </w:rPr>
        <w:t xml:space="preserve"> in 2010</w:t>
      </w:r>
      <w:r w:rsidRPr="00E93126">
        <w:rPr>
          <w:lang w:val="en-GB"/>
        </w:rPr>
        <w:t>. Now</w:t>
      </w:r>
      <w:r w:rsidR="000953D0" w:rsidRPr="00E93126">
        <w:rPr>
          <w:lang w:val="en-GB"/>
        </w:rPr>
        <w:t>,</w:t>
      </w:r>
      <w:r w:rsidRPr="00E93126">
        <w:rPr>
          <w:lang w:val="en-GB"/>
        </w:rPr>
        <w:t xml:space="preserve"> Umar was </w:t>
      </w:r>
      <w:r w:rsidR="00681A4F" w:rsidRPr="00E93126">
        <w:rPr>
          <w:lang w:val="en-GB"/>
        </w:rPr>
        <w:t>un</w:t>
      </w:r>
      <w:r w:rsidRPr="00E93126">
        <w:rPr>
          <w:lang w:val="en-GB"/>
        </w:rPr>
        <w:t xml:space="preserve">sure </w:t>
      </w:r>
      <w:r w:rsidR="003B018C">
        <w:rPr>
          <w:lang w:val="en-GB"/>
        </w:rPr>
        <w:t xml:space="preserve">how </w:t>
      </w:r>
      <w:r w:rsidRPr="00E93126">
        <w:rPr>
          <w:lang w:val="en-GB"/>
        </w:rPr>
        <w:t xml:space="preserve">the </w:t>
      </w:r>
      <w:r w:rsidR="00681A4F" w:rsidRPr="00E93126">
        <w:rPr>
          <w:lang w:val="en-GB"/>
        </w:rPr>
        <w:t xml:space="preserve">current </w:t>
      </w:r>
      <w:proofErr w:type="spellStart"/>
      <w:r w:rsidR="000953D0" w:rsidRPr="00E93126">
        <w:rPr>
          <w:lang w:val="en-GB"/>
        </w:rPr>
        <w:t>Fairdeal</w:t>
      </w:r>
      <w:proofErr w:type="spellEnd"/>
      <w:r w:rsidR="000953D0" w:rsidRPr="00E93126">
        <w:rPr>
          <w:lang w:val="en-GB"/>
        </w:rPr>
        <w:t xml:space="preserve"> </w:t>
      </w:r>
      <w:r w:rsidR="00681A4F" w:rsidRPr="00E93126">
        <w:rPr>
          <w:lang w:val="en-GB"/>
        </w:rPr>
        <w:t>b</w:t>
      </w:r>
      <w:r w:rsidRPr="00E93126">
        <w:rPr>
          <w:lang w:val="en-GB"/>
        </w:rPr>
        <w:t xml:space="preserve">ranch </w:t>
      </w:r>
      <w:r w:rsidR="00681A4F" w:rsidRPr="00E93126">
        <w:rPr>
          <w:lang w:val="en-GB"/>
        </w:rPr>
        <w:t>m</w:t>
      </w:r>
      <w:r w:rsidRPr="00E93126">
        <w:rPr>
          <w:lang w:val="en-GB"/>
        </w:rPr>
        <w:t xml:space="preserve">anager, </w:t>
      </w:r>
      <w:proofErr w:type="spellStart"/>
      <w:r w:rsidR="00D74E59">
        <w:rPr>
          <w:lang w:val="en-GB"/>
        </w:rPr>
        <w:t>Asim</w:t>
      </w:r>
      <w:proofErr w:type="spellEnd"/>
      <w:r w:rsidR="00D74E59">
        <w:rPr>
          <w:lang w:val="en-GB"/>
        </w:rPr>
        <w:t xml:space="preserve"> </w:t>
      </w:r>
      <w:proofErr w:type="spellStart"/>
      <w:r w:rsidRPr="00E93126">
        <w:rPr>
          <w:lang w:val="en-GB"/>
        </w:rPr>
        <w:t>S</w:t>
      </w:r>
      <w:r w:rsidR="00E93126">
        <w:rPr>
          <w:lang w:val="en-GB"/>
        </w:rPr>
        <w:t>h</w:t>
      </w:r>
      <w:r w:rsidRPr="00E93126">
        <w:rPr>
          <w:lang w:val="en-GB"/>
        </w:rPr>
        <w:t>ameem</w:t>
      </w:r>
      <w:proofErr w:type="spellEnd"/>
      <w:r w:rsidR="003B018C">
        <w:rPr>
          <w:lang w:val="en-GB"/>
        </w:rPr>
        <w:t>,</w:t>
      </w:r>
      <w:r w:rsidRPr="00E93126">
        <w:rPr>
          <w:lang w:val="en-GB"/>
        </w:rPr>
        <w:t xml:space="preserve"> would see </w:t>
      </w:r>
      <w:r w:rsidR="00681A4F" w:rsidRPr="00E93126">
        <w:rPr>
          <w:lang w:val="en-GB"/>
        </w:rPr>
        <w:t>the situation</w:t>
      </w:r>
      <w:r w:rsidRPr="00E93126">
        <w:rPr>
          <w:lang w:val="en-GB"/>
        </w:rPr>
        <w:t xml:space="preserve">. </w:t>
      </w:r>
      <w:r w:rsidR="003B018C">
        <w:rPr>
          <w:lang w:val="en-GB"/>
        </w:rPr>
        <w:t>The</w:t>
      </w:r>
      <w:r w:rsidRPr="00E93126">
        <w:rPr>
          <w:lang w:val="en-GB"/>
        </w:rPr>
        <w:t xml:space="preserve"> power dynamics in the </w:t>
      </w:r>
      <w:r w:rsidRPr="00E93126">
        <w:rPr>
          <w:lang w:val="en-GB"/>
        </w:rPr>
        <w:lastRenderedPageBreak/>
        <w:t>market had changed, and</w:t>
      </w:r>
      <w:r w:rsidR="00681A4F" w:rsidRPr="00E93126">
        <w:rPr>
          <w:lang w:val="en-GB"/>
        </w:rPr>
        <w:t>,</w:t>
      </w:r>
      <w:r w:rsidRPr="00E93126">
        <w:rPr>
          <w:lang w:val="en-GB"/>
        </w:rPr>
        <w:t xml:space="preserve"> more significantly</w:t>
      </w:r>
      <w:r w:rsidR="00681A4F" w:rsidRPr="00E93126">
        <w:rPr>
          <w:lang w:val="en-GB"/>
        </w:rPr>
        <w:t>,</w:t>
      </w:r>
      <w:r w:rsidRPr="00E93126">
        <w:rPr>
          <w:lang w:val="en-GB"/>
        </w:rPr>
        <w:t xml:space="preserve"> </w:t>
      </w:r>
      <w:r w:rsidR="00681A4F" w:rsidRPr="00E93126">
        <w:rPr>
          <w:lang w:val="en-GB"/>
        </w:rPr>
        <w:t xml:space="preserve">the </w:t>
      </w:r>
      <w:proofErr w:type="spellStart"/>
      <w:r w:rsidRPr="00E93126">
        <w:rPr>
          <w:lang w:val="en-GB"/>
        </w:rPr>
        <w:t>Fairdeal</w:t>
      </w:r>
      <w:proofErr w:type="spellEnd"/>
      <w:r w:rsidRPr="00E93126">
        <w:rPr>
          <w:lang w:val="en-GB"/>
        </w:rPr>
        <w:t xml:space="preserve"> brand was not as str</w:t>
      </w:r>
      <w:r w:rsidR="00BC426A" w:rsidRPr="00E93126">
        <w:rPr>
          <w:lang w:val="en-GB"/>
        </w:rPr>
        <w:t xml:space="preserve">ong as it </w:t>
      </w:r>
      <w:r w:rsidR="00681A4F" w:rsidRPr="00E93126">
        <w:rPr>
          <w:lang w:val="en-GB"/>
        </w:rPr>
        <w:t xml:space="preserve">had been </w:t>
      </w:r>
      <w:r w:rsidR="00BC426A" w:rsidRPr="00E93126">
        <w:rPr>
          <w:lang w:val="en-GB"/>
        </w:rPr>
        <w:t>in 2010. Since</w:t>
      </w:r>
      <w:r w:rsidRPr="00E93126">
        <w:rPr>
          <w:lang w:val="en-GB"/>
        </w:rPr>
        <w:t xml:space="preserve"> </w:t>
      </w:r>
      <w:proofErr w:type="spellStart"/>
      <w:r w:rsidRPr="00E93126">
        <w:rPr>
          <w:lang w:val="en-GB"/>
        </w:rPr>
        <w:t>Shameem</w:t>
      </w:r>
      <w:proofErr w:type="spellEnd"/>
      <w:r w:rsidRPr="00E93126">
        <w:rPr>
          <w:lang w:val="en-GB"/>
        </w:rPr>
        <w:t xml:space="preserve"> was </w:t>
      </w:r>
      <w:r w:rsidR="003B018C">
        <w:rPr>
          <w:lang w:val="en-GB"/>
        </w:rPr>
        <w:t>away</w:t>
      </w:r>
      <w:r w:rsidRPr="00E93126">
        <w:rPr>
          <w:lang w:val="en-GB"/>
        </w:rPr>
        <w:t xml:space="preserve"> and </w:t>
      </w:r>
      <w:r w:rsidR="00681A4F" w:rsidRPr="00E93126">
        <w:rPr>
          <w:lang w:val="en-GB"/>
        </w:rPr>
        <w:t xml:space="preserve">the </w:t>
      </w:r>
      <w:r w:rsidRPr="00E93126">
        <w:rPr>
          <w:lang w:val="en-GB"/>
        </w:rPr>
        <w:t>matter</w:t>
      </w:r>
      <w:r w:rsidR="00681A4F" w:rsidRPr="00E93126">
        <w:rPr>
          <w:lang w:val="en-GB"/>
        </w:rPr>
        <w:t xml:space="preserve"> was urgent</w:t>
      </w:r>
      <w:r w:rsidRPr="00E93126">
        <w:rPr>
          <w:lang w:val="en-GB"/>
        </w:rPr>
        <w:t xml:space="preserve">, Umar </w:t>
      </w:r>
      <w:r w:rsidR="003B018C">
        <w:rPr>
          <w:lang w:val="en-GB"/>
        </w:rPr>
        <w:t>met with</w:t>
      </w:r>
      <w:r w:rsidRPr="00E93126">
        <w:rPr>
          <w:lang w:val="en-GB"/>
        </w:rPr>
        <w:t xml:space="preserve"> Rashid the same evening to discuss the matter and assess the situation first</w:t>
      </w:r>
      <w:r w:rsidR="00681A4F" w:rsidRPr="00E93126">
        <w:rPr>
          <w:lang w:val="en-GB"/>
        </w:rPr>
        <w:t>-</w:t>
      </w:r>
      <w:r w:rsidRPr="00E93126">
        <w:rPr>
          <w:lang w:val="en-GB"/>
        </w:rPr>
        <w:t>hand.</w:t>
      </w:r>
    </w:p>
    <w:p w14:paraId="77FD25C1" w14:textId="77777777" w:rsidR="006A218B" w:rsidRPr="00E93126" w:rsidRDefault="006A218B" w:rsidP="006A218B">
      <w:pPr>
        <w:pStyle w:val="BodyTextMain"/>
        <w:rPr>
          <w:lang w:val="en-GB"/>
        </w:rPr>
      </w:pPr>
    </w:p>
    <w:p w14:paraId="459E53A6" w14:textId="77777777" w:rsidR="006A218B" w:rsidRPr="00B53995" w:rsidRDefault="00916093" w:rsidP="006A218B">
      <w:pPr>
        <w:pStyle w:val="BodyTextMain"/>
        <w:rPr>
          <w:spacing w:val="-2"/>
          <w:kern w:val="22"/>
          <w:lang w:val="en-GB"/>
        </w:rPr>
      </w:pPr>
      <w:r>
        <w:rPr>
          <w:spacing w:val="-2"/>
          <w:kern w:val="22"/>
          <w:lang w:val="en-GB"/>
        </w:rPr>
        <w:t>Many</w:t>
      </w:r>
      <w:r w:rsidRPr="00B53995">
        <w:rPr>
          <w:spacing w:val="-2"/>
          <w:kern w:val="22"/>
          <w:lang w:val="en-GB"/>
        </w:rPr>
        <w:t xml:space="preserve"> </w:t>
      </w:r>
      <w:r w:rsidR="006A218B" w:rsidRPr="00B53995">
        <w:rPr>
          <w:spacing w:val="-2"/>
          <w:kern w:val="22"/>
          <w:lang w:val="en-GB"/>
        </w:rPr>
        <w:t xml:space="preserve">years of working with </w:t>
      </w:r>
      <w:r w:rsidR="00681A4F" w:rsidRPr="00B53995">
        <w:rPr>
          <w:spacing w:val="-2"/>
          <w:kern w:val="22"/>
          <w:lang w:val="en-GB"/>
        </w:rPr>
        <w:t xml:space="preserve">Rashid had </w:t>
      </w:r>
      <w:r w:rsidR="006A218B" w:rsidRPr="00B53995">
        <w:rPr>
          <w:spacing w:val="-2"/>
          <w:kern w:val="22"/>
          <w:lang w:val="en-GB"/>
        </w:rPr>
        <w:t xml:space="preserve">allowed Umar some insight into his thinking. Based on </w:t>
      </w:r>
      <w:r w:rsidR="00681A4F" w:rsidRPr="00B53995">
        <w:rPr>
          <w:spacing w:val="-2"/>
          <w:kern w:val="22"/>
          <w:lang w:val="en-GB"/>
        </w:rPr>
        <w:t xml:space="preserve">Rashid’s </w:t>
      </w:r>
      <w:r w:rsidR="006A218B" w:rsidRPr="00B53995">
        <w:rPr>
          <w:spacing w:val="-2"/>
          <w:kern w:val="22"/>
          <w:lang w:val="en-GB"/>
        </w:rPr>
        <w:t xml:space="preserve">clear tone and firm attitude in their conversation, Umar </w:t>
      </w:r>
      <w:r w:rsidR="00681A4F" w:rsidRPr="00B53995">
        <w:rPr>
          <w:spacing w:val="-2"/>
          <w:kern w:val="22"/>
          <w:lang w:val="en-GB"/>
        </w:rPr>
        <w:t>believed</w:t>
      </w:r>
      <w:r w:rsidR="006A218B" w:rsidRPr="00B53995">
        <w:rPr>
          <w:spacing w:val="-2"/>
          <w:kern w:val="22"/>
          <w:lang w:val="en-GB"/>
        </w:rPr>
        <w:t xml:space="preserve"> that Abdul’s decision to stock and sell </w:t>
      </w:r>
      <w:proofErr w:type="spellStart"/>
      <w:r w:rsidR="006A218B" w:rsidRPr="00B53995">
        <w:rPr>
          <w:spacing w:val="-2"/>
          <w:kern w:val="22"/>
          <w:lang w:val="en-GB"/>
        </w:rPr>
        <w:t>Technica</w:t>
      </w:r>
      <w:proofErr w:type="spellEnd"/>
      <w:r w:rsidR="006A218B" w:rsidRPr="00B53995">
        <w:rPr>
          <w:spacing w:val="-2"/>
          <w:kern w:val="22"/>
          <w:lang w:val="en-GB"/>
        </w:rPr>
        <w:t xml:space="preserve"> </w:t>
      </w:r>
      <w:r w:rsidR="00681A4F" w:rsidRPr="00B53995">
        <w:rPr>
          <w:spacing w:val="-2"/>
          <w:kern w:val="22"/>
          <w:lang w:val="en-GB"/>
        </w:rPr>
        <w:t xml:space="preserve">had been </w:t>
      </w:r>
      <w:r w:rsidR="006A218B" w:rsidRPr="00B53995">
        <w:rPr>
          <w:spacing w:val="-2"/>
          <w:kern w:val="22"/>
          <w:lang w:val="en-GB"/>
        </w:rPr>
        <w:t xml:space="preserve">well considered and </w:t>
      </w:r>
      <w:r w:rsidR="00681A4F" w:rsidRPr="00B53995">
        <w:rPr>
          <w:spacing w:val="-2"/>
          <w:kern w:val="22"/>
          <w:lang w:val="en-GB"/>
        </w:rPr>
        <w:t xml:space="preserve">was </w:t>
      </w:r>
      <w:r w:rsidR="006A218B" w:rsidRPr="00B53995">
        <w:rPr>
          <w:spacing w:val="-2"/>
          <w:kern w:val="22"/>
          <w:lang w:val="en-GB"/>
        </w:rPr>
        <w:t xml:space="preserve">unlikely to change. Umar knew </w:t>
      </w:r>
      <w:r w:rsidR="00681A4F" w:rsidRPr="00B53995">
        <w:rPr>
          <w:spacing w:val="-2"/>
          <w:kern w:val="22"/>
          <w:lang w:val="en-GB"/>
        </w:rPr>
        <w:t>that much</w:t>
      </w:r>
      <w:r w:rsidR="006A218B" w:rsidRPr="00B53995">
        <w:rPr>
          <w:spacing w:val="-2"/>
          <w:kern w:val="22"/>
          <w:lang w:val="en-GB"/>
        </w:rPr>
        <w:t xml:space="preserve"> careful analysis was required before finalizing his own strategy. He wanted to make a considered assessment of the situation and decided to </w:t>
      </w:r>
      <w:r w:rsidR="005C37D3" w:rsidRPr="00B53995">
        <w:rPr>
          <w:spacing w:val="-2"/>
          <w:kern w:val="22"/>
          <w:lang w:val="en-GB"/>
        </w:rPr>
        <w:t>engage in</w:t>
      </w:r>
      <w:r w:rsidR="006A218B" w:rsidRPr="00B53995">
        <w:rPr>
          <w:spacing w:val="-2"/>
          <w:kern w:val="22"/>
          <w:lang w:val="en-GB"/>
        </w:rPr>
        <w:t xml:space="preserve"> some pleasant social exchanges, but without discussing future business.</w:t>
      </w:r>
    </w:p>
    <w:p w14:paraId="65FBEEEE" w14:textId="77777777" w:rsidR="006A218B" w:rsidRPr="00E93126" w:rsidRDefault="006A218B" w:rsidP="006A218B">
      <w:pPr>
        <w:pStyle w:val="BodyTextMain"/>
        <w:rPr>
          <w:lang w:val="en-GB"/>
        </w:rPr>
      </w:pPr>
    </w:p>
    <w:p w14:paraId="0D0A0252" w14:textId="77777777" w:rsidR="006A218B" w:rsidRPr="00E93126" w:rsidRDefault="006A218B" w:rsidP="006A218B">
      <w:pPr>
        <w:pStyle w:val="BodyTextMain"/>
        <w:rPr>
          <w:lang w:val="en-GB"/>
        </w:rPr>
      </w:pPr>
      <w:r w:rsidRPr="00E93126">
        <w:rPr>
          <w:lang w:val="en-GB"/>
        </w:rPr>
        <w:t xml:space="preserve">Umar asked </w:t>
      </w:r>
      <w:proofErr w:type="spellStart"/>
      <w:r w:rsidRPr="00E93126">
        <w:rPr>
          <w:lang w:val="en-GB"/>
        </w:rPr>
        <w:t>Sh</w:t>
      </w:r>
      <w:r w:rsidR="00BC426A" w:rsidRPr="00E93126">
        <w:rPr>
          <w:lang w:val="en-GB"/>
        </w:rPr>
        <w:t>ameem</w:t>
      </w:r>
      <w:proofErr w:type="spellEnd"/>
      <w:r w:rsidR="00BC426A" w:rsidRPr="00E93126">
        <w:rPr>
          <w:lang w:val="en-GB"/>
        </w:rPr>
        <w:t xml:space="preserve"> to </w:t>
      </w:r>
      <w:r w:rsidR="005C37D3" w:rsidRPr="00E93126">
        <w:rPr>
          <w:lang w:val="en-GB"/>
        </w:rPr>
        <w:t>return</w:t>
      </w:r>
      <w:r w:rsidR="00BC426A" w:rsidRPr="00E93126">
        <w:rPr>
          <w:lang w:val="en-GB"/>
        </w:rPr>
        <w:t xml:space="preserve"> to Denpasar and</w:t>
      </w:r>
      <w:r w:rsidRPr="00E93126">
        <w:rPr>
          <w:lang w:val="en-GB"/>
        </w:rPr>
        <w:t xml:space="preserve"> meet him in office the next day. He also asked Jaffer to bring the sales records that included a summary of </w:t>
      </w:r>
      <w:r w:rsidR="00916093">
        <w:rPr>
          <w:lang w:val="en-GB"/>
        </w:rPr>
        <w:t xml:space="preserve">all of the dealers’ </w:t>
      </w:r>
      <w:r w:rsidRPr="00E93126">
        <w:rPr>
          <w:lang w:val="en-GB"/>
        </w:rPr>
        <w:t xml:space="preserve">annual sales figures </w:t>
      </w:r>
      <w:r w:rsidR="00916093" w:rsidRPr="00E93126">
        <w:rPr>
          <w:lang w:val="en-GB"/>
        </w:rPr>
        <w:t xml:space="preserve">for different air conditioner brands </w:t>
      </w:r>
      <w:r w:rsidR="00916093">
        <w:rPr>
          <w:lang w:val="en-GB"/>
        </w:rPr>
        <w:t>over</w:t>
      </w:r>
      <w:r w:rsidRPr="00E93126">
        <w:rPr>
          <w:lang w:val="en-GB"/>
        </w:rPr>
        <w:t xml:space="preserve"> the </w:t>
      </w:r>
      <w:r w:rsidR="005C37D3" w:rsidRPr="00E93126">
        <w:rPr>
          <w:lang w:val="en-GB"/>
        </w:rPr>
        <w:t xml:space="preserve">past </w:t>
      </w:r>
      <w:r w:rsidRPr="00E93126">
        <w:rPr>
          <w:lang w:val="en-GB"/>
        </w:rPr>
        <w:t xml:space="preserve">three years (see Exhibit 3). </w:t>
      </w:r>
    </w:p>
    <w:p w14:paraId="5407BFCE" w14:textId="77777777" w:rsidR="006A218B" w:rsidRPr="00E93126" w:rsidRDefault="006A218B" w:rsidP="006A218B">
      <w:pPr>
        <w:pStyle w:val="BodyTextMain"/>
        <w:rPr>
          <w:lang w:val="en-GB"/>
        </w:rPr>
      </w:pPr>
    </w:p>
    <w:p w14:paraId="48562EA2" w14:textId="77777777" w:rsidR="00FE7D69" w:rsidRDefault="006A218B" w:rsidP="006A218B">
      <w:pPr>
        <w:pStyle w:val="BodyTextMain"/>
        <w:rPr>
          <w:lang w:val="en-GB"/>
        </w:rPr>
      </w:pPr>
      <w:r w:rsidRPr="00E93126">
        <w:rPr>
          <w:lang w:val="en-GB"/>
        </w:rPr>
        <w:t xml:space="preserve">During </w:t>
      </w:r>
      <w:r w:rsidR="00BC426A" w:rsidRPr="00E93126">
        <w:rPr>
          <w:lang w:val="en-GB"/>
        </w:rPr>
        <w:t xml:space="preserve">the meeting </w:t>
      </w:r>
      <w:r w:rsidRPr="00E93126">
        <w:rPr>
          <w:lang w:val="en-GB"/>
        </w:rPr>
        <w:t>in Umar’s office</w:t>
      </w:r>
      <w:r w:rsidR="005C37D3" w:rsidRPr="00E93126">
        <w:rPr>
          <w:lang w:val="en-GB"/>
        </w:rPr>
        <w:t xml:space="preserve"> on January 8, 2018</w:t>
      </w:r>
      <w:r w:rsidRPr="00E93126">
        <w:rPr>
          <w:lang w:val="en-GB"/>
        </w:rPr>
        <w:t xml:space="preserve">, </w:t>
      </w:r>
      <w:proofErr w:type="spellStart"/>
      <w:r w:rsidRPr="00E93126">
        <w:rPr>
          <w:lang w:val="en-GB"/>
        </w:rPr>
        <w:t>Shameem</w:t>
      </w:r>
      <w:proofErr w:type="spellEnd"/>
      <w:r w:rsidRPr="00E93126">
        <w:rPr>
          <w:lang w:val="en-GB"/>
        </w:rPr>
        <w:t xml:space="preserve"> </w:t>
      </w:r>
      <w:r w:rsidR="005C37D3" w:rsidRPr="00E93126">
        <w:rPr>
          <w:lang w:val="en-GB"/>
        </w:rPr>
        <w:t>voiced his</w:t>
      </w:r>
      <w:r w:rsidRPr="00E93126">
        <w:rPr>
          <w:lang w:val="en-GB"/>
        </w:rPr>
        <w:t xml:space="preserve"> opinion that there was no point </w:t>
      </w:r>
      <w:r w:rsidR="00916093">
        <w:rPr>
          <w:lang w:val="en-GB"/>
        </w:rPr>
        <w:t xml:space="preserve">in </w:t>
      </w:r>
      <w:r w:rsidR="00830FD6">
        <w:rPr>
          <w:lang w:val="en-GB"/>
        </w:rPr>
        <w:t>reacting</w:t>
      </w:r>
      <w:r w:rsidR="00830FD6" w:rsidRPr="00E93126">
        <w:rPr>
          <w:lang w:val="en-GB"/>
        </w:rPr>
        <w:t xml:space="preserve"> </w:t>
      </w:r>
      <w:r w:rsidRPr="00E93126">
        <w:rPr>
          <w:lang w:val="en-GB"/>
        </w:rPr>
        <w:t xml:space="preserve">to Abdul’s move </w:t>
      </w:r>
      <w:r w:rsidR="00916093">
        <w:rPr>
          <w:lang w:val="en-GB"/>
        </w:rPr>
        <w:t>with an attempt at greater</w:t>
      </w:r>
      <w:r w:rsidRPr="00E93126">
        <w:rPr>
          <w:lang w:val="en-GB"/>
        </w:rPr>
        <w:t xml:space="preserve"> network expansion. That </w:t>
      </w:r>
      <w:r w:rsidR="005C37D3" w:rsidRPr="00E93126">
        <w:rPr>
          <w:lang w:val="en-GB"/>
        </w:rPr>
        <w:t xml:space="preserve">response </w:t>
      </w:r>
      <w:r w:rsidRPr="00E93126">
        <w:rPr>
          <w:lang w:val="en-GB"/>
        </w:rPr>
        <w:t xml:space="preserve">would open up the possibility of retaliation by Abdul, </w:t>
      </w:r>
      <w:r w:rsidR="005C37D3" w:rsidRPr="00E93126">
        <w:rPr>
          <w:lang w:val="en-GB"/>
        </w:rPr>
        <w:t xml:space="preserve">which </w:t>
      </w:r>
      <w:r w:rsidRPr="00E93126">
        <w:rPr>
          <w:lang w:val="en-GB"/>
        </w:rPr>
        <w:t xml:space="preserve">could reduce </w:t>
      </w:r>
      <w:proofErr w:type="spellStart"/>
      <w:r w:rsidRPr="00E93126">
        <w:rPr>
          <w:lang w:val="en-GB"/>
        </w:rPr>
        <w:t>Fairdeal</w:t>
      </w:r>
      <w:r w:rsidR="00916093">
        <w:rPr>
          <w:lang w:val="en-GB"/>
        </w:rPr>
        <w:t>’s</w:t>
      </w:r>
      <w:proofErr w:type="spellEnd"/>
      <w:r w:rsidRPr="00E93126">
        <w:rPr>
          <w:lang w:val="en-GB"/>
        </w:rPr>
        <w:t xml:space="preserve"> sales significantly</w:t>
      </w:r>
      <w:r w:rsidR="005C37D3" w:rsidRPr="00E93126">
        <w:rPr>
          <w:lang w:val="en-GB"/>
        </w:rPr>
        <w:t>,</w:t>
      </w:r>
      <w:r w:rsidRPr="00E93126">
        <w:rPr>
          <w:lang w:val="en-GB"/>
        </w:rPr>
        <w:t xml:space="preserve"> and </w:t>
      </w:r>
      <w:r w:rsidR="005C37D3" w:rsidRPr="00E93126">
        <w:rPr>
          <w:lang w:val="en-GB"/>
        </w:rPr>
        <w:t xml:space="preserve">those lost sales </w:t>
      </w:r>
      <w:r w:rsidRPr="00E93126">
        <w:rPr>
          <w:lang w:val="en-GB"/>
        </w:rPr>
        <w:t xml:space="preserve">would be difficult to make up elsewhere. </w:t>
      </w:r>
      <w:r w:rsidR="005C37D3" w:rsidRPr="00E93126">
        <w:rPr>
          <w:lang w:val="en-GB"/>
        </w:rPr>
        <w:t xml:space="preserve">Although </w:t>
      </w:r>
      <w:proofErr w:type="spellStart"/>
      <w:r w:rsidRPr="00E93126">
        <w:rPr>
          <w:lang w:val="en-GB"/>
        </w:rPr>
        <w:t>Fairdeal</w:t>
      </w:r>
      <w:proofErr w:type="spellEnd"/>
      <w:r w:rsidRPr="00E93126">
        <w:rPr>
          <w:lang w:val="en-GB"/>
        </w:rPr>
        <w:t xml:space="preserve"> had the option of starting business with Vision or Spectrum</w:t>
      </w:r>
      <w:r w:rsidR="005C37D3" w:rsidRPr="00E93126">
        <w:rPr>
          <w:lang w:val="en-GB"/>
        </w:rPr>
        <w:t>, or both</w:t>
      </w:r>
      <w:r w:rsidRPr="00E93126">
        <w:rPr>
          <w:lang w:val="en-GB"/>
        </w:rPr>
        <w:t xml:space="preserve">, neither </w:t>
      </w:r>
      <w:r w:rsidR="005C37D3" w:rsidRPr="00E93126">
        <w:rPr>
          <w:lang w:val="en-GB"/>
        </w:rPr>
        <w:t xml:space="preserve">Vision nor Spectrum had Abdul’s </w:t>
      </w:r>
      <w:r w:rsidRPr="00E93126">
        <w:rPr>
          <w:lang w:val="en-GB"/>
        </w:rPr>
        <w:t xml:space="preserve">sales potential </w:t>
      </w:r>
      <w:r w:rsidR="005C37D3" w:rsidRPr="00E93126">
        <w:rPr>
          <w:lang w:val="en-GB"/>
        </w:rPr>
        <w:t>or</w:t>
      </w:r>
      <w:r w:rsidRPr="00E93126">
        <w:rPr>
          <w:lang w:val="en-GB"/>
        </w:rPr>
        <w:t xml:space="preserve"> financial credibility. Hence, it </w:t>
      </w:r>
      <w:r w:rsidR="00830FD6">
        <w:rPr>
          <w:lang w:val="en-GB"/>
        </w:rPr>
        <w:t xml:space="preserve">would be </w:t>
      </w:r>
      <w:r w:rsidRPr="00E93126">
        <w:rPr>
          <w:lang w:val="en-GB"/>
        </w:rPr>
        <w:t>best</w:t>
      </w:r>
      <w:r w:rsidR="00830FD6">
        <w:rPr>
          <w:lang w:val="en-GB"/>
        </w:rPr>
        <w:t xml:space="preserve"> if</w:t>
      </w:r>
      <w:r w:rsidRPr="00E93126">
        <w:rPr>
          <w:lang w:val="en-GB"/>
        </w:rPr>
        <w:t xml:space="preserve"> </w:t>
      </w:r>
      <w:proofErr w:type="spellStart"/>
      <w:r w:rsidRPr="00E93126">
        <w:rPr>
          <w:lang w:val="en-GB"/>
        </w:rPr>
        <w:t>Fairdeal</w:t>
      </w:r>
      <w:proofErr w:type="spellEnd"/>
      <w:r w:rsidRPr="00E93126">
        <w:rPr>
          <w:lang w:val="en-GB"/>
        </w:rPr>
        <w:t xml:space="preserve"> continued to focus on a limited number of dealers, ensure higher profits for them</w:t>
      </w:r>
      <w:r w:rsidR="005C37D3" w:rsidRPr="00E93126">
        <w:rPr>
          <w:lang w:val="en-GB"/>
        </w:rPr>
        <w:t>,</w:t>
      </w:r>
      <w:r w:rsidRPr="00E93126">
        <w:rPr>
          <w:lang w:val="en-GB"/>
        </w:rPr>
        <w:t xml:space="preserve"> and thereby </w:t>
      </w:r>
      <w:r w:rsidR="005C37D3" w:rsidRPr="00E93126">
        <w:rPr>
          <w:lang w:val="en-GB"/>
        </w:rPr>
        <w:t xml:space="preserve">achieve </w:t>
      </w:r>
      <w:r w:rsidRPr="00E93126">
        <w:rPr>
          <w:lang w:val="en-GB"/>
        </w:rPr>
        <w:t xml:space="preserve">its quota of sales. </w:t>
      </w:r>
    </w:p>
    <w:p w14:paraId="2D47CCCD" w14:textId="77777777" w:rsidR="00FE7D69" w:rsidRDefault="00FE7D69" w:rsidP="006A218B">
      <w:pPr>
        <w:pStyle w:val="BodyTextMain"/>
        <w:rPr>
          <w:lang w:val="en-GB"/>
        </w:rPr>
      </w:pPr>
    </w:p>
    <w:p w14:paraId="3688A70B" w14:textId="77777777" w:rsidR="006A218B" w:rsidRPr="00E93126" w:rsidRDefault="006A218B" w:rsidP="006A218B">
      <w:pPr>
        <w:pStyle w:val="BodyTextMain"/>
        <w:rPr>
          <w:lang w:val="en-GB"/>
        </w:rPr>
      </w:pPr>
      <w:r w:rsidRPr="00E93126">
        <w:rPr>
          <w:lang w:val="en-GB"/>
        </w:rPr>
        <w:t xml:space="preserve">Jaffer was worried that </w:t>
      </w:r>
      <w:proofErr w:type="spellStart"/>
      <w:r w:rsidRPr="00E93126">
        <w:rPr>
          <w:lang w:val="en-GB"/>
        </w:rPr>
        <w:t>Shameem’s</w:t>
      </w:r>
      <w:proofErr w:type="spellEnd"/>
      <w:r w:rsidRPr="00E93126">
        <w:rPr>
          <w:lang w:val="en-GB"/>
        </w:rPr>
        <w:t xml:space="preserve"> strategy </w:t>
      </w:r>
      <w:r w:rsidR="005C37D3" w:rsidRPr="00E93126">
        <w:rPr>
          <w:lang w:val="en-GB"/>
        </w:rPr>
        <w:t xml:space="preserve">might </w:t>
      </w:r>
      <w:r w:rsidRPr="00E93126">
        <w:rPr>
          <w:lang w:val="en-GB"/>
        </w:rPr>
        <w:t xml:space="preserve">encourage Rahman to </w:t>
      </w:r>
      <w:r w:rsidR="005C37D3" w:rsidRPr="00E93126">
        <w:rPr>
          <w:lang w:val="en-GB"/>
        </w:rPr>
        <w:t xml:space="preserve">also </w:t>
      </w:r>
      <w:r w:rsidRPr="00E93126">
        <w:rPr>
          <w:lang w:val="en-GB"/>
        </w:rPr>
        <w:t xml:space="preserve">take up </w:t>
      </w:r>
      <w:proofErr w:type="spellStart"/>
      <w:r w:rsidRPr="00E93126">
        <w:rPr>
          <w:lang w:val="en-GB"/>
        </w:rPr>
        <w:t>Technica</w:t>
      </w:r>
      <w:proofErr w:type="spellEnd"/>
      <w:r w:rsidRPr="00E93126">
        <w:rPr>
          <w:lang w:val="en-GB"/>
        </w:rPr>
        <w:t xml:space="preserve">. </w:t>
      </w:r>
      <w:r w:rsidR="005C37D3" w:rsidRPr="00E93126">
        <w:rPr>
          <w:lang w:val="en-GB"/>
        </w:rPr>
        <w:t xml:space="preserve">If </w:t>
      </w:r>
      <w:r w:rsidR="00FE7D69">
        <w:rPr>
          <w:lang w:val="en-GB"/>
        </w:rPr>
        <w:t>Rahman did so</w:t>
      </w:r>
      <w:r w:rsidRPr="00E93126">
        <w:rPr>
          <w:lang w:val="en-GB"/>
        </w:rPr>
        <w:t xml:space="preserve">, it would be difficult </w:t>
      </w:r>
      <w:r w:rsidR="005C37D3" w:rsidRPr="00E93126">
        <w:rPr>
          <w:lang w:val="en-GB"/>
        </w:rPr>
        <w:t xml:space="preserve">for </w:t>
      </w:r>
      <w:proofErr w:type="spellStart"/>
      <w:r w:rsidR="005C37D3" w:rsidRPr="00E93126">
        <w:rPr>
          <w:lang w:val="en-GB"/>
        </w:rPr>
        <w:t>Fairdeal</w:t>
      </w:r>
      <w:proofErr w:type="spellEnd"/>
      <w:r w:rsidR="005C37D3" w:rsidRPr="00E93126">
        <w:rPr>
          <w:lang w:val="en-GB"/>
        </w:rPr>
        <w:t xml:space="preserve"> </w:t>
      </w:r>
      <w:r w:rsidRPr="00E93126">
        <w:rPr>
          <w:lang w:val="en-GB"/>
        </w:rPr>
        <w:t xml:space="preserve">to </w:t>
      </w:r>
      <w:r w:rsidR="005C37D3" w:rsidRPr="00E93126">
        <w:rPr>
          <w:lang w:val="en-GB"/>
        </w:rPr>
        <w:t xml:space="preserve">maintain </w:t>
      </w:r>
      <w:r w:rsidRPr="00E93126">
        <w:rPr>
          <w:lang w:val="en-GB"/>
        </w:rPr>
        <w:t xml:space="preserve">even </w:t>
      </w:r>
      <w:r w:rsidR="005C37D3" w:rsidRPr="00E93126">
        <w:rPr>
          <w:lang w:val="en-GB"/>
        </w:rPr>
        <w:t xml:space="preserve">its </w:t>
      </w:r>
      <w:r w:rsidRPr="00E93126">
        <w:rPr>
          <w:lang w:val="en-GB"/>
        </w:rPr>
        <w:t xml:space="preserve">current sales figures in both </w:t>
      </w:r>
      <w:r w:rsidR="005C37D3" w:rsidRPr="00E93126">
        <w:rPr>
          <w:lang w:val="en-GB"/>
        </w:rPr>
        <w:t xml:space="preserve">the </w:t>
      </w:r>
      <w:r w:rsidRPr="00E93126">
        <w:rPr>
          <w:lang w:val="en-GB"/>
        </w:rPr>
        <w:t>short and long term</w:t>
      </w:r>
      <w:r w:rsidR="005C37D3" w:rsidRPr="00E93126">
        <w:rPr>
          <w:lang w:val="en-GB"/>
        </w:rPr>
        <w:t>s</w:t>
      </w:r>
      <w:r w:rsidRPr="00E93126">
        <w:rPr>
          <w:lang w:val="en-GB"/>
        </w:rPr>
        <w:t xml:space="preserve">. Umar was more bothered about the impact </w:t>
      </w:r>
      <w:r w:rsidR="005C37D3" w:rsidRPr="00E93126">
        <w:rPr>
          <w:lang w:val="en-GB"/>
        </w:rPr>
        <w:t xml:space="preserve">that </w:t>
      </w:r>
      <w:r w:rsidRPr="00E93126">
        <w:rPr>
          <w:lang w:val="en-GB"/>
        </w:rPr>
        <w:t>his decision on the Denpasar market would have elsewhere in Bali</w:t>
      </w:r>
      <w:r w:rsidR="00FE7D69">
        <w:rPr>
          <w:lang w:val="en-GB"/>
        </w:rPr>
        <w:t>,</w:t>
      </w:r>
      <w:r w:rsidRPr="00E93126">
        <w:rPr>
          <w:lang w:val="en-GB"/>
        </w:rPr>
        <w:t xml:space="preserve"> and </w:t>
      </w:r>
      <w:r w:rsidR="005C37D3" w:rsidRPr="00E93126">
        <w:rPr>
          <w:lang w:val="en-GB"/>
        </w:rPr>
        <w:t xml:space="preserve">in </w:t>
      </w:r>
      <w:r w:rsidRPr="00E93126">
        <w:rPr>
          <w:lang w:val="en-GB"/>
        </w:rPr>
        <w:t>other Indonesia</w:t>
      </w:r>
      <w:r w:rsidR="005C37D3" w:rsidRPr="00E93126">
        <w:rPr>
          <w:lang w:val="en-GB"/>
        </w:rPr>
        <w:t>n markets</w:t>
      </w:r>
      <w:r w:rsidRPr="00E93126">
        <w:rPr>
          <w:lang w:val="en-GB"/>
        </w:rPr>
        <w:t xml:space="preserve"> that he was handling.</w:t>
      </w:r>
    </w:p>
    <w:p w14:paraId="337D3148" w14:textId="77777777" w:rsidR="006A218B" w:rsidRPr="00E93126" w:rsidRDefault="006A218B" w:rsidP="006A218B">
      <w:pPr>
        <w:pStyle w:val="BodyTextMain"/>
        <w:rPr>
          <w:lang w:val="en-GB"/>
        </w:rPr>
      </w:pPr>
    </w:p>
    <w:p w14:paraId="64D85A4A" w14:textId="77777777" w:rsidR="006A218B" w:rsidRPr="00E93126" w:rsidRDefault="006A218B" w:rsidP="006A218B">
      <w:pPr>
        <w:pStyle w:val="BodyTextMain"/>
        <w:rPr>
          <w:lang w:val="en-GB"/>
        </w:rPr>
      </w:pPr>
      <w:r w:rsidRPr="00E93126">
        <w:rPr>
          <w:lang w:val="en-GB"/>
        </w:rPr>
        <w:t xml:space="preserve">Umar </w:t>
      </w:r>
      <w:r w:rsidR="005C37D3" w:rsidRPr="00E93126">
        <w:rPr>
          <w:lang w:val="en-GB"/>
        </w:rPr>
        <w:t xml:space="preserve">needed </w:t>
      </w:r>
      <w:r w:rsidRPr="00E93126">
        <w:rPr>
          <w:lang w:val="en-GB"/>
        </w:rPr>
        <w:t xml:space="preserve">to decide whether </w:t>
      </w:r>
      <w:r w:rsidR="005C37D3" w:rsidRPr="00E93126">
        <w:rPr>
          <w:lang w:val="en-GB"/>
        </w:rPr>
        <w:t xml:space="preserve">to </w:t>
      </w:r>
      <w:r w:rsidRPr="00E93126">
        <w:rPr>
          <w:lang w:val="en-GB"/>
        </w:rPr>
        <w:t>stop dealing with Ab</w:t>
      </w:r>
      <w:r w:rsidR="00BC426A" w:rsidRPr="00E93126">
        <w:rPr>
          <w:lang w:val="en-GB"/>
        </w:rPr>
        <w:t>dul</w:t>
      </w:r>
      <w:r w:rsidR="005C37D3" w:rsidRPr="00E93126">
        <w:rPr>
          <w:lang w:val="en-GB"/>
        </w:rPr>
        <w:t>;</w:t>
      </w:r>
      <w:r w:rsidR="00BC426A" w:rsidRPr="00E93126">
        <w:rPr>
          <w:lang w:val="en-GB"/>
        </w:rPr>
        <w:t xml:space="preserve"> to continue </w:t>
      </w:r>
      <w:r w:rsidR="005C37D3" w:rsidRPr="00E93126">
        <w:rPr>
          <w:lang w:val="en-GB"/>
        </w:rPr>
        <w:t xml:space="preserve">dealing </w:t>
      </w:r>
      <w:r w:rsidR="00BC426A" w:rsidRPr="00E93126">
        <w:rPr>
          <w:lang w:val="en-GB"/>
        </w:rPr>
        <w:t>with Abdul and</w:t>
      </w:r>
      <w:r w:rsidRPr="00E93126">
        <w:rPr>
          <w:lang w:val="en-GB"/>
        </w:rPr>
        <w:t xml:space="preserve"> add either Spectrum or Vision; or </w:t>
      </w:r>
      <w:r w:rsidR="005217A7" w:rsidRPr="00E93126">
        <w:rPr>
          <w:lang w:val="en-GB"/>
        </w:rPr>
        <w:t xml:space="preserve">to </w:t>
      </w:r>
      <w:r w:rsidRPr="00E93126">
        <w:rPr>
          <w:lang w:val="en-GB"/>
        </w:rPr>
        <w:t>deal with Abdul, Spectrum</w:t>
      </w:r>
      <w:r w:rsidR="005217A7" w:rsidRPr="00E93126">
        <w:rPr>
          <w:lang w:val="en-GB"/>
        </w:rPr>
        <w:t>,</w:t>
      </w:r>
      <w:r w:rsidRPr="00E93126">
        <w:rPr>
          <w:lang w:val="en-GB"/>
        </w:rPr>
        <w:t xml:space="preserve"> and Vision simultaneously. Of course, </w:t>
      </w:r>
      <w:proofErr w:type="spellStart"/>
      <w:r w:rsidR="005217A7" w:rsidRPr="00E93126">
        <w:rPr>
          <w:lang w:val="en-GB"/>
        </w:rPr>
        <w:t>Fairdeal</w:t>
      </w:r>
      <w:proofErr w:type="spellEnd"/>
      <w:r w:rsidR="005217A7" w:rsidRPr="00E93126">
        <w:rPr>
          <w:lang w:val="en-GB"/>
        </w:rPr>
        <w:t xml:space="preserve"> also had</w:t>
      </w:r>
      <w:r w:rsidRPr="00E93126">
        <w:rPr>
          <w:lang w:val="en-GB"/>
        </w:rPr>
        <w:t xml:space="preserve"> the option </w:t>
      </w:r>
      <w:r w:rsidR="005217A7" w:rsidRPr="00E93126">
        <w:rPr>
          <w:lang w:val="en-GB"/>
        </w:rPr>
        <w:t xml:space="preserve">of </w:t>
      </w:r>
      <w:r w:rsidRPr="00E93126">
        <w:rPr>
          <w:lang w:val="en-GB"/>
        </w:rPr>
        <w:t xml:space="preserve">not responding with any network expansion. </w:t>
      </w:r>
      <w:r w:rsidR="005217A7" w:rsidRPr="00E93126">
        <w:rPr>
          <w:lang w:val="en-GB"/>
        </w:rPr>
        <w:t>As Umar pondered his options, h</w:t>
      </w:r>
      <w:r w:rsidRPr="00E93126">
        <w:rPr>
          <w:lang w:val="en-GB"/>
        </w:rPr>
        <w:t>e remembered his favo</w:t>
      </w:r>
      <w:r w:rsidR="005217A7" w:rsidRPr="00E93126">
        <w:rPr>
          <w:lang w:val="en-GB"/>
        </w:rPr>
        <w:t>u</w:t>
      </w:r>
      <w:r w:rsidRPr="00E93126">
        <w:rPr>
          <w:lang w:val="en-GB"/>
        </w:rPr>
        <w:t xml:space="preserve">rite </w:t>
      </w:r>
      <w:r w:rsidR="005217A7" w:rsidRPr="00E93126">
        <w:rPr>
          <w:lang w:val="en-GB"/>
        </w:rPr>
        <w:t>p</w:t>
      </w:r>
      <w:r w:rsidRPr="00E93126">
        <w:rPr>
          <w:lang w:val="en-GB"/>
        </w:rPr>
        <w:t>hysics lesson</w:t>
      </w:r>
      <w:r w:rsidR="005217A7" w:rsidRPr="00E93126">
        <w:rPr>
          <w:lang w:val="en-GB"/>
        </w:rPr>
        <w:t>—</w:t>
      </w:r>
      <w:r w:rsidRPr="00E93126">
        <w:rPr>
          <w:lang w:val="en-GB"/>
        </w:rPr>
        <w:t xml:space="preserve">that every action has </w:t>
      </w:r>
      <w:r w:rsidR="005217A7" w:rsidRPr="00E93126">
        <w:rPr>
          <w:lang w:val="en-GB"/>
        </w:rPr>
        <w:t xml:space="preserve">an </w:t>
      </w:r>
      <w:r w:rsidRPr="00E93126">
        <w:rPr>
          <w:lang w:val="en-GB"/>
        </w:rPr>
        <w:t xml:space="preserve">equal and opposite reaction. He </w:t>
      </w:r>
      <w:r w:rsidR="00F46603" w:rsidRPr="00E93126">
        <w:rPr>
          <w:lang w:val="en-GB"/>
        </w:rPr>
        <w:t xml:space="preserve">considered </w:t>
      </w:r>
      <w:r w:rsidRPr="00E93126">
        <w:rPr>
          <w:lang w:val="en-GB"/>
        </w:rPr>
        <w:t xml:space="preserve">the logical end to the chain of reactions </w:t>
      </w:r>
      <w:r w:rsidR="005217A7" w:rsidRPr="00E93126">
        <w:rPr>
          <w:lang w:val="en-GB"/>
        </w:rPr>
        <w:t>those</w:t>
      </w:r>
      <w:r w:rsidRPr="00E93126">
        <w:rPr>
          <w:lang w:val="en-GB"/>
        </w:rPr>
        <w:t xml:space="preserve"> choices would set off</w:t>
      </w:r>
      <w:r w:rsidR="00F46603" w:rsidRPr="00E93126">
        <w:rPr>
          <w:lang w:val="en-GB"/>
        </w:rPr>
        <w:t>.</w:t>
      </w:r>
      <w:r w:rsidRPr="00E93126">
        <w:rPr>
          <w:lang w:val="en-GB"/>
        </w:rPr>
        <w:t xml:space="preserve"> </w:t>
      </w:r>
      <w:r w:rsidR="00F46603" w:rsidRPr="00E93126">
        <w:rPr>
          <w:lang w:val="en-GB"/>
        </w:rPr>
        <w:t xml:space="preserve">What would be </w:t>
      </w:r>
      <w:r w:rsidR="005217A7" w:rsidRPr="00E93126">
        <w:rPr>
          <w:lang w:val="en-GB"/>
        </w:rPr>
        <w:t>the</w:t>
      </w:r>
      <w:r w:rsidRPr="00E93126">
        <w:rPr>
          <w:lang w:val="en-GB"/>
        </w:rPr>
        <w:t xml:space="preserve"> impact </w:t>
      </w:r>
      <w:r w:rsidR="005217A7" w:rsidRPr="00E93126">
        <w:rPr>
          <w:lang w:val="en-GB"/>
        </w:rPr>
        <w:t xml:space="preserve">of those reactions </w:t>
      </w:r>
      <w:r w:rsidRPr="00E93126">
        <w:rPr>
          <w:lang w:val="en-GB"/>
        </w:rPr>
        <w:t xml:space="preserve">on </w:t>
      </w:r>
      <w:proofErr w:type="spellStart"/>
      <w:r w:rsidRPr="00E93126">
        <w:rPr>
          <w:lang w:val="en-GB"/>
        </w:rPr>
        <w:t>Fairdeal</w:t>
      </w:r>
      <w:r w:rsidR="005217A7" w:rsidRPr="00E93126">
        <w:rPr>
          <w:lang w:val="en-GB"/>
        </w:rPr>
        <w:t>’s</w:t>
      </w:r>
      <w:proofErr w:type="spellEnd"/>
      <w:r w:rsidRPr="00E93126">
        <w:rPr>
          <w:lang w:val="en-GB"/>
        </w:rPr>
        <w:t xml:space="preserve"> business</w:t>
      </w:r>
      <w:r w:rsidR="00F46603" w:rsidRPr="00E93126">
        <w:rPr>
          <w:lang w:val="en-GB"/>
        </w:rPr>
        <w:t>?</w:t>
      </w:r>
    </w:p>
    <w:p w14:paraId="5B0CBF7E" w14:textId="77777777" w:rsidR="006A218B" w:rsidRPr="00E93126" w:rsidRDefault="006A218B">
      <w:pPr>
        <w:spacing w:after="200" w:line="276" w:lineRule="auto"/>
        <w:rPr>
          <w:sz w:val="22"/>
          <w:szCs w:val="22"/>
          <w:lang w:val="en-GB"/>
        </w:rPr>
      </w:pPr>
      <w:r w:rsidRPr="00E93126">
        <w:rPr>
          <w:lang w:val="en-GB"/>
        </w:rPr>
        <w:br w:type="page"/>
      </w:r>
    </w:p>
    <w:p w14:paraId="131B3339" w14:textId="77777777" w:rsidR="006A218B" w:rsidRPr="00E93126" w:rsidRDefault="006A218B" w:rsidP="00733495">
      <w:pPr>
        <w:pStyle w:val="ExhibitHeading"/>
        <w:outlineLvl w:val="0"/>
        <w:rPr>
          <w:rFonts w:eastAsiaTheme="minorHAnsi"/>
          <w:lang w:val="en-GB"/>
        </w:rPr>
      </w:pPr>
      <w:r w:rsidRPr="00E93126">
        <w:rPr>
          <w:rFonts w:eastAsiaTheme="minorHAnsi"/>
          <w:lang w:val="en-GB"/>
        </w:rPr>
        <w:lastRenderedPageBreak/>
        <w:t>EXHIBIT 1: Percentage val</w:t>
      </w:r>
      <w:r w:rsidR="00F46603" w:rsidRPr="00E93126">
        <w:rPr>
          <w:rFonts w:eastAsiaTheme="minorHAnsi"/>
          <w:lang w:val="en-GB"/>
        </w:rPr>
        <w:t>u</w:t>
      </w:r>
      <w:r w:rsidRPr="00E93126">
        <w:rPr>
          <w:rFonts w:eastAsiaTheme="minorHAnsi"/>
          <w:lang w:val="en-GB"/>
        </w:rPr>
        <w:t xml:space="preserve">e </w:t>
      </w:r>
      <w:r w:rsidR="00F46603" w:rsidRPr="00E93126">
        <w:rPr>
          <w:rFonts w:eastAsiaTheme="minorHAnsi"/>
          <w:lang w:val="en-GB"/>
        </w:rPr>
        <w:t xml:space="preserve">of </w:t>
      </w:r>
      <w:r w:rsidR="003442AC" w:rsidRPr="00E93126">
        <w:rPr>
          <w:rFonts w:eastAsiaTheme="minorHAnsi"/>
          <w:lang w:val="en-GB"/>
        </w:rPr>
        <w:t xml:space="preserve">appliance </w:t>
      </w:r>
      <w:r w:rsidRPr="00E93126">
        <w:rPr>
          <w:rFonts w:eastAsiaTheme="minorHAnsi"/>
          <w:lang w:val="en-GB"/>
        </w:rPr>
        <w:t>sales</w:t>
      </w:r>
      <w:r w:rsidR="003442AC" w:rsidRPr="00E93126" w:rsidDel="00F46603">
        <w:rPr>
          <w:rFonts w:eastAsiaTheme="minorHAnsi"/>
          <w:lang w:val="en-GB"/>
        </w:rPr>
        <w:t xml:space="preserve"> </w:t>
      </w:r>
      <w:r w:rsidRPr="00E93126">
        <w:rPr>
          <w:rFonts w:eastAsiaTheme="minorHAnsi"/>
          <w:lang w:val="en-GB"/>
        </w:rPr>
        <w:t>in Bali</w:t>
      </w:r>
      <w:r w:rsidR="00F46603" w:rsidRPr="00E93126">
        <w:rPr>
          <w:rFonts w:eastAsiaTheme="minorHAnsi"/>
          <w:lang w:val="en-GB"/>
        </w:rPr>
        <w:t xml:space="preserve">, </w:t>
      </w:r>
      <w:r w:rsidR="003442AC" w:rsidRPr="00E93126">
        <w:rPr>
          <w:rFonts w:eastAsiaTheme="minorHAnsi"/>
          <w:lang w:val="en-GB"/>
        </w:rPr>
        <w:t xml:space="preserve">by brand, </w:t>
      </w:r>
      <w:r w:rsidR="00F46603" w:rsidRPr="00E93126">
        <w:rPr>
          <w:rFonts w:eastAsiaTheme="minorHAnsi"/>
          <w:lang w:val="en-GB"/>
        </w:rPr>
        <w:t>2017</w:t>
      </w:r>
    </w:p>
    <w:p w14:paraId="1588BB25" w14:textId="77777777" w:rsidR="006A218B" w:rsidRPr="00E93126" w:rsidRDefault="006A218B" w:rsidP="006A218B">
      <w:pPr>
        <w:pStyle w:val="ExhibitText"/>
        <w:rPr>
          <w:rFonts w:eastAsiaTheme="minorHAnsi"/>
          <w:lang w:val="en-GB"/>
        </w:rPr>
      </w:pP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983"/>
        <w:gridCol w:w="1207"/>
        <w:gridCol w:w="1257"/>
        <w:gridCol w:w="1036"/>
        <w:gridCol w:w="1053"/>
      </w:tblGrid>
      <w:tr w:rsidR="00A8543C" w:rsidRPr="00E93126" w14:paraId="274D5791" w14:textId="77777777" w:rsidTr="00B53995">
        <w:trPr>
          <w:trHeight w:val="339"/>
          <w:jc w:val="center"/>
        </w:trPr>
        <w:tc>
          <w:tcPr>
            <w:tcW w:w="1952" w:type="dxa"/>
            <w:shd w:val="clear" w:color="auto" w:fill="auto"/>
            <w:noWrap/>
            <w:vAlign w:val="center"/>
            <w:hideMark/>
          </w:tcPr>
          <w:p w14:paraId="39803F14" w14:textId="77777777" w:rsidR="006A218B" w:rsidRPr="00E93126" w:rsidRDefault="006A218B" w:rsidP="00B53995">
            <w:pPr>
              <w:pStyle w:val="ExhibitText"/>
              <w:jc w:val="left"/>
              <w:rPr>
                <w:b/>
                <w:lang w:val="en-GB"/>
              </w:rPr>
            </w:pPr>
            <w:r w:rsidRPr="00E93126">
              <w:rPr>
                <w:b/>
                <w:lang w:val="en-GB"/>
              </w:rPr>
              <w:t xml:space="preserve">Product </w:t>
            </w:r>
            <w:r w:rsidR="00F46603" w:rsidRPr="00E93126">
              <w:rPr>
                <w:b/>
                <w:lang w:val="en-GB"/>
              </w:rPr>
              <w:t>C</w:t>
            </w:r>
            <w:r w:rsidRPr="00E93126">
              <w:rPr>
                <w:b/>
                <w:lang w:val="en-GB"/>
              </w:rPr>
              <w:t>ategory</w:t>
            </w:r>
          </w:p>
        </w:tc>
        <w:tc>
          <w:tcPr>
            <w:tcW w:w="983" w:type="dxa"/>
            <w:shd w:val="clear" w:color="auto" w:fill="auto"/>
            <w:noWrap/>
            <w:vAlign w:val="center"/>
            <w:hideMark/>
          </w:tcPr>
          <w:p w14:paraId="0800A46E" w14:textId="77777777" w:rsidR="006A218B" w:rsidRPr="00E93126" w:rsidRDefault="006A218B" w:rsidP="00B53995">
            <w:pPr>
              <w:pStyle w:val="ExhibitText"/>
              <w:jc w:val="center"/>
              <w:rPr>
                <w:b/>
                <w:lang w:val="en-GB"/>
              </w:rPr>
            </w:pPr>
            <w:proofErr w:type="spellStart"/>
            <w:r w:rsidRPr="00E93126">
              <w:rPr>
                <w:b/>
                <w:lang w:val="en-GB"/>
              </w:rPr>
              <w:t>Fairdeal</w:t>
            </w:r>
            <w:proofErr w:type="spellEnd"/>
          </w:p>
        </w:tc>
        <w:tc>
          <w:tcPr>
            <w:tcW w:w="1207" w:type="dxa"/>
            <w:shd w:val="clear" w:color="auto" w:fill="auto"/>
            <w:noWrap/>
            <w:vAlign w:val="center"/>
            <w:hideMark/>
          </w:tcPr>
          <w:p w14:paraId="1BB0D25A" w14:textId="77777777" w:rsidR="006A218B" w:rsidRPr="00E93126" w:rsidRDefault="006A218B" w:rsidP="00B53995">
            <w:pPr>
              <w:pStyle w:val="ExhibitText"/>
              <w:jc w:val="center"/>
              <w:rPr>
                <w:b/>
                <w:lang w:val="en-GB"/>
              </w:rPr>
            </w:pPr>
            <w:proofErr w:type="spellStart"/>
            <w:r w:rsidRPr="00E93126">
              <w:rPr>
                <w:b/>
                <w:lang w:val="en-GB"/>
              </w:rPr>
              <w:t>Technica</w:t>
            </w:r>
            <w:proofErr w:type="spellEnd"/>
          </w:p>
        </w:tc>
        <w:tc>
          <w:tcPr>
            <w:tcW w:w="1257" w:type="dxa"/>
            <w:shd w:val="clear" w:color="auto" w:fill="auto"/>
            <w:noWrap/>
            <w:vAlign w:val="center"/>
            <w:hideMark/>
          </w:tcPr>
          <w:p w14:paraId="6982779F" w14:textId="77777777" w:rsidR="006A218B" w:rsidRPr="00E93126" w:rsidRDefault="006A218B" w:rsidP="00B53995">
            <w:pPr>
              <w:pStyle w:val="ExhibitText"/>
              <w:jc w:val="center"/>
              <w:rPr>
                <w:b/>
                <w:lang w:val="en-GB"/>
              </w:rPr>
            </w:pPr>
            <w:r w:rsidRPr="00E93126">
              <w:rPr>
                <w:b/>
                <w:lang w:val="en-GB"/>
              </w:rPr>
              <w:t>Smart Line</w:t>
            </w:r>
          </w:p>
        </w:tc>
        <w:tc>
          <w:tcPr>
            <w:tcW w:w="1036" w:type="dxa"/>
            <w:shd w:val="clear" w:color="auto" w:fill="auto"/>
            <w:noWrap/>
            <w:vAlign w:val="center"/>
            <w:hideMark/>
          </w:tcPr>
          <w:p w14:paraId="4D34000E" w14:textId="77777777" w:rsidR="006A218B" w:rsidRPr="00E93126" w:rsidRDefault="006A218B" w:rsidP="00B53995">
            <w:pPr>
              <w:pStyle w:val="ExhibitText"/>
              <w:jc w:val="center"/>
              <w:rPr>
                <w:b/>
                <w:lang w:val="en-GB"/>
              </w:rPr>
            </w:pPr>
            <w:r w:rsidRPr="00E93126">
              <w:rPr>
                <w:b/>
                <w:lang w:val="en-GB"/>
              </w:rPr>
              <w:t>GOLDY</w:t>
            </w:r>
          </w:p>
        </w:tc>
        <w:tc>
          <w:tcPr>
            <w:tcW w:w="1053" w:type="dxa"/>
            <w:shd w:val="clear" w:color="auto" w:fill="auto"/>
            <w:noWrap/>
            <w:vAlign w:val="center"/>
            <w:hideMark/>
          </w:tcPr>
          <w:p w14:paraId="5EF2E523" w14:textId="77777777" w:rsidR="006A218B" w:rsidRPr="00E93126" w:rsidRDefault="006A218B" w:rsidP="00B53995">
            <w:pPr>
              <w:pStyle w:val="ExhibitText"/>
              <w:jc w:val="center"/>
              <w:rPr>
                <w:b/>
                <w:lang w:val="en-GB"/>
              </w:rPr>
            </w:pPr>
            <w:r w:rsidRPr="00E93126">
              <w:rPr>
                <w:b/>
                <w:lang w:val="en-GB"/>
              </w:rPr>
              <w:t>Harlem</w:t>
            </w:r>
          </w:p>
        </w:tc>
      </w:tr>
      <w:tr w:rsidR="00A8543C" w:rsidRPr="00E93126" w14:paraId="49BF68B2" w14:textId="77777777" w:rsidTr="00B53995">
        <w:trPr>
          <w:trHeight w:val="339"/>
          <w:jc w:val="center"/>
        </w:trPr>
        <w:tc>
          <w:tcPr>
            <w:tcW w:w="1952" w:type="dxa"/>
            <w:shd w:val="clear" w:color="auto" w:fill="auto"/>
            <w:noWrap/>
            <w:vAlign w:val="center"/>
            <w:hideMark/>
          </w:tcPr>
          <w:p w14:paraId="5D252613" w14:textId="77777777" w:rsidR="006A218B" w:rsidRPr="00E93126" w:rsidRDefault="006A218B" w:rsidP="00B53995">
            <w:pPr>
              <w:pStyle w:val="ExhibitText"/>
              <w:jc w:val="left"/>
              <w:rPr>
                <w:lang w:val="en-GB"/>
              </w:rPr>
            </w:pPr>
            <w:r w:rsidRPr="00E93126">
              <w:rPr>
                <w:lang w:val="en-GB"/>
              </w:rPr>
              <w:t>Air conditioner</w:t>
            </w:r>
            <w:r w:rsidR="00F46603" w:rsidRPr="00E93126">
              <w:rPr>
                <w:lang w:val="en-GB"/>
              </w:rPr>
              <w:t>s</w:t>
            </w:r>
          </w:p>
        </w:tc>
        <w:tc>
          <w:tcPr>
            <w:tcW w:w="983" w:type="dxa"/>
            <w:shd w:val="clear" w:color="auto" w:fill="auto"/>
            <w:noWrap/>
            <w:vAlign w:val="center"/>
            <w:hideMark/>
          </w:tcPr>
          <w:p w14:paraId="75327CEB" w14:textId="77777777" w:rsidR="006A218B" w:rsidRPr="00E93126" w:rsidRDefault="006A218B" w:rsidP="006A218B">
            <w:pPr>
              <w:pStyle w:val="ExhibitText"/>
              <w:jc w:val="right"/>
              <w:rPr>
                <w:lang w:val="en-GB"/>
              </w:rPr>
            </w:pPr>
            <w:r w:rsidRPr="00E93126">
              <w:rPr>
                <w:lang w:val="en-GB"/>
              </w:rPr>
              <w:t>77</w:t>
            </w:r>
          </w:p>
        </w:tc>
        <w:tc>
          <w:tcPr>
            <w:tcW w:w="1207" w:type="dxa"/>
            <w:shd w:val="clear" w:color="auto" w:fill="auto"/>
            <w:noWrap/>
            <w:vAlign w:val="center"/>
            <w:hideMark/>
          </w:tcPr>
          <w:p w14:paraId="2CEF314B" w14:textId="77777777" w:rsidR="006A218B" w:rsidRPr="00E93126" w:rsidRDefault="006A218B" w:rsidP="006A218B">
            <w:pPr>
              <w:pStyle w:val="ExhibitText"/>
              <w:jc w:val="right"/>
              <w:rPr>
                <w:lang w:val="en-GB"/>
              </w:rPr>
            </w:pPr>
            <w:r w:rsidRPr="00E93126">
              <w:rPr>
                <w:lang w:val="en-GB"/>
              </w:rPr>
              <w:t>60</w:t>
            </w:r>
          </w:p>
        </w:tc>
        <w:tc>
          <w:tcPr>
            <w:tcW w:w="1257" w:type="dxa"/>
            <w:shd w:val="clear" w:color="auto" w:fill="auto"/>
            <w:noWrap/>
            <w:vAlign w:val="center"/>
            <w:hideMark/>
          </w:tcPr>
          <w:p w14:paraId="6F42CFB4" w14:textId="77777777" w:rsidR="006A218B" w:rsidRPr="00E93126" w:rsidRDefault="006A218B" w:rsidP="006A218B">
            <w:pPr>
              <w:pStyle w:val="ExhibitText"/>
              <w:jc w:val="right"/>
              <w:rPr>
                <w:lang w:val="en-GB"/>
              </w:rPr>
            </w:pPr>
            <w:r w:rsidRPr="00E93126">
              <w:rPr>
                <w:lang w:val="en-GB"/>
              </w:rPr>
              <w:t>15</w:t>
            </w:r>
          </w:p>
        </w:tc>
        <w:tc>
          <w:tcPr>
            <w:tcW w:w="1036" w:type="dxa"/>
            <w:shd w:val="clear" w:color="auto" w:fill="auto"/>
            <w:noWrap/>
            <w:vAlign w:val="center"/>
            <w:hideMark/>
          </w:tcPr>
          <w:p w14:paraId="712714D7" w14:textId="77777777" w:rsidR="006A218B" w:rsidRPr="00E93126" w:rsidRDefault="006A218B" w:rsidP="006A218B">
            <w:pPr>
              <w:pStyle w:val="ExhibitText"/>
              <w:jc w:val="right"/>
              <w:rPr>
                <w:lang w:val="en-GB"/>
              </w:rPr>
            </w:pPr>
            <w:r w:rsidRPr="00E93126">
              <w:rPr>
                <w:lang w:val="en-GB"/>
              </w:rPr>
              <w:t>15</w:t>
            </w:r>
          </w:p>
        </w:tc>
        <w:tc>
          <w:tcPr>
            <w:tcW w:w="1053" w:type="dxa"/>
            <w:shd w:val="clear" w:color="auto" w:fill="auto"/>
            <w:noWrap/>
            <w:vAlign w:val="center"/>
            <w:hideMark/>
          </w:tcPr>
          <w:p w14:paraId="03575E0A" w14:textId="77777777" w:rsidR="006A218B" w:rsidRPr="00E93126" w:rsidRDefault="006A218B" w:rsidP="006A218B">
            <w:pPr>
              <w:pStyle w:val="ExhibitText"/>
              <w:jc w:val="right"/>
              <w:rPr>
                <w:lang w:val="en-GB"/>
              </w:rPr>
            </w:pPr>
            <w:r w:rsidRPr="00E93126">
              <w:rPr>
                <w:lang w:val="en-GB"/>
              </w:rPr>
              <w:t>15</w:t>
            </w:r>
          </w:p>
        </w:tc>
      </w:tr>
      <w:tr w:rsidR="00A8543C" w:rsidRPr="00E93126" w14:paraId="79DEA0B4" w14:textId="77777777" w:rsidTr="00B53995">
        <w:trPr>
          <w:trHeight w:val="339"/>
          <w:jc w:val="center"/>
        </w:trPr>
        <w:tc>
          <w:tcPr>
            <w:tcW w:w="1952" w:type="dxa"/>
            <w:shd w:val="clear" w:color="auto" w:fill="auto"/>
            <w:noWrap/>
            <w:vAlign w:val="center"/>
            <w:hideMark/>
          </w:tcPr>
          <w:p w14:paraId="4F203DF1" w14:textId="77777777" w:rsidR="006A218B" w:rsidRPr="00E93126" w:rsidRDefault="006A218B" w:rsidP="00B53995">
            <w:pPr>
              <w:pStyle w:val="ExhibitText"/>
              <w:jc w:val="left"/>
              <w:rPr>
                <w:lang w:val="en-GB"/>
              </w:rPr>
            </w:pPr>
            <w:r w:rsidRPr="00E93126">
              <w:rPr>
                <w:lang w:val="en-GB"/>
              </w:rPr>
              <w:t xml:space="preserve">Washing </w:t>
            </w:r>
            <w:r w:rsidR="00F46603" w:rsidRPr="00E93126">
              <w:rPr>
                <w:lang w:val="en-GB"/>
              </w:rPr>
              <w:t>m</w:t>
            </w:r>
            <w:r w:rsidRPr="00E93126">
              <w:rPr>
                <w:lang w:val="en-GB"/>
              </w:rPr>
              <w:t>achine</w:t>
            </w:r>
            <w:r w:rsidR="00F46603" w:rsidRPr="00E93126">
              <w:rPr>
                <w:lang w:val="en-GB"/>
              </w:rPr>
              <w:t>s</w:t>
            </w:r>
          </w:p>
        </w:tc>
        <w:tc>
          <w:tcPr>
            <w:tcW w:w="983" w:type="dxa"/>
            <w:shd w:val="clear" w:color="auto" w:fill="auto"/>
            <w:noWrap/>
            <w:vAlign w:val="center"/>
            <w:hideMark/>
          </w:tcPr>
          <w:p w14:paraId="22F5391E" w14:textId="77777777" w:rsidR="006A218B" w:rsidRPr="00E93126" w:rsidRDefault="006A218B" w:rsidP="006A218B">
            <w:pPr>
              <w:pStyle w:val="ExhibitText"/>
              <w:jc w:val="right"/>
              <w:rPr>
                <w:lang w:val="en-GB"/>
              </w:rPr>
            </w:pPr>
            <w:r w:rsidRPr="00E93126">
              <w:rPr>
                <w:lang w:val="en-GB"/>
              </w:rPr>
              <w:t>10</w:t>
            </w:r>
          </w:p>
        </w:tc>
        <w:tc>
          <w:tcPr>
            <w:tcW w:w="1207" w:type="dxa"/>
            <w:shd w:val="clear" w:color="auto" w:fill="auto"/>
            <w:noWrap/>
            <w:vAlign w:val="center"/>
            <w:hideMark/>
          </w:tcPr>
          <w:p w14:paraId="349D0353" w14:textId="77777777" w:rsidR="006A218B" w:rsidRPr="00E93126" w:rsidRDefault="006A218B" w:rsidP="006A218B">
            <w:pPr>
              <w:pStyle w:val="ExhibitText"/>
              <w:jc w:val="right"/>
              <w:rPr>
                <w:lang w:val="en-GB"/>
              </w:rPr>
            </w:pPr>
            <w:r w:rsidRPr="00E93126">
              <w:rPr>
                <w:lang w:val="en-GB"/>
              </w:rPr>
              <w:t>25</w:t>
            </w:r>
          </w:p>
        </w:tc>
        <w:tc>
          <w:tcPr>
            <w:tcW w:w="1257" w:type="dxa"/>
            <w:shd w:val="clear" w:color="auto" w:fill="auto"/>
            <w:noWrap/>
            <w:vAlign w:val="center"/>
            <w:hideMark/>
          </w:tcPr>
          <w:p w14:paraId="06954F50" w14:textId="77777777" w:rsidR="006A218B" w:rsidRPr="00E93126" w:rsidRDefault="006A218B" w:rsidP="006A218B">
            <w:pPr>
              <w:pStyle w:val="ExhibitText"/>
              <w:jc w:val="right"/>
              <w:rPr>
                <w:lang w:val="en-GB"/>
              </w:rPr>
            </w:pPr>
            <w:r w:rsidRPr="00E93126">
              <w:rPr>
                <w:lang w:val="en-GB"/>
              </w:rPr>
              <w:t>15</w:t>
            </w:r>
          </w:p>
        </w:tc>
        <w:tc>
          <w:tcPr>
            <w:tcW w:w="1036" w:type="dxa"/>
            <w:shd w:val="clear" w:color="auto" w:fill="auto"/>
            <w:noWrap/>
            <w:vAlign w:val="center"/>
            <w:hideMark/>
          </w:tcPr>
          <w:p w14:paraId="29106078" w14:textId="77777777" w:rsidR="006A218B" w:rsidRPr="00E93126" w:rsidRDefault="006A218B" w:rsidP="006A218B">
            <w:pPr>
              <w:pStyle w:val="ExhibitText"/>
              <w:jc w:val="right"/>
              <w:rPr>
                <w:lang w:val="en-GB"/>
              </w:rPr>
            </w:pPr>
            <w:r w:rsidRPr="00E93126">
              <w:rPr>
                <w:lang w:val="en-GB"/>
              </w:rPr>
              <w:t>10</w:t>
            </w:r>
          </w:p>
        </w:tc>
        <w:tc>
          <w:tcPr>
            <w:tcW w:w="1053" w:type="dxa"/>
            <w:shd w:val="clear" w:color="auto" w:fill="auto"/>
            <w:noWrap/>
            <w:vAlign w:val="center"/>
            <w:hideMark/>
          </w:tcPr>
          <w:p w14:paraId="74519C1B" w14:textId="77777777" w:rsidR="006A218B" w:rsidRPr="00E93126" w:rsidRDefault="006A218B" w:rsidP="006A218B">
            <w:pPr>
              <w:pStyle w:val="ExhibitText"/>
              <w:jc w:val="right"/>
              <w:rPr>
                <w:lang w:val="en-GB"/>
              </w:rPr>
            </w:pPr>
            <w:r w:rsidRPr="00E93126">
              <w:rPr>
                <w:lang w:val="en-GB"/>
              </w:rPr>
              <w:t>10</w:t>
            </w:r>
          </w:p>
        </w:tc>
      </w:tr>
      <w:tr w:rsidR="00A8543C" w:rsidRPr="00E93126" w14:paraId="2F7A39D8" w14:textId="77777777" w:rsidTr="00B53995">
        <w:trPr>
          <w:trHeight w:val="339"/>
          <w:jc w:val="center"/>
        </w:trPr>
        <w:tc>
          <w:tcPr>
            <w:tcW w:w="1952" w:type="dxa"/>
            <w:shd w:val="clear" w:color="auto" w:fill="auto"/>
            <w:noWrap/>
            <w:vAlign w:val="center"/>
            <w:hideMark/>
          </w:tcPr>
          <w:p w14:paraId="6CC824FB" w14:textId="77777777" w:rsidR="006A218B" w:rsidRPr="00E93126" w:rsidRDefault="006A218B" w:rsidP="00B53995">
            <w:pPr>
              <w:pStyle w:val="ExhibitText"/>
              <w:jc w:val="left"/>
              <w:rPr>
                <w:lang w:val="en-GB"/>
              </w:rPr>
            </w:pPr>
            <w:r w:rsidRPr="00E93126">
              <w:rPr>
                <w:lang w:val="en-GB"/>
              </w:rPr>
              <w:t>Refrigerators</w:t>
            </w:r>
          </w:p>
        </w:tc>
        <w:tc>
          <w:tcPr>
            <w:tcW w:w="983" w:type="dxa"/>
            <w:shd w:val="clear" w:color="auto" w:fill="auto"/>
            <w:noWrap/>
            <w:vAlign w:val="center"/>
            <w:hideMark/>
          </w:tcPr>
          <w:p w14:paraId="553F9A4F" w14:textId="77777777" w:rsidR="006A218B" w:rsidRPr="00E93126" w:rsidRDefault="006A218B" w:rsidP="006A218B">
            <w:pPr>
              <w:pStyle w:val="ExhibitText"/>
              <w:jc w:val="right"/>
              <w:rPr>
                <w:lang w:val="en-GB"/>
              </w:rPr>
            </w:pPr>
            <w:r w:rsidRPr="00E93126">
              <w:rPr>
                <w:lang w:val="en-GB"/>
              </w:rPr>
              <w:t>10</w:t>
            </w:r>
          </w:p>
        </w:tc>
        <w:tc>
          <w:tcPr>
            <w:tcW w:w="1207" w:type="dxa"/>
            <w:shd w:val="clear" w:color="auto" w:fill="auto"/>
            <w:noWrap/>
            <w:vAlign w:val="center"/>
            <w:hideMark/>
          </w:tcPr>
          <w:p w14:paraId="040F9C8C" w14:textId="77777777" w:rsidR="006A218B" w:rsidRPr="00E93126" w:rsidRDefault="006A218B" w:rsidP="006A218B">
            <w:pPr>
              <w:pStyle w:val="ExhibitText"/>
              <w:jc w:val="right"/>
              <w:rPr>
                <w:lang w:val="en-GB"/>
              </w:rPr>
            </w:pPr>
            <w:r w:rsidRPr="00E93126">
              <w:rPr>
                <w:lang w:val="en-GB"/>
              </w:rPr>
              <w:t>10</w:t>
            </w:r>
          </w:p>
        </w:tc>
        <w:tc>
          <w:tcPr>
            <w:tcW w:w="1257" w:type="dxa"/>
            <w:shd w:val="clear" w:color="auto" w:fill="auto"/>
            <w:noWrap/>
            <w:vAlign w:val="center"/>
            <w:hideMark/>
          </w:tcPr>
          <w:p w14:paraId="65F56426" w14:textId="77777777" w:rsidR="006A218B" w:rsidRPr="00E93126" w:rsidRDefault="006A218B" w:rsidP="006A218B">
            <w:pPr>
              <w:pStyle w:val="ExhibitText"/>
              <w:jc w:val="right"/>
              <w:rPr>
                <w:lang w:val="en-GB"/>
              </w:rPr>
            </w:pPr>
            <w:r w:rsidRPr="00E93126">
              <w:rPr>
                <w:lang w:val="en-GB"/>
              </w:rPr>
              <w:t>20</w:t>
            </w:r>
          </w:p>
        </w:tc>
        <w:tc>
          <w:tcPr>
            <w:tcW w:w="1036" w:type="dxa"/>
            <w:shd w:val="clear" w:color="auto" w:fill="auto"/>
            <w:noWrap/>
            <w:vAlign w:val="center"/>
            <w:hideMark/>
          </w:tcPr>
          <w:p w14:paraId="120FF5FA" w14:textId="77777777" w:rsidR="006A218B" w:rsidRPr="00E93126" w:rsidRDefault="006A218B" w:rsidP="006A218B">
            <w:pPr>
              <w:pStyle w:val="ExhibitText"/>
              <w:jc w:val="right"/>
              <w:rPr>
                <w:lang w:val="en-GB"/>
              </w:rPr>
            </w:pPr>
            <w:r w:rsidRPr="00E93126">
              <w:rPr>
                <w:lang w:val="en-GB"/>
              </w:rPr>
              <w:t>15</w:t>
            </w:r>
          </w:p>
        </w:tc>
        <w:tc>
          <w:tcPr>
            <w:tcW w:w="1053" w:type="dxa"/>
            <w:shd w:val="clear" w:color="auto" w:fill="auto"/>
            <w:noWrap/>
            <w:vAlign w:val="center"/>
            <w:hideMark/>
          </w:tcPr>
          <w:p w14:paraId="095C2814" w14:textId="77777777" w:rsidR="006A218B" w:rsidRPr="00E93126" w:rsidRDefault="006A218B" w:rsidP="006A218B">
            <w:pPr>
              <w:pStyle w:val="ExhibitText"/>
              <w:jc w:val="right"/>
              <w:rPr>
                <w:lang w:val="en-GB"/>
              </w:rPr>
            </w:pPr>
            <w:r w:rsidRPr="00E93126">
              <w:rPr>
                <w:lang w:val="en-GB"/>
              </w:rPr>
              <w:t xml:space="preserve"> 7</w:t>
            </w:r>
          </w:p>
        </w:tc>
      </w:tr>
      <w:tr w:rsidR="00A8543C" w:rsidRPr="00E93126" w14:paraId="45FC5D49" w14:textId="77777777" w:rsidTr="00B53995">
        <w:trPr>
          <w:trHeight w:val="339"/>
          <w:jc w:val="center"/>
        </w:trPr>
        <w:tc>
          <w:tcPr>
            <w:tcW w:w="1952" w:type="dxa"/>
            <w:shd w:val="clear" w:color="auto" w:fill="auto"/>
            <w:noWrap/>
            <w:vAlign w:val="center"/>
            <w:hideMark/>
          </w:tcPr>
          <w:p w14:paraId="7F09DE3E" w14:textId="77777777" w:rsidR="006A218B" w:rsidRPr="00E93126" w:rsidRDefault="006A218B" w:rsidP="00B53995">
            <w:pPr>
              <w:pStyle w:val="ExhibitText"/>
              <w:jc w:val="left"/>
              <w:rPr>
                <w:lang w:val="en-GB"/>
              </w:rPr>
            </w:pPr>
            <w:r w:rsidRPr="00E93126">
              <w:rPr>
                <w:lang w:val="en-GB"/>
              </w:rPr>
              <w:t>Television</w:t>
            </w:r>
            <w:r w:rsidR="00F46603" w:rsidRPr="00E93126">
              <w:rPr>
                <w:lang w:val="en-GB"/>
              </w:rPr>
              <w:t>s</w:t>
            </w:r>
          </w:p>
        </w:tc>
        <w:tc>
          <w:tcPr>
            <w:tcW w:w="983" w:type="dxa"/>
            <w:shd w:val="clear" w:color="auto" w:fill="auto"/>
            <w:noWrap/>
            <w:vAlign w:val="center"/>
            <w:hideMark/>
          </w:tcPr>
          <w:p w14:paraId="389FFB5E" w14:textId="77777777" w:rsidR="006A218B" w:rsidRPr="00E93126" w:rsidRDefault="00F46603" w:rsidP="006A218B">
            <w:pPr>
              <w:pStyle w:val="ExhibitText"/>
              <w:jc w:val="right"/>
              <w:rPr>
                <w:lang w:val="en-GB"/>
              </w:rPr>
            </w:pPr>
            <w:r w:rsidRPr="00E93126">
              <w:rPr>
                <w:lang w:val="en-GB"/>
              </w:rPr>
              <w:t>–</w:t>
            </w:r>
            <w:r w:rsidR="006A218B" w:rsidRPr="00E93126">
              <w:rPr>
                <w:lang w:val="en-GB"/>
              </w:rPr>
              <w:t xml:space="preserve"> </w:t>
            </w:r>
          </w:p>
        </w:tc>
        <w:tc>
          <w:tcPr>
            <w:tcW w:w="1207" w:type="dxa"/>
            <w:shd w:val="clear" w:color="auto" w:fill="auto"/>
            <w:noWrap/>
            <w:vAlign w:val="center"/>
            <w:hideMark/>
          </w:tcPr>
          <w:p w14:paraId="6C7B0EF3" w14:textId="77777777" w:rsidR="006A218B" w:rsidRPr="00E93126" w:rsidRDefault="00F46603" w:rsidP="006A218B">
            <w:pPr>
              <w:pStyle w:val="ExhibitText"/>
              <w:jc w:val="right"/>
              <w:rPr>
                <w:lang w:val="en-GB"/>
              </w:rPr>
            </w:pPr>
            <w:r w:rsidRPr="00E93126">
              <w:rPr>
                <w:lang w:val="en-GB"/>
              </w:rPr>
              <w:t>–</w:t>
            </w:r>
            <w:r w:rsidR="006A218B" w:rsidRPr="00E93126">
              <w:rPr>
                <w:lang w:val="en-GB"/>
              </w:rPr>
              <w:t xml:space="preserve"> </w:t>
            </w:r>
          </w:p>
        </w:tc>
        <w:tc>
          <w:tcPr>
            <w:tcW w:w="1257" w:type="dxa"/>
            <w:shd w:val="clear" w:color="auto" w:fill="auto"/>
            <w:noWrap/>
            <w:vAlign w:val="center"/>
            <w:hideMark/>
          </w:tcPr>
          <w:p w14:paraId="47F97D42" w14:textId="77777777" w:rsidR="006A218B" w:rsidRPr="00E93126" w:rsidRDefault="006A218B" w:rsidP="006A218B">
            <w:pPr>
              <w:pStyle w:val="ExhibitText"/>
              <w:jc w:val="right"/>
              <w:rPr>
                <w:lang w:val="en-GB"/>
              </w:rPr>
            </w:pPr>
            <w:r w:rsidRPr="00E93126">
              <w:rPr>
                <w:lang w:val="en-GB"/>
              </w:rPr>
              <w:t>45</w:t>
            </w:r>
          </w:p>
        </w:tc>
        <w:tc>
          <w:tcPr>
            <w:tcW w:w="1036" w:type="dxa"/>
            <w:shd w:val="clear" w:color="auto" w:fill="auto"/>
            <w:noWrap/>
            <w:vAlign w:val="center"/>
            <w:hideMark/>
          </w:tcPr>
          <w:p w14:paraId="494725EB" w14:textId="77777777" w:rsidR="006A218B" w:rsidRPr="00E93126" w:rsidRDefault="006A218B" w:rsidP="006A218B">
            <w:pPr>
              <w:pStyle w:val="ExhibitText"/>
              <w:jc w:val="right"/>
              <w:rPr>
                <w:lang w:val="en-GB"/>
              </w:rPr>
            </w:pPr>
            <w:r w:rsidRPr="00E93126">
              <w:rPr>
                <w:lang w:val="en-GB"/>
              </w:rPr>
              <w:t>55</w:t>
            </w:r>
          </w:p>
        </w:tc>
        <w:tc>
          <w:tcPr>
            <w:tcW w:w="1053" w:type="dxa"/>
            <w:shd w:val="clear" w:color="auto" w:fill="auto"/>
            <w:noWrap/>
            <w:vAlign w:val="center"/>
            <w:hideMark/>
          </w:tcPr>
          <w:p w14:paraId="49867326" w14:textId="77777777" w:rsidR="006A218B" w:rsidRPr="00E93126" w:rsidRDefault="006A218B" w:rsidP="006A218B">
            <w:pPr>
              <w:pStyle w:val="ExhibitText"/>
              <w:jc w:val="right"/>
              <w:rPr>
                <w:lang w:val="en-GB"/>
              </w:rPr>
            </w:pPr>
            <w:r w:rsidRPr="00E93126">
              <w:rPr>
                <w:lang w:val="en-GB"/>
              </w:rPr>
              <w:t> 65</w:t>
            </w:r>
          </w:p>
        </w:tc>
      </w:tr>
      <w:tr w:rsidR="00A8543C" w:rsidRPr="00E93126" w14:paraId="61691AB0" w14:textId="77777777" w:rsidTr="00B53995">
        <w:trPr>
          <w:trHeight w:val="339"/>
          <w:jc w:val="center"/>
        </w:trPr>
        <w:tc>
          <w:tcPr>
            <w:tcW w:w="1952" w:type="dxa"/>
            <w:shd w:val="clear" w:color="auto" w:fill="auto"/>
            <w:noWrap/>
            <w:vAlign w:val="center"/>
            <w:hideMark/>
          </w:tcPr>
          <w:p w14:paraId="7D93833F" w14:textId="77777777" w:rsidR="006A218B" w:rsidRPr="00E93126" w:rsidRDefault="006A218B" w:rsidP="00B53995">
            <w:pPr>
              <w:pStyle w:val="ExhibitText"/>
              <w:jc w:val="left"/>
              <w:rPr>
                <w:lang w:val="en-GB"/>
              </w:rPr>
            </w:pPr>
            <w:r w:rsidRPr="00E93126">
              <w:rPr>
                <w:lang w:val="en-GB"/>
              </w:rPr>
              <w:t>Microwave</w:t>
            </w:r>
            <w:r w:rsidR="00F46603" w:rsidRPr="00E93126">
              <w:rPr>
                <w:lang w:val="en-GB"/>
              </w:rPr>
              <w:t>s</w:t>
            </w:r>
          </w:p>
        </w:tc>
        <w:tc>
          <w:tcPr>
            <w:tcW w:w="983" w:type="dxa"/>
            <w:shd w:val="clear" w:color="auto" w:fill="auto"/>
            <w:noWrap/>
            <w:vAlign w:val="center"/>
            <w:hideMark/>
          </w:tcPr>
          <w:p w14:paraId="1F1EFDE7" w14:textId="77777777" w:rsidR="006A218B" w:rsidRPr="00E93126" w:rsidRDefault="006A218B" w:rsidP="006A218B">
            <w:pPr>
              <w:pStyle w:val="ExhibitText"/>
              <w:jc w:val="right"/>
              <w:rPr>
                <w:lang w:val="en-GB"/>
              </w:rPr>
            </w:pPr>
            <w:r w:rsidRPr="00E93126">
              <w:rPr>
                <w:lang w:val="en-GB"/>
              </w:rPr>
              <w:t>3 </w:t>
            </w:r>
          </w:p>
        </w:tc>
        <w:tc>
          <w:tcPr>
            <w:tcW w:w="1207" w:type="dxa"/>
            <w:shd w:val="clear" w:color="auto" w:fill="auto"/>
            <w:noWrap/>
            <w:vAlign w:val="center"/>
            <w:hideMark/>
          </w:tcPr>
          <w:p w14:paraId="02FF3DB2" w14:textId="77777777" w:rsidR="006A218B" w:rsidRPr="00E93126" w:rsidRDefault="006A218B" w:rsidP="006A218B">
            <w:pPr>
              <w:pStyle w:val="ExhibitText"/>
              <w:jc w:val="right"/>
              <w:rPr>
                <w:lang w:val="en-GB"/>
              </w:rPr>
            </w:pPr>
            <w:r w:rsidRPr="00E93126">
              <w:rPr>
                <w:lang w:val="en-GB"/>
              </w:rPr>
              <w:t xml:space="preserve"> 5</w:t>
            </w:r>
          </w:p>
        </w:tc>
        <w:tc>
          <w:tcPr>
            <w:tcW w:w="1257" w:type="dxa"/>
            <w:shd w:val="clear" w:color="auto" w:fill="auto"/>
            <w:noWrap/>
            <w:vAlign w:val="center"/>
            <w:hideMark/>
          </w:tcPr>
          <w:p w14:paraId="14EE80AD" w14:textId="77777777" w:rsidR="006A218B" w:rsidRPr="00E93126" w:rsidRDefault="006A218B" w:rsidP="006A218B">
            <w:pPr>
              <w:pStyle w:val="ExhibitText"/>
              <w:jc w:val="right"/>
              <w:rPr>
                <w:lang w:val="en-GB"/>
              </w:rPr>
            </w:pPr>
            <w:r w:rsidRPr="00E93126">
              <w:rPr>
                <w:lang w:val="en-GB"/>
              </w:rPr>
              <w:t>5</w:t>
            </w:r>
          </w:p>
        </w:tc>
        <w:tc>
          <w:tcPr>
            <w:tcW w:w="1036" w:type="dxa"/>
            <w:shd w:val="clear" w:color="auto" w:fill="auto"/>
            <w:noWrap/>
            <w:vAlign w:val="center"/>
            <w:hideMark/>
          </w:tcPr>
          <w:p w14:paraId="1CCB2A5E" w14:textId="77777777" w:rsidR="006A218B" w:rsidRPr="00E93126" w:rsidRDefault="006A218B" w:rsidP="006A218B">
            <w:pPr>
              <w:pStyle w:val="ExhibitText"/>
              <w:jc w:val="right"/>
              <w:rPr>
                <w:lang w:val="en-GB"/>
              </w:rPr>
            </w:pPr>
            <w:r w:rsidRPr="00E93126">
              <w:rPr>
                <w:lang w:val="en-GB"/>
              </w:rPr>
              <w:t>5</w:t>
            </w:r>
          </w:p>
        </w:tc>
        <w:tc>
          <w:tcPr>
            <w:tcW w:w="1053" w:type="dxa"/>
            <w:shd w:val="clear" w:color="auto" w:fill="auto"/>
            <w:noWrap/>
            <w:vAlign w:val="center"/>
            <w:hideMark/>
          </w:tcPr>
          <w:p w14:paraId="39252780" w14:textId="77777777" w:rsidR="006A218B" w:rsidRPr="00E93126" w:rsidRDefault="006A218B" w:rsidP="006A218B">
            <w:pPr>
              <w:pStyle w:val="ExhibitText"/>
              <w:jc w:val="right"/>
              <w:rPr>
                <w:lang w:val="en-GB"/>
              </w:rPr>
            </w:pPr>
            <w:r w:rsidRPr="00E93126">
              <w:rPr>
                <w:lang w:val="en-GB"/>
              </w:rPr>
              <w:t> 3</w:t>
            </w:r>
          </w:p>
        </w:tc>
      </w:tr>
      <w:tr w:rsidR="00A8543C" w:rsidRPr="00E93126" w14:paraId="71C400D7" w14:textId="77777777" w:rsidTr="00B53995">
        <w:trPr>
          <w:trHeight w:val="339"/>
          <w:jc w:val="center"/>
        </w:trPr>
        <w:tc>
          <w:tcPr>
            <w:tcW w:w="1952" w:type="dxa"/>
            <w:shd w:val="clear" w:color="auto" w:fill="auto"/>
            <w:noWrap/>
            <w:vAlign w:val="center"/>
            <w:hideMark/>
          </w:tcPr>
          <w:p w14:paraId="1831ACD4" w14:textId="77777777" w:rsidR="006A218B" w:rsidRPr="00E93126" w:rsidRDefault="006A218B" w:rsidP="00B53995">
            <w:pPr>
              <w:pStyle w:val="ExhibitText"/>
              <w:jc w:val="left"/>
              <w:rPr>
                <w:lang w:val="en-GB"/>
              </w:rPr>
            </w:pPr>
            <w:r w:rsidRPr="00E93126">
              <w:rPr>
                <w:lang w:val="en-GB"/>
              </w:rPr>
              <w:t xml:space="preserve">Total Percentage </w:t>
            </w:r>
          </w:p>
        </w:tc>
        <w:tc>
          <w:tcPr>
            <w:tcW w:w="983" w:type="dxa"/>
            <w:shd w:val="clear" w:color="auto" w:fill="auto"/>
            <w:noWrap/>
            <w:vAlign w:val="center"/>
            <w:hideMark/>
          </w:tcPr>
          <w:p w14:paraId="44C00127" w14:textId="77777777" w:rsidR="006A218B" w:rsidRPr="00E93126" w:rsidRDefault="006A218B" w:rsidP="006A218B">
            <w:pPr>
              <w:pStyle w:val="ExhibitText"/>
              <w:jc w:val="right"/>
              <w:rPr>
                <w:lang w:val="en-GB"/>
              </w:rPr>
            </w:pPr>
            <w:r w:rsidRPr="00E93126">
              <w:rPr>
                <w:lang w:val="en-GB"/>
              </w:rPr>
              <w:t>100</w:t>
            </w:r>
          </w:p>
        </w:tc>
        <w:tc>
          <w:tcPr>
            <w:tcW w:w="1207" w:type="dxa"/>
            <w:shd w:val="clear" w:color="auto" w:fill="auto"/>
            <w:noWrap/>
            <w:vAlign w:val="center"/>
            <w:hideMark/>
          </w:tcPr>
          <w:p w14:paraId="14F92198" w14:textId="77777777" w:rsidR="006A218B" w:rsidRPr="00E93126" w:rsidRDefault="006A218B" w:rsidP="006A218B">
            <w:pPr>
              <w:pStyle w:val="ExhibitText"/>
              <w:jc w:val="right"/>
              <w:rPr>
                <w:lang w:val="en-GB"/>
              </w:rPr>
            </w:pPr>
            <w:r w:rsidRPr="00E93126">
              <w:rPr>
                <w:lang w:val="en-GB"/>
              </w:rPr>
              <w:t>100</w:t>
            </w:r>
          </w:p>
        </w:tc>
        <w:tc>
          <w:tcPr>
            <w:tcW w:w="1257" w:type="dxa"/>
            <w:shd w:val="clear" w:color="auto" w:fill="auto"/>
            <w:noWrap/>
            <w:vAlign w:val="center"/>
            <w:hideMark/>
          </w:tcPr>
          <w:p w14:paraId="348A7154" w14:textId="77777777" w:rsidR="006A218B" w:rsidRPr="00E93126" w:rsidRDefault="006A218B" w:rsidP="006A218B">
            <w:pPr>
              <w:pStyle w:val="ExhibitText"/>
              <w:jc w:val="right"/>
              <w:rPr>
                <w:lang w:val="en-GB"/>
              </w:rPr>
            </w:pPr>
            <w:r w:rsidRPr="00E93126">
              <w:rPr>
                <w:lang w:val="en-GB"/>
              </w:rPr>
              <w:t>100</w:t>
            </w:r>
          </w:p>
        </w:tc>
        <w:tc>
          <w:tcPr>
            <w:tcW w:w="1036" w:type="dxa"/>
            <w:shd w:val="clear" w:color="auto" w:fill="auto"/>
            <w:noWrap/>
            <w:vAlign w:val="center"/>
            <w:hideMark/>
          </w:tcPr>
          <w:p w14:paraId="3E2A6454" w14:textId="77777777" w:rsidR="006A218B" w:rsidRPr="00E93126" w:rsidRDefault="006A218B" w:rsidP="006A218B">
            <w:pPr>
              <w:pStyle w:val="ExhibitText"/>
              <w:jc w:val="right"/>
              <w:rPr>
                <w:lang w:val="en-GB"/>
              </w:rPr>
            </w:pPr>
            <w:r w:rsidRPr="00E93126">
              <w:rPr>
                <w:lang w:val="en-GB"/>
              </w:rPr>
              <w:t>100</w:t>
            </w:r>
          </w:p>
        </w:tc>
        <w:tc>
          <w:tcPr>
            <w:tcW w:w="1053" w:type="dxa"/>
            <w:shd w:val="clear" w:color="auto" w:fill="auto"/>
            <w:noWrap/>
            <w:vAlign w:val="center"/>
            <w:hideMark/>
          </w:tcPr>
          <w:p w14:paraId="7B57C8EC" w14:textId="77777777" w:rsidR="006A218B" w:rsidRPr="00E93126" w:rsidRDefault="006A218B" w:rsidP="006A218B">
            <w:pPr>
              <w:pStyle w:val="ExhibitText"/>
              <w:jc w:val="right"/>
              <w:rPr>
                <w:lang w:val="en-GB"/>
              </w:rPr>
            </w:pPr>
            <w:r w:rsidRPr="00E93126">
              <w:rPr>
                <w:lang w:val="en-GB"/>
              </w:rPr>
              <w:t>100</w:t>
            </w:r>
          </w:p>
        </w:tc>
      </w:tr>
    </w:tbl>
    <w:p w14:paraId="076122BB" w14:textId="77777777" w:rsidR="006A218B" w:rsidRPr="00E93126" w:rsidRDefault="006A218B" w:rsidP="00A8543C">
      <w:pPr>
        <w:pStyle w:val="ExhibitText"/>
        <w:rPr>
          <w:rFonts w:eastAsiaTheme="minorHAnsi"/>
          <w:lang w:val="en-GB"/>
        </w:rPr>
      </w:pPr>
    </w:p>
    <w:p w14:paraId="347E25B1" w14:textId="77777777" w:rsidR="006A218B" w:rsidRPr="00E93126" w:rsidRDefault="006A218B" w:rsidP="00A8543C">
      <w:pPr>
        <w:pStyle w:val="Footnote"/>
        <w:rPr>
          <w:lang w:val="en-GB"/>
        </w:rPr>
      </w:pPr>
      <w:r w:rsidRPr="00E93126">
        <w:rPr>
          <w:lang w:val="en-GB"/>
        </w:rPr>
        <w:t xml:space="preserve">Note: Exhibit data </w:t>
      </w:r>
      <w:r w:rsidR="00203E18" w:rsidRPr="00E93126">
        <w:rPr>
          <w:lang w:val="en-GB"/>
        </w:rPr>
        <w:t xml:space="preserve">have </w:t>
      </w:r>
      <w:r w:rsidRPr="00E93126">
        <w:rPr>
          <w:lang w:val="en-GB"/>
        </w:rPr>
        <w:t xml:space="preserve">been </w:t>
      </w:r>
      <w:r w:rsidR="00E45E7F" w:rsidRPr="00E93126">
        <w:rPr>
          <w:lang w:val="en-GB"/>
        </w:rPr>
        <w:t>disguised</w:t>
      </w:r>
      <w:r w:rsidRPr="00E93126">
        <w:rPr>
          <w:lang w:val="en-GB"/>
        </w:rPr>
        <w:t xml:space="preserve"> to protect confidentiality.</w:t>
      </w:r>
    </w:p>
    <w:p w14:paraId="6678D542" w14:textId="77777777" w:rsidR="00A8543C" w:rsidRPr="00E93126" w:rsidRDefault="006A218B" w:rsidP="00A8543C">
      <w:pPr>
        <w:pStyle w:val="Footnote"/>
        <w:rPr>
          <w:lang w:val="en-GB"/>
        </w:rPr>
      </w:pPr>
      <w:r w:rsidRPr="00E93126">
        <w:rPr>
          <w:lang w:val="en-GB"/>
        </w:rPr>
        <w:t xml:space="preserve">Source: Created by </w:t>
      </w:r>
      <w:r w:rsidR="00B977EB">
        <w:rPr>
          <w:lang w:val="en-GB"/>
        </w:rPr>
        <w:t xml:space="preserve">the case </w:t>
      </w:r>
      <w:r w:rsidRPr="00E93126">
        <w:rPr>
          <w:lang w:val="en-GB"/>
        </w:rPr>
        <w:t>author based on company documents.</w:t>
      </w:r>
    </w:p>
    <w:p w14:paraId="449A3CA3" w14:textId="77777777" w:rsidR="00A8543C" w:rsidRPr="00E93126" w:rsidRDefault="00A8543C" w:rsidP="00A8543C">
      <w:pPr>
        <w:spacing w:after="200" w:line="276" w:lineRule="auto"/>
        <w:rPr>
          <w:rFonts w:ascii="Arial" w:hAnsi="Arial" w:cs="Arial"/>
          <w:sz w:val="17"/>
          <w:szCs w:val="17"/>
          <w:lang w:val="en-GB"/>
        </w:rPr>
      </w:pPr>
      <w:r w:rsidRPr="00E93126">
        <w:rPr>
          <w:lang w:val="en-GB"/>
        </w:rPr>
        <w:br w:type="page"/>
      </w:r>
    </w:p>
    <w:p w14:paraId="543C9F6D" w14:textId="71370756" w:rsidR="002A1025" w:rsidRPr="00E93126" w:rsidRDefault="002A1025" w:rsidP="002A1025">
      <w:pPr>
        <w:pStyle w:val="ExhibitHeading"/>
        <w:rPr>
          <w:rFonts w:eastAsiaTheme="minorHAnsi"/>
          <w:lang w:val="en-GB"/>
        </w:rPr>
      </w:pPr>
      <w:r w:rsidRPr="00E93126">
        <w:rPr>
          <w:rFonts w:eastAsiaTheme="minorHAnsi"/>
          <w:lang w:val="en-GB"/>
        </w:rPr>
        <w:lastRenderedPageBreak/>
        <w:t>EXHIBIT 2: Location map of appliance dealers in Denpasar</w:t>
      </w:r>
    </w:p>
    <w:p w14:paraId="2737B2AF" w14:textId="77777777" w:rsidR="009B4616" w:rsidRPr="00E93126" w:rsidRDefault="009B4616" w:rsidP="002A1025">
      <w:pPr>
        <w:pStyle w:val="ExhibitText"/>
        <w:rPr>
          <w:lang w:val="en-GB"/>
        </w:rPr>
      </w:pPr>
    </w:p>
    <w:tbl>
      <w:tblPr>
        <w:tblpPr w:leftFromText="180" w:rightFromText="180" w:vertAnchor="text" w:horzAnchor="margin" w:tblpXSpec="center" w:tblpY="92"/>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40"/>
        <w:gridCol w:w="1440"/>
        <w:gridCol w:w="1530"/>
        <w:gridCol w:w="1350"/>
      </w:tblGrid>
      <w:tr w:rsidR="002A1025" w:rsidRPr="00E93126" w14:paraId="2B46E168" w14:textId="77777777" w:rsidTr="00735B78">
        <w:trPr>
          <w:cantSplit/>
          <w:trHeight w:val="423"/>
        </w:trPr>
        <w:tc>
          <w:tcPr>
            <w:tcW w:w="2340" w:type="dxa"/>
            <w:noWrap/>
            <w:tcMar>
              <w:top w:w="17" w:type="dxa"/>
              <w:left w:w="17" w:type="dxa"/>
              <w:bottom w:w="0" w:type="dxa"/>
              <w:right w:w="17" w:type="dxa"/>
            </w:tcMar>
            <w:vAlign w:val="center"/>
          </w:tcPr>
          <w:p w14:paraId="6F08DFD5"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427FD2B5" w14:textId="77777777" w:rsidR="002A1025" w:rsidRPr="00E93126" w:rsidRDefault="002A1025" w:rsidP="00735B78">
            <w:pPr>
              <w:spacing w:after="200"/>
              <w:rPr>
                <w:rFonts w:eastAsia="Arial Unicode MS"/>
                <w:sz w:val="24"/>
                <w:szCs w:val="24"/>
                <w:lang w:val="en-GB"/>
              </w:rPr>
            </w:pPr>
          </w:p>
        </w:tc>
        <w:tc>
          <w:tcPr>
            <w:tcW w:w="2880" w:type="dxa"/>
            <w:gridSpan w:val="2"/>
            <w:noWrap/>
            <w:tcMar>
              <w:top w:w="17" w:type="dxa"/>
              <w:left w:w="17" w:type="dxa"/>
              <w:bottom w:w="0" w:type="dxa"/>
              <w:right w:w="17" w:type="dxa"/>
            </w:tcMar>
            <w:vAlign w:val="center"/>
          </w:tcPr>
          <w:p w14:paraId="3CC34BFC" w14:textId="77777777" w:rsidR="002A1025" w:rsidRPr="00E93126" w:rsidRDefault="002A1025" w:rsidP="00735B78">
            <w:pPr>
              <w:pStyle w:val="ExhibitText"/>
              <w:jc w:val="left"/>
              <w:rPr>
                <w:rFonts w:eastAsia="Arial Unicode MS"/>
                <w:lang w:val="en-GB"/>
              </w:rPr>
            </w:pPr>
            <w:r w:rsidRPr="00E93126">
              <w:rPr>
                <w:rFonts w:eastAsiaTheme="minorHAnsi"/>
                <w:lang w:val="en-GB"/>
              </w:rPr>
              <w:t>Ind</w:t>
            </w:r>
            <w:r>
              <w:rPr>
                <w:rFonts w:eastAsiaTheme="minorHAnsi"/>
                <w:lang w:val="en-GB"/>
              </w:rPr>
              <w:t>onesia United Appliances (</w:t>
            </w:r>
            <w:r w:rsidRPr="00E93126">
              <w:rPr>
                <w:rFonts w:eastAsiaTheme="minorHAnsi"/>
                <w:lang w:val="en-GB"/>
              </w:rPr>
              <w:t>3</w:t>
            </w:r>
            <w:r>
              <w:rPr>
                <w:rFonts w:eastAsiaTheme="minorHAnsi"/>
                <w:lang w:val="en-GB"/>
              </w:rPr>
              <w:t>)</w:t>
            </w:r>
          </w:p>
        </w:tc>
      </w:tr>
      <w:tr w:rsidR="002A1025" w:rsidRPr="00E93126" w14:paraId="58DC3363" w14:textId="77777777" w:rsidTr="00735B78">
        <w:trPr>
          <w:cantSplit/>
          <w:trHeight w:val="288"/>
        </w:trPr>
        <w:tc>
          <w:tcPr>
            <w:tcW w:w="2340" w:type="dxa"/>
            <w:noWrap/>
            <w:tcMar>
              <w:top w:w="17" w:type="dxa"/>
              <w:left w:w="17" w:type="dxa"/>
              <w:bottom w:w="0" w:type="dxa"/>
              <w:right w:w="17" w:type="dxa"/>
            </w:tcMar>
            <w:vAlign w:val="center"/>
          </w:tcPr>
          <w:p w14:paraId="59422AF8" w14:textId="77777777" w:rsidR="002A1025" w:rsidRPr="00E93126" w:rsidRDefault="002A1025" w:rsidP="00735B78">
            <w:pPr>
              <w:pStyle w:val="ExhibitText"/>
              <w:jc w:val="left"/>
              <w:rPr>
                <w:rFonts w:eastAsia="Arial Unicode MS"/>
                <w:lang w:val="en-GB"/>
              </w:rPr>
            </w:pPr>
            <w:r w:rsidRPr="00E93126">
              <w:rPr>
                <w:rFonts w:eastAsia="Arial Unicode MS"/>
                <w:lang w:val="en-GB"/>
              </w:rPr>
              <w:t xml:space="preserve">Abdul Electronics </w:t>
            </w:r>
            <w:r>
              <w:rPr>
                <w:rFonts w:eastAsia="Arial Unicode MS"/>
                <w:lang w:val="en-GB"/>
              </w:rPr>
              <w:t>(</w:t>
            </w:r>
            <w:r w:rsidRPr="00E93126">
              <w:rPr>
                <w:rFonts w:eastAsia="Arial Unicode MS"/>
                <w:lang w:val="en-GB"/>
              </w:rPr>
              <w:t>2</w:t>
            </w:r>
            <w:r>
              <w:rPr>
                <w:rFonts w:eastAsia="Arial Unicode MS"/>
                <w:lang w:val="en-GB"/>
              </w:rPr>
              <w:t>)</w:t>
            </w:r>
          </w:p>
        </w:tc>
        <w:tc>
          <w:tcPr>
            <w:tcW w:w="1440" w:type="dxa"/>
            <w:noWrap/>
            <w:tcMar>
              <w:top w:w="17" w:type="dxa"/>
              <w:left w:w="17" w:type="dxa"/>
              <w:bottom w:w="0" w:type="dxa"/>
              <w:right w:w="17" w:type="dxa"/>
            </w:tcMar>
            <w:vAlign w:val="center"/>
          </w:tcPr>
          <w:p w14:paraId="5A776447"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314EDF1F"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39D26E3F" w14:textId="77777777" w:rsidR="002A1025" w:rsidRPr="00E93126" w:rsidRDefault="002A1025" w:rsidP="00735B78">
            <w:pPr>
              <w:spacing w:after="200"/>
              <w:rPr>
                <w:rFonts w:eastAsia="Arial Unicode MS"/>
                <w:sz w:val="24"/>
                <w:szCs w:val="24"/>
                <w:lang w:val="en-GB"/>
              </w:rPr>
            </w:pPr>
          </w:p>
        </w:tc>
      </w:tr>
      <w:tr w:rsidR="002A1025" w:rsidRPr="00E93126" w14:paraId="4223B3AC" w14:textId="77777777" w:rsidTr="00735B78">
        <w:trPr>
          <w:cantSplit/>
          <w:trHeight w:val="234"/>
        </w:trPr>
        <w:tc>
          <w:tcPr>
            <w:tcW w:w="2340" w:type="dxa"/>
            <w:noWrap/>
            <w:tcMar>
              <w:top w:w="17" w:type="dxa"/>
              <w:left w:w="17" w:type="dxa"/>
              <w:bottom w:w="0" w:type="dxa"/>
              <w:right w:w="17" w:type="dxa"/>
            </w:tcMar>
            <w:vAlign w:val="center"/>
          </w:tcPr>
          <w:p w14:paraId="12AC4844"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765D105F"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6B4A0B23" w14:textId="77777777" w:rsidR="002A1025" w:rsidRPr="00E93126" w:rsidRDefault="002A1025" w:rsidP="00735B78">
            <w:pPr>
              <w:pStyle w:val="ExhibitText"/>
              <w:jc w:val="left"/>
              <w:rPr>
                <w:rFonts w:eastAsia="Arial Unicode MS"/>
                <w:lang w:val="en-GB"/>
              </w:rPr>
            </w:pPr>
            <w:proofErr w:type="spellStart"/>
            <w:r w:rsidRPr="00E93126">
              <w:rPr>
                <w:rFonts w:eastAsiaTheme="minorHAnsi"/>
                <w:lang w:val="en-GB"/>
              </w:rPr>
              <w:t>Ramnath</w:t>
            </w:r>
            <w:proofErr w:type="spellEnd"/>
          </w:p>
        </w:tc>
        <w:tc>
          <w:tcPr>
            <w:tcW w:w="1350" w:type="dxa"/>
            <w:noWrap/>
            <w:tcMar>
              <w:top w:w="17" w:type="dxa"/>
              <w:left w:w="17" w:type="dxa"/>
              <w:bottom w:w="0" w:type="dxa"/>
              <w:right w:w="17" w:type="dxa"/>
            </w:tcMar>
            <w:vAlign w:val="center"/>
          </w:tcPr>
          <w:p w14:paraId="129A3D05" w14:textId="77777777" w:rsidR="002A1025" w:rsidRPr="00E93126" w:rsidRDefault="002A1025" w:rsidP="00735B78">
            <w:pPr>
              <w:pStyle w:val="ExhibitText"/>
              <w:jc w:val="left"/>
              <w:rPr>
                <w:rFonts w:eastAsia="Arial Unicode MS"/>
                <w:lang w:val="en-GB"/>
              </w:rPr>
            </w:pPr>
            <w:proofErr w:type="spellStart"/>
            <w:r w:rsidRPr="00E93126">
              <w:rPr>
                <w:rFonts w:eastAsiaTheme="minorHAnsi"/>
                <w:lang w:val="en-GB"/>
              </w:rPr>
              <w:t>Beringharjo</w:t>
            </w:r>
            <w:proofErr w:type="spellEnd"/>
          </w:p>
        </w:tc>
      </w:tr>
      <w:tr w:rsidR="002A1025" w:rsidRPr="00E93126" w14:paraId="2FFCAF24" w14:textId="77777777" w:rsidTr="00735B78">
        <w:trPr>
          <w:cantSplit/>
          <w:trHeight w:val="20"/>
        </w:trPr>
        <w:tc>
          <w:tcPr>
            <w:tcW w:w="2340" w:type="dxa"/>
            <w:noWrap/>
            <w:tcMar>
              <w:top w:w="17" w:type="dxa"/>
              <w:left w:w="17" w:type="dxa"/>
              <w:bottom w:w="0" w:type="dxa"/>
              <w:right w:w="17" w:type="dxa"/>
            </w:tcMar>
            <w:vAlign w:val="center"/>
          </w:tcPr>
          <w:p w14:paraId="6EB09291"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06F3B0A7"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4DCCA067"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3E326FED" w14:textId="77777777" w:rsidR="002A1025" w:rsidRPr="00E93126" w:rsidRDefault="002A1025" w:rsidP="00735B78">
            <w:pPr>
              <w:pStyle w:val="ExhibitText"/>
              <w:jc w:val="left"/>
              <w:rPr>
                <w:rFonts w:eastAsia="Arial Unicode MS"/>
                <w:lang w:val="en-GB"/>
              </w:rPr>
            </w:pPr>
            <w:r w:rsidRPr="00E93126">
              <w:rPr>
                <w:rFonts w:eastAsia="Arial Unicode MS"/>
                <w:lang w:val="en-GB"/>
              </w:rPr>
              <w:t>Market</w:t>
            </w:r>
          </w:p>
        </w:tc>
      </w:tr>
      <w:tr w:rsidR="002A1025" w:rsidRPr="00E93126" w14:paraId="45C5BD83" w14:textId="77777777" w:rsidTr="00735B78">
        <w:trPr>
          <w:cantSplit/>
          <w:trHeight w:val="20"/>
        </w:trPr>
        <w:tc>
          <w:tcPr>
            <w:tcW w:w="2340" w:type="dxa"/>
            <w:noWrap/>
            <w:tcMar>
              <w:top w:w="17" w:type="dxa"/>
              <w:left w:w="17" w:type="dxa"/>
              <w:bottom w:w="0" w:type="dxa"/>
              <w:right w:w="17" w:type="dxa"/>
            </w:tcMar>
            <w:vAlign w:val="center"/>
          </w:tcPr>
          <w:p w14:paraId="0BD7BBF7"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6E52BBEF"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7700AB6B"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6FBD21C7" w14:textId="77777777" w:rsidR="002A1025" w:rsidRPr="00E93126" w:rsidRDefault="002A1025" w:rsidP="00735B78">
            <w:pPr>
              <w:pStyle w:val="ExhibitText"/>
              <w:jc w:val="left"/>
              <w:rPr>
                <w:rFonts w:eastAsia="Arial Unicode MS"/>
                <w:lang w:val="en-GB"/>
              </w:rPr>
            </w:pPr>
            <w:r w:rsidRPr="00E93126">
              <w:rPr>
                <w:rFonts w:eastAsiaTheme="minorHAnsi"/>
                <w:lang w:val="en-GB"/>
              </w:rPr>
              <w:t>Rahman</w:t>
            </w:r>
          </w:p>
        </w:tc>
      </w:tr>
      <w:tr w:rsidR="002A1025" w:rsidRPr="00E93126" w14:paraId="27F26F67" w14:textId="77777777" w:rsidTr="00735B78">
        <w:trPr>
          <w:cantSplit/>
          <w:trHeight w:val="20"/>
        </w:trPr>
        <w:tc>
          <w:tcPr>
            <w:tcW w:w="2340" w:type="dxa"/>
            <w:noWrap/>
            <w:tcMar>
              <w:top w:w="17" w:type="dxa"/>
              <w:left w:w="17" w:type="dxa"/>
              <w:bottom w:w="0" w:type="dxa"/>
              <w:right w:w="17" w:type="dxa"/>
            </w:tcMar>
            <w:vAlign w:val="center"/>
          </w:tcPr>
          <w:p w14:paraId="4E042BEC"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1115D4B4"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0D8DBA50"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11313607" w14:textId="77777777" w:rsidR="002A1025" w:rsidRPr="00E93126" w:rsidRDefault="002A1025" w:rsidP="00735B78">
            <w:pPr>
              <w:spacing w:after="200"/>
              <w:rPr>
                <w:rFonts w:eastAsia="Arial Unicode MS"/>
                <w:sz w:val="24"/>
                <w:szCs w:val="24"/>
                <w:lang w:val="en-GB"/>
              </w:rPr>
            </w:pPr>
          </w:p>
        </w:tc>
      </w:tr>
      <w:tr w:rsidR="002A1025" w:rsidRPr="00E93126" w14:paraId="1EDB4DEE" w14:textId="77777777" w:rsidTr="00735B78">
        <w:trPr>
          <w:cantSplit/>
          <w:trHeight w:val="20"/>
        </w:trPr>
        <w:tc>
          <w:tcPr>
            <w:tcW w:w="2340" w:type="dxa"/>
            <w:noWrap/>
            <w:tcMar>
              <w:top w:w="17" w:type="dxa"/>
              <w:left w:w="17" w:type="dxa"/>
              <w:bottom w:w="0" w:type="dxa"/>
              <w:right w:w="17" w:type="dxa"/>
            </w:tcMar>
            <w:vAlign w:val="center"/>
          </w:tcPr>
          <w:p w14:paraId="1AA8997D"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5115066F" w14:textId="77777777" w:rsidR="002A1025" w:rsidRPr="00E93126" w:rsidRDefault="002A1025" w:rsidP="00735B78">
            <w:pPr>
              <w:pStyle w:val="ExhibitText"/>
              <w:jc w:val="left"/>
              <w:rPr>
                <w:rFonts w:eastAsia="Arial Unicode MS"/>
                <w:lang w:val="en-GB"/>
              </w:rPr>
            </w:pPr>
            <w:r w:rsidRPr="00E93126">
              <w:rPr>
                <w:rFonts w:eastAsiaTheme="minorHAnsi"/>
                <w:lang w:val="en-GB"/>
              </w:rPr>
              <w:t>Northeast</w:t>
            </w:r>
          </w:p>
        </w:tc>
        <w:tc>
          <w:tcPr>
            <w:tcW w:w="1530" w:type="dxa"/>
            <w:noWrap/>
            <w:tcMar>
              <w:top w:w="17" w:type="dxa"/>
              <w:left w:w="17" w:type="dxa"/>
              <w:bottom w:w="0" w:type="dxa"/>
              <w:right w:w="17" w:type="dxa"/>
            </w:tcMar>
            <w:vAlign w:val="center"/>
          </w:tcPr>
          <w:p w14:paraId="2EA4A8BE"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7DEA4162" w14:textId="77777777" w:rsidR="002A1025" w:rsidRPr="00E93126" w:rsidRDefault="002A1025" w:rsidP="00735B78">
            <w:pPr>
              <w:spacing w:after="200"/>
              <w:rPr>
                <w:rFonts w:eastAsia="Arial Unicode MS"/>
                <w:sz w:val="24"/>
                <w:szCs w:val="24"/>
                <w:lang w:val="en-GB"/>
              </w:rPr>
            </w:pPr>
          </w:p>
        </w:tc>
      </w:tr>
      <w:tr w:rsidR="002A1025" w:rsidRPr="00E93126" w14:paraId="480CF20D" w14:textId="77777777" w:rsidTr="00735B78">
        <w:trPr>
          <w:cantSplit/>
          <w:trHeight w:val="20"/>
        </w:trPr>
        <w:tc>
          <w:tcPr>
            <w:tcW w:w="2340" w:type="dxa"/>
            <w:noWrap/>
            <w:tcMar>
              <w:top w:w="17" w:type="dxa"/>
              <w:left w:w="17" w:type="dxa"/>
              <w:bottom w:w="0" w:type="dxa"/>
              <w:right w:w="17" w:type="dxa"/>
            </w:tcMar>
            <w:vAlign w:val="center"/>
          </w:tcPr>
          <w:p w14:paraId="5E496AB7"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418FE4B8"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48463272"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480A23D1" w14:textId="77777777" w:rsidR="002A1025" w:rsidRPr="00E93126" w:rsidRDefault="002A1025" w:rsidP="00735B78">
            <w:pPr>
              <w:spacing w:after="200"/>
              <w:rPr>
                <w:rFonts w:eastAsia="Arial Unicode MS"/>
                <w:sz w:val="24"/>
                <w:szCs w:val="24"/>
                <w:lang w:val="en-GB"/>
              </w:rPr>
            </w:pPr>
          </w:p>
        </w:tc>
      </w:tr>
      <w:tr w:rsidR="002A1025" w:rsidRPr="00E93126" w14:paraId="04C1EBFE" w14:textId="77777777" w:rsidTr="00735B78">
        <w:trPr>
          <w:cantSplit/>
          <w:trHeight w:val="20"/>
        </w:trPr>
        <w:tc>
          <w:tcPr>
            <w:tcW w:w="3780" w:type="dxa"/>
            <w:gridSpan w:val="2"/>
            <w:noWrap/>
            <w:tcMar>
              <w:top w:w="17" w:type="dxa"/>
              <w:left w:w="17" w:type="dxa"/>
              <w:bottom w:w="0" w:type="dxa"/>
              <w:right w:w="17" w:type="dxa"/>
            </w:tcMar>
            <w:vAlign w:val="center"/>
          </w:tcPr>
          <w:p w14:paraId="33AEB07E" w14:textId="77777777" w:rsidR="002A1025" w:rsidRPr="00E93126" w:rsidRDefault="002A1025" w:rsidP="00735B78">
            <w:pPr>
              <w:pStyle w:val="ExhibitText"/>
              <w:rPr>
                <w:rFonts w:eastAsia="Arial Unicode MS"/>
                <w:b/>
                <w:sz w:val="24"/>
                <w:szCs w:val="24"/>
                <w:lang w:val="en-GB"/>
              </w:rPr>
            </w:pPr>
            <w:r w:rsidRPr="00E93126">
              <w:rPr>
                <w:rFonts w:eastAsiaTheme="minorHAnsi"/>
                <w:lang w:val="en-GB"/>
              </w:rPr>
              <w:t>Ind</w:t>
            </w:r>
            <w:r>
              <w:rPr>
                <w:rFonts w:eastAsiaTheme="minorHAnsi"/>
                <w:lang w:val="en-GB"/>
              </w:rPr>
              <w:t>onesia United Appliances (</w:t>
            </w:r>
            <w:r w:rsidRPr="00E93126">
              <w:rPr>
                <w:rFonts w:eastAsiaTheme="minorHAnsi"/>
                <w:lang w:val="en-GB"/>
              </w:rPr>
              <w:t>2</w:t>
            </w:r>
            <w:r>
              <w:rPr>
                <w:rFonts w:eastAsiaTheme="minorHAnsi"/>
                <w:lang w:val="en-GB"/>
              </w:rPr>
              <w:t>)</w:t>
            </w:r>
          </w:p>
        </w:tc>
        <w:tc>
          <w:tcPr>
            <w:tcW w:w="1530" w:type="dxa"/>
            <w:noWrap/>
            <w:tcMar>
              <w:top w:w="17" w:type="dxa"/>
              <w:left w:w="17" w:type="dxa"/>
              <w:bottom w:w="0" w:type="dxa"/>
              <w:right w:w="17" w:type="dxa"/>
            </w:tcMar>
            <w:vAlign w:val="center"/>
          </w:tcPr>
          <w:p w14:paraId="4FB5AE76" w14:textId="77777777" w:rsidR="002A1025" w:rsidRPr="00E93126" w:rsidRDefault="002A1025" w:rsidP="00735B78">
            <w:pPr>
              <w:pStyle w:val="ExhibitText"/>
              <w:jc w:val="left"/>
              <w:rPr>
                <w:rFonts w:eastAsia="Arial Unicode MS"/>
                <w:lang w:val="en-GB"/>
              </w:rPr>
            </w:pPr>
            <w:proofErr w:type="spellStart"/>
            <w:r w:rsidRPr="00E93126">
              <w:rPr>
                <w:rFonts w:eastAsiaTheme="minorHAnsi"/>
                <w:lang w:val="en-GB"/>
              </w:rPr>
              <w:t>Baru</w:t>
            </w:r>
            <w:proofErr w:type="spellEnd"/>
          </w:p>
        </w:tc>
        <w:tc>
          <w:tcPr>
            <w:tcW w:w="1350" w:type="dxa"/>
            <w:noWrap/>
            <w:tcMar>
              <w:top w:w="17" w:type="dxa"/>
              <w:left w:w="17" w:type="dxa"/>
              <w:bottom w:w="0" w:type="dxa"/>
              <w:right w:w="17" w:type="dxa"/>
            </w:tcMar>
            <w:vAlign w:val="center"/>
          </w:tcPr>
          <w:p w14:paraId="07F2B2CC" w14:textId="77777777" w:rsidR="002A1025" w:rsidRPr="00E93126" w:rsidRDefault="002A1025" w:rsidP="00735B78">
            <w:pPr>
              <w:spacing w:after="200"/>
              <w:rPr>
                <w:rFonts w:eastAsia="Arial Unicode MS"/>
                <w:b/>
                <w:sz w:val="24"/>
                <w:szCs w:val="24"/>
                <w:lang w:val="en-GB"/>
              </w:rPr>
            </w:pPr>
          </w:p>
        </w:tc>
      </w:tr>
      <w:tr w:rsidR="002A1025" w:rsidRPr="00E93126" w14:paraId="0BA05F5E" w14:textId="77777777" w:rsidTr="00735B78">
        <w:trPr>
          <w:cantSplit/>
          <w:trHeight w:val="20"/>
        </w:trPr>
        <w:tc>
          <w:tcPr>
            <w:tcW w:w="2340" w:type="dxa"/>
            <w:noWrap/>
            <w:tcMar>
              <w:top w:w="17" w:type="dxa"/>
              <w:left w:w="17" w:type="dxa"/>
              <w:bottom w:w="0" w:type="dxa"/>
              <w:right w:w="17" w:type="dxa"/>
            </w:tcMar>
            <w:vAlign w:val="center"/>
          </w:tcPr>
          <w:p w14:paraId="1E872560" w14:textId="77777777" w:rsidR="002A1025" w:rsidRPr="00E93126" w:rsidRDefault="002A1025" w:rsidP="00735B78">
            <w:pPr>
              <w:pStyle w:val="ExhibitText"/>
              <w:jc w:val="left"/>
              <w:rPr>
                <w:rFonts w:eastAsia="Arial Unicode MS"/>
                <w:lang w:val="en-GB"/>
              </w:rPr>
            </w:pPr>
            <w:r w:rsidRPr="00E93126">
              <w:rPr>
                <w:rFonts w:eastAsiaTheme="minorHAnsi"/>
                <w:lang w:val="en-GB"/>
              </w:rPr>
              <w:t>Spectrum 2</w:t>
            </w:r>
          </w:p>
        </w:tc>
        <w:tc>
          <w:tcPr>
            <w:tcW w:w="1440" w:type="dxa"/>
            <w:noWrap/>
            <w:tcMar>
              <w:top w:w="17" w:type="dxa"/>
              <w:left w:w="17" w:type="dxa"/>
              <w:bottom w:w="0" w:type="dxa"/>
              <w:right w:w="17" w:type="dxa"/>
            </w:tcMar>
            <w:vAlign w:val="center"/>
          </w:tcPr>
          <w:p w14:paraId="41B18CE5"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53770FCC" w14:textId="77777777" w:rsidR="002A1025" w:rsidRPr="00E93126" w:rsidRDefault="002A1025" w:rsidP="00735B78">
            <w:pPr>
              <w:pStyle w:val="ExhibitText"/>
              <w:jc w:val="left"/>
              <w:rPr>
                <w:rFonts w:eastAsia="Arial Unicode MS"/>
                <w:lang w:val="en-GB"/>
              </w:rPr>
            </w:pPr>
            <w:r w:rsidRPr="00E93126">
              <w:rPr>
                <w:rFonts w:eastAsia="Arial Unicode MS"/>
                <w:lang w:val="en-GB"/>
              </w:rPr>
              <w:t>Market</w:t>
            </w:r>
          </w:p>
        </w:tc>
        <w:tc>
          <w:tcPr>
            <w:tcW w:w="1350" w:type="dxa"/>
            <w:noWrap/>
            <w:tcMar>
              <w:top w:w="17" w:type="dxa"/>
              <w:left w:w="17" w:type="dxa"/>
              <w:bottom w:w="0" w:type="dxa"/>
              <w:right w:w="17" w:type="dxa"/>
            </w:tcMar>
            <w:vAlign w:val="center"/>
          </w:tcPr>
          <w:p w14:paraId="19A5E073" w14:textId="77777777" w:rsidR="002A1025" w:rsidRPr="00E93126" w:rsidRDefault="002A1025" w:rsidP="00735B78">
            <w:pPr>
              <w:spacing w:after="200"/>
              <w:rPr>
                <w:rFonts w:eastAsia="Arial Unicode MS"/>
                <w:sz w:val="24"/>
                <w:szCs w:val="24"/>
                <w:lang w:val="en-GB"/>
              </w:rPr>
            </w:pPr>
          </w:p>
        </w:tc>
      </w:tr>
      <w:tr w:rsidR="002A1025" w:rsidRPr="00E93126" w14:paraId="08094138" w14:textId="77777777" w:rsidTr="00735B78">
        <w:trPr>
          <w:cantSplit/>
          <w:trHeight w:val="20"/>
        </w:trPr>
        <w:tc>
          <w:tcPr>
            <w:tcW w:w="2340" w:type="dxa"/>
            <w:noWrap/>
            <w:tcMar>
              <w:top w:w="17" w:type="dxa"/>
              <w:left w:w="17" w:type="dxa"/>
              <w:bottom w:w="0" w:type="dxa"/>
              <w:right w:w="17" w:type="dxa"/>
            </w:tcMar>
            <w:vAlign w:val="center"/>
          </w:tcPr>
          <w:p w14:paraId="2277467B"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54D7B267"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71E3EB76"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4FCD0A19" w14:textId="77777777" w:rsidR="002A1025" w:rsidRPr="00E93126" w:rsidRDefault="002A1025" w:rsidP="00735B78">
            <w:pPr>
              <w:spacing w:after="200"/>
              <w:rPr>
                <w:rFonts w:eastAsia="Arial Unicode MS"/>
                <w:sz w:val="24"/>
                <w:szCs w:val="24"/>
                <w:lang w:val="en-GB"/>
              </w:rPr>
            </w:pPr>
          </w:p>
        </w:tc>
      </w:tr>
      <w:tr w:rsidR="002A1025" w:rsidRPr="00E93126" w14:paraId="4F22C5A1" w14:textId="77777777" w:rsidTr="00735B78">
        <w:trPr>
          <w:cantSplit/>
          <w:trHeight w:val="20"/>
        </w:trPr>
        <w:tc>
          <w:tcPr>
            <w:tcW w:w="2340" w:type="dxa"/>
            <w:noWrap/>
            <w:tcMar>
              <w:top w:w="17" w:type="dxa"/>
              <w:left w:w="17" w:type="dxa"/>
              <w:bottom w:w="0" w:type="dxa"/>
              <w:right w:w="17" w:type="dxa"/>
            </w:tcMar>
            <w:vAlign w:val="center"/>
          </w:tcPr>
          <w:p w14:paraId="6617B68A" w14:textId="77777777" w:rsidR="002A1025" w:rsidRPr="00E93126" w:rsidRDefault="002A1025" w:rsidP="00735B78">
            <w:pPr>
              <w:pStyle w:val="ExhibitText"/>
              <w:jc w:val="left"/>
              <w:rPr>
                <w:rFonts w:eastAsia="Arial Unicode MS"/>
                <w:lang w:val="en-GB"/>
              </w:rPr>
            </w:pPr>
            <w:r w:rsidRPr="00E93126">
              <w:rPr>
                <w:rFonts w:eastAsiaTheme="minorHAnsi"/>
                <w:lang w:val="en-GB"/>
              </w:rPr>
              <w:t>Vision</w:t>
            </w:r>
          </w:p>
        </w:tc>
        <w:tc>
          <w:tcPr>
            <w:tcW w:w="1440" w:type="dxa"/>
            <w:noWrap/>
            <w:tcMar>
              <w:top w:w="17" w:type="dxa"/>
              <w:left w:w="17" w:type="dxa"/>
              <w:bottom w:w="0" w:type="dxa"/>
              <w:right w:w="17" w:type="dxa"/>
            </w:tcMar>
            <w:vAlign w:val="center"/>
          </w:tcPr>
          <w:p w14:paraId="36C2CAFD"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69F2133D"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06D9085F" w14:textId="77777777" w:rsidR="002A1025" w:rsidRPr="00E93126" w:rsidRDefault="002A1025" w:rsidP="00735B78">
            <w:pPr>
              <w:spacing w:after="200"/>
              <w:rPr>
                <w:rFonts w:eastAsia="Arial Unicode MS"/>
                <w:sz w:val="24"/>
                <w:szCs w:val="24"/>
                <w:lang w:val="en-GB"/>
              </w:rPr>
            </w:pPr>
          </w:p>
        </w:tc>
      </w:tr>
      <w:tr w:rsidR="002A1025" w:rsidRPr="00E93126" w14:paraId="7853AE25" w14:textId="77777777" w:rsidTr="00735B78">
        <w:trPr>
          <w:cantSplit/>
          <w:trHeight w:val="20"/>
        </w:trPr>
        <w:tc>
          <w:tcPr>
            <w:tcW w:w="2340" w:type="dxa"/>
            <w:noWrap/>
            <w:tcMar>
              <w:top w:w="17" w:type="dxa"/>
              <w:left w:w="17" w:type="dxa"/>
              <w:bottom w:w="0" w:type="dxa"/>
              <w:right w:w="17" w:type="dxa"/>
            </w:tcMar>
            <w:vAlign w:val="center"/>
          </w:tcPr>
          <w:p w14:paraId="04049645"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3F05944E"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541759DD"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1EDF51D9" w14:textId="77777777" w:rsidR="002A1025" w:rsidRPr="00E93126" w:rsidRDefault="002A1025" w:rsidP="00735B78">
            <w:pPr>
              <w:spacing w:after="200"/>
              <w:rPr>
                <w:rFonts w:eastAsia="Arial Unicode MS"/>
                <w:sz w:val="24"/>
                <w:szCs w:val="24"/>
                <w:lang w:val="en-GB"/>
              </w:rPr>
            </w:pPr>
          </w:p>
        </w:tc>
      </w:tr>
      <w:tr w:rsidR="002A1025" w:rsidRPr="00E93126" w14:paraId="7A06DA1A" w14:textId="77777777" w:rsidTr="00735B78">
        <w:trPr>
          <w:cantSplit/>
          <w:trHeight w:val="20"/>
        </w:trPr>
        <w:tc>
          <w:tcPr>
            <w:tcW w:w="2340" w:type="dxa"/>
            <w:noWrap/>
            <w:tcMar>
              <w:top w:w="17" w:type="dxa"/>
              <w:left w:w="17" w:type="dxa"/>
              <w:bottom w:w="0" w:type="dxa"/>
              <w:right w:w="17" w:type="dxa"/>
            </w:tcMar>
            <w:vAlign w:val="center"/>
          </w:tcPr>
          <w:p w14:paraId="3D4CCA1C"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45F27A00" w14:textId="77777777" w:rsidR="002A1025" w:rsidRPr="00E93126" w:rsidRDefault="002A1025" w:rsidP="00735B78">
            <w:pPr>
              <w:pStyle w:val="ExhibitText"/>
              <w:jc w:val="left"/>
              <w:rPr>
                <w:rFonts w:eastAsia="Arial Unicode MS"/>
                <w:lang w:val="en-GB"/>
              </w:rPr>
            </w:pPr>
            <w:r w:rsidRPr="00E93126">
              <w:rPr>
                <w:rFonts w:eastAsiaTheme="minorHAnsi"/>
                <w:lang w:val="en-GB"/>
              </w:rPr>
              <w:t>Spectrum 1</w:t>
            </w:r>
          </w:p>
        </w:tc>
        <w:tc>
          <w:tcPr>
            <w:tcW w:w="1530" w:type="dxa"/>
            <w:noWrap/>
            <w:tcMar>
              <w:top w:w="17" w:type="dxa"/>
              <w:left w:w="17" w:type="dxa"/>
              <w:bottom w:w="0" w:type="dxa"/>
              <w:right w:w="17" w:type="dxa"/>
            </w:tcMar>
            <w:vAlign w:val="center"/>
          </w:tcPr>
          <w:p w14:paraId="023F2613" w14:textId="77777777" w:rsidR="002A1025" w:rsidRPr="00E93126" w:rsidRDefault="002A1025" w:rsidP="00735B78">
            <w:pPr>
              <w:spacing w:after="200"/>
              <w:rPr>
                <w:rFonts w:eastAsia="Arial Unicode MS"/>
                <w:sz w:val="24"/>
                <w:szCs w:val="24"/>
                <w:lang w:val="en-GB"/>
              </w:rPr>
            </w:pPr>
          </w:p>
        </w:tc>
        <w:tc>
          <w:tcPr>
            <w:tcW w:w="1350" w:type="dxa"/>
            <w:noWrap/>
            <w:tcMar>
              <w:top w:w="17" w:type="dxa"/>
              <w:left w:w="17" w:type="dxa"/>
              <w:bottom w:w="0" w:type="dxa"/>
              <w:right w:w="17" w:type="dxa"/>
            </w:tcMar>
            <w:vAlign w:val="center"/>
          </w:tcPr>
          <w:p w14:paraId="4BA452BC" w14:textId="77777777" w:rsidR="002A1025" w:rsidRPr="00E93126" w:rsidRDefault="002A1025" w:rsidP="00735B78">
            <w:pPr>
              <w:spacing w:after="200"/>
              <w:rPr>
                <w:rFonts w:eastAsia="Arial Unicode MS"/>
                <w:sz w:val="24"/>
                <w:szCs w:val="24"/>
                <w:lang w:val="en-GB"/>
              </w:rPr>
            </w:pPr>
          </w:p>
        </w:tc>
      </w:tr>
      <w:tr w:rsidR="002A1025" w:rsidRPr="00E93126" w14:paraId="36334C6A" w14:textId="77777777" w:rsidTr="00735B78">
        <w:trPr>
          <w:cantSplit/>
          <w:trHeight w:val="20"/>
        </w:trPr>
        <w:tc>
          <w:tcPr>
            <w:tcW w:w="2340" w:type="dxa"/>
            <w:noWrap/>
            <w:tcMar>
              <w:top w:w="17" w:type="dxa"/>
              <w:left w:w="17" w:type="dxa"/>
              <w:bottom w:w="0" w:type="dxa"/>
              <w:right w:w="17" w:type="dxa"/>
            </w:tcMar>
            <w:vAlign w:val="center"/>
          </w:tcPr>
          <w:p w14:paraId="73EA0630" w14:textId="77777777" w:rsidR="002A1025" w:rsidRPr="00E93126" w:rsidRDefault="002A1025" w:rsidP="00735B78">
            <w:pPr>
              <w:pStyle w:val="ExhibitText"/>
              <w:jc w:val="left"/>
              <w:rPr>
                <w:rFonts w:eastAsia="Arial Unicode MS"/>
                <w:lang w:val="en-GB"/>
              </w:rPr>
            </w:pPr>
            <w:r w:rsidRPr="00E93126">
              <w:rPr>
                <w:rFonts w:eastAsiaTheme="minorHAnsi"/>
                <w:lang w:val="en-GB"/>
              </w:rPr>
              <w:t>Abdul Electronics 1</w:t>
            </w:r>
          </w:p>
        </w:tc>
        <w:tc>
          <w:tcPr>
            <w:tcW w:w="1440" w:type="dxa"/>
            <w:noWrap/>
            <w:tcMar>
              <w:top w:w="17" w:type="dxa"/>
              <w:left w:w="17" w:type="dxa"/>
              <w:bottom w:w="0" w:type="dxa"/>
              <w:right w:w="17" w:type="dxa"/>
            </w:tcMar>
            <w:vAlign w:val="center"/>
          </w:tcPr>
          <w:p w14:paraId="73FC4B42" w14:textId="77777777" w:rsidR="002A1025" w:rsidRPr="00E93126" w:rsidRDefault="002A1025" w:rsidP="00735B78">
            <w:pPr>
              <w:spacing w:after="200"/>
              <w:rPr>
                <w:rFonts w:eastAsia="Arial Unicode MS"/>
                <w:sz w:val="24"/>
                <w:szCs w:val="24"/>
                <w:lang w:val="en-GB"/>
              </w:rPr>
            </w:pPr>
          </w:p>
        </w:tc>
        <w:tc>
          <w:tcPr>
            <w:tcW w:w="1530" w:type="dxa"/>
            <w:noWrap/>
            <w:tcMar>
              <w:top w:w="17" w:type="dxa"/>
              <w:left w:w="17" w:type="dxa"/>
              <w:bottom w:w="0" w:type="dxa"/>
              <w:right w:w="17" w:type="dxa"/>
            </w:tcMar>
            <w:vAlign w:val="center"/>
          </w:tcPr>
          <w:p w14:paraId="30E00B81" w14:textId="77777777" w:rsidR="002A1025" w:rsidRPr="00E93126" w:rsidRDefault="002A1025" w:rsidP="00735B78">
            <w:pPr>
              <w:pStyle w:val="ExhibitText"/>
              <w:jc w:val="left"/>
              <w:rPr>
                <w:rFonts w:eastAsia="Arial Unicode MS"/>
                <w:lang w:val="en-GB"/>
              </w:rPr>
            </w:pPr>
            <w:r w:rsidRPr="00D77BB1">
              <w:rPr>
                <w:rFonts w:eastAsiaTheme="minorHAnsi"/>
                <w:lang w:val="en-GB"/>
              </w:rPr>
              <w:t>Santa Modern</w:t>
            </w:r>
            <w:r w:rsidRPr="00E93126">
              <w:rPr>
                <w:rFonts w:eastAsiaTheme="minorHAnsi"/>
                <w:lang w:val="en-GB"/>
              </w:rPr>
              <w:t xml:space="preserve"> </w:t>
            </w:r>
            <w:r w:rsidRPr="00E93126">
              <w:rPr>
                <w:rFonts w:eastAsiaTheme="minorHAnsi"/>
                <w:bCs/>
                <w:lang w:val="en-GB"/>
              </w:rPr>
              <w:t>Market</w:t>
            </w:r>
          </w:p>
        </w:tc>
        <w:tc>
          <w:tcPr>
            <w:tcW w:w="1350" w:type="dxa"/>
            <w:noWrap/>
            <w:tcMar>
              <w:top w:w="17" w:type="dxa"/>
              <w:left w:w="17" w:type="dxa"/>
              <w:bottom w:w="0" w:type="dxa"/>
              <w:right w:w="17" w:type="dxa"/>
            </w:tcMar>
            <w:vAlign w:val="center"/>
          </w:tcPr>
          <w:p w14:paraId="1E261654" w14:textId="77777777" w:rsidR="002A1025" w:rsidRPr="00E93126" w:rsidRDefault="002A1025" w:rsidP="00735B78">
            <w:pPr>
              <w:pStyle w:val="ExhibitText"/>
              <w:jc w:val="left"/>
              <w:rPr>
                <w:rFonts w:eastAsia="Arial Unicode MS"/>
                <w:lang w:val="en-GB"/>
              </w:rPr>
            </w:pPr>
          </w:p>
        </w:tc>
      </w:tr>
      <w:tr w:rsidR="002A1025" w:rsidRPr="00E93126" w14:paraId="4FE98EC8" w14:textId="77777777" w:rsidTr="00735B78">
        <w:trPr>
          <w:cantSplit/>
          <w:trHeight w:val="20"/>
        </w:trPr>
        <w:tc>
          <w:tcPr>
            <w:tcW w:w="2340" w:type="dxa"/>
            <w:noWrap/>
            <w:tcMar>
              <w:top w:w="17" w:type="dxa"/>
              <w:left w:w="17" w:type="dxa"/>
              <w:bottom w:w="0" w:type="dxa"/>
              <w:right w:w="17" w:type="dxa"/>
            </w:tcMar>
            <w:vAlign w:val="center"/>
          </w:tcPr>
          <w:p w14:paraId="69074550"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56FB00DA" w14:textId="77777777" w:rsidR="002A1025" w:rsidRPr="00E93126" w:rsidRDefault="002A1025" w:rsidP="00735B78">
            <w:pPr>
              <w:spacing w:after="200"/>
              <w:rPr>
                <w:rFonts w:eastAsia="Arial Unicode MS"/>
                <w:sz w:val="22"/>
                <w:szCs w:val="22"/>
                <w:lang w:val="en-GB"/>
              </w:rPr>
            </w:pPr>
          </w:p>
        </w:tc>
        <w:tc>
          <w:tcPr>
            <w:tcW w:w="2880" w:type="dxa"/>
            <w:gridSpan w:val="2"/>
            <w:noWrap/>
            <w:tcMar>
              <w:top w:w="17" w:type="dxa"/>
              <w:left w:w="17" w:type="dxa"/>
              <w:bottom w:w="0" w:type="dxa"/>
              <w:right w:w="17" w:type="dxa"/>
            </w:tcMar>
            <w:vAlign w:val="center"/>
          </w:tcPr>
          <w:p w14:paraId="765C8F85" w14:textId="77777777" w:rsidR="002A1025" w:rsidRPr="00E93126" w:rsidRDefault="002A1025" w:rsidP="00735B78">
            <w:pPr>
              <w:pStyle w:val="ExhibitText"/>
              <w:jc w:val="left"/>
              <w:rPr>
                <w:rFonts w:eastAsiaTheme="minorHAnsi"/>
                <w:lang w:val="en-GB"/>
              </w:rPr>
            </w:pPr>
            <w:r w:rsidRPr="00E93126">
              <w:rPr>
                <w:rFonts w:eastAsiaTheme="minorHAnsi"/>
                <w:lang w:val="en-GB"/>
              </w:rPr>
              <w:t>Distance between Abdul</w:t>
            </w:r>
          </w:p>
          <w:p w14:paraId="57FAE9D6" w14:textId="77777777" w:rsidR="002A1025" w:rsidRPr="00E93126" w:rsidRDefault="002A1025" w:rsidP="00735B78">
            <w:pPr>
              <w:pStyle w:val="ExhibitText"/>
              <w:jc w:val="left"/>
              <w:rPr>
                <w:rFonts w:eastAsia="Arial Unicode MS"/>
                <w:lang w:val="en-GB"/>
              </w:rPr>
            </w:pPr>
            <w:r w:rsidRPr="00E93126">
              <w:rPr>
                <w:rFonts w:eastAsiaTheme="minorHAnsi"/>
                <w:lang w:val="en-GB"/>
              </w:rPr>
              <w:t>Electronics 2</w:t>
            </w:r>
          </w:p>
        </w:tc>
      </w:tr>
      <w:tr w:rsidR="002A1025" w:rsidRPr="00E93126" w14:paraId="0D3B1A7D" w14:textId="77777777" w:rsidTr="00735B78">
        <w:trPr>
          <w:cantSplit/>
          <w:trHeight w:val="20"/>
        </w:trPr>
        <w:tc>
          <w:tcPr>
            <w:tcW w:w="2340" w:type="dxa"/>
            <w:noWrap/>
            <w:tcMar>
              <w:top w:w="17" w:type="dxa"/>
              <w:left w:w="17" w:type="dxa"/>
              <w:bottom w:w="0" w:type="dxa"/>
              <w:right w:w="17" w:type="dxa"/>
            </w:tcMar>
            <w:vAlign w:val="center"/>
          </w:tcPr>
          <w:p w14:paraId="4E1778E7" w14:textId="77777777" w:rsidR="002A1025" w:rsidRPr="00E93126" w:rsidRDefault="002A1025" w:rsidP="00735B78">
            <w:pPr>
              <w:spacing w:after="200"/>
              <w:rPr>
                <w:rFonts w:eastAsia="Arial Unicode MS"/>
                <w:sz w:val="24"/>
                <w:szCs w:val="24"/>
                <w:lang w:val="en-GB"/>
              </w:rPr>
            </w:pPr>
          </w:p>
        </w:tc>
        <w:tc>
          <w:tcPr>
            <w:tcW w:w="1440" w:type="dxa"/>
            <w:noWrap/>
            <w:tcMar>
              <w:top w:w="17" w:type="dxa"/>
              <w:left w:w="17" w:type="dxa"/>
              <w:bottom w:w="0" w:type="dxa"/>
              <w:right w:w="17" w:type="dxa"/>
            </w:tcMar>
            <w:vAlign w:val="center"/>
          </w:tcPr>
          <w:p w14:paraId="7586257C" w14:textId="77777777" w:rsidR="002A1025" w:rsidRPr="00E93126" w:rsidRDefault="002A1025" w:rsidP="00735B78">
            <w:pPr>
              <w:spacing w:after="200"/>
              <w:rPr>
                <w:rFonts w:eastAsia="Arial Unicode MS"/>
                <w:sz w:val="22"/>
                <w:szCs w:val="22"/>
                <w:lang w:val="en-GB"/>
              </w:rPr>
            </w:pPr>
          </w:p>
        </w:tc>
        <w:tc>
          <w:tcPr>
            <w:tcW w:w="2880" w:type="dxa"/>
            <w:gridSpan w:val="2"/>
            <w:noWrap/>
            <w:tcMar>
              <w:top w:w="17" w:type="dxa"/>
              <w:left w:w="17" w:type="dxa"/>
              <w:bottom w:w="0" w:type="dxa"/>
              <w:right w:w="17" w:type="dxa"/>
            </w:tcMar>
            <w:vAlign w:val="center"/>
          </w:tcPr>
          <w:p w14:paraId="3658F1A5" w14:textId="77777777" w:rsidR="002A1025" w:rsidRPr="00E93126" w:rsidRDefault="002A1025" w:rsidP="00735B78">
            <w:pPr>
              <w:pStyle w:val="ExhibitText"/>
              <w:jc w:val="left"/>
              <w:rPr>
                <w:rFonts w:eastAsia="Arial Unicode MS"/>
                <w:lang w:val="en-GB"/>
              </w:rPr>
            </w:pPr>
          </w:p>
        </w:tc>
      </w:tr>
      <w:tr w:rsidR="002A1025" w:rsidRPr="00E93126" w14:paraId="19BECE7A" w14:textId="77777777" w:rsidTr="00735B78">
        <w:trPr>
          <w:cantSplit/>
          <w:trHeight w:val="1191"/>
        </w:trPr>
        <w:tc>
          <w:tcPr>
            <w:tcW w:w="3780" w:type="dxa"/>
            <w:gridSpan w:val="2"/>
            <w:noWrap/>
            <w:tcMar>
              <w:top w:w="17" w:type="dxa"/>
              <w:left w:w="17" w:type="dxa"/>
              <w:bottom w:w="0" w:type="dxa"/>
              <w:right w:w="17" w:type="dxa"/>
            </w:tcMar>
            <w:vAlign w:val="center"/>
          </w:tcPr>
          <w:p w14:paraId="2F73F531" w14:textId="77777777" w:rsidR="002A1025" w:rsidRPr="00E93126" w:rsidRDefault="002A1025" w:rsidP="00735B78">
            <w:pPr>
              <w:pStyle w:val="ExhibitText"/>
              <w:jc w:val="left"/>
              <w:rPr>
                <w:rFonts w:eastAsia="Arial Unicode MS"/>
                <w:sz w:val="24"/>
                <w:szCs w:val="24"/>
                <w:lang w:val="en-GB"/>
              </w:rPr>
            </w:pPr>
            <w:r w:rsidRPr="00E93126">
              <w:rPr>
                <w:rFonts w:eastAsiaTheme="minorHAnsi"/>
                <w:lang w:val="en-GB"/>
              </w:rPr>
              <w:t>Ind</w:t>
            </w:r>
            <w:r>
              <w:rPr>
                <w:rFonts w:eastAsiaTheme="minorHAnsi"/>
                <w:lang w:val="en-GB"/>
              </w:rPr>
              <w:t xml:space="preserve">onesia </w:t>
            </w:r>
            <w:r w:rsidRPr="00AF475B">
              <w:rPr>
                <w:rFonts w:eastAsiaTheme="minorHAnsi"/>
                <w:bdr w:val="single" w:sz="4" w:space="0" w:color="auto"/>
                <w:lang w:val="en-GB"/>
              </w:rPr>
              <w:t>United Appliances  (1)</w:t>
            </w:r>
          </w:p>
        </w:tc>
        <w:tc>
          <w:tcPr>
            <w:tcW w:w="2880" w:type="dxa"/>
            <w:gridSpan w:val="2"/>
            <w:noWrap/>
            <w:tcMar>
              <w:top w:w="17" w:type="dxa"/>
              <w:left w:w="17" w:type="dxa"/>
              <w:bottom w:w="0" w:type="dxa"/>
              <w:right w:w="17" w:type="dxa"/>
            </w:tcMar>
            <w:vAlign w:val="center"/>
          </w:tcPr>
          <w:p w14:paraId="0E923318" w14:textId="77777777" w:rsidR="002A1025" w:rsidRDefault="002A1025" w:rsidP="00735B78">
            <w:pPr>
              <w:spacing w:after="200"/>
              <w:rPr>
                <w:rFonts w:eastAsia="Arial Unicode MS"/>
                <w:sz w:val="24"/>
                <w:szCs w:val="24"/>
                <w:lang w:val="en-GB"/>
              </w:rPr>
            </w:pPr>
          </w:p>
        </w:tc>
      </w:tr>
      <w:tr w:rsidR="002A1025" w:rsidRPr="00E93126" w14:paraId="79C2D845" w14:textId="77777777" w:rsidTr="00735B78">
        <w:trPr>
          <w:cantSplit/>
          <w:trHeight w:val="1191"/>
        </w:trPr>
        <w:tc>
          <w:tcPr>
            <w:tcW w:w="3780" w:type="dxa"/>
            <w:gridSpan w:val="2"/>
            <w:noWrap/>
            <w:tcMar>
              <w:top w:w="17" w:type="dxa"/>
              <w:left w:w="17" w:type="dxa"/>
              <w:bottom w:w="0" w:type="dxa"/>
              <w:right w:w="17" w:type="dxa"/>
            </w:tcMar>
            <w:vAlign w:val="center"/>
          </w:tcPr>
          <w:p w14:paraId="4803DEFC" w14:textId="77777777" w:rsidR="002A1025" w:rsidRPr="00E93126" w:rsidRDefault="002A1025" w:rsidP="00735B78">
            <w:pPr>
              <w:spacing w:after="200"/>
              <w:rPr>
                <w:rFonts w:eastAsiaTheme="minorHAnsi"/>
                <w:lang w:val="en-GB"/>
              </w:rPr>
            </w:pPr>
          </w:p>
        </w:tc>
        <w:tc>
          <w:tcPr>
            <w:tcW w:w="1530" w:type="dxa"/>
            <w:noWrap/>
            <w:tcMar>
              <w:top w:w="17" w:type="dxa"/>
              <w:left w:w="17" w:type="dxa"/>
              <w:bottom w:w="0" w:type="dxa"/>
              <w:right w:w="17" w:type="dxa"/>
            </w:tcMar>
            <w:vAlign w:val="center"/>
          </w:tcPr>
          <w:p w14:paraId="578E3A05" w14:textId="77777777" w:rsidR="002A1025" w:rsidRPr="00E93126" w:rsidRDefault="002A1025" w:rsidP="00735B78">
            <w:pPr>
              <w:pStyle w:val="ExhibitText"/>
              <w:jc w:val="left"/>
              <w:rPr>
                <w:rFonts w:eastAsiaTheme="minorHAnsi"/>
                <w:lang w:val="en-GB"/>
              </w:rPr>
            </w:pPr>
            <w:r>
              <w:rPr>
                <w:rFonts w:eastAsiaTheme="minorHAnsi"/>
                <w:lang w:val="en-GB"/>
              </w:rPr>
              <w:t>And</w:t>
            </w:r>
            <w:r w:rsidRPr="00E93126">
              <w:rPr>
                <w:rFonts w:eastAsiaTheme="minorHAnsi"/>
                <w:lang w:val="en-GB"/>
              </w:rPr>
              <w:t xml:space="preserve"> Ind</w:t>
            </w:r>
            <w:r>
              <w:rPr>
                <w:rFonts w:eastAsiaTheme="minorHAnsi"/>
                <w:lang w:val="en-GB"/>
              </w:rPr>
              <w:t xml:space="preserve">onesia United Appliances (1) </w:t>
            </w:r>
            <w:r w:rsidRPr="00E93126">
              <w:rPr>
                <w:rFonts w:eastAsiaTheme="minorHAnsi"/>
                <w:lang w:val="en-GB"/>
              </w:rPr>
              <w:t xml:space="preserve"> approx</w:t>
            </w:r>
            <w:r>
              <w:rPr>
                <w:rFonts w:eastAsiaTheme="minorHAnsi"/>
                <w:lang w:val="en-GB"/>
              </w:rPr>
              <w:t>imately</w:t>
            </w:r>
            <w:r w:rsidRPr="00E93126">
              <w:rPr>
                <w:rFonts w:eastAsiaTheme="minorHAnsi"/>
                <w:lang w:val="en-GB"/>
              </w:rPr>
              <w:t xml:space="preserve"> 4 </w:t>
            </w:r>
            <w:r>
              <w:rPr>
                <w:rFonts w:eastAsiaTheme="minorHAnsi"/>
                <w:lang w:val="en-GB"/>
              </w:rPr>
              <w:t>kilometres</w:t>
            </w:r>
          </w:p>
        </w:tc>
        <w:tc>
          <w:tcPr>
            <w:tcW w:w="1350" w:type="dxa"/>
            <w:noWrap/>
            <w:tcMar>
              <w:top w:w="17" w:type="dxa"/>
              <w:left w:w="17" w:type="dxa"/>
              <w:bottom w:w="0" w:type="dxa"/>
              <w:right w:w="17" w:type="dxa"/>
            </w:tcMar>
            <w:vAlign w:val="center"/>
          </w:tcPr>
          <w:p w14:paraId="0654AECE" w14:textId="77777777" w:rsidR="002A1025" w:rsidRPr="00E93126" w:rsidRDefault="002A1025" w:rsidP="00735B78">
            <w:pPr>
              <w:spacing w:after="200"/>
              <w:rPr>
                <w:rFonts w:eastAsia="Arial Unicode MS"/>
                <w:sz w:val="24"/>
                <w:szCs w:val="24"/>
                <w:lang w:val="en-GB"/>
              </w:rPr>
            </w:pPr>
          </w:p>
        </w:tc>
      </w:tr>
    </w:tbl>
    <w:p w14:paraId="1ECEBB9E" w14:textId="77777777" w:rsidR="009B4616" w:rsidRPr="00E93126" w:rsidRDefault="009B4616" w:rsidP="00A8543C">
      <w:pPr>
        <w:pStyle w:val="Footnote"/>
        <w:rPr>
          <w:lang w:val="en-GB"/>
        </w:rPr>
      </w:pPr>
    </w:p>
    <w:p w14:paraId="7C006048" w14:textId="77777777" w:rsidR="009B4616" w:rsidRPr="00E93126" w:rsidRDefault="009B4616" w:rsidP="00A8543C">
      <w:pPr>
        <w:pStyle w:val="Footnote"/>
        <w:rPr>
          <w:lang w:val="en-GB"/>
        </w:rPr>
      </w:pPr>
    </w:p>
    <w:p w14:paraId="357A99BA" w14:textId="77777777" w:rsidR="009B4616" w:rsidRPr="00E93126" w:rsidRDefault="009B4616" w:rsidP="00A8543C">
      <w:pPr>
        <w:pStyle w:val="Footnote"/>
        <w:rPr>
          <w:lang w:val="en-GB"/>
        </w:rPr>
      </w:pPr>
    </w:p>
    <w:p w14:paraId="3B6839E1" w14:textId="77777777" w:rsidR="009B4616" w:rsidRPr="00E93126" w:rsidRDefault="009B4616" w:rsidP="00A8543C">
      <w:pPr>
        <w:pStyle w:val="Footnote"/>
        <w:rPr>
          <w:lang w:val="en-GB"/>
        </w:rPr>
      </w:pPr>
    </w:p>
    <w:p w14:paraId="28814741" w14:textId="77777777" w:rsidR="009B4616" w:rsidRPr="00E93126" w:rsidRDefault="009B4616" w:rsidP="00A8543C">
      <w:pPr>
        <w:pStyle w:val="Footnote"/>
        <w:rPr>
          <w:lang w:val="en-GB"/>
        </w:rPr>
      </w:pPr>
    </w:p>
    <w:p w14:paraId="02974C47" w14:textId="77777777" w:rsidR="009B4616" w:rsidRPr="00E93126" w:rsidRDefault="009B4616" w:rsidP="00A8543C">
      <w:pPr>
        <w:pStyle w:val="Footnote"/>
        <w:rPr>
          <w:lang w:val="en-GB"/>
        </w:rPr>
      </w:pPr>
    </w:p>
    <w:p w14:paraId="0155F419" w14:textId="77777777" w:rsidR="009B4616" w:rsidRPr="00E93126" w:rsidRDefault="009B4616" w:rsidP="00A8543C">
      <w:pPr>
        <w:pStyle w:val="Footnote"/>
        <w:rPr>
          <w:lang w:val="en-GB"/>
        </w:rPr>
      </w:pPr>
    </w:p>
    <w:p w14:paraId="59820E51" w14:textId="77777777" w:rsidR="009B4616" w:rsidRPr="00E93126" w:rsidRDefault="009B4616" w:rsidP="00A8543C">
      <w:pPr>
        <w:pStyle w:val="Footnote"/>
        <w:rPr>
          <w:lang w:val="en-GB"/>
        </w:rPr>
      </w:pPr>
    </w:p>
    <w:p w14:paraId="6D6C22D7" w14:textId="77777777" w:rsidR="009B4616" w:rsidRPr="00E93126" w:rsidRDefault="009B4616" w:rsidP="00A8543C">
      <w:pPr>
        <w:pStyle w:val="Footnote"/>
        <w:rPr>
          <w:lang w:val="en-GB"/>
        </w:rPr>
      </w:pPr>
    </w:p>
    <w:p w14:paraId="68819501" w14:textId="77777777" w:rsidR="009B4616" w:rsidRPr="00E93126" w:rsidRDefault="009B4616" w:rsidP="00A8543C">
      <w:pPr>
        <w:pStyle w:val="Footnote"/>
        <w:rPr>
          <w:lang w:val="en-GB"/>
        </w:rPr>
      </w:pPr>
    </w:p>
    <w:p w14:paraId="4E3E2DCA" w14:textId="77777777" w:rsidR="009B4616" w:rsidRPr="00E93126" w:rsidRDefault="009B4616" w:rsidP="00A8543C">
      <w:pPr>
        <w:pStyle w:val="Footnote"/>
        <w:rPr>
          <w:lang w:val="en-GB"/>
        </w:rPr>
      </w:pPr>
    </w:p>
    <w:p w14:paraId="426F83D6" w14:textId="77777777" w:rsidR="009B4616" w:rsidRPr="00E93126" w:rsidRDefault="009B4616" w:rsidP="00A8543C">
      <w:pPr>
        <w:pStyle w:val="Footnote"/>
        <w:rPr>
          <w:lang w:val="en-GB"/>
        </w:rPr>
      </w:pPr>
    </w:p>
    <w:p w14:paraId="4B218055" w14:textId="77777777" w:rsidR="009B4616" w:rsidRPr="00E93126" w:rsidRDefault="009B4616" w:rsidP="00A8543C">
      <w:pPr>
        <w:pStyle w:val="Footnote"/>
        <w:rPr>
          <w:lang w:val="en-GB"/>
        </w:rPr>
      </w:pPr>
    </w:p>
    <w:p w14:paraId="5F4523AE" w14:textId="77777777" w:rsidR="009B4616" w:rsidRPr="00E93126" w:rsidRDefault="009B4616" w:rsidP="00A8543C">
      <w:pPr>
        <w:pStyle w:val="Footnote"/>
        <w:rPr>
          <w:lang w:val="en-GB"/>
        </w:rPr>
      </w:pPr>
    </w:p>
    <w:p w14:paraId="7A76AC24" w14:textId="77777777" w:rsidR="009B4616" w:rsidRPr="00E93126" w:rsidRDefault="009B4616" w:rsidP="00A8543C">
      <w:pPr>
        <w:pStyle w:val="Footnote"/>
        <w:rPr>
          <w:lang w:val="en-GB"/>
        </w:rPr>
      </w:pPr>
    </w:p>
    <w:p w14:paraId="35B6CA6E" w14:textId="77777777" w:rsidR="009B4616" w:rsidRPr="00E93126" w:rsidRDefault="009B4616" w:rsidP="00A8543C">
      <w:pPr>
        <w:pStyle w:val="Footnote"/>
        <w:rPr>
          <w:lang w:val="en-GB"/>
        </w:rPr>
      </w:pPr>
    </w:p>
    <w:p w14:paraId="4080A06C" w14:textId="77777777" w:rsidR="009B4616" w:rsidRPr="00E93126" w:rsidRDefault="009B4616" w:rsidP="00A8543C">
      <w:pPr>
        <w:pStyle w:val="Footnote"/>
        <w:rPr>
          <w:lang w:val="en-GB"/>
        </w:rPr>
      </w:pPr>
    </w:p>
    <w:p w14:paraId="21972D7F" w14:textId="77777777" w:rsidR="009B4616" w:rsidRPr="00E93126" w:rsidRDefault="009B4616" w:rsidP="00A8543C">
      <w:pPr>
        <w:pStyle w:val="Footnote"/>
        <w:rPr>
          <w:lang w:val="en-GB"/>
        </w:rPr>
      </w:pPr>
    </w:p>
    <w:p w14:paraId="3FB927F2" w14:textId="77777777" w:rsidR="009B4616" w:rsidRPr="00E93126" w:rsidRDefault="009B4616" w:rsidP="00A8543C">
      <w:pPr>
        <w:pStyle w:val="Footnote"/>
        <w:rPr>
          <w:lang w:val="en-GB"/>
        </w:rPr>
      </w:pPr>
    </w:p>
    <w:p w14:paraId="3D3E3B57" w14:textId="77777777" w:rsidR="009B4616" w:rsidRPr="00E93126" w:rsidRDefault="009B4616" w:rsidP="00A8543C">
      <w:pPr>
        <w:pStyle w:val="Footnote"/>
        <w:rPr>
          <w:lang w:val="en-GB"/>
        </w:rPr>
      </w:pPr>
    </w:p>
    <w:p w14:paraId="17775CF0" w14:textId="77777777" w:rsidR="009B4616" w:rsidRPr="00E93126" w:rsidRDefault="009B4616" w:rsidP="00A8543C">
      <w:pPr>
        <w:pStyle w:val="Footnote"/>
        <w:rPr>
          <w:lang w:val="en-GB"/>
        </w:rPr>
      </w:pPr>
    </w:p>
    <w:p w14:paraId="59351EFB" w14:textId="77777777" w:rsidR="009B4616" w:rsidRPr="00E93126" w:rsidRDefault="009B4616" w:rsidP="00A8543C">
      <w:pPr>
        <w:pStyle w:val="Footnote"/>
        <w:rPr>
          <w:lang w:val="en-GB"/>
        </w:rPr>
      </w:pPr>
    </w:p>
    <w:p w14:paraId="65F25B13" w14:textId="77777777" w:rsidR="009B4616" w:rsidRPr="00E93126" w:rsidRDefault="009B4616" w:rsidP="00A8543C">
      <w:pPr>
        <w:pStyle w:val="Footnote"/>
        <w:rPr>
          <w:lang w:val="en-GB"/>
        </w:rPr>
      </w:pPr>
    </w:p>
    <w:p w14:paraId="1D9CC437" w14:textId="77777777" w:rsidR="009B4616" w:rsidRPr="00E93126" w:rsidRDefault="009B4616" w:rsidP="00A8543C">
      <w:pPr>
        <w:pStyle w:val="Footnote"/>
        <w:rPr>
          <w:lang w:val="en-GB"/>
        </w:rPr>
      </w:pPr>
    </w:p>
    <w:p w14:paraId="2220436E" w14:textId="77777777" w:rsidR="009B4616" w:rsidRPr="00E93126" w:rsidRDefault="009B4616" w:rsidP="00A8543C">
      <w:pPr>
        <w:pStyle w:val="Footnote"/>
        <w:rPr>
          <w:lang w:val="en-GB"/>
        </w:rPr>
      </w:pPr>
    </w:p>
    <w:p w14:paraId="4AC79772" w14:textId="77777777" w:rsidR="009B4616" w:rsidRPr="00E93126" w:rsidRDefault="009B4616" w:rsidP="00A8543C">
      <w:pPr>
        <w:pStyle w:val="Footnote"/>
        <w:rPr>
          <w:lang w:val="en-GB"/>
        </w:rPr>
      </w:pPr>
    </w:p>
    <w:p w14:paraId="6609CB00" w14:textId="77777777" w:rsidR="009B4616" w:rsidRPr="00E93126" w:rsidRDefault="009B4616" w:rsidP="00A8543C">
      <w:pPr>
        <w:pStyle w:val="Footnote"/>
        <w:rPr>
          <w:lang w:val="en-GB"/>
        </w:rPr>
      </w:pPr>
    </w:p>
    <w:p w14:paraId="20BDAFFE" w14:textId="77777777" w:rsidR="009B4616" w:rsidRPr="00E93126" w:rsidRDefault="009B4616" w:rsidP="00A8543C">
      <w:pPr>
        <w:pStyle w:val="Footnote"/>
        <w:rPr>
          <w:lang w:val="en-GB"/>
        </w:rPr>
      </w:pPr>
    </w:p>
    <w:p w14:paraId="281579D1" w14:textId="77777777" w:rsidR="009B4616" w:rsidRPr="00E93126" w:rsidRDefault="009B4616" w:rsidP="00A8543C">
      <w:pPr>
        <w:pStyle w:val="Footnote"/>
        <w:rPr>
          <w:lang w:val="en-GB"/>
        </w:rPr>
      </w:pPr>
    </w:p>
    <w:p w14:paraId="5AEF18E5" w14:textId="77777777" w:rsidR="009B4616" w:rsidRPr="00E93126" w:rsidRDefault="009B4616" w:rsidP="00A8543C">
      <w:pPr>
        <w:pStyle w:val="Footnote"/>
        <w:rPr>
          <w:lang w:val="en-GB"/>
        </w:rPr>
      </w:pPr>
    </w:p>
    <w:p w14:paraId="219AFE75" w14:textId="77777777" w:rsidR="009B4616" w:rsidRPr="00E93126" w:rsidRDefault="009B4616" w:rsidP="00A8543C">
      <w:pPr>
        <w:pStyle w:val="Footnote"/>
        <w:rPr>
          <w:lang w:val="en-GB"/>
        </w:rPr>
      </w:pPr>
    </w:p>
    <w:p w14:paraId="52208C3E" w14:textId="77777777" w:rsidR="009B4616" w:rsidRPr="00E93126" w:rsidRDefault="009B4616" w:rsidP="00A8543C">
      <w:pPr>
        <w:pStyle w:val="Footnote"/>
        <w:rPr>
          <w:lang w:val="en-GB"/>
        </w:rPr>
      </w:pPr>
    </w:p>
    <w:p w14:paraId="45B11A23" w14:textId="77777777" w:rsidR="009B4616" w:rsidRPr="00E93126" w:rsidRDefault="009B4616" w:rsidP="00A8543C">
      <w:pPr>
        <w:pStyle w:val="Footnote"/>
        <w:rPr>
          <w:lang w:val="en-GB"/>
        </w:rPr>
      </w:pPr>
    </w:p>
    <w:p w14:paraId="364494F8" w14:textId="77777777" w:rsidR="009B4616" w:rsidRPr="00E93126" w:rsidRDefault="009B4616" w:rsidP="00A8543C">
      <w:pPr>
        <w:pStyle w:val="Footnote"/>
        <w:rPr>
          <w:lang w:val="en-GB"/>
        </w:rPr>
      </w:pPr>
    </w:p>
    <w:p w14:paraId="0013C949" w14:textId="77777777" w:rsidR="009B4616" w:rsidRPr="00E93126" w:rsidRDefault="009B4616" w:rsidP="00A8543C">
      <w:pPr>
        <w:pStyle w:val="Footnote"/>
        <w:rPr>
          <w:lang w:val="en-GB"/>
        </w:rPr>
      </w:pPr>
    </w:p>
    <w:p w14:paraId="121DAB2C" w14:textId="77777777" w:rsidR="009B4616" w:rsidRPr="00E93126" w:rsidRDefault="009B4616" w:rsidP="00A8543C">
      <w:pPr>
        <w:pStyle w:val="Footnote"/>
        <w:rPr>
          <w:lang w:val="en-GB"/>
        </w:rPr>
      </w:pPr>
    </w:p>
    <w:p w14:paraId="173C6C90" w14:textId="77777777" w:rsidR="009B4616" w:rsidRPr="00E93126" w:rsidRDefault="009B4616" w:rsidP="00A8543C">
      <w:pPr>
        <w:pStyle w:val="Footnote"/>
        <w:rPr>
          <w:lang w:val="en-GB"/>
        </w:rPr>
      </w:pPr>
    </w:p>
    <w:p w14:paraId="041D8C94" w14:textId="77777777" w:rsidR="009B4616" w:rsidRPr="00E93126" w:rsidRDefault="009B4616" w:rsidP="00A8543C">
      <w:pPr>
        <w:pStyle w:val="Footnote"/>
        <w:rPr>
          <w:lang w:val="en-GB"/>
        </w:rPr>
      </w:pPr>
    </w:p>
    <w:p w14:paraId="7CA6B6E3" w14:textId="77777777" w:rsidR="009B4616" w:rsidRPr="00E93126" w:rsidRDefault="009B4616" w:rsidP="00A8543C">
      <w:pPr>
        <w:pStyle w:val="Footnote"/>
        <w:rPr>
          <w:lang w:val="en-GB"/>
        </w:rPr>
      </w:pPr>
    </w:p>
    <w:p w14:paraId="22C32828" w14:textId="77777777" w:rsidR="009B4616" w:rsidRPr="00E93126" w:rsidRDefault="009B4616" w:rsidP="00A8543C">
      <w:pPr>
        <w:pStyle w:val="Footnote"/>
        <w:rPr>
          <w:lang w:val="en-GB"/>
        </w:rPr>
      </w:pPr>
    </w:p>
    <w:p w14:paraId="33E85A61" w14:textId="77777777" w:rsidR="009B4616" w:rsidRPr="00E93126" w:rsidRDefault="009B4616" w:rsidP="00A8543C">
      <w:pPr>
        <w:pStyle w:val="Footnote"/>
        <w:rPr>
          <w:lang w:val="en-GB"/>
        </w:rPr>
      </w:pPr>
    </w:p>
    <w:p w14:paraId="73DFF887" w14:textId="77777777" w:rsidR="009B4616" w:rsidRPr="00E93126" w:rsidRDefault="009B4616" w:rsidP="00A8543C">
      <w:pPr>
        <w:pStyle w:val="Footnote"/>
        <w:rPr>
          <w:lang w:val="en-GB"/>
        </w:rPr>
      </w:pPr>
    </w:p>
    <w:p w14:paraId="724E4335" w14:textId="77777777" w:rsidR="009B4616" w:rsidRPr="00E93126" w:rsidRDefault="009B4616" w:rsidP="00A8543C">
      <w:pPr>
        <w:pStyle w:val="Footnote"/>
        <w:rPr>
          <w:lang w:val="en-GB"/>
        </w:rPr>
      </w:pPr>
    </w:p>
    <w:p w14:paraId="3F75454F" w14:textId="77777777" w:rsidR="009B4616" w:rsidRPr="00E93126" w:rsidRDefault="009B4616" w:rsidP="00A8543C">
      <w:pPr>
        <w:pStyle w:val="Footnote"/>
        <w:rPr>
          <w:lang w:val="en-GB"/>
        </w:rPr>
      </w:pPr>
    </w:p>
    <w:p w14:paraId="10F0C7B0" w14:textId="77777777" w:rsidR="009B4616" w:rsidRPr="00E93126" w:rsidRDefault="009B4616" w:rsidP="00A8543C">
      <w:pPr>
        <w:pStyle w:val="Footnote"/>
        <w:rPr>
          <w:lang w:val="en-GB"/>
        </w:rPr>
      </w:pPr>
    </w:p>
    <w:p w14:paraId="00295234" w14:textId="77777777" w:rsidR="009B4616" w:rsidRPr="00E93126" w:rsidRDefault="009B4616" w:rsidP="00A8543C">
      <w:pPr>
        <w:pStyle w:val="Footnote"/>
        <w:rPr>
          <w:lang w:val="en-GB"/>
        </w:rPr>
      </w:pPr>
    </w:p>
    <w:p w14:paraId="4C434F42" w14:textId="77777777" w:rsidR="009B4616" w:rsidRPr="00E93126" w:rsidRDefault="009B4616" w:rsidP="00A8543C">
      <w:pPr>
        <w:pStyle w:val="Footnote"/>
        <w:rPr>
          <w:lang w:val="en-GB"/>
        </w:rPr>
      </w:pPr>
    </w:p>
    <w:p w14:paraId="4D4483EC" w14:textId="77777777" w:rsidR="009B4616" w:rsidRPr="00E93126" w:rsidRDefault="009B4616" w:rsidP="00A8543C">
      <w:pPr>
        <w:pStyle w:val="Footnote"/>
        <w:rPr>
          <w:lang w:val="en-GB"/>
        </w:rPr>
      </w:pPr>
    </w:p>
    <w:p w14:paraId="5885E101" w14:textId="77777777" w:rsidR="009B4616" w:rsidRPr="00E93126" w:rsidRDefault="009B4616" w:rsidP="00A8543C">
      <w:pPr>
        <w:pStyle w:val="Footnote"/>
        <w:rPr>
          <w:lang w:val="en-GB"/>
        </w:rPr>
      </w:pPr>
    </w:p>
    <w:p w14:paraId="2315CF43" w14:textId="77777777" w:rsidR="009B4616" w:rsidRPr="00E93126" w:rsidRDefault="009B4616" w:rsidP="00A8543C">
      <w:pPr>
        <w:pStyle w:val="Footnote"/>
        <w:rPr>
          <w:lang w:val="en-GB"/>
        </w:rPr>
      </w:pPr>
    </w:p>
    <w:p w14:paraId="16BD0666" w14:textId="77777777" w:rsidR="009B4616" w:rsidRPr="00E93126" w:rsidRDefault="009B4616" w:rsidP="00A8543C">
      <w:pPr>
        <w:pStyle w:val="Footnote"/>
        <w:rPr>
          <w:lang w:val="en-GB"/>
        </w:rPr>
      </w:pPr>
    </w:p>
    <w:p w14:paraId="2D5129C9" w14:textId="77777777" w:rsidR="002A1025" w:rsidRDefault="002A1025" w:rsidP="00A8543C">
      <w:pPr>
        <w:pStyle w:val="Footnote"/>
        <w:rPr>
          <w:lang w:val="en-GB"/>
        </w:rPr>
      </w:pPr>
    </w:p>
    <w:p w14:paraId="1DBCCE20" w14:textId="77777777" w:rsidR="002A1025" w:rsidRDefault="002A1025" w:rsidP="00A8543C">
      <w:pPr>
        <w:pStyle w:val="Footnote"/>
        <w:rPr>
          <w:lang w:val="en-GB"/>
        </w:rPr>
      </w:pPr>
    </w:p>
    <w:p w14:paraId="6F3C6DC0" w14:textId="77777777" w:rsidR="002A1025" w:rsidRDefault="002A1025" w:rsidP="00A8543C">
      <w:pPr>
        <w:pStyle w:val="Footnote"/>
        <w:rPr>
          <w:lang w:val="en-GB"/>
        </w:rPr>
      </w:pPr>
    </w:p>
    <w:p w14:paraId="7C4B4D91" w14:textId="77777777" w:rsidR="002A1025" w:rsidRDefault="002A1025" w:rsidP="00A8543C">
      <w:pPr>
        <w:pStyle w:val="Footnote"/>
        <w:rPr>
          <w:lang w:val="en-GB"/>
        </w:rPr>
      </w:pPr>
    </w:p>
    <w:p w14:paraId="6FEBA663" w14:textId="77777777" w:rsidR="002A1025" w:rsidRDefault="002A1025" w:rsidP="00A8543C">
      <w:pPr>
        <w:pStyle w:val="Footnote"/>
        <w:rPr>
          <w:lang w:val="en-GB"/>
        </w:rPr>
      </w:pPr>
    </w:p>
    <w:p w14:paraId="4A115129" w14:textId="77777777" w:rsidR="002A1025" w:rsidRDefault="002A1025" w:rsidP="00A8543C">
      <w:pPr>
        <w:pStyle w:val="Footnote"/>
        <w:rPr>
          <w:lang w:val="en-GB"/>
        </w:rPr>
      </w:pPr>
    </w:p>
    <w:p w14:paraId="42EFBB30" w14:textId="77777777" w:rsidR="002A1025" w:rsidRDefault="002A1025" w:rsidP="002A1025">
      <w:pPr>
        <w:pStyle w:val="ExhibitText"/>
        <w:rPr>
          <w:lang w:val="en-GB"/>
        </w:rPr>
      </w:pPr>
    </w:p>
    <w:p w14:paraId="6CAB2E59" w14:textId="77777777" w:rsidR="006A218B" w:rsidRPr="00E93126" w:rsidRDefault="006A218B" w:rsidP="00A8543C">
      <w:pPr>
        <w:pStyle w:val="Footnote"/>
        <w:rPr>
          <w:lang w:val="en-GB"/>
        </w:rPr>
      </w:pPr>
      <w:r w:rsidRPr="00E93126">
        <w:rPr>
          <w:lang w:val="en-GB"/>
        </w:rPr>
        <w:t xml:space="preserve">Note: Exhibit data </w:t>
      </w:r>
      <w:r w:rsidR="00203E18" w:rsidRPr="00E93126">
        <w:rPr>
          <w:lang w:val="en-GB"/>
        </w:rPr>
        <w:t xml:space="preserve">have </w:t>
      </w:r>
      <w:r w:rsidRPr="00E93126">
        <w:rPr>
          <w:lang w:val="en-GB"/>
        </w:rPr>
        <w:t xml:space="preserve">been </w:t>
      </w:r>
      <w:r w:rsidR="00E45E7F" w:rsidRPr="00E93126">
        <w:rPr>
          <w:lang w:val="en-GB"/>
        </w:rPr>
        <w:t>disguised</w:t>
      </w:r>
      <w:r w:rsidRPr="00E93126">
        <w:rPr>
          <w:lang w:val="en-GB"/>
        </w:rPr>
        <w:t xml:space="preserve"> to protect confidentiality</w:t>
      </w:r>
      <w:r w:rsidR="00B977EB">
        <w:rPr>
          <w:lang w:val="en-GB"/>
        </w:rPr>
        <w:t>.</w:t>
      </w:r>
    </w:p>
    <w:p w14:paraId="7E1E0E7B" w14:textId="77777777" w:rsidR="006A218B" w:rsidRPr="00E93126" w:rsidRDefault="006A218B" w:rsidP="00733495">
      <w:pPr>
        <w:pStyle w:val="Footnote"/>
        <w:outlineLvl w:val="0"/>
        <w:rPr>
          <w:b/>
          <w:lang w:val="en-GB"/>
        </w:rPr>
      </w:pPr>
      <w:r w:rsidRPr="00E93126">
        <w:rPr>
          <w:lang w:val="en-GB"/>
        </w:rPr>
        <w:t>Source: Created by</w:t>
      </w:r>
      <w:r w:rsidR="00B977EB">
        <w:rPr>
          <w:lang w:val="en-GB"/>
        </w:rPr>
        <w:t xml:space="preserve"> the case</w:t>
      </w:r>
      <w:r w:rsidRPr="00E93126">
        <w:rPr>
          <w:lang w:val="en-GB"/>
        </w:rPr>
        <w:t xml:space="preserve"> author based on company documents.</w:t>
      </w:r>
      <w:r w:rsidRPr="00E93126">
        <w:rPr>
          <w:b/>
          <w:sz w:val="24"/>
          <w:szCs w:val="24"/>
          <w:lang w:val="en-GB"/>
        </w:rPr>
        <w:br w:type="page"/>
      </w:r>
    </w:p>
    <w:p w14:paraId="621E7227" w14:textId="77777777" w:rsidR="006A218B" w:rsidRPr="00E93126" w:rsidRDefault="006A218B" w:rsidP="009B4616">
      <w:pPr>
        <w:pStyle w:val="ExhibitHeading"/>
        <w:rPr>
          <w:rFonts w:eastAsiaTheme="minorHAnsi"/>
          <w:lang w:val="en-GB"/>
        </w:rPr>
      </w:pPr>
      <w:r w:rsidRPr="00E93126">
        <w:rPr>
          <w:rFonts w:eastAsiaTheme="minorHAnsi"/>
          <w:lang w:val="en-GB"/>
        </w:rPr>
        <w:lastRenderedPageBreak/>
        <w:t xml:space="preserve">EXHIBIT 3: </w:t>
      </w:r>
      <w:r w:rsidR="00203E18" w:rsidRPr="00E93126">
        <w:rPr>
          <w:rFonts w:eastAsiaTheme="minorHAnsi"/>
          <w:lang w:val="en-GB"/>
        </w:rPr>
        <w:t>a</w:t>
      </w:r>
      <w:r w:rsidR="005A7B8C">
        <w:rPr>
          <w:rFonts w:eastAsiaTheme="minorHAnsi"/>
          <w:lang w:val="en-GB"/>
        </w:rPr>
        <w:t>ir conditioner</w:t>
      </w:r>
      <w:r w:rsidR="00203E18" w:rsidRPr="00E93126">
        <w:rPr>
          <w:rFonts w:eastAsiaTheme="minorHAnsi"/>
          <w:lang w:val="en-GB"/>
        </w:rPr>
        <w:t xml:space="preserve"> </w:t>
      </w:r>
      <w:r w:rsidRPr="00E93126">
        <w:rPr>
          <w:rFonts w:eastAsiaTheme="minorHAnsi"/>
          <w:lang w:val="en-GB"/>
        </w:rPr>
        <w:t xml:space="preserve">SALES </w:t>
      </w:r>
      <w:r w:rsidR="00F46603" w:rsidRPr="00E93126">
        <w:rPr>
          <w:rFonts w:eastAsiaTheme="minorHAnsi"/>
          <w:lang w:val="en-GB"/>
        </w:rPr>
        <w:t xml:space="preserve">at </w:t>
      </w:r>
      <w:r w:rsidRPr="00E93126">
        <w:rPr>
          <w:rFonts w:eastAsiaTheme="minorHAnsi"/>
          <w:lang w:val="en-GB"/>
        </w:rPr>
        <w:t xml:space="preserve">DENPASAR </w:t>
      </w:r>
      <w:r w:rsidR="00203E18" w:rsidRPr="00E93126">
        <w:rPr>
          <w:rFonts w:eastAsiaTheme="minorHAnsi"/>
          <w:lang w:val="en-GB"/>
        </w:rPr>
        <w:t xml:space="preserve">and </w:t>
      </w:r>
      <w:r w:rsidRPr="00E93126">
        <w:rPr>
          <w:rFonts w:eastAsiaTheme="minorHAnsi"/>
          <w:lang w:val="en-GB"/>
        </w:rPr>
        <w:t>BALI MARKET</w:t>
      </w:r>
      <w:r w:rsidR="00203E18" w:rsidRPr="00E93126">
        <w:rPr>
          <w:rFonts w:eastAsiaTheme="minorHAnsi"/>
          <w:lang w:val="en-GB"/>
        </w:rPr>
        <w:t>s</w:t>
      </w:r>
      <w:r w:rsidR="00F46603" w:rsidRPr="00E93126">
        <w:rPr>
          <w:rFonts w:eastAsiaTheme="minorHAnsi"/>
          <w:lang w:val="en-GB"/>
        </w:rPr>
        <w:t>,</w:t>
      </w:r>
      <w:r w:rsidRPr="00E93126">
        <w:rPr>
          <w:rFonts w:eastAsiaTheme="minorHAnsi"/>
          <w:lang w:val="en-GB"/>
        </w:rPr>
        <w:t xml:space="preserve"> </w:t>
      </w:r>
      <w:r w:rsidR="00203E18" w:rsidRPr="00E93126">
        <w:rPr>
          <w:rFonts w:eastAsiaTheme="minorHAnsi"/>
          <w:lang w:val="en-GB"/>
        </w:rPr>
        <w:t xml:space="preserve">by dealer and Brand, </w:t>
      </w:r>
      <w:r w:rsidRPr="00E93126">
        <w:rPr>
          <w:rFonts w:eastAsiaTheme="minorHAnsi"/>
          <w:lang w:val="en-GB"/>
        </w:rPr>
        <w:t>2015</w:t>
      </w:r>
      <w:r w:rsidR="00F46603" w:rsidRPr="00E93126">
        <w:rPr>
          <w:rFonts w:eastAsiaTheme="minorHAnsi"/>
          <w:lang w:val="en-GB"/>
        </w:rPr>
        <w:t>–2017</w:t>
      </w:r>
    </w:p>
    <w:p w14:paraId="450E2A8B" w14:textId="77777777" w:rsidR="009B4616" w:rsidRPr="00E93126" w:rsidRDefault="009B4616" w:rsidP="009B4616">
      <w:pPr>
        <w:pStyle w:val="ExhibitText"/>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990"/>
        <w:gridCol w:w="1170"/>
        <w:gridCol w:w="990"/>
        <w:gridCol w:w="1013"/>
        <w:gridCol w:w="900"/>
        <w:gridCol w:w="900"/>
        <w:gridCol w:w="967"/>
      </w:tblGrid>
      <w:tr w:rsidR="006A218B" w:rsidRPr="00E93126" w14:paraId="2B96ABB2" w14:textId="77777777" w:rsidTr="00C54D8C">
        <w:trPr>
          <w:jc w:val="center"/>
        </w:trPr>
        <w:tc>
          <w:tcPr>
            <w:tcW w:w="2205" w:type="dxa"/>
            <w:shd w:val="clear" w:color="auto" w:fill="auto"/>
            <w:noWrap/>
            <w:vAlign w:val="center"/>
            <w:hideMark/>
          </w:tcPr>
          <w:p w14:paraId="4B82F14F" w14:textId="77777777" w:rsidR="006A218B" w:rsidRPr="00E93126" w:rsidRDefault="006A218B" w:rsidP="009B4616">
            <w:pPr>
              <w:pStyle w:val="ExhibitText"/>
              <w:jc w:val="left"/>
              <w:rPr>
                <w:lang w:val="en-GB"/>
              </w:rPr>
            </w:pPr>
            <w:r w:rsidRPr="00E93126">
              <w:rPr>
                <w:b/>
                <w:lang w:val="en-GB"/>
              </w:rPr>
              <w:t>2017</w:t>
            </w:r>
          </w:p>
        </w:tc>
        <w:tc>
          <w:tcPr>
            <w:tcW w:w="990" w:type="dxa"/>
            <w:shd w:val="clear" w:color="auto" w:fill="auto"/>
            <w:noWrap/>
            <w:vAlign w:val="center"/>
            <w:hideMark/>
          </w:tcPr>
          <w:p w14:paraId="7970433B" w14:textId="77777777" w:rsidR="006A218B" w:rsidRPr="00B53995" w:rsidRDefault="006A218B" w:rsidP="00B53995">
            <w:pPr>
              <w:pStyle w:val="ExhibitText"/>
              <w:jc w:val="center"/>
              <w:rPr>
                <w:b/>
                <w:lang w:val="en-GB"/>
              </w:rPr>
            </w:pPr>
            <w:proofErr w:type="spellStart"/>
            <w:r w:rsidRPr="00B53995">
              <w:rPr>
                <w:b/>
                <w:lang w:val="en-GB"/>
              </w:rPr>
              <w:t>Fairdeal</w:t>
            </w:r>
            <w:proofErr w:type="spellEnd"/>
          </w:p>
        </w:tc>
        <w:tc>
          <w:tcPr>
            <w:tcW w:w="1170" w:type="dxa"/>
            <w:shd w:val="clear" w:color="auto" w:fill="auto"/>
            <w:noWrap/>
            <w:vAlign w:val="center"/>
            <w:hideMark/>
          </w:tcPr>
          <w:p w14:paraId="62D01EF9" w14:textId="77777777" w:rsidR="006A218B" w:rsidRPr="00B53995" w:rsidRDefault="006A218B" w:rsidP="00B53995">
            <w:pPr>
              <w:pStyle w:val="ExhibitText"/>
              <w:jc w:val="center"/>
              <w:rPr>
                <w:b/>
                <w:lang w:val="en-GB"/>
              </w:rPr>
            </w:pPr>
            <w:proofErr w:type="spellStart"/>
            <w:r w:rsidRPr="00B53995">
              <w:rPr>
                <w:b/>
                <w:lang w:val="en-GB"/>
              </w:rPr>
              <w:t>Technica</w:t>
            </w:r>
            <w:proofErr w:type="spellEnd"/>
          </w:p>
        </w:tc>
        <w:tc>
          <w:tcPr>
            <w:tcW w:w="990" w:type="dxa"/>
            <w:shd w:val="clear" w:color="auto" w:fill="auto"/>
            <w:noWrap/>
            <w:vAlign w:val="center"/>
            <w:hideMark/>
          </w:tcPr>
          <w:p w14:paraId="65413010" w14:textId="77777777" w:rsidR="006A218B" w:rsidRPr="00B53995" w:rsidRDefault="006A218B" w:rsidP="00B53995">
            <w:pPr>
              <w:pStyle w:val="ExhibitText"/>
              <w:jc w:val="center"/>
              <w:rPr>
                <w:b/>
                <w:lang w:val="en-GB"/>
              </w:rPr>
            </w:pPr>
            <w:r w:rsidRPr="00B53995">
              <w:rPr>
                <w:b/>
                <w:lang w:val="en-GB"/>
              </w:rPr>
              <w:t>GOLDY</w:t>
            </w:r>
          </w:p>
        </w:tc>
        <w:tc>
          <w:tcPr>
            <w:tcW w:w="1013" w:type="dxa"/>
            <w:shd w:val="clear" w:color="auto" w:fill="auto"/>
            <w:noWrap/>
            <w:vAlign w:val="center"/>
            <w:hideMark/>
          </w:tcPr>
          <w:p w14:paraId="10DDCE73" w14:textId="50CB401A" w:rsidR="006A218B" w:rsidRPr="00B53995" w:rsidRDefault="00C54D8C" w:rsidP="00B53995">
            <w:pPr>
              <w:pStyle w:val="ExhibitText"/>
              <w:jc w:val="center"/>
              <w:rPr>
                <w:b/>
                <w:lang w:val="en-GB"/>
              </w:rPr>
            </w:pPr>
            <w:r>
              <w:rPr>
                <w:b/>
                <w:lang w:val="en-GB"/>
              </w:rPr>
              <w:t xml:space="preserve">Smart </w:t>
            </w:r>
            <w:r w:rsidR="006A218B" w:rsidRPr="00B53995">
              <w:rPr>
                <w:b/>
                <w:lang w:val="en-GB"/>
              </w:rPr>
              <w:t>Line</w:t>
            </w:r>
          </w:p>
        </w:tc>
        <w:tc>
          <w:tcPr>
            <w:tcW w:w="900" w:type="dxa"/>
            <w:shd w:val="clear" w:color="auto" w:fill="auto"/>
            <w:noWrap/>
            <w:vAlign w:val="center"/>
            <w:hideMark/>
          </w:tcPr>
          <w:p w14:paraId="2845D630" w14:textId="77777777" w:rsidR="006A218B" w:rsidRPr="00B53995" w:rsidRDefault="006A218B" w:rsidP="00B53995">
            <w:pPr>
              <w:pStyle w:val="ExhibitText"/>
              <w:jc w:val="center"/>
              <w:rPr>
                <w:b/>
                <w:lang w:val="en-GB"/>
              </w:rPr>
            </w:pPr>
            <w:r w:rsidRPr="00B53995">
              <w:rPr>
                <w:b/>
                <w:lang w:val="en-GB"/>
              </w:rPr>
              <w:t>Harlem</w:t>
            </w:r>
          </w:p>
        </w:tc>
        <w:tc>
          <w:tcPr>
            <w:tcW w:w="900" w:type="dxa"/>
            <w:shd w:val="clear" w:color="auto" w:fill="auto"/>
            <w:noWrap/>
            <w:vAlign w:val="center"/>
            <w:hideMark/>
          </w:tcPr>
          <w:p w14:paraId="1A36C30F" w14:textId="77777777" w:rsidR="006A218B" w:rsidRPr="00B53995" w:rsidRDefault="006A218B" w:rsidP="00B53995">
            <w:pPr>
              <w:pStyle w:val="ExhibitText"/>
              <w:jc w:val="center"/>
              <w:rPr>
                <w:b/>
                <w:lang w:val="en-GB"/>
              </w:rPr>
            </w:pPr>
            <w:r w:rsidRPr="00B53995">
              <w:rPr>
                <w:b/>
                <w:lang w:val="en-GB"/>
              </w:rPr>
              <w:t>Others</w:t>
            </w:r>
          </w:p>
        </w:tc>
        <w:tc>
          <w:tcPr>
            <w:tcW w:w="967" w:type="dxa"/>
            <w:shd w:val="clear" w:color="auto" w:fill="auto"/>
            <w:noWrap/>
            <w:vAlign w:val="center"/>
            <w:hideMark/>
          </w:tcPr>
          <w:p w14:paraId="41E5E533" w14:textId="77777777" w:rsidR="006A218B" w:rsidRPr="00B53995" w:rsidRDefault="006A218B" w:rsidP="00B53995">
            <w:pPr>
              <w:pStyle w:val="ExhibitText"/>
              <w:jc w:val="center"/>
              <w:rPr>
                <w:b/>
                <w:lang w:val="en-GB"/>
              </w:rPr>
            </w:pPr>
            <w:r w:rsidRPr="00B53995">
              <w:rPr>
                <w:b/>
                <w:lang w:val="en-GB"/>
              </w:rPr>
              <w:t>Total</w:t>
            </w:r>
          </w:p>
        </w:tc>
      </w:tr>
      <w:tr w:rsidR="006A218B" w:rsidRPr="00E93126" w14:paraId="1295F27C" w14:textId="77777777" w:rsidTr="00C54D8C">
        <w:trPr>
          <w:jc w:val="center"/>
        </w:trPr>
        <w:tc>
          <w:tcPr>
            <w:tcW w:w="2205" w:type="dxa"/>
            <w:shd w:val="clear" w:color="auto" w:fill="auto"/>
            <w:noWrap/>
            <w:vAlign w:val="center"/>
            <w:hideMark/>
          </w:tcPr>
          <w:p w14:paraId="4E45A128" w14:textId="77777777" w:rsidR="006A218B" w:rsidRPr="00E93126" w:rsidRDefault="006A218B" w:rsidP="00733495">
            <w:pPr>
              <w:pStyle w:val="ExhibitText"/>
              <w:jc w:val="left"/>
              <w:rPr>
                <w:lang w:val="en-GB"/>
              </w:rPr>
            </w:pPr>
            <w:r w:rsidRPr="00E93126">
              <w:rPr>
                <w:lang w:val="en-GB"/>
              </w:rPr>
              <w:t>Abdul Electronics</w:t>
            </w:r>
          </w:p>
        </w:tc>
        <w:tc>
          <w:tcPr>
            <w:tcW w:w="990" w:type="dxa"/>
            <w:shd w:val="clear" w:color="auto" w:fill="auto"/>
            <w:noWrap/>
            <w:vAlign w:val="center"/>
            <w:hideMark/>
          </w:tcPr>
          <w:p w14:paraId="60445F09"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900</w:t>
            </w:r>
          </w:p>
        </w:tc>
        <w:tc>
          <w:tcPr>
            <w:tcW w:w="1170" w:type="dxa"/>
            <w:shd w:val="clear" w:color="auto" w:fill="auto"/>
            <w:noWrap/>
            <w:vAlign w:val="center"/>
            <w:hideMark/>
          </w:tcPr>
          <w:p w14:paraId="39FEBE80" w14:textId="77777777" w:rsidR="006A218B" w:rsidRPr="00E93126" w:rsidRDefault="006A218B" w:rsidP="009B4616">
            <w:pPr>
              <w:pStyle w:val="ExhibitText"/>
              <w:jc w:val="right"/>
              <w:rPr>
                <w:lang w:val="en-GB"/>
              </w:rPr>
            </w:pPr>
            <w:r w:rsidRPr="00E93126">
              <w:rPr>
                <w:lang w:val="en-GB"/>
              </w:rPr>
              <w:t>0</w:t>
            </w:r>
          </w:p>
        </w:tc>
        <w:tc>
          <w:tcPr>
            <w:tcW w:w="990" w:type="dxa"/>
            <w:shd w:val="clear" w:color="auto" w:fill="auto"/>
            <w:noWrap/>
            <w:vAlign w:val="center"/>
            <w:hideMark/>
          </w:tcPr>
          <w:p w14:paraId="7CDF135B"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800</w:t>
            </w:r>
          </w:p>
        </w:tc>
        <w:tc>
          <w:tcPr>
            <w:tcW w:w="1013" w:type="dxa"/>
            <w:shd w:val="clear" w:color="auto" w:fill="auto"/>
            <w:noWrap/>
            <w:vAlign w:val="center"/>
            <w:hideMark/>
          </w:tcPr>
          <w:p w14:paraId="14F6889E" w14:textId="77777777" w:rsidR="006A218B" w:rsidRPr="00E93126" w:rsidRDefault="006A218B" w:rsidP="009B4616">
            <w:pPr>
              <w:pStyle w:val="ExhibitText"/>
              <w:jc w:val="right"/>
              <w:rPr>
                <w:lang w:val="en-GB"/>
              </w:rPr>
            </w:pPr>
            <w:r w:rsidRPr="00E93126">
              <w:rPr>
                <w:lang w:val="en-GB"/>
              </w:rPr>
              <w:t>750</w:t>
            </w:r>
          </w:p>
        </w:tc>
        <w:tc>
          <w:tcPr>
            <w:tcW w:w="900" w:type="dxa"/>
            <w:shd w:val="clear" w:color="auto" w:fill="auto"/>
            <w:noWrap/>
            <w:vAlign w:val="center"/>
            <w:hideMark/>
          </w:tcPr>
          <w:p w14:paraId="50E3C0EE" w14:textId="77777777" w:rsidR="006A218B" w:rsidRPr="00E93126" w:rsidRDefault="006A218B" w:rsidP="009B4616">
            <w:pPr>
              <w:pStyle w:val="ExhibitText"/>
              <w:jc w:val="right"/>
              <w:rPr>
                <w:lang w:val="en-GB"/>
              </w:rPr>
            </w:pPr>
            <w:r w:rsidRPr="00E93126">
              <w:rPr>
                <w:lang w:val="en-GB"/>
              </w:rPr>
              <w:t>600</w:t>
            </w:r>
          </w:p>
        </w:tc>
        <w:tc>
          <w:tcPr>
            <w:tcW w:w="900" w:type="dxa"/>
            <w:shd w:val="clear" w:color="auto" w:fill="auto"/>
            <w:noWrap/>
            <w:vAlign w:val="center"/>
            <w:hideMark/>
          </w:tcPr>
          <w:p w14:paraId="4C6D58C1" w14:textId="77777777" w:rsidR="006A218B" w:rsidRPr="00E93126" w:rsidRDefault="006A218B" w:rsidP="009B4616">
            <w:pPr>
              <w:pStyle w:val="ExhibitText"/>
              <w:jc w:val="right"/>
              <w:rPr>
                <w:lang w:val="en-GB"/>
              </w:rPr>
            </w:pPr>
            <w:r w:rsidRPr="00E93126">
              <w:rPr>
                <w:lang w:val="en-GB"/>
              </w:rPr>
              <w:t>400</w:t>
            </w:r>
          </w:p>
        </w:tc>
        <w:tc>
          <w:tcPr>
            <w:tcW w:w="967" w:type="dxa"/>
            <w:shd w:val="clear" w:color="auto" w:fill="auto"/>
            <w:noWrap/>
            <w:vAlign w:val="center"/>
            <w:hideMark/>
          </w:tcPr>
          <w:p w14:paraId="19F2CC57" w14:textId="77777777" w:rsidR="006A218B" w:rsidRPr="00E93126" w:rsidRDefault="006A218B" w:rsidP="009B4616">
            <w:pPr>
              <w:pStyle w:val="ExhibitText"/>
              <w:jc w:val="right"/>
              <w:rPr>
                <w:lang w:val="en-GB"/>
              </w:rPr>
            </w:pPr>
            <w:r w:rsidRPr="00E93126">
              <w:rPr>
                <w:lang w:val="en-GB"/>
              </w:rPr>
              <w:t>6</w:t>
            </w:r>
            <w:r w:rsidR="00BC426A" w:rsidRPr="00E93126">
              <w:rPr>
                <w:lang w:val="en-GB"/>
              </w:rPr>
              <w:t>,</w:t>
            </w:r>
            <w:r w:rsidRPr="00E93126">
              <w:rPr>
                <w:lang w:val="en-GB"/>
              </w:rPr>
              <w:t>450</w:t>
            </w:r>
          </w:p>
        </w:tc>
      </w:tr>
      <w:tr w:rsidR="006A218B" w:rsidRPr="00E93126" w14:paraId="0DBBD096" w14:textId="77777777" w:rsidTr="00C54D8C">
        <w:trPr>
          <w:jc w:val="center"/>
        </w:trPr>
        <w:tc>
          <w:tcPr>
            <w:tcW w:w="2205" w:type="dxa"/>
            <w:shd w:val="clear" w:color="auto" w:fill="auto"/>
            <w:noWrap/>
            <w:vAlign w:val="center"/>
            <w:hideMark/>
          </w:tcPr>
          <w:p w14:paraId="1D844076" w14:textId="77777777" w:rsidR="006A218B" w:rsidRPr="00E93126" w:rsidRDefault="006A218B" w:rsidP="00733495">
            <w:pPr>
              <w:pStyle w:val="ExhibitText"/>
              <w:jc w:val="left"/>
              <w:rPr>
                <w:lang w:val="en-GB"/>
              </w:rPr>
            </w:pPr>
            <w:r w:rsidRPr="00E93126">
              <w:rPr>
                <w:lang w:val="en-GB"/>
              </w:rPr>
              <w:t>Spectrum</w:t>
            </w:r>
            <w:r w:rsidR="00355FCD" w:rsidRPr="00E93126">
              <w:rPr>
                <w:lang w:val="en-GB"/>
              </w:rPr>
              <w:t xml:space="preserve"> Electronics</w:t>
            </w:r>
          </w:p>
        </w:tc>
        <w:tc>
          <w:tcPr>
            <w:tcW w:w="990" w:type="dxa"/>
            <w:shd w:val="clear" w:color="auto" w:fill="auto"/>
            <w:noWrap/>
            <w:vAlign w:val="center"/>
            <w:hideMark/>
          </w:tcPr>
          <w:p w14:paraId="75A9B84B"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0B1015C0"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500</w:t>
            </w:r>
          </w:p>
        </w:tc>
        <w:tc>
          <w:tcPr>
            <w:tcW w:w="990" w:type="dxa"/>
            <w:shd w:val="clear" w:color="auto" w:fill="auto"/>
            <w:noWrap/>
            <w:vAlign w:val="center"/>
            <w:hideMark/>
          </w:tcPr>
          <w:p w14:paraId="031F2E03"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500</w:t>
            </w:r>
          </w:p>
        </w:tc>
        <w:tc>
          <w:tcPr>
            <w:tcW w:w="1013" w:type="dxa"/>
            <w:shd w:val="clear" w:color="auto" w:fill="auto"/>
            <w:noWrap/>
            <w:vAlign w:val="center"/>
            <w:hideMark/>
          </w:tcPr>
          <w:p w14:paraId="5E34D299"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00" w:type="dxa"/>
            <w:shd w:val="clear" w:color="auto" w:fill="auto"/>
            <w:noWrap/>
            <w:vAlign w:val="center"/>
            <w:hideMark/>
          </w:tcPr>
          <w:p w14:paraId="2B80298D"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6EC6DB44"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67" w:type="dxa"/>
            <w:shd w:val="clear" w:color="auto" w:fill="auto"/>
            <w:noWrap/>
            <w:vAlign w:val="center"/>
            <w:hideMark/>
          </w:tcPr>
          <w:p w14:paraId="5DD69FC2" w14:textId="77777777" w:rsidR="006A218B" w:rsidRPr="00E93126" w:rsidRDefault="006A218B" w:rsidP="009B4616">
            <w:pPr>
              <w:pStyle w:val="ExhibitText"/>
              <w:jc w:val="right"/>
              <w:rPr>
                <w:lang w:val="en-GB"/>
              </w:rPr>
            </w:pPr>
            <w:r w:rsidRPr="00E93126">
              <w:rPr>
                <w:lang w:val="en-GB"/>
              </w:rPr>
              <w:t>6</w:t>
            </w:r>
            <w:r w:rsidR="00BC426A" w:rsidRPr="00E93126">
              <w:rPr>
                <w:lang w:val="en-GB"/>
              </w:rPr>
              <w:t>,</w:t>
            </w:r>
            <w:r w:rsidRPr="00E93126">
              <w:rPr>
                <w:lang w:val="en-GB"/>
              </w:rPr>
              <w:t>000</w:t>
            </w:r>
          </w:p>
        </w:tc>
      </w:tr>
      <w:tr w:rsidR="006A218B" w:rsidRPr="00E93126" w14:paraId="0D616A77" w14:textId="77777777" w:rsidTr="00C54D8C">
        <w:trPr>
          <w:jc w:val="center"/>
        </w:trPr>
        <w:tc>
          <w:tcPr>
            <w:tcW w:w="2205" w:type="dxa"/>
            <w:shd w:val="clear" w:color="auto" w:fill="auto"/>
            <w:noWrap/>
            <w:vAlign w:val="center"/>
            <w:hideMark/>
          </w:tcPr>
          <w:p w14:paraId="793DCEAC" w14:textId="77777777" w:rsidR="006A218B" w:rsidRPr="00E93126" w:rsidRDefault="006A218B" w:rsidP="00355FCD">
            <w:pPr>
              <w:pStyle w:val="ExhibitText"/>
              <w:jc w:val="left"/>
              <w:rPr>
                <w:lang w:val="en-GB"/>
              </w:rPr>
            </w:pPr>
            <w:r w:rsidRPr="00E93126">
              <w:rPr>
                <w:lang w:val="en-GB"/>
              </w:rPr>
              <w:t>Ind</w:t>
            </w:r>
            <w:r w:rsidR="00753BFB" w:rsidRPr="00E93126">
              <w:rPr>
                <w:lang w:val="en-GB"/>
              </w:rPr>
              <w:t>onesia</w:t>
            </w:r>
            <w:r w:rsidR="00355FCD" w:rsidRPr="00E93126">
              <w:rPr>
                <w:lang w:val="en-GB"/>
              </w:rPr>
              <w:t xml:space="preserve"> United Appliances</w:t>
            </w:r>
          </w:p>
        </w:tc>
        <w:tc>
          <w:tcPr>
            <w:tcW w:w="990" w:type="dxa"/>
            <w:shd w:val="clear" w:color="auto" w:fill="auto"/>
            <w:noWrap/>
            <w:vAlign w:val="center"/>
            <w:hideMark/>
          </w:tcPr>
          <w:p w14:paraId="532EA7ED"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3FED0A49" w14:textId="77777777" w:rsidR="006A218B" w:rsidRPr="00E93126" w:rsidRDefault="006A218B" w:rsidP="009B4616">
            <w:pPr>
              <w:pStyle w:val="ExhibitText"/>
              <w:jc w:val="right"/>
              <w:rPr>
                <w:lang w:val="en-GB"/>
              </w:rPr>
            </w:pPr>
            <w:r w:rsidRPr="00E93126">
              <w:rPr>
                <w:lang w:val="en-GB"/>
              </w:rPr>
              <w:t>3</w:t>
            </w:r>
            <w:r w:rsidR="00BC426A" w:rsidRPr="00E93126">
              <w:rPr>
                <w:lang w:val="en-GB"/>
              </w:rPr>
              <w:t>,</w:t>
            </w:r>
            <w:r w:rsidRPr="00E93126">
              <w:rPr>
                <w:lang w:val="en-GB"/>
              </w:rPr>
              <w:t>500</w:t>
            </w:r>
          </w:p>
        </w:tc>
        <w:tc>
          <w:tcPr>
            <w:tcW w:w="990" w:type="dxa"/>
            <w:shd w:val="clear" w:color="auto" w:fill="auto"/>
            <w:noWrap/>
            <w:vAlign w:val="center"/>
            <w:hideMark/>
          </w:tcPr>
          <w:p w14:paraId="03B06E89"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000</w:t>
            </w:r>
          </w:p>
        </w:tc>
        <w:tc>
          <w:tcPr>
            <w:tcW w:w="1013" w:type="dxa"/>
            <w:shd w:val="clear" w:color="auto" w:fill="auto"/>
            <w:noWrap/>
            <w:vAlign w:val="center"/>
            <w:hideMark/>
          </w:tcPr>
          <w:p w14:paraId="228D3358" w14:textId="77777777" w:rsidR="006A218B" w:rsidRPr="00E93126" w:rsidRDefault="006A218B" w:rsidP="009B4616">
            <w:pPr>
              <w:pStyle w:val="ExhibitText"/>
              <w:jc w:val="right"/>
              <w:rPr>
                <w:lang w:val="en-GB"/>
              </w:rPr>
            </w:pPr>
            <w:r w:rsidRPr="00E93126">
              <w:rPr>
                <w:lang w:val="en-GB"/>
              </w:rPr>
              <w:t>850</w:t>
            </w:r>
          </w:p>
        </w:tc>
        <w:tc>
          <w:tcPr>
            <w:tcW w:w="900" w:type="dxa"/>
            <w:shd w:val="clear" w:color="auto" w:fill="auto"/>
            <w:noWrap/>
            <w:vAlign w:val="center"/>
            <w:hideMark/>
          </w:tcPr>
          <w:p w14:paraId="1DF78BF1"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00" w:type="dxa"/>
            <w:shd w:val="clear" w:color="auto" w:fill="auto"/>
            <w:noWrap/>
            <w:vAlign w:val="center"/>
            <w:hideMark/>
          </w:tcPr>
          <w:p w14:paraId="3CC04F47"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67" w:type="dxa"/>
            <w:shd w:val="clear" w:color="auto" w:fill="auto"/>
            <w:noWrap/>
            <w:vAlign w:val="center"/>
            <w:hideMark/>
          </w:tcPr>
          <w:p w14:paraId="38AE2F82" w14:textId="77777777" w:rsidR="006A218B" w:rsidRPr="00E93126" w:rsidRDefault="006A218B" w:rsidP="009B4616">
            <w:pPr>
              <w:pStyle w:val="ExhibitText"/>
              <w:jc w:val="right"/>
              <w:rPr>
                <w:lang w:val="en-GB"/>
              </w:rPr>
            </w:pPr>
            <w:r w:rsidRPr="00E93126">
              <w:rPr>
                <w:lang w:val="en-GB"/>
              </w:rPr>
              <w:t>8</w:t>
            </w:r>
            <w:r w:rsidR="00BC426A" w:rsidRPr="00E93126">
              <w:rPr>
                <w:lang w:val="en-GB"/>
              </w:rPr>
              <w:t>,</w:t>
            </w:r>
            <w:r w:rsidRPr="00E93126">
              <w:rPr>
                <w:lang w:val="en-GB"/>
              </w:rPr>
              <w:t>350</w:t>
            </w:r>
          </w:p>
        </w:tc>
      </w:tr>
      <w:tr w:rsidR="006A218B" w:rsidRPr="00E93126" w14:paraId="51818C58" w14:textId="77777777" w:rsidTr="00C54D8C">
        <w:trPr>
          <w:jc w:val="center"/>
        </w:trPr>
        <w:tc>
          <w:tcPr>
            <w:tcW w:w="2205" w:type="dxa"/>
            <w:shd w:val="clear" w:color="auto" w:fill="auto"/>
            <w:noWrap/>
            <w:vAlign w:val="center"/>
            <w:hideMark/>
          </w:tcPr>
          <w:p w14:paraId="6D3E21B5" w14:textId="77777777" w:rsidR="006A218B" w:rsidRPr="00E93126" w:rsidRDefault="006A218B" w:rsidP="00733495">
            <w:pPr>
              <w:pStyle w:val="ExhibitText"/>
              <w:jc w:val="left"/>
              <w:rPr>
                <w:lang w:val="en-GB"/>
              </w:rPr>
            </w:pPr>
            <w:r w:rsidRPr="00E93126">
              <w:rPr>
                <w:lang w:val="en-GB"/>
              </w:rPr>
              <w:t>Northeast</w:t>
            </w:r>
            <w:r w:rsidR="00355FCD" w:rsidRPr="00E93126">
              <w:rPr>
                <w:lang w:val="en-GB"/>
              </w:rPr>
              <w:t xml:space="preserve"> Electronics</w:t>
            </w:r>
          </w:p>
        </w:tc>
        <w:tc>
          <w:tcPr>
            <w:tcW w:w="990" w:type="dxa"/>
            <w:shd w:val="clear" w:color="auto" w:fill="auto"/>
            <w:noWrap/>
            <w:vAlign w:val="center"/>
            <w:hideMark/>
          </w:tcPr>
          <w:p w14:paraId="03A00BBA"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1170" w:type="dxa"/>
            <w:shd w:val="clear" w:color="auto" w:fill="auto"/>
            <w:noWrap/>
            <w:vAlign w:val="center"/>
            <w:hideMark/>
          </w:tcPr>
          <w:p w14:paraId="2DEE927F"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500</w:t>
            </w:r>
          </w:p>
        </w:tc>
        <w:tc>
          <w:tcPr>
            <w:tcW w:w="990" w:type="dxa"/>
            <w:shd w:val="clear" w:color="auto" w:fill="auto"/>
            <w:noWrap/>
            <w:vAlign w:val="center"/>
            <w:hideMark/>
          </w:tcPr>
          <w:p w14:paraId="3476E742"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000</w:t>
            </w:r>
          </w:p>
        </w:tc>
        <w:tc>
          <w:tcPr>
            <w:tcW w:w="1013" w:type="dxa"/>
            <w:shd w:val="clear" w:color="auto" w:fill="auto"/>
            <w:noWrap/>
            <w:vAlign w:val="center"/>
            <w:hideMark/>
          </w:tcPr>
          <w:p w14:paraId="50928FA4" w14:textId="77777777" w:rsidR="006A218B" w:rsidRPr="00E93126" w:rsidRDefault="006A218B" w:rsidP="009B4616">
            <w:pPr>
              <w:pStyle w:val="ExhibitText"/>
              <w:jc w:val="right"/>
              <w:rPr>
                <w:lang w:val="en-GB"/>
              </w:rPr>
            </w:pPr>
            <w:r w:rsidRPr="00E93126">
              <w:rPr>
                <w:lang w:val="en-GB"/>
              </w:rPr>
              <w:t>700</w:t>
            </w:r>
          </w:p>
        </w:tc>
        <w:tc>
          <w:tcPr>
            <w:tcW w:w="900" w:type="dxa"/>
            <w:shd w:val="clear" w:color="auto" w:fill="auto"/>
            <w:noWrap/>
            <w:vAlign w:val="center"/>
            <w:hideMark/>
          </w:tcPr>
          <w:p w14:paraId="219D570E"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00" w:type="dxa"/>
            <w:shd w:val="clear" w:color="auto" w:fill="auto"/>
            <w:noWrap/>
            <w:vAlign w:val="center"/>
            <w:hideMark/>
          </w:tcPr>
          <w:p w14:paraId="2C216AB6" w14:textId="77777777" w:rsidR="006A218B" w:rsidRPr="00E93126" w:rsidRDefault="006A218B" w:rsidP="009B4616">
            <w:pPr>
              <w:pStyle w:val="ExhibitText"/>
              <w:jc w:val="right"/>
              <w:rPr>
                <w:lang w:val="en-GB"/>
              </w:rPr>
            </w:pPr>
            <w:r w:rsidRPr="00E93126">
              <w:rPr>
                <w:lang w:val="en-GB"/>
              </w:rPr>
              <w:t>100</w:t>
            </w:r>
          </w:p>
        </w:tc>
        <w:tc>
          <w:tcPr>
            <w:tcW w:w="967" w:type="dxa"/>
            <w:shd w:val="clear" w:color="auto" w:fill="auto"/>
            <w:noWrap/>
            <w:vAlign w:val="center"/>
            <w:hideMark/>
          </w:tcPr>
          <w:p w14:paraId="19078B8E" w14:textId="77777777" w:rsidR="006A218B" w:rsidRPr="00E93126" w:rsidRDefault="006A218B" w:rsidP="009B4616">
            <w:pPr>
              <w:pStyle w:val="ExhibitText"/>
              <w:jc w:val="right"/>
              <w:rPr>
                <w:lang w:val="en-GB"/>
              </w:rPr>
            </w:pPr>
            <w:r w:rsidRPr="00E93126">
              <w:rPr>
                <w:lang w:val="en-GB"/>
              </w:rPr>
              <w:t>6</w:t>
            </w:r>
            <w:r w:rsidR="00BC426A" w:rsidRPr="00E93126">
              <w:rPr>
                <w:lang w:val="en-GB"/>
              </w:rPr>
              <w:t>,</w:t>
            </w:r>
            <w:r w:rsidRPr="00E93126">
              <w:rPr>
                <w:lang w:val="en-GB"/>
              </w:rPr>
              <w:t>300</w:t>
            </w:r>
          </w:p>
        </w:tc>
      </w:tr>
      <w:tr w:rsidR="006A218B" w:rsidRPr="00E93126" w14:paraId="5E1412A4" w14:textId="77777777" w:rsidTr="00C54D8C">
        <w:trPr>
          <w:jc w:val="center"/>
        </w:trPr>
        <w:tc>
          <w:tcPr>
            <w:tcW w:w="2205" w:type="dxa"/>
            <w:shd w:val="clear" w:color="auto" w:fill="auto"/>
            <w:noWrap/>
            <w:vAlign w:val="center"/>
            <w:hideMark/>
          </w:tcPr>
          <w:p w14:paraId="71F1E9ED" w14:textId="77777777" w:rsidR="006A218B" w:rsidRPr="00E93126" w:rsidRDefault="006A218B" w:rsidP="00733495">
            <w:pPr>
              <w:pStyle w:val="ExhibitText"/>
              <w:jc w:val="left"/>
              <w:rPr>
                <w:lang w:val="en-GB"/>
              </w:rPr>
            </w:pPr>
            <w:r w:rsidRPr="00E93126">
              <w:rPr>
                <w:lang w:val="en-GB"/>
              </w:rPr>
              <w:t>Vision Electronics</w:t>
            </w:r>
          </w:p>
        </w:tc>
        <w:tc>
          <w:tcPr>
            <w:tcW w:w="990" w:type="dxa"/>
            <w:shd w:val="clear" w:color="auto" w:fill="auto"/>
            <w:noWrap/>
            <w:vAlign w:val="center"/>
            <w:hideMark/>
          </w:tcPr>
          <w:p w14:paraId="68A820C2"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14FD8F77"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200</w:t>
            </w:r>
          </w:p>
        </w:tc>
        <w:tc>
          <w:tcPr>
            <w:tcW w:w="990" w:type="dxa"/>
            <w:shd w:val="clear" w:color="auto" w:fill="auto"/>
            <w:noWrap/>
            <w:vAlign w:val="center"/>
            <w:hideMark/>
          </w:tcPr>
          <w:p w14:paraId="5E758BAA" w14:textId="77777777" w:rsidR="006A218B" w:rsidRPr="00E93126" w:rsidRDefault="006A218B" w:rsidP="009B4616">
            <w:pPr>
              <w:pStyle w:val="ExhibitText"/>
              <w:jc w:val="right"/>
              <w:rPr>
                <w:lang w:val="en-GB"/>
              </w:rPr>
            </w:pPr>
            <w:r w:rsidRPr="00E93126">
              <w:rPr>
                <w:lang w:val="en-GB"/>
              </w:rPr>
              <w:t>3</w:t>
            </w:r>
            <w:r w:rsidR="00BC426A" w:rsidRPr="00E93126">
              <w:rPr>
                <w:lang w:val="en-GB"/>
              </w:rPr>
              <w:t>,</w:t>
            </w:r>
            <w:r w:rsidRPr="00E93126">
              <w:rPr>
                <w:lang w:val="en-GB"/>
              </w:rPr>
              <w:t>000</w:t>
            </w:r>
          </w:p>
        </w:tc>
        <w:tc>
          <w:tcPr>
            <w:tcW w:w="1013" w:type="dxa"/>
            <w:shd w:val="clear" w:color="auto" w:fill="auto"/>
            <w:noWrap/>
            <w:vAlign w:val="center"/>
            <w:hideMark/>
          </w:tcPr>
          <w:p w14:paraId="5E7BE4E1" w14:textId="77777777" w:rsidR="006A218B" w:rsidRPr="00E93126" w:rsidRDefault="006A218B" w:rsidP="009B4616">
            <w:pPr>
              <w:pStyle w:val="ExhibitText"/>
              <w:jc w:val="right"/>
              <w:rPr>
                <w:lang w:val="en-GB"/>
              </w:rPr>
            </w:pPr>
            <w:r w:rsidRPr="00E93126">
              <w:rPr>
                <w:lang w:val="en-GB"/>
              </w:rPr>
              <w:t>500</w:t>
            </w:r>
          </w:p>
        </w:tc>
        <w:tc>
          <w:tcPr>
            <w:tcW w:w="900" w:type="dxa"/>
            <w:shd w:val="clear" w:color="auto" w:fill="auto"/>
            <w:noWrap/>
            <w:vAlign w:val="center"/>
            <w:hideMark/>
          </w:tcPr>
          <w:p w14:paraId="520869B3"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27CBC954" w14:textId="77777777" w:rsidR="006A218B" w:rsidRPr="00E93126" w:rsidRDefault="006A218B" w:rsidP="009B4616">
            <w:pPr>
              <w:pStyle w:val="ExhibitText"/>
              <w:jc w:val="right"/>
              <w:rPr>
                <w:lang w:val="en-GB"/>
              </w:rPr>
            </w:pPr>
            <w:r w:rsidRPr="00E93126">
              <w:rPr>
                <w:lang w:val="en-GB"/>
              </w:rPr>
              <w:t>0</w:t>
            </w:r>
          </w:p>
        </w:tc>
        <w:tc>
          <w:tcPr>
            <w:tcW w:w="967" w:type="dxa"/>
            <w:shd w:val="clear" w:color="auto" w:fill="auto"/>
            <w:noWrap/>
            <w:vAlign w:val="center"/>
            <w:hideMark/>
          </w:tcPr>
          <w:p w14:paraId="4FF75210" w14:textId="77777777" w:rsidR="006A218B" w:rsidRPr="00E93126" w:rsidRDefault="006A218B" w:rsidP="009B4616">
            <w:pPr>
              <w:pStyle w:val="ExhibitText"/>
              <w:jc w:val="right"/>
              <w:rPr>
                <w:lang w:val="en-GB"/>
              </w:rPr>
            </w:pPr>
            <w:r w:rsidRPr="00E93126">
              <w:rPr>
                <w:lang w:val="en-GB"/>
              </w:rPr>
              <w:t>5</w:t>
            </w:r>
            <w:r w:rsidR="00BC426A" w:rsidRPr="00E93126">
              <w:rPr>
                <w:lang w:val="en-GB"/>
              </w:rPr>
              <w:t>,</w:t>
            </w:r>
            <w:r w:rsidRPr="00E93126">
              <w:rPr>
                <w:lang w:val="en-GB"/>
              </w:rPr>
              <w:t>700</w:t>
            </w:r>
          </w:p>
        </w:tc>
      </w:tr>
      <w:tr w:rsidR="006A218B" w:rsidRPr="00E93126" w14:paraId="29170C46" w14:textId="77777777" w:rsidTr="00C54D8C">
        <w:trPr>
          <w:jc w:val="center"/>
        </w:trPr>
        <w:tc>
          <w:tcPr>
            <w:tcW w:w="2205" w:type="dxa"/>
            <w:shd w:val="clear" w:color="auto" w:fill="auto"/>
            <w:noWrap/>
            <w:vAlign w:val="center"/>
            <w:hideMark/>
          </w:tcPr>
          <w:p w14:paraId="431C0DD2" w14:textId="77777777" w:rsidR="006A218B" w:rsidRPr="00E93126" w:rsidRDefault="006A218B" w:rsidP="009B4616">
            <w:pPr>
              <w:pStyle w:val="ExhibitText"/>
              <w:jc w:val="left"/>
              <w:rPr>
                <w:lang w:val="en-GB"/>
              </w:rPr>
            </w:pPr>
            <w:r w:rsidRPr="00E93126">
              <w:rPr>
                <w:lang w:val="en-GB"/>
              </w:rPr>
              <w:t>Rahman Sales</w:t>
            </w:r>
          </w:p>
        </w:tc>
        <w:tc>
          <w:tcPr>
            <w:tcW w:w="990" w:type="dxa"/>
            <w:shd w:val="clear" w:color="auto" w:fill="auto"/>
            <w:noWrap/>
            <w:vAlign w:val="center"/>
            <w:hideMark/>
          </w:tcPr>
          <w:p w14:paraId="264B0EE0"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200</w:t>
            </w:r>
          </w:p>
        </w:tc>
        <w:tc>
          <w:tcPr>
            <w:tcW w:w="1170" w:type="dxa"/>
            <w:shd w:val="clear" w:color="auto" w:fill="auto"/>
            <w:noWrap/>
            <w:vAlign w:val="center"/>
            <w:hideMark/>
          </w:tcPr>
          <w:p w14:paraId="28867C32" w14:textId="77777777" w:rsidR="006A218B" w:rsidRPr="00E93126" w:rsidRDefault="006A218B" w:rsidP="009B4616">
            <w:pPr>
              <w:pStyle w:val="ExhibitText"/>
              <w:jc w:val="right"/>
              <w:rPr>
                <w:lang w:val="en-GB"/>
              </w:rPr>
            </w:pPr>
            <w:r w:rsidRPr="00E93126">
              <w:rPr>
                <w:lang w:val="en-GB"/>
              </w:rPr>
              <w:t>0</w:t>
            </w:r>
          </w:p>
        </w:tc>
        <w:tc>
          <w:tcPr>
            <w:tcW w:w="990" w:type="dxa"/>
            <w:shd w:val="clear" w:color="auto" w:fill="auto"/>
            <w:noWrap/>
            <w:vAlign w:val="center"/>
            <w:hideMark/>
          </w:tcPr>
          <w:p w14:paraId="4A575551"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000</w:t>
            </w:r>
          </w:p>
        </w:tc>
        <w:tc>
          <w:tcPr>
            <w:tcW w:w="1013" w:type="dxa"/>
            <w:shd w:val="clear" w:color="auto" w:fill="auto"/>
            <w:noWrap/>
            <w:vAlign w:val="center"/>
            <w:hideMark/>
          </w:tcPr>
          <w:p w14:paraId="1370E563" w14:textId="77777777" w:rsidR="006A218B" w:rsidRPr="00E93126" w:rsidRDefault="006A218B" w:rsidP="009B4616">
            <w:pPr>
              <w:pStyle w:val="ExhibitText"/>
              <w:jc w:val="right"/>
              <w:rPr>
                <w:lang w:val="en-GB"/>
              </w:rPr>
            </w:pPr>
            <w:r w:rsidRPr="00E93126">
              <w:rPr>
                <w:lang w:val="en-GB"/>
              </w:rPr>
              <w:t>700</w:t>
            </w:r>
          </w:p>
        </w:tc>
        <w:tc>
          <w:tcPr>
            <w:tcW w:w="900" w:type="dxa"/>
            <w:shd w:val="clear" w:color="auto" w:fill="auto"/>
            <w:noWrap/>
            <w:vAlign w:val="center"/>
            <w:hideMark/>
          </w:tcPr>
          <w:p w14:paraId="6D1CBC16"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02688FE2" w14:textId="77777777" w:rsidR="006A218B" w:rsidRPr="00E93126" w:rsidRDefault="006A218B" w:rsidP="009B4616">
            <w:pPr>
              <w:pStyle w:val="ExhibitText"/>
              <w:jc w:val="right"/>
              <w:rPr>
                <w:lang w:val="en-GB"/>
              </w:rPr>
            </w:pPr>
            <w:r w:rsidRPr="00E93126">
              <w:rPr>
                <w:lang w:val="en-GB"/>
              </w:rPr>
              <w:t>800</w:t>
            </w:r>
          </w:p>
        </w:tc>
        <w:tc>
          <w:tcPr>
            <w:tcW w:w="967" w:type="dxa"/>
            <w:shd w:val="clear" w:color="auto" w:fill="auto"/>
            <w:noWrap/>
            <w:vAlign w:val="center"/>
            <w:hideMark/>
          </w:tcPr>
          <w:p w14:paraId="00647632" w14:textId="77777777" w:rsidR="006A218B" w:rsidRPr="00E93126" w:rsidRDefault="006A218B" w:rsidP="009B4616">
            <w:pPr>
              <w:pStyle w:val="ExhibitText"/>
              <w:jc w:val="right"/>
              <w:rPr>
                <w:lang w:val="en-GB"/>
              </w:rPr>
            </w:pPr>
            <w:r w:rsidRPr="00E93126">
              <w:rPr>
                <w:lang w:val="en-GB"/>
              </w:rPr>
              <w:t>4</w:t>
            </w:r>
            <w:r w:rsidR="00BC426A" w:rsidRPr="00E93126">
              <w:rPr>
                <w:lang w:val="en-GB"/>
              </w:rPr>
              <w:t>,</w:t>
            </w:r>
            <w:r w:rsidRPr="00E93126">
              <w:rPr>
                <w:lang w:val="en-GB"/>
              </w:rPr>
              <w:t>700</w:t>
            </w:r>
          </w:p>
        </w:tc>
      </w:tr>
      <w:tr w:rsidR="006A218B" w:rsidRPr="00E93126" w14:paraId="7B010DA8" w14:textId="77777777" w:rsidTr="00C54D8C">
        <w:trPr>
          <w:jc w:val="center"/>
        </w:trPr>
        <w:tc>
          <w:tcPr>
            <w:tcW w:w="2205" w:type="dxa"/>
            <w:shd w:val="clear" w:color="auto" w:fill="auto"/>
            <w:noWrap/>
            <w:vAlign w:val="center"/>
            <w:hideMark/>
          </w:tcPr>
          <w:p w14:paraId="743E9510" w14:textId="77777777" w:rsidR="006A218B" w:rsidRPr="00E93126" w:rsidRDefault="006A218B" w:rsidP="009B4616">
            <w:pPr>
              <w:pStyle w:val="ExhibitText"/>
              <w:jc w:val="left"/>
              <w:rPr>
                <w:lang w:val="en-GB"/>
              </w:rPr>
            </w:pPr>
            <w:r w:rsidRPr="00E93126">
              <w:rPr>
                <w:lang w:val="en-GB"/>
              </w:rPr>
              <w:t>Others</w:t>
            </w:r>
          </w:p>
        </w:tc>
        <w:tc>
          <w:tcPr>
            <w:tcW w:w="990" w:type="dxa"/>
            <w:shd w:val="clear" w:color="auto" w:fill="auto"/>
            <w:noWrap/>
            <w:vAlign w:val="center"/>
            <w:hideMark/>
          </w:tcPr>
          <w:p w14:paraId="1FE98D3C" w14:textId="77777777" w:rsidR="006A218B" w:rsidRPr="00E93126" w:rsidRDefault="006A218B" w:rsidP="009B4616">
            <w:pPr>
              <w:pStyle w:val="ExhibitText"/>
              <w:jc w:val="right"/>
              <w:rPr>
                <w:lang w:val="en-GB"/>
              </w:rPr>
            </w:pPr>
            <w:r w:rsidRPr="00E93126">
              <w:rPr>
                <w:lang w:val="en-GB"/>
              </w:rPr>
              <w:t>500</w:t>
            </w:r>
          </w:p>
        </w:tc>
        <w:tc>
          <w:tcPr>
            <w:tcW w:w="1170" w:type="dxa"/>
            <w:shd w:val="clear" w:color="auto" w:fill="auto"/>
            <w:noWrap/>
            <w:vAlign w:val="center"/>
            <w:hideMark/>
          </w:tcPr>
          <w:p w14:paraId="5DDC0B8A"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200</w:t>
            </w:r>
          </w:p>
        </w:tc>
        <w:tc>
          <w:tcPr>
            <w:tcW w:w="990" w:type="dxa"/>
            <w:shd w:val="clear" w:color="auto" w:fill="auto"/>
            <w:noWrap/>
            <w:vAlign w:val="center"/>
            <w:hideMark/>
          </w:tcPr>
          <w:p w14:paraId="5DB397AE"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000</w:t>
            </w:r>
          </w:p>
        </w:tc>
        <w:tc>
          <w:tcPr>
            <w:tcW w:w="1013" w:type="dxa"/>
            <w:shd w:val="clear" w:color="auto" w:fill="auto"/>
            <w:noWrap/>
            <w:vAlign w:val="center"/>
            <w:hideMark/>
          </w:tcPr>
          <w:p w14:paraId="4DCED34A"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200</w:t>
            </w:r>
          </w:p>
        </w:tc>
        <w:tc>
          <w:tcPr>
            <w:tcW w:w="900" w:type="dxa"/>
            <w:shd w:val="clear" w:color="auto" w:fill="auto"/>
            <w:noWrap/>
            <w:vAlign w:val="center"/>
            <w:hideMark/>
          </w:tcPr>
          <w:p w14:paraId="128C9900"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200</w:t>
            </w:r>
          </w:p>
        </w:tc>
        <w:tc>
          <w:tcPr>
            <w:tcW w:w="900" w:type="dxa"/>
            <w:shd w:val="clear" w:color="auto" w:fill="auto"/>
            <w:noWrap/>
            <w:vAlign w:val="center"/>
            <w:hideMark/>
          </w:tcPr>
          <w:p w14:paraId="36D643AE" w14:textId="77777777" w:rsidR="006A218B" w:rsidRPr="00E93126" w:rsidRDefault="006A218B" w:rsidP="009B4616">
            <w:pPr>
              <w:pStyle w:val="ExhibitText"/>
              <w:jc w:val="right"/>
              <w:rPr>
                <w:lang w:val="en-GB"/>
              </w:rPr>
            </w:pPr>
            <w:r w:rsidRPr="00E93126">
              <w:rPr>
                <w:lang w:val="en-GB"/>
              </w:rPr>
              <w:t>500</w:t>
            </w:r>
          </w:p>
        </w:tc>
        <w:tc>
          <w:tcPr>
            <w:tcW w:w="967" w:type="dxa"/>
            <w:shd w:val="clear" w:color="auto" w:fill="auto"/>
            <w:noWrap/>
            <w:vAlign w:val="center"/>
            <w:hideMark/>
          </w:tcPr>
          <w:p w14:paraId="54EF4A45" w14:textId="77777777" w:rsidR="006A218B" w:rsidRPr="00E93126" w:rsidRDefault="006A218B" w:rsidP="009B4616">
            <w:pPr>
              <w:pStyle w:val="ExhibitText"/>
              <w:jc w:val="right"/>
              <w:rPr>
                <w:lang w:val="en-GB"/>
              </w:rPr>
            </w:pPr>
            <w:r w:rsidRPr="00E93126">
              <w:rPr>
                <w:lang w:val="en-GB"/>
              </w:rPr>
              <w:t>7</w:t>
            </w:r>
            <w:r w:rsidR="00BC426A" w:rsidRPr="00E93126">
              <w:rPr>
                <w:lang w:val="en-GB"/>
              </w:rPr>
              <w:t>,</w:t>
            </w:r>
            <w:r w:rsidRPr="00E93126">
              <w:rPr>
                <w:lang w:val="en-GB"/>
              </w:rPr>
              <w:t>600</w:t>
            </w:r>
          </w:p>
        </w:tc>
      </w:tr>
      <w:tr w:rsidR="006A218B" w:rsidRPr="00E93126" w14:paraId="33D126D5" w14:textId="77777777" w:rsidTr="00C54D8C">
        <w:trPr>
          <w:jc w:val="center"/>
        </w:trPr>
        <w:tc>
          <w:tcPr>
            <w:tcW w:w="2205" w:type="dxa"/>
            <w:shd w:val="clear" w:color="auto" w:fill="auto"/>
            <w:noWrap/>
            <w:vAlign w:val="center"/>
            <w:hideMark/>
          </w:tcPr>
          <w:p w14:paraId="7275E901" w14:textId="77777777" w:rsidR="006A218B" w:rsidRPr="00E93126" w:rsidRDefault="006A218B" w:rsidP="009B4616">
            <w:pPr>
              <w:pStyle w:val="ExhibitText"/>
              <w:jc w:val="left"/>
              <w:rPr>
                <w:b/>
                <w:bCs/>
                <w:lang w:val="en-GB"/>
              </w:rPr>
            </w:pPr>
            <w:r w:rsidRPr="00E93126">
              <w:rPr>
                <w:b/>
                <w:bCs/>
                <w:lang w:val="en-GB"/>
              </w:rPr>
              <w:t>Total Denpasar</w:t>
            </w:r>
          </w:p>
        </w:tc>
        <w:tc>
          <w:tcPr>
            <w:tcW w:w="990" w:type="dxa"/>
            <w:shd w:val="clear" w:color="auto" w:fill="auto"/>
            <w:noWrap/>
            <w:vAlign w:val="center"/>
            <w:hideMark/>
          </w:tcPr>
          <w:p w14:paraId="3078B8AF" w14:textId="77777777" w:rsidR="006A218B" w:rsidRPr="00E93126" w:rsidRDefault="006A218B" w:rsidP="009B4616">
            <w:pPr>
              <w:pStyle w:val="ExhibitText"/>
              <w:jc w:val="right"/>
              <w:rPr>
                <w:bCs/>
                <w:lang w:val="en-GB"/>
              </w:rPr>
            </w:pPr>
            <w:r w:rsidRPr="00E93126">
              <w:rPr>
                <w:bCs/>
                <w:lang w:val="en-GB"/>
              </w:rPr>
              <w:t>5</w:t>
            </w:r>
            <w:r w:rsidR="00BC426A" w:rsidRPr="00E93126">
              <w:rPr>
                <w:bCs/>
                <w:lang w:val="en-GB"/>
              </w:rPr>
              <w:t>,</w:t>
            </w:r>
            <w:r w:rsidRPr="00E93126">
              <w:rPr>
                <w:bCs/>
                <w:lang w:val="en-GB"/>
              </w:rPr>
              <w:t>600</w:t>
            </w:r>
          </w:p>
        </w:tc>
        <w:tc>
          <w:tcPr>
            <w:tcW w:w="1170" w:type="dxa"/>
            <w:shd w:val="clear" w:color="auto" w:fill="auto"/>
            <w:noWrap/>
            <w:vAlign w:val="center"/>
            <w:hideMark/>
          </w:tcPr>
          <w:p w14:paraId="2251EC04" w14:textId="77777777" w:rsidR="006A218B" w:rsidRPr="00E93126" w:rsidRDefault="006A218B" w:rsidP="009B4616">
            <w:pPr>
              <w:pStyle w:val="ExhibitText"/>
              <w:jc w:val="right"/>
              <w:rPr>
                <w:bCs/>
                <w:lang w:val="en-GB"/>
              </w:rPr>
            </w:pPr>
            <w:r w:rsidRPr="00E93126">
              <w:rPr>
                <w:bCs/>
                <w:lang w:val="en-GB"/>
              </w:rPr>
              <w:t>9</w:t>
            </w:r>
            <w:r w:rsidR="00BC426A" w:rsidRPr="00E93126">
              <w:rPr>
                <w:bCs/>
                <w:lang w:val="en-GB"/>
              </w:rPr>
              <w:t>,</w:t>
            </w:r>
            <w:r w:rsidRPr="00E93126">
              <w:rPr>
                <w:bCs/>
                <w:lang w:val="en-GB"/>
              </w:rPr>
              <w:t>900</w:t>
            </w:r>
          </w:p>
        </w:tc>
        <w:tc>
          <w:tcPr>
            <w:tcW w:w="990" w:type="dxa"/>
            <w:shd w:val="clear" w:color="auto" w:fill="auto"/>
            <w:noWrap/>
            <w:vAlign w:val="center"/>
            <w:hideMark/>
          </w:tcPr>
          <w:p w14:paraId="3BD81225" w14:textId="77777777" w:rsidR="006A218B" w:rsidRPr="00E93126" w:rsidRDefault="006A218B" w:rsidP="009B4616">
            <w:pPr>
              <w:pStyle w:val="ExhibitText"/>
              <w:jc w:val="right"/>
              <w:rPr>
                <w:bCs/>
                <w:lang w:val="en-GB"/>
              </w:rPr>
            </w:pPr>
            <w:r w:rsidRPr="00E93126">
              <w:rPr>
                <w:bCs/>
                <w:lang w:val="en-GB"/>
              </w:rPr>
              <w:t>15</w:t>
            </w:r>
            <w:r w:rsidR="00BC426A" w:rsidRPr="00E93126">
              <w:rPr>
                <w:bCs/>
                <w:lang w:val="en-GB"/>
              </w:rPr>
              <w:t>,</w:t>
            </w:r>
            <w:r w:rsidRPr="00E93126">
              <w:rPr>
                <w:bCs/>
                <w:lang w:val="en-GB"/>
              </w:rPr>
              <w:t>300</w:t>
            </w:r>
          </w:p>
        </w:tc>
        <w:tc>
          <w:tcPr>
            <w:tcW w:w="1013" w:type="dxa"/>
            <w:shd w:val="clear" w:color="auto" w:fill="auto"/>
            <w:noWrap/>
            <w:vAlign w:val="center"/>
            <w:hideMark/>
          </w:tcPr>
          <w:p w14:paraId="6B3CF439" w14:textId="77777777" w:rsidR="006A218B" w:rsidRPr="00E93126" w:rsidRDefault="006A218B" w:rsidP="009B4616">
            <w:pPr>
              <w:pStyle w:val="ExhibitText"/>
              <w:jc w:val="right"/>
              <w:rPr>
                <w:bCs/>
                <w:lang w:val="en-GB"/>
              </w:rPr>
            </w:pPr>
            <w:r w:rsidRPr="00E93126">
              <w:rPr>
                <w:bCs/>
                <w:lang w:val="en-GB"/>
              </w:rPr>
              <w:t>6</w:t>
            </w:r>
            <w:r w:rsidR="00BC426A" w:rsidRPr="00E93126">
              <w:rPr>
                <w:bCs/>
                <w:lang w:val="en-GB"/>
              </w:rPr>
              <w:t>,</w:t>
            </w:r>
            <w:r w:rsidRPr="00E93126">
              <w:rPr>
                <w:bCs/>
                <w:lang w:val="en-GB"/>
              </w:rPr>
              <w:t>700</w:t>
            </w:r>
          </w:p>
        </w:tc>
        <w:tc>
          <w:tcPr>
            <w:tcW w:w="900" w:type="dxa"/>
            <w:shd w:val="clear" w:color="auto" w:fill="auto"/>
            <w:noWrap/>
            <w:vAlign w:val="center"/>
            <w:hideMark/>
          </w:tcPr>
          <w:p w14:paraId="1C72264C" w14:textId="77777777" w:rsidR="006A218B" w:rsidRPr="00E93126" w:rsidRDefault="006A218B" w:rsidP="009B4616">
            <w:pPr>
              <w:pStyle w:val="ExhibitText"/>
              <w:jc w:val="right"/>
              <w:rPr>
                <w:bCs/>
                <w:lang w:val="en-GB"/>
              </w:rPr>
            </w:pPr>
            <w:r w:rsidRPr="00E93126">
              <w:rPr>
                <w:bCs/>
                <w:lang w:val="en-GB"/>
              </w:rPr>
              <w:t>3</w:t>
            </w:r>
            <w:r w:rsidR="00BC426A" w:rsidRPr="00E93126">
              <w:rPr>
                <w:bCs/>
                <w:lang w:val="en-GB"/>
              </w:rPr>
              <w:t>,</w:t>
            </w:r>
            <w:r w:rsidRPr="00E93126">
              <w:rPr>
                <w:bCs/>
                <w:lang w:val="en-GB"/>
              </w:rPr>
              <w:t>800</w:t>
            </w:r>
          </w:p>
        </w:tc>
        <w:tc>
          <w:tcPr>
            <w:tcW w:w="900" w:type="dxa"/>
            <w:shd w:val="clear" w:color="auto" w:fill="auto"/>
            <w:noWrap/>
            <w:vAlign w:val="center"/>
            <w:hideMark/>
          </w:tcPr>
          <w:p w14:paraId="6233E130" w14:textId="77777777" w:rsidR="006A218B" w:rsidRPr="00E93126" w:rsidRDefault="006A218B" w:rsidP="009B4616">
            <w:pPr>
              <w:pStyle w:val="ExhibitText"/>
              <w:jc w:val="right"/>
              <w:rPr>
                <w:bCs/>
                <w:lang w:val="en-GB"/>
              </w:rPr>
            </w:pPr>
            <w:r w:rsidRPr="00E93126">
              <w:rPr>
                <w:bCs/>
                <w:lang w:val="en-GB"/>
              </w:rPr>
              <w:t>3</w:t>
            </w:r>
            <w:r w:rsidR="00BC426A" w:rsidRPr="00E93126">
              <w:rPr>
                <w:bCs/>
                <w:lang w:val="en-GB"/>
              </w:rPr>
              <w:t>,</w:t>
            </w:r>
            <w:r w:rsidRPr="00E93126">
              <w:rPr>
                <w:bCs/>
                <w:lang w:val="en-GB"/>
              </w:rPr>
              <w:t>800</w:t>
            </w:r>
          </w:p>
        </w:tc>
        <w:tc>
          <w:tcPr>
            <w:tcW w:w="967" w:type="dxa"/>
            <w:shd w:val="clear" w:color="auto" w:fill="auto"/>
            <w:noWrap/>
            <w:vAlign w:val="center"/>
            <w:hideMark/>
          </w:tcPr>
          <w:p w14:paraId="7B52D563" w14:textId="77777777" w:rsidR="006A218B" w:rsidRPr="00E93126" w:rsidRDefault="006A218B" w:rsidP="009B4616">
            <w:pPr>
              <w:pStyle w:val="ExhibitText"/>
              <w:jc w:val="right"/>
              <w:rPr>
                <w:lang w:val="en-GB"/>
              </w:rPr>
            </w:pPr>
            <w:r w:rsidRPr="00E93126">
              <w:rPr>
                <w:lang w:val="en-GB"/>
              </w:rPr>
              <w:t>45</w:t>
            </w:r>
            <w:r w:rsidR="00BC426A" w:rsidRPr="00E93126">
              <w:rPr>
                <w:lang w:val="en-GB"/>
              </w:rPr>
              <w:t>,</w:t>
            </w:r>
            <w:r w:rsidRPr="00E93126">
              <w:rPr>
                <w:lang w:val="en-GB"/>
              </w:rPr>
              <w:t>100</w:t>
            </w:r>
          </w:p>
        </w:tc>
      </w:tr>
      <w:tr w:rsidR="006A218B" w:rsidRPr="00E93126" w14:paraId="189DE309" w14:textId="77777777" w:rsidTr="00C54D8C">
        <w:trPr>
          <w:jc w:val="center"/>
        </w:trPr>
        <w:tc>
          <w:tcPr>
            <w:tcW w:w="2205" w:type="dxa"/>
            <w:shd w:val="clear" w:color="auto" w:fill="auto"/>
            <w:noWrap/>
            <w:vAlign w:val="center"/>
            <w:hideMark/>
          </w:tcPr>
          <w:p w14:paraId="79CB9A8F" w14:textId="77777777" w:rsidR="006A218B" w:rsidRPr="00E93126" w:rsidRDefault="006A218B" w:rsidP="009B4616">
            <w:pPr>
              <w:pStyle w:val="ExhibitText"/>
              <w:jc w:val="left"/>
              <w:rPr>
                <w:b/>
                <w:bCs/>
                <w:lang w:val="en-GB"/>
              </w:rPr>
            </w:pPr>
            <w:r w:rsidRPr="00E93126">
              <w:rPr>
                <w:b/>
                <w:bCs/>
                <w:lang w:val="en-GB"/>
              </w:rPr>
              <w:t>Total Bali</w:t>
            </w:r>
          </w:p>
        </w:tc>
        <w:tc>
          <w:tcPr>
            <w:tcW w:w="990" w:type="dxa"/>
            <w:shd w:val="clear" w:color="auto" w:fill="auto"/>
            <w:noWrap/>
            <w:vAlign w:val="center"/>
            <w:hideMark/>
          </w:tcPr>
          <w:p w14:paraId="12F55058" w14:textId="77777777" w:rsidR="006A218B" w:rsidRPr="00E93126" w:rsidRDefault="006A218B" w:rsidP="009B4616">
            <w:pPr>
              <w:pStyle w:val="ExhibitText"/>
              <w:jc w:val="right"/>
              <w:rPr>
                <w:bCs/>
                <w:lang w:val="en-GB"/>
              </w:rPr>
            </w:pPr>
            <w:r w:rsidRPr="00E93126">
              <w:rPr>
                <w:bCs/>
                <w:lang w:val="en-GB"/>
              </w:rPr>
              <w:t>38</w:t>
            </w:r>
            <w:r w:rsidR="00BC426A" w:rsidRPr="00E93126">
              <w:rPr>
                <w:bCs/>
                <w:lang w:val="en-GB"/>
              </w:rPr>
              <w:t>,</w:t>
            </w:r>
            <w:r w:rsidRPr="00E93126">
              <w:rPr>
                <w:bCs/>
                <w:lang w:val="en-GB"/>
              </w:rPr>
              <w:t>000</w:t>
            </w:r>
          </w:p>
        </w:tc>
        <w:tc>
          <w:tcPr>
            <w:tcW w:w="1170" w:type="dxa"/>
            <w:shd w:val="clear" w:color="auto" w:fill="auto"/>
            <w:noWrap/>
            <w:vAlign w:val="center"/>
            <w:hideMark/>
          </w:tcPr>
          <w:p w14:paraId="68180520" w14:textId="77777777" w:rsidR="006A218B" w:rsidRPr="00E93126" w:rsidRDefault="006A218B" w:rsidP="009B4616">
            <w:pPr>
              <w:pStyle w:val="ExhibitText"/>
              <w:jc w:val="right"/>
              <w:rPr>
                <w:bCs/>
                <w:lang w:val="en-GB"/>
              </w:rPr>
            </w:pPr>
            <w:r w:rsidRPr="00E93126">
              <w:rPr>
                <w:bCs/>
                <w:lang w:val="en-GB"/>
              </w:rPr>
              <w:t>41</w:t>
            </w:r>
            <w:r w:rsidR="00BC426A" w:rsidRPr="00E93126">
              <w:rPr>
                <w:bCs/>
                <w:lang w:val="en-GB"/>
              </w:rPr>
              <w:t>,</w:t>
            </w:r>
            <w:r w:rsidRPr="00E93126">
              <w:rPr>
                <w:bCs/>
                <w:lang w:val="en-GB"/>
              </w:rPr>
              <w:t>000</w:t>
            </w:r>
          </w:p>
        </w:tc>
        <w:tc>
          <w:tcPr>
            <w:tcW w:w="990" w:type="dxa"/>
            <w:shd w:val="clear" w:color="auto" w:fill="auto"/>
            <w:noWrap/>
            <w:vAlign w:val="center"/>
            <w:hideMark/>
          </w:tcPr>
          <w:p w14:paraId="7C898F90" w14:textId="77777777" w:rsidR="006A218B" w:rsidRPr="00E93126" w:rsidRDefault="006A218B" w:rsidP="009B4616">
            <w:pPr>
              <w:pStyle w:val="ExhibitText"/>
              <w:jc w:val="right"/>
              <w:rPr>
                <w:bCs/>
                <w:lang w:val="en-GB"/>
              </w:rPr>
            </w:pPr>
            <w:r w:rsidRPr="00E93126">
              <w:rPr>
                <w:bCs/>
                <w:lang w:val="en-GB"/>
              </w:rPr>
              <w:t>71</w:t>
            </w:r>
            <w:r w:rsidR="00BC426A" w:rsidRPr="00E93126">
              <w:rPr>
                <w:bCs/>
                <w:lang w:val="en-GB"/>
              </w:rPr>
              <w:t>,</w:t>
            </w:r>
            <w:r w:rsidRPr="00E93126">
              <w:rPr>
                <w:bCs/>
                <w:lang w:val="en-GB"/>
              </w:rPr>
              <w:t>000</w:t>
            </w:r>
          </w:p>
        </w:tc>
        <w:tc>
          <w:tcPr>
            <w:tcW w:w="1013" w:type="dxa"/>
            <w:shd w:val="clear" w:color="auto" w:fill="auto"/>
            <w:noWrap/>
            <w:vAlign w:val="center"/>
            <w:hideMark/>
          </w:tcPr>
          <w:p w14:paraId="44557994" w14:textId="77777777" w:rsidR="006A218B" w:rsidRPr="00E93126" w:rsidRDefault="006A218B" w:rsidP="009B4616">
            <w:pPr>
              <w:pStyle w:val="ExhibitText"/>
              <w:jc w:val="right"/>
              <w:rPr>
                <w:bCs/>
                <w:lang w:val="en-GB"/>
              </w:rPr>
            </w:pPr>
            <w:r w:rsidRPr="00E93126">
              <w:rPr>
                <w:bCs/>
                <w:lang w:val="en-GB"/>
              </w:rPr>
              <w:t>55</w:t>
            </w:r>
            <w:r w:rsidR="00BC426A" w:rsidRPr="00E93126">
              <w:rPr>
                <w:bCs/>
                <w:lang w:val="en-GB"/>
              </w:rPr>
              <w:t>,</w:t>
            </w:r>
            <w:r w:rsidRPr="00E93126">
              <w:rPr>
                <w:bCs/>
                <w:lang w:val="en-GB"/>
              </w:rPr>
              <w:t>000</w:t>
            </w:r>
          </w:p>
        </w:tc>
        <w:tc>
          <w:tcPr>
            <w:tcW w:w="900" w:type="dxa"/>
            <w:shd w:val="clear" w:color="auto" w:fill="auto"/>
            <w:noWrap/>
            <w:vAlign w:val="center"/>
            <w:hideMark/>
          </w:tcPr>
          <w:p w14:paraId="1E25FCC2" w14:textId="77777777" w:rsidR="006A218B" w:rsidRPr="00E93126" w:rsidRDefault="006A218B" w:rsidP="009B4616">
            <w:pPr>
              <w:pStyle w:val="ExhibitText"/>
              <w:jc w:val="right"/>
              <w:rPr>
                <w:bCs/>
                <w:lang w:val="en-GB"/>
              </w:rPr>
            </w:pPr>
            <w:r w:rsidRPr="00E93126">
              <w:rPr>
                <w:bCs/>
                <w:lang w:val="en-GB"/>
              </w:rPr>
              <w:t>11</w:t>
            </w:r>
            <w:r w:rsidR="00BC426A" w:rsidRPr="00E93126">
              <w:rPr>
                <w:bCs/>
                <w:lang w:val="en-GB"/>
              </w:rPr>
              <w:t>,</w:t>
            </w:r>
            <w:r w:rsidRPr="00E93126">
              <w:rPr>
                <w:bCs/>
                <w:lang w:val="en-GB"/>
              </w:rPr>
              <w:t>000</w:t>
            </w:r>
          </w:p>
        </w:tc>
        <w:tc>
          <w:tcPr>
            <w:tcW w:w="900" w:type="dxa"/>
            <w:shd w:val="clear" w:color="auto" w:fill="auto"/>
            <w:noWrap/>
            <w:vAlign w:val="center"/>
            <w:hideMark/>
          </w:tcPr>
          <w:p w14:paraId="325E57B9" w14:textId="77777777" w:rsidR="006A218B" w:rsidRPr="00E93126" w:rsidRDefault="006A218B" w:rsidP="009B4616">
            <w:pPr>
              <w:pStyle w:val="ExhibitText"/>
              <w:jc w:val="right"/>
              <w:rPr>
                <w:bCs/>
                <w:lang w:val="en-GB"/>
              </w:rPr>
            </w:pPr>
            <w:r w:rsidRPr="00E93126">
              <w:rPr>
                <w:bCs/>
                <w:lang w:val="en-GB"/>
              </w:rPr>
              <w:t>7</w:t>
            </w:r>
            <w:r w:rsidR="00BC426A" w:rsidRPr="00E93126">
              <w:rPr>
                <w:bCs/>
                <w:lang w:val="en-GB"/>
              </w:rPr>
              <w:t>,</w:t>
            </w:r>
            <w:r w:rsidRPr="00E93126">
              <w:rPr>
                <w:bCs/>
                <w:lang w:val="en-GB"/>
              </w:rPr>
              <w:t>000</w:t>
            </w:r>
          </w:p>
        </w:tc>
        <w:tc>
          <w:tcPr>
            <w:tcW w:w="967" w:type="dxa"/>
            <w:shd w:val="clear" w:color="auto" w:fill="auto"/>
            <w:noWrap/>
            <w:vAlign w:val="center"/>
            <w:hideMark/>
          </w:tcPr>
          <w:p w14:paraId="6858255A" w14:textId="77777777" w:rsidR="006A218B" w:rsidRPr="00E93126" w:rsidRDefault="006A218B" w:rsidP="009B4616">
            <w:pPr>
              <w:pStyle w:val="ExhibitText"/>
              <w:jc w:val="right"/>
              <w:rPr>
                <w:bCs/>
                <w:lang w:val="en-GB"/>
              </w:rPr>
            </w:pPr>
            <w:r w:rsidRPr="00E93126">
              <w:rPr>
                <w:bCs/>
                <w:lang w:val="en-GB"/>
              </w:rPr>
              <w:t>223</w:t>
            </w:r>
            <w:r w:rsidR="00BC426A" w:rsidRPr="00E93126">
              <w:rPr>
                <w:bCs/>
                <w:lang w:val="en-GB"/>
              </w:rPr>
              <w:t>,</w:t>
            </w:r>
            <w:r w:rsidRPr="00E93126">
              <w:rPr>
                <w:bCs/>
                <w:lang w:val="en-GB"/>
              </w:rPr>
              <w:t>000</w:t>
            </w:r>
          </w:p>
        </w:tc>
      </w:tr>
      <w:tr w:rsidR="006A218B" w:rsidRPr="00E93126" w14:paraId="045F3D0D" w14:textId="77777777" w:rsidTr="00C54D8C">
        <w:trPr>
          <w:jc w:val="center"/>
        </w:trPr>
        <w:tc>
          <w:tcPr>
            <w:tcW w:w="2205" w:type="dxa"/>
            <w:shd w:val="clear" w:color="auto" w:fill="auto"/>
            <w:noWrap/>
            <w:vAlign w:val="center"/>
            <w:hideMark/>
          </w:tcPr>
          <w:p w14:paraId="7C1B94FA" w14:textId="77777777" w:rsidR="006A218B" w:rsidRPr="00E93126" w:rsidRDefault="006A218B" w:rsidP="009B4616">
            <w:pPr>
              <w:pStyle w:val="ExhibitText"/>
              <w:jc w:val="left"/>
              <w:rPr>
                <w:b/>
                <w:bCs/>
                <w:lang w:val="en-GB"/>
              </w:rPr>
            </w:pPr>
            <w:r w:rsidRPr="00E93126">
              <w:rPr>
                <w:b/>
                <w:bCs/>
                <w:lang w:val="en-GB"/>
              </w:rPr>
              <w:t>All Indonesia Market Share (in %)</w:t>
            </w:r>
          </w:p>
        </w:tc>
        <w:tc>
          <w:tcPr>
            <w:tcW w:w="990" w:type="dxa"/>
            <w:shd w:val="clear" w:color="auto" w:fill="auto"/>
            <w:noWrap/>
            <w:vAlign w:val="center"/>
            <w:hideMark/>
          </w:tcPr>
          <w:p w14:paraId="492F2A50" w14:textId="77777777" w:rsidR="006A218B" w:rsidRPr="00E93126" w:rsidRDefault="006A218B" w:rsidP="009B4616">
            <w:pPr>
              <w:pStyle w:val="ExhibitText"/>
              <w:jc w:val="right"/>
              <w:rPr>
                <w:lang w:val="en-GB"/>
              </w:rPr>
            </w:pPr>
            <w:r w:rsidRPr="00E93126">
              <w:rPr>
                <w:lang w:val="en-GB"/>
              </w:rPr>
              <w:t>15.15</w:t>
            </w:r>
          </w:p>
        </w:tc>
        <w:tc>
          <w:tcPr>
            <w:tcW w:w="1170" w:type="dxa"/>
            <w:shd w:val="clear" w:color="auto" w:fill="auto"/>
            <w:noWrap/>
            <w:vAlign w:val="center"/>
            <w:hideMark/>
          </w:tcPr>
          <w:p w14:paraId="317723B1" w14:textId="77777777" w:rsidR="006A218B" w:rsidRPr="00E93126" w:rsidRDefault="006A218B" w:rsidP="009B4616">
            <w:pPr>
              <w:pStyle w:val="ExhibitText"/>
              <w:jc w:val="right"/>
              <w:rPr>
                <w:lang w:val="en-GB"/>
              </w:rPr>
            </w:pPr>
            <w:r w:rsidRPr="00E93126">
              <w:rPr>
                <w:lang w:val="en-GB"/>
              </w:rPr>
              <w:t>20.5</w:t>
            </w:r>
          </w:p>
        </w:tc>
        <w:tc>
          <w:tcPr>
            <w:tcW w:w="990" w:type="dxa"/>
            <w:shd w:val="clear" w:color="auto" w:fill="auto"/>
            <w:noWrap/>
            <w:vAlign w:val="center"/>
            <w:hideMark/>
          </w:tcPr>
          <w:p w14:paraId="42A114F8" w14:textId="77777777" w:rsidR="006A218B" w:rsidRPr="00E93126" w:rsidRDefault="006A218B" w:rsidP="009B4616">
            <w:pPr>
              <w:pStyle w:val="ExhibitText"/>
              <w:jc w:val="right"/>
              <w:rPr>
                <w:lang w:val="en-GB"/>
              </w:rPr>
            </w:pPr>
            <w:r w:rsidRPr="00E93126">
              <w:rPr>
                <w:lang w:val="en-GB"/>
              </w:rPr>
              <w:t>29.2</w:t>
            </w:r>
          </w:p>
        </w:tc>
        <w:tc>
          <w:tcPr>
            <w:tcW w:w="1013" w:type="dxa"/>
            <w:shd w:val="clear" w:color="auto" w:fill="auto"/>
            <w:noWrap/>
            <w:vAlign w:val="center"/>
            <w:hideMark/>
          </w:tcPr>
          <w:p w14:paraId="38AE3580" w14:textId="77777777" w:rsidR="006A218B" w:rsidRPr="00E93126" w:rsidRDefault="006A218B" w:rsidP="009B4616">
            <w:pPr>
              <w:pStyle w:val="ExhibitText"/>
              <w:jc w:val="right"/>
              <w:rPr>
                <w:lang w:val="en-GB"/>
              </w:rPr>
            </w:pPr>
            <w:r w:rsidRPr="00E93126">
              <w:rPr>
                <w:lang w:val="en-GB"/>
              </w:rPr>
              <w:t>24.5</w:t>
            </w:r>
          </w:p>
        </w:tc>
        <w:tc>
          <w:tcPr>
            <w:tcW w:w="900" w:type="dxa"/>
            <w:shd w:val="clear" w:color="auto" w:fill="auto"/>
            <w:noWrap/>
            <w:vAlign w:val="center"/>
            <w:hideMark/>
          </w:tcPr>
          <w:p w14:paraId="0E474D50" w14:textId="77777777" w:rsidR="006A218B" w:rsidRPr="00E93126" w:rsidRDefault="006A218B" w:rsidP="009B4616">
            <w:pPr>
              <w:pStyle w:val="ExhibitText"/>
              <w:jc w:val="right"/>
              <w:rPr>
                <w:lang w:val="en-GB"/>
              </w:rPr>
            </w:pPr>
            <w:r w:rsidRPr="00E93126">
              <w:rPr>
                <w:lang w:val="en-GB"/>
              </w:rPr>
              <w:t>6.35</w:t>
            </w:r>
          </w:p>
        </w:tc>
        <w:tc>
          <w:tcPr>
            <w:tcW w:w="900" w:type="dxa"/>
            <w:shd w:val="clear" w:color="auto" w:fill="auto"/>
            <w:noWrap/>
            <w:vAlign w:val="center"/>
            <w:hideMark/>
          </w:tcPr>
          <w:p w14:paraId="606DB96C" w14:textId="77777777" w:rsidR="006A218B" w:rsidRPr="00E93126" w:rsidRDefault="006A218B" w:rsidP="009B4616">
            <w:pPr>
              <w:pStyle w:val="ExhibitText"/>
              <w:jc w:val="right"/>
              <w:rPr>
                <w:lang w:val="en-GB"/>
              </w:rPr>
            </w:pPr>
            <w:r w:rsidRPr="00E93126">
              <w:rPr>
                <w:lang w:val="en-GB"/>
              </w:rPr>
              <w:t>4.3</w:t>
            </w:r>
          </w:p>
        </w:tc>
        <w:tc>
          <w:tcPr>
            <w:tcW w:w="967" w:type="dxa"/>
            <w:shd w:val="clear" w:color="auto" w:fill="auto"/>
            <w:noWrap/>
            <w:vAlign w:val="center"/>
            <w:hideMark/>
          </w:tcPr>
          <w:p w14:paraId="6C6F4963" w14:textId="77777777" w:rsidR="006A218B" w:rsidRPr="00E93126" w:rsidRDefault="006A218B" w:rsidP="009B4616">
            <w:pPr>
              <w:pStyle w:val="ExhibitText"/>
              <w:jc w:val="right"/>
              <w:rPr>
                <w:lang w:val="en-GB"/>
              </w:rPr>
            </w:pPr>
            <w:r w:rsidRPr="00E93126">
              <w:rPr>
                <w:lang w:val="en-GB"/>
              </w:rPr>
              <w:t>100</w:t>
            </w:r>
          </w:p>
        </w:tc>
      </w:tr>
      <w:tr w:rsidR="006A218B" w:rsidRPr="00E93126" w14:paraId="161E2F5C" w14:textId="77777777" w:rsidTr="00C54D8C">
        <w:trPr>
          <w:jc w:val="center"/>
        </w:trPr>
        <w:tc>
          <w:tcPr>
            <w:tcW w:w="2205" w:type="dxa"/>
            <w:shd w:val="clear" w:color="auto" w:fill="auto"/>
            <w:noWrap/>
            <w:vAlign w:val="center"/>
            <w:hideMark/>
          </w:tcPr>
          <w:p w14:paraId="54B5C65B" w14:textId="77777777" w:rsidR="006A218B" w:rsidRPr="00E93126" w:rsidRDefault="006A218B" w:rsidP="009B4616">
            <w:pPr>
              <w:pStyle w:val="ExhibitText"/>
              <w:jc w:val="left"/>
              <w:rPr>
                <w:lang w:val="en-GB"/>
              </w:rPr>
            </w:pPr>
            <w:r w:rsidRPr="00E93126">
              <w:rPr>
                <w:b/>
                <w:lang w:val="en-GB"/>
              </w:rPr>
              <w:t>2016</w:t>
            </w:r>
          </w:p>
        </w:tc>
        <w:tc>
          <w:tcPr>
            <w:tcW w:w="990" w:type="dxa"/>
            <w:shd w:val="clear" w:color="auto" w:fill="auto"/>
            <w:noWrap/>
            <w:vAlign w:val="center"/>
            <w:hideMark/>
          </w:tcPr>
          <w:p w14:paraId="5C877875" w14:textId="77777777" w:rsidR="006A218B" w:rsidRPr="00B53995" w:rsidRDefault="006A218B" w:rsidP="009B4616">
            <w:pPr>
              <w:pStyle w:val="ExhibitText"/>
              <w:jc w:val="center"/>
              <w:rPr>
                <w:b/>
                <w:lang w:val="en-GB"/>
              </w:rPr>
            </w:pPr>
            <w:proofErr w:type="spellStart"/>
            <w:r w:rsidRPr="00B53995">
              <w:rPr>
                <w:b/>
                <w:lang w:val="en-GB"/>
              </w:rPr>
              <w:t>Fairdeal</w:t>
            </w:r>
            <w:proofErr w:type="spellEnd"/>
          </w:p>
        </w:tc>
        <w:tc>
          <w:tcPr>
            <w:tcW w:w="1170" w:type="dxa"/>
            <w:shd w:val="clear" w:color="auto" w:fill="auto"/>
            <w:noWrap/>
            <w:vAlign w:val="center"/>
            <w:hideMark/>
          </w:tcPr>
          <w:p w14:paraId="542513D1" w14:textId="77777777" w:rsidR="006A218B" w:rsidRPr="00B53995" w:rsidRDefault="006A218B" w:rsidP="009B4616">
            <w:pPr>
              <w:pStyle w:val="ExhibitText"/>
              <w:jc w:val="center"/>
              <w:rPr>
                <w:b/>
                <w:lang w:val="en-GB"/>
              </w:rPr>
            </w:pPr>
            <w:proofErr w:type="spellStart"/>
            <w:r w:rsidRPr="00B53995">
              <w:rPr>
                <w:b/>
                <w:lang w:val="en-GB"/>
              </w:rPr>
              <w:t>Technica</w:t>
            </w:r>
            <w:proofErr w:type="spellEnd"/>
          </w:p>
        </w:tc>
        <w:tc>
          <w:tcPr>
            <w:tcW w:w="990" w:type="dxa"/>
            <w:shd w:val="clear" w:color="auto" w:fill="auto"/>
            <w:noWrap/>
            <w:vAlign w:val="center"/>
            <w:hideMark/>
          </w:tcPr>
          <w:p w14:paraId="2D7627AC" w14:textId="77777777" w:rsidR="006A218B" w:rsidRPr="00B53995" w:rsidRDefault="006A218B" w:rsidP="009B4616">
            <w:pPr>
              <w:pStyle w:val="ExhibitText"/>
              <w:jc w:val="center"/>
              <w:rPr>
                <w:b/>
                <w:lang w:val="en-GB"/>
              </w:rPr>
            </w:pPr>
            <w:r w:rsidRPr="00B53995">
              <w:rPr>
                <w:b/>
                <w:lang w:val="en-GB"/>
              </w:rPr>
              <w:t>GOLDY</w:t>
            </w:r>
          </w:p>
        </w:tc>
        <w:tc>
          <w:tcPr>
            <w:tcW w:w="1013" w:type="dxa"/>
            <w:shd w:val="clear" w:color="auto" w:fill="auto"/>
            <w:noWrap/>
            <w:vAlign w:val="center"/>
            <w:hideMark/>
          </w:tcPr>
          <w:p w14:paraId="28DCB6CB" w14:textId="77777777" w:rsidR="006A218B" w:rsidRPr="00B53995" w:rsidRDefault="006A218B" w:rsidP="009B4616">
            <w:pPr>
              <w:pStyle w:val="ExhibitText"/>
              <w:jc w:val="center"/>
              <w:rPr>
                <w:b/>
                <w:lang w:val="en-GB"/>
              </w:rPr>
            </w:pPr>
            <w:r w:rsidRPr="00B53995">
              <w:rPr>
                <w:b/>
                <w:lang w:val="en-GB"/>
              </w:rPr>
              <w:t>Smart Line</w:t>
            </w:r>
          </w:p>
        </w:tc>
        <w:tc>
          <w:tcPr>
            <w:tcW w:w="900" w:type="dxa"/>
            <w:shd w:val="clear" w:color="auto" w:fill="auto"/>
            <w:noWrap/>
            <w:vAlign w:val="center"/>
            <w:hideMark/>
          </w:tcPr>
          <w:p w14:paraId="365D6443" w14:textId="77777777" w:rsidR="006A218B" w:rsidRPr="00B53995" w:rsidRDefault="006A218B" w:rsidP="009B4616">
            <w:pPr>
              <w:pStyle w:val="ExhibitText"/>
              <w:jc w:val="center"/>
              <w:rPr>
                <w:b/>
                <w:lang w:val="en-GB"/>
              </w:rPr>
            </w:pPr>
            <w:r w:rsidRPr="00B53995">
              <w:rPr>
                <w:b/>
                <w:lang w:val="en-GB"/>
              </w:rPr>
              <w:t>Harlem</w:t>
            </w:r>
          </w:p>
        </w:tc>
        <w:tc>
          <w:tcPr>
            <w:tcW w:w="900" w:type="dxa"/>
            <w:shd w:val="clear" w:color="auto" w:fill="auto"/>
            <w:noWrap/>
            <w:vAlign w:val="center"/>
            <w:hideMark/>
          </w:tcPr>
          <w:p w14:paraId="37DC2200" w14:textId="77777777" w:rsidR="006A218B" w:rsidRPr="00B53995" w:rsidRDefault="006A218B" w:rsidP="009B4616">
            <w:pPr>
              <w:pStyle w:val="ExhibitText"/>
              <w:jc w:val="center"/>
              <w:rPr>
                <w:b/>
                <w:lang w:val="en-GB"/>
              </w:rPr>
            </w:pPr>
            <w:r w:rsidRPr="00B53995">
              <w:rPr>
                <w:b/>
                <w:lang w:val="en-GB"/>
              </w:rPr>
              <w:t>Others</w:t>
            </w:r>
          </w:p>
        </w:tc>
        <w:tc>
          <w:tcPr>
            <w:tcW w:w="967" w:type="dxa"/>
            <w:shd w:val="clear" w:color="auto" w:fill="auto"/>
            <w:noWrap/>
            <w:vAlign w:val="center"/>
            <w:hideMark/>
          </w:tcPr>
          <w:p w14:paraId="131134AB" w14:textId="77777777" w:rsidR="006A218B" w:rsidRPr="00B53995" w:rsidRDefault="006A218B" w:rsidP="009B4616">
            <w:pPr>
              <w:pStyle w:val="ExhibitText"/>
              <w:jc w:val="center"/>
              <w:rPr>
                <w:b/>
                <w:lang w:val="en-GB"/>
              </w:rPr>
            </w:pPr>
            <w:r w:rsidRPr="00B53995">
              <w:rPr>
                <w:b/>
                <w:lang w:val="en-GB"/>
              </w:rPr>
              <w:t>Total</w:t>
            </w:r>
          </w:p>
        </w:tc>
      </w:tr>
      <w:tr w:rsidR="006A218B" w:rsidRPr="00E93126" w14:paraId="31644D9C" w14:textId="77777777" w:rsidTr="00C54D8C">
        <w:trPr>
          <w:jc w:val="center"/>
        </w:trPr>
        <w:tc>
          <w:tcPr>
            <w:tcW w:w="2205" w:type="dxa"/>
            <w:shd w:val="clear" w:color="auto" w:fill="auto"/>
            <w:noWrap/>
            <w:vAlign w:val="center"/>
            <w:hideMark/>
          </w:tcPr>
          <w:p w14:paraId="1F0B887B" w14:textId="77777777" w:rsidR="006A218B" w:rsidRPr="00E93126" w:rsidRDefault="006A218B" w:rsidP="009B4616">
            <w:pPr>
              <w:pStyle w:val="ExhibitText"/>
              <w:jc w:val="left"/>
              <w:rPr>
                <w:lang w:val="en-GB"/>
              </w:rPr>
            </w:pPr>
            <w:r w:rsidRPr="00E93126">
              <w:rPr>
                <w:lang w:val="en-GB"/>
              </w:rPr>
              <w:t>Abdul Electronics</w:t>
            </w:r>
          </w:p>
        </w:tc>
        <w:tc>
          <w:tcPr>
            <w:tcW w:w="990" w:type="dxa"/>
            <w:shd w:val="clear" w:color="auto" w:fill="auto"/>
            <w:noWrap/>
            <w:vAlign w:val="center"/>
            <w:hideMark/>
          </w:tcPr>
          <w:p w14:paraId="187FA908"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750</w:t>
            </w:r>
          </w:p>
        </w:tc>
        <w:tc>
          <w:tcPr>
            <w:tcW w:w="1170" w:type="dxa"/>
            <w:shd w:val="clear" w:color="auto" w:fill="auto"/>
            <w:noWrap/>
            <w:vAlign w:val="center"/>
            <w:hideMark/>
          </w:tcPr>
          <w:p w14:paraId="74846348" w14:textId="77777777" w:rsidR="006A218B" w:rsidRPr="00E93126" w:rsidRDefault="006A218B" w:rsidP="009B4616">
            <w:pPr>
              <w:pStyle w:val="ExhibitText"/>
              <w:jc w:val="right"/>
              <w:rPr>
                <w:lang w:val="en-GB"/>
              </w:rPr>
            </w:pPr>
            <w:r w:rsidRPr="00E93126">
              <w:rPr>
                <w:lang w:val="en-GB"/>
              </w:rPr>
              <w:t>0</w:t>
            </w:r>
          </w:p>
        </w:tc>
        <w:tc>
          <w:tcPr>
            <w:tcW w:w="990" w:type="dxa"/>
            <w:shd w:val="clear" w:color="auto" w:fill="auto"/>
            <w:noWrap/>
            <w:vAlign w:val="center"/>
            <w:hideMark/>
          </w:tcPr>
          <w:p w14:paraId="15E1B705"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500</w:t>
            </w:r>
          </w:p>
        </w:tc>
        <w:tc>
          <w:tcPr>
            <w:tcW w:w="1013" w:type="dxa"/>
            <w:shd w:val="clear" w:color="auto" w:fill="auto"/>
            <w:noWrap/>
            <w:vAlign w:val="center"/>
            <w:hideMark/>
          </w:tcPr>
          <w:p w14:paraId="0F370A05" w14:textId="77777777" w:rsidR="006A218B" w:rsidRPr="00E93126" w:rsidRDefault="006A218B" w:rsidP="009B4616">
            <w:pPr>
              <w:pStyle w:val="ExhibitText"/>
              <w:jc w:val="right"/>
              <w:rPr>
                <w:lang w:val="en-GB"/>
              </w:rPr>
            </w:pPr>
            <w:r w:rsidRPr="00E93126">
              <w:rPr>
                <w:lang w:val="en-GB"/>
              </w:rPr>
              <w:t>600</w:t>
            </w:r>
          </w:p>
        </w:tc>
        <w:tc>
          <w:tcPr>
            <w:tcW w:w="900" w:type="dxa"/>
            <w:shd w:val="clear" w:color="auto" w:fill="auto"/>
            <w:noWrap/>
            <w:vAlign w:val="center"/>
            <w:hideMark/>
          </w:tcPr>
          <w:p w14:paraId="4D881511" w14:textId="77777777" w:rsidR="006A218B" w:rsidRPr="00E93126" w:rsidRDefault="006A218B" w:rsidP="009B4616">
            <w:pPr>
              <w:pStyle w:val="ExhibitText"/>
              <w:jc w:val="right"/>
              <w:rPr>
                <w:lang w:val="en-GB"/>
              </w:rPr>
            </w:pPr>
            <w:r w:rsidRPr="00E93126">
              <w:rPr>
                <w:lang w:val="en-GB"/>
              </w:rPr>
              <w:t>450</w:t>
            </w:r>
          </w:p>
        </w:tc>
        <w:tc>
          <w:tcPr>
            <w:tcW w:w="900" w:type="dxa"/>
            <w:shd w:val="clear" w:color="auto" w:fill="auto"/>
            <w:noWrap/>
            <w:vAlign w:val="center"/>
            <w:hideMark/>
          </w:tcPr>
          <w:p w14:paraId="789D104E" w14:textId="77777777" w:rsidR="006A218B" w:rsidRPr="00E93126" w:rsidRDefault="006A218B" w:rsidP="009B4616">
            <w:pPr>
              <w:pStyle w:val="ExhibitText"/>
              <w:jc w:val="right"/>
              <w:rPr>
                <w:lang w:val="en-GB"/>
              </w:rPr>
            </w:pPr>
            <w:r w:rsidRPr="00E93126">
              <w:rPr>
                <w:lang w:val="en-GB"/>
              </w:rPr>
              <w:t>400</w:t>
            </w:r>
          </w:p>
        </w:tc>
        <w:tc>
          <w:tcPr>
            <w:tcW w:w="967" w:type="dxa"/>
            <w:shd w:val="clear" w:color="auto" w:fill="auto"/>
            <w:noWrap/>
            <w:vAlign w:val="center"/>
            <w:hideMark/>
          </w:tcPr>
          <w:p w14:paraId="3C876617" w14:textId="77777777" w:rsidR="006A218B" w:rsidRPr="00E93126" w:rsidRDefault="006A218B" w:rsidP="009B4616">
            <w:pPr>
              <w:pStyle w:val="ExhibitText"/>
              <w:jc w:val="right"/>
              <w:rPr>
                <w:lang w:val="en-GB"/>
              </w:rPr>
            </w:pPr>
            <w:r w:rsidRPr="00E93126">
              <w:rPr>
                <w:lang w:val="en-GB"/>
              </w:rPr>
              <w:t>5</w:t>
            </w:r>
            <w:r w:rsidR="00BC426A" w:rsidRPr="00E93126">
              <w:rPr>
                <w:lang w:val="en-GB"/>
              </w:rPr>
              <w:t>,</w:t>
            </w:r>
            <w:r w:rsidRPr="00E93126">
              <w:rPr>
                <w:lang w:val="en-GB"/>
              </w:rPr>
              <w:t>700</w:t>
            </w:r>
          </w:p>
        </w:tc>
      </w:tr>
      <w:tr w:rsidR="006A218B" w:rsidRPr="00E93126" w14:paraId="7C2B7F3E" w14:textId="77777777" w:rsidTr="00C54D8C">
        <w:trPr>
          <w:jc w:val="center"/>
        </w:trPr>
        <w:tc>
          <w:tcPr>
            <w:tcW w:w="2205" w:type="dxa"/>
            <w:shd w:val="clear" w:color="auto" w:fill="auto"/>
            <w:noWrap/>
            <w:vAlign w:val="center"/>
            <w:hideMark/>
          </w:tcPr>
          <w:p w14:paraId="7002178F" w14:textId="77777777" w:rsidR="006A218B" w:rsidRPr="00E93126" w:rsidRDefault="006A218B" w:rsidP="009B4616">
            <w:pPr>
              <w:pStyle w:val="ExhibitText"/>
              <w:jc w:val="left"/>
              <w:rPr>
                <w:lang w:val="en-GB"/>
              </w:rPr>
            </w:pPr>
            <w:r w:rsidRPr="00E93126">
              <w:rPr>
                <w:lang w:val="en-GB"/>
              </w:rPr>
              <w:t>Spectrum</w:t>
            </w:r>
            <w:r w:rsidR="00355FCD" w:rsidRPr="00E93126">
              <w:rPr>
                <w:lang w:val="en-GB"/>
              </w:rPr>
              <w:t xml:space="preserve"> Electronics</w:t>
            </w:r>
          </w:p>
        </w:tc>
        <w:tc>
          <w:tcPr>
            <w:tcW w:w="990" w:type="dxa"/>
            <w:shd w:val="clear" w:color="auto" w:fill="auto"/>
            <w:noWrap/>
            <w:vAlign w:val="center"/>
            <w:hideMark/>
          </w:tcPr>
          <w:p w14:paraId="1B4ECA81"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38BB6C96"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300</w:t>
            </w:r>
          </w:p>
        </w:tc>
        <w:tc>
          <w:tcPr>
            <w:tcW w:w="990" w:type="dxa"/>
            <w:shd w:val="clear" w:color="auto" w:fill="auto"/>
            <w:noWrap/>
            <w:vAlign w:val="center"/>
            <w:hideMark/>
          </w:tcPr>
          <w:p w14:paraId="09419967"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300</w:t>
            </w:r>
          </w:p>
        </w:tc>
        <w:tc>
          <w:tcPr>
            <w:tcW w:w="1013" w:type="dxa"/>
            <w:shd w:val="clear" w:color="auto" w:fill="auto"/>
            <w:noWrap/>
            <w:vAlign w:val="center"/>
            <w:hideMark/>
          </w:tcPr>
          <w:p w14:paraId="34A6AEE7"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00" w:type="dxa"/>
            <w:shd w:val="clear" w:color="auto" w:fill="auto"/>
            <w:noWrap/>
            <w:vAlign w:val="center"/>
            <w:hideMark/>
          </w:tcPr>
          <w:p w14:paraId="7990AD61"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3E585DCC" w14:textId="77777777" w:rsidR="006A218B" w:rsidRPr="00E93126" w:rsidRDefault="006A218B" w:rsidP="009B4616">
            <w:pPr>
              <w:pStyle w:val="ExhibitText"/>
              <w:jc w:val="right"/>
              <w:rPr>
                <w:lang w:val="en-GB"/>
              </w:rPr>
            </w:pPr>
            <w:r w:rsidRPr="00E93126">
              <w:rPr>
                <w:lang w:val="en-GB"/>
              </w:rPr>
              <w:t>600</w:t>
            </w:r>
          </w:p>
        </w:tc>
        <w:tc>
          <w:tcPr>
            <w:tcW w:w="967" w:type="dxa"/>
            <w:shd w:val="clear" w:color="auto" w:fill="auto"/>
            <w:noWrap/>
            <w:vAlign w:val="center"/>
            <w:hideMark/>
          </w:tcPr>
          <w:p w14:paraId="5F1322D0" w14:textId="77777777" w:rsidR="006A218B" w:rsidRPr="00E93126" w:rsidRDefault="006A218B" w:rsidP="009B4616">
            <w:pPr>
              <w:pStyle w:val="ExhibitText"/>
              <w:jc w:val="right"/>
              <w:rPr>
                <w:lang w:val="en-GB"/>
              </w:rPr>
            </w:pPr>
            <w:r w:rsidRPr="00E93126">
              <w:rPr>
                <w:lang w:val="en-GB"/>
              </w:rPr>
              <w:t>5</w:t>
            </w:r>
            <w:r w:rsidR="00BC426A" w:rsidRPr="00E93126">
              <w:rPr>
                <w:lang w:val="en-GB"/>
              </w:rPr>
              <w:t>,</w:t>
            </w:r>
            <w:r w:rsidRPr="00E93126">
              <w:rPr>
                <w:lang w:val="en-GB"/>
              </w:rPr>
              <w:t>200</w:t>
            </w:r>
          </w:p>
        </w:tc>
      </w:tr>
      <w:tr w:rsidR="006A218B" w:rsidRPr="00E93126" w14:paraId="789434F0" w14:textId="77777777" w:rsidTr="00C54D8C">
        <w:trPr>
          <w:jc w:val="center"/>
        </w:trPr>
        <w:tc>
          <w:tcPr>
            <w:tcW w:w="2205" w:type="dxa"/>
            <w:shd w:val="clear" w:color="auto" w:fill="auto"/>
            <w:noWrap/>
            <w:vAlign w:val="center"/>
            <w:hideMark/>
          </w:tcPr>
          <w:p w14:paraId="2BBD6D21" w14:textId="77777777" w:rsidR="006A218B" w:rsidRPr="00E93126" w:rsidRDefault="006A218B" w:rsidP="00355FCD">
            <w:pPr>
              <w:pStyle w:val="ExhibitText"/>
              <w:jc w:val="left"/>
              <w:rPr>
                <w:lang w:val="en-GB"/>
              </w:rPr>
            </w:pPr>
            <w:r w:rsidRPr="00E93126">
              <w:rPr>
                <w:lang w:val="en-GB"/>
              </w:rPr>
              <w:t>Ind</w:t>
            </w:r>
            <w:r w:rsidR="00753BFB" w:rsidRPr="00E93126">
              <w:rPr>
                <w:lang w:val="en-GB"/>
              </w:rPr>
              <w:t>onesia</w:t>
            </w:r>
            <w:r w:rsidR="00355FCD" w:rsidRPr="00E93126">
              <w:rPr>
                <w:lang w:val="en-GB"/>
              </w:rPr>
              <w:t xml:space="preserve"> United A</w:t>
            </w:r>
            <w:r w:rsidRPr="00E93126">
              <w:rPr>
                <w:lang w:val="en-GB"/>
              </w:rPr>
              <w:t>pp</w:t>
            </w:r>
            <w:r w:rsidR="00355FCD" w:rsidRPr="00E93126">
              <w:rPr>
                <w:lang w:val="en-GB"/>
              </w:rPr>
              <w:t>liances</w:t>
            </w:r>
          </w:p>
        </w:tc>
        <w:tc>
          <w:tcPr>
            <w:tcW w:w="990" w:type="dxa"/>
            <w:shd w:val="clear" w:color="auto" w:fill="auto"/>
            <w:noWrap/>
            <w:vAlign w:val="center"/>
            <w:hideMark/>
          </w:tcPr>
          <w:p w14:paraId="1D104B5B"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152796A9" w14:textId="77777777" w:rsidR="006A218B" w:rsidRPr="00E93126" w:rsidRDefault="006A218B" w:rsidP="009B4616">
            <w:pPr>
              <w:pStyle w:val="ExhibitText"/>
              <w:jc w:val="right"/>
              <w:rPr>
                <w:lang w:val="en-GB"/>
              </w:rPr>
            </w:pPr>
            <w:r w:rsidRPr="00E93126">
              <w:rPr>
                <w:lang w:val="en-GB"/>
              </w:rPr>
              <w:t>3</w:t>
            </w:r>
            <w:r w:rsidR="00BC426A" w:rsidRPr="00E93126">
              <w:rPr>
                <w:lang w:val="en-GB"/>
              </w:rPr>
              <w:t>,</w:t>
            </w:r>
            <w:r w:rsidRPr="00E93126">
              <w:rPr>
                <w:lang w:val="en-GB"/>
              </w:rPr>
              <w:t>200</w:t>
            </w:r>
          </w:p>
        </w:tc>
        <w:tc>
          <w:tcPr>
            <w:tcW w:w="990" w:type="dxa"/>
            <w:shd w:val="clear" w:color="auto" w:fill="auto"/>
            <w:noWrap/>
            <w:vAlign w:val="center"/>
            <w:hideMark/>
          </w:tcPr>
          <w:p w14:paraId="2ACB9881"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600</w:t>
            </w:r>
          </w:p>
        </w:tc>
        <w:tc>
          <w:tcPr>
            <w:tcW w:w="1013" w:type="dxa"/>
            <w:shd w:val="clear" w:color="auto" w:fill="auto"/>
            <w:noWrap/>
            <w:vAlign w:val="center"/>
            <w:hideMark/>
          </w:tcPr>
          <w:p w14:paraId="5FA64ECC"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00" w:type="dxa"/>
            <w:shd w:val="clear" w:color="auto" w:fill="auto"/>
            <w:noWrap/>
            <w:vAlign w:val="center"/>
            <w:hideMark/>
          </w:tcPr>
          <w:p w14:paraId="0A29E252" w14:textId="77777777" w:rsidR="006A218B" w:rsidRPr="00E93126" w:rsidRDefault="006A218B" w:rsidP="009B4616">
            <w:pPr>
              <w:pStyle w:val="ExhibitText"/>
              <w:jc w:val="right"/>
              <w:rPr>
                <w:lang w:val="en-GB"/>
              </w:rPr>
            </w:pPr>
            <w:r w:rsidRPr="00E93126">
              <w:rPr>
                <w:lang w:val="en-GB"/>
              </w:rPr>
              <w:t>800</w:t>
            </w:r>
          </w:p>
        </w:tc>
        <w:tc>
          <w:tcPr>
            <w:tcW w:w="900" w:type="dxa"/>
            <w:shd w:val="clear" w:color="auto" w:fill="auto"/>
            <w:noWrap/>
            <w:vAlign w:val="center"/>
            <w:hideMark/>
          </w:tcPr>
          <w:p w14:paraId="03DC2116"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67" w:type="dxa"/>
            <w:shd w:val="clear" w:color="auto" w:fill="auto"/>
            <w:noWrap/>
            <w:vAlign w:val="center"/>
            <w:hideMark/>
          </w:tcPr>
          <w:p w14:paraId="2EEDEC6F" w14:textId="77777777" w:rsidR="006A218B" w:rsidRPr="00E93126" w:rsidRDefault="006A218B" w:rsidP="009B4616">
            <w:pPr>
              <w:pStyle w:val="ExhibitText"/>
              <w:jc w:val="right"/>
              <w:rPr>
                <w:lang w:val="en-GB"/>
              </w:rPr>
            </w:pPr>
            <w:r w:rsidRPr="00E93126">
              <w:rPr>
                <w:lang w:val="en-GB"/>
              </w:rPr>
              <w:t>7</w:t>
            </w:r>
            <w:r w:rsidR="00BC426A" w:rsidRPr="00E93126">
              <w:rPr>
                <w:lang w:val="en-GB"/>
              </w:rPr>
              <w:t>,</w:t>
            </w:r>
            <w:r w:rsidRPr="00E93126">
              <w:rPr>
                <w:lang w:val="en-GB"/>
              </w:rPr>
              <w:t>600</w:t>
            </w:r>
          </w:p>
        </w:tc>
      </w:tr>
      <w:tr w:rsidR="006A218B" w:rsidRPr="00E93126" w14:paraId="384905BD" w14:textId="77777777" w:rsidTr="00C54D8C">
        <w:trPr>
          <w:jc w:val="center"/>
        </w:trPr>
        <w:tc>
          <w:tcPr>
            <w:tcW w:w="2205" w:type="dxa"/>
            <w:shd w:val="clear" w:color="auto" w:fill="auto"/>
            <w:noWrap/>
            <w:vAlign w:val="center"/>
            <w:hideMark/>
          </w:tcPr>
          <w:p w14:paraId="68BFDA7D" w14:textId="77777777" w:rsidR="006A218B" w:rsidRPr="00E93126" w:rsidRDefault="006A218B" w:rsidP="009B4616">
            <w:pPr>
              <w:pStyle w:val="ExhibitText"/>
              <w:jc w:val="left"/>
              <w:rPr>
                <w:lang w:val="en-GB"/>
              </w:rPr>
            </w:pPr>
            <w:r w:rsidRPr="00E93126">
              <w:rPr>
                <w:lang w:val="en-GB"/>
              </w:rPr>
              <w:t>Northeast</w:t>
            </w:r>
            <w:r w:rsidR="00355FCD" w:rsidRPr="00E93126">
              <w:rPr>
                <w:lang w:val="en-GB"/>
              </w:rPr>
              <w:t xml:space="preserve"> Electronics</w:t>
            </w:r>
          </w:p>
        </w:tc>
        <w:tc>
          <w:tcPr>
            <w:tcW w:w="990" w:type="dxa"/>
            <w:shd w:val="clear" w:color="auto" w:fill="auto"/>
            <w:noWrap/>
            <w:vAlign w:val="center"/>
            <w:hideMark/>
          </w:tcPr>
          <w:p w14:paraId="232DDEA1" w14:textId="77777777" w:rsidR="006A218B" w:rsidRPr="00E93126" w:rsidRDefault="006A218B" w:rsidP="009B4616">
            <w:pPr>
              <w:pStyle w:val="ExhibitText"/>
              <w:jc w:val="right"/>
              <w:rPr>
                <w:lang w:val="en-GB"/>
              </w:rPr>
            </w:pPr>
            <w:r w:rsidRPr="00E93126">
              <w:rPr>
                <w:lang w:val="en-GB"/>
              </w:rPr>
              <w:t>800</w:t>
            </w:r>
          </w:p>
        </w:tc>
        <w:tc>
          <w:tcPr>
            <w:tcW w:w="1170" w:type="dxa"/>
            <w:shd w:val="clear" w:color="auto" w:fill="auto"/>
            <w:noWrap/>
            <w:vAlign w:val="center"/>
            <w:hideMark/>
          </w:tcPr>
          <w:p w14:paraId="31C28B93"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90" w:type="dxa"/>
            <w:shd w:val="clear" w:color="auto" w:fill="auto"/>
            <w:noWrap/>
            <w:vAlign w:val="center"/>
            <w:hideMark/>
          </w:tcPr>
          <w:p w14:paraId="0F714C04"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800</w:t>
            </w:r>
          </w:p>
        </w:tc>
        <w:tc>
          <w:tcPr>
            <w:tcW w:w="1013" w:type="dxa"/>
            <w:shd w:val="clear" w:color="auto" w:fill="auto"/>
            <w:noWrap/>
            <w:vAlign w:val="center"/>
            <w:hideMark/>
          </w:tcPr>
          <w:p w14:paraId="087DDF1E" w14:textId="77777777" w:rsidR="006A218B" w:rsidRPr="00E93126" w:rsidRDefault="006A218B" w:rsidP="009B4616">
            <w:pPr>
              <w:pStyle w:val="ExhibitText"/>
              <w:jc w:val="right"/>
              <w:rPr>
                <w:lang w:val="en-GB"/>
              </w:rPr>
            </w:pPr>
            <w:r w:rsidRPr="00E93126">
              <w:rPr>
                <w:lang w:val="en-GB"/>
              </w:rPr>
              <w:t>600</w:t>
            </w:r>
          </w:p>
        </w:tc>
        <w:tc>
          <w:tcPr>
            <w:tcW w:w="900" w:type="dxa"/>
            <w:shd w:val="clear" w:color="auto" w:fill="auto"/>
            <w:noWrap/>
            <w:vAlign w:val="center"/>
            <w:hideMark/>
          </w:tcPr>
          <w:p w14:paraId="5FE53513" w14:textId="77777777" w:rsidR="006A218B" w:rsidRPr="00E93126" w:rsidRDefault="006A218B" w:rsidP="009B4616">
            <w:pPr>
              <w:pStyle w:val="ExhibitText"/>
              <w:jc w:val="right"/>
              <w:rPr>
                <w:lang w:val="en-GB"/>
              </w:rPr>
            </w:pPr>
            <w:r w:rsidRPr="00E93126">
              <w:rPr>
                <w:lang w:val="en-GB"/>
              </w:rPr>
              <w:t>700</w:t>
            </w:r>
          </w:p>
        </w:tc>
        <w:tc>
          <w:tcPr>
            <w:tcW w:w="900" w:type="dxa"/>
            <w:shd w:val="clear" w:color="auto" w:fill="auto"/>
            <w:noWrap/>
            <w:vAlign w:val="center"/>
            <w:hideMark/>
          </w:tcPr>
          <w:p w14:paraId="7731F610" w14:textId="77777777" w:rsidR="006A218B" w:rsidRPr="00E93126" w:rsidRDefault="006A218B" w:rsidP="009B4616">
            <w:pPr>
              <w:pStyle w:val="ExhibitText"/>
              <w:jc w:val="right"/>
              <w:rPr>
                <w:lang w:val="en-GB"/>
              </w:rPr>
            </w:pPr>
            <w:r w:rsidRPr="00E93126">
              <w:rPr>
                <w:lang w:val="en-GB"/>
              </w:rPr>
              <w:t>0</w:t>
            </w:r>
          </w:p>
        </w:tc>
        <w:tc>
          <w:tcPr>
            <w:tcW w:w="967" w:type="dxa"/>
            <w:shd w:val="clear" w:color="auto" w:fill="auto"/>
            <w:noWrap/>
            <w:vAlign w:val="center"/>
            <w:hideMark/>
          </w:tcPr>
          <w:p w14:paraId="52B9ADAF" w14:textId="77777777" w:rsidR="006A218B" w:rsidRPr="00E93126" w:rsidRDefault="006A218B" w:rsidP="009B4616">
            <w:pPr>
              <w:pStyle w:val="ExhibitText"/>
              <w:jc w:val="right"/>
              <w:rPr>
                <w:lang w:val="en-GB"/>
              </w:rPr>
            </w:pPr>
            <w:r w:rsidRPr="00E93126">
              <w:rPr>
                <w:lang w:val="en-GB"/>
              </w:rPr>
              <w:t>4</w:t>
            </w:r>
            <w:r w:rsidR="00BC426A" w:rsidRPr="00E93126">
              <w:rPr>
                <w:lang w:val="en-GB"/>
              </w:rPr>
              <w:t>,</w:t>
            </w:r>
            <w:r w:rsidRPr="00E93126">
              <w:rPr>
                <w:lang w:val="en-GB"/>
              </w:rPr>
              <w:t>900</w:t>
            </w:r>
          </w:p>
        </w:tc>
      </w:tr>
      <w:tr w:rsidR="006A218B" w:rsidRPr="00E93126" w14:paraId="712732EF" w14:textId="77777777" w:rsidTr="00C54D8C">
        <w:trPr>
          <w:jc w:val="center"/>
        </w:trPr>
        <w:tc>
          <w:tcPr>
            <w:tcW w:w="2205" w:type="dxa"/>
            <w:shd w:val="clear" w:color="auto" w:fill="auto"/>
            <w:noWrap/>
            <w:vAlign w:val="center"/>
            <w:hideMark/>
          </w:tcPr>
          <w:p w14:paraId="646E0477" w14:textId="77777777" w:rsidR="006A218B" w:rsidRPr="00E93126" w:rsidRDefault="006A218B" w:rsidP="009B4616">
            <w:pPr>
              <w:pStyle w:val="ExhibitText"/>
              <w:jc w:val="left"/>
              <w:rPr>
                <w:lang w:val="en-GB"/>
              </w:rPr>
            </w:pPr>
            <w:r w:rsidRPr="00E93126">
              <w:rPr>
                <w:lang w:val="en-GB"/>
              </w:rPr>
              <w:t>Vision Electronics</w:t>
            </w:r>
          </w:p>
        </w:tc>
        <w:tc>
          <w:tcPr>
            <w:tcW w:w="990" w:type="dxa"/>
            <w:shd w:val="clear" w:color="auto" w:fill="auto"/>
            <w:noWrap/>
            <w:vAlign w:val="center"/>
            <w:hideMark/>
          </w:tcPr>
          <w:p w14:paraId="6BAE3D24"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166C8E35"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800</w:t>
            </w:r>
          </w:p>
        </w:tc>
        <w:tc>
          <w:tcPr>
            <w:tcW w:w="990" w:type="dxa"/>
            <w:shd w:val="clear" w:color="auto" w:fill="auto"/>
            <w:noWrap/>
            <w:vAlign w:val="center"/>
            <w:hideMark/>
          </w:tcPr>
          <w:p w14:paraId="5D98521B"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800</w:t>
            </w:r>
          </w:p>
        </w:tc>
        <w:tc>
          <w:tcPr>
            <w:tcW w:w="1013" w:type="dxa"/>
            <w:shd w:val="clear" w:color="auto" w:fill="auto"/>
            <w:noWrap/>
            <w:vAlign w:val="center"/>
            <w:hideMark/>
          </w:tcPr>
          <w:p w14:paraId="3792C142" w14:textId="77777777" w:rsidR="006A218B" w:rsidRPr="00E93126" w:rsidRDefault="006A218B" w:rsidP="009B4616">
            <w:pPr>
              <w:pStyle w:val="ExhibitText"/>
              <w:jc w:val="right"/>
              <w:rPr>
                <w:lang w:val="en-GB"/>
              </w:rPr>
            </w:pPr>
            <w:r w:rsidRPr="00E93126">
              <w:rPr>
                <w:lang w:val="en-GB"/>
              </w:rPr>
              <w:t>400</w:t>
            </w:r>
          </w:p>
        </w:tc>
        <w:tc>
          <w:tcPr>
            <w:tcW w:w="900" w:type="dxa"/>
            <w:shd w:val="clear" w:color="auto" w:fill="auto"/>
            <w:noWrap/>
            <w:vAlign w:val="center"/>
            <w:hideMark/>
          </w:tcPr>
          <w:p w14:paraId="140CC697"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492B3884" w14:textId="77777777" w:rsidR="006A218B" w:rsidRPr="00E93126" w:rsidRDefault="006A218B" w:rsidP="009B4616">
            <w:pPr>
              <w:pStyle w:val="ExhibitText"/>
              <w:jc w:val="right"/>
              <w:rPr>
                <w:lang w:val="en-GB"/>
              </w:rPr>
            </w:pPr>
            <w:r w:rsidRPr="00E93126">
              <w:rPr>
                <w:lang w:val="en-GB"/>
              </w:rPr>
              <w:t>350</w:t>
            </w:r>
          </w:p>
        </w:tc>
        <w:tc>
          <w:tcPr>
            <w:tcW w:w="967" w:type="dxa"/>
            <w:shd w:val="clear" w:color="auto" w:fill="auto"/>
            <w:noWrap/>
            <w:vAlign w:val="center"/>
            <w:hideMark/>
          </w:tcPr>
          <w:p w14:paraId="1A23F97F" w14:textId="77777777" w:rsidR="006A218B" w:rsidRPr="00E93126" w:rsidRDefault="006A218B" w:rsidP="009B4616">
            <w:pPr>
              <w:pStyle w:val="ExhibitText"/>
              <w:jc w:val="right"/>
              <w:rPr>
                <w:lang w:val="en-GB"/>
              </w:rPr>
            </w:pPr>
            <w:r w:rsidRPr="00E93126">
              <w:rPr>
                <w:lang w:val="en-GB"/>
              </w:rPr>
              <w:t>5</w:t>
            </w:r>
            <w:r w:rsidR="00BC426A" w:rsidRPr="00E93126">
              <w:rPr>
                <w:lang w:val="en-GB"/>
              </w:rPr>
              <w:t>,</w:t>
            </w:r>
            <w:r w:rsidRPr="00E93126">
              <w:rPr>
                <w:lang w:val="en-GB"/>
              </w:rPr>
              <w:t>350</w:t>
            </w:r>
          </w:p>
        </w:tc>
      </w:tr>
      <w:tr w:rsidR="006A218B" w:rsidRPr="00E93126" w14:paraId="5DEB905D" w14:textId="77777777" w:rsidTr="00C54D8C">
        <w:trPr>
          <w:jc w:val="center"/>
        </w:trPr>
        <w:tc>
          <w:tcPr>
            <w:tcW w:w="2205" w:type="dxa"/>
            <w:shd w:val="clear" w:color="auto" w:fill="auto"/>
            <w:noWrap/>
            <w:vAlign w:val="center"/>
            <w:hideMark/>
          </w:tcPr>
          <w:p w14:paraId="07D9E4B4" w14:textId="77777777" w:rsidR="006A218B" w:rsidRPr="00E93126" w:rsidRDefault="006A218B" w:rsidP="009B4616">
            <w:pPr>
              <w:pStyle w:val="ExhibitText"/>
              <w:jc w:val="left"/>
              <w:rPr>
                <w:lang w:val="en-GB"/>
              </w:rPr>
            </w:pPr>
            <w:r w:rsidRPr="00E93126">
              <w:rPr>
                <w:lang w:val="en-GB"/>
              </w:rPr>
              <w:t>Rahman Sales</w:t>
            </w:r>
          </w:p>
        </w:tc>
        <w:tc>
          <w:tcPr>
            <w:tcW w:w="990" w:type="dxa"/>
            <w:shd w:val="clear" w:color="auto" w:fill="auto"/>
            <w:noWrap/>
            <w:vAlign w:val="center"/>
            <w:hideMark/>
          </w:tcPr>
          <w:p w14:paraId="4D2773D4"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050</w:t>
            </w:r>
          </w:p>
        </w:tc>
        <w:tc>
          <w:tcPr>
            <w:tcW w:w="1170" w:type="dxa"/>
            <w:shd w:val="clear" w:color="auto" w:fill="auto"/>
            <w:noWrap/>
            <w:vAlign w:val="center"/>
            <w:hideMark/>
          </w:tcPr>
          <w:p w14:paraId="7D936CD2" w14:textId="77777777" w:rsidR="006A218B" w:rsidRPr="00E93126" w:rsidRDefault="006A218B" w:rsidP="009B4616">
            <w:pPr>
              <w:pStyle w:val="ExhibitText"/>
              <w:jc w:val="right"/>
              <w:rPr>
                <w:lang w:val="en-GB"/>
              </w:rPr>
            </w:pPr>
            <w:r w:rsidRPr="00E93126">
              <w:rPr>
                <w:lang w:val="en-GB"/>
              </w:rPr>
              <w:t>0</w:t>
            </w:r>
          </w:p>
        </w:tc>
        <w:tc>
          <w:tcPr>
            <w:tcW w:w="990" w:type="dxa"/>
            <w:shd w:val="clear" w:color="auto" w:fill="auto"/>
            <w:noWrap/>
            <w:vAlign w:val="center"/>
            <w:hideMark/>
          </w:tcPr>
          <w:p w14:paraId="1BC2A835"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500</w:t>
            </w:r>
          </w:p>
        </w:tc>
        <w:tc>
          <w:tcPr>
            <w:tcW w:w="1013" w:type="dxa"/>
            <w:shd w:val="clear" w:color="auto" w:fill="auto"/>
            <w:noWrap/>
            <w:vAlign w:val="center"/>
            <w:hideMark/>
          </w:tcPr>
          <w:p w14:paraId="15BBACBC" w14:textId="77777777" w:rsidR="006A218B" w:rsidRPr="00E93126" w:rsidRDefault="006A218B" w:rsidP="009B4616">
            <w:pPr>
              <w:pStyle w:val="ExhibitText"/>
              <w:jc w:val="right"/>
              <w:rPr>
                <w:lang w:val="en-GB"/>
              </w:rPr>
            </w:pPr>
            <w:r w:rsidRPr="00E93126">
              <w:rPr>
                <w:lang w:val="en-GB"/>
              </w:rPr>
              <w:t>600</w:t>
            </w:r>
          </w:p>
        </w:tc>
        <w:tc>
          <w:tcPr>
            <w:tcW w:w="900" w:type="dxa"/>
            <w:shd w:val="clear" w:color="auto" w:fill="auto"/>
            <w:noWrap/>
            <w:vAlign w:val="center"/>
            <w:hideMark/>
          </w:tcPr>
          <w:p w14:paraId="5BDE539B"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7B3A3AB2" w14:textId="77777777" w:rsidR="006A218B" w:rsidRPr="00E93126" w:rsidRDefault="006A218B" w:rsidP="009B4616">
            <w:pPr>
              <w:pStyle w:val="ExhibitText"/>
              <w:jc w:val="right"/>
              <w:rPr>
                <w:lang w:val="en-GB"/>
              </w:rPr>
            </w:pPr>
            <w:r w:rsidRPr="00E93126">
              <w:rPr>
                <w:lang w:val="en-GB"/>
              </w:rPr>
              <w:t>200</w:t>
            </w:r>
          </w:p>
        </w:tc>
        <w:tc>
          <w:tcPr>
            <w:tcW w:w="967" w:type="dxa"/>
            <w:shd w:val="clear" w:color="auto" w:fill="auto"/>
            <w:noWrap/>
            <w:vAlign w:val="center"/>
            <w:hideMark/>
          </w:tcPr>
          <w:p w14:paraId="03EAB342" w14:textId="77777777" w:rsidR="006A218B" w:rsidRPr="00E93126" w:rsidRDefault="006A218B" w:rsidP="009B4616">
            <w:pPr>
              <w:pStyle w:val="ExhibitText"/>
              <w:jc w:val="right"/>
              <w:rPr>
                <w:lang w:val="en-GB"/>
              </w:rPr>
            </w:pPr>
            <w:r w:rsidRPr="00E93126">
              <w:rPr>
                <w:lang w:val="en-GB"/>
              </w:rPr>
              <w:t>4</w:t>
            </w:r>
            <w:r w:rsidR="00BC426A" w:rsidRPr="00E93126">
              <w:rPr>
                <w:lang w:val="en-GB"/>
              </w:rPr>
              <w:t>,</w:t>
            </w:r>
            <w:r w:rsidRPr="00E93126">
              <w:rPr>
                <w:lang w:val="en-GB"/>
              </w:rPr>
              <w:t>350</w:t>
            </w:r>
          </w:p>
        </w:tc>
      </w:tr>
      <w:tr w:rsidR="006A218B" w:rsidRPr="00E93126" w14:paraId="14D16A04" w14:textId="77777777" w:rsidTr="00C54D8C">
        <w:trPr>
          <w:jc w:val="center"/>
        </w:trPr>
        <w:tc>
          <w:tcPr>
            <w:tcW w:w="2205" w:type="dxa"/>
            <w:shd w:val="clear" w:color="auto" w:fill="auto"/>
            <w:noWrap/>
            <w:vAlign w:val="center"/>
            <w:hideMark/>
          </w:tcPr>
          <w:p w14:paraId="310E3221" w14:textId="77777777" w:rsidR="006A218B" w:rsidRPr="00E93126" w:rsidRDefault="006A218B" w:rsidP="009B4616">
            <w:pPr>
              <w:pStyle w:val="ExhibitText"/>
              <w:jc w:val="left"/>
              <w:rPr>
                <w:lang w:val="en-GB"/>
              </w:rPr>
            </w:pPr>
            <w:r w:rsidRPr="00E93126">
              <w:rPr>
                <w:lang w:val="en-GB"/>
              </w:rPr>
              <w:t>Others</w:t>
            </w:r>
          </w:p>
        </w:tc>
        <w:tc>
          <w:tcPr>
            <w:tcW w:w="990" w:type="dxa"/>
            <w:shd w:val="clear" w:color="auto" w:fill="auto"/>
            <w:noWrap/>
            <w:vAlign w:val="center"/>
            <w:hideMark/>
          </w:tcPr>
          <w:p w14:paraId="08A5D683" w14:textId="77777777" w:rsidR="006A218B" w:rsidRPr="00E93126" w:rsidRDefault="006A218B" w:rsidP="009B4616">
            <w:pPr>
              <w:pStyle w:val="ExhibitText"/>
              <w:jc w:val="right"/>
              <w:rPr>
                <w:lang w:val="en-GB"/>
              </w:rPr>
            </w:pPr>
            <w:r w:rsidRPr="00E93126">
              <w:rPr>
                <w:lang w:val="en-GB"/>
              </w:rPr>
              <w:t>600</w:t>
            </w:r>
          </w:p>
        </w:tc>
        <w:tc>
          <w:tcPr>
            <w:tcW w:w="1170" w:type="dxa"/>
            <w:shd w:val="clear" w:color="auto" w:fill="auto"/>
            <w:noWrap/>
            <w:vAlign w:val="center"/>
            <w:hideMark/>
          </w:tcPr>
          <w:p w14:paraId="5D230DBF"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000</w:t>
            </w:r>
          </w:p>
        </w:tc>
        <w:tc>
          <w:tcPr>
            <w:tcW w:w="990" w:type="dxa"/>
            <w:shd w:val="clear" w:color="auto" w:fill="auto"/>
            <w:noWrap/>
            <w:vAlign w:val="center"/>
            <w:hideMark/>
          </w:tcPr>
          <w:p w14:paraId="24D32E08"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800</w:t>
            </w:r>
          </w:p>
        </w:tc>
        <w:tc>
          <w:tcPr>
            <w:tcW w:w="1013" w:type="dxa"/>
            <w:shd w:val="clear" w:color="auto" w:fill="auto"/>
            <w:noWrap/>
            <w:vAlign w:val="center"/>
            <w:hideMark/>
          </w:tcPr>
          <w:p w14:paraId="5499B3FC" w14:textId="77777777" w:rsidR="006A218B" w:rsidRPr="00E93126" w:rsidRDefault="006A218B" w:rsidP="009B4616">
            <w:pPr>
              <w:pStyle w:val="ExhibitText"/>
              <w:jc w:val="right"/>
              <w:rPr>
                <w:lang w:val="en-GB"/>
              </w:rPr>
            </w:pPr>
            <w:r w:rsidRPr="00E93126">
              <w:rPr>
                <w:lang w:val="en-GB"/>
              </w:rPr>
              <w:t>2</w:t>
            </w:r>
            <w:r w:rsidR="00BC426A" w:rsidRPr="00E93126">
              <w:rPr>
                <w:lang w:val="en-GB"/>
              </w:rPr>
              <w:t>,</w:t>
            </w:r>
            <w:r w:rsidRPr="00E93126">
              <w:rPr>
                <w:lang w:val="en-GB"/>
              </w:rPr>
              <w:t>000</w:t>
            </w:r>
          </w:p>
        </w:tc>
        <w:tc>
          <w:tcPr>
            <w:tcW w:w="900" w:type="dxa"/>
            <w:shd w:val="clear" w:color="auto" w:fill="auto"/>
            <w:noWrap/>
            <w:vAlign w:val="center"/>
            <w:hideMark/>
          </w:tcPr>
          <w:p w14:paraId="279AA48A" w14:textId="77777777" w:rsidR="006A218B" w:rsidRPr="00E93126" w:rsidRDefault="006A218B" w:rsidP="009B4616">
            <w:pPr>
              <w:pStyle w:val="ExhibitText"/>
              <w:jc w:val="right"/>
              <w:rPr>
                <w:lang w:val="en-GB"/>
              </w:rPr>
            </w:pPr>
            <w:r w:rsidRPr="00E93126">
              <w:rPr>
                <w:lang w:val="en-GB"/>
              </w:rPr>
              <w:t>1</w:t>
            </w:r>
            <w:r w:rsidR="00BC426A" w:rsidRPr="00E93126">
              <w:rPr>
                <w:lang w:val="en-GB"/>
              </w:rPr>
              <w:t>,</w:t>
            </w:r>
            <w:r w:rsidRPr="00E93126">
              <w:rPr>
                <w:lang w:val="en-GB"/>
              </w:rPr>
              <w:t>200</w:t>
            </w:r>
          </w:p>
        </w:tc>
        <w:tc>
          <w:tcPr>
            <w:tcW w:w="900" w:type="dxa"/>
            <w:shd w:val="clear" w:color="auto" w:fill="auto"/>
            <w:noWrap/>
            <w:vAlign w:val="center"/>
            <w:hideMark/>
          </w:tcPr>
          <w:p w14:paraId="72A6FB60" w14:textId="77777777" w:rsidR="006A218B" w:rsidRPr="00E93126" w:rsidRDefault="006A218B" w:rsidP="009B4616">
            <w:pPr>
              <w:pStyle w:val="ExhibitText"/>
              <w:jc w:val="right"/>
              <w:rPr>
                <w:lang w:val="en-GB"/>
              </w:rPr>
            </w:pPr>
            <w:r w:rsidRPr="00E93126">
              <w:rPr>
                <w:lang w:val="en-GB"/>
              </w:rPr>
              <w:t>500</w:t>
            </w:r>
          </w:p>
        </w:tc>
        <w:tc>
          <w:tcPr>
            <w:tcW w:w="967" w:type="dxa"/>
            <w:shd w:val="clear" w:color="auto" w:fill="auto"/>
            <w:noWrap/>
            <w:vAlign w:val="center"/>
            <w:hideMark/>
          </w:tcPr>
          <w:p w14:paraId="0B068964" w14:textId="77777777" w:rsidR="006A218B" w:rsidRPr="00E93126" w:rsidRDefault="006A218B" w:rsidP="009B4616">
            <w:pPr>
              <w:pStyle w:val="ExhibitText"/>
              <w:jc w:val="right"/>
              <w:rPr>
                <w:lang w:val="en-GB"/>
              </w:rPr>
            </w:pPr>
            <w:r w:rsidRPr="00E93126">
              <w:rPr>
                <w:lang w:val="en-GB"/>
              </w:rPr>
              <w:t>7</w:t>
            </w:r>
            <w:r w:rsidR="00BC426A" w:rsidRPr="00E93126">
              <w:rPr>
                <w:lang w:val="en-GB"/>
              </w:rPr>
              <w:t>,</w:t>
            </w:r>
            <w:r w:rsidRPr="00E93126">
              <w:rPr>
                <w:lang w:val="en-GB"/>
              </w:rPr>
              <w:t>100</w:t>
            </w:r>
          </w:p>
        </w:tc>
      </w:tr>
      <w:tr w:rsidR="006A218B" w:rsidRPr="00E93126" w14:paraId="7FAC1A22" w14:textId="77777777" w:rsidTr="00C54D8C">
        <w:trPr>
          <w:jc w:val="center"/>
        </w:trPr>
        <w:tc>
          <w:tcPr>
            <w:tcW w:w="2205" w:type="dxa"/>
            <w:shd w:val="clear" w:color="auto" w:fill="auto"/>
            <w:noWrap/>
            <w:vAlign w:val="center"/>
            <w:hideMark/>
          </w:tcPr>
          <w:p w14:paraId="40DCE722" w14:textId="77777777" w:rsidR="006A218B" w:rsidRPr="00E93126" w:rsidRDefault="006A218B" w:rsidP="009B4616">
            <w:pPr>
              <w:pStyle w:val="ExhibitText"/>
              <w:jc w:val="left"/>
              <w:rPr>
                <w:b/>
                <w:bCs/>
                <w:lang w:val="en-GB"/>
              </w:rPr>
            </w:pPr>
            <w:r w:rsidRPr="00E93126">
              <w:rPr>
                <w:b/>
                <w:bCs/>
                <w:lang w:val="en-GB"/>
              </w:rPr>
              <w:t>Total Denpasar</w:t>
            </w:r>
          </w:p>
        </w:tc>
        <w:tc>
          <w:tcPr>
            <w:tcW w:w="990" w:type="dxa"/>
            <w:shd w:val="clear" w:color="auto" w:fill="auto"/>
            <w:noWrap/>
            <w:vAlign w:val="center"/>
            <w:hideMark/>
          </w:tcPr>
          <w:p w14:paraId="759BC85C" w14:textId="77777777" w:rsidR="006A218B" w:rsidRPr="00E93126" w:rsidRDefault="006A218B" w:rsidP="009B4616">
            <w:pPr>
              <w:pStyle w:val="ExhibitText"/>
              <w:jc w:val="right"/>
              <w:rPr>
                <w:bCs/>
                <w:lang w:val="en-GB"/>
              </w:rPr>
            </w:pPr>
            <w:r w:rsidRPr="00E93126">
              <w:rPr>
                <w:bCs/>
                <w:lang w:val="en-GB"/>
              </w:rPr>
              <w:t>5</w:t>
            </w:r>
            <w:r w:rsidR="00BC426A" w:rsidRPr="00E93126">
              <w:rPr>
                <w:bCs/>
                <w:lang w:val="en-GB"/>
              </w:rPr>
              <w:t>,</w:t>
            </w:r>
            <w:r w:rsidRPr="00E93126">
              <w:rPr>
                <w:bCs/>
                <w:lang w:val="en-GB"/>
              </w:rPr>
              <w:t>200</w:t>
            </w:r>
          </w:p>
        </w:tc>
        <w:tc>
          <w:tcPr>
            <w:tcW w:w="1170" w:type="dxa"/>
            <w:shd w:val="clear" w:color="auto" w:fill="auto"/>
            <w:noWrap/>
            <w:vAlign w:val="center"/>
            <w:hideMark/>
          </w:tcPr>
          <w:p w14:paraId="7462566C" w14:textId="77777777" w:rsidR="006A218B" w:rsidRPr="00E93126" w:rsidRDefault="006A218B" w:rsidP="009B4616">
            <w:pPr>
              <w:pStyle w:val="ExhibitText"/>
              <w:jc w:val="right"/>
              <w:rPr>
                <w:bCs/>
                <w:lang w:val="en-GB"/>
              </w:rPr>
            </w:pPr>
            <w:r w:rsidRPr="00E93126">
              <w:rPr>
                <w:bCs/>
                <w:lang w:val="en-GB"/>
              </w:rPr>
              <w:t>8</w:t>
            </w:r>
            <w:r w:rsidR="00BC426A" w:rsidRPr="00E93126">
              <w:rPr>
                <w:bCs/>
                <w:lang w:val="en-GB"/>
              </w:rPr>
              <w:t>,</w:t>
            </w:r>
            <w:r w:rsidRPr="00E93126">
              <w:rPr>
                <w:bCs/>
                <w:lang w:val="en-GB"/>
              </w:rPr>
              <w:t>300</w:t>
            </w:r>
          </w:p>
        </w:tc>
        <w:tc>
          <w:tcPr>
            <w:tcW w:w="990" w:type="dxa"/>
            <w:shd w:val="clear" w:color="auto" w:fill="auto"/>
            <w:noWrap/>
            <w:vAlign w:val="center"/>
            <w:hideMark/>
          </w:tcPr>
          <w:p w14:paraId="7B9A67BD" w14:textId="77777777" w:rsidR="006A218B" w:rsidRPr="00E93126" w:rsidRDefault="006A218B" w:rsidP="009B4616">
            <w:pPr>
              <w:pStyle w:val="ExhibitText"/>
              <w:jc w:val="right"/>
              <w:rPr>
                <w:bCs/>
                <w:lang w:val="en-GB"/>
              </w:rPr>
            </w:pPr>
            <w:r w:rsidRPr="00E93126">
              <w:rPr>
                <w:bCs/>
                <w:lang w:val="en-GB"/>
              </w:rPr>
              <w:t>14</w:t>
            </w:r>
            <w:r w:rsidR="00BC426A" w:rsidRPr="00E93126">
              <w:rPr>
                <w:bCs/>
                <w:lang w:val="en-GB"/>
              </w:rPr>
              <w:t>,</w:t>
            </w:r>
            <w:r w:rsidRPr="00E93126">
              <w:rPr>
                <w:bCs/>
                <w:lang w:val="en-GB"/>
              </w:rPr>
              <w:t>300</w:t>
            </w:r>
          </w:p>
        </w:tc>
        <w:tc>
          <w:tcPr>
            <w:tcW w:w="1013" w:type="dxa"/>
            <w:shd w:val="clear" w:color="auto" w:fill="auto"/>
            <w:noWrap/>
            <w:vAlign w:val="center"/>
            <w:hideMark/>
          </w:tcPr>
          <w:p w14:paraId="6D8ABD43" w14:textId="77777777" w:rsidR="006A218B" w:rsidRPr="00E93126" w:rsidRDefault="006A218B" w:rsidP="009B4616">
            <w:pPr>
              <w:pStyle w:val="ExhibitText"/>
              <w:jc w:val="right"/>
              <w:rPr>
                <w:bCs/>
                <w:lang w:val="en-GB"/>
              </w:rPr>
            </w:pPr>
            <w:r w:rsidRPr="00E93126">
              <w:rPr>
                <w:bCs/>
                <w:lang w:val="en-GB"/>
              </w:rPr>
              <w:t>6</w:t>
            </w:r>
            <w:r w:rsidR="00BC426A" w:rsidRPr="00E93126">
              <w:rPr>
                <w:bCs/>
                <w:lang w:val="en-GB"/>
              </w:rPr>
              <w:t>,</w:t>
            </w:r>
            <w:r w:rsidRPr="00E93126">
              <w:rPr>
                <w:bCs/>
                <w:lang w:val="en-GB"/>
              </w:rPr>
              <w:t>200</w:t>
            </w:r>
          </w:p>
        </w:tc>
        <w:tc>
          <w:tcPr>
            <w:tcW w:w="900" w:type="dxa"/>
            <w:shd w:val="clear" w:color="auto" w:fill="auto"/>
            <w:noWrap/>
            <w:vAlign w:val="center"/>
            <w:hideMark/>
          </w:tcPr>
          <w:p w14:paraId="7E8B9A10" w14:textId="77777777" w:rsidR="006A218B" w:rsidRPr="00E93126" w:rsidRDefault="006A218B" w:rsidP="009B4616">
            <w:pPr>
              <w:pStyle w:val="ExhibitText"/>
              <w:jc w:val="right"/>
              <w:rPr>
                <w:bCs/>
                <w:lang w:val="en-GB"/>
              </w:rPr>
            </w:pPr>
            <w:r w:rsidRPr="00E93126">
              <w:rPr>
                <w:bCs/>
                <w:lang w:val="en-GB"/>
              </w:rPr>
              <w:t>3</w:t>
            </w:r>
            <w:r w:rsidR="00BC426A" w:rsidRPr="00E93126">
              <w:rPr>
                <w:bCs/>
                <w:lang w:val="en-GB"/>
              </w:rPr>
              <w:t>,</w:t>
            </w:r>
            <w:r w:rsidRPr="00E93126">
              <w:rPr>
                <w:bCs/>
                <w:lang w:val="en-GB"/>
              </w:rPr>
              <w:t>150</w:t>
            </w:r>
          </w:p>
        </w:tc>
        <w:tc>
          <w:tcPr>
            <w:tcW w:w="900" w:type="dxa"/>
            <w:shd w:val="clear" w:color="auto" w:fill="auto"/>
            <w:noWrap/>
            <w:vAlign w:val="center"/>
            <w:hideMark/>
          </w:tcPr>
          <w:p w14:paraId="4CA25937" w14:textId="77777777" w:rsidR="006A218B" w:rsidRPr="00E93126" w:rsidRDefault="006A218B" w:rsidP="009B4616">
            <w:pPr>
              <w:pStyle w:val="ExhibitText"/>
              <w:jc w:val="right"/>
              <w:rPr>
                <w:bCs/>
                <w:lang w:val="en-GB"/>
              </w:rPr>
            </w:pPr>
            <w:r w:rsidRPr="00E93126">
              <w:rPr>
                <w:bCs/>
                <w:lang w:val="en-GB"/>
              </w:rPr>
              <w:t>3</w:t>
            </w:r>
            <w:r w:rsidR="00BC426A" w:rsidRPr="00E93126">
              <w:rPr>
                <w:bCs/>
                <w:lang w:val="en-GB"/>
              </w:rPr>
              <w:t>,</w:t>
            </w:r>
            <w:r w:rsidRPr="00E93126">
              <w:rPr>
                <w:bCs/>
                <w:lang w:val="en-GB"/>
              </w:rPr>
              <w:t>050</w:t>
            </w:r>
          </w:p>
        </w:tc>
        <w:tc>
          <w:tcPr>
            <w:tcW w:w="967" w:type="dxa"/>
            <w:shd w:val="clear" w:color="auto" w:fill="auto"/>
            <w:noWrap/>
            <w:vAlign w:val="center"/>
            <w:hideMark/>
          </w:tcPr>
          <w:p w14:paraId="0B456122" w14:textId="77777777" w:rsidR="006A218B" w:rsidRPr="00E93126" w:rsidRDefault="006A218B" w:rsidP="009B4616">
            <w:pPr>
              <w:pStyle w:val="ExhibitText"/>
              <w:jc w:val="right"/>
              <w:rPr>
                <w:bCs/>
                <w:lang w:val="en-GB"/>
              </w:rPr>
            </w:pPr>
            <w:r w:rsidRPr="00E93126">
              <w:rPr>
                <w:bCs/>
                <w:lang w:val="en-GB"/>
              </w:rPr>
              <w:t>40</w:t>
            </w:r>
            <w:r w:rsidR="00BC426A" w:rsidRPr="00E93126">
              <w:rPr>
                <w:bCs/>
                <w:lang w:val="en-GB"/>
              </w:rPr>
              <w:t>,</w:t>
            </w:r>
            <w:r w:rsidRPr="00E93126">
              <w:rPr>
                <w:bCs/>
                <w:lang w:val="en-GB"/>
              </w:rPr>
              <w:t>200</w:t>
            </w:r>
          </w:p>
        </w:tc>
      </w:tr>
      <w:tr w:rsidR="006A218B" w:rsidRPr="00E93126" w14:paraId="0B7E8A4F" w14:textId="77777777" w:rsidTr="00C54D8C">
        <w:trPr>
          <w:jc w:val="center"/>
        </w:trPr>
        <w:tc>
          <w:tcPr>
            <w:tcW w:w="2205" w:type="dxa"/>
            <w:shd w:val="clear" w:color="auto" w:fill="auto"/>
            <w:noWrap/>
            <w:vAlign w:val="center"/>
            <w:hideMark/>
          </w:tcPr>
          <w:p w14:paraId="087380D1" w14:textId="77777777" w:rsidR="006A218B" w:rsidRPr="00E93126" w:rsidRDefault="006A218B" w:rsidP="009B4616">
            <w:pPr>
              <w:pStyle w:val="ExhibitText"/>
              <w:jc w:val="left"/>
              <w:rPr>
                <w:b/>
                <w:bCs/>
                <w:lang w:val="en-GB"/>
              </w:rPr>
            </w:pPr>
            <w:r w:rsidRPr="00E93126">
              <w:rPr>
                <w:b/>
                <w:bCs/>
                <w:lang w:val="en-GB"/>
              </w:rPr>
              <w:t>Total Bali</w:t>
            </w:r>
          </w:p>
        </w:tc>
        <w:tc>
          <w:tcPr>
            <w:tcW w:w="990" w:type="dxa"/>
            <w:shd w:val="clear" w:color="auto" w:fill="auto"/>
            <w:noWrap/>
            <w:vAlign w:val="center"/>
            <w:hideMark/>
          </w:tcPr>
          <w:p w14:paraId="52218C25" w14:textId="77777777" w:rsidR="006A218B" w:rsidRPr="00E93126" w:rsidRDefault="006A218B" w:rsidP="009B4616">
            <w:pPr>
              <w:pStyle w:val="ExhibitText"/>
              <w:jc w:val="right"/>
              <w:rPr>
                <w:bCs/>
                <w:lang w:val="en-GB"/>
              </w:rPr>
            </w:pPr>
            <w:r w:rsidRPr="00E93126">
              <w:rPr>
                <w:bCs/>
                <w:lang w:val="en-GB"/>
              </w:rPr>
              <w:t>37</w:t>
            </w:r>
            <w:r w:rsidR="00BC426A" w:rsidRPr="00E93126">
              <w:rPr>
                <w:bCs/>
                <w:lang w:val="en-GB"/>
              </w:rPr>
              <w:t>,</w:t>
            </w:r>
            <w:r w:rsidRPr="00E93126">
              <w:rPr>
                <w:bCs/>
                <w:lang w:val="en-GB"/>
              </w:rPr>
              <w:t>000</w:t>
            </w:r>
          </w:p>
        </w:tc>
        <w:tc>
          <w:tcPr>
            <w:tcW w:w="1170" w:type="dxa"/>
            <w:shd w:val="clear" w:color="auto" w:fill="auto"/>
            <w:noWrap/>
            <w:vAlign w:val="center"/>
            <w:hideMark/>
          </w:tcPr>
          <w:p w14:paraId="6C0A4673" w14:textId="77777777" w:rsidR="006A218B" w:rsidRPr="00E93126" w:rsidRDefault="006A218B" w:rsidP="009B4616">
            <w:pPr>
              <w:pStyle w:val="ExhibitText"/>
              <w:jc w:val="right"/>
              <w:rPr>
                <w:bCs/>
                <w:lang w:val="en-GB"/>
              </w:rPr>
            </w:pPr>
            <w:r w:rsidRPr="00E93126">
              <w:rPr>
                <w:bCs/>
                <w:lang w:val="en-GB"/>
              </w:rPr>
              <w:t>37</w:t>
            </w:r>
            <w:r w:rsidR="00BC426A" w:rsidRPr="00E93126">
              <w:rPr>
                <w:bCs/>
                <w:lang w:val="en-GB"/>
              </w:rPr>
              <w:t>,</w:t>
            </w:r>
            <w:r w:rsidRPr="00E93126">
              <w:rPr>
                <w:bCs/>
                <w:lang w:val="en-GB"/>
              </w:rPr>
              <w:t>000</w:t>
            </w:r>
          </w:p>
        </w:tc>
        <w:tc>
          <w:tcPr>
            <w:tcW w:w="990" w:type="dxa"/>
            <w:shd w:val="clear" w:color="auto" w:fill="auto"/>
            <w:noWrap/>
            <w:vAlign w:val="center"/>
            <w:hideMark/>
          </w:tcPr>
          <w:p w14:paraId="613D8FE7" w14:textId="77777777" w:rsidR="006A218B" w:rsidRPr="00E93126" w:rsidRDefault="006A218B" w:rsidP="009B4616">
            <w:pPr>
              <w:pStyle w:val="ExhibitText"/>
              <w:jc w:val="right"/>
              <w:rPr>
                <w:bCs/>
                <w:lang w:val="en-GB"/>
              </w:rPr>
            </w:pPr>
            <w:r w:rsidRPr="00E93126">
              <w:rPr>
                <w:bCs/>
                <w:lang w:val="en-GB"/>
              </w:rPr>
              <w:t>73</w:t>
            </w:r>
            <w:r w:rsidR="00BC426A" w:rsidRPr="00E93126">
              <w:rPr>
                <w:bCs/>
                <w:lang w:val="en-GB"/>
              </w:rPr>
              <w:t>,</w:t>
            </w:r>
            <w:r w:rsidRPr="00E93126">
              <w:rPr>
                <w:bCs/>
                <w:lang w:val="en-GB"/>
              </w:rPr>
              <w:t>000</w:t>
            </w:r>
          </w:p>
        </w:tc>
        <w:tc>
          <w:tcPr>
            <w:tcW w:w="1013" w:type="dxa"/>
            <w:shd w:val="clear" w:color="auto" w:fill="auto"/>
            <w:noWrap/>
            <w:vAlign w:val="center"/>
            <w:hideMark/>
          </w:tcPr>
          <w:p w14:paraId="11C680F0" w14:textId="77777777" w:rsidR="006A218B" w:rsidRPr="00E93126" w:rsidRDefault="006A218B" w:rsidP="009B4616">
            <w:pPr>
              <w:pStyle w:val="ExhibitText"/>
              <w:jc w:val="right"/>
              <w:rPr>
                <w:bCs/>
                <w:lang w:val="en-GB"/>
              </w:rPr>
            </w:pPr>
            <w:r w:rsidRPr="00E93126">
              <w:rPr>
                <w:bCs/>
                <w:lang w:val="en-GB"/>
              </w:rPr>
              <w:t>57</w:t>
            </w:r>
            <w:r w:rsidR="00BC426A" w:rsidRPr="00E93126">
              <w:rPr>
                <w:bCs/>
                <w:lang w:val="en-GB"/>
              </w:rPr>
              <w:t>,</w:t>
            </w:r>
            <w:r w:rsidRPr="00E93126">
              <w:rPr>
                <w:bCs/>
                <w:lang w:val="en-GB"/>
              </w:rPr>
              <w:t>000</w:t>
            </w:r>
          </w:p>
        </w:tc>
        <w:tc>
          <w:tcPr>
            <w:tcW w:w="900" w:type="dxa"/>
            <w:shd w:val="clear" w:color="auto" w:fill="auto"/>
            <w:noWrap/>
            <w:vAlign w:val="center"/>
            <w:hideMark/>
          </w:tcPr>
          <w:p w14:paraId="074D3FDF" w14:textId="77777777" w:rsidR="006A218B" w:rsidRPr="00E93126" w:rsidRDefault="006A218B" w:rsidP="009B4616">
            <w:pPr>
              <w:pStyle w:val="ExhibitText"/>
              <w:jc w:val="right"/>
              <w:rPr>
                <w:bCs/>
                <w:lang w:val="en-GB"/>
              </w:rPr>
            </w:pPr>
            <w:r w:rsidRPr="00E93126">
              <w:rPr>
                <w:bCs/>
                <w:lang w:val="en-GB"/>
              </w:rPr>
              <w:t>10</w:t>
            </w:r>
            <w:r w:rsidR="00BC426A" w:rsidRPr="00E93126">
              <w:rPr>
                <w:bCs/>
                <w:lang w:val="en-GB"/>
              </w:rPr>
              <w:t>,</w:t>
            </w:r>
            <w:r w:rsidRPr="00E93126">
              <w:rPr>
                <w:bCs/>
                <w:lang w:val="en-GB"/>
              </w:rPr>
              <w:t>000</w:t>
            </w:r>
          </w:p>
        </w:tc>
        <w:tc>
          <w:tcPr>
            <w:tcW w:w="900" w:type="dxa"/>
            <w:shd w:val="clear" w:color="auto" w:fill="auto"/>
            <w:noWrap/>
            <w:vAlign w:val="center"/>
            <w:hideMark/>
          </w:tcPr>
          <w:p w14:paraId="399808D5" w14:textId="77777777" w:rsidR="006A218B" w:rsidRPr="00E93126" w:rsidRDefault="006A218B" w:rsidP="009B4616">
            <w:pPr>
              <w:pStyle w:val="ExhibitText"/>
              <w:jc w:val="right"/>
              <w:rPr>
                <w:bCs/>
                <w:lang w:val="en-GB"/>
              </w:rPr>
            </w:pPr>
            <w:r w:rsidRPr="00E93126">
              <w:rPr>
                <w:bCs/>
                <w:lang w:val="en-GB"/>
              </w:rPr>
              <w:t>9</w:t>
            </w:r>
            <w:r w:rsidR="00BC426A" w:rsidRPr="00E93126">
              <w:rPr>
                <w:bCs/>
                <w:lang w:val="en-GB"/>
              </w:rPr>
              <w:t>,</w:t>
            </w:r>
            <w:r w:rsidRPr="00E93126">
              <w:rPr>
                <w:bCs/>
                <w:lang w:val="en-GB"/>
              </w:rPr>
              <w:t>000</w:t>
            </w:r>
          </w:p>
        </w:tc>
        <w:tc>
          <w:tcPr>
            <w:tcW w:w="967" w:type="dxa"/>
            <w:shd w:val="clear" w:color="auto" w:fill="auto"/>
            <w:noWrap/>
            <w:vAlign w:val="center"/>
            <w:hideMark/>
          </w:tcPr>
          <w:p w14:paraId="18979D69" w14:textId="77777777" w:rsidR="006A218B" w:rsidRPr="00E93126" w:rsidRDefault="006A218B" w:rsidP="009B4616">
            <w:pPr>
              <w:pStyle w:val="ExhibitText"/>
              <w:jc w:val="right"/>
              <w:rPr>
                <w:bCs/>
                <w:lang w:val="en-GB"/>
              </w:rPr>
            </w:pPr>
            <w:r w:rsidRPr="00E93126">
              <w:rPr>
                <w:bCs/>
                <w:lang w:val="en-GB"/>
              </w:rPr>
              <w:t>223</w:t>
            </w:r>
            <w:r w:rsidR="00BC426A" w:rsidRPr="00E93126">
              <w:rPr>
                <w:bCs/>
                <w:lang w:val="en-GB"/>
              </w:rPr>
              <w:t>,</w:t>
            </w:r>
            <w:r w:rsidRPr="00E93126">
              <w:rPr>
                <w:bCs/>
                <w:lang w:val="en-GB"/>
              </w:rPr>
              <w:t>000</w:t>
            </w:r>
          </w:p>
        </w:tc>
      </w:tr>
      <w:tr w:rsidR="006A218B" w:rsidRPr="00E93126" w14:paraId="6C798C66" w14:textId="77777777" w:rsidTr="00C54D8C">
        <w:trPr>
          <w:cantSplit/>
          <w:trHeight w:val="20"/>
          <w:jc w:val="center"/>
        </w:trPr>
        <w:tc>
          <w:tcPr>
            <w:tcW w:w="2205" w:type="dxa"/>
            <w:shd w:val="clear" w:color="auto" w:fill="auto"/>
            <w:noWrap/>
            <w:vAlign w:val="center"/>
            <w:hideMark/>
          </w:tcPr>
          <w:p w14:paraId="108C9EEA" w14:textId="77777777" w:rsidR="006A218B" w:rsidRPr="00E93126" w:rsidRDefault="006A218B" w:rsidP="009B4616">
            <w:pPr>
              <w:pStyle w:val="ExhibitText"/>
              <w:jc w:val="left"/>
              <w:rPr>
                <w:lang w:val="en-GB"/>
              </w:rPr>
            </w:pPr>
            <w:r w:rsidRPr="00E93126">
              <w:rPr>
                <w:b/>
                <w:lang w:val="en-GB"/>
              </w:rPr>
              <w:t>2015</w:t>
            </w:r>
          </w:p>
        </w:tc>
        <w:tc>
          <w:tcPr>
            <w:tcW w:w="990" w:type="dxa"/>
            <w:shd w:val="clear" w:color="auto" w:fill="auto"/>
            <w:noWrap/>
            <w:vAlign w:val="center"/>
            <w:hideMark/>
          </w:tcPr>
          <w:p w14:paraId="7DB942E8" w14:textId="77777777" w:rsidR="006A218B" w:rsidRPr="00B53995" w:rsidRDefault="006A218B" w:rsidP="009B4616">
            <w:pPr>
              <w:pStyle w:val="ExhibitText"/>
              <w:jc w:val="center"/>
              <w:rPr>
                <w:b/>
                <w:lang w:val="en-GB"/>
              </w:rPr>
            </w:pPr>
            <w:proofErr w:type="spellStart"/>
            <w:r w:rsidRPr="00B53995">
              <w:rPr>
                <w:b/>
                <w:lang w:val="en-GB"/>
              </w:rPr>
              <w:t>Fairdeal</w:t>
            </w:r>
            <w:proofErr w:type="spellEnd"/>
          </w:p>
        </w:tc>
        <w:tc>
          <w:tcPr>
            <w:tcW w:w="1170" w:type="dxa"/>
            <w:shd w:val="clear" w:color="auto" w:fill="auto"/>
            <w:noWrap/>
            <w:vAlign w:val="center"/>
            <w:hideMark/>
          </w:tcPr>
          <w:p w14:paraId="4748BE8F" w14:textId="77777777" w:rsidR="006A218B" w:rsidRPr="00B53995" w:rsidRDefault="006A218B" w:rsidP="009B4616">
            <w:pPr>
              <w:pStyle w:val="ExhibitText"/>
              <w:jc w:val="center"/>
              <w:rPr>
                <w:b/>
                <w:lang w:val="en-GB"/>
              </w:rPr>
            </w:pPr>
            <w:proofErr w:type="spellStart"/>
            <w:r w:rsidRPr="00B53995">
              <w:rPr>
                <w:b/>
                <w:lang w:val="en-GB"/>
              </w:rPr>
              <w:t>Technica</w:t>
            </w:r>
            <w:proofErr w:type="spellEnd"/>
          </w:p>
        </w:tc>
        <w:tc>
          <w:tcPr>
            <w:tcW w:w="990" w:type="dxa"/>
            <w:shd w:val="clear" w:color="auto" w:fill="auto"/>
            <w:noWrap/>
            <w:vAlign w:val="center"/>
            <w:hideMark/>
          </w:tcPr>
          <w:p w14:paraId="4CC34C97" w14:textId="77777777" w:rsidR="006A218B" w:rsidRPr="00B53995" w:rsidRDefault="006A218B" w:rsidP="009B4616">
            <w:pPr>
              <w:pStyle w:val="ExhibitText"/>
              <w:jc w:val="center"/>
              <w:rPr>
                <w:b/>
                <w:lang w:val="en-GB"/>
              </w:rPr>
            </w:pPr>
            <w:r w:rsidRPr="00B53995">
              <w:rPr>
                <w:b/>
                <w:lang w:val="en-GB"/>
              </w:rPr>
              <w:t>GOLDY</w:t>
            </w:r>
          </w:p>
        </w:tc>
        <w:tc>
          <w:tcPr>
            <w:tcW w:w="1013" w:type="dxa"/>
            <w:shd w:val="clear" w:color="auto" w:fill="auto"/>
            <w:noWrap/>
            <w:vAlign w:val="center"/>
            <w:hideMark/>
          </w:tcPr>
          <w:p w14:paraId="7B5E121F" w14:textId="77777777" w:rsidR="006A218B" w:rsidRPr="00B53995" w:rsidRDefault="006A218B" w:rsidP="009B4616">
            <w:pPr>
              <w:pStyle w:val="ExhibitText"/>
              <w:jc w:val="center"/>
              <w:rPr>
                <w:b/>
                <w:lang w:val="en-GB"/>
              </w:rPr>
            </w:pPr>
            <w:r w:rsidRPr="00B53995">
              <w:rPr>
                <w:b/>
                <w:lang w:val="en-GB"/>
              </w:rPr>
              <w:t>Smart Line</w:t>
            </w:r>
          </w:p>
        </w:tc>
        <w:tc>
          <w:tcPr>
            <w:tcW w:w="900" w:type="dxa"/>
            <w:shd w:val="clear" w:color="auto" w:fill="auto"/>
            <w:noWrap/>
            <w:vAlign w:val="center"/>
            <w:hideMark/>
          </w:tcPr>
          <w:p w14:paraId="62EA2439" w14:textId="77777777" w:rsidR="006A218B" w:rsidRPr="00B53995" w:rsidRDefault="006A218B" w:rsidP="009B4616">
            <w:pPr>
              <w:pStyle w:val="ExhibitText"/>
              <w:jc w:val="center"/>
              <w:rPr>
                <w:b/>
                <w:lang w:val="en-GB"/>
              </w:rPr>
            </w:pPr>
            <w:r w:rsidRPr="00B53995">
              <w:rPr>
                <w:b/>
                <w:lang w:val="en-GB"/>
              </w:rPr>
              <w:t>Harlem</w:t>
            </w:r>
          </w:p>
        </w:tc>
        <w:tc>
          <w:tcPr>
            <w:tcW w:w="900" w:type="dxa"/>
            <w:shd w:val="clear" w:color="auto" w:fill="auto"/>
            <w:noWrap/>
            <w:vAlign w:val="center"/>
            <w:hideMark/>
          </w:tcPr>
          <w:p w14:paraId="4B7C8D60" w14:textId="77777777" w:rsidR="006A218B" w:rsidRPr="00B53995" w:rsidRDefault="006A218B" w:rsidP="009B4616">
            <w:pPr>
              <w:pStyle w:val="ExhibitText"/>
              <w:jc w:val="center"/>
              <w:rPr>
                <w:b/>
                <w:lang w:val="en-GB"/>
              </w:rPr>
            </w:pPr>
            <w:r w:rsidRPr="00B53995">
              <w:rPr>
                <w:b/>
                <w:lang w:val="en-GB"/>
              </w:rPr>
              <w:t>Others</w:t>
            </w:r>
          </w:p>
        </w:tc>
        <w:tc>
          <w:tcPr>
            <w:tcW w:w="967" w:type="dxa"/>
            <w:shd w:val="clear" w:color="auto" w:fill="auto"/>
            <w:noWrap/>
            <w:vAlign w:val="center"/>
            <w:hideMark/>
          </w:tcPr>
          <w:p w14:paraId="04488095" w14:textId="77777777" w:rsidR="006A218B" w:rsidRPr="00B53995" w:rsidRDefault="006A218B" w:rsidP="009B4616">
            <w:pPr>
              <w:pStyle w:val="ExhibitText"/>
              <w:jc w:val="center"/>
              <w:rPr>
                <w:b/>
                <w:lang w:val="en-GB"/>
              </w:rPr>
            </w:pPr>
            <w:r w:rsidRPr="00B53995">
              <w:rPr>
                <w:b/>
                <w:lang w:val="en-GB"/>
              </w:rPr>
              <w:t>Total</w:t>
            </w:r>
          </w:p>
        </w:tc>
      </w:tr>
      <w:tr w:rsidR="006A218B" w:rsidRPr="00E93126" w14:paraId="76C19171" w14:textId="77777777" w:rsidTr="00C54D8C">
        <w:trPr>
          <w:cantSplit/>
          <w:trHeight w:val="20"/>
          <w:jc w:val="center"/>
        </w:trPr>
        <w:tc>
          <w:tcPr>
            <w:tcW w:w="2205" w:type="dxa"/>
            <w:shd w:val="clear" w:color="auto" w:fill="auto"/>
            <w:noWrap/>
            <w:vAlign w:val="center"/>
            <w:hideMark/>
          </w:tcPr>
          <w:p w14:paraId="0E0C0EB5" w14:textId="77777777" w:rsidR="006A218B" w:rsidRPr="00E93126" w:rsidRDefault="006A218B" w:rsidP="009B4616">
            <w:pPr>
              <w:pStyle w:val="ExhibitText"/>
              <w:jc w:val="left"/>
              <w:rPr>
                <w:lang w:val="en-GB"/>
              </w:rPr>
            </w:pPr>
            <w:r w:rsidRPr="00E93126">
              <w:rPr>
                <w:lang w:val="en-GB"/>
              </w:rPr>
              <w:t>Abdul Electronics</w:t>
            </w:r>
          </w:p>
        </w:tc>
        <w:tc>
          <w:tcPr>
            <w:tcW w:w="990" w:type="dxa"/>
            <w:shd w:val="clear" w:color="auto" w:fill="auto"/>
            <w:noWrap/>
            <w:vAlign w:val="center"/>
            <w:hideMark/>
          </w:tcPr>
          <w:p w14:paraId="7F9CEDB9" w14:textId="77777777" w:rsidR="006A218B" w:rsidRPr="00E93126" w:rsidRDefault="006A218B" w:rsidP="009B4616">
            <w:pPr>
              <w:pStyle w:val="ExhibitText"/>
              <w:jc w:val="right"/>
              <w:rPr>
                <w:lang w:val="en-GB"/>
              </w:rPr>
            </w:pPr>
            <w:r w:rsidRPr="00E93126">
              <w:rPr>
                <w:lang w:val="en-GB"/>
              </w:rPr>
              <w:t>2</w:t>
            </w:r>
            <w:r w:rsidR="004B5A80" w:rsidRPr="00E93126">
              <w:rPr>
                <w:lang w:val="en-GB"/>
              </w:rPr>
              <w:t>,</w:t>
            </w:r>
            <w:r w:rsidRPr="00E93126">
              <w:rPr>
                <w:lang w:val="en-GB"/>
              </w:rPr>
              <w:t>600</w:t>
            </w:r>
          </w:p>
        </w:tc>
        <w:tc>
          <w:tcPr>
            <w:tcW w:w="1170" w:type="dxa"/>
            <w:shd w:val="clear" w:color="auto" w:fill="auto"/>
            <w:noWrap/>
            <w:vAlign w:val="center"/>
            <w:hideMark/>
          </w:tcPr>
          <w:p w14:paraId="4258C659" w14:textId="77777777" w:rsidR="006A218B" w:rsidRPr="00E93126" w:rsidRDefault="006A218B" w:rsidP="009B4616">
            <w:pPr>
              <w:pStyle w:val="ExhibitText"/>
              <w:jc w:val="right"/>
              <w:rPr>
                <w:lang w:val="en-GB"/>
              </w:rPr>
            </w:pPr>
            <w:r w:rsidRPr="00E93126">
              <w:rPr>
                <w:lang w:val="en-GB"/>
              </w:rPr>
              <w:t>0</w:t>
            </w:r>
          </w:p>
        </w:tc>
        <w:tc>
          <w:tcPr>
            <w:tcW w:w="990" w:type="dxa"/>
            <w:shd w:val="clear" w:color="auto" w:fill="auto"/>
            <w:noWrap/>
            <w:vAlign w:val="center"/>
            <w:hideMark/>
          </w:tcPr>
          <w:p w14:paraId="62BE0CC9"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400</w:t>
            </w:r>
          </w:p>
        </w:tc>
        <w:tc>
          <w:tcPr>
            <w:tcW w:w="1013" w:type="dxa"/>
            <w:shd w:val="clear" w:color="auto" w:fill="auto"/>
            <w:noWrap/>
            <w:vAlign w:val="center"/>
            <w:hideMark/>
          </w:tcPr>
          <w:p w14:paraId="2FFD6DA9" w14:textId="77777777" w:rsidR="006A218B" w:rsidRPr="00E93126" w:rsidRDefault="006A218B" w:rsidP="009B4616">
            <w:pPr>
              <w:pStyle w:val="ExhibitText"/>
              <w:jc w:val="right"/>
              <w:rPr>
                <w:lang w:val="en-GB"/>
              </w:rPr>
            </w:pPr>
            <w:r w:rsidRPr="00E93126">
              <w:rPr>
                <w:lang w:val="en-GB"/>
              </w:rPr>
              <w:t>500</w:t>
            </w:r>
          </w:p>
        </w:tc>
        <w:tc>
          <w:tcPr>
            <w:tcW w:w="900" w:type="dxa"/>
            <w:shd w:val="clear" w:color="auto" w:fill="auto"/>
            <w:noWrap/>
            <w:vAlign w:val="center"/>
            <w:hideMark/>
          </w:tcPr>
          <w:p w14:paraId="2864C2CA" w14:textId="77777777" w:rsidR="006A218B" w:rsidRPr="00E93126" w:rsidRDefault="006A218B" w:rsidP="009B4616">
            <w:pPr>
              <w:pStyle w:val="ExhibitText"/>
              <w:jc w:val="right"/>
              <w:rPr>
                <w:lang w:val="en-GB"/>
              </w:rPr>
            </w:pPr>
            <w:r w:rsidRPr="00E93126">
              <w:rPr>
                <w:lang w:val="en-GB"/>
              </w:rPr>
              <w:t>300</w:t>
            </w:r>
          </w:p>
        </w:tc>
        <w:tc>
          <w:tcPr>
            <w:tcW w:w="900" w:type="dxa"/>
            <w:shd w:val="clear" w:color="auto" w:fill="auto"/>
            <w:noWrap/>
            <w:vAlign w:val="center"/>
            <w:hideMark/>
          </w:tcPr>
          <w:p w14:paraId="3C91836B" w14:textId="77777777" w:rsidR="006A218B" w:rsidRPr="00E93126" w:rsidRDefault="006A218B" w:rsidP="009B4616">
            <w:pPr>
              <w:pStyle w:val="ExhibitText"/>
              <w:jc w:val="right"/>
              <w:rPr>
                <w:lang w:val="en-GB"/>
              </w:rPr>
            </w:pPr>
            <w:r w:rsidRPr="00E93126">
              <w:rPr>
                <w:lang w:val="en-GB"/>
              </w:rPr>
              <w:t>600</w:t>
            </w:r>
          </w:p>
        </w:tc>
        <w:tc>
          <w:tcPr>
            <w:tcW w:w="967" w:type="dxa"/>
            <w:shd w:val="clear" w:color="auto" w:fill="auto"/>
            <w:noWrap/>
            <w:vAlign w:val="center"/>
            <w:hideMark/>
          </w:tcPr>
          <w:p w14:paraId="356B7703" w14:textId="77777777" w:rsidR="006A218B" w:rsidRPr="00E93126" w:rsidRDefault="006A218B" w:rsidP="009B4616">
            <w:pPr>
              <w:pStyle w:val="ExhibitText"/>
              <w:jc w:val="right"/>
              <w:rPr>
                <w:lang w:val="en-GB"/>
              </w:rPr>
            </w:pPr>
            <w:r w:rsidRPr="00E93126">
              <w:rPr>
                <w:lang w:val="en-GB"/>
              </w:rPr>
              <w:t>5</w:t>
            </w:r>
            <w:r w:rsidR="004B5A80" w:rsidRPr="00E93126">
              <w:rPr>
                <w:lang w:val="en-GB"/>
              </w:rPr>
              <w:t>,</w:t>
            </w:r>
            <w:r w:rsidRPr="00E93126">
              <w:rPr>
                <w:lang w:val="en-GB"/>
              </w:rPr>
              <w:t>400</w:t>
            </w:r>
          </w:p>
        </w:tc>
      </w:tr>
      <w:tr w:rsidR="006A218B" w:rsidRPr="00E93126" w14:paraId="6E88319E" w14:textId="77777777" w:rsidTr="00C54D8C">
        <w:trPr>
          <w:cantSplit/>
          <w:trHeight w:val="20"/>
          <w:jc w:val="center"/>
        </w:trPr>
        <w:tc>
          <w:tcPr>
            <w:tcW w:w="2205" w:type="dxa"/>
            <w:shd w:val="clear" w:color="auto" w:fill="auto"/>
            <w:noWrap/>
            <w:vAlign w:val="center"/>
            <w:hideMark/>
          </w:tcPr>
          <w:p w14:paraId="7AF596B5" w14:textId="77777777" w:rsidR="006A218B" w:rsidRPr="00E93126" w:rsidRDefault="006A218B" w:rsidP="009B4616">
            <w:pPr>
              <w:pStyle w:val="ExhibitText"/>
              <w:jc w:val="left"/>
              <w:rPr>
                <w:lang w:val="en-GB"/>
              </w:rPr>
            </w:pPr>
            <w:r w:rsidRPr="00E93126">
              <w:rPr>
                <w:lang w:val="en-GB"/>
              </w:rPr>
              <w:t>Spectrum</w:t>
            </w:r>
            <w:r w:rsidR="00393762" w:rsidRPr="00E93126">
              <w:rPr>
                <w:lang w:val="en-GB"/>
              </w:rPr>
              <w:t xml:space="preserve"> Electronics</w:t>
            </w:r>
          </w:p>
        </w:tc>
        <w:tc>
          <w:tcPr>
            <w:tcW w:w="990" w:type="dxa"/>
            <w:shd w:val="clear" w:color="auto" w:fill="auto"/>
            <w:noWrap/>
            <w:vAlign w:val="center"/>
            <w:hideMark/>
          </w:tcPr>
          <w:p w14:paraId="3AA384EE"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2E2F7CF2"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100</w:t>
            </w:r>
          </w:p>
        </w:tc>
        <w:tc>
          <w:tcPr>
            <w:tcW w:w="990" w:type="dxa"/>
            <w:shd w:val="clear" w:color="auto" w:fill="auto"/>
            <w:noWrap/>
            <w:vAlign w:val="center"/>
            <w:hideMark/>
          </w:tcPr>
          <w:p w14:paraId="6ED92BA0" w14:textId="77777777" w:rsidR="006A218B" w:rsidRPr="00E93126" w:rsidRDefault="006A218B" w:rsidP="009B4616">
            <w:pPr>
              <w:pStyle w:val="ExhibitText"/>
              <w:jc w:val="right"/>
              <w:rPr>
                <w:lang w:val="en-GB"/>
              </w:rPr>
            </w:pPr>
            <w:r w:rsidRPr="00E93126">
              <w:rPr>
                <w:lang w:val="en-GB"/>
              </w:rPr>
              <w:t>2</w:t>
            </w:r>
            <w:r w:rsidR="004B5A80" w:rsidRPr="00E93126">
              <w:rPr>
                <w:lang w:val="en-GB"/>
              </w:rPr>
              <w:t>,</w:t>
            </w:r>
            <w:r w:rsidRPr="00E93126">
              <w:rPr>
                <w:lang w:val="en-GB"/>
              </w:rPr>
              <w:t>600</w:t>
            </w:r>
          </w:p>
        </w:tc>
        <w:tc>
          <w:tcPr>
            <w:tcW w:w="1013" w:type="dxa"/>
            <w:shd w:val="clear" w:color="auto" w:fill="auto"/>
            <w:noWrap/>
            <w:vAlign w:val="center"/>
            <w:hideMark/>
          </w:tcPr>
          <w:p w14:paraId="1C6B7F8E" w14:textId="77777777" w:rsidR="006A218B" w:rsidRPr="00E93126" w:rsidRDefault="006A218B" w:rsidP="009B4616">
            <w:pPr>
              <w:pStyle w:val="ExhibitText"/>
              <w:jc w:val="right"/>
              <w:rPr>
                <w:lang w:val="en-GB"/>
              </w:rPr>
            </w:pPr>
            <w:r w:rsidRPr="00E93126">
              <w:rPr>
                <w:lang w:val="en-GB"/>
              </w:rPr>
              <w:t>850</w:t>
            </w:r>
          </w:p>
        </w:tc>
        <w:tc>
          <w:tcPr>
            <w:tcW w:w="900" w:type="dxa"/>
            <w:shd w:val="clear" w:color="auto" w:fill="auto"/>
            <w:noWrap/>
            <w:vAlign w:val="center"/>
            <w:hideMark/>
          </w:tcPr>
          <w:p w14:paraId="630929C0"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7193894F" w14:textId="77777777" w:rsidR="006A218B" w:rsidRPr="00E93126" w:rsidRDefault="006A218B" w:rsidP="009B4616">
            <w:pPr>
              <w:pStyle w:val="ExhibitText"/>
              <w:jc w:val="right"/>
              <w:rPr>
                <w:lang w:val="en-GB"/>
              </w:rPr>
            </w:pPr>
            <w:r w:rsidRPr="00E93126">
              <w:rPr>
                <w:lang w:val="en-GB"/>
              </w:rPr>
              <w:t>600</w:t>
            </w:r>
          </w:p>
        </w:tc>
        <w:tc>
          <w:tcPr>
            <w:tcW w:w="967" w:type="dxa"/>
            <w:shd w:val="clear" w:color="auto" w:fill="auto"/>
            <w:noWrap/>
            <w:vAlign w:val="center"/>
            <w:hideMark/>
          </w:tcPr>
          <w:p w14:paraId="44077E61" w14:textId="77777777" w:rsidR="006A218B" w:rsidRPr="00E93126" w:rsidRDefault="006A218B" w:rsidP="009B4616">
            <w:pPr>
              <w:pStyle w:val="ExhibitText"/>
              <w:jc w:val="right"/>
              <w:rPr>
                <w:lang w:val="en-GB"/>
              </w:rPr>
            </w:pPr>
            <w:r w:rsidRPr="00E93126">
              <w:rPr>
                <w:lang w:val="en-GB"/>
              </w:rPr>
              <w:t>5</w:t>
            </w:r>
            <w:r w:rsidR="004B5A80" w:rsidRPr="00E93126">
              <w:rPr>
                <w:lang w:val="en-GB"/>
              </w:rPr>
              <w:t>,</w:t>
            </w:r>
            <w:r w:rsidRPr="00E93126">
              <w:rPr>
                <w:lang w:val="en-GB"/>
              </w:rPr>
              <w:t>150</w:t>
            </w:r>
          </w:p>
        </w:tc>
      </w:tr>
      <w:tr w:rsidR="006A218B" w:rsidRPr="00E93126" w14:paraId="78D011CA" w14:textId="77777777" w:rsidTr="00C54D8C">
        <w:trPr>
          <w:cantSplit/>
          <w:trHeight w:val="20"/>
          <w:jc w:val="center"/>
        </w:trPr>
        <w:tc>
          <w:tcPr>
            <w:tcW w:w="2205" w:type="dxa"/>
            <w:shd w:val="clear" w:color="auto" w:fill="auto"/>
            <w:noWrap/>
            <w:vAlign w:val="center"/>
            <w:hideMark/>
          </w:tcPr>
          <w:p w14:paraId="79E46731" w14:textId="77777777" w:rsidR="006A218B" w:rsidRPr="00E93126" w:rsidRDefault="006A218B" w:rsidP="00393762">
            <w:pPr>
              <w:pStyle w:val="ExhibitText"/>
              <w:jc w:val="left"/>
              <w:rPr>
                <w:lang w:val="en-GB"/>
              </w:rPr>
            </w:pPr>
            <w:r w:rsidRPr="00E93126">
              <w:rPr>
                <w:lang w:val="en-GB"/>
              </w:rPr>
              <w:t>Ind</w:t>
            </w:r>
            <w:r w:rsidR="00753BFB" w:rsidRPr="00E93126">
              <w:rPr>
                <w:lang w:val="en-GB"/>
              </w:rPr>
              <w:t>onesia</w:t>
            </w:r>
            <w:r w:rsidR="00393762" w:rsidRPr="00E93126">
              <w:rPr>
                <w:lang w:val="en-GB"/>
              </w:rPr>
              <w:t xml:space="preserve"> United A</w:t>
            </w:r>
            <w:r w:rsidRPr="00E93126">
              <w:rPr>
                <w:lang w:val="en-GB"/>
              </w:rPr>
              <w:t>pp</w:t>
            </w:r>
            <w:r w:rsidR="00393762" w:rsidRPr="00E93126">
              <w:rPr>
                <w:lang w:val="en-GB"/>
              </w:rPr>
              <w:t>liances</w:t>
            </w:r>
          </w:p>
        </w:tc>
        <w:tc>
          <w:tcPr>
            <w:tcW w:w="990" w:type="dxa"/>
            <w:shd w:val="clear" w:color="auto" w:fill="auto"/>
            <w:noWrap/>
            <w:vAlign w:val="center"/>
            <w:hideMark/>
          </w:tcPr>
          <w:p w14:paraId="4A57B91D"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2265602F" w14:textId="77777777" w:rsidR="006A218B" w:rsidRPr="00E93126" w:rsidRDefault="006A218B" w:rsidP="009B4616">
            <w:pPr>
              <w:pStyle w:val="ExhibitText"/>
              <w:jc w:val="right"/>
              <w:rPr>
                <w:lang w:val="en-GB"/>
              </w:rPr>
            </w:pPr>
            <w:r w:rsidRPr="00E93126">
              <w:rPr>
                <w:lang w:val="en-GB"/>
              </w:rPr>
              <w:t>2</w:t>
            </w:r>
            <w:r w:rsidR="004B5A80" w:rsidRPr="00E93126">
              <w:rPr>
                <w:lang w:val="en-GB"/>
              </w:rPr>
              <w:t>,</w:t>
            </w:r>
            <w:r w:rsidRPr="00E93126">
              <w:rPr>
                <w:lang w:val="en-GB"/>
              </w:rPr>
              <w:t>500</w:t>
            </w:r>
          </w:p>
        </w:tc>
        <w:tc>
          <w:tcPr>
            <w:tcW w:w="990" w:type="dxa"/>
            <w:shd w:val="clear" w:color="auto" w:fill="auto"/>
            <w:noWrap/>
            <w:vAlign w:val="center"/>
            <w:hideMark/>
          </w:tcPr>
          <w:p w14:paraId="2627ABF7"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700</w:t>
            </w:r>
          </w:p>
        </w:tc>
        <w:tc>
          <w:tcPr>
            <w:tcW w:w="1013" w:type="dxa"/>
            <w:shd w:val="clear" w:color="auto" w:fill="auto"/>
            <w:noWrap/>
            <w:vAlign w:val="center"/>
            <w:hideMark/>
          </w:tcPr>
          <w:p w14:paraId="5AFCE1BE" w14:textId="77777777" w:rsidR="006A218B" w:rsidRPr="00E93126" w:rsidRDefault="006A218B" w:rsidP="009B4616">
            <w:pPr>
              <w:pStyle w:val="ExhibitText"/>
              <w:jc w:val="right"/>
              <w:rPr>
                <w:lang w:val="en-GB"/>
              </w:rPr>
            </w:pPr>
            <w:r w:rsidRPr="00E93126">
              <w:rPr>
                <w:lang w:val="en-GB"/>
              </w:rPr>
              <w:t>700</w:t>
            </w:r>
          </w:p>
        </w:tc>
        <w:tc>
          <w:tcPr>
            <w:tcW w:w="900" w:type="dxa"/>
            <w:shd w:val="clear" w:color="auto" w:fill="auto"/>
            <w:noWrap/>
            <w:vAlign w:val="center"/>
            <w:hideMark/>
          </w:tcPr>
          <w:p w14:paraId="326D2D03" w14:textId="77777777" w:rsidR="006A218B" w:rsidRPr="00E93126" w:rsidRDefault="006A218B" w:rsidP="009B4616">
            <w:pPr>
              <w:pStyle w:val="ExhibitText"/>
              <w:jc w:val="right"/>
              <w:rPr>
                <w:lang w:val="en-GB"/>
              </w:rPr>
            </w:pPr>
            <w:r w:rsidRPr="00E93126">
              <w:rPr>
                <w:lang w:val="en-GB"/>
              </w:rPr>
              <w:t>800</w:t>
            </w:r>
          </w:p>
        </w:tc>
        <w:tc>
          <w:tcPr>
            <w:tcW w:w="900" w:type="dxa"/>
            <w:shd w:val="clear" w:color="auto" w:fill="auto"/>
            <w:noWrap/>
            <w:vAlign w:val="center"/>
            <w:hideMark/>
          </w:tcPr>
          <w:p w14:paraId="216490A7"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000</w:t>
            </w:r>
          </w:p>
        </w:tc>
        <w:tc>
          <w:tcPr>
            <w:tcW w:w="967" w:type="dxa"/>
            <w:shd w:val="clear" w:color="auto" w:fill="auto"/>
            <w:noWrap/>
            <w:vAlign w:val="center"/>
            <w:hideMark/>
          </w:tcPr>
          <w:p w14:paraId="2A0E11DD" w14:textId="77777777" w:rsidR="006A218B" w:rsidRPr="00E93126" w:rsidRDefault="006A218B" w:rsidP="009B4616">
            <w:pPr>
              <w:pStyle w:val="ExhibitText"/>
              <w:jc w:val="right"/>
              <w:rPr>
                <w:lang w:val="en-GB"/>
              </w:rPr>
            </w:pPr>
            <w:r w:rsidRPr="00E93126">
              <w:rPr>
                <w:lang w:val="en-GB"/>
              </w:rPr>
              <w:t>6</w:t>
            </w:r>
            <w:r w:rsidR="004B5A80" w:rsidRPr="00E93126">
              <w:rPr>
                <w:lang w:val="en-GB"/>
              </w:rPr>
              <w:t>,</w:t>
            </w:r>
            <w:r w:rsidRPr="00E93126">
              <w:rPr>
                <w:lang w:val="en-GB"/>
              </w:rPr>
              <w:t>700</w:t>
            </w:r>
          </w:p>
        </w:tc>
      </w:tr>
      <w:tr w:rsidR="006A218B" w:rsidRPr="00E93126" w14:paraId="1CEDCC8A" w14:textId="77777777" w:rsidTr="00C54D8C">
        <w:trPr>
          <w:cantSplit/>
          <w:trHeight w:val="20"/>
          <w:jc w:val="center"/>
        </w:trPr>
        <w:tc>
          <w:tcPr>
            <w:tcW w:w="2205" w:type="dxa"/>
            <w:shd w:val="clear" w:color="auto" w:fill="auto"/>
            <w:noWrap/>
            <w:vAlign w:val="center"/>
            <w:hideMark/>
          </w:tcPr>
          <w:p w14:paraId="61476FA9" w14:textId="77777777" w:rsidR="006A218B" w:rsidRPr="00E93126" w:rsidRDefault="006A218B" w:rsidP="009B4616">
            <w:pPr>
              <w:pStyle w:val="ExhibitText"/>
              <w:jc w:val="left"/>
              <w:rPr>
                <w:lang w:val="en-GB"/>
              </w:rPr>
            </w:pPr>
            <w:r w:rsidRPr="00E93126">
              <w:rPr>
                <w:lang w:val="en-GB"/>
              </w:rPr>
              <w:t>Northeast</w:t>
            </w:r>
            <w:r w:rsidR="00393762" w:rsidRPr="00E93126">
              <w:rPr>
                <w:lang w:val="en-GB"/>
              </w:rPr>
              <w:t xml:space="preserve"> Electronics</w:t>
            </w:r>
          </w:p>
        </w:tc>
        <w:tc>
          <w:tcPr>
            <w:tcW w:w="990" w:type="dxa"/>
            <w:shd w:val="clear" w:color="auto" w:fill="auto"/>
            <w:noWrap/>
            <w:vAlign w:val="center"/>
            <w:hideMark/>
          </w:tcPr>
          <w:p w14:paraId="0C939B36" w14:textId="77777777" w:rsidR="006A218B" w:rsidRPr="00E93126" w:rsidRDefault="006A218B" w:rsidP="009B4616">
            <w:pPr>
              <w:pStyle w:val="ExhibitText"/>
              <w:jc w:val="right"/>
              <w:rPr>
                <w:lang w:val="en-GB"/>
              </w:rPr>
            </w:pPr>
            <w:r w:rsidRPr="00E93126">
              <w:rPr>
                <w:lang w:val="en-GB"/>
              </w:rPr>
              <w:t>750</w:t>
            </w:r>
          </w:p>
        </w:tc>
        <w:tc>
          <w:tcPr>
            <w:tcW w:w="1170" w:type="dxa"/>
            <w:shd w:val="clear" w:color="auto" w:fill="auto"/>
            <w:noWrap/>
            <w:vAlign w:val="center"/>
            <w:hideMark/>
          </w:tcPr>
          <w:p w14:paraId="15B620EA" w14:textId="77777777" w:rsidR="006A218B" w:rsidRPr="00E93126" w:rsidRDefault="006A218B" w:rsidP="009B4616">
            <w:pPr>
              <w:pStyle w:val="ExhibitText"/>
              <w:jc w:val="right"/>
              <w:rPr>
                <w:lang w:val="en-GB"/>
              </w:rPr>
            </w:pPr>
            <w:r w:rsidRPr="00E93126">
              <w:rPr>
                <w:lang w:val="en-GB"/>
              </w:rPr>
              <w:t>800</w:t>
            </w:r>
          </w:p>
        </w:tc>
        <w:tc>
          <w:tcPr>
            <w:tcW w:w="990" w:type="dxa"/>
            <w:shd w:val="clear" w:color="auto" w:fill="auto"/>
            <w:noWrap/>
            <w:vAlign w:val="center"/>
            <w:hideMark/>
          </w:tcPr>
          <w:p w14:paraId="071970A0"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800</w:t>
            </w:r>
          </w:p>
        </w:tc>
        <w:tc>
          <w:tcPr>
            <w:tcW w:w="1013" w:type="dxa"/>
            <w:shd w:val="clear" w:color="auto" w:fill="auto"/>
            <w:noWrap/>
            <w:vAlign w:val="center"/>
            <w:hideMark/>
          </w:tcPr>
          <w:p w14:paraId="760265C4" w14:textId="77777777" w:rsidR="006A218B" w:rsidRPr="00E93126" w:rsidRDefault="006A218B" w:rsidP="009B4616">
            <w:pPr>
              <w:pStyle w:val="ExhibitText"/>
              <w:jc w:val="right"/>
              <w:rPr>
                <w:lang w:val="en-GB"/>
              </w:rPr>
            </w:pPr>
            <w:r w:rsidRPr="00E93126">
              <w:rPr>
                <w:lang w:val="en-GB"/>
              </w:rPr>
              <w:t>600</w:t>
            </w:r>
          </w:p>
        </w:tc>
        <w:tc>
          <w:tcPr>
            <w:tcW w:w="900" w:type="dxa"/>
            <w:shd w:val="clear" w:color="auto" w:fill="auto"/>
            <w:noWrap/>
            <w:vAlign w:val="center"/>
            <w:hideMark/>
          </w:tcPr>
          <w:p w14:paraId="55070085" w14:textId="77777777" w:rsidR="006A218B" w:rsidRPr="00E93126" w:rsidRDefault="006A218B" w:rsidP="009B4616">
            <w:pPr>
              <w:pStyle w:val="ExhibitText"/>
              <w:jc w:val="right"/>
              <w:rPr>
                <w:lang w:val="en-GB"/>
              </w:rPr>
            </w:pPr>
            <w:r w:rsidRPr="00E93126">
              <w:rPr>
                <w:lang w:val="en-GB"/>
              </w:rPr>
              <w:t>700</w:t>
            </w:r>
          </w:p>
        </w:tc>
        <w:tc>
          <w:tcPr>
            <w:tcW w:w="900" w:type="dxa"/>
            <w:shd w:val="clear" w:color="auto" w:fill="auto"/>
            <w:noWrap/>
            <w:vAlign w:val="center"/>
            <w:hideMark/>
          </w:tcPr>
          <w:p w14:paraId="08ABD2F3" w14:textId="77777777" w:rsidR="006A218B" w:rsidRPr="00E93126" w:rsidRDefault="006A218B" w:rsidP="009B4616">
            <w:pPr>
              <w:pStyle w:val="ExhibitText"/>
              <w:jc w:val="right"/>
              <w:rPr>
                <w:lang w:val="en-GB"/>
              </w:rPr>
            </w:pPr>
            <w:r w:rsidRPr="00E93126">
              <w:rPr>
                <w:lang w:val="en-GB"/>
              </w:rPr>
              <w:t>0</w:t>
            </w:r>
          </w:p>
        </w:tc>
        <w:tc>
          <w:tcPr>
            <w:tcW w:w="967" w:type="dxa"/>
            <w:shd w:val="clear" w:color="auto" w:fill="auto"/>
            <w:noWrap/>
            <w:vAlign w:val="center"/>
            <w:hideMark/>
          </w:tcPr>
          <w:p w14:paraId="42C86595" w14:textId="77777777" w:rsidR="006A218B" w:rsidRPr="00E93126" w:rsidRDefault="006A218B" w:rsidP="009B4616">
            <w:pPr>
              <w:pStyle w:val="ExhibitText"/>
              <w:jc w:val="right"/>
              <w:rPr>
                <w:lang w:val="en-GB"/>
              </w:rPr>
            </w:pPr>
            <w:r w:rsidRPr="00E93126">
              <w:rPr>
                <w:lang w:val="en-GB"/>
              </w:rPr>
              <w:t>4</w:t>
            </w:r>
            <w:r w:rsidR="004B5A80" w:rsidRPr="00E93126">
              <w:rPr>
                <w:lang w:val="en-GB"/>
              </w:rPr>
              <w:t>,</w:t>
            </w:r>
            <w:r w:rsidRPr="00E93126">
              <w:rPr>
                <w:lang w:val="en-GB"/>
              </w:rPr>
              <w:t>650</w:t>
            </w:r>
          </w:p>
        </w:tc>
      </w:tr>
      <w:tr w:rsidR="006A218B" w:rsidRPr="00E93126" w14:paraId="22BCAE0F" w14:textId="77777777" w:rsidTr="00C54D8C">
        <w:trPr>
          <w:cantSplit/>
          <w:trHeight w:val="20"/>
          <w:jc w:val="center"/>
        </w:trPr>
        <w:tc>
          <w:tcPr>
            <w:tcW w:w="2205" w:type="dxa"/>
            <w:shd w:val="clear" w:color="auto" w:fill="auto"/>
            <w:noWrap/>
            <w:vAlign w:val="center"/>
            <w:hideMark/>
          </w:tcPr>
          <w:p w14:paraId="69CC8194" w14:textId="77777777" w:rsidR="006A218B" w:rsidRPr="00E93126" w:rsidRDefault="006A218B" w:rsidP="009B4616">
            <w:pPr>
              <w:pStyle w:val="ExhibitText"/>
              <w:jc w:val="left"/>
              <w:rPr>
                <w:lang w:val="en-GB"/>
              </w:rPr>
            </w:pPr>
            <w:r w:rsidRPr="00E93126">
              <w:rPr>
                <w:lang w:val="en-GB"/>
              </w:rPr>
              <w:t>Vision Electronics</w:t>
            </w:r>
          </w:p>
        </w:tc>
        <w:tc>
          <w:tcPr>
            <w:tcW w:w="990" w:type="dxa"/>
            <w:shd w:val="clear" w:color="auto" w:fill="auto"/>
            <w:noWrap/>
            <w:vAlign w:val="center"/>
            <w:hideMark/>
          </w:tcPr>
          <w:p w14:paraId="6593F47D" w14:textId="77777777" w:rsidR="006A218B" w:rsidRPr="00E93126" w:rsidRDefault="006A218B" w:rsidP="009B4616">
            <w:pPr>
              <w:pStyle w:val="ExhibitText"/>
              <w:jc w:val="right"/>
              <w:rPr>
                <w:lang w:val="en-GB"/>
              </w:rPr>
            </w:pPr>
            <w:r w:rsidRPr="00E93126">
              <w:rPr>
                <w:lang w:val="en-GB"/>
              </w:rPr>
              <w:t>0</w:t>
            </w:r>
          </w:p>
        </w:tc>
        <w:tc>
          <w:tcPr>
            <w:tcW w:w="1170" w:type="dxa"/>
            <w:shd w:val="clear" w:color="auto" w:fill="auto"/>
            <w:noWrap/>
            <w:vAlign w:val="center"/>
            <w:hideMark/>
          </w:tcPr>
          <w:p w14:paraId="7817448F"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500</w:t>
            </w:r>
          </w:p>
        </w:tc>
        <w:tc>
          <w:tcPr>
            <w:tcW w:w="990" w:type="dxa"/>
            <w:shd w:val="clear" w:color="auto" w:fill="auto"/>
            <w:noWrap/>
            <w:vAlign w:val="center"/>
            <w:hideMark/>
          </w:tcPr>
          <w:p w14:paraId="2FAE2A65" w14:textId="77777777" w:rsidR="006A218B" w:rsidRPr="00E93126" w:rsidRDefault="006A218B" w:rsidP="009B4616">
            <w:pPr>
              <w:pStyle w:val="ExhibitText"/>
              <w:jc w:val="right"/>
              <w:rPr>
                <w:lang w:val="en-GB"/>
              </w:rPr>
            </w:pPr>
            <w:r w:rsidRPr="00E93126">
              <w:rPr>
                <w:lang w:val="en-GB"/>
              </w:rPr>
              <w:t>2</w:t>
            </w:r>
            <w:r w:rsidR="004B5A80" w:rsidRPr="00E93126">
              <w:rPr>
                <w:lang w:val="en-GB"/>
              </w:rPr>
              <w:t>,</w:t>
            </w:r>
            <w:r w:rsidRPr="00E93126">
              <w:rPr>
                <w:lang w:val="en-GB"/>
              </w:rPr>
              <w:t>600</w:t>
            </w:r>
          </w:p>
        </w:tc>
        <w:tc>
          <w:tcPr>
            <w:tcW w:w="1013" w:type="dxa"/>
            <w:shd w:val="clear" w:color="auto" w:fill="auto"/>
            <w:noWrap/>
            <w:vAlign w:val="center"/>
            <w:hideMark/>
          </w:tcPr>
          <w:p w14:paraId="479D35B0" w14:textId="77777777" w:rsidR="006A218B" w:rsidRPr="00E93126" w:rsidRDefault="006A218B" w:rsidP="009B4616">
            <w:pPr>
              <w:pStyle w:val="ExhibitText"/>
              <w:jc w:val="right"/>
              <w:rPr>
                <w:lang w:val="en-GB"/>
              </w:rPr>
            </w:pPr>
            <w:r w:rsidRPr="00E93126">
              <w:rPr>
                <w:lang w:val="en-GB"/>
              </w:rPr>
              <w:t>500</w:t>
            </w:r>
          </w:p>
        </w:tc>
        <w:tc>
          <w:tcPr>
            <w:tcW w:w="900" w:type="dxa"/>
            <w:shd w:val="clear" w:color="auto" w:fill="auto"/>
            <w:noWrap/>
            <w:vAlign w:val="center"/>
            <w:hideMark/>
          </w:tcPr>
          <w:p w14:paraId="75218856"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22783E8F" w14:textId="77777777" w:rsidR="006A218B" w:rsidRPr="00E93126" w:rsidRDefault="006A218B" w:rsidP="009B4616">
            <w:pPr>
              <w:pStyle w:val="ExhibitText"/>
              <w:jc w:val="right"/>
              <w:rPr>
                <w:lang w:val="en-GB"/>
              </w:rPr>
            </w:pPr>
            <w:r w:rsidRPr="00E93126">
              <w:rPr>
                <w:lang w:val="en-GB"/>
              </w:rPr>
              <w:t>450</w:t>
            </w:r>
          </w:p>
        </w:tc>
        <w:tc>
          <w:tcPr>
            <w:tcW w:w="967" w:type="dxa"/>
            <w:shd w:val="clear" w:color="auto" w:fill="auto"/>
            <w:noWrap/>
            <w:vAlign w:val="center"/>
            <w:hideMark/>
          </w:tcPr>
          <w:p w14:paraId="7A04BC67" w14:textId="77777777" w:rsidR="006A218B" w:rsidRPr="00E93126" w:rsidRDefault="006A218B" w:rsidP="009B4616">
            <w:pPr>
              <w:pStyle w:val="ExhibitText"/>
              <w:jc w:val="right"/>
              <w:rPr>
                <w:lang w:val="en-GB"/>
              </w:rPr>
            </w:pPr>
            <w:r w:rsidRPr="00E93126">
              <w:rPr>
                <w:lang w:val="en-GB"/>
              </w:rPr>
              <w:t>5</w:t>
            </w:r>
            <w:r w:rsidR="004B5A80" w:rsidRPr="00E93126">
              <w:rPr>
                <w:lang w:val="en-GB"/>
              </w:rPr>
              <w:t>,</w:t>
            </w:r>
            <w:r w:rsidRPr="00E93126">
              <w:rPr>
                <w:lang w:val="en-GB"/>
              </w:rPr>
              <w:t>050</w:t>
            </w:r>
          </w:p>
        </w:tc>
      </w:tr>
      <w:tr w:rsidR="006A218B" w:rsidRPr="00E93126" w14:paraId="3B5FE310" w14:textId="77777777" w:rsidTr="00C54D8C">
        <w:trPr>
          <w:cantSplit/>
          <w:trHeight w:val="20"/>
          <w:jc w:val="center"/>
        </w:trPr>
        <w:tc>
          <w:tcPr>
            <w:tcW w:w="2205" w:type="dxa"/>
            <w:shd w:val="clear" w:color="auto" w:fill="auto"/>
            <w:noWrap/>
            <w:vAlign w:val="center"/>
            <w:hideMark/>
          </w:tcPr>
          <w:p w14:paraId="3B6E4BFE" w14:textId="77777777" w:rsidR="006A218B" w:rsidRPr="00E93126" w:rsidRDefault="006A218B" w:rsidP="00733495">
            <w:pPr>
              <w:pStyle w:val="ExhibitText"/>
              <w:jc w:val="left"/>
              <w:rPr>
                <w:lang w:val="en-GB"/>
              </w:rPr>
            </w:pPr>
            <w:r w:rsidRPr="00E93126">
              <w:rPr>
                <w:lang w:val="en-GB"/>
              </w:rPr>
              <w:t>Rahman Sales</w:t>
            </w:r>
          </w:p>
        </w:tc>
        <w:tc>
          <w:tcPr>
            <w:tcW w:w="990" w:type="dxa"/>
            <w:shd w:val="clear" w:color="auto" w:fill="auto"/>
            <w:noWrap/>
            <w:vAlign w:val="center"/>
            <w:hideMark/>
          </w:tcPr>
          <w:p w14:paraId="11662140"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000</w:t>
            </w:r>
          </w:p>
        </w:tc>
        <w:tc>
          <w:tcPr>
            <w:tcW w:w="1170" w:type="dxa"/>
            <w:shd w:val="clear" w:color="auto" w:fill="auto"/>
            <w:noWrap/>
            <w:vAlign w:val="center"/>
            <w:hideMark/>
          </w:tcPr>
          <w:p w14:paraId="16163CCA" w14:textId="77777777" w:rsidR="006A218B" w:rsidRPr="00E93126" w:rsidRDefault="006A218B" w:rsidP="009B4616">
            <w:pPr>
              <w:pStyle w:val="ExhibitText"/>
              <w:jc w:val="right"/>
              <w:rPr>
                <w:lang w:val="en-GB"/>
              </w:rPr>
            </w:pPr>
            <w:r w:rsidRPr="00E93126">
              <w:rPr>
                <w:lang w:val="en-GB"/>
              </w:rPr>
              <w:t>0</w:t>
            </w:r>
          </w:p>
        </w:tc>
        <w:tc>
          <w:tcPr>
            <w:tcW w:w="990" w:type="dxa"/>
            <w:shd w:val="clear" w:color="auto" w:fill="auto"/>
            <w:noWrap/>
            <w:vAlign w:val="center"/>
            <w:hideMark/>
          </w:tcPr>
          <w:p w14:paraId="6E26CF1F" w14:textId="77777777" w:rsidR="006A218B" w:rsidRPr="00E93126" w:rsidRDefault="006A218B" w:rsidP="009B4616">
            <w:pPr>
              <w:pStyle w:val="ExhibitText"/>
              <w:jc w:val="right"/>
              <w:rPr>
                <w:lang w:val="en-GB"/>
              </w:rPr>
            </w:pPr>
            <w:r w:rsidRPr="00E93126">
              <w:rPr>
                <w:lang w:val="en-GB"/>
              </w:rPr>
              <w:t>2</w:t>
            </w:r>
            <w:r w:rsidR="004B5A80" w:rsidRPr="00E93126">
              <w:rPr>
                <w:lang w:val="en-GB"/>
              </w:rPr>
              <w:t>,</w:t>
            </w:r>
            <w:r w:rsidRPr="00E93126">
              <w:rPr>
                <w:lang w:val="en-GB"/>
              </w:rPr>
              <w:t>200</w:t>
            </w:r>
          </w:p>
        </w:tc>
        <w:tc>
          <w:tcPr>
            <w:tcW w:w="1013" w:type="dxa"/>
            <w:shd w:val="clear" w:color="auto" w:fill="auto"/>
            <w:noWrap/>
            <w:vAlign w:val="center"/>
            <w:hideMark/>
          </w:tcPr>
          <w:p w14:paraId="61E4CBE0" w14:textId="77777777" w:rsidR="006A218B" w:rsidRPr="00E93126" w:rsidRDefault="006A218B" w:rsidP="009B4616">
            <w:pPr>
              <w:pStyle w:val="ExhibitText"/>
              <w:jc w:val="right"/>
              <w:rPr>
                <w:lang w:val="en-GB"/>
              </w:rPr>
            </w:pPr>
            <w:r w:rsidRPr="00E93126">
              <w:rPr>
                <w:lang w:val="en-GB"/>
              </w:rPr>
              <w:t>600</w:t>
            </w:r>
          </w:p>
        </w:tc>
        <w:tc>
          <w:tcPr>
            <w:tcW w:w="900" w:type="dxa"/>
            <w:shd w:val="clear" w:color="auto" w:fill="auto"/>
            <w:noWrap/>
            <w:vAlign w:val="center"/>
            <w:hideMark/>
          </w:tcPr>
          <w:p w14:paraId="216E34B5" w14:textId="77777777" w:rsidR="006A218B" w:rsidRPr="00E93126" w:rsidRDefault="006A218B" w:rsidP="009B4616">
            <w:pPr>
              <w:pStyle w:val="ExhibitText"/>
              <w:jc w:val="right"/>
              <w:rPr>
                <w:lang w:val="en-GB"/>
              </w:rPr>
            </w:pPr>
            <w:r w:rsidRPr="00E93126">
              <w:rPr>
                <w:lang w:val="en-GB"/>
              </w:rPr>
              <w:t>0</w:t>
            </w:r>
          </w:p>
        </w:tc>
        <w:tc>
          <w:tcPr>
            <w:tcW w:w="900" w:type="dxa"/>
            <w:shd w:val="clear" w:color="auto" w:fill="auto"/>
            <w:noWrap/>
            <w:vAlign w:val="center"/>
            <w:hideMark/>
          </w:tcPr>
          <w:p w14:paraId="1BE8BF8D" w14:textId="77777777" w:rsidR="006A218B" w:rsidRPr="00E93126" w:rsidRDefault="006A218B" w:rsidP="009B4616">
            <w:pPr>
              <w:pStyle w:val="ExhibitText"/>
              <w:jc w:val="right"/>
              <w:rPr>
                <w:lang w:val="en-GB"/>
              </w:rPr>
            </w:pPr>
            <w:r w:rsidRPr="00E93126">
              <w:rPr>
                <w:lang w:val="en-GB"/>
              </w:rPr>
              <w:t>400</w:t>
            </w:r>
          </w:p>
        </w:tc>
        <w:tc>
          <w:tcPr>
            <w:tcW w:w="967" w:type="dxa"/>
            <w:shd w:val="clear" w:color="auto" w:fill="auto"/>
            <w:noWrap/>
            <w:vAlign w:val="center"/>
            <w:hideMark/>
          </w:tcPr>
          <w:p w14:paraId="4B0935C0" w14:textId="77777777" w:rsidR="006A218B" w:rsidRPr="00E93126" w:rsidRDefault="006A218B" w:rsidP="009B4616">
            <w:pPr>
              <w:pStyle w:val="ExhibitText"/>
              <w:jc w:val="right"/>
              <w:rPr>
                <w:lang w:val="en-GB"/>
              </w:rPr>
            </w:pPr>
            <w:r w:rsidRPr="00E93126">
              <w:rPr>
                <w:lang w:val="en-GB"/>
              </w:rPr>
              <w:t>4</w:t>
            </w:r>
            <w:r w:rsidR="004B5A80" w:rsidRPr="00E93126">
              <w:rPr>
                <w:lang w:val="en-GB"/>
              </w:rPr>
              <w:t>,</w:t>
            </w:r>
            <w:r w:rsidRPr="00E93126">
              <w:rPr>
                <w:lang w:val="en-GB"/>
              </w:rPr>
              <w:t>200</w:t>
            </w:r>
          </w:p>
        </w:tc>
      </w:tr>
      <w:tr w:rsidR="006A218B" w:rsidRPr="00E93126" w14:paraId="37C14514" w14:textId="77777777" w:rsidTr="00C54D8C">
        <w:trPr>
          <w:cantSplit/>
          <w:trHeight w:val="20"/>
          <w:jc w:val="center"/>
        </w:trPr>
        <w:tc>
          <w:tcPr>
            <w:tcW w:w="2205" w:type="dxa"/>
            <w:shd w:val="clear" w:color="auto" w:fill="auto"/>
            <w:noWrap/>
            <w:vAlign w:val="center"/>
            <w:hideMark/>
          </w:tcPr>
          <w:p w14:paraId="6896AE42" w14:textId="77777777" w:rsidR="006A218B" w:rsidRPr="00E93126" w:rsidRDefault="006A218B" w:rsidP="009B4616">
            <w:pPr>
              <w:pStyle w:val="ExhibitText"/>
              <w:jc w:val="left"/>
              <w:rPr>
                <w:lang w:val="en-GB"/>
              </w:rPr>
            </w:pPr>
            <w:r w:rsidRPr="00E93126">
              <w:rPr>
                <w:lang w:val="en-GB"/>
              </w:rPr>
              <w:t>Others</w:t>
            </w:r>
          </w:p>
        </w:tc>
        <w:tc>
          <w:tcPr>
            <w:tcW w:w="990" w:type="dxa"/>
            <w:shd w:val="clear" w:color="auto" w:fill="auto"/>
            <w:noWrap/>
            <w:vAlign w:val="center"/>
            <w:hideMark/>
          </w:tcPr>
          <w:p w14:paraId="77A804D2" w14:textId="77777777" w:rsidR="006A218B" w:rsidRPr="00E93126" w:rsidRDefault="006A218B" w:rsidP="009B4616">
            <w:pPr>
              <w:pStyle w:val="ExhibitText"/>
              <w:jc w:val="right"/>
              <w:rPr>
                <w:lang w:val="en-GB"/>
              </w:rPr>
            </w:pPr>
            <w:r w:rsidRPr="00E93126">
              <w:rPr>
                <w:lang w:val="en-GB"/>
              </w:rPr>
              <w:t>500</w:t>
            </w:r>
          </w:p>
        </w:tc>
        <w:tc>
          <w:tcPr>
            <w:tcW w:w="1170" w:type="dxa"/>
            <w:shd w:val="clear" w:color="auto" w:fill="auto"/>
            <w:noWrap/>
            <w:vAlign w:val="center"/>
            <w:hideMark/>
          </w:tcPr>
          <w:p w14:paraId="03CDED3F" w14:textId="77777777" w:rsidR="006A218B" w:rsidRPr="00E93126" w:rsidRDefault="006A218B" w:rsidP="009B4616">
            <w:pPr>
              <w:pStyle w:val="ExhibitText"/>
              <w:jc w:val="right"/>
              <w:rPr>
                <w:lang w:val="en-GB"/>
              </w:rPr>
            </w:pPr>
            <w:r w:rsidRPr="00E93126">
              <w:rPr>
                <w:lang w:val="en-GB"/>
              </w:rPr>
              <w:t>800</w:t>
            </w:r>
          </w:p>
        </w:tc>
        <w:tc>
          <w:tcPr>
            <w:tcW w:w="990" w:type="dxa"/>
            <w:shd w:val="clear" w:color="auto" w:fill="auto"/>
            <w:noWrap/>
            <w:vAlign w:val="center"/>
            <w:hideMark/>
          </w:tcPr>
          <w:p w14:paraId="0E132E3B"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700</w:t>
            </w:r>
          </w:p>
        </w:tc>
        <w:tc>
          <w:tcPr>
            <w:tcW w:w="1013" w:type="dxa"/>
            <w:shd w:val="clear" w:color="auto" w:fill="auto"/>
            <w:noWrap/>
            <w:vAlign w:val="center"/>
            <w:hideMark/>
          </w:tcPr>
          <w:p w14:paraId="10E14496"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800</w:t>
            </w:r>
          </w:p>
        </w:tc>
        <w:tc>
          <w:tcPr>
            <w:tcW w:w="900" w:type="dxa"/>
            <w:shd w:val="clear" w:color="auto" w:fill="auto"/>
            <w:noWrap/>
            <w:vAlign w:val="center"/>
            <w:hideMark/>
          </w:tcPr>
          <w:p w14:paraId="2D10D5FB" w14:textId="77777777" w:rsidR="006A218B" w:rsidRPr="00E93126" w:rsidRDefault="006A218B" w:rsidP="009B4616">
            <w:pPr>
              <w:pStyle w:val="ExhibitText"/>
              <w:jc w:val="right"/>
              <w:rPr>
                <w:lang w:val="en-GB"/>
              </w:rPr>
            </w:pPr>
            <w:r w:rsidRPr="00E93126">
              <w:rPr>
                <w:lang w:val="en-GB"/>
              </w:rPr>
              <w:t>1</w:t>
            </w:r>
            <w:r w:rsidR="004B5A80" w:rsidRPr="00E93126">
              <w:rPr>
                <w:lang w:val="en-GB"/>
              </w:rPr>
              <w:t>,</w:t>
            </w:r>
            <w:r w:rsidRPr="00E93126">
              <w:rPr>
                <w:lang w:val="en-GB"/>
              </w:rPr>
              <w:t>100</w:t>
            </w:r>
          </w:p>
        </w:tc>
        <w:tc>
          <w:tcPr>
            <w:tcW w:w="900" w:type="dxa"/>
            <w:shd w:val="clear" w:color="auto" w:fill="auto"/>
            <w:noWrap/>
            <w:vAlign w:val="center"/>
            <w:hideMark/>
          </w:tcPr>
          <w:p w14:paraId="79EDCD74" w14:textId="77777777" w:rsidR="006A218B" w:rsidRPr="00E93126" w:rsidRDefault="006A218B" w:rsidP="009B4616">
            <w:pPr>
              <w:pStyle w:val="ExhibitText"/>
              <w:jc w:val="right"/>
              <w:rPr>
                <w:lang w:val="en-GB"/>
              </w:rPr>
            </w:pPr>
            <w:r w:rsidRPr="00E93126">
              <w:rPr>
                <w:lang w:val="en-GB"/>
              </w:rPr>
              <w:t>500</w:t>
            </w:r>
          </w:p>
        </w:tc>
        <w:tc>
          <w:tcPr>
            <w:tcW w:w="967" w:type="dxa"/>
            <w:shd w:val="clear" w:color="auto" w:fill="auto"/>
            <w:noWrap/>
            <w:vAlign w:val="center"/>
            <w:hideMark/>
          </w:tcPr>
          <w:p w14:paraId="32EFE216" w14:textId="77777777" w:rsidR="006A218B" w:rsidRPr="00E93126" w:rsidRDefault="006A218B" w:rsidP="009B4616">
            <w:pPr>
              <w:pStyle w:val="ExhibitText"/>
              <w:jc w:val="right"/>
              <w:rPr>
                <w:lang w:val="en-GB"/>
              </w:rPr>
            </w:pPr>
            <w:r w:rsidRPr="00E93126">
              <w:rPr>
                <w:lang w:val="en-GB"/>
              </w:rPr>
              <w:t>6</w:t>
            </w:r>
            <w:r w:rsidR="004B5A80" w:rsidRPr="00E93126">
              <w:rPr>
                <w:lang w:val="en-GB"/>
              </w:rPr>
              <w:t>,</w:t>
            </w:r>
            <w:r w:rsidRPr="00E93126">
              <w:rPr>
                <w:lang w:val="en-GB"/>
              </w:rPr>
              <w:t>400</w:t>
            </w:r>
          </w:p>
        </w:tc>
      </w:tr>
      <w:tr w:rsidR="006A218B" w:rsidRPr="00E93126" w14:paraId="7E61E0F4" w14:textId="77777777" w:rsidTr="00C54D8C">
        <w:trPr>
          <w:cantSplit/>
          <w:trHeight w:val="20"/>
          <w:jc w:val="center"/>
        </w:trPr>
        <w:tc>
          <w:tcPr>
            <w:tcW w:w="2205" w:type="dxa"/>
            <w:shd w:val="clear" w:color="auto" w:fill="auto"/>
            <w:noWrap/>
            <w:vAlign w:val="center"/>
            <w:hideMark/>
          </w:tcPr>
          <w:p w14:paraId="0C83D700" w14:textId="77777777" w:rsidR="006A218B" w:rsidRPr="00E93126" w:rsidRDefault="006A218B" w:rsidP="009B4616">
            <w:pPr>
              <w:pStyle w:val="ExhibitText"/>
              <w:jc w:val="left"/>
              <w:rPr>
                <w:b/>
                <w:bCs/>
                <w:lang w:val="en-GB"/>
              </w:rPr>
            </w:pPr>
            <w:r w:rsidRPr="00E93126">
              <w:rPr>
                <w:b/>
                <w:bCs/>
                <w:lang w:val="en-GB"/>
              </w:rPr>
              <w:t>Total Denpasar</w:t>
            </w:r>
          </w:p>
        </w:tc>
        <w:tc>
          <w:tcPr>
            <w:tcW w:w="990" w:type="dxa"/>
            <w:shd w:val="clear" w:color="auto" w:fill="auto"/>
            <w:noWrap/>
            <w:vAlign w:val="center"/>
            <w:hideMark/>
          </w:tcPr>
          <w:p w14:paraId="38DBE076" w14:textId="77777777" w:rsidR="006A218B" w:rsidRPr="00E93126" w:rsidRDefault="006A218B" w:rsidP="009B4616">
            <w:pPr>
              <w:pStyle w:val="ExhibitText"/>
              <w:jc w:val="right"/>
              <w:rPr>
                <w:bCs/>
                <w:lang w:val="en-GB"/>
              </w:rPr>
            </w:pPr>
            <w:r w:rsidRPr="00E93126">
              <w:rPr>
                <w:bCs/>
                <w:lang w:val="en-GB"/>
              </w:rPr>
              <w:t>4</w:t>
            </w:r>
            <w:r w:rsidR="004B5A80" w:rsidRPr="00E93126">
              <w:rPr>
                <w:bCs/>
                <w:lang w:val="en-GB"/>
              </w:rPr>
              <w:t>,</w:t>
            </w:r>
            <w:r w:rsidRPr="00E93126">
              <w:rPr>
                <w:bCs/>
                <w:lang w:val="en-GB"/>
              </w:rPr>
              <w:t>850</w:t>
            </w:r>
          </w:p>
        </w:tc>
        <w:tc>
          <w:tcPr>
            <w:tcW w:w="1170" w:type="dxa"/>
            <w:shd w:val="clear" w:color="auto" w:fill="auto"/>
            <w:noWrap/>
            <w:vAlign w:val="center"/>
            <w:hideMark/>
          </w:tcPr>
          <w:p w14:paraId="663ED0F4" w14:textId="77777777" w:rsidR="006A218B" w:rsidRPr="00E93126" w:rsidRDefault="006A218B" w:rsidP="009B4616">
            <w:pPr>
              <w:pStyle w:val="ExhibitText"/>
              <w:jc w:val="right"/>
              <w:rPr>
                <w:bCs/>
                <w:lang w:val="en-GB"/>
              </w:rPr>
            </w:pPr>
            <w:r w:rsidRPr="00E93126">
              <w:rPr>
                <w:bCs/>
                <w:lang w:val="en-GB"/>
              </w:rPr>
              <w:t>6</w:t>
            </w:r>
            <w:r w:rsidR="004B5A80" w:rsidRPr="00E93126">
              <w:rPr>
                <w:bCs/>
                <w:lang w:val="en-GB"/>
              </w:rPr>
              <w:t>,</w:t>
            </w:r>
            <w:r w:rsidRPr="00E93126">
              <w:rPr>
                <w:bCs/>
                <w:lang w:val="en-GB"/>
              </w:rPr>
              <w:t>700</w:t>
            </w:r>
          </w:p>
        </w:tc>
        <w:tc>
          <w:tcPr>
            <w:tcW w:w="990" w:type="dxa"/>
            <w:shd w:val="clear" w:color="auto" w:fill="auto"/>
            <w:noWrap/>
            <w:vAlign w:val="center"/>
            <w:hideMark/>
          </w:tcPr>
          <w:p w14:paraId="12E3026D" w14:textId="77777777" w:rsidR="006A218B" w:rsidRPr="00E93126" w:rsidRDefault="006A218B" w:rsidP="009B4616">
            <w:pPr>
              <w:pStyle w:val="ExhibitText"/>
              <w:jc w:val="right"/>
              <w:rPr>
                <w:bCs/>
                <w:lang w:val="en-GB"/>
              </w:rPr>
            </w:pPr>
            <w:r w:rsidRPr="00E93126">
              <w:rPr>
                <w:bCs/>
                <w:lang w:val="en-GB"/>
              </w:rPr>
              <w:t>14</w:t>
            </w:r>
            <w:r w:rsidR="004B5A80" w:rsidRPr="00E93126">
              <w:rPr>
                <w:bCs/>
                <w:lang w:val="en-GB"/>
              </w:rPr>
              <w:t>,</w:t>
            </w:r>
            <w:r w:rsidRPr="00E93126">
              <w:rPr>
                <w:bCs/>
                <w:lang w:val="en-GB"/>
              </w:rPr>
              <w:t>000</w:t>
            </w:r>
          </w:p>
        </w:tc>
        <w:tc>
          <w:tcPr>
            <w:tcW w:w="1013" w:type="dxa"/>
            <w:shd w:val="clear" w:color="auto" w:fill="auto"/>
            <w:noWrap/>
            <w:vAlign w:val="center"/>
            <w:hideMark/>
          </w:tcPr>
          <w:p w14:paraId="29E0C4A6" w14:textId="77777777" w:rsidR="006A218B" w:rsidRPr="00E93126" w:rsidRDefault="006A218B" w:rsidP="009B4616">
            <w:pPr>
              <w:pStyle w:val="ExhibitText"/>
              <w:jc w:val="right"/>
              <w:rPr>
                <w:bCs/>
                <w:lang w:val="en-GB"/>
              </w:rPr>
            </w:pPr>
            <w:r w:rsidRPr="00E93126">
              <w:rPr>
                <w:bCs/>
                <w:lang w:val="en-GB"/>
              </w:rPr>
              <w:t>5</w:t>
            </w:r>
            <w:r w:rsidR="004B5A80" w:rsidRPr="00E93126">
              <w:rPr>
                <w:bCs/>
                <w:lang w:val="en-GB"/>
              </w:rPr>
              <w:t>,</w:t>
            </w:r>
            <w:r w:rsidRPr="00E93126">
              <w:rPr>
                <w:bCs/>
                <w:lang w:val="en-GB"/>
              </w:rPr>
              <w:t>550</w:t>
            </w:r>
          </w:p>
        </w:tc>
        <w:tc>
          <w:tcPr>
            <w:tcW w:w="900" w:type="dxa"/>
            <w:shd w:val="clear" w:color="auto" w:fill="auto"/>
            <w:noWrap/>
            <w:vAlign w:val="center"/>
            <w:hideMark/>
          </w:tcPr>
          <w:p w14:paraId="2EE4DEDC" w14:textId="77777777" w:rsidR="006A218B" w:rsidRPr="00E93126" w:rsidRDefault="006A218B" w:rsidP="009B4616">
            <w:pPr>
              <w:pStyle w:val="ExhibitText"/>
              <w:jc w:val="right"/>
              <w:rPr>
                <w:bCs/>
                <w:lang w:val="en-GB"/>
              </w:rPr>
            </w:pPr>
            <w:r w:rsidRPr="00E93126">
              <w:rPr>
                <w:bCs/>
                <w:lang w:val="en-GB"/>
              </w:rPr>
              <w:t>2</w:t>
            </w:r>
            <w:r w:rsidR="004B5A80" w:rsidRPr="00E93126">
              <w:rPr>
                <w:bCs/>
                <w:lang w:val="en-GB"/>
              </w:rPr>
              <w:t>,</w:t>
            </w:r>
            <w:r w:rsidRPr="00E93126">
              <w:rPr>
                <w:bCs/>
                <w:lang w:val="en-GB"/>
              </w:rPr>
              <w:t>900</w:t>
            </w:r>
          </w:p>
        </w:tc>
        <w:tc>
          <w:tcPr>
            <w:tcW w:w="900" w:type="dxa"/>
            <w:shd w:val="clear" w:color="auto" w:fill="auto"/>
            <w:noWrap/>
            <w:vAlign w:val="center"/>
            <w:hideMark/>
          </w:tcPr>
          <w:p w14:paraId="1D466D80" w14:textId="77777777" w:rsidR="006A218B" w:rsidRPr="00E93126" w:rsidRDefault="006A218B" w:rsidP="009B4616">
            <w:pPr>
              <w:pStyle w:val="ExhibitText"/>
              <w:jc w:val="right"/>
              <w:rPr>
                <w:bCs/>
                <w:lang w:val="en-GB"/>
              </w:rPr>
            </w:pPr>
            <w:r w:rsidRPr="00E93126">
              <w:rPr>
                <w:bCs/>
                <w:lang w:val="en-GB"/>
              </w:rPr>
              <w:t>3</w:t>
            </w:r>
            <w:r w:rsidR="004B5A80" w:rsidRPr="00E93126">
              <w:rPr>
                <w:bCs/>
                <w:lang w:val="en-GB"/>
              </w:rPr>
              <w:t>,</w:t>
            </w:r>
            <w:r w:rsidRPr="00E93126">
              <w:rPr>
                <w:bCs/>
                <w:lang w:val="en-GB"/>
              </w:rPr>
              <w:t>550</w:t>
            </w:r>
          </w:p>
        </w:tc>
        <w:tc>
          <w:tcPr>
            <w:tcW w:w="967" w:type="dxa"/>
            <w:shd w:val="clear" w:color="auto" w:fill="auto"/>
            <w:noWrap/>
            <w:vAlign w:val="center"/>
            <w:hideMark/>
          </w:tcPr>
          <w:p w14:paraId="31E3773B" w14:textId="77777777" w:rsidR="006A218B" w:rsidRPr="00E93126" w:rsidRDefault="006A218B" w:rsidP="009B4616">
            <w:pPr>
              <w:pStyle w:val="ExhibitText"/>
              <w:jc w:val="right"/>
              <w:rPr>
                <w:lang w:val="en-GB"/>
              </w:rPr>
            </w:pPr>
            <w:r w:rsidRPr="00E93126">
              <w:rPr>
                <w:lang w:val="en-GB"/>
              </w:rPr>
              <w:t>37</w:t>
            </w:r>
            <w:r w:rsidR="004B5A80" w:rsidRPr="00E93126">
              <w:rPr>
                <w:lang w:val="en-GB"/>
              </w:rPr>
              <w:t>,</w:t>
            </w:r>
            <w:r w:rsidRPr="00E93126">
              <w:rPr>
                <w:lang w:val="en-GB"/>
              </w:rPr>
              <w:t>550</w:t>
            </w:r>
          </w:p>
        </w:tc>
      </w:tr>
      <w:tr w:rsidR="006A218B" w:rsidRPr="00E93126" w14:paraId="23CFE41A" w14:textId="77777777" w:rsidTr="00C54D8C">
        <w:trPr>
          <w:cantSplit/>
          <w:trHeight w:val="20"/>
          <w:jc w:val="center"/>
        </w:trPr>
        <w:tc>
          <w:tcPr>
            <w:tcW w:w="2205" w:type="dxa"/>
            <w:shd w:val="clear" w:color="auto" w:fill="auto"/>
            <w:noWrap/>
            <w:vAlign w:val="center"/>
            <w:hideMark/>
          </w:tcPr>
          <w:p w14:paraId="0BFFFEA2" w14:textId="77777777" w:rsidR="006A218B" w:rsidRPr="00E93126" w:rsidRDefault="006A218B" w:rsidP="009B4616">
            <w:pPr>
              <w:pStyle w:val="ExhibitText"/>
              <w:jc w:val="left"/>
              <w:rPr>
                <w:b/>
                <w:bCs/>
                <w:lang w:val="en-GB"/>
              </w:rPr>
            </w:pPr>
            <w:r w:rsidRPr="00E93126">
              <w:rPr>
                <w:b/>
                <w:bCs/>
                <w:lang w:val="en-GB"/>
              </w:rPr>
              <w:t>Total Bali</w:t>
            </w:r>
          </w:p>
        </w:tc>
        <w:tc>
          <w:tcPr>
            <w:tcW w:w="990" w:type="dxa"/>
            <w:shd w:val="clear" w:color="auto" w:fill="auto"/>
            <w:noWrap/>
            <w:vAlign w:val="center"/>
            <w:hideMark/>
          </w:tcPr>
          <w:p w14:paraId="76D8486B" w14:textId="77777777" w:rsidR="006A218B" w:rsidRPr="00E93126" w:rsidRDefault="006A218B" w:rsidP="009B4616">
            <w:pPr>
              <w:pStyle w:val="ExhibitText"/>
              <w:jc w:val="right"/>
              <w:rPr>
                <w:bCs/>
                <w:lang w:val="en-GB"/>
              </w:rPr>
            </w:pPr>
            <w:r w:rsidRPr="00E93126">
              <w:rPr>
                <w:bCs/>
                <w:lang w:val="en-GB"/>
              </w:rPr>
              <w:t>36</w:t>
            </w:r>
            <w:r w:rsidR="004B5A80" w:rsidRPr="00E93126">
              <w:rPr>
                <w:bCs/>
                <w:lang w:val="en-GB"/>
              </w:rPr>
              <w:t>,</w:t>
            </w:r>
            <w:r w:rsidRPr="00E93126">
              <w:rPr>
                <w:bCs/>
                <w:lang w:val="en-GB"/>
              </w:rPr>
              <w:t>500</w:t>
            </w:r>
          </w:p>
        </w:tc>
        <w:tc>
          <w:tcPr>
            <w:tcW w:w="1170" w:type="dxa"/>
            <w:shd w:val="clear" w:color="auto" w:fill="auto"/>
            <w:noWrap/>
            <w:vAlign w:val="center"/>
            <w:hideMark/>
          </w:tcPr>
          <w:p w14:paraId="625F1A38" w14:textId="77777777" w:rsidR="006A218B" w:rsidRPr="00E93126" w:rsidRDefault="006A218B" w:rsidP="009B4616">
            <w:pPr>
              <w:pStyle w:val="ExhibitText"/>
              <w:jc w:val="right"/>
              <w:rPr>
                <w:bCs/>
                <w:lang w:val="en-GB"/>
              </w:rPr>
            </w:pPr>
            <w:r w:rsidRPr="00E93126">
              <w:rPr>
                <w:bCs/>
                <w:lang w:val="en-GB"/>
              </w:rPr>
              <w:t>34</w:t>
            </w:r>
            <w:r w:rsidR="004B5A80" w:rsidRPr="00E93126">
              <w:rPr>
                <w:bCs/>
                <w:lang w:val="en-GB"/>
              </w:rPr>
              <w:t>,</w:t>
            </w:r>
            <w:r w:rsidRPr="00E93126">
              <w:rPr>
                <w:bCs/>
                <w:lang w:val="en-GB"/>
              </w:rPr>
              <w:t>000</w:t>
            </w:r>
          </w:p>
        </w:tc>
        <w:tc>
          <w:tcPr>
            <w:tcW w:w="990" w:type="dxa"/>
            <w:shd w:val="clear" w:color="auto" w:fill="auto"/>
            <w:noWrap/>
            <w:vAlign w:val="center"/>
            <w:hideMark/>
          </w:tcPr>
          <w:p w14:paraId="757DBF2A" w14:textId="77777777" w:rsidR="006A218B" w:rsidRPr="00E93126" w:rsidRDefault="006A218B" w:rsidP="009B4616">
            <w:pPr>
              <w:pStyle w:val="ExhibitText"/>
              <w:jc w:val="right"/>
              <w:rPr>
                <w:bCs/>
                <w:lang w:val="en-GB"/>
              </w:rPr>
            </w:pPr>
            <w:r w:rsidRPr="00E93126">
              <w:rPr>
                <w:bCs/>
                <w:lang w:val="en-GB"/>
              </w:rPr>
              <w:t>71</w:t>
            </w:r>
            <w:r w:rsidR="004B5A80" w:rsidRPr="00E93126">
              <w:rPr>
                <w:bCs/>
                <w:lang w:val="en-GB"/>
              </w:rPr>
              <w:t>,</w:t>
            </w:r>
            <w:r w:rsidRPr="00E93126">
              <w:rPr>
                <w:bCs/>
                <w:lang w:val="en-GB"/>
              </w:rPr>
              <w:t>000</w:t>
            </w:r>
          </w:p>
        </w:tc>
        <w:tc>
          <w:tcPr>
            <w:tcW w:w="1013" w:type="dxa"/>
            <w:shd w:val="clear" w:color="auto" w:fill="auto"/>
            <w:noWrap/>
            <w:vAlign w:val="center"/>
            <w:hideMark/>
          </w:tcPr>
          <w:p w14:paraId="741BB2E1" w14:textId="77777777" w:rsidR="006A218B" w:rsidRPr="00E93126" w:rsidRDefault="006A218B" w:rsidP="009B4616">
            <w:pPr>
              <w:pStyle w:val="ExhibitText"/>
              <w:jc w:val="right"/>
              <w:rPr>
                <w:bCs/>
                <w:lang w:val="en-GB"/>
              </w:rPr>
            </w:pPr>
            <w:r w:rsidRPr="00E93126">
              <w:rPr>
                <w:bCs/>
                <w:lang w:val="en-GB"/>
              </w:rPr>
              <w:t>55</w:t>
            </w:r>
            <w:r w:rsidR="004B5A80" w:rsidRPr="00E93126">
              <w:rPr>
                <w:bCs/>
                <w:lang w:val="en-GB"/>
              </w:rPr>
              <w:t>,</w:t>
            </w:r>
            <w:r w:rsidRPr="00E93126">
              <w:rPr>
                <w:bCs/>
                <w:lang w:val="en-GB"/>
              </w:rPr>
              <w:t>000</w:t>
            </w:r>
          </w:p>
        </w:tc>
        <w:tc>
          <w:tcPr>
            <w:tcW w:w="900" w:type="dxa"/>
            <w:shd w:val="clear" w:color="auto" w:fill="auto"/>
            <w:noWrap/>
            <w:vAlign w:val="center"/>
            <w:hideMark/>
          </w:tcPr>
          <w:p w14:paraId="65AA4F0F" w14:textId="77777777" w:rsidR="006A218B" w:rsidRPr="00E93126" w:rsidRDefault="006A218B" w:rsidP="009B4616">
            <w:pPr>
              <w:pStyle w:val="ExhibitText"/>
              <w:jc w:val="right"/>
              <w:rPr>
                <w:bCs/>
                <w:lang w:val="en-GB"/>
              </w:rPr>
            </w:pPr>
            <w:r w:rsidRPr="00E93126">
              <w:rPr>
                <w:bCs/>
                <w:lang w:val="en-GB"/>
              </w:rPr>
              <w:t>10</w:t>
            </w:r>
            <w:r w:rsidR="004B5A80" w:rsidRPr="00E93126">
              <w:rPr>
                <w:bCs/>
                <w:lang w:val="en-GB"/>
              </w:rPr>
              <w:t>,</w:t>
            </w:r>
            <w:r w:rsidRPr="00E93126">
              <w:rPr>
                <w:bCs/>
                <w:lang w:val="en-GB"/>
              </w:rPr>
              <w:t>000</w:t>
            </w:r>
          </w:p>
        </w:tc>
        <w:tc>
          <w:tcPr>
            <w:tcW w:w="900" w:type="dxa"/>
            <w:shd w:val="clear" w:color="auto" w:fill="auto"/>
            <w:noWrap/>
            <w:vAlign w:val="center"/>
            <w:hideMark/>
          </w:tcPr>
          <w:p w14:paraId="51A7CCE3" w14:textId="77777777" w:rsidR="006A218B" w:rsidRPr="00E93126" w:rsidRDefault="006A218B" w:rsidP="009B4616">
            <w:pPr>
              <w:pStyle w:val="ExhibitText"/>
              <w:jc w:val="right"/>
              <w:rPr>
                <w:bCs/>
                <w:lang w:val="en-GB"/>
              </w:rPr>
            </w:pPr>
            <w:r w:rsidRPr="00E93126">
              <w:rPr>
                <w:bCs/>
                <w:lang w:val="en-GB"/>
              </w:rPr>
              <w:t>9</w:t>
            </w:r>
            <w:r w:rsidR="004B5A80" w:rsidRPr="00E93126">
              <w:rPr>
                <w:bCs/>
                <w:lang w:val="en-GB"/>
              </w:rPr>
              <w:t>,</w:t>
            </w:r>
            <w:r w:rsidRPr="00E93126">
              <w:rPr>
                <w:bCs/>
                <w:lang w:val="en-GB"/>
              </w:rPr>
              <w:t>000</w:t>
            </w:r>
          </w:p>
        </w:tc>
        <w:tc>
          <w:tcPr>
            <w:tcW w:w="967" w:type="dxa"/>
            <w:shd w:val="clear" w:color="auto" w:fill="auto"/>
            <w:noWrap/>
            <w:vAlign w:val="center"/>
            <w:hideMark/>
          </w:tcPr>
          <w:p w14:paraId="2D6C0386" w14:textId="77777777" w:rsidR="006A218B" w:rsidRPr="00E93126" w:rsidRDefault="006A218B" w:rsidP="009B4616">
            <w:pPr>
              <w:pStyle w:val="ExhibitText"/>
              <w:jc w:val="right"/>
              <w:rPr>
                <w:bCs/>
                <w:lang w:val="en-GB"/>
              </w:rPr>
            </w:pPr>
            <w:r w:rsidRPr="00E93126">
              <w:rPr>
                <w:bCs/>
                <w:lang w:val="en-GB"/>
              </w:rPr>
              <w:t>215</w:t>
            </w:r>
            <w:r w:rsidR="004B5A80" w:rsidRPr="00E93126">
              <w:rPr>
                <w:bCs/>
                <w:lang w:val="en-GB"/>
              </w:rPr>
              <w:t>,</w:t>
            </w:r>
            <w:r w:rsidRPr="00E93126">
              <w:rPr>
                <w:bCs/>
                <w:lang w:val="en-GB"/>
              </w:rPr>
              <w:t>500</w:t>
            </w:r>
          </w:p>
        </w:tc>
      </w:tr>
    </w:tbl>
    <w:p w14:paraId="796E8AAA" w14:textId="77777777" w:rsidR="006A218B" w:rsidRPr="00E93126" w:rsidRDefault="006A218B" w:rsidP="00B53995">
      <w:pPr>
        <w:pStyle w:val="ExhibitText"/>
        <w:rPr>
          <w:rFonts w:eastAsiaTheme="minorHAnsi"/>
          <w:lang w:val="en-GB"/>
        </w:rPr>
      </w:pPr>
    </w:p>
    <w:p w14:paraId="20CA9811" w14:textId="77777777" w:rsidR="006A218B" w:rsidRPr="00E93126" w:rsidRDefault="006A218B" w:rsidP="009B4616">
      <w:pPr>
        <w:pStyle w:val="Footnote"/>
        <w:rPr>
          <w:lang w:val="en-GB"/>
        </w:rPr>
      </w:pPr>
      <w:r w:rsidRPr="00E93126">
        <w:rPr>
          <w:lang w:val="en-GB"/>
        </w:rPr>
        <w:t xml:space="preserve">Note: Exhibit data </w:t>
      </w:r>
      <w:r w:rsidR="00203E18" w:rsidRPr="00E93126">
        <w:rPr>
          <w:lang w:val="en-GB"/>
        </w:rPr>
        <w:t xml:space="preserve">have </w:t>
      </w:r>
      <w:r w:rsidRPr="00E93126">
        <w:rPr>
          <w:lang w:val="en-GB"/>
        </w:rPr>
        <w:t xml:space="preserve">been </w:t>
      </w:r>
      <w:r w:rsidR="00E45E7F" w:rsidRPr="00E93126">
        <w:rPr>
          <w:lang w:val="en-GB"/>
        </w:rPr>
        <w:t>disguised</w:t>
      </w:r>
      <w:r w:rsidRPr="00E93126">
        <w:rPr>
          <w:lang w:val="en-GB"/>
        </w:rPr>
        <w:t xml:space="preserve"> to protect confidentiality.</w:t>
      </w:r>
    </w:p>
    <w:p w14:paraId="173884D7" w14:textId="77777777" w:rsidR="00465348" w:rsidRPr="00E93126" w:rsidRDefault="006A218B" w:rsidP="009B4616">
      <w:pPr>
        <w:pStyle w:val="Footnote"/>
        <w:rPr>
          <w:lang w:val="en-GB"/>
        </w:rPr>
      </w:pPr>
      <w:r w:rsidRPr="00E93126">
        <w:rPr>
          <w:lang w:val="en-GB"/>
        </w:rPr>
        <w:t xml:space="preserve">Source: Created by </w:t>
      </w:r>
      <w:r w:rsidR="00B977EB">
        <w:rPr>
          <w:lang w:val="en-GB"/>
        </w:rPr>
        <w:t xml:space="preserve">the case </w:t>
      </w:r>
      <w:r w:rsidRPr="00E93126">
        <w:rPr>
          <w:lang w:val="en-GB"/>
        </w:rPr>
        <w:t>author based on company documents.</w:t>
      </w:r>
    </w:p>
    <w:sectPr w:rsidR="00465348" w:rsidRPr="00E9312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ED97F" w14:textId="77777777" w:rsidR="00735B78" w:rsidRDefault="00735B78" w:rsidP="00D75295">
      <w:r>
        <w:separator/>
      </w:r>
    </w:p>
  </w:endnote>
  <w:endnote w:type="continuationSeparator" w:id="0">
    <w:p w14:paraId="7447FCEC" w14:textId="77777777" w:rsidR="00735B78" w:rsidRDefault="00735B7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97359" w14:textId="77777777" w:rsidR="00735B78" w:rsidRDefault="00735B78" w:rsidP="00D75295">
      <w:r>
        <w:separator/>
      </w:r>
    </w:p>
  </w:footnote>
  <w:footnote w:type="continuationSeparator" w:id="0">
    <w:p w14:paraId="2311D300" w14:textId="77777777" w:rsidR="00735B78" w:rsidRDefault="00735B78" w:rsidP="00D75295">
      <w:r>
        <w:continuationSeparator/>
      </w:r>
    </w:p>
  </w:footnote>
  <w:footnote w:id="1">
    <w:p w14:paraId="0FCD7F7A" w14:textId="77777777" w:rsidR="00735B78" w:rsidRDefault="00735B78" w:rsidP="0062405C">
      <w:pPr>
        <w:pStyle w:val="Footnote"/>
      </w:pPr>
      <w:r>
        <w:rPr>
          <w:rStyle w:val="FootnoteReference"/>
        </w:rPr>
        <w:footnoteRef/>
      </w:r>
      <w:r>
        <w:t xml:space="preserve"> 1 ton = 0.907 </w:t>
      </w:r>
      <w:proofErr w:type="spellStart"/>
      <w:r>
        <w:t>tonnes</w:t>
      </w:r>
      <w:proofErr w:type="spellEnd"/>
      <w:r>
        <w:t>.</w:t>
      </w:r>
    </w:p>
  </w:footnote>
  <w:footnote w:id="2">
    <w:p w14:paraId="59A033A0" w14:textId="77777777" w:rsidR="00735B78" w:rsidRDefault="00735B78" w:rsidP="004208F2">
      <w:pPr>
        <w:pStyle w:val="Footnote"/>
      </w:pPr>
      <w:r>
        <w:rPr>
          <w:rStyle w:val="FootnoteReference"/>
        </w:rPr>
        <w:footnoteRef/>
      </w:r>
      <w:r>
        <w:t xml:space="preserve"> All currency amounts are in US$ unless otherwise specified.</w:t>
      </w:r>
    </w:p>
  </w:footnote>
  <w:footnote w:id="3">
    <w:p w14:paraId="06930DE9" w14:textId="77777777" w:rsidR="00735B78" w:rsidRDefault="00735B78" w:rsidP="002A1025">
      <w:pPr>
        <w:pStyle w:val="Footnote"/>
      </w:pPr>
      <w:r>
        <w:rPr>
          <w:rStyle w:val="FootnoteReference"/>
        </w:rPr>
        <w:footnoteRef/>
      </w:r>
      <w:r>
        <w:t xml:space="preserve"> Locations which did not fall under the Denpasar city limits.</w:t>
      </w:r>
    </w:p>
  </w:footnote>
  <w:footnote w:id="4">
    <w:p w14:paraId="21F454A7" w14:textId="77777777" w:rsidR="00735B78" w:rsidRDefault="00735B78" w:rsidP="00B53995">
      <w:pPr>
        <w:pStyle w:val="Footnote"/>
      </w:pPr>
      <w:r>
        <w:rPr>
          <w:rStyle w:val="FootnoteReference"/>
        </w:rPr>
        <w:footnoteRef/>
      </w:r>
      <w:r>
        <w:t xml:space="preserve"> A strategy where the manufacturer insisted that the dealer buy the entire range of products.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769AB" w14:textId="6B12C644" w:rsidR="00735B78" w:rsidRPr="00C92CC4" w:rsidRDefault="00735B7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3419F">
      <w:rPr>
        <w:rFonts w:ascii="Arial" w:hAnsi="Arial"/>
        <w:b/>
        <w:noProof/>
      </w:rPr>
      <w:t>12</w:t>
    </w:r>
    <w:r>
      <w:rPr>
        <w:rFonts w:ascii="Arial" w:hAnsi="Arial"/>
        <w:b/>
      </w:rPr>
      <w:fldChar w:fldCharType="end"/>
    </w:r>
    <w:r>
      <w:rPr>
        <w:rFonts w:ascii="Arial" w:hAnsi="Arial"/>
        <w:b/>
      </w:rPr>
      <w:tab/>
      <w:t>9B18A033</w:t>
    </w:r>
  </w:p>
  <w:p w14:paraId="435D7BD2" w14:textId="77777777" w:rsidR="00735B78" w:rsidRDefault="00735B78" w:rsidP="00D13667">
    <w:pPr>
      <w:pStyle w:val="Header"/>
      <w:tabs>
        <w:tab w:val="clear" w:pos="4680"/>
      </w:tabs>
      <w:rPr>
        <w:sz w:val="18"/>
        <w:szCs w:val="18"/>
      </w:rPr>
    </w:pPr>
  </w:p>
  <w:p w14:paraId="7463F1B1" w14:textId="77777777" w:rsidR="00735B78" w:rsidRPr="00C92CC4" w:rsidRDefault="00735B7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2FE0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6DA30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2509B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FAE1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F80CD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C880A3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78E03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5B05A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BFE677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AA2B4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9861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C6120"/>
    <w:multiLevelType w:val="hybridMultilevel"/>
    <w:tmpl w:val="BF84CA0C"/>
    <w:lvl w:ilvl="0" w:tplc="135AA5B6">
      <w:start w:val="1"/>
      <w:numFmt w:val="lowerRoman"/>
      <w:lvlText w:val="%1)"/>
      <w:lvlJc w:val="left"/>
      <w:pPr>
        <w:tabs>
          <w:tab w:val="num" w:pos="1635"/>
        </w:tabs>
        <w:ind w:left="1635" w:hanging="91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0A3186"/>
    <w:multiLevelType w:val="hybridMultilevel"/>
    <w:tmpl w:val="66B6E7DA"/>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3"/>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8"/>
  </w:num>
  <w:num w:numId="13">
    <w:abstractNumId w:val="16"/>
  </w:num>
  <w:num w:numId="14">
    <w:abstractNumId w:val="29"/>
  </w:num>
  <w:num w:numId="15">
    <w:abstractNumId w:val="39"/>
  </w:num>
  <w:num w:numId="16">
    <w:abstractNumId w:val="18"/>
  </w:num>
  <w:num w:numId="17">
    <w:abstractNumId w:val="25"/>
  </w:num>
  <w:num w:numId="18">
    <w:abstractNumId w:val="17"/>
  </w:num>
  <w:num w:numId="19">
    <w:abstractNumId w:val="21"/>
  </w:num>
  <w:num w:numId="20">
    <w:abstractNumId w:val="36"/>
  </w:num>
  <w:num w:numId="21">
    <w:abstractNumId w:val="27"/>
  </w:num>
  <w:num w:numId="22">
    <w:abstractNumId w:val="28"/>
  </w:num>
  <w:num w:numId="23">
    <w:abstractNumId w:val="11"/>
  </w:num>
  <w:num w:numId="24">
    <w:abstractNumId w:val="14"/>
  </w:num>
  <w:num w:numId="25">
    <w:abstractNumId w:val="40"/>
  </w:num>
  <w:num w:numId="26">
    <w:abstractNumId w:val="41"/>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4"/>
  </w:num>
  <w:num w:numId="39">
    <w:abstractNumId w:val="24"/>
  </w:num>
  <w:num w:numId="40">
    <w:abstractNumId w:val="37"/>
  </w:num>
  <w:num w:numId="41">
    <w:abstractNumId w:val="32"/>
  </w:num>
  <w:num w:numId="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2"/>
  </w:compat>
  <w:rsids>
    <w:rsidRoot w:val="008A4DC4"/>
    <w:rsid w:val="0000085A"/>
    <w:rsid w:val="00013360"/>
    <w:rsid w:val="00016759"/>
    <w:rsid w:val="000206F9"/>
    <w:rsid w:val="000216CE"/>
    <w:rsid w:val="00024ED4"/>
    <w:rsid w:val="00025DC7"/>
    <w:rsid w:val="000273AB"/>
    <w:rsid w:val="00035F09"/>
    <w:rsid w:val="00042D28"/>
    <w:rsid w:val="00044ECC"/>
    <w:rsid w:val="000531D3"/>
    <w:rsid w:val="0005646B"/>
    <w:rsid w:val="00067AF4"/>
    <w:rsid w:val="0008102D"/>
    <w:rsid w:val="000838A8"/>
    <w:rsid w:val="00091620"/>
    <w:rsid w:val="00094C0E"/>
    <w:rsid w:val="000953D0"/>
    <w:rsid w:val="000A075C"/>
    <w:rsid w:val="000D2A51"/>
    <w:rsid w:val="000D3813"/>
    <w:rsid w:val="000D7091"/>
    <w:rsid w:val="000F0792"/>
    <w:rsid w:val="000F0C22"/>
    <w:rsid w:val="000F6B09"/>
    <w:rsid w:val="000F6FDC"/>
    <w:rsid w:val="00102103"/>
    <w:rsid w:val="00104567"/>
    <w:rsid w:val="00104916"/>
    <w:rsid w:val="00104AA7"/>
    <w:rsid w:val="0012732D"/>
    <w:rsid w:val="00130AD8"/>
    <w:rsid w:val="0013518A"/>
    <w:rsid w:val="00143F25"/>
    <w:rsid w:val="00150B40"/>
    <w:rsid w:val="00152682"/>
    <w:rsid w:val="00154FC9"/>
    <w:rsid w:val="00172C39"/>
    <w:rsid w:val="0019241A"/>
    <w:rsid w:val="001A22D1"/>
    <w:rsid w:val="001A752D"/>
    <w:rsid w:val="001A757E"/>
    <w:rsid w:val="001B5032"/>
    <w:rsid w:val="001C7777"/>
    <w:rsid w:val="001E364F"/>
    <w:rsid w:val="001F4222"/>
    <w:rsid w:val="001F6098"/>
    <w:rsid w:val="00203AA1"/>
    <w:rsid w:val="00203E18"/>
    <w:rsid w:val="00213E98"/>
    <w:rsid w:val="0023081A"/>
    <w:rsid w:val="002631F4"/>
    <w:rsid w:val="00264C05"/>
    <w:rsid w:val="00290963"/>
    <w:rsid w:val="00293576"/>
    <w:rsid w:val="002A1025"/>
    <w:rsid w:val="002D0536"/>
    <w:rsid w:val="002F460C"/>
    <w:rsid w:val="002F48D6"/>
    <w:rsid w:val="00314825"/>
    <w:rsid w:val="00317391"/>
    <w:rsid w:val="0032608B"/>
    <w:rsid w:val="00326216"/>
    <w:rsid w:val="003325AA"/>
    <w:rsid w:val="0033309A"/>
    <w:rsid w:val="00336580"/>
    <w:rsid w:val="003442AC"/>
    <w:rsid w:val="00344FB0"/>
    <w:rsid w:val="00354899"/>
    <w:rsid w:val="00355FCD"/>
    <w:rsid w:val="00355FD6"/>
    <w:rsid w:val="00364A5C"/>
    <w:rsid w:val="00373FB1"/>
    <w:rsid w:val="00393762"/>
    <w:rsid w:val="00396C76"/>
    <w:rsid w:val="003B018C"/>
    <w:rsid w:val="003B30D8"/>
    <w:rsid w:val="003B7558"/>
    <w:rsid w:val="003B7EF2"/>
    <w:rsid w:val="003C3FA4"/>
    <w:rsid w:val="003D0BA1"/>
    <w:rsid w:val="003D326F"/>
    <w:rsid w:val="003D640F"/>
    <w:rsid w:val="003E7D65"/>
    <w:rsid w:val="003F2B0C"/>
    <w:rsid w:val="003F5316"/>
    <w:rsid w:val="004105B2"/>
    <w:rsid w:val="00412900"/>
    <w:rsid w:val="004208F2"/>
    <w:rsid w:val="004221E4"/>
    <w:rsid w:val="004273F8"/>
    <w:rsid w:val="004355A3"/>
    <w:rsid w:val="00440CCD"/>
    <w:rsid w:val="00446546"/>
    <w:rsid w:val="00452769"/>
    <w:rsid w:val="0045389C"/>
    <w:rsid w:val="00465348"/>
    <w:rsid w:val="004B1CCB"/>
    <w:rsid w:val="004B5A80"/>
    <w:rsid w:val="004B632F"/>
    <w:rsid w:val="004D3FB1"/>
    <w:rsid w:val="004D6F21"/>
    <w:rsid w:val="004D73A5"/>
    <w:rsid w:val="004F1552"/>
    <w:rsid w:val="004F54AF"/>
    <w:rsid w:val="004F5DC8"/>
    <w:rsid w:val="005045F8"/>
    <w:rsid w:val="005160F1"/>
    <w:rsid w:val="005217A7"/>
    <w:rsid w:val="00522440"/>
    <w:rsid w:val="00524F2F"/>
    <w:rsid w:val="00526A88"/>
    <w:rsid w:val="00527E5C"/>
    <w:rsid w:val="00532CF5"/>
    <w:rsid w:val="005528CB"/>
    <w:rsid w:val="00566771"/>
    <w:rsid w:val="00581E2E"/>
    <w:rsid w:val="00584F15"/>
    <w:rsid w:val="0059514B"/>
    <w:rsid w:val="005A1B0F"/>
    <w:rsid w:val="005A5017"/>
    <w:rsid w:val="005A7B8C"/>
    <w:rsid w:val="005C37D3"/>
    <w:rsid w:val="005E020E"/>
    <w:rsid w:val="00601372"/>
    <w:rsid w:val="00605593"/>
    <w:rsid w:val="00612BE5"/>
    <w:rsid w:val="00615C28"/>
    <w:rsid w:val="006163F7"/>
    <w:rsid w:val="0062405C"/>
    <w:rsid w:val="00627C63"/>
    <w:rsid w:val="0063350B"/>
    <w:rsid w:val="00634D25"/>
    <w:rsid w:val="00652606"/>
    <w:rsid w:val="00667325"/>
    <w:rsid w:val="00681A4F"/>
    <w:rsid w:val="006946EE"/>
    <w:rsid w:val="006A218B"/>
    <w:rsid w:val="006A58A9"/>
    <w:rsid w:val="006A606D"/>
    <w:rsid w:val="006C0371"/>
    <w:rsid w:val="006C08B6"/>
    <w:rsid w:val="006C0B1A"/>
    <w:rsid w:val="006C6065"/>
    <w:rsid w:val="006C7F9F"/>
    <w:rsid w:val="006E2F6D"/>
    <w:rsid w:val="006E58F6"/>
    <w:rsid w:val="006E77E1"/>
    <w:rsid w:val="006F131D"/>
    <w:rsid w:val="00701A2C"/>
    <w:rsid w:val="00711642"/>
    <w:rsid w:val="00714F0A"/>
    <w:rsid w:val="007151EB"/>
    <w:rsid w:val="00720109"/>
    <w:rsid w:val="007324A0"/>
    <w:rsid w:val="00733495"/>
    <w:rsid w:val="00735B78"/>
    <w:rsid w:val="007507C6"/>
    <w:rsid w:val="00751E0B"/>
    <w:rsid w:val="00752BCD"/>
    <w:rsid w:val="00753BFB"/>
    <w:rsid w:val="00766DA1"/>
    <w:rsid w:val="00780D94"/>
    <w:rsid w:val="00784EC6"/>
    <w:rsid w:val="007866A6"/>
    <w:rsid w:val="0079676C"/>
    <w:rsid w:val="007A130D"/>
    <w:rsid w:val="007C3834"/>
    <w:rsid w:val="007C4F91"/>
    <w:rsid w:val="007D1A2D"/>
    <w:rsid w:val="007D3766"/>
    <w:rsid w:val="007D4102"/>
    <w:rsid w:val="007F43B7"/>
    <w:rsid w:val="00800F12"/>
    <w:rsid w:val="00806CDA"/>
    <w:rsid w:val="00821FFC"/>
    <w:rsid w:val="008271CA"/>
    <w:rsid w:val="00830FD6"/>
    <w:rsid w:val="008467D5"/>
    <w:rsid w:val="00855CC0"/>
    <w:rsid w:val="008669D5"/>
    <w:rsid w:val="0087011A"/>
    <w:rsid w:val="00885008"/>
    <w:rsid w:val="00895036"/>
    <w:rsid w:val="008A09F4"/>
    <w:rsid w:val="008A2D78"/>
    <w:rsid w:val="008A2F75"/>
    <w:rsid w:val="008A4DC4"/>
    <w:rsid w:val="008B0877"/>
    <w:rsid w:val="008B438C"/>
    <w:rsid w:val="008C4E84"/>
    <w:rsid w:val="008D06CA"/>
    <w:rsid w:val="008D3A46"/>
    <w:rsid w:val="008E0040"/>
    <w:rsid w:val="008E1278"/>
    <w:rsid w:val="008E403F"/>
    <w:rsid w:val="008E7560"/>
    <w:rsid w:val="009067A4"/>
    <w:rsid w:val="00916093"/>
    <w:rsid w:val="00922E6E"/>
    <w:rsid w:val="00930885"/>
    <w:rsid w:val="00933D68"/>
    <w:rsid w:val="009340DB"/>
    <w:rsid w:val="0094618C"/>
    <w:rsid w:val="0095684B"/>
    <w:rsid w:val="009624EF"/>
    <w:rsid w:val="00962C84"/>
    <w:rsid w:val="00972498"/>
    <w:rsid w:val="0097481F"/>
    <w:rsid w:val="00974CC6"/>
    <w:rsid w:val="00976AD4"/>
    <w:rsid w:val="00995547"/>
    <w:rsid w:val="009A312F"/>
    <w:rsid w:val="009A5348"/>
    <w:rsid w:val="009B0AB7"/>
    <w:rsid w:val="009B4616"/>
    <w:rsid w:val="009B4BDE"/>
    <w:rsid w:val="009C76D5"/>
    <w:rsid w:val="009F7AA4"/>
    <w:rsid w:val="00A10AD7"/>
    <w:rsid w:val="00A10F4F"/>
    <w:rsid w:val="00A14C4D"/>
    <w:rsid w:val="00A537A8"/>
    <w:rsid w:val="00A559DB"/>
    <w:rsid w:val="00A569EA"/>
    <w:rsid w:val="00A57537"/>
    <w:rsid w:val="00A673A5"/>
    <w:rsid w:val="00A748B9"/>
    <w:rsid w:val="00A8543C"/>
    <w:rsid w:val="00AA2629"/>
    <w:rsid w:val="00AB4A6C"/>
    <w:rsid w:val="00AC31C7"/>
    <w:rsid w:val="00AD0638"/>
    <w:rsid w:val="00AD6F3E"/>
    <w:rsid w:val="00AF35FC"/>
    <w:rsid w:val="00AF475B"/>
    <w:rsid w:val="00AF5556"/>
    <w:rsid w:val="00B03639"/>
    <w:rsid w:val="00B0652A"/>
    <w:rsid w:val="00B40937"/>
    <w:rsid w:val="00B423EF"/>
    <w:rsid w:val="00B453DE"/>
    <w:rsid w:val="00B53995"/>
    <w:rsid w:val="00B72597"/>
    <w:rsid w:val="00B7487B"/>
    <w:rsid w:val="00B901F9"/>
    <w:rsid w:val="00B927A3"/>
    <w:rsid w:val="00B9284E"/>
    <w:rsid w:val="00B977EB"/>
    <w:rsid w:val="00BC426A"/>
    <w:rsid w:val="00BC561A"/>
    <w:rsid w:val="00BD5F6D"/>
    <w:rsid w:val="00BD6EFB"/>
    <w:rsid w:val="00C020E6"/>
    <w:rsid w:val="00C1584D"/>
    <w:rsid w:val="00C15BE2"/>
    <w:rsid w:val="00C25160"/>
    <w:rsid w:val="00C3447F"/>
    <w:rsid w:val="00C54D8C"/>
    <w:rsid w:val="00C67102"/>
    <w:rsid w:val="00C81491"/>
    <w:rsid w:val="00C81676"/>
    <w:rsid w:val="00C85C5D"/>
    <w:rsid w:val="00C92CC4"/>
    <w:rsid w:val="00CA0AFB"/>
    <w:rsid w:val="00CA2CE1"/>
    <w:rsid w:val="00CA3976"/>
    <w:rsid w:val="00CA50E3"/>
    <w:rsid w:val="00CA757B"/>
    <w:rsid w:val="00CC09EA"/>
    <w:rsid w:val="00CC1787"/>
    <w:rsid w:val="00CC182C"/>
    <w:rsid w:val="00CC2258"/>
    <w:rsid w:val="00CD0824"/>
    <w:rsid w:val="00CD2908"/>
    <w:rsid w:val="00CE537C"/>
    <w:rsid w:val="00D03A82"/>
    <w:rsid w:val="00D079AC"/>
    <w:rsid w:val="00D13667"/>
    <w:rsid w:val="00D15344"/>
    <w:rsid w:val="00D23F57"/>
    <w:rsid w:val="00D31BEC"/>
    <w:rsid w:val="00D31C8F"/>
    <w:rsid w:val="00D35C58"/>
    <w:rsid w:val="00D50264"/>
    <w:rsid w:val="00D5370B"/>
    <w:rsid w:val="00D61709"/>
    <w:rsid w:val="00D63150"/>
    <w:rsid w:val="00D636BA"/>
    <w:rsid w:val="00D64A32"/>
    <w:rsid w:val="00D64EFC"/>
    <w:rsid w:val="00D6666D"/>
    <w:rsid w:val="00D74E59"/>
    <w:rsid w:val="00D75295"/>
    <w:rsid w:val="00D76CE9"/>
    <w:rsid w:val="00D77BB1"/>
    <w:rsid w:val="00D97F12"/>
    <w:rsid w:val="00DA6095"/>
    <w:rsid w:val="00DB01D1"/>
    <w:rsid w:val="00DB42E7"/>
    <w:rsid w:val="00DB4328"/>
    <w:rsid w:val="00DB7316"/>
    <w:rsid w:val="00DC7A97"/>
    <w:rsid w:val="00DD152E"/>
    <w:rsid w:val="00DE01A6"/>
    <w:rsid w:val="00DE7A98"/>
    <w:rsid w:val="00DF32C2"/>
    <w:rsid w:val="00E00042"/>
    <w:rsid w:val="00E112FD"/>
    <w:rsid w:val="00E11580"/>
    <w:rsid w:val="00E15DFA"/>
    <w:rsid w:val="00E3419F"/>
    <w:rsid w:val="00E45E7F"/>
    <w:rsid w:val="00E471A7"/>
    <w:rsid w:val="00E635CF"/>
    <w:rsid w:val="00E63A1A"/>
    <w:rsid w:val="00E64D3A"/>
    <w:rsid w:val="00E733FD"/>
    <w:rsid w:val="00E80C28"/>
    <w:rsid w:val="00E85339"/>
    <w:rsid w:val="00E93126"/>
    <w:rsid w:val="00EB384A"/>
    <w:rsid w:val="00EC68C0"/>
    <w:rsid w:val="00EC6E0A"/>
    <w:rsid w:val="00ED4E18"/>
    <w:rsid w:val="00ED5E56"/>
    <w:rsid w:val="00EE1F37"/>
    <w:rsid w:val="00F0159C"/>
    <w:rsid w:val="00F105B7"/>
    <w:rsid w:val="00F13220"/>
    <w:rsid w:val="00F17A21"/>
    <w:rsid w:val="00F26210"/>
    <w:rsid w:val="00F366A9"/>
    <w:rsid w:val="00F37B27"/>
    <w:rsid w:val="00F46556"/>
    <w:rsid w:val="00F46603"/>
    <w:rsid w:val="00F50E91"/>
    <w:rsid w:val="00F56455"/>
    <w:rsid w:val="00F57D29"/>
    <w:rsid w:val="00F63BD3"/>
    <w:rsid w:val="00F96201"/>
    <w:rsid w:val="00FA0043"/>
    <w:rsid w:val="00FB3864"/>
    <w:rsid w:val="00FB5108"/>
    <w:rsid w:val="00FB6D92"/>
    <w:rsid w:val="00FC1819"/>
    <w:rsid w:val="00FD0B18"/>
    <w:rsid w:val="00FD2FAD"/>
    <w:rsid w:val="00FE0D09"/>
    <w:rsid w:val="00FE5EEB"/>
    <w:rsid w:val="00FE714F"/>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5"/>
    <o:shapelayout v:ext="edit">
      <o:idmap v:ext="edit" data="1"/>
    </o:shapelayout>
  </w:shapeDefaults>
  <w:decimalSymbol w:val="."/>
  <w:listSeparator w:val=","/>
  <w14:docId w14:val="353159BF"/>
  <w15:docId w15:val="{E075F1A2-0BF2-476D-825C-F7847FA2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6A218B"/>
  </w:style>
  <w:style w:type="character" w:customStyle="1" w:styleId="innerpagecontent">
    <w:name w:val="innerpagecontent"/>
    <w:basedOn w:val="DefaultParagraphFont"/>
    <w:rsid w:val="006A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63BA-8CF8-4CE1-8986-556CB9EA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5163</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2018-04-25T19:08:00Z</cp:lastPrinted>
  <dcterms:created xsi:type="dcterms:W3CDTF">2018-06-04T13:31:00Z</dcterms:created>
  <dcterms:modified xsi:type="dcterms:W3CDTF">2018-06-08T14:12:00Z</dcterms:modified>
</cp:coreProperties>
</file>