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7B41B" w14:textId="77777777" w:rsidR="00166E4B" w:rsidRPr="000724A3" w:rsidRDefault="00556314" w:rsidP="008467D5">
      <w:pPr>
        <w:pBdr>
          <w:bottom w:val="single" w:sz="18" w:space="1" w:color="auto"/>
        </w:pBdr>
        <w:tabs>
          <w:tab w:val="left" w:pos="-1440"/>
          <w:tab w:val="left" w:pos="-720"/>
          <w:tab w:val="left" w:pos="1"/>
        </w:tabs>
        <w:jc w:val="both"/>
        <w:rPr>
          <w:rFonts w:ascii="Arial" w:hAnsi="Arial" w:cs="Arial"/>
          <w:sz w:val="24"/>
          <w:szCs w:val="28"/>
          <w:lang w:val="en-GB"/>
        </w:rPr>
      </w:pPr>
      <w:r w:rsidRPr="000724A3">
        <w:rPr>
          <w:rFonts w:ascii="Arial" w:hAnsi="Arial" w:cs="Arial"/>
          <w:noProof/>
          <w:sz w:val="24"/>
          <w:szCs w:val="28"/>
        </w:rPr>
        <w:drawing>
          <wp:inline distT="0" distB="0" distL="0" distR="0" wp14:anchorId="16C758CD" wp14:editId="78A68104">
            <wp:extent cx="261556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7C15289A" w14:textId="77A29DC4" w:rsidR="00D75295" w:rsidRPr="000724A3" w:rsidRDefault="00716BB8" w:rsidP="00F105B7">
      <w:pPr>
        <w:pStyle w:val="ProductNumber"/>
        <w:rPr>
          <w:lang w:val="en-GB"/>
        </w:rPr>
      </w:pPr>
      <w:r>
        <w:rPr>
          <w:lang w:val="en-GB"/>
        </w:rPr>
        <w:t>9B18A052</w:t>
      </w:r>
    </w:p>
    <w:p w14:paraId="52C39002" w14:textId="77777777" w:rsidR="00D75295" w:rsidRPr="000724A3" w:rsidRDefault="00D75295" w:rsidP="00D75295">
      <w:pPr>
        <w:jc w:val="right"/>
        <w:rPr>
          <w:rFonts w:ascii="Arial" w:hAnsi="Arial"/>
          <w:b/>
          <w:sz w:val="28"/>
          <w:szCs w:val="28"/>
          <w:lang w:val="en-GB"/>
        </w:rPr>
      </w:pPr>
    </w:p>
    <w:p w14:paraId="33788481" w14:textId="2491DA78" w:rsidR="00083D70" w:rsidRPr="000724A3" w:rsidRDefault="00EB6435" w:rsidP="00862997">
      <w:pPr>
        <w:pStyle w:val="CaseTitle"/>
        <w:spacing w:after="0" w:line="240" w:lineRule="auto"/>
        <w:rPr>
          <w:lang w:val="en-GB"/>
        </w:rPr>
      </w:pPr>
      <w:r w:rsidRPr="000724A3">
        <w:rPr>
          <w:lang w:val="en-GB"/>
        </w:rPr>
        <w:t>WENDY’S</w:t>
      </w:r>
      <w:r w:rsidR="00A80DC6" w:rsidRPr="000724A3">
        <w:rPr>
          <w:lang w:val="en-GB"/>
        </w:rPr>
        <w:t>:</w:t>
      </w:r>
      <w:r w:rsidR="00961E8B" w:rsidRPr="000724A3">
        <w:rPr>
          <w:lang w:val="en-GB"/>
        </w:rPr>
        <w:t xml:space="preserve"> </w:t>
      </w:r>
      <w:r w:rsidRPr="000724A3">
        <w:rPr>
          <w:lang w:val="en-GB"/>
        </w:rPr>
        <w:t>a plan for international expansion</w:t>
      </w:r>
      <w:r w:rsidR="00083D70" w:rsidRPr="000724A3">
        <w:rPr>
          <w:rStyle w:val="EndnoteReference"/>
          <w:lang w:val="en-GB"/>
        </w:rPr>
        <w:endnoteReference w:id="1"/>
      </w:r>
    </w:p>
    <w:p w14:paraId="3180124B" w14:textId="77777777" w:rsidR="00083D70" w:rsidRPr="000724A3" w:rsidRDefault="00083D70" w:rsidP="00013360">
      <w:pPr>
        <w:pStyle w:val="CaseTitle"/>
        <w:spacing w:after="0" w:line="240" w:lineRule="auto"/>
        <w:rPr>
          <w:sz w:val="20"/>
          <w:szCs w:val="20"/>
          <w:lang w:val="en-GB"/>
        </w:rPr>
      </w:pPr>
    </w:p>
    <w:p w14:paraId="194AA163" w14:textId="77777777" w:rsidR="00083D70" w:rsidRPr="000724A3" w:rsidRDefault="00083D70" w:rsidP="00013360">
      <w:pPr>
        <w:pStyle w:val="CaseTitle"/>
        <w:spacing w:after="0" w:line="240" w:lineRule="auto"/>
        <w:rPr>
          <w:sz w:val="20"/>
          <w:szCs w:val="20"/>
          <w:lang w:val="en-GB"/>
        </w:rPr>
      </w:pPr>
    </w:p>
    <w:p w14:paraId="5F1E1A25" w14:textId="77777777" w:rsidR="00083D70" w:rsidRPr="000724A3" w:rsidRDefault="00083D70" w:rsidP="00627C63">
      <w:pPr>
        <w:pStyle w:val="StyleCopyrightStatementAfter0ptBottomSinglesolidline1"/>
        <w:rPr>
          <w:szCs w:val="16"/>
          <w:lang w:val="en-GB"/>
        </w:rPr>
      </w:pPr>
      <w:r w:rsidRPr="000724A3">
        <w:rPr>
          <w:lang w:val="en-GB"/>
        </w:rPr>
        <w:t>Fabrizio Di Muro</w:t>
      </w:r>
      <w:r w:rsidRPr="000724A3">
        <w:rPr>
          <w:rFonts w:cs="Arial"/>
          <w:szCs w:val="16"/>
          <w:lang w:val="en-GB"/>
        </w:rPr>
        <w:t xml:space="preserve"> </w:t>
      </w:r>
      <w:r w:rsidRPr="000724A3">
        <w:rPr>
          <w:szCs w:val="16"/>
          <w:lang w:val="en-GB"/>
        </w:rPr>
        <w:t>wrote this case solely to provide material for class discussion. The author does not intend to illustrate either effective or ineffective handling of a managerial situation. The author may have disguised certain names and other identifying information to protect confidentiality.</w:t>
      </w:r>
    </w:p>
    <w:p w14:paraId="20DDECB6" w14:textId="77777777" w:rsidR="00083D70" w:rsidRPr="000724A3" w:rsidRDefault="00083D70" w:rsidP="00751E0B">
      <w:pPr>
        <w:pStyle w:val="StyleCopyrightStatementAfter0ptBottomSinglesolidline1"/>
        <w:rPr>
          <w:szCs w:val="16"/>
          <w:lang w:val="en-GB"/>
        </w:rPr>
      </w:pPr>
    </w:p>
    <w:p w14:paraId="7CCED1D6" w14:textId="77777777" w:rsidR="00083D70" w:rsidRPr="000724A3" w:rsidRDefault="00083D70" w:rsidP="00556314">
      <w:pPr>
        <w:pStyle w:val="StyleStyleCopyrightStatementAfter0ptBottomSinglesolid"/>
        <w:rPr>
          <w:rFonts w:cs="Arial"/>
          <w:szCs w:val="16"/>
          <w:lang w:val="en-GB"/>
        </w:rPr>
      </w:pPr>
      <w:r w:rsidRPr="000724A3">
        <w:rPr>
          <w:rFonts w:cs="Arial"/>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5550923" w14:textId="77777777" w:rsidR="00083D70" w:rsidRPr="000724A3" w:rsidRDefault="00083D70" w:rsidP="00556314">
      <w:pPr>
        <w:pStyle w:val="StyleStyleCopyrightStatementAfter0ptBottomSinglesolid"/>
        <w:rPr>
          <w:rFonts w:cs="Arial"/>
          <w:szCs w:val="16"/>
          <w:lang w:val="en-GB"/>
        </w:rPr>
      </w:pPr>
    </w:p>
    <w:p w14:paraId="4A4C4A12" w14:textId="3284A43E" w:rsidR="00083D70" w:rsidRPr="000724A3" w:rsidRDefault="00083D70" w:rsidP="00556314">
      <w:pPr>
        <w:pStyle w:val="StyleStyleCopyrightStatementAfter0ptBottomSinglesolid"/>
        <w:rPr>
          <w:lang w:val="en-GB"/>
        </w:rPr>
      </w:pPr>
      <w:r w:rsidRPr="000724A3">
        <w:rPr>
          <w:rFonts w:cs="Arial"/>
          <w:szCs w:val="16"/>
          <w:lang w:val="en-GB"/>
        </w:rPr>
        <w:t>Copyright © 2018, Ivey Business School Foundation</w:t>
      </w:r>
      <w:r w:rsidRPr="000724A3">
        <w:rPr>
          <w:rFonts w:cs="Arial"/>
          <w:szCs w:val="16"/>
          <w:lang w:val="en-GB"/>
        </w:rPr>
        <w:tab/>
      </w:r>
      <w:r w:rsidR="00332D76">
        <w:rPr>
          <w:lang w:val="en-GB"/>
        </w:rPr>
        <w:t>Version: 2018-08-13</w:t>
      </w:r>
    </w:p>
    <w:p w14:paraId="6BC283E1" w14:textId="77777777" w:rsidR="00083D70" w:rsidRPr="000724A3" w:rsidRDefault="00083D70" w:rsidP="00751E0B">
      <w:pPr>
        <w:pStyle w:val="StyleCopyrightStatementAfter0ptBottomSinglesolidline1"/>
        <w:rPr>
          <w:rFonts w:ascii="Times New Roman" w:hAnsi="Times New Roman"/>
          <w:sz w:val="20"/>
          <w:lang w:val="en-GB"/>
        </w:rPr>
      </w:pPr>
    </w:p>
    <w:p w14:paraId="204A4BCC" w14:textId="77777777" w:rsidR="00083D70" w:rsidRPr="000724A3" w:rsidRDefault="00083D70" w:rsidP="00A80DC6">
      <w:pPr>
        <w:rPr>
          <w:sz w:val="22"/>
          <w:lang w:val="en-GB"/>
        </w:rPr>
      </w:pPr>
    </w:p>
    <w:p w14:paraId="5D4A8ABA" w14:textId="7EF758C2" w:rsidR="00083D70" w:rsidRPr="000724A3" w:rsidRDefault="00083D70" w:rsidP="00126EAF">
      <w:pPr>
        <w:pStyle w:val="BodyTextMain"/>
        <w:rPr>
          <w:b/>
          <w:lang w:val="en-GB"/>
        </w:rPr>
      </w:pPr>
      <w:r w:rsidRPr="000724A3">
        <w:rPr>
          <w:lang w:val="en-GB"/>
        </w:rPr>
        <w:t xml:space="preserve">In May 2018 in the United </w:t>
      </w:r>
      <w:r w:rsidR="0063702F">
        <w:rPr>
          <w:lang w:val="en-GB"/>
        </w:rPr>
        <w:t>States,</w:t>
      </w:r>
      <w:r w:rsidR="0041435D">
        <w:rPr>
          <w:lang w:val="en-GB"/>
        </w:rPr>
        <w:t xml:space="preserve"> </w:t>
      </w:r>
      <w:r w:rsidR="0063702F">
        <w:rPr>
          <w:lang w:val="en-GB"/>
        </w:rPr>
        <w:t>Wendy’s</w:t>
      </w:r>
      <w:r w:rsidRPr="000724A3">
        <w:rPr>
          <w:lang w:val="en-GB"/>
        </w:rPr>
        <w:t xml:space="preserve"> faced an important decision related to its international markets. The company had a small international presence: of its more than 6,500 restaurants worldwide, only 637 were located in international markets. The company was faced with a saturated and stagnating U.S. market as well as fierce competition from a number of fast food rivals including McDonald’s Corporation (McDonald’s), Burger King Corporation (Burger King), and Carl’s Jr. Restaurants LLC (Carl’s Jr.), and the surest path to growth seemed to be expansion into foreign markets, where fast food was still growing.</w:t>
      </w:r>
      <w:r w:rsidR="0063702F" w:rsidRPr="000724A3">
        <w:rPr>
          <w:rStyle w:val="EndnoteReference"/>
          <w:lang w:val="en-GB"/>
        </w:rPr>
        <w:endnoteReference w:id="2"/>
      </w:r>
      <w:r w:rsidR="0063702F" w:rsidRPr="000724A3">
        <w:rPr>
          <w:lang w:val="en-GB"/>
        </w:rPr>
        <w:t xml:space="preserve"> </w:t>
      </w:r>
      <w:r w:rsidRPr="000724A3">
        <w:rPr>
          <w:lang w:val="en-GB"/>
        </w:rPr>
        <w:t xml:space="preserve"> Todd A. Penegor, Wendy’s chief executive officer, needed to determine which international market(s) to target and how many restaurants to open in each market.</w:t>
      </w:r>
    </w:p>
    <w:p w14:paraId="0FB8F590" w14:textId="77777777" w:rsidR="00083D70" w:rsidRPr="000724A3" w:rsidRDefault="00083D70" w:rsidP="00A80DC6">
      <w:pPr>
        <w:pStyle w:val="BodyTextMain"/>
        <w:rPr>
          <w:lang w:val="en-GB"/>
        </w:rPr>
      </w:pPr>
    </w:p>
    <w:p w14:paraId="45B14FAE" w14:textId="77777777" w:rsidR="00083D70" w:rsidRPr="000724A3" w:rsidRDefault="00083D70" w:rsidP="00A80DC6">
      <w:pPr>
        <w:pStyle w:val="BodyTextMain"/>
        <w:rPr>
          <w:lang w:val="en-GB"/>
        </w:rPr>
      </w:pPr>
    </w:p>
    <w:p w14:paraId="3E4AB328" w14:textId="77777777" w:rsidR="00083D70" w:rsidRPr="000724A3" w:rsidRDefault="00083D70" w:rsidP="00A80DC6">
      <w:pPr>
        <w:pStyle w:val="Casehead1"/>
        <w:rPr>
          <w:lang w:val="en-GB"/>
        </w:rPr>
      </w:pPr>
      <w:r w:rsidRPr="000724A3">
        <w:rPr>
          <w:lang w:val="en-GB"/>
        </w:rPr>
        <w:t>HISTORY OF wendy’s</w:t>
      </w:r>
    </w:p>
    <w:p w14:paraId="52C7E36A" w14:textId="77777777" w:rsidR="00083D70" w:rsidRPr="000724A3" w:rsidRDefault="00083D70" w:rsidP="00A80DC6">
      <w:pPr>
        <w:rPr>
          <w:sz w:val="22"/>
          <w:lang w:val="en-GB"/>
        </w:rPr>
      </w:pPr>
    </w:p>
    <w:p w14:paraId="596C4A33" w14:textId="77777777" w:rsidR="00083D70" w:rsidRPr="000724A3" w:rsidRDefault="00083D70" w:rsidP="00FB712D">
      <w:pPr>
        <w:rPr>
          <w:rFonts w:ascii="Arial" w:hAnsi="Arial" w:cs="Arial"/>
          <w:b/>
          <w:lang w:val="en-GB"/>
        </w:rPr>
      </w:pPr>
      <w:r w:rsidRPr="000724A3">
        <w:rPr>
          <w:rFonts w:ascii="Arial" w:hAnsi="Arial" w:cs="Arial"/>
          <w:b/>
          <w:lang w:val="en-GB"/>
        </w:rPr>
        <w:t>Basic Information and Product Menu</w:t>
      </w:r>
    </w:p>
    <w:p w14:paraId="2A676790" w14:textId="77777777" w:rsidR="00083D70" w:rsidRPr="000724A3" w:rsidRDefault="00083D70" w:rsidP="00A80DC6">
      <w:pPr>
        <w:pStyle w:val="BodyTextMain"/>
        <w:rPr>
          <w:lang w:val="en-GB"/>
        </w:rPr>
      </w:pPr>
    </w:p>
    <w:p w14:paraId="5BFCBB67" w14:textId="2FC0432E" w:rsidR="00083D70" w:rsidRPr="000724A3" w:rsidRDefault="00083D70" w:rsidP="00A80DC6">
      <w:pPr>
        <w:pStyle w:val="BodyTextMain"/>
        <w:rPr>
          <w:lang w:val="en-GB"/>
        </w:rPr>
      </w:pPr>
      <w:r w:rsidRPr="000724A3">
        <w:rPr>
          <w:lang w:val="en-GB"/>
        </w:rPr>
        <w:t>Wendy’s was founded by Dave Thomas on November 15, 1969, in Columbus, Ohio. As of May 2018, Wendy’s was headquartered in Dublin, Ohio, and was the third-largest hamburger chain (behind McDonald’s and Burger King), with over 6,500 restaurants, most of which were located in North America. By 2017, the majority of the company’s restaurants were franchised locations—only 637 of the company’s restaurants were company owned and operated. Further, Wendy’s franchise agreements were such that Wendy’s controlled the exterior store appearance, food quality, and menu, while franchisees determined the hours of operation, interior décor, pricing, uniforms, and wages.</w:t>
      </w:r>
      <w:r w:rsidRPr="000724A3">
        <w:rPr>
          <w:rStyle w:val="EndnoteReference"/>
          <w:lang w:val="en-GB"/>
        </w:rPr>
        <w:endnoteReference w:id="3"/>
      </w:r>
    </w:p>
    <w:p w14:paraId="09AE5230" w14:textId="77777777" w:rsidR="00083D70" w:rsidRPr="000724A3" w:rsidRDefault="00083D70" w:rsidP="00A80DC6">
      <w:pPr>
        <w:pStyle w:val="BodyTextMain"/>
        <w:rPr>
          <w:lang w:val="en-GB"/>
        </w:rPr>
      </w:pPr>
    </w:p>
    <w:p w14:paraId="7F93A0E6" w14:textId="27CD203E" w:rsidR="00083D70" w:rsidRPr="000724A3" w:rsidRDefault="00083D70" w:rsidP="00A80DC6">
      <w:pPr>
        <w:pStyle w:val="BodyTextMain"/>
        <w:rPr>
          <w:lang w:val="en-GB"/>
        </w:rPr>
      </w:pPr>
      <w:r w:rsidRPr="00274C0A">
        <w:rPr>
          <w:spacing w:val="-2"/>
          <w:kern w:val="22"/>
          <w:lang w:val="en-GB"/>
        </w:rPr>
        <w:t>Wendy’s menu centred on hamburgers, French fries, chicken sandwiches, and its signature Frosty dessert, arguably Wendy’s most famous and well-known offering.</w:t>
      </w:r>
      <w:r w:rsidRPr="00274C0A">
        <w:rPr>
          <w:rStyle w:val="EndnoteReference"/>
          <w:spacing w:val="-2"/>
          <w:kern w:val="22"/>
          <w:lang w:val="en-GB"/>
        </w:rPr>
        <w:endnoteReference w:id="4"/>
      </w:r>
      <w:r w:rsidRPr="00274C0A">
        <w:rPr>
          <w:spacing w:val="-2"/>
          <w:kern w:val="22"/>
          <w:lang w:val="en-GB"/>
        </w:rPr>
        <w:t xml:space="preserve"> The Frosty, a soft-serve ice cream dessert offered in vanilla and chocolate flavours, had also been sold as an ice cream float. Recently, the company had introduced Frosty Shakes—a Frosty blended with either vanilla bean, strawberry, or chocolate fudge syrup</w:t>
      </w:r>
      <w:r w:rsidRPr="000724A3">
        <w:rPr>
          <w:lang w:val="en-GB"/>
        </w:rPr>
        <w:t>.</w:t>
      </w:r>
    </w:p>
    <w:p w14:paraId="5D9090DD" w14:textId="77777777" w:rsidR="00083D70" w:rsidRPr="000724A3" w:rsidRDefault="00083D70" w:rsidP="00A80DC6">
      <w:pPr>
        <w:pStyle w:val="BodyTextMain"/>
        <w:rPr>
          <w:lang w:val="en-GB"/>
        </w:rPr>
      </w:pPr>
    </w:p>
    <w:p w14:paraId="0E124B20" w14:textId="7DDE0776" w:rsidR="00083D70" w:rsidRPr="000724A3" w:rsidRDefault="00083D70" w:rsidP="00A80DC6">
      <w:pPr>
        <w:pStyle w:val="BodyTextMain"/>
        <w:rPr>
          <w:lang w:val="en-GB"/>
        </w:rPr>
      </w:pPr>
      <w:r w:rsidRPr="000724A3">
        <w:rPr>
          <w:lang w:val="en-GB"/>
        </w:rPr>
        <w:t xml:space="preserve">For years, Wendy’s signature hamburgers had been its single, double, and triple burgers, which featured a square patty (as opposed to a round one). However, in 2011, the company replaced its iconic hamburgers with the release of the Dave’s Hot ’N Juicy line—thicker patties were introduced and the classic square edges were eliminated. A number of other changes were introduced: the cheese was stored at a warmer temperature, which meant that it melted over the patty. Changes were made to the bun as well as to the </w:t>
      </w:r>
      <w:r w:rsidRPr="000724A3">
        <w:rPr>
          <w:lang w:val="en-GB"/>
        </w:rPr>
        <w:lastRenderedPageBreak/>
        <w:t xml:space="preserve">produce and condiments—white onions replaced red onions, and mustard was eliminated as a condiment. While the new line of burgers was re-named as Dave’s, the words </w:t>
      </w:r>
      <w:r w:rsidRPr="00274C0A">
        <w:rPr>
          <w:i/>
          <w:lang w:val="en-GB"/>
        </w:rPr>
        <w:t>single</w:t>
      </w:r>
      <w:r w:rsidRPr="000724A3">
        <w:rPr>
          <w:lang w:val="en-GB"/>
        </w:rPr>
        <w:t xml:space="preserve">, </w:t>
      </w:r>
      <w:r w:rsidRPr="00274C0A">
        <w:rPr>
          <w:i/>
          <w:lang w:val="en-GB"/>
        </w:rPr>
        <w:t>double</w:t>
      </w:r>
      <w:r w:rsidRPr="000724A3">
        <w:rPr>
          <w:lang w:val="en-GB"/>
        </w:rPr>
        <w:t xml:space="preserve">, and </w:t>
      </w:r>
      <w:r w:rsidRPr="00274C0A">
        <w:rPr>
          <w:i/>
          <w:lang w:val="en-GB"/>
        </w:rPr>
        <w:t>triple</w:t>
      </w:r>
      <w:r w:rsidRPr="000724A3">
        <w:rPr>
          <w:lang w:val="en-GB"/>
        </w:rPr>
        <w:t xml:space="preserve"> were retained.</w:t>
      </w:r>
      <w:r w:rsidRPr="000724A3">
        <w:rPr>
          <w:rStyle w:val="EndnoteReference"/>
          <w:lang w:val="en-GB"/>
        </w:rPr>
        <w:endnoteReference w:id="5"/>
      </w:r>
    </w:p>
    <w:p w14:paraId="6ED8C01F" w14:textId="77777777" w:rsidR="00083D70" w:rsidRPr="000724A3" w:rsidRDefault="00083D70" w:rsidP="00A80DC6">
      <w:pPr>
        <w:pStyle w:val="BodyTextMain"/>
        <w:rPr>
          <w:lang w:val="en-GB"/>
        </w:rPr>
      </w:pPr>
    </w:p>
    <w:p w14:paraId="0C4F59A1" w14:textId="3F8BA8FA" w:rsidR="00083D70" w:rsidRPr="000724A3" w:rsidRDefault="00083D70" w:rsidP="00A80DC6">
      <w:pPr>
        <w:pStyle w:val="BodyTextMain"/>
        <w:rPr>
          <w:lang w:val="en-GB"/>
        </w:rPr>
      </w:pPr>
      <w:r w:rsidRPr="000724A3">
        <w:rPr>
          <w:lang w:val="en-GB"/>
        </w:rPr>
        <w:t>In 2012, Wendy’s decided to reintroduce breakfast offerings in its North American outlets. The company had unsuccessfully attempted to roll out a breakfast menu in both 1985 and 2007. In May 2018, Wendy’s typical breakfast offerings included breakfast sandwiches and breakfast burritos. In January 2014, the company introduced its Ciabatta Bacon Cheeseburger, which featured a quarter-pound beef patty, aged Asiago cheese, applewood-smoked bacon, rosemary garlic aioli, and oven-roasted tomatoes. This item was originally intended to be offered for only a limited time, but due to its success, Wendy’s decided to feature it permanently. Recently, the company introduced a black bean burger, containing (as of May 2018) black beans, wild rice, farro, onions, brown rice, carrots, quinoa, corn, and green and red bell peppers. Sauces and seasonings for the black bean burger typically included red wine vinegar, chili peppers, cumin, cilantro, oregano, and sea salt.</w:t>
      </w:r>
      <w:r w:rsidRPr="000724A3">
        <w:rPr>
          <w:rStyle w:val="EndnoteReference"/>
          <w:lang w:val="en-GB"/>
        </w:rPr>
        <w:endnoteReference w:id="6"/>
      </w:r>
    </w:p>
    <w:p w14:paraId="5B2E2C69" w14:textId="77777777" w:rsidR="00083D70" w:rsidRPr="000724A3" w:rsidRDefault="00083D70" w:rsidP="00A80DC6">
      <w:pPr>
        <w:pStyle w:val="BodyTextMain"/>
        <w:rPr>
          <w:lang w:val="en-GB"/>
        </w:rPr>
      </w:pPr>
    </w:p>
    <w:p w14:paraId="156A9775" w14:textId="77777777" w:rsidR="00083D70" w:rsidRPr="000724A3" w:rsidRDefault="00083D70" w:rsidP="00CD1234">
      <w:pPr>
        <w:pStyle w:val="BodyTextMain"/>
        <w:rPr>
          <w:lang w:val="en-GB"/>
        </w:rPr>
      </w:pPr>
      <w:r w:rsidRPr="000724A3">
        <w:rPr>
          <w:lang w:val="en-GB"/>
        </w:rPr>
        <w:t>Wendy’s had also introduced the Baconator. In May 2018, this burger was available in three different varieties: the Single Baconator, the Double Baconator, and the Triple Baconator. The Single was composed of a quarter-pound patty accompanied by mayonnaise, ketchup, three slices of bacon, and two slices of cheese, while the Double consisted of a half-pound patty, mayonnaise, ketchup, six slices of bacon, and three slices of cheese. The Triple featured a three-quarter-pound patty, mayonnaise, ketchup, nine slices of bacon, and four slices of cheese.</w:t>
      </w:r>
      <w:r w:rsidRPr="000724A3">
        <w:rPr>
          <w:rStyle w:val="EndnoteReference"/>
          <w:lang w:val="en-GB"/>
        </w:rPr>
        <w:endnoteReference w:id="7"/>
      </w:r>
    </w:p>
    <w:p w14:paraId="354118C7" w14:textId="77777777" w:rsidR="00083D70" w:rsidRPr="000724A3" w:rsidRDefault="00083D70" w:rsidP="00A80DC6">
      <w:pPr>
        <w:pStyle w:val="BodyTextMain"/>
        <w:rPr>
          <w:lang w:val="en-GB"/>
        </w:rPr>
      </w:pPr>
    </w:p>
    <w:p w14:paraId="1D6069C1" w14:textId="77777777" w:rsidR="00083D70" w:rsidRPr="000724A3" w:rsidRDefault="00083D70" w:rsidP="00A80DC6">
      <w:pPr>
        <w:pStyle w:val="BodyTextMain"/>
        <w:rPr>
          <w:lang w:val="en-GB"/>
        </w:rPr>
      </w:pPr>
    </w:p>
    <w:p w14:paraId="16C5D454" w14:textId="77777777" w:rsidR="00083D70" w:rsidRPr="000724A3" w:rsidRDefault="00083D70" w:rsidP="00A80DC6">
      <w:pPr>
        <w:rPr>
          <w:rFonts w:ascii="Arial" w:hAnsi="Arial" w:cs="Arial"/>
          <w:b/>
          <w:lang w:val="en-GB"/>
        </w:rPr>
      </w:pPr>
      <w:r w:rsidRPr="000724A3">
        <w:rPr>
          <w:rFonts w:ascii="Arial" w:hAnsi="Arial" w:cs="Arial"/>
          <w:b/>
          <w:lang w:val="en-GB"/>
        </w:rPr>
        <w:t>International Locations</w:t>
      </w:r>
    </w:p>
    <w:p w14:paraId="3E6F4B5F" w14:textId="77777777" w:rsidR="00083D70" w:rsidRPr="000724A3" w:rsidRDefault="00083D70" w:rsidP="00A80DC6">
      <w:pPr>
        <w:rPr>
          <w:b/>
          <w:i/>
          <w:sz w:val="22"/>
          <w:lang w:val="en-GB"/>
        </w:rPr>
      </w:pPr>
    </w:p>
    <w:p w14:paraId="4EAB3F79" w14:textId="05A98B17" w:rsidR="00083D70" w:rsidRPr="000724A3" w:rsidRDefault="00083D70" w:rsidP="00A80DC6">
      <w:pPr>
        <w:pStyle w:val="BodyTextMain"/>
        <w:rPr>
          <w:lang w:val="en-GB"/>
        </w:rPr>
      </w:pPr>
      <w:r w:rsidRPr="000724A3">
        <w:rPr>
          <w:lang w:val="en-GB"/>
        </w:rPr>
        <w:t>Wendy’s first foray into an international market occurred when it opened an outlet in Hamilton, Canada, in 1976. The first European outlet soon followed, when Wendy’s opened a restaurant in Munich, Germany, in 1979.</w:t>
      </w:r>
      <w:r w:rsidRPr="000724A3">
        <w:rPr>
          <w:rStyle w:val="EndnoteReference"/>
          <w:lang w:val="en-GB"/>
        </w:rPr>
        <w:endnoteReference w:id="8"/>
      </w:r>
      <w:r w:rsidRPr="000724A3">
        <w:rPr>
          <w:lang w:val="en-GB"/>
        </w:rPr>
        <w:t xml:space="preserve"> In the early 1980s, the company entered the Asian market. Restaurants were opened in Japan in 1980, in Hong Kong in 1982, in the Philippines and Singapore in 1983, and in South Korea in 1984.</w:t>
      </w:r>
      <w:r w:rsidRPr="000724A3">
        <w:rPr>
          <w:rStyle w:val="EndnoteReference"/>
          <w:lang w:val="en-GB"/>
        </w:rPr>
        <w:endnoteReference w:id="9"/>
      </w:r>
      <w:r w:rsidRPr="000724A3">
        <w:rPr>
          <w:lang w:val="en-GB"/>
        </w:rPr>
        <w:t xml:space="preserve"> However, the company closed all restaurants in Hong Kong in 1986 and in Singapore in 1987 in response to an economic slowdown. From 1988 to 1990, Wendy’s opened outlets in a number of international markets: Mexico, New Zealand, Indonesia, Greece, Turkey, Guatemala, and Italy.</w:t>
      </w:r>
      <w:r w:rsidRPr="000724A3">
        <w:rPr>
          <w:rStyle w:val="EndnoteReference"/>
          <w:lang w:val="en-GB"/>
        </w:rPr>
        <w:endnoteReference w:id="10"/>
      </w:r>
    </w:p>
    <w:p w14:paraId="1AAED522" w14:textId="77777777" w:rsidR="00083D70" w:rsidRPr="000724A3" w:rsidRDefault="00083D70" w:rsidP="00A80DC6">
      <w:pPr>
        <w:pStyle w:val="BodyTextMain"/>
        <w:rPr>
          <w:lang w:val="en-GB"/>
        </w:rPr>
      </w:pPr>
    </w:p>
    <w:p w14:paraId="40333A77" w14:textId="0B48DE35" w:rsidR="00083D70" w:rsidRPr="000724A3" w:rsidRDefault="00083D70" w:rsidP="00A80DC6">
      <w:pPr>
        <w:pStyle w:val="BodyTextMain"/>
        <w:rPr>
          <w:lang w:val="en-GB"/>
        </w:rPr>
      </w:pPr>
      <w:r w:rsidRPr="0063702F">
        <w:rPr>
          <w:spacing w:val="-2"/>
          <w:kern w:val="22"/>
          <w:lang w:val="en-GB"/>
        </w:rPr>
        <w:t>In 1996, Wendy’s opened 18 restaurants in Argentina, but by 2000 all of these had been closed. By that time, Wendy’s had also exited the South Korean market, as well as the United Kingdom and Hong Kong markets.</w:t>
      </w:r>
      <w:r w:rsidRPr="0063702F">
        <w:rPr>
          <w:rStyle w:val="EndnoteReference"/>
          <w:spacing w:val="-2"/>
          <w:kern w:val="22"/>
          <w:lang w:val="en-GB"/>
        </w:rPr>
        <w:endnoteReference w:id="11"/>
      </w:r>
      <w:r w:rsidRPr="0063702F">
        <w:rPr>
          <w:spacing w:val="-2"/>
          <w:kern w:val="22"/>
          <w:lang w:val="en-GB"/>
        </w:rPr>
        <w:t xml:space="preserve"> Wendy’s re-entered Singapore in 2009; however, by April 2015, it had closed all restaurants and exited that market. In 2011, Wendy’s re-entered Japan and Argentina by opening 50 restaurants in each country. The company also expanded to Russia; but by 2014, Wendy’s had closed all of its restaurants in that country. In 2013, Wendy’s entered the country of Georgia, and in 2015 it entered India</w:t>
      </w:r>
      <w:r w:rsidR="0063702F" w:rsidRPr="0063702F">
        <w:rPr>
          <w:spacing w:val="-2"/>
          <w:kern w:val="22"/>
          <w:lang w:val="en-GB"/>
        </w:rPr>
        <w:t xml:space="preserve"> (see Exhibit 1).</w:t>
      </w:r>
      <w:r w:rsidRPr="000724A3">
        <w:rPr>
          <w:rStyle w:val="EndnoteReference"/>
          <w:lang w:val="en-GB"/>
        </w:rPr>
        <w:endnoteReference w:id="12"/>
      </w:r>
      <w:r w:rsidR="0063702F">
        <w:rPr>
          <w:lang w:val="en-GB"/>
        </w:rPr>
        <w:t xml:space="preserve"> </w:t>
      </w:r>
    </w:p>
    <w:p w14:paraId="0856BB27" w14:textId="77777777" w:rsidR="00083D70" w:rsidRPr="000724A3" w:rsidRDefault="00083D70" w:rsidP="00A80DC6">
      <w:pPr>
        <w:pStyle w:val="BodyTextMain"/>
        <w:rPr>
          <w:lang w:val="en-GB"/>
        </w:rPr>
      </w:pPr>
    </w:p>
    <w:p w14:paraId="02568B6F" w14:textId="77777777" w:rsidR="00083D70" w:rsidRPr="000724A3" w:rsidRDefault="00083D70" w:rsidP="00A80DC6">
      <w:pPr>
        <w:pStyle w:val="BodyTextMain"/>
        <w:rPr>
          <w:lang w:val="en-GB"/>
        </w:rPr>
      </w:pPr>
    </w:p>
    <w:p w14:paraId="4D2FC0A5" w14:textId="77777777" w:rsidR="00083D70" w:rsidRPr="000724A3" w:rsidRDefault="00083D70" w:rsidP="00A55734">
      <w:pPr>
        <w:pStyle w:val="Casehead1"/>
        <w:rPr>
          <w:lang w:val="en-GB"/>
        </w:rPr>
      </w:pPr>
      <w:r w:rsidRPr="000724A3">
        <w:rPr>
          <w:lang w:val="en-GB"/>
        </w:rPr>
        <w:t>POTENTIAL INTERNATIONAL MARKETS for a wendy’s expansion</w:t>
      </w:r>
    </w:p>
    <w:p w14:paraId="3BFE50F0" w14:textId="77777777" w:rsidR="00083D70" w:rsidRPr="000724A3" w:rsidRDefault="00083D70" w:rsidP="00A80DC6">
      <w:pPr>
        <w:pStyle w:val="BodyTextMain"/>
        <w:rPr>
          <w:lang w:val="en-GB"/>
        </w:rPr>
      </w:pPr>
    </w:p>
    <w:p w14:paraId="2673CD3F" w14:textId="77777777" w:rsidR="00083D70" w:rsidRPr="000724A3" w:rsidRDefault="00083D70" w:rsidP="00A80DC6">
      <w:pPr>
        <w:pStyle w:val="BodyTextMain"/>
        <w:rPr>
          <w:lang w:val="en-GB"/>
        </w:rPr>
      </w:pPr>
      <w:r w:rsidRPr="000724A3">
        <w:rPr>
          <w:lang w:val="en-GB"/>
        </w:rPr>
        <w:t>The following markets were identified by industry experts as having high growth potential:</w:t>
      </w:r>
    </w:p>
    <w:p w14:paraId="4395BD5B" w14:textId="77777777" w:rsidR="00083D70" w:rsidRPr="000724A3" w:rsidRDefault="00083D70" w:rsidP="00A80DC6">
      <w:pPr>
        <w:pStyle w:val="BodyTextMain"/>
        <w:rPr>
          <w:lang w:val="en-GB"/>
        </w:rPr>
      </w:pPr>
    </w:p>
    <w:p w14:paraId="628E333C" w14:textId="77777777" w:rsidR="00083D70" w:rsidRPr="000724A3" w:rsidRDefault="00083D70" w:rsidP="00A80DC6">
      <w:pPr>
        <w:pStyle w:val="BodyTextMain"/>
        <w:rPr>
          <w:lang w:val="en-GB"/>
        </w:rPr>
      </w:pPr>
    </w:p>
    <w:p w14:paraId="04506336" w14:textId="77777777" w:rsidR="00083D70" w:rsidRPr="000724A3" w:rsidRDefault="00083D70" w:rsidP="00A80DC6">
      <w:pPr>
        <w:rPr>
          <w:rFonts w:ascii="Arial" w:hAnsi="Arial" w:cs="Arial"/>
          <w:b/>
          <w:lang w:val="en-GB"/>
        </w:rPr>
      </w:pPr>
      <w:r w:rsidRPr="000724A3">
        <w:rPr>
          <w:rFonts w:ascii="Arial" w:hAnsi="Arial" w:cs="Arial"/>
          <w:b/>
          <w:lang w:val="en-GB"/>
        </w:rPr>
        <w:t>Africa</w:t>
      </w:r>
    </w:p>
    <w:p w14:paraId="1AFABD00" w14:textId="77777777" w:rsidR="00083D70" w:rsidRPr="000724A3" w:rsidRDefault="00083D70" w:rsidP="00A80DC6">
      <w:pPr>
        <w:rPr>
          <w:rFonts w:ascii="Arial" w:hAnsi="Arial" w:cs="Arial"/>
          <w:b/>
          <w:lang w:val="en-GB"/>
        </w:rPr>
      </w:pPr>
    </w:p>
    <w:p w14:paraId="20316D30" w14:textId="73D123FA" w:rsidR="00083D70" w:rsidRPr="000724A3" w:rsidRDefault="00083D70" w:rsidP="00B67266">
      <w:pPr>
        <w:pStyle w:val="BodyTextMain"/>
        <w:rPr>
          <w:lang w:val="en-GB"/>
        </w:rPr>
      </w:pPr>
      <w:r w:rsidRPr="000724A3">
        <w:rPr>
          <w:spacing w:val="-2"/>
          <w:kern w:val="22"/>
          <w:lang w:val="en-GB"/>
        </w:rPr>
        <w:t xml:space="preserve">In May 2018, the fast food industry was in the nascent stages in Africa. However, some industry experts predicted that the African fast food market would experience significant growth in coming years. These experts pointed to a changing lifestyle as the key reason for the growth of fast food in Africa. In May 2018, </w:t>
      </w:r>
      <w:r w:rsidRPr="000724A3">
        <w:rPr>
          <w:spacing w:val="-2"/>
          <w:kern w:val="22"/>
          <w:lang w:val="en-GB"/>
        </w:rPr>
        <w:lastRenderedPageBreak/>
        <w:t>this changing lifestyle was being driven by a rising middle class and rising incomes in many African countries. As a result, people had greater disposable income and were likely to need food on the go</w:t>
      </w:r>
      <w:r w:rsidRPr="000724A3">
        <w:rPr>
          <w:lang w:val="en-GB"/>
        </w:rPr>
        <w:t>.</w:t>
      </w:r>
      <w:r w:rsidR="0063702F" w:rsidRPr="0063702F">
        <w:rPr>
          <w:rStyle w:val="EndnoteReference"/>
          <w:spacing w:val="-2"/>
          <w:kern w:val="22"/>
          <w:lang w:val="en-GB"/>
        </w:rPr>
        <w:t xml:space="preserve"> </w:t>
      </w:r>
      <w:r w:rsidR="0063702F" w:rsidRPr="000724A3">
        <w:rPr>
          <w:rStyle w:val="EndnoteReference"/>
          <w:spacing w:val="-2"/>
          <w:kern w:val="22"/>
          <w:lang w:val="en-GB"/>
        </w:rPr>
        <w:endnoteReference w:id="13"/>
      </w:r>
    </w:p>
    <w:p w14:paraId="23368928" w14:textId="77777777" w:rsidR="00083D70" w:rsidRPr="000724A3" w:rsidRDefault="00083D70" w:rsidP="00B67266">
      <w:pPr>
        <w:pStyle w:val="BodyTextMain"/>
        <w:rPr>
          <w:lang w:val="en-GB"/>
        </w:rPr>
      </w:pPr>
    </w:p>
    <w:p w14:paraId="7E387847" w14:textId="77777777" w:rsidR="00083D70" w:rsidRPr="000724A3" w:rsidRDefault="00083D70" w:rsidP="00B67266">
      <w:pPr>
        <w:pStyle w:val="BodyTextMain"/>
        <w:rPr>
          <w:spacing w:val="-4"/>
          <w:kern w:val="22"/>
          <w:lang w:val="en-GB"/>
        </w:rPr>
      </w:pPr>
      <w:r w:rsidRPr="000724A3">
        <w:rPr>
          <w:spacing w:val="-4"/>
          <w:kern w:val="22"/>
          <w:lang w:val="en-GB"/>
        </w:rPr>
        <w:t>“As incomes rise and all of the usual emerging market dynamics are in play, such as urbanization, [and] more hectic lifestyles, many people in Africa are also gaining access to chained/branded restaurants for the first time,” commented Elizabeth Friend, a strategy analyst with Euromonitor International. Friend also pointed to curiosity as another factor in the potential growth of fast food in Africa (especially since people were posting their culinary experiences online, through various social media): “They’re curious about the foods their peers are eating and the restaurants they are going to, and they’re eager for a chance to try them out for themselves.”</w:t>
      </w:r>
      <w:r w:rsidRPr="000724A3">
        <w:rPr>
          <w:rStyle w:val="EndnoteReference"/>
          <w:spacing w:val="-4"/>
          <w:kern w:val="22"/>
          <w:lang w:val="en-GB"/>
        </w:rPr>
        <w:endnoteReference w:id="14"/>
      </w:r>
      <w:r w:rsidRPr="000724A3">
        <w:rPr>
          <w:rStyle w:val="EndnoteReference"/>
          <w:spacing w:val="-4"/>
          <w:kern w:val="22"/>
          <w:lang w:val="en-GB"/>
        </w:rPr>
        <w:t xml:space="preserve"> </w:t>
      </w:r>
    </w:p>
    <w:p w14:paraId="576B3733" w14:textId="77777777" w:rsidR="00083D70" w:rsidRPr="000724A3" w:rsidRDefault="00083D70" w:rsidP="00B67266">
      <w:pPr>
        <w:pStyle w:val="BodyTextMain"/>
        <w:rPr>
          <w:sz w:val="20"/>
          <w:lang w:val="en-GB"/>
        </w:rPr>
      </w:pPr>
    </w:p>
    <w:p w14:paraId="47317FA9" w14:textId="77777777" w:rsidR="00083D70" w:rsidRPr="000724A3" w:rsidRDefault="00083D70" w:rsidP="00B67266">
      <w:pPr>
        <w:pStyle w:val="BodyTextMain"/>
        <w:rPr>
          <w:lang w:val="en-GB"/>
        </w:rPr>
      </w:pPr>
      <w:r w:rsidRPr="000724A3">
        <w:rPr>
          <w:lang w:val="en-GB"/>
        </w:rPr>
        <w:t>Other analysts agreed that the African fast food market could see significant growth: “In Africa as a whole, and particularly sub-Saharan Africa, we’re starting to see real growth in terms of the number of households with the kind of disposable income that can support eating out,” commented Michael Schaefer, head of Consumer Foodservice at Euromonitor International. “If we look at just South Africa, Nigeria, Cameroon, and Kenya, you’re now seeing about 16 million households with disposable incomes of [US]$5,000 a year or more, which is not a great deal, but is often considered the level when people might start to eat out on a regular basis,” indicated Schaefer.</w:t>
      </w:r>
      <w:r w:rsidRPr="000724A3">
        <w:rPr>
          <w:rStyle w:val="EndnoteReference"/>
          <w:lang w:val="en-GB"/>
        </w:rPr>
        <w:endnoteReference w:id="15"/>
      </w:r>
    </w:p>
    <w:p w14:paraId="50FB51F5" w14:textId="77777777" w:rsidR="00083D70" w:rsidRPr="000724A3" w:rsidRDefault="00083D70" w:rsidP="00B67266">
      <w:pPr>
        <w:pStyle w:val="BodyTextMain"/>
        <w:rPr>
          <w:sz w:val="20"/>
          <w:lang w:val="en-GB"/>
        </w:rPr>
      </w:pPr>
    </w:p>
    <w:p w14:paraId="5483FC7E" w14:textId="695E8707" w:rsidR="00083D70" w:rsidRPr="000724A3" w:rsidRDefault="00083D70" w:rsidP="00B67266">
      <w:pPr>
        <w:pStyle w:val="BodyTextMain"/>
        <w:rPr>
          <w:lang w:val="en-GB"/>
        </w:rPr>
      </w:pPr>
      <w:r w:rsidRPr="000724A3">
        <w:rPr>
          <w:lang w:val="en-GB"/>
        </w:rPr>
        <w:t>Although Africa was considered to be a relatively new market in May 2018, some North American fast food companies had already established operations in Africa by that time. In May 2018, KFC Corporation (KFC)(formerly Kentucky Fried Chicken) was the market leader in Africa, with 840 restaurants across various countries—South Africa, Angola, Namibia, Botswana, Malawi, Ghana, Kenya, Zambia, Tanzania, and Uganda—while McDonald’s was second with 387 restaurants across six countries—South Africa, Egypt, Morocco, Kenya, Mauritius, and Tunisia. By May 2018, Burger King had also established a presence in Africa, with 120 restaurants in Egypt, Ivory Coast, Kenya, Morocco, and South Africa.</w:t>
      </w:r>
      <w:r w:rsidRPr="000724A3">
        <w:rPr>
          <w:rStyle w:val="EndnoteReference"/>
          <w:lang w:val="en-GB"/>
        </w:rPr>
        <w:endnoteReference w:id="16"/>
      </w:r>
    </w:p>
    <w:p w14:paraId="667A5B77" w14:textId="77777777" w:rsidR="00083D70" w:rsidRPr="000724A3" w:rsidRDefault="00083D70" w:rsidP="00B67266">
      <w:pPr>
        <w:pStyle w:val="BodyTextMain"/>
        <w:rPr>
          <w:sz w:val="20"/>
          <w:lang w:val="en-GB"/>
        </w:rPr>
      </w:pPr>
    </w:p>
    <w:p w14:paraId="7F13E16F" w14:textId="77777777" w:rsidR="00083D70" w:rsidRPr="000724A3" w:rsidRDefault="00083D70" w:rsidP="00B67266">
      <w:pPr>
        <w:pStyle w:val="BodyTextMain"/>
        <w:rPr>
          <w:lang w:val="en-GB"/>
        </w:rPr>
      </w:pPr>
      <w:r w:rsidRPr="000724A3">
        <w:rPr>
          <w:lang w:val="en-GB"/>
        </w:rPr>
        <w:t>Within Africa, a few markets were identified as having potential for growth:</w:t>
      </w:r>
    </w:p>
    <w:p w14:paraId="38BC4D2B" w14:textId="77777777" w:rsidR="00083D70" w:rsidRPr="000724A3" w:rsidRDefault="00083D70" w:rsidP="004057A7">
      <w:pPr>
        <w:rPr>
          <w:szCs w:val="22"/>
          <w:lang w:val="en-GB"/>
        </w:rPr>
      </w:pPr>
    </w:p>
    <w:p w14:paraId="2AE94F8D" w14:textId="77777777" w:rsidR="00083D70" w:rsidRPr="000724A3" w:rsidRDefault="00083D70" w:rsidP="004057A7">
      <w:pPr>
        <w:rPr>
          <w:szCs w:val="22"/>
          <w:lang w:val="en-GB"/>
        </w:rPr>
      </w:pPr>
    </w:p>
    <w:p w14:paraId="539DA166" w14:textId="77777777" w:rsidR="00083D70" w:rsidRPr="000724A3" w:rsidRDefault="00083D70" w:rsidP="003342E3">
      <w:pPr>
        <w:rPr>
          <w:sz w:val="22"/>
          <w:lang w:val="en-GB"/>
        </w:rPr>
      </w:pPr>
      <w:r w:rsidRPr="000724A3">
        <w:rPr>
          <w:sz w:val="22"/>
          <w:u w:val="single"/>
          <w:lang w:val="en-GB"/>
        </w:rPr>
        <w:t>Egypt</w:t>
      </w:r>
    </w:p>
    <w:p w14:paraId="6145A357" w14:textId="77777777" w:rsidR="00083D70" w:rsidRPr="000724A3" w:rsidRDefault="00083D70" w:rsidP="003342E3">
      <w:pPr>
        <w:rPr>
          <w:lang w:val="en-GB"/>
        </w:rPr>
      </w:pPr>
    </w:p>
    <w:p w14:paraId="47981FEA" w14:textId="4128A07E" w:rsidR="00083D70" w:rsidRPr="000724A3" w:rsidRDefault="00083D70" w:rsidP="00B67266">
      <w:pPr>
        <w:pStyle w:val="BodyTextMain"/>
        <w:rPr>
          <w:lang w:val="en-GB"/>
        </w:rPr>
      </w:pPr>
      <w:r w:rsidRPr="000724A3">
        <w:rPr>
          <w:lang w:val="en-GB"/>
        </w:rPr>
        <w:t>Egypt, a country with a population of approximately 92 million, was expected to experience continued population growth. Most experts forecasted that the country’s population would grow by 2.2 per cent annually for the foreseeable future. Most of Egypt’s population was located along a narrow strip of the Nile River, and in May 2018, its population was young, with a median age of 25.3 years. The main language spoken in Egypt was Arabic, and the most practised religion in the country was Islam; Christianity was the second most practiced religion (see Exhibits 2 and 3). Traditionally, Egypt’s economy had relied on agriculture, tourism, and cash remittances from Egyptians working abroad. By May 2018, a booming economy, increased tourism, and a greater number of people in the workforce contributed to rising incomes among the country’s consumers. With additional disposable income, Egyptian consumers had become much more interested in eating out at restaurants. As a result, significant growth of the Egyptian fast food market had already occurred; for instance, in 2016 alone, the casual dining segment grew by 24 per cent, and substantial future growth was expected. In particular, significant growth was expected to occur in Cairo (the country’s capital city), not only because of its large population (22 million people), but also because of its status as the centre for tourism and commerce in Egypt.</w:t>
      </w:r>
      <w:r w:rsidRPr="000724A3">
        <w:rPr>
          <w:rStyle w:val="EndnoteReference"/>
          <w:lang w:val="en-GB"/>
        </w:rPr>
        <w:endnoteReference w:id="17"/>
      </w:r>
      <w:r w:rsidRPr="000724A3">
        <w:rPr>
          <w:lang w:val="en-GB"/>
        </w:rPr>
        <w:t xml:space="preserve">  </w:t>
      </w:r>
    </w:p>
    <w:p w14:paraId="320D2FA5" w14:textId="77777777" w:rsidR="00083D70" w:rsidRPr="000724A3" w:rsidRDefault="00083D70" w:rsidP="00B67266">
      <w:pPr>
        <w:pStyle w:val="BodyTextMain"/>
        <w:rPr>
          <w:sz w:val="20"/>
          <w:lang w:val="en-GB"/>
        </w:rPr>
      </w:pPr>
    </w:p>
    <w:p w14:paraId="3EE9AC67" w14:textId="6F59E99C" w:rsidR="00083D70" w:rsidRPr="000724A3" w:rsidRDefault="00083D70" w:rsidP="00B67266">
      <w:pPr>
        <w:pStyle w:val="BodyTextMain"/>
        <w:rPr>
          <w:lang w:val="en-GB"/>
        </w:rPr>
      </w:pPr>
      <w:r w:rsidRPr="000724A3">
        <w:rPr>
          <w:lang w:val="en-GB"/>
        </w:rPr>
        <w:t>McDonald’s and Burger King had entered Egypt earlier, and by May 2018, McDonald’s had 78 restaurants in Egypt, and Burger King had 68 restaurants in the country.</w:t>
      </w:r>
      <w:r w:rsidRPr="000724A3">
        <w:rPr>
          <w:rStyle w:val="EndnoteReference"/>
          <w:lang w:val="en-GB"/>
        </w:rPr>
        <w:endnoteReference w:id="18"/>
      </w:r>
      <w:r w:rsidRPr="000724A3">
        <w:rPr>
          <w:lang w:val="en-GB"/>
        </w:rPr>
        <w:t xml:space="preserve"> In May 2018, there were also two major Egyptian fast food chains, Cook Door and Mo’men. Both chains were established in 1988 and based in Cairo. Cook Door mainly focused on sandwiches and meals, while Mo’men mainly featured sandwiches. </w:t>
      </w:r>
      <w:r w:rsidRPr="000724A3">
        <w:rPr>
          <w:lang w:val="en-GB"/>
        </w:rPr>
        <w:lastRenderedPageBreak/>
        <w:t>The former had had one location until 2013 but had recently expanded to feature multiple locations, while the latter boasted approximately 30 locations in May 2018.</w:t>
      </w:r>
      <w:r w:rsidRPr="000724A3">
        <w:rPr>
          <w:rStyle w:val="EndnoteReference"/>
          <w:lang w:val="en-GB"/>
        </w:rPr>
        <w:endnoteReference w:id="19"/>
      </w:r>
    </w:p>
    <w:p w14:paraId="2587AEA1" w14:textId="77777777" w:rsidR="00083D70" w:rsidRDefault="00083D70" w:rsidP="003342E3">
      <w:pPr>
        <w:rPr>
          <w:lang w:val="en-GB"/>
        </w:rPr>
      </w:pPr>
    </w:p>
    <w:p w14:paraId="395E1419" w14:textId="77777777" w:rsidR="0063702F" w:rsidRPr="000724A3" w:rsidRDefault="0063702F" w:rsidP="003342E3">
      <w:pPr>
        <w:rPr>
          <w:lang w:val="en-GB"/>
        </w:rPr>
      </w:pPr>
    </w:p>
    <w:p w14:paraId="61432DB4" w14:textId="77777777" w:rsidR="00083D70" w:rsidRPr="000724A3" w:rsidRDefault="00083D70" w:rsidP="003342E3">
      <w:pPr>
        <w:rPr>
          <w:sz w:val="22"/>
          <w:u w:val="single"/>
          <w:lang w:val="en-GB"/>
        </w:rPr>
      </w:pPr>
      <w:r w:rsidRPr="000724A3">
        <w:rPr>
          <w:sz w:val="22"/>
          <w:u w:val="single"/>
          <w:lang w:val="en-GB"/>
        </w:rPr>
        <w:t>South Africa</w:t>
      </w:r>
    </w:p>
    <w:p w14:paraId="693D3CB6" w14:textId="77777777" w:rsidR="00083D70" w:rsidRPr="000724A3" w:rsidRDefault="00083D70" w:rsidP="004057A7">
      <w:pPr>
        <w:rPr>
          <w:szCs w:val="22"/>
          <w:lang w:val="en-GB"/>
        </w:rPr>
      </w:pPr>
    </w:p>
    <w:p w14:paraId="6D4F08A7" w14:textId="77777777" w:rsidR="00083D70" w:rsidRPr="000724A3" w:rsidRDefault="00083D70" w:rsidP="00B67266">
      <w:pPr>
        <w:pStyle w:val="BodyTextMain"/>
        <w:rPr>
          <w:lang w:val="en-GB"/>
        </w:rPr>
      </w:pPr>
      <w:r w:rsidRPr="000724A3">
        <w:rPr>
          <w:lang w:val="en-GB"/>
        </w:rPr>
        <w:t xml:space="preserve">In early 2018, South Africa’s population </w:t>
      </w:r>
      <w:r w:rsidRPr="00274C0A">
        <w:rPr>
          <w:lang w:val="en-GB"/>
        </w:rPr>
        <w:t>totalled</w:t>
      </w:r>
      <w:r w:rsidRPr="000724A3">
        <w:rPr>
          <w:lang w:val="en-GB"/>
        </w:rPr>
        <w:t xml:space="preserve"> approximately 50.7 million. Since the fall of apartheid in 1994, the country had peacefully transitioned to a multi-party democracy. A total of 11 different languages were spoken in South Africa in early 2018. The language spoken by the greatest number of citizens was Zulu, followed by Xhosa, Afrikaans, and English. The country’s dominant religion was Christianity, but Islam and indigenous beliefs were also </w:t>
      </w:r>
      <w:r w:rsidRPr="00274C0A">
        <w:rPr>
          <w:lang w:val="en-GB"/>
        </w:rPr>
        <w:t>practised</w:t>
      </w:r>
      <w:r w:rsidRPr="000724A3">
        <w:rPr>
          <w:lang w:val="en-GB"/>
        </w:rPr>
        <w:t>. By May 2018, South Africa was fuelled by mining and agriculture, and its economy had become one of Africa’s largest and most stable.</w:t>
      </w:r>
      <w:r w:rsidRPr="000724A3">
        <w:rPr>
          <w:rStyle w:val="EndnoteReference"/>
          <w:lang w:val="en-GB"/>
        </w:rPr>
        <w:endnoteReference w:id="20"/>
      </w:r>
      <w:r w:rsidRPr="000724A3">
        <w:rPr>
          <w:lang w:val="en-GB"/>
        </w:rPr>
        <w:t xml:space="preserve"> In recent years, South Africa had seen rising incomes and a growing number of women in its workforce. These factors led to greater disposable incomes for the country’s consumers, which, coupled with increasingly busy lifestyles, led to more people eating out. This buoyed fast food consumption in the country. In addition, an expansion of the country’s middle class had also helped the fast food industry to grow substantially in recent years.</w:t>
      </w:r>
      <w:r w:rsidRPr="000724A3">
        <w:rPr>
          <w:rStyle w:val="EndnoteReference"/>
          <w:lang w:val="en-GB"/>
        </w:rPr>
        <w:endnoteReference w:id="21"/>
      </w:r>
    </w:p>
    <w:p w14:paraId="0C0BD626" w14:textId="77777777" w:rsidR="00083D70" w:rsidRPr="000724A3" w:rsidRDefault="00083D70" w:rsidP="00B67266">
      <w:pPr>
        <w:pStyle w:val="BodyTextMain"/>
        <w:rPr>
          <w:lang w:val="en-GB"/>
        </w:rPr>
      </w:pPr>
    </w:p>
    <w:p w14:paraId="3D231D70" w14:textId="4E4B64BB" w:rsidR="00083D70" w:rsidRPr="000724A3" w:rsidRDefault="00083D70" w:rsidP="00B67266">
      <w:pPr>
        <w:pStyle w:val="BodyTextMain"/>
        <w:rPr>
          <w:lang w:val="en-GB"/>
        </w:rPr>
      </w:pPr>
      <w:r w:rsidRPr="000724A3">
        <w:rPr>
          <w:lang w:val="en-GB"/>
        </w:rPr>
        <w:t>By May 2018, the South African fast food market had become somewhat established, as the top 10 fast food companies had opened over 3,600 locations in the country. Yet signs of future growth were still present. A large number (over 80 per cent) of South African consumers purchased fast food at least once a month, and this number was expected to grow, as approximately 42 million people were expected to have purchased at least one fast food meal by May 2018. Further, growth in the fast food sector was expected to increase by 9 per cent in both 2018 and 2019, while the number of takeout restaurants was expected to increase by 4 per cent each year during this time span. In addition, the country’s retail growth rate was expected to grow by 3–5 per cent in 2019.</w:t>
      </w:r>
      <w:r w:rsidRPr="000724A3">
        <w:rPr>
          <w:rStyle w:val="EndnoteReference"/>
          <w:lang w:val="en-GB"/>
        </w:rPr>
        <w:endnoteReference w:id="22"/>
      </w:r>
      <w:r w:rsidRPr="000724A3">
        <w:rPr>
          <w:lang w:val="en-GB"/>
        </w:rPr>
        <w:t xml:space="preserve"> </w:t>
      </w:r>
    </w:p>
    <w:p w14:paraId="072D1CEB" w14:textId="77777777" w:rsidR="00083D70" w:rsidRPr="000724A3" w:rsidRDefault="00083D70" w:rsidP="00B67266">
      <w:pPr>
        <w:pStyle w:val="BodyTextMain"/>
        <w:rPr>
          <w:lang w:val="en-GB"/>
        </w:rPr>
      </w:pPr>
    </w:p>
    <w:p w14:paraId="68BB24EE" w14:textId="44898BB7" w:rsidR="00083D70" w:rsidRPr="000724A3" w:rsidRDefault="00083D70" w:rsidP="00B67266">
      <w:pPr>
        <w:pStyle w:val="BodyTextMain"/>
        <w:rPr>
          <w:lang w:val="en-GB"/>
        </w:rPr>
      </w:pPr>
      <w:r w:rsidRPr="000724A3">
        <w:rPr>
          <w:lang w:val="en-GB"/>
        </w:rPr>
        <w:t>American fast food companies had established operations in South Africa. McDonald’s first restaurant in South Africa opened in 1995, and by the start of 2018 the company had over 200 restaurants across nine provinces. Burger King first opened its doors in South Africa in May 2013, and by May 2018 it had 70 outlets in operation.</w:t>
      </w:r>
      <w:r w:rsidRPr="000724A3">
        <w:rPr>
          <w:rStyle w:val="EndnoteReference"/>
          <w:lang w:val="en-GB"/>
        </w:rPr>
        <w:endnoteReference w:id="23"/>
      </w:r>
      <w:r w:rsidRPr="000724A3">
        <w:rPr>
          <w:lang w:val="en-GB"/>
        </w:rPr>
        <w:t xml:space="preserve"> In May 2018, a number of local South African fast food competitors existed, such as Steers, Wimpy, and Nando’s. Steers offered flame-broiled hamburgers and homemade chips (fries). Wimpy, a South African chain with American roots, featured classic fast food fare such as hamburgers, chips, and breakfast items. Nando’s featured Portuguese-style peri peri chicken—chicken served with peri peri, a Portuguese chili sauce—as well as a number of other Mozambique–Portuguese chicken dishes. While Nando’s operated in South Africa, it had also expanded to Botswana, Mauritius, Namibia, Swaziland, Zambia, and Zimbabwe.</w:t>
      </w:r>
      <w:r w:rsidRPr="000724A3">
        <w:rPr>
          <w:rStyle w:val="EndnoteReference"/>
          <w:lang w:val="en-GB"/>
        </w:rPr>
        <w:endnoteReference w:id="24"/>
      </w:r>
    </w:p>
    <w:p w14:paraId="6E84BC30" w14:textId="77777777" w:rsidR="00083D70" w:rsidRPr="000724A3" w:rsidRDefault="00083D70" w:rsidP="006044E1">
      <w:pPr>
        <w:rPr>
          <w:sz w:val="22"/>
          <w:szCs w:val="22"/>
          <w:lang w:val="en-GB"/>
        </w:rPr>
      </w:pPr>
    </w:p>
    <w:p w14:paraId="753475B2" w14:textId="77777777" w:rsidR="00083D70" w:rsidRPr="000724A3" w:rsidRDefault="00083D70" w:rsidP="006044E1">
      <w:pPr>
        <w:rPr>
          <w:sz w:val="22"/>
          <w:szCs w:val="22"/>
          <w:lang w:val="en-GB"/>
        </w:rPr>
      </w:pPr>
    </w:p>
    <w:p w14:paraId="78941C08" w14:textId="77777777" w:rsidR="00083D70" w:rsidRPr="000724A3" w:rsidRDefault="00083D70" w:rsidP="006044E1">
      <w:pPr>
        <w:rPr>
          <w:sz w:val="22"/>
          <w:szCs w:val="22"/>
          <w:u w:val="single"/>
          <w:lang w:val="en-GB"/>
        </w:rPr>
      </w:pPr>
      <w:r w:rsidRPr="000724A3">
        <w:rPr>
          <w:sz w:val="22"/>
          <w:szCs w:val="22"/>
          <w:u w:val="single"/>
          <w:lang w:val="en-GB"/>
        </w:rPr>
        <w:t>Ghana</w:t>
      </w:r>
    </w:p>
    <w:p w14:paraId="65044E2C" w14:textId="77777777" w:rsidR="00083D70" w:rsidRPr="000724A3" w:rsidRDefault="00083D70" w:rsidP="006044E1">
      <w:pPr>
        <w:rPr>
          <w:sz w:val="22"/>
          <w:szCs w:val="22"/>
          <w:u w:val="single"/>
          <w:lang w:val="en-GB"/>
        </w:rPr>
      </w:pPr>
    </w:p>
    <w:p w14:paraId="7137E425" w14:textId="1B2F6C54" w:rsidR="00083D70" w:rsidRPr="000724A3" w:rsidRDefault="00083D70" w:rsidP="00B67266">
      <w:pPr>
        <w:pStyle w:val="BodyTextMain"/>
        <w:rPr>
          <w:lang w:val="en-GB"/>
        </w:rPr>
      </w:pPr>
      <w:r w:rsidRPr="000724A3">
        <w:rPr>
          <w:lang w:val="en-GB"/>
        </w:rPr>
        <w:t>In May 2018, Ghana had a population of approximately 29.6 million. Over the last 25 years, the country had transitioned to a multi-party democracy and had made significant strides in the areas of freedom of speech and freedom of the press. English was the predominant language in the country, though some African languages such as Akan and Ewe were also spoken. The country’s dominant religion was Christianity, followed by Islam and indigenous beliefs. Ghana’s economy relied on gold, cocoa, and oil, and these products had fuelled significant growth over the last decade.</w:t>
      </w:r>
      <w:r w:rsidRPr="000724A3">
        <w:rPr>
          <w:rStyle w:val="EndnoteReference"/>
          <w:lang w:val="en-GB"/>
        </w:rPr>
        <w:endnoteReference w:id="25"/>
      </w:r>
      <w:r w:rsidRPr="000724A3">
        <w:rPr>
          <w:lang w:val="en-GB"/>
        </w:rPr>
        <w:t xml:space="preserve"> By May 2018, the country boasted a booming economy, with 7 per cent growth since 2005; its middle class was rapidly expanding, disposable incomes were rising, retail was expanding, and consumers were experiencing changing lifestyles and had begun to embrace fast food. These conditions, combined with reports that Ghanaians were expected to </w:t>
      </w:r>
      <w:r w:rsidRPr="000724A3">
        <w:rPr>
          <w:lang w:val="en-GB"/>
        </w:rPr>
        <w:lastRenderedPageBreak/>
        <w:t>spend a large portion of their increased disposable income on food and drinks, indicated that Ghana could experience significant growth in fast food.</w:t>
      </w:r>
      <w:r w:rsidRPr="000724A3">
        <w:rPr>
          <w:rStyle w:val="EndnoteReference"/>
          <w:lang w:val="en-GB"/>
        </w:rPr>
        <w:t xml:space="preserve"> </w:t>
      </w:r>
      <w:r w:rsidRPr="000724A3">
        <w:rPr>
          <w:rStyle w:val="EndnoteReference"/>
          <w:lang w:val="en-GB"/>
        </w:rPr>
        <w:endnoteReference w:id="26"/>
      </w:r>
    </w:p>
    <w:p w14:paraId="08384A71" w14:textId="77777777" w:rsidR="00083D70" w:rsidRPr="000724A3" w:rsidRDefault="00083D70" w:rsidP="00B67266">
      <w:pPr>
        <w:pStyle w:val="BodyTextMain"/>
        <w:rPr>
          <w:lang w:val="en-GB"/>
        </w:rPr>
      </w:pPr>
    </w:p>
    <w:p w14:paraId="728C9336" w14:textId="77777777" w:rsidR="00083D70" w:rsidRPr="000724A3" w:rsidRDefault="00083D70" w:rsidP="00B67266">
      <w:pPr>
        <w:pStyle w:val="BodyTextMain"/>
        <w:rPr>
          <w:lang w:val="en-GB"/>
        </w:rPr>
      </w:pPr>
      <w:r w:rsidRPr="000724A3">
        <w:rPr>
          <w:lang w:val="en-GB"/>
        </w:rPr>
        <w:t>By May 2018, most American fast food chains had not yet established a strong presence in Ghana. McDonald’s had no presence in Ghana; and while Burger King had not yet opened a restaurant in the country, the company was expected to open its first outlet at some point in May 2018.</w:t>
      </w:r>
      <w:r w:rsidRPr="000724A3">
        <w:rPr>
          <w:rStyle w:val="EndnoteReference"/>
          <w:lang w:val="en-GB"/>
        </w:rPr>
        <w:endnoteReference w:id="27"/>
      </w:r>
      <w:r w:rsidRPr="000724A3">
        <w:rPr>
          <w:lang w:val="en-GB"/>
        </w:rPr>
        <w:t xml:space="preserve"> However, some competition from local companies existed, with the strongest competitor perhaps being Papaye. Considered to be the McDonald’s of Ghana, this establishment offered fried chicken and fish, as well as grilled fish kebabs. Another significant competitor was Frankie’s, which featured burgers, pizzas, fries, milkshakes, and Lebanese fast food.</w:t>
      </w:r>
      <w:r w:rsidRPr="000724A3">
        <w:rPr>
          <w:rStyle w:val="EndnoteReference"/>
          <w:lang w:val="en-GB"/>
        </w:rPr>
        <w:endnoteReference w:id="28"/>
      </w:r>
    </w:p>
    <w:p w14:paraId="15F8675F" w14:textId="77777777" w:rsidR="00083D70" w:rsidRPr="000724A3" w:rsidRDefault="00083D70" w:rsidP="006044E1">
      <w:pPr>
        <w:rPr>
          <w:sz w:val="22"/>
          <w:szCs w:val="22"/>
          <w:u w:val="single"/>
          <w:lang w:val="en-GB"/>
        </w:rPr>
      </w:pPr>
    </w:p>
    <w:p w14:paraId="75A25896" w14:textId="77777777" w:rsidR="00083D70" w:rsidRPr="000724A3" w:rsidRDefault="00083D70" w:rsidP="006044E1">
      <w:pPr>
        <w:rPr>
          <w:sz w:val="22"/>
          <w:szCs w:val="22"/>
          <w:u w:val="single"/>
          <w:lang w:val="en-GB"/>
        </w:rPr>
      </w:pPr>
    </w:p>
    <w:p w14:paraId="702D71B8" w14:textId="77777777" w:rsidR="00083D70" w:rsidRPr="000724A3" w:rsidRDefault="00083D70" w:rsidP="006044E1">
      <w:pPr>
        <w:rPr>
          <w:sz w:val="22"/>
          <w:szCs w:val="22"/>
          <w:u w:val="single"/>
          <w:lang w:val="en-GB"/>
        </w:rPr>
      </w:pPr>
      <w:r w:rsidRPr="000724A3">
        <w:rPr>
          <w:sz w:val="22"/>
          <w:szCs w:val="22"/>
          <w:u w:val="single"/>
          <w:lang w:val="en-GB"/>
        </w:rPr>
        <w:t>Kenya</w:t>
      </w:r>
    </w:p>
    <w:p w14:paraId="1A708A2B" w14:textId="77777777" w:rsidR="00083D70" w:rsidRPr="000724A3" w:rsidRDefault="00083D70" w:rsidP="00A80DC6">
      <w:pPr>
        <w:pStyle w:val="BodyTextMain"/>
        <w:rPr>
          <w:lang w:val="en-GB"/>
        </w:rPr>
      </w:pPr>
    </w:p>
    <w:p w14:paraId="6A7163DE" w14:textId="77777777" w:rsidR="00083D70" w:rsidRPr="000724A3" w:rsidRDefault="00083D70" w:rsidP="00A80DC6">
      <w:pPr>
        <w:pStyle w:val="BodyTextMain"/>
        <w:rPr>
          <w:lang w:val="en-GB"/>
        </w:rPr>
      </w:pPr>
      <w:r w:rsidRPr="000724A3">
        <w:rPr>
          <w:lang w:val="en-GB"/>
        </w:rPr>
        <w:t>In May 2018, Kenya’s population totalled approximately 48.5 million people. The most common language spoken in the country was Swahili, followed by English. The country’s major religion was Christianity. Kenya was a democratic republic, with a multi-party system. The country’s economy featured a variety of major industries such as agriculture, forestry, fishing, mining, manufacturing, energy, tourism, and financial services.</w:t>
      </w:r>
      <w:r w:rsidRPr="000724A3">
        <w:rPr>
          <w:rStyle w:val="EndnoteReference"/>
          <w:lang w:val="en-GB"/>
        </w:rPr>
        <w:endnoteReference w:id="29"/>
      </w:r>
      <w:r w:rsidRPr="000724A3">
        <w:rPr>
          <w:lang w:val="en-GB"/>
        </w:rPr>
        <w:t xml:space="preserve"> Over the last 10 years, Kenya’s economy had boomed, and its expected economic outlook was considered to be favourable for the foreseeable future. The country had seen its middle class expand and disposable incomes rise. Further, the country’s consumers had experienced changing lifestyles, which led to more consumers eating out on a regular basis. A large proportion (80 per cent) of the country’s population was under the age of 35, and retail growth had been high in recent years. According to industry experts, all of these factors were expected to contribute to significant growth in fast food in the coming years.</w:t>
      </w:r>
      <w:r w:rsidRPr="000724A3">
        <w:rPr>
          <w:rStyle w:val="EndnoteReference"/>
          <w:lang w:val="en-GB"/>
        </w:rPr>
        <w:endnoteReference w:id="30"/>
      </w:r>
    </w:p>
    <w:p w14:paraId="1B112A18" w14:textId="77777777" w:rsidR="00083D70" w:rsidRPr="000724A3" w:rsidRDefault="00083D70" w:rsidP="00A80DC6">
      <w:pPr>
        <w:pStyle w:val="BodyTextMain"/>
        <w:rPr>
          <w:lang w:val="en-GB"/>
        </w:rPr>
      </w:pPr>
    </w:p>
    <w:p w14:paraId="7C88AA84" w14:textId="3BC392DD" w:rsidR="00083D70" w:rsidRPr="000724A3" w:rsidRDefault="00083D70" w:rsidP="00A80DC6">
      <w:pPr>
        <w:pStyle w:val="BodyTextMain"/>
        <w:rPr>
          <w:lang w:val="en-GB"/>
        </w:rPr>
      </w:pPr>
      <w:r w:rsidRPr="000724A3">
        <w:rPr>
          <w:lang w:val="en-GB"/>
        </w:rPr>
        <w:t>By May 2018, American fast food chains had begun to establish a presence in Kenya. McDonald’s announced that it would open its first restaurant in Kenya in mid-2018; Burger King, meanwhile, had opened its first restaurant in 2016 and had three restaurants in the country by May 2018; Hardee’s Food Systems Inc</w:t>
      </w:r>
      <w:r w:rsidR="00C94836">
        <w:rPr>
          <w:lang w:val="en-GB"/>
        </w:rPr>
        <w:t>.</w:t>
      </w:r>
      <w:r w:rsidRPr="000724A3">
        <w:rPr>
          <w:lang w:val="en-GB"/>
        </w:rPr>
        <w:t xml:space="preserve"> (Hardee’s) also opened its first outlet in Kenya in 2016 and had three outlets in operation by May 2018. In addition to the classic American competitors, some competition from local firms had emerged by May 2018. The most significant competitors were Steers and Snack Attack, which focused on chicken burgers and fries.</w:t>
      </w:r>
      <w:r w:rsidRPr="000724A3">
        <w:rPr>
          <w:rStyle w:val="EndnoteReference"/>
          <w:lang w:val="en-GB"/>
        </w:rPr>
        <w:endnoteReference w:id="31"/>
      </w:r>
      <w:r w:rsidRPr="000724A3">
        <w:rPr>
          <w:lang w:val="en-GB"/>
        </w:rPr>
        <w:t xml:space="preserve"> </w:t>
      </w:r>
    </w:p>
    <w:p w14:paraId="220274F4" w14:textId="77777777" w:rsidR="00083D70" w:rsidRPr="000724A3" w:rsidRDefault="00083D70" w:rsidP="00A80DC6">
      <w:pPr>
        <w:pStyle w:val="BodyTextMain"/>
        <w:rPr>
          <w:lang w:val="en-GB"/>
        </w:rPr>
      </w:pPr>
    </w:p>
    <w:p w14:paraId="534D76CD" w14:textId="77777777" w:rsidR="00083D70" w:rsidRPr="000724A3" w:rsidRDefault="00083D70" w:rsidP="00A80DC6">
      <w:pPr>
        <w:pStyle w:val="BodyTextMain"/>
        <w:rPr>
          <w:lang w:val="en-GB"/>
        </w:rPr>
      </w:pPr>
    </w:p>
    <w:p w14:paraId="5DD37F39" w14:textId="77777777" w:rsidR="00083D70" w:rsidRPr="000724A3" w:rsidRDefault="00083D70" w:rsidP="00A80DC6">
      <w:pPr>
        <w:rPr>
          <w:rFonts w:ascii="Arial" w:hAnsi="Arial" w:cs="Arial"/>
          <w:b/>
          <w:lang w:val="en-GB"/>
        </w:rPr>
      </w:pPr>
      <w:r w:rsidRPr="000724A3">
        <w:rPr>
          <w:rFonts w:ascii="Arial" w:hAnsi="Arial" w:cs="Arial"/>
          <w:b/>
          <w:lang w:val="en-GB"/>
        </w:rPr>
        <w:t>India</w:t>
      </w:r>
    </w:p>
    <w:p w14:paraId="15C48500" w14:textId="77777777" w:rsidR="00083D70" w:rsidRPr="000724A3" w:rsidRDefault="00083D70" w:rsidP="00A80DC6">
      <w:pPr>
        <w:rPr>
          <w:sz w:val="22"/>
          <w:lang w:val="en-GB"/>
        </w:rPr>
      </w:pPr>
    </w:p>
    <w:p w14:paraId="2F2F1BEE" w14:textId="77777777" w:rsidR="00083D70" w:rsidRPr="000724A3" w:rsidRDefault="00083D70" w:rsidP="00B67266">
      <w:pPr>
        <w:pStyle w:val="BodyTextMain"/>
        <w:rPr>
          <w:lang w:val="en-GB"/>
        </w:rPr>
      </w:pPr>
      <w:r w:rsidRPr="000724A3">
        <w:rPr>
          <w:lang w:val="en-GB"/>
        </w:rPr>
        <w:t>In May 2018, India boasted a population of approximately 1.3 billion, and thus was the world’s largest democracy. A wide variety of languages were spoken in the country, with Hindi and English among the most common. Further, a number of religions—including Hinduism, Islam, Christianity, Sikhism, and Buddhism—were prevalent. The country’s economy was strong; the country had traditionally relied on a mixed economy.</w:t>
      </w:r>
      <w:r w:rsidRPr="000724A3">
        <w:rPr>
          <w:rStyle w:val="EndnoteReference"/>
          <w:lang w:val="en-GB"/>
        </w:rPr>
        <w:endnoteReference w:id="32"/>
      </w:r>
      <w:r w:rsidRPr="000724A3">
        <w:rPr>
          <w:lang w:val="en-GB"/>
        </w:rPr>
        <w:t xml:space="preserve"> </w:t>
      </w:r>
    </w:p>
    <w:p w14:paraId="3D4F4583" w14:textId="77777777" w:rsidR="00083D70" w:rsidRPr="000724A3" w:rsidRDefault="00083D70" w:rsidP="00B67266">
      <w:pPr>
        <w:pStyle w:val="BodyTextMain"/>
        <w:rPr>
          <w:lang w:val="en-GB"/>
        </w:rPr>
      </w:pPr>
    </w:p>
    <w:p w14:paraId="252A9A71" w14:textId="2FF5DCAF" w:rsidR="00083D70" w:rsidRPr="000724A3" w:rsidRDefault="00083D70" w:rsidP="00B67266">
      <w:pPr>
        <w:pStyle w:val="BodyTextMain"/>
        <w:rPr>
          <w:lang w:val="en-GB"/>
        </w:rPr>
      </w:pPr>
      <w:r w:rsidRPr="000724A3">
        <w:rPr>
          <w:lang w:val="en-GB"/>
        </w:rPr>
        <w:t>In May 2018, the Indian fast food market was a US$1.12-billion industry, with approximately 2,700 fast food outlets. Despite its size, the market was still considered to be in its initial stages.</w:t>
      </w:r>
      <w:r w:rsidRPr="000724A3">
        <w:rPr>
          <w:rStyle w:val="EndnoteReference"/>
          <w:lang w:val="en-GB"/>
        </w:rPr>
        <w:endnoteReference w:id="33"/>
      </w:r>
      <w:r w:rsidRPr="000724A3">
        <w:rPr>
          <w:lang w:val="en-GB"/>
        </w:rPr>
        <w:t xml:space="preserve"> However, the conditions for growth in the near future were promising: in May 2018, the country had a population of 1.2 billion, with 356 million people between the ages of 10 and 24, making India the country with the world’s largest youth population. Further, the rapid urbanization that was expected to occur across the country—not only in large centres such as New Dehli and Mumbai, but also in smaller and mid-size centres—would likely double the population in the next seven years. Approximately two-thirds of the </w:t>
      </w:r>
      <w:r w:rsidRPr="000724A3">
        <w:rPr>
          <w:lang w:val="en-GB"/>
        </w:rPr>
        <w:lastRenderedPageBreak/>
        <w:t>population would be under the age of 30. According to Euromonitor International, the country’s 2,700 fast food outlets would not adequately cover the current or the expected population.</w:t>
      </w:r>
      <w:r w:rsidRPr="000724A3">
        <w:rPr>
          <w:rStyle w:val="EndnoteReference"/>
          <w:lang w:val="en-GB"/>
        </w:rPr>
        <w:endnoteReference w:id="34"/>
      </w:r>
    </w:p>
    <w:p w14:paraId="6E73B172" w14:textId="77777777" w:rsidR="00083D70" w:rsidRPr="000724A3" w:rsidRDefault="00083D70" w:rsidP="00B67266">
      <w:pPr>
        <w:pStyle w:val="BodyTextMain"/>
        <w:rPr>
          <w:lang w:val="en-GB"/>
        </w:rPr>
      </w:pPr>
    </w:p>
    <w:p w14:paraId="676B5ECB" w14:textId="6FDD6AD0" w:rsidR="00083D70" w:rsidRPr="000724A3" w:rsidRDefault="00083D70" w:rsidP="00B67266">
      <w:pPr>
        <w:pStyle w:val="BodyTextMain"/>
        <w:rPr>
          <w:lang w:val="en-GB"/>
        </w:rPr>
      </w:pPr>
      <w:r w:rsidRPr="000724A3">
        <w:rPr>
          <w:lang w:val="en-GB"/>
        </w:rPr>
        <w:t>A number of other factors were expected to contribute to growth in the fast food market in India: in May 2018, India was seeing an increasing number of people entering the workforce, as well as significant economic growth, a rising middle class (currently estimated at 250 million), a greater number of employed females, and improved mobility among consumers. These factors had a positive impact on eating-out habits, particularly in the fast food segment. This fact, combined with the expected population increase and the fact that India’s current prime minister, Narend</w:t>
      </w:r>
      <w:r w:rsidR="00B84869">
        <w:rPr>
          <w:lang w:val="en-GB"/>
        </w:rPr>
        <w:t>r</w:t>
      </w:r>
      <w:r w:rsidRPr="000724A3">
        <w:rPr>
          <w:lang w:val="en-GB"/>
        </w:rPr>
        <w:t>a Modi, was a proponent of increased foreign direct investment, indicated that the Indian market could be a lucrative growth market for fast food.</w:t>
      </w:r>
      <w:r w:rsidRPr="000724A3">
        <w:rPr>
          <w:rStyle w:val="EndnoteReference"/>
          <w:lang w:val="en-GB"/>
        </w:rPr>
        <w:endnoteReference w:id="35"/>
      </w:r>
    </w:p>
    <w:p w14:paraId="1D207FAB" w14:textId="77777777" w:rsidR="00083D70" w:rsidRPr="000724A3" w:rsidRDefault="00083D70" w:rsidP="00B67266">
      <w:pPr>
        <w:pStyle w:val="BodyTextMain"/>
        <w:rPr>
          <w:lang w:val="en-GB"/>
        </w:rPr>
      </w:pPr>
    </w:p>
    <w:p w14:paraId="02CE8882" w14:textId="3777B727" w:rsidR="00083D70" w:rsidRPr="000724A3" w:rsidRDefault="00083D70" w:rsidP="00B67266">
      <w:pPr>
        <w:pStyle w:val="BodyTextMain"/>
        <w:rPr>
          <w:lang w:val="en-GB"/>
        </w:rPr>
      </w:pPr>
      <w:r w:rsidRPr="000724A3">
        <w:rPr>
          <w:lang w:val="en-GB"/>
        </w:rPr>
        <w:t>While most of Wendy’s major competitors had already established operations in India, none had a strong foothold in the country. By May 2018, McDonald’s was the fast food market leader in India, with approximately 300 restaurants across more than 40 cities. In May 2018, Burger King had a smaller presence in India, with approximately 130 restaurants across 28 cities. However, Burger King planned to open 30–50 restaurants a year until the company felt that it had satisfactory coverage across India. Carl’s Jr. had also recently entered India, in 2015, by opening its first restaurant in Delhi. By May 2018, the company had six locations in the country.</w:t>
      </w:r>
      <w:r w:rsidRPr="000724A3">
        <w:rPr>
          <w:rStyle w:val="EndnoteReference"/>
          <w:lang w:val="en-GB"/>
        </w:rPr>
        <w:endnoteReference w:id="36"/>
      </w:r>
      <w:r w:rsidRPr="000724A3">
        <w:rPr>
          <w:lang w:val="en-GB"/>
        </w:rPr>
        <w:t xml:space="preserve"> American chains in India (and many other countries) used meal combos that featured low pricing. For instance, KFC offered chicken meals that started at </w:t>
      </w:r>
      <w:r w:rsidRPr="000724A3">
        <w:rPr>
          <w:rStyle w:val="Emphasis"/>
          <w:rFonts w:ascii="Arial" w:hAnsi="Arial" w:cs="Arial"/>
          <w:bCs/>
          <w:i w:val="0"/>
          <w:iCs w:val="0"/>
          <w:sz w:val="20"/>
          <w:szCs w:val="20"/>
          <w:shd w:val="clear" w:color="auto" w:fill="FFFFFF"/>
          <w:lang w:val="en-GB"/>
        </w:rPr>
        <w:t>₹</w:t>
      </w:r>
      <w:r w:rsidRPr="000724A3">
        <w:rPr>
          <w:lang w:val="en-GB"/>
        </w:rPr>
        <w:t>25</w:t>
      </w:r>
      <w:r w:rsidRPr="000724A3">
        <w:rPr>
          <w:rStyle w:val="EndnoteReference"/>
          <w:lang w:val="en-GB"/>
        </w:rPr>
        <w:endnoteReference w:id="37"/>
      </w:r>
      <w:r w:rsidRPr="000724A3">
        <w:rPr>
          <w:lang w:val="en-GB"/>
        </w:rPr>
        <w:t xml:space="preserve"> (approximately CA$0.50), while McDonald’s offered hot lunch for less than CA$1.00. Pizza Hut </w:t>
      </w:r>
      <w:r w:rsidR="00ED7C20" w:rsidRPr="000724A3">
        <w:rPr>
          <w:lang w:val="en-GB"/>
        </w:rPr>
        <w:t xml:space="preserve">International LLC </w:t>
      </w:r>
      <w:r w:rsidRPr="000724A3">
        <w:rPr>
          <w:lang w:val="en-GB"/>
        </w:rPr>
        <w:t xml:space="preserve">offered an iPan personal pizza for </w:t>
      </w:r>
      <w:r w:rsidRPr="000724A3">
        <w:rPr>
          <w:rStyle w:val="Emphasis"/>
          <w:rFonts w:ascii="Arial" w:hAnsi="Arial" w:cs="Arial"/>
          <w:bCs/>
          <w:i w:val="0"/>
          <w:iCs w:val="0"/>
          <w:sz w:val="20"/>
          <w:szCs w:val="20"/>
          <w:shd w:val="clear" w:color="auto" w:fill="FFFFFF"/>
          <w:lang w:val="en-GB"/>
        </w:rPr>
        <w:t>₹</w:t>
      </w:r>
      <w:r w:rsidRPr="000724A3">
        <w:rPr>
          <w:lang w:val="en-GB"/>
        </w:rPr>
        <w:t xml:space="preserve">60 (approximately CA$1.16), while Domino’s Pizza </w:t>
      </w:r>
      <w:r w:rsidR="00ED7C20" w:rsidRPr="000724A3">
        <w:rPr>
          <w:lang w:val="en-GB"/>
        </w:rPr>
        <w:t xml:space="preserve">Inc. </w:t>
      </w:r>
      <w:r w:rsidRPr="000724A3">
        <w:rPr>
          <w:lang w:val="en-GB"/>
        </w:rPr>
        <w:t xml:space="preserve">sold pizzas for as low as </w:t>
      </w:r>
      <w:r w:rsidRPr="000724A3">
        <w:rPr>
          <w:rStyle w:val="Emphasis"/>
          <w:rFonts w:ascii="Arial" w:hAnsi="Arial" w:cs="Arial"/>
          <w:bCs/>
          <w:i w:val="0"/>
          <w:iCs w:val="0"/>
          <w:sz w:val="20"/>
          <w:szCs w:val="20"/>
          <w:shd w:val="clear" w:color="auto" w:fill="FFFFFF"/>
          <w:lang w:val="en-GB"/>
        </w:rPr>
        <w:t>₹</w:t>
      </w:r>
      <w:r w:rsidRPr="000724A3">
        <w:rPr>
          <w:lang w:val="en-GB"/>
        </w:rPr>
        <w:t>44 (approximately CA$0.85).</w:t>
      </w:r>
      <w:r w:rsidRPr="000724A3">
        <w:rPr>
          <w:rStyle w:val="EndnoteReference"/>
          <w:lang w:val="en-GB"/>
        </w:rPr>
        <w:endnoteReference w:id="38"/>
      </w:r>
    </w:p>
    <w:p w14:paraId="48579E58" w14:textId="77777777" w:rsidR="00083D70" w:rsidRPr="000724A3" w:rsidRDefault="00083D70" w:rsidP="00B67266">
      <w:pPr>
        <w:pStyle w:val="BodyTextMain"/>
        <w:rPr>
          <w:lang w:val="en-GB"/>
        </w:rPr>
      </w:pPr>
    </w:p>
    <w:p w14:paraId="64627BDF" w14:textId="6E88B132" w:rsidR="00083D70" w:rsidRPr="000724A3" w:rsidRDefault="00083D70" w:rsidP="00B67266">
      <w:pPr>
        <w:pStyle w:val="BodyTextMain"/>
        <w:rPr>
          <w:lang w:val="en-GB"/>
        </w:rPr>
      </w:pPr>
      <w:r w:rsidRPr="000724A3">
        <w:rPr>
          <w:lang w:val="en-GB"/>
        </w:rPr>
        <w:t>Along with competition from North American fast food companies, in May 201</w:t>
      </w:r>
      <w:bookmarkStart w:id="0" w:name="_GoBack"/>
      <w:bookmarkEnd w:id="0"/>
      <w:r w:rsidRPr="000724A3">
        <w:rPr>
          <w:lang w:val="en-GB"/>
        </w:rPr>
        <w:t xml:space="preserve">8 there was fairly significant </w:t>
      </w:r>
      <w:r w:rsidRPr="00274C0A">
        <w:rPr>
          <w:spacing w:val="-2"/>
          <w:kern w:val="22"/>
          <w:lang w:val="en-GB"/>
        </w:rPr>
        <w:t xml:space="preserve">competition from local companies in India. Organized retail made up only 5 per cent of the fast food market. As a result, there was significant competition from independent, stand-alone fast food outlets and roadside </w:t>
      </w:r>
      <w:r w:rsidRPr="00274C0A">
        <w:rPr>
          <w:i/>
          <w:spacing w:val="-2"/>
          <w:kern w:val="22"/>
          <w:lang w:val="en-GB"/>
        </w:rPr>
        <w:t>dhabas</w:t>
      </w:r>
      <w:r w:rsidRPr="00274C0A">
        <w:rPr>
          <w:spacing w:val="-2"/>
          <w:kern w:val="22"/>
          <w:lang w:val="en-GB"/>
        </w:rPr>
        <w:t xml:space="preserve"> (roadside restaurants). While these operators were small, a few chains had emerged by May 2018. One such chain was Jumboking. In May 2018, this Mumbai-based company’s key offering was </w:t>
      </w:r>
      <w:r w:rsidRPr="00274C0A">
        <w:rPr>
          <w:i/>
          <w:spacing w:val="-2"/>
          <w:kern w:val="22"/>
          <w:lang w:val="en-GB"/>
        </w:rPr>
        <w:t>vada pav</w:t>
      </w:r>
      <w:r w:rsidRPr="00274C0A">
        <w:rPr>
          <w:spacing w:val="-2"/>
          <w:kern w:val="22"/>
          <w:lang w:val="en-GB"/>
        </w:rPr>
        <w:t xml:space="preserve"> (a deep-fried potato dumpling, a regional dish from the state of Maharashtra), and it had approximately 100 locations across India. Another chain was Goli Vada Pav, a Mumbai-based chain with approximately 350 restaurants across the country. A third chain was Wow! Momo, based in Kolkata. This company’s specialty offering were </w:t>
      </w:r>
      <w:r w:rsidRPr="00274C0A">
        <w:rPr>
          <w:i/>
          <w:spacing w:val="-2"/>
          <w:kern w:val="22"/>
          <w:lang w:val="en-GB"/>
        </w:rPr>
        <w:t>momos</w:t>
      </w:r>
      <w:r w:rsidRPr="00274C0A">
        <w:rPr>
          <w:spacing w:val="-2"/>
          <w:kern w:val="22"/>
          <w:lang w:val="en-GB"/>
        </w:rPr>
        <w:t xml:space="preserve"> (dumplings). By May 2018, Wow! Momo had established over 130 locations in India</w:t>
      </w:r>
      <w:r w:rsidRPr="000724A3">
        <w:rPr>
          <w:lang w:val="en-GB"/>
        </w:rPr>
        <w:t>.</w:t>
      </w:r>
      <w:r w:rsidRPr="000724A3">
        <w:rPr>
          <w:rStyle w:val="EndnoteReference"/>
          <w:lang w:val="en-GB"/>
        </w:rPr>
        <w:endnoteReference w:id="39"/>
      </w:r>
    </w:p>
    <w:p w14:paraId="31370C0E" w14:textId="77777777" w:rsidR="00083D70" w:rsidRPr="000724A3" w:rsidRDefault="00083D70" w:rsidP="00274C0A">
      <w:pPr>
        <w:pStyle w:val="BodyTextMain"/>
        <w:rPr>
          <w:lang w:val="en-GB"/>
        </w:rPr>
      </w:pPr>
    </w:p>
    <w:p w14:paraId="27D63A19" w14:textId="77777777" w:rsidR="00083D70" w:rsidRPr="000724A3" w:rsidRDefault="00083D70" w:rsidP="00274C0A">
      <w:pPr>
        <w:pStyle w:val="BodyTextMain"/>
        <w:rPr>
          <w:lang w:val="en-GB"/>
        </w:rPr>
      </w:pPr>
    </w:p>
    <w:p w14:paraId="607F8FB8" w14:textId="77777777" w:rsidR="00083D70" w:rsidRPr="000724A3" w:rsidRDefault="00083D70" w:rsidP="00A55734">
      <w:pPr>
        <w:pStyle w:val="Casehead2"/>
        <w:rPr>
          <w:lang w:val="en-GB"/>
        </w:rPr>
      </w:pPr>
      <w:r w:rsidRPr="000724A3">
        <w:rPr>
          <w:lang w:val="en-GB"/>
        </w:rPr>
        <w:t>Russia</w:t>
      </w:r>
    </w:p>
    <w:p w14:paraId="18B9805B" w14:textId="77777777" w:rsidR="00083D70" w:rsidRPr="000724A3" w:rsidRDefault="00083D70" w:rsidP="00A80DC6">
      <w:pPr>
        <w:rPr>
          <w:sz w:val="22"/>
          <w:lang w:val="en-GB"/>
        </w:rPr>
      </w:pPr>
    </w:p>
    <w:p w14:paraId="1F7DD5DD" w14:textId="77777777" w:rsidR="00083D70" w:rsidRPr="000724A3" w:rsidRDefault="00083D70" w:rsidP="00B67266">
      <w:pPr>
        <w:pStyle w:val="BodyTextMain"/>
        <w:rPr>
          <w:lang w:val="en-GB"/>
        </w:rPr>
      </w:pPr>
      <w:r w:rsidRPr="000724A3">
        <w:rPr>
          <w:lang w:val="en-GB"/>
        </w:rPr>
        <w:t>In May 2018, Russia’s population was approximately 142.7 million. The dominant language spoken in the country was Russian, and the most widely practiced religion was Christianity, though some citizens were Islamic. The country’s politics in May 2018 were still dominated by Vladimir Putin, whose control over state institutions and the media had grown stronger in recent years. Russia’s large economy had traditionally relied on natural resources, especially oil and gas.</w:t>
      </w:r>
      <w:r w:rsidRPr="000724A3">
        <w:rPr>
          <w:rStyle w:val="EndnoteReference"/>
          <w:lang w:val="en-GB"/>
        </w:rPr>
        <w:endnoteReference w:id="40"/>
      </w:r>
    </w:p>
    <w:p w14:paraId="3982389B" w14:textId="77777777" w:rsidR="00083D70" w:rsidRPr="000724A3" w:rsidRDefault="00083D70" w:rsidP="00B67266">
      <w:pPr>
        <w:pStyle w:val="BodyTextMain"/>
        <w:rPr>
          <w:lang w:val="en-GB"/>
        </w:rPr>
      </w:pPr>
    </w:p>
    <w:p w14:paraId="53C26A6C" w14:textId="0D02C35A" w:rsidR="00083D70" w:rsidRPr="000724A3" w:rsidRDefault="00083D70" w:rsidP="00B67266">
      <w:pPr>
        <w:pStyle w:val="BodyTextMain"/>
        <w:rPr>
          <w:lang w:val="en-GB"/>
        </w:rPr>
      </w:pPr>
      <w:r w:rsidRPr="000724A3">
        <w:rPr>
          <w:lang w:val="en-GB"/>
        </w:rPr>
        <w:t>While fast food was introduced into the Russian market by McDonald’s in 1990, in May 2018 this market was still experiencing—and was expected to continue to experience—significant growth. While fast food existed in all parts of Russia, the fast food market in Moscow (Russia’s capital city) was particularly alluring. Its size was estimated to be between US$400 million and US$700 million.</w:t>
      </w:r>
      <w:r w:rsidRPr="000724A3">
        <w:rPr>
          <w:rStyle w:val="EndnoteReference"/>
          <w:lang w:val="en-GB"/>
        </w:rPr>
        <w:endnoteReference w:id="41"/>
      </w:r>
      <w:r w:rsidRPr="000724A3">
        <w:rPr>
          <w:lang w:val="en-GB"/>
        </w:rPr>
        <w:t xml:space="preserve"> </w:t>
      </w:r>
    </w:p>
    <w:p w14:paraId="6479A273" w14:textId="77777777" w:rsidR="00083D70" w:rsidRPr="000724A3" w:rsidRDefault="00083D70" w:rsidP="00A80DC6">
      <w:pPr>
        <w:rPr>
          <w:sz w:val="22"/>
          <w:lang w:val="en-GB"/>
        </w:rPr>
      </w:pPr>
    </w:p>
    <w:p w14:paraId="295A013A" w14:textId="77777777" w:rsidR="00083D70" w:rsidRPr="000724A3" w:rsidRDefault="00083D70" w:rsidP="00B67266">
      <w:pPr>
        <w:pStyle w:val="BodyTextMain"/>
        <w:rPr>
          <w:lang w:val="en-GB"/>
        </w:rPr>
      </w:pPr>
      <w:r w:rsidRPr="000724A3">
        <w:rPr>
          <w:lang w:val="en-GB"/>
        </w:rPr>
        <w:t xml:space="preserve">Two key factors—the rapid expansion of shopping malls and a large number of young people—had the potential to drive fast food growth at a rate of 20 per cent per year in the foreseeable future, according to </w:t>
      </w:r>
      <w:r w:rsidRPr="000724A3">
        <w:rPr>
          <w:lang w:val="en-GB"/>
        </w:rPr>
        <w:lastRenderedPageBreak/>
        <w:t>some industry experts. This was because the rapid expansion of shopping malls was expected to provide significant real estate for fast food, while young people traditionally were more likely to purchase fast food. In fact, market research in Russia revealed that 50 per cent of Russian men and women between the ages of 16 and 50 purchased fast food at least once a week. Furthermore, this group considered location and cost to be the most important factors, while quality and cleanliness were thought to be secondary factors.</w:t>
      </w:r>
      <w:r w:rsidRPr="000724A3">
        <w:rPr>
          <w:rStyle w:val="EndnoteReference"/>
          <w:lang w:val="en-GB"/>
        </w:rPr>
        <w:endnoteReference w:id="42"/>
      </w:r>
    </w:p>
    <w:p w14:paraId="7CEDD3AD" w14:textId="77777777" w:rsidR="00083D70" w:rsidRPr="000724A3" w:rsidRDefault="00083D70" w:rsidP="00B67266">
      <w:pPr>
        <w:pStyle w:val="BodyTextMain"/>
        <w:rPr>
          <w:lang w:val="en-GB"/>
        </w:rPr>
      </w:pPr>
    </w:p>
    <w:p w14:paraId="4ADE8A3C" w14:textId="65E6FAB4" w:rsidR="00083D70" w:rsidRPr="000724A3" w:rsidRDefault="00083D70" w:rsidP="00B67266">
      <w:pPr>
        <w:pStyle w:val="BodyTextMain"/>
        <w:rPr>
          <w:lang w:val="en-GB"/>
        </w:rPr>
      </w:pPr>
      <w:r w:rsidRPr="000724A3">
        <w:rPr>
          <w:lang w:val="en-GB"/>
        </w:rPr>
        <w:t>A considerable fast food presence had existed for years in Russia. By May 2018, the market leader was McDonald’s, with approximately 609 restaurants in over a dozen cities. McDonald’s seemed to have more growth in mind for the Russian market, as the company had stated that it wanted to open a restaurant at every metro stop in Moscow. Other competitors were also present in Russia; Burger King had opened approximately 500 restaurants and had plans to open over 100 more restaurants in May 2018. Carl’s Jr. had opened 17 restaurants in St. Petersburg and Novosibirsk.</w:t>
      </w:r>
      <w:r w:rsidRPr="000724A3">
        <w:rPr>
          <w:rStyle w:val="EndnoteReference"/>
          <w:lang w:val="en-GB"/>
        </w:rPr>
        <w:endnoteReference w:id="43"/>
      </w:r>
      <w:r w:rsidRPr="000724A3">
        <w:rPr>
          <w:lang w:val="en-GB"/>
        </w:rPr>
        <w:t xml:space="preserve">  </w:t>
      </w:r>
    </w:p>
    <w:p w14:paraId="5669F956" w14:textId="77777777" w:rsidR="00083D70" w:rsidRPr="000724A3" w:rsidRDefault="00083D70" w:rsidP="00B67266">
      <w:pPr>
        <w:pStyle w:val="BodyTextMain"/>
        <w:rPr>
          <w:lang w:val="en-GB"/>
        </w:rPr>
      </w:pPr>
    </w:p>
    <w:p w14:paraId="3A8F3468" w14:textId="692CBABB" w:rsidR="00083D70" w:rsidRPr="000724A3" w:rsidRDefault="00083D70" w:rsidP="00B67266">
      <w:pPr>
        <w:pStyle w:val="BodyTextMain"/>
        <w:rPr>
          <w:lang w:val="en-GB"/>
        </w:rPr>
      </w:pPr>
      <w:r w:rsidRPr="000724A3">
        <w:rPr>
          <w:lang w:val="en-GB"/>
        </w:rPr>
        <w:t>In addition to the traditional North American competitors, there were a number of Russian competitors. Most Russian fast food operators could be found in street-side kiosks. The market leaders were Teremok, which offered a variety of commonly known Russian delicacies; Kroshka-Kartoshka (stuffed baked potatoes); Stardog (hot dogs); and Russkoe Blini (filled Russian pancakes). Three of these four competitors had a strong presence across the country: by May 2018, Stardog had approximately 700 restaurants, Teremok operated approximately 400 units, and Kroshka-Kartoshka had approximately 300 outlets.</w:t>
      </w:r>
      <w:r w:rsidRPr="000724A3">
        <w:rPr>
          <w:rStyle w:val="EndnoteReference"/>
          <w:lang w:val="en-GB"/>
        </w:rPr>
        <w:endnoteReference w:id="44"/>
      </w:r>
    </w:p>
    <w:p w14:paraId="22DA3D4B" w14:textId="77777777" w:rsidR="00083D70" w:rsidRPr="000724A3" w:rsidRDefault="00083D70" w:rsidP="00A80DC6">
      <w:pPr>
        <w:rPr>
          <w:sz w:val="22"/>
          <w:lang w:val="en-GB"/>
        </w:rPr>
      </w:pPr>
    </w:p>
    <w:p w14:paraId="296E32F9" w14:textId="77777777" w:rsidR="00083D70" w:rsidRPr="000724A3" w:rsidRDefault="00083D70" w:rsidP="00A80DC6">
      <w:pPr>
        <w:rPr>
          <w:sz w:val="22"/>
          <w:lang w:val="en-GB"/>
        </w:rPr>
      </w:pPr>
    </w:p>
    <w:p w14:paraId="03A6544D" w14:textId="77777777" w:rsidR="00083D70" w:rsidRPr="000724A3" w:rsidRDefault="00083D70" w:rsidP="00A80DC6">
      <w:pPr>
        <w:rPr>
          <w:rFonts w:ascii="Arial" w:hAnsi="Arial" w:cs="Arial"/>
          <w:b/>
          <w:lang w:val="en-GB"/>
        </w:rPr>
      </w:pPr>
      <w:r w:rsidRPr="000724A3">
        <w:rPr>
          <w:rFonts w:ascii="Arial" w:hAnsi="Arial" w:cs="Arial"/>
          <w:b/>
          <w:lang w:val="en-GB"/>
        </w:rPr>
        <w:t>Emerging Markets</w:t>
      </w:r>
    </w:p>
    <w:p w14:paraId="1EFCB949" w14:textId="77777777" w:rsidR="00083D70" w:rsidRPr="000724A3" w:rsidRDefault="00083D70" w:rsidP="00A80DC6">
      <w:pPr>
        <w:rPr>
          <w:sz w:val="22"/>
          <w:lang w:val="en-GB"/>
        </w:rPr>
      </w:pPr>
    </w:p>
    <w:p w14:paraId="605CD88B" w14:textId="2F7363D8" w:rsidR="00083D70" w:rsidRPr="000724A3" w:rsidRDefault="00083D70" w:rsidP="00B67266">
      <w:pPr>
        <w:pStyle w:val="BodyTextMain"/>
        <w:rPr>
          <w:lang w:val="en-GB"/>
        </w:rPr>
      </w:pPr>
      <w:r w:rsidRPr="000724A3">
        <w:rPr>
          <w:lang w:val="en-GB"/>
        </w:rPr>
        <w:t>Research by The Hongkong and Shanghai Banking Corporation Limited revealed that the middle class of emerging markets was expected to grow substantially—up to 1.2 billion people by 2030. This would represent a 950 million person increase in the size of the middle class from the year 2000.</w:t>
      </w:r>
      <w:r w:rsidRPr="000724A3">
        <w:rPr>
          <w:rStyle w:val="EndnoteReference"/>
          <w:lang w:val="en-GB"/>
        </w:rPr>
        <w:endnoteReference w:id="45"/>
      </w:r>
      <w:r w:rsidRPr="000724A3">
        <w:rPr>
          <w:lang w:val="en-GB"/>
        </w:rPr>
        <w:t xml:space="preserve">A large and growing middle class was considered critical for the success of fast food, as when people reached middle class, they had enough disposable income to eat at restaurants. The following nations were expected to be critical to the growth of the middle class in emerging markets: </w:t>
      </w:r>
    </w:p>
    <w:p w14:paraId="64EC4115" w14:textId="77777777" w:rsidR="00083D70" w:rsidRPr="000724A3" w:rsidRDefault="00083D70" w:rsidP="00B67266">
      <w:pPr>
        <w:pStyle w:val="BodyTextMain"/>
        <w:rPr>
          <w:lang w:val="en-GB"/>
        </w:rPr>
      </w:pPr>
    </w:p>
    <w:p w14:paraId="5689B4BE" w14:textId="77777777" w:rsidR="00083D70" w:rsidRPr="000724A3" w:rsidRDefault="00083D70" w:rsidP="00B67266">
      <w:pPr>
        <w:pStyle w:val="BodyTextMain"/>
        <w:rPr>
          <w:lang w:val="en-GB"/>
        </w:rPr>
      </w:pPr>
    </w:p>
    <w:p w14:paraId="7BE7CF5C" w14:textId="77777777" w:rsidR="00083D70" w:rsidRPr="000724A3" w:rsidRDefault="00083D70" w:rsidP="00A80DC6">
      <w:pPr>
        <w:rPr>
          <w:sz w:val="22"/>
          <w:lang w:val="en-GB"/>
        </w:rPr>
      </w:pPr>
      <w:r w:rsidRPr="000724A3">
        <w:rPr>
          <w:sz w:val="22"/>
          <w:u w:val="single"/>
          <w:lang w:val="en-GB"/>
        </w:rPr>
        <w:t>Colombia</w:t>
      </w:r>
    </w:p>
    <w:p w14:paraId="070B03AC" w14:textId="77777777" w:rsidR="00083D70" w:rsidRPr="000724A3" w:rsidRDefault="00083D70" w:rsidP="00A80DC6">
      <w:pPr>
        <w:rPr>
          <w:sz w:val="22"/>
          <w:lang w:val="en-GB"/>
        </w:rPr>
      </w:pPr>
    </w:p>
    <w:p w14:paraId="4C988BB7" w14:textId="78CA22B7" w:rsidR="00083D70" w:rsidRPr="000724A3" w:rsidRDefault="00083D70" w:rsidP="00D57CE2">
      <w:pPr>
        <w:pStyle w:val="BodyTextMain"/>
        <w:rPr>
          <w:lang w:val="en-GB"/>
        </w:rPr>
      </w:pPr>
      <w:r w:rsidRPr="000724A3">
        <w:rPr>
          <w:lang w:val="en-GB"/>
        </w:rPr>
        <w:t>Colombia, a large South American country with approximately 49 million inhabitants, had become a more stable market, as crime in the country had decreased. In May 2018, the most common language spoken in Colombia was English, while the country’s predominant religion was Christianity. Colombia had established itself as a multi-party democracy. Its economy was typically reliant on oil reserves, gold, silver, emeralds, platinum, and coal.</w:t>
      </w:r>
      <w:r w:rsidRPr="000724A3">
        <w:rPr>
          <w:rStyle w:val="EndnoteReference"/>
          <w:lang w:val="en-GB"/>
        </w:rPr>
        <w:endnoteReference w:id="46"/>
      </w:r>
      <w:r w:rsidRPr="000724A3">
        <w:rPr>
          <w:lang w:val="en-GB"/>
        </w:rPr>
        <w:t xml:space="preserve"> In recent years, the country’s consumers had experienced growing incomes, and there was greater participation by women in the workforce. With larger disposable incomes, as well as increasingly busy lifestyles, more and more Colombians were eating out. Further, the country’s consumers were expressing an openness towards new menus and foods. In May 2018, all of these factors pointed to potentially high growth for fast food in Colombia in the coming years. Further helping matters was that at that time, the restaurant industry was not overly saturated, as the country had only about 65,000 restaurants (roughly the same number of outlets as in New York or California).</w:t>
      </w:r>
      <w:r w:rsidRPr="000724A3">
        <w:rPr>
          <w:rStyle w:val="EndnoteReference"/>
          <w:lang w:val="en-GB"/>
        </w:rPr>
        <w:endnoteReference w:id="47"/>
      </w:r>
    </w:p>
    <w:p w14:paraId="0ECCC34C" w14:textId="77777777" w:rsidR="00083D70" w:rsidRPr="000724A3" w:rsidRDefault="00083D70" w:rsidP="00D57CE2">
      <w:pPr>
        <w:pStyle w:val="BodyTextMain"/>
        <w:rPr>
          <w:lang w:val="en-GB"/>
        </w:rPr>
      </w:pPr>
    </w:p>
    <w:p w14:paraId="1334C818" w14:textId="7DA2D118" w:rsidR="00083D70" w:rsidRPr="000724A3" w:rsidRDefault="00083D70" w:rsidP="00D57CE2">
      <w:pPr>
        <w:pStyle w:val="BodyTextMain"/>
        <w:rPr>
          <w:lang w:val="en-GB"/>
        </w:rPr>
      </w:pPr>
      <w:r w:rsidRPr="000724A3">
        <w:rPr>
          <w:lang w:val="en-GB"/>
        </w:rPr>
        <w:t>In May 2018, there were fewer American fast food chains in Colombia than in many other foreign countries. McDonald’s entered this market in 1995 and grew to approximately 80 restaurants,</w:t>
      </w:r>
      <w:r w:rsidRPr="000724A3">
        <w:rPr>
          <w:rStyle w:val="EndnoteReference"/>
          <w:lang w:val="en-GB"/>
        </w:rPr>
        <w:endnoteReference w:id="48"/>
      </w:r>
      <w:r w:rsidRPr="000724A3">
        <w:rPr>
          <w:lang w:val="en-GB"/>
        </w:rPr>
        <w:t xml:space="preserve"> while Burger King entered the market in 2008 and by May 2018 had approximately 40 restaurants in operation with plans to open another 80 restaurants. There was also competition from local fast food chains. Hamburguesas El </w:t>
      </w:r>
      <w:r w:rsidRPr="000724A3">
        <w:rPr>
          <w:lang w:val="en-GB"/>
        </w:rPr>
        <w:lastRenderedPageBreak/>
        <w:t>Corral, a fast food chain that featured mainly hamburgers and hot dogs, and Preso, which mainly served hamburgers, had established a strong presence in most cities.</w:t>
      </w:r>
      <w:r w:rsidRPr="000724A3">
        <w:rPr>
          <w:rStyle w:val="EndnoteReference"/>
          <w:lang w:val="en-GB"/>
        </w:rPr>
        <w:endnoteReference w:id="49"/>
      </w:r>
    </w:p>
    <w:p w14:paraId="6AED07AC" w14:textId="77777777" w:rsidR="00083D70" w:rsidRPr="000724A3" w:rsidRDefault="00083D70" w:rsidP="00D57CE2">
      <w:pPr>
        <w:pStyle w:val="BodyTextMain"/>
        <w:rPr>
          <w:lang w:val="en-GB"/>
        </w:rPr>
      </w:pPr>
    </w:p>
    <w:p w14:paraId="224C5237" w14:textId="77777777" w:rsidR="00083D70" w:rsidRPr="000724A3" w:rsidRDefault="00083D70" w:rsidP="00D57CE2">
      <w:pPr>
        <w:pStyle w:val="BodyTextMain"/>
        <w:rPr>
          <w:lang w:val="en-GB"/>
        </w:rPr>
      </w:pPr>
    </w:p>
    <w:p w14:paraId="64FABDDA" w14:textId="77777777" w:rsidR="00083D70" w:rsidRPr="000724A3" w:rsidRDefault="00083D70" w:rsidP="00A80DC6">
      <w:pPr>
        <w:rPr>
          <w:sz w:val="22"/>
          <w:lang w:val="en-GB"/>
        </w:rPr>
      </w:pPr>
      <w:r w:rsidRPr="000724A3">
        <w:rPr>
          <w:sz w:val="22"/>
          <w:u w:val="single"/>
          <w:lang w:val="en-GB"/>
        </w:rPr>
        <w:t>Vietnam</w:t>
      </w:r>
    </w:p>
    <w:p w14:paraId="0252450B" w14:textId="77777777" w:rsidR="00083D70" w:rsidRPr="000724A3" w:rsidRDefault="00083D70" w:rsidP="00A80DC6">
      <w:pPr>
        <w:rPr>
          <w:sz w:val="22"/>
          <w:lang w:val="en-GB"/>
        </w:rPr>
      </w:pPr>
    </w:p>
    <w:p w14:paraId="292F593D" w14:textId="53BCE728" w:rsidR="00083D70" w:rsidRPr="000724A3" w:rsidRDefault="00083D70" w:rsidP="00B67266">
      <w:pPr>
        <w:pStyle w:val="BodyTextMain"/>
        <w:rPr>
          <w:lang w:val="en-GB"/>
        </w:rPr>
      </w:pPr>
      <w:r w:rsidRPr="000724A3">
        <w:rPr>
          <w:lang w:val="en-GB"/>
        </w:rPr>
        <w:t>By May 2018, Vietnam’s population had reached approximately 95 million. Further, 70 per cent of this population was under the age of 35, and approximately 13 per cent of it was part of an emerging middle class. The most widely spoken language was Vietnamese, and the most widely practiced religion was Buddhism. In May 2018, Vietnam was still a one-party communist nation, but it was also a nation whose economic growth and development over the last 30 years had led to its transformation from one of the world’s poorest countries to a lower-middle-income country. Vietnam’s economy had typically relied on a variety of industries, such as food processing, garments, textiles, mining, coal, and steel.</w:t>
      </w:r>
      <w:r w:rsidRPr="000724A3">
        <w:rPr>
          <w:rStyle w:val="EndnoteReference"/>
          <w:lang w:val="en-GB"/>
        </w:rPr>
        <w:endnoteReference w:id="50"/>
      </w:r>
      <w:r w:rsidRPr="000724A3">
        <w:rPr>
          <w:lang w:val="en-GB"/>
        </w:rPr>
        <w:t xml:space="preserve"> The country’s economy was growing, the government had a favourable attitude towards foreign direct investment, and consumers were experiencing busier lifestyles and showing greater interest in fast food than ever before. All of these factors pointed to sustained growth in the fast food sector. Further, as of May 2018, the country’s restaurant industry remained largely untapped: there were approximately 530,000 food service establishments in the country, but approximately 430,000 of them were street stalls. Further, few high-profile chains existed; the largest chain was a coffee company, Trung Nguyen, with approximately 1,000 units. The second-largest chain was also a coffee company, Highlands Coffee.</w:t>
      </w:r>
      <w:r w:rsidRPr="000724A3">
        <w:rPr>
          <w:rStyle w:val="EndnoteReference"/>
          <w:lang w:val="en-GB"/>
        </w:rPr>
        <w:endnoteReference w:id="51"/>
      </w:r>
      <w:r w:rsidRPr="000724A3">
        <w:rPr>
          <w:lang w:val="en-GB"/>
        </w:rPr>
        <w:t xml:space="preserve">  </w:t>
      </w:r>
    </w:p>
    <w:p w14:paraId="187F5361" w14:textId="77777777" w:rsidR="00083D70" w:rsidRPr="000724A3" w:rsidRDefault="00083D70" w:rsidP="00A80DC6">
      <w:pPr>
        <w:rPr>
          <w:sz w:val="22"/>
          <w:lang w:val="en-GB"/>
        </w:rPr>
      </w:pPr>
    </w:p>
    <w:p w14:paraId="67AE6F07" w14:textId="58894061" w:rsidR="00083D70" w:rsidRPr="000724A3" w:rsidRDefault="00083D70" w:rsidP="00B67266">
      <w:pPr>
        <w:pStyle w:val="BodyTextMain"/>
        <w:rPr>
          <w:lang w:val="en-GB"/>
        </w:rPr>
      </w:pPr>
      <w:r w:rsidRPr="000724A3">
        <w:rPr>
          <w:lang w:val="en-GB"/>
        </w:rPr>
        <w:t>As far as fast food was concerned, there were far fewer American fast food franchises in Vietnam than in most parts of the world. McDonald’s entered Vietnam in 2014 and crafted an ambitious expansion plan consisting of opening 100 restaurants in the next 10 years. However, growth was slower than expected, and as of May 2018 McDonald’s had only about 16 restaurants in Vietnam. Burger King entered Vietnam in 2012, and it too had an ambitious plan of opening 60 restaurants in the next five years. However, Burger King had only 16 restaurants (as of 2016) in operation in Vietnam. Carl’s Jr. entered Vietnam in 2010 and had a plan to eventually open 25 restaurants in the country.</w:t>
      </w:r>
      <w:r w:rsidRPr="000724A3">
        <w:rPr>
          <w:rStyle w:val="EndnoteReference"/>
          <w:lang w:val="en-GB"/>
        </w:rPr>
        <w:endnoteReference w:id="52"/>
      </w:r>
      <w:r w:rsidRPr="000724A3">
        <w:rPr>
          <w:lang w:val="en-GB"/>
        </w:rPr>
        <w:t xml:space="preserve"> Significant competition existed from foreign fast food chains such as Jollibee Foods Corporation (Jollibee), MOS Food Services, Inc. (Mos Burger), and Lotteria. Jollibee, a Filipino chain featuring hamburgers and ice cream, operated approximately 140 restaurants in Vietnam. Mos Burger, a Japanese fast food chain offering mainly burgers, and Lotteria, another Japanese fast food chain that featured mainly burgers and fried chicken, also had a strong presence in Vietnam.</w:t>
      </w:r>
      <w:r w:rsidRPr="000724A3">
        <w:rPr>
          <w:rStyle w:val="EndnoteReference"/>
          <w:lang w:val="en-GB"/>
        </w:rPr>
        <w:endnoteReference w:id="53"/>
      </w:r>
    </w:p>
    <w:p w14:paraId="29E641A0" w14:textId="77777777" w:rsidR="00C808FA" w:rsidRPr="000724A3" w:rsidRDefault="00C808FA" w:rsidP="00A80DC6">
      <w:pPr>
        <w:rPr>
          <w:sz w:val="22"/>
          <w:lang w:val="en-GB"/>
        </w:rPr>
      </w:pPr>
    </w:p>
    <w:p w14:paraId="0170680D" w14:textId="77777777" w:rsidR="00C808FA" w:rsidRPr="000724A3" w:rsidRDefault="00C808FA" w:rsidP="00A80DC6">
      <w:pPr>
        <w:rPr>
          <w:sz w:val="22"/>
          <w:lang w:val="en-GB"/>
        </w:rPr>
      </w:pPr>
    </w:p>
    <w:p w14:paraId="505474CB" w14:textId="77777777" w:rsidR="00C808FA" w:rsidRPr="000724A3" w:rsidRDefault="006B1152" w:rsidP="00C808FA">
      <w:pPr>
        <w:pStyle w:val="Casehead1"/>
        <w:rPr>
          <w:lang w:val="en-GB"/>
        </w:rPr>
      </w:pPr>
      <w:r w:rsidRPr="000724A3">
        <w:rPr>
          <w:lang w:val="en-GB"/>
        </w:rPr>
        <w:t xml:space="preserve">what should </w:t>
      </w:r>
      <w:r w:rsidR="00045A51" w:rsidRPr="000724A3">
        <w:rPr>
          <w:lang w:val="en-GB"/>
        </w:rPr>
        <w:t>BE DONE</w:t>
      </w:r>
      <w:r w:rsidRPr="000724A3">
        <w:rPr>
          <w:lang w:val="en-GB"/>
        </w:rPr>
        <w:t xml:space="preserve"> next</w:t>
      </w:r>
    </w:p>
    <w:p w14:paraId="531160D2" w14:textId="77777777" w:rsidR="00C808FA" w:rsidRPr="000724A3" w:rsidRDefault="00C808FA" w:rsidP="00C808FA">
      <w:pPr>
        <w:pStyle w:val="Casehead1"/>
        <w:rPr>
          <w:lang w:val="en-GB"/>
        </w:rPr>
      </w:pPr>
    </w:p>
    <w:p w14:paraId="5CBC2BC2" w14:textId="2477BEBA" w:rsidR="00A80DC6" w:rsidRPr="000724A3" w:rsidRDefault="008E4712" w:rsidP="00B67266">
      <w:pPr>
        <w:pStyle w:val="BodyTextMain"/>
        <w:rPr>
          <w:lang w:val="en-GB"/>
        </w:rPr>
      </w:pPr>
      <w:r w:rsidRPr="000724A3">
        <w:rPr>
          <w:lang w:val="en-GB"/>
        </w:rPr>
        <w:t>Wendy’s</w:t>
      </w:r>
      <w:r w:rsidR="00B67266" w:rsidRPr="000724A3">
        <w:rPr>
          <w:lang w:val="en-GB"/>
        </w:rPr>
        <w:t xml:space="preserve"> was well</w:t>
      </w:r>
      <w:r w:rsidR="00AC7019" w:rsidRPr="000724A3">
        <w:rPr>
          <w:lang w:val="en-GB"/>
        </w:rPr>
        <w:t xml:space="preserve"> </w:t>
      </w:r>
      <w:r w:rsidR="00B67266" w:rsidRPr="000724A3">
        <w:rPr>
          <w:lang w:val="en-GB"/>
        </w:rPr>
        <w:t>established in the United States</w:t>
      </w:r>
      <w:r w:rsidRPr="000724A3">
        <w:rPr>
          <w:lang w:val="en-GB"/>
        </w:rPr>
        <w:t xml:space="preserve"> but had a weak international presence. </w:t>
      </w:r>
      <w:r w:rsidR="006B1152" w:rsidRPr="000724A3">
        <w:rPr>
          <w:lang w:val="en-GB"/>
        </w:rPr>
        <w:t>Faced with strong competition an</w:t>
      </w:r>
      <w:r w:rsidR="00B67266" w:rsidRPr="000724A3">
        <w:rPr>
          <w:lang w:val="en-GB"/>
        </w:rPr>
        <w:t>d a stagnating market in the United States</w:t>
      </w:r>
      <w:r w:rsidR="006B1152" w:rsidRPr="000724A3">
        <w:rPr>
          <w:lang w:val="en-GB"/>
        </w:rPr>
        <w:t xml:space="preserve">, the company’s best chance to increase revenues and profits seemed to be foreign markets, where fast food was still growing. Which foreign market(s) should </w:t>
      </w:r>
      <w:r w:rsidRPr="000724A3">
        <w:rPr>
          <w:lang w:val="en-GB"/>
        </w:rPr>
        <w:t xml:space="preserve">Wendy’s </w:t>
      </w:r>
      <w:r w:rsidR="00C7157B" w:rsidRPr="000724A3">
        <w:rPr>
          <w:lang w:val="en-GB"/>
        </w:rPr>
        <w:t>chief executive officer</w:t>
      </w:r>
      <w:r w:rsidR="00083D70" w:rsidRPr="000724A3">
        <w:rPr>
          <w:lang w:val="en-GB"/>
        </w:rPr>
        <w:t>,</w:t>
      </w:r>
      <w:r w:rsidR="00C7157B" w:rsidRPr="000724A3">
        <w:rPr>
          <w:lang w:val="en-GB"/>
        </w:rPr>
        <w:t xml:space="preserve"> </w:t>
      </w:r>
      <w:r w:rsidRPr="000724A3">
        <w:rPr>
          <w:lang w:val="en-GB"/>
        </w:rPr>
        <w:t>Penegor</w:t>
      </w:r>
      <w:r w:rsidR="00083D70" w:rsidRPr="000724A3">
        <w:rPr>
          <w:lang w:val="en-GB"/>
        </w:rPr>
        <w:t>,</w:t>
      </w:r>
      <w:r w:rsidRPr="000724A3">
        <w:rPr>
          <w:lang w:val="en-GB"/>
        </w:rPr>
        <w:t xml:space="preserve"> target</w:t>
      </w:r>
      <w:r w:rsidR="00AC7019" w:rsidRPr="000724A3">
        <w:rPr>
          <w:lang w:val="en-GB"/>
        </w:rPr>
        <w:t>,</w:t>
      </w:r>
      <w:r w:rsidRPr="000724A3">
        <w:rPr>
          <w:lang w:val="en-GB"/>
        </w:rPr>
        <w:t xml:space="preserve"> and how many restaurants </w:t>
      </w:r>
      <w:r w:rsidR="006B1152" w:rsidRPr="000724A3">
        <w:rPr>
          <w:lang w:val="en-GB"/>
        </w:rPr>
        <w:t>should he open in each market?</w:t>
      </w:r>
    </w:p>
    <w:p w14:paraId="39E798A7" w14:textId="77777777" w:rsidR="004C24BA" w:rsidRPr="000724A3" w:rsidRDefault="004C24BA">
      <w:pPr>
        <w:spacing w:after="200" w:line="276" w:lineRule="auto"/>
        <w:rPr>
          <w:rFonts w:ascii="Arial" w:hAnsi="Arial" w:cs="Arial"/>
          <w:b/>
          <w:lang w:val="en-GB"/>
        </w:rPr>
      </w:pPr>
      <w:r w:rsidRPr="000724A3">
        <w:rPr>
          <w:rFonts w:ascii="Arial" w:hAnsi="Arial" w:cs="Arial"/>
          <w:b/>
          <w:lang w:val="en-GB"/>
        </w:rPr>
        <w:br w:type="page"/>
      </w:r>
    </w:p>
    <w:p w14:paraId="04D81D15" w14:textId="77777777" w:rsidR="00A80DC6" w:rsidRPr="000724A3" w:rsidRDefault="00A80DC6" w:rsidP="00A80DC6">
      <w:pPr>
        <w:jc w:val="center"/>
        <w:rPr>
          <w:rFonts w:ascii="Arial" w:hAnsi="Arial" w:cs="Arial"/>
          <w:b/>
          <w:lang w:val="en-GB"/>
        </w:rPr>
      </w:pPr>
      <w:r w:rsidRPr="000724A3">
        <w:rPr>
          <w:rFonts w:ascii="Arial" w:hAnsi="Arial" w:cs="Arial"/>
          <w:b/>
          <w:lang w:val="en-GB"/>
        </w:rPr>
        <w:lastRenderedPageBreak/>
        <w:t>EXHIBIT</w:t>
      </w:r>
      <w:r w:rsidR="00B97D9C" w:rsidRPr="000724A3">
        <w:rPr>
          <w:rFonts w:ascii="Arial" w:hAnsi="Arial" w:cs="Arial"/>
          <w:b/>
          <w:lang w:val="en-GB"/>
        </w:rPr>
        <w:t xml:space="preserve"> 1</w:t>
      </w:r>
      <w:r w:rsidR="00961E8B" w:rsidRPr="000724A3">
        <w:rPr>
          <w:rFonts w:ascii="Arial" w:hAnsi="Arial" w:cs="Arial"/>
          <w:b/>
          <w:lang w:val="en-GB"/>
        </w:rPr>
        <w:t xml:space="preserve">: </w:t>
      </w:r>
      <w:r w:rsidR="005241F5" w:rsidRPr="000724A3">
        <w:rPr>
          <w:rFonts w:ascii="Arial" w:hAnsi="Arial" w:cs="Arial"/>
          <w:b/>
          <w:lang w:val="en-GB"/>
        </w:rPr>
        <w:t>WENDY’S INTERNATIONAL LOCATIONS</w:t>
      </w:r>
    </w:p>
    <w:p w14:paraId="71E05D02" w14:textId="77777777" w:rsidR="00A80DC6" w:rsidRPr="000724A3" w:rsidRDefault="00A80DC6" w:rsidP="00961E8B">
      <w:pPr>
        <w:pStyle w:val="BodyTextMain"/>
        <w:rPr>
          <w:lang w:val="en-GB"/>
        </w:rPr>
      </w:pPr>
    </w:p>
    <w:tbl>
      <w:tblPr>
        <w:tblW w:w="927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58" w:type="dxa"/>
          <w:right w:w="58" w:type="dxa"/>
        </w:tblCellMar>
        <w:tblLook w:val="04A0" w:firstRow="1" w:lastRow="0" w:firstColumn="1" w:lastColumn="0" w:noHBand="0" w:noVBand="1"/>
      </w:tblPr>
      <w:tblGrid>
        <w:gridCol w:w="1398"/>
        <w:gridCol w:w="7872"/>
      </w:tblGrid>
      <w:tr w:rsidR="005241F5" w:rsidRPr="000724A3" w14:paraId="1C35B015" w14:textId="77777777" w:rsidTr="00175622">
        <w:trPr>
          <w:trHeight w:val="116"/>
          <w:jc w:val="center"/>
        </w:trPr>
        <w:tc>
          <w:tcPr>
            <w:tcW w:w="1398" w:type="dxa"/>
            <w:shd w:val="clear" w:color="auto" w:fill="auto"/>
            <w:noWrap/>
            <w:vAlign w:val="bottom"/>
            <w:hideMark/>
          </w:tcPr>
          <w:p w14:paraId="475D0046" w14:textId="77777777" w:rsidR="005241F5" w:rsidRPr="000724A3" w:rsidRDefault="00482EE4" w:rsidP="002D459B">
            <w:pPr>
              <w:jc w:val="center"/>
              <w:rPr>
                <w:rFonts w:ascii="Arial" w:hAnsi="Arial" w:cs="Arial"/>
                <w:b/>
                <w:bCs/>
                <w:color w:val="000000"/>
                <w:lang w:val="en-GB"/>
              </w:rPr>
            </w:pPr>
            <w:r w:rsidRPr="000724A3">
              <w:rPr>
                <w:rFonts w:ascii="Arial" w:hAnsi="Arial" w:cs="Arial"/>
                <w:b/>
                <w:bCs/>
                <w:color w:val="000000"/>
                <w:lang w:val="en-GB"/>
              </w:rPr>
              <w:t>Region</w:t>
            </w:r>
          </w:p>
        </w:tc>
        <w:tc>
          <w:tcPr>
            <w:tcW w:w="7872" w:type="dxa"/>
            <w:shd w:val="clear" w:color="auto" w:fill="auto"/>
            <w:vAlign w:val="bottom"/>
            <w:hideMark/>
          </w:tcPr>
          <w:p w14:paraId="55E062A8" w14:textId="77777777" w:rsidR="005241F5" w:rsidRPr="000724A3" w:rsidRDefault="005241F5" w:rsidP="002D459B">
            <w:pPr>
              <w:jc w:val="center"/>
              <w:rPr>
                <w:rFonts w:ascii="Arial" w:hAnsi="Arial" w:cs="Arial"/>
                <w:b/>
                <w:bCs/>
                <w:color w:val="000000"/>
                <w:lang w:val="en-GB"/>
              </w:rPr>
            </w:pPr>
            <w:r w:rsidRPr="000724A3">
              <w:rPr>
                <w:rFonts w:ascii="Arial" w:hAnsi="Arial" w:cs="Arial"/>
                <w:b/>
                <w:bCs/>
                <w:color w:val="000000"/>
                <w:lang w:val="en-GB"/>
              </w:rPr>
              <w:t>Countries with a Wendy’s</w:t>
            </w:r>
          </w:p>
        </w:tc>
      </w:tr>
      <w:tr w:rsidR="005241F5" w:rsidRPr="00B84869" w14:paraId="7238311D" w14:textId="77777777" w:rsidTr="00175622">
        <w:trPr>
          <w:trHeight w:val="829"/>
          <w:jc w:val="center"/>
        </w:trPr>
        <w:tc>
          <w:tcPr>
            <w:tcW w:w="1398" w:type="dxa"/>
            <w:shd w:val="clear" w:color="auto" w:fill="auto"/>
            <w:noWrap/>
            <w:vAlign w:val="center"/>
            <w:hideMark/>
          </w:tcPr>
          <w:p w14:paraId="52B0E26E" w14:textId="77777777" w:rsidR="005241F5" w:rsidRPr="000724A3" w:rsidRDefault="005241F5" w:rsidP="00274C0A">
            <w:pPr>
              <w:rPr>
                <w:rFonts w:ascii="Arial" w:hAnsi="Arial" w:cs="Arial"/>
                <w:color w:val="000000"/>
                <w:lang w:val="en-GB"/>
              </w:rPr>
            </w:pPr>
            <w:r w:rsidRPr="000724A3">
              <w:rPr>
                <w:rFonts w:ascii="Arial" w:hAnsi="Arial" w:cs="Arial"/>
                <w:color w:val="000000"/>
                <w:lang w:val="en-GB"/>
              </w:rPr>
              <w:t>North America</w:t>
            </w:r>
          </w:p>
        </w:tc>
        <w:tc>
          <w:tcPr>
            <w:tcW w:w="7872" w:type="dxa"/>
            <w:shd w:val="clear" w:color="auto" w:fill="auto"/>
            <w:noWrap/>
            <w:vAlign w:val="center"/>
            <w:hideMark/>
          </w:tcPr>
          <w:p w14:paraId="66EB76C4" w14:textId="77777777" w:rsidR="005241F5" w:rsidRPr="00B84869" w:rsidRDefault="00EE655C" w:rsidP="00932137">
            <w:pPr>
              <w:jc w:val="center"/>
              <w:rPr>
                <w:rFonts w:ascii="Arial" w:hAnsi="Arial" w:cs="Arial"/>
                <w:color w:val="000000"/>
                <w:lang w:val="es-US"/>
              </w:rPr>
            </w:pPr>
            <w:r w:rsidRPr="00B84869">
              <w:rPr>
                <w:rFonts w:ascii="Arial" w:hAnsi="Arial" w:cs="Arial"/>
                <w:color w:val="000000"/>
                <w:lang w:val="es-US"/>
              </w:rPr>
              <w:t xml:space="preserve">Aruba, Bahamas, Canada, </w:t>
            </w:r>
            <w:r w:rsidR="00932137" w:rsidRPr="00B84869">
              <w:rPr>
                <w:rFonts w:ascii="Arial" w:hAnsi="Arial" w:cs="Arial"/>
                <w:color w:val="000000"/>
                <w:lang w:val="es-US"/>
              </w:rPr>
              <w:t xml:space="preserve">Curacao, </w:t>
            </w:r>
            <w:r w:rsidRPr="00B84869">
              <w:rPr>
                <w:rFonts w:ascii="Arial" w:hAnsi="Arial" w:cs="Arial"/>
                <w:color w:val="000000"/>
                <w:lang w:val="es-US"/>
              </w:rPr>
              <w:t>Dominican Republic, El Salvador, Cayman Islands, Guatemala, Honduras, Jamaica, Mexico, Panama, Puerto Rico, Trinidad and Tobago, United States</w:t>
            </w:r>
            <w:r w:rsidR="00932137" w:rsidRPr="00B84869">
              <w:rPr>
                <w:rFonts w:ascii="Arial" w:hAnsi="Arial" w:cs="Arial"/>
                <w:color w:val="000000"/>
                <w:lang w:val="es-US"/>
              </w:rPr>
              <w:t>, U</w:t>
            </w:r>
            <w:r w:rsidR="00231CF1" w:rsidRPr="00B84869">
              <w:rPr>
                <w:rFonts w:ascii="Arial" w:hAnsi="Arial" w:cs="Arial"/>
                <w:color w:val="000000"/>
                <w:lang w:val="es-US"/>
              </w:rPr>
              <w:t>.</w:t>
            </w:r>
            <w:r w:rsidR="00932137" w:rsidRPr="00B84869">
              <w:rPr>
                <w:rFonts w:ascii="Arial" w:hAnsi="Arial" w:cs="Arial"/>
                <w:color w:val="000000"/>
                <w:lang w:val="es-US"/>
              </w:rPr>
              <w:t>S</w:t>
            </w:r>
            <w:r w:rsidR="00231CF1" w:rsidRPr="00B84869">
              <w:rPr>
                <w:rFonts w:ascii="Arial" w:hAnsi="Arial" w:cs="Arial"/>
                <w:color w:val="000000"/>
                <w:lang w:val="es-US"/>
              </w:rPr>
              <w:t>.</w:t>
            </w:r>
            <w:r w:rsidR="00932137" w:rsidRPr="00B84869">
              <w:rPr>
                <w:rFonts w:ascii="Arial" w:hAnsi="Arial" w:cs="Arial"/>
                <w:color w:val="000000"/>
                <w:lang w:val="es-US"/>
              </w:rPr>
              <w:t xml:space="preserve"> Virgin Islands</w:t>
            </w:r>
          </w:p>
        </w:tc>
      </w:tr>
      <w:tr w:rsidR="005241F5" w:rsidRPr="000724A3" w14:paraId="611A0D31" w14:textId="77777777" w:rsidTr="00175622">
        <w:trPr>
          <w:trHeight w:val="271"/>
          <w:jc w:val="center"/>
        </w:trPr>
        <w:tc>
          <w:tcPr>
            <w:tcW w:w="1398" w:type="dxa"/>
            <w:shd w:val="clear" w:color="auto" w:fill="auto"/>
            <w:noWrap/>
            <w:vAlign w:val="center"/>
            <w:hideMark/>
          </w:tcPr>
          <w:p w14:paraId="70C125A9" w14:textId="77777777" w:rsidR="005241F5" w:rsidRPr="000724A3" w:rsidRDefault="00EE655C" w:rsidP="00274C0A">
            <w:pPr>
              <w:rPr>
                <w:rFonts w:ascii="Arial" w:hAnsi="Arial" w:cs="Arial"/>
                <w:color w:val="000000"/>
                <w:lang w:val="en-GB"/>
              </w:rPr>
            </w:pPr>
            <w:r w:rsidRPr="000724A3">
              <w:rPr>
                <w:rFonts w:ascii="Arial" w:hAnsi="Arial" w:cs="Arial"/>
                <w:color w:val="000000"/>
                <w:lang w:val="en-GB"/>
              </w:rPr>
              <w:t>Asia</w:t>
            </w:r>
          </w:p>
        </w:tc>
        <w:tc>
          <w:tcPr>
            <w:tcW w:w="7872" w:type="dxa"/>
            <w:shd w:val="clear" w:color="auto" w:fill="auto"/>
            <w:noWrap/>
            <w:vAlign w:val="center"/>
            <w:hideMark/>
          </w:tcPr>
          <w:p w14:paraId="3CCEB59D" w14:textId="77777777" w:rsidR="005241F5" w:rsidRPr="000724A3" w:rsidRDefault="00EE655C" w:rsidP="002D459B">
            <w:pPr>
              <w:jc w:val="center"/>
              <w:rPr>
                <w:rFonts w:ascii="Arial" w:hAnsi="Arial" w:cs="Arial"/>
                <w:color w:val="000000"/>
                <w:lang w:val="en-GB"/>
              </w:rPr>
            </w:pPr>
            <w:r w:rsidRPr="000724A3">
              <w:rPr>
                <w:rFonts w:ascii="Arial" w:hAnsi="Arial" w:cs="Arial"/>
                <w:color w:val="000000"/>
                <w:lang w:val="en-GB"/>
              </w:rPr>
              <w:t>United Arab Emirates, India, Indonesia, Japan, Kuwait, Malaysia, Philippines</w:t>
            </w:r>
          </w:p>
        </w:tc>
      </w:tr>
      <w:tr w:rsidR="00932137" w:rsidRPr="000724A3" w14:paraId="03806D04" w14:textId="77777777" w:rsidTr="00175622">
        <w:trPr>
          <w:trHeight w:val="276"/>
          <w:jc w:val="center"/>
        </w:trPr>
        <w:tc>
          <w:tcPr>
            <w:tcW w:w="1398" w:type="dxa"/>
            <w:shd w:val="clear" w:color="auto" w:fill="auto"/>
            <w:noWrap/>
            <w:vAlign w:val="center"/>
            <w:hideMark/>
          </w:tcPr>
          <w:p w14:paraId="3F7903BE" w14:textId="77777777" w:rsidR="00932137" w:rsidRPr="000724A3" w:rsidRDefault="00932137" w:rsidP="00274C0A">
            <w:pPr>
              <w:rPr>
                <w:rFonts w:ascii="Arial" w:hAnsi="Arial" w:cs="Arial"/>
                <w:color w:val="000000"/>
                <w:lang w:val="en-GB"/>
              </w:rPr>
            </w:pPr>
            <w:r w:rsidRPr="000724A3">
              <w:rPr>
                <w:rFonts w:ascii="Arial" w:hAnsi="Arial" w:cs="Arial"/>
                <w:color w:val="000000"/>
                <w:lang w:val="en-GB"/>
              </w:rPr>
              <w:t>Europe</w:t>
            </w:r>
          </w:p>
        </w:tc>
        <w:tc>
          <w:tcPr>
            <w:tcW w:w="7872" w:type="dxa"/>
            <w:shd w:val="clear" w:color="auto" w:fill="auto"/>
            <w:noWrap/>
            <w:vAlign w:val="center"/>
            <w:hideMark/>
          </w:tcPr>
          <w:p w14:paraId="20915BEE" w14:textId="77777777" w:rsidR="00932137" w:rsidRPr="000724A3" w:rsidRDefault="00932137" w:rsidP="002D459B">
            <w:pPr>
              <w:jc w:val="center"/>
              <w:rPr>
                <w:rFonts w:ascii="Arial" w:hAnsi="Arial" w:cs="Arial"/>
                <w:color w:val="000000"/>
                <w:lang w:val="en-GB"/>
              </w:rPr>
            </w:pPr>
            <w:r w:rsidRPr="000724A3">
              <w:rPr>
                <w:rFonts w:ascii="Arial" w:hAnsi="Arial" w:cs="Arial"/>
                <w:color w:val="000000"/>
                <w:lang w:val="en-GB"/>
              </w:rPr>
              <w:t>Georgia</w:t>
            </w:r>
          </w:p>
        </w:tc>
      </w:tr>
      <w:tr w:rsidR="005241F5" w:rsidRPr="000724A3" w14:paraId="49E72CA4" w14:textId="77777777" w:rsidTr="00175622">
        <w:trPr>
          <w:trHeight w:val="265"/>
          <w:jc w:val="center"/>
        </w:trPr>
        <w:tc>
          <w:tcPr>
            <w:tcW w:w="1398" w:type="dxa"/>
            <w:shd w:val="clear" w:color="auto" w:fill="auto"/>
            <w:noWrap/>
            <w:vAlign w:val="center"/>
            <w:hideMark/>
          </w:tcPr>
          <w:p w14:paraId="70E2E4BA" w14:textId="77777777" w:rsidR="005241F5" w:rsidRPr="000724A3" w:rsidRDefault="00EE655C" w:rsidP="00274C0A">
            <w:pPr>
              <w:rPr>
                <w:rFonts w:ascii="Arial" w:hAnsi="Arial" w:cs="Arial"/>
                <w:color w:val="000000"/>
                <w:lang w:val="en-GB"/>
              </w:rPr>
            </w:pPr>
            <w:r w:rsidRPr="000724A3">
              <w:rPr>
                <w:rFonts w:ascii="Arial" w:hAnsi="Arial" w:cs="Arial"/>
                <w:color w:val="000000"/>
                <w:lang w:val="en-GB"/>
              </w:rPr>
              <w:t>Oceania</w:t>
            </w:r>
          </w:p>
        </w:tc>
        <w:tc>
          <w:tcPr>
            <w:tcW w:w="7872" w:type="dxa"/>
            <w:shd w:val="clear" w:color="auto" w:fill="auto"/>
            <w:noWrap/>
            <w:vAlign w:val="center"/>
            <w:hideMark/>
          </w:tcPr>
          <w:p w14:paraId="4B6DAF34" w14:textId="77777777" w:rsidR="005241F5" w:rsidRPr="000724A3" w:rsidRDefault="00EE655C" w:rsidP="002D459B">
            <w:pPr>
              <w:jc w:val="center"/>
              <w:rPr>
                <w:rFonts w:ascii="Arial" w:hAnsi="Arial" w:cs="Arial"/>
                <w:color w:val="000000"/>
                <w:lang w:val="en-GB"/>
              </w:rPr>
            </w:pPr>
            <w:r w:rsidRPr="000724A3">
              <w:rPr>
                <w:rFonts w:ascii="Arial" w:hAnsi="Arial" w:cs="Arial"/>
                <w:color w:val="000000"/>
                <w:lang w:val="en-GB"/>
              </w:rPr>
              <w:t>Guam, New Zealand</w:t>
            </w:r>
          </w:p>
        </w:tc>
      </w:tr>
      <w:tr w:rsidR="005241F5" w:rsidRPr="00B84869" w14:paraId="363E0C3E" w14:textId="77777777" w:rsidTr="00175622">
        <w:trPr>
          <w:trHeight w:val="56"/>
          <w:jc w:val="center"/>
        </w:trPr>
        <w:tc>
          <w:tcPr>
            <w:tcW w:w="1398" w:type="dxa"/>
            <w:shd w:val="clear" w:color="auto" w:fill="auto"/>
            <w:noWrap/>
            <w:vAlign w:val="center"/>
            <w:hideMark/>
          </w:tcPr>
          <w:p w14:paraId="44A865BF" w14:textId="77777777" w:rsidR="005241F5" w:rsidRPr="000724A3" w:rsidRDefault="00EE655C" w:rsidP="00274C0A">
            <w:pPr>
              <w:rPr>
                <w:rFonts w:ascii="Arial" w:hAnsi="Arial" w:cs="Arial"/>
                <w:color w:val="000000"/>
                <w:lang w:val="en-GB"/>
              </w:rPr>
            </w:pPr>
            <w:r w:rsidRPr="000724A3">
              <w:rPr>
                <w:rFonts w:ascii="Arial" w:hAnsi="Arial" w:cs="Arial"/>
                <w:color w:val="000000"/>
                <w:lang w:val="en-GB"/>
              </w:rPr>
              <w:t>South America</w:t>
            </w:r>
          </w:p>
        </w:tc>
        <w:tc>
          <w:tcPr>
            <w:tcW w:w="7872" w:type="dxa"/>
            <w:shd w:val="clear" w:color="auto" w:fill="auto"/>
            <w:noWrap/>
            <w:vAlign w:val="center"/>
            <w:hideMark/>
          </w:tcPr>
          <w:p w14:paraId="0B5425E2" w14:textId="77777777" w:rsidR="005241F5" w:rsidRPr="00B84869" w:rsidRDefault="00EE655C" w:rsidP="00AB259A">
            <w:pPr>
              <w:jc w:val="center"/>
              <w:rPr>
                <w:rFonts w:ascii="Arial" w:hAnsi="Arial" w:cs="Arial"/>
                <w:color w:val="000000"/>
                <w:lang w:val="es-US"/>
              </w:rPr>
            </w:pPr>
            <w:r w:rsidRPr="00B84869">
              <w:rPr>
                <w:rFonts w:ascii="Arial" w:hAnsi="Arial" w:cs="Arial"/>
                <w:color w:val="000000"/>
                <w:lang w:val="es-US"/>
              </w:rPr>
              <w:t>Argentina, Brazil, Chile, Ecuador, Venezuela</w:t>
            </w:r>
          </w:p>
        </w:tc>
      </w:tr>
    </w:tbl>
    <w:p w14:paraId="056888C2" w14:textId="77777777" w:rsidR="00A80DC6" w:rsidRPr="00B84869" w:rsidRDefault="00A80DC6" w:rsidP="00A80DC6">
      <w:pPr>
        <w:rPr>
          <w:sz w:val="22"/>
          <w:lang w:val="es-US"/>
        </w:rPr>
      </w:pPr>
    </w:p>
    <w:p w14:paraId="165332FA" w14:textId="77777777" w:rsidR="00982A4D" w:rsidRPr="000724A3" w:rsidRDefault="00A80DC6" w:rsidP="00961E8B">
      <w:pPr>
        <w:pStyle w:val="FootnoteText1"/>
        <w:rPr>
          <w:i w:val="0"/>
          <w:lang w:val="en-GB"/>
        </w:rPr>
      </w:pPr>
      <w:r w:rsidRPr="000724A3">
        <w:rPr>
          <w:i w:val="0"/>
          <w:lang w:val="en-GB"/>
        </w:rPr>
        <w:t xml:space="preserve">Source: </w:t>
      </w:r>
      <w:r w:rsidR="00961E8B" w:rsidRPr="000724A3">
        <w:rPr>
          <w:i w:val="0"/>
          <w:lang w:val="en-GB"/>
        </w:rPr>
        <w:t>A</w:t>
      </w:r>
      <w:r w:rsidRPr="000724A3">
        <w:rPr>
          <w:i w:val="0"/>
          <w:lang w:val="en-GB"/>
        </w:rPr>
        <w:t>dapted from</w:t>
      </w:r>
      <w:r w:rsidR="005241F5" w:rsidRPr="000724A3">
        <w:rPr>
          <w:i w:val="0"/>
          <w:lang w:val="en-GB"/>
        </w:rPr>
        <w:t xml:space="preserve"> </w:t>
      </w:r>
      <w:r w:rsidR="004B0D6E" w:rsidRPr="000724A3">
        <w:rPr>
          <w:i w:val="0"/>
          <w:lang w:val="en-GB"/>
        </w:rPr>
        <w:t>“Number of Wendy</w:t>
      </w:r>
      <w:r w:rsidR="00231CF1" w:rsidRPr="000724A3">
        <w:rPr>
          <w:i w:val="0"/>
          <w:lang w:val="en-GB"/>
        </w:rPr>
        <w:t>’s</w:t>
      </w:r>
      <w:r w:rsidR="004B0D6E" w:rsidRPr="000724A3">
        <w:rPr>
          <w:i w:val="0"/>
          <w:lang w:val="en-GB"/>
        </w:rPr>
        <w:t xml:space="preserve"> </w:t>
      </w:r>
      <w:r w:rsidR="00231CF1" w:rsidRPr="000724A3">
        <w:rPr>
          <w:i w:val="0"/>
          <w:lang w:val="en-GB"/>
        </w:rPr>
        <w:t>R</w:t>
      </w:r>
      <w:r w:rsidR="004B0D6E" w:rsidRPr="000724A3">
        <w:rPr>
          <w:i w:val="0"/>
          <w:lang w:val="en-GB"/>
        </w:rPr>
        <w:t xml:space="preserve">estaurants in </w:t>
      </w:r>
      <w:r w:rsidR="00231CF1" w:rsidRPr="000724A3">
        <w:rPr>
          <w:i w:val="0"/>
          <w:lang w:val="en-GB"/>
        </w:rPr>
        <w:t>I</w:t>
      </w:r>
      <w:r w:rsidR="004B0D6E" w:rsidRPr="000724A3">
        <w:rPr>
          <w:i w:val="0"/>
          <w:lang w:val="en-GB"/>
        </w:rPr>
        <w:t xml:space="preserve">nternational </w:t>
      </w:r>
      <w:r w:rsidR="00231CF1" w:rsidRPr="000724A3">
        <w:rPr>
          <w:i w:val="0"/>
          <w:lang w:val="en-GB"/>
        </w:rPr>
        <w:t>L</w:t>
      </w:r>
      <w:r w:rsidR="004B0D6E" w:rsidRPr="000724A3">
        <w:rPr>
          <w:i w:val="0"/>
          <w:lang w:val="en-GB"/>
        </w:rPr>
        <w:t xml:space="preserve">ocations in 2017, by </w:t>
      </w:r>
      <w:r w:rsidR="00231CF1" w:rsidRPr="000724A3">
        <w:rPr>
          <w:i w:val="0"/>
          <w:lang w:val="en-GB"/>
        </w:rPr>
        <w:t>C</w:t>
      </w:r>
      <w:r w:rsidR="004B0D6E" w:rsidRPr="000724A3">
        <w:rPr>
          <w:i w:val="0"/>
          <w:lang w:val="en-GB"/>
        </w:rPr>
        <w:t>ountry</w:t>
      </w:r>
      <w:r w:rsidR="00231CF1" w:rsidRPr="000724A3">
        <w:rPr>
          <w:i w:val="0"/>
          <w:lang w:val="en-GB"/>
        </w:rPr>
        <w:t>,”</w:t>
      </w:r>
      <w:r w:rsidR="004B0D6E" w:rsidRPr="000724A3">
        <w:rPr>
          <w:i w:val="0"/>
          <w:lang w:val="en-GB"/>
        </w:rPr>
        <w:t xml:space="preserve"> </w:t>
      </w:r>
      <w:r w:rsidR="00D90DA3" w:rsidRPr="000724A3">
        <w:rPr>
          <w:i w:val="0"/>
          <w:lang w:val="en-GB"/>
        </w:rPr>
        <w:t xml:space="preserve">Statista, </w:t>
      </w:r>
      <w:r w:rsidR="004B0D6E" w:rsidRPr="000724A3">
        <w:rPr>
          <w:i w:val="0"/>
          <w:lang w:val="en-GB"/>
        </w:rPr>
        <w:t xml:space="preserve">accessed March 29, 2018, </w:t>
      </w:r>
      <w:r w:rsidR="005241F5" w:rsidRPr="000724A3">
        <w:rPr>
          <w:i w:val="0"/>
          <w:lang w:val="en-GB"/>
        </w:rPr>
        <w:t>https://www.statista.com/statistics/261557/number-of-wendys-restaurants-in-international-locations/</w:t>
      </w:r>
      <w:r w:rsidR="004B0D6E" w:rsidRPr="000724A3">
        <w:rPr>
          <w:i w:val="0"/>
          <w:lang w:val="en-GB"/>
        </w:rPr>
        <w:t>.</w:t>
      </w:r>
    </w:p>
    <w:p w14:paraId="10D752A7" w14:textId="77777777" w:rsidR="00982A4D" w:rsidRPr="000724A3" w:rsidRDefault="00982A4D" w:rsidP="00175622">
      <w:pPr>
        <w:pStyle w:val="BodyText"/>
        <w:spacing w:after="0"/>
        <w:rPr>
          <w:rFonts w:ascii="Arial" w:hAnsi="Arial" w:cs="Arial"/>
          <w:sz w:val="22"/>
          <w:szCs w:val="17"/>
          <w:lang w:val="en-GB"/>
        </w:rPr>
      </w:pPr>
    </w:p>
    <w:p w14:paraId="2F8A7C21" w14:textId="77777777" w:rsidR="00175622" w:rsidRPr="000724A3" w:rsidRDefault="00175622" w:rsidP="00175622">
      <w:pPr>
        <w:pStyle w:val="BodyText"/>
        <w:spacing w:after="0"/>
        <w:rPr>
          <w:rFonts w:ascii="Arial" w:hAnsi="Arial" w:cs="Arial"/>
          <w:sz w:val="22"/>
          <w:szCs w:val="17"/>
          <w:lang w:val="en-GB"/>
        </w:rPr>
      </w:pPr>
    </w:p>
    <w:p w14:paraId="6EC8BEF3" w14:textId="77777777" w:rsidR="00982A4D" w:rsidRPr="000724A3" w:rsidRDefault="00175622" w:rsidP="00175622">
      <w:pPr>
        <w:pStyle w:val="FootnoteText1"/>
        <w:jc w:val="center"/>
        <w:rPr>
          <w:b/>
          <w:i w:val="0"/>
          <w:sz w:val="20"/>
          <w:szCs w:val="20"/>
          <w:lang w:val="en-GB"/>
        </w:rPr>
      </w:pPr>
      <w:r w:rsidRPr="000724A3">
        <w:rPr>
          <w:b/>
          <w:i w:val="0"/>
          <w:sz w:val="20"/>
          <w:szCs w:val="20"/>
          <w:lang w:val="en-GB"/>
        </w:rPr>
        <w:t xml:space="preserve">EXHIBIT 2: </w:t>
      </w:r>
      <w:r w:rsidR="00982A4D" w:rsidRPr="000724A3">
        <w:rPr>
          <w:b/>
          <w:i w:val="0"/>
          <w:sz w:val="20"/>
          <w:szCs w:val="20"/>
          <w:lang w:val="en-GB"/>
        </w:rPr>
        <w:t>MARKET SELECTION</w:t>
      </w:r>
      <w:r w:rsidR="00231CF1" w:rsidRPr="000724A3">
        <w:rPr>
          <w:b/>
          <w:i w:val="0"/>
          <w:sz w:val="20"/>
          <w:szCs w:val="20"/>
          <w:lang w:val="en-GB"/>
        </w:rPr>
        <w:t>—</w:t>
      </w:r>
      <w:r w:rsidR="00982A4D" w:rsidRPr="000724A3">
        <w:rPr>
          <w:b/>
          <w:i w:val="0"/>
          <w:sz w:val="20"/>
          <w:szCs w:val="20"/>
          <w:lang w:val="en-GB"/>
        </w:rPr>
        <w:t>MAJOR ECONOMIC INDICATORS</w:t>
      </w:r>
    </w:p>
    <w:p w14:paraId="26525CA0" w14:textId="77777777" w:rsidR="00982A4D" w:rsidRPr="000724A3" w:rsidRDefault="00982A4D" w:rsidP="00982A4D">
      <w:pPr>
        <w:pStyle w:val="FootnoteText1"/>
        <w:jc w:val="center"/>
        <w:rPr>
          <w:b/>
          <w:i w:val="0"/>
          <w:sz w:val="20"/>
          <w:szCs w:val="20"/>
          <w:lang w:val="en-GB"/>
        </w:rPr>
      </w:pPr>
    </w:p>
    <w:tbl>
      <w:tblPr>
        <w:tblStyle w:val="TableGrid"/>
        <w:tblW w:w="9355" w:type="dxa"/>
        <w:tblLook w:val="04A0" w:firstRow="1" w:lastRow="0" w:firstColumn="1" w:lastColumn="0" w:noHBand="0" w:noVBand="1"/>
      </w:tblPr>
      <w:tblGrid>
        <w:gridCol w:w="1435"/>
        <w:gridCol w:w="1350"/>
        <w:gridCol w:w="1980"/>
        <w:gridCol w:w="2160"/>
        <w:gridCol w:w="2430"/>
      </w:tblGrid>
      <w:tr w:rsidR="00982A4D" w:rsidRPr="000724A3" w14:paraId="7B249AB8" w14:textId="77777777" w:rsidTr="00E3375F">
        <w:tc>
          <w:tcPr>
            <w:tcW w:w="1435" w:type="dxa"/>
            <w:vAlign w:val="center"/>
          </w:tcPr>
          <w:p w14:paraId="40B832C7" w14:textId="77777777" w:rsidR="00175622" w:rsidRPr="000724A3" w:rsidRDefault="00982A4D" w:rsidP="00E3375F">
            <w:pPr>
              <w:pStyle w:val="ExhibitNumber"/>
              <w:rPr>
                <w:i/>
                <w:lang w:val="en-GB"/>
              </w:rPr>
            </w:pPr>
            <w:r w:rsidRPr="000724A3">
              <w:rPr>
                <w:lang w:val="en-GB"/>
              </w:rPr>
              <w:t>Country</w:t>
            </w:r>
          </w:p>
          <w:p w14:paraId="7580CF29" w14:textId="77777777" w:rsidR="00982A4D" w:rsidRPr="000724A3" w:rsidRDefault="00982A4D" w:rsidP="00E3375F">
            <w:pPr>
              <w:pStyle w:val="ExhibitNumber"/>
              <w:rPr>
                <w:lang w:val="en-GB"/>
              </w:rPr>
            </w:pPr>
          </w:p>
        </w:tc>
        <w:tc>
          <w:tcPr>
            <w:tcW w:w="1350" w:type="dxa"/>
            <w:vAlign w:val="center"/>
          </w:tcPr>
          <w:p w14:paraId="6998540C" w14:textId="77777777" w:rsidR="00982A4D" w:rsidRPr="000724A3" w:rsidRDefault="00982A4D" w:rsidP="00E3375F">
            <w:pPr>
              <w:pStyle w:val="ExhibitNumber"/>
              <w:rPr>
                <w:i/>
                <w:lang w:val="en-GB"/>
              </w:rPr>
            </w:pPr>
            <w:r w:rsidRPr="000724A3">
              <w:rPr>
                <w:lang w:val="en-GB"/>
              </w:rPr>
              <w:t>Population</w:t>
            </w:r>
          </w:p>
          <w:p w14:paraId="13DD4FD1" w14:textId="77777777" w:rsidR="00175622" w:rsidRPr="000724A3" w:rsidRDefault="00175622" w:rsidP="00E3375F">
            <w:pPr>
              <w:pStyle w:val="ExhibitNumber"/>
              <w:rPr>
                <w:lang w:val="en-GB"/>
              </w:rPr>
            </w:pPr>
            <w:r w:rsidRPr="000724A3">
              <w:rPr>
                <w:lang w:val="en-GB"/>
              </w:rPr>
              <w:t>(in millions)</w:t>
            </w:r>
          </w:p>
        </w:tc>
        <w:tc>
          <w:tcPr>
            <w:tcW w:w="1980" w:type="dxa"/>
            <w:vAlign w:val="center"/>
          </w:tcPr>
          <w:p w14:paraId="2C4BB747" w14:textId="6B04329D" w:rsidR="00982A4D" w:rsidRPr="000724A3" w:rsidRDefault="00982A4D" w:rsidP="00E3375F">
            <w:pPr>
              <w:pStyle w:val="ExhibitNumber"/>
              <w:rPr>
                <w:i/>
                <w:lang w:val="en-GB"/>
              </w:rPr>
            </w:pPr>
            <w:r w:rsidRPr="000724A3">
              <w:rPr>
                <w:lang w:val="en-GB"/>
              </w:rPr>
              <w:t>GNI</w:t>
            </w:r>
            <w:r w:rsidR="0099158E" w:rsidRPr="000724A3">
              <w:rPr>
                <w:lang w:val="en-GB"/>
              </w:rPr>
              <w:t xml:space="preserve"> per </w:t>
            </w:r>
            <w:r w:rsidR="00231CF1" w:rsidRPr="000724A3">
              <w:rPr>
                <w:lang w:val="en-GB"/>
              </w:rPr>
              <w:t>C</w:t>
            </w:r>
            <w:r w:rsidR="0099158E" w:rsidRPr="000724A3">
              <w:rPr>
                <w:lang w:val="en-GB"/>
              </w:rPr>
              <w:t xml:space="preserve">apita, </w:t>
            </w:r>
            <w:r w:rsidR="005561D9" w:rsidRPr="000724A3">
              <w:rPr>
                <w:lang w:val="en-GB"/>
              </w:rPr>
              <w:t>A</w:t>
            </w:r>
            <w:r w:rsidR="0099158E" w:rsidRPr="000724A3">
              <w:rPr>
                <w:lang w:val="en-GB"/>
              </w:rPr>
              <w:t xml:space="preserve">tlas </w:t>
            </w:r>
            <w:r w:rsidR="00231CF1" w:rsidRPr="000724A3">
              <w:rPr>
                <w:lang w:val="en-GB"/>
              </w:rPr>
              <w:t>M</w:t>
            </w:r>
            <w:r w:rsidR="0099158E" w:rsidRPr="000724A3">
              <w:rPr>
                <w:lang w:val="en-GB"/>
              </w:rPr>
              <w:t>ethod (</w:t>
            </w:r>
            <w:r w:rsidR="00662C90" w:rsidRPr="000724A3">
              <w:rPr>
                <w:lang w:val="en-GB"/>
              </w:rPr>
              <w:t xml:space="preserve">current </w:t>
            </w:r>
            <w:r w:rsidR="0099158E" w:rsidRPr="000724A3">
              <w:rPr>
                <w:lang w:val="en-GB"/>
              </w:rPr>
              <w:t>US$)</w:t>
            </w:r>
            <w:r w:rsidR="00EF647C" w:rsidRPr="000724A3">
              <w:rPr>
                <w:lang w:val="en-GB"/>
              </w:rPr>
              <w:t>*</w:t>
            </w:r>
          </w:p>
        </w:tc>
        <w:tc>
          <w:tcPr>
            <w:tcW w:w="2160" w:type="dxa"/>
            <w:vAlign w:val="center"/>
          </w:tcPr>
          <w:p w14:paraId="6FC2FB07" w14:textId="77777777" w:rsidR="00982A4D" w:rsidRPr="000724A3" w:rsidRDefault="0099158E" w:rsidP="00E3375F">
            <w:pPr>
              <w:pStyle w:val="ExhibitNumber"/>
              <w:rPr>
                <w:i/>
                <w:lang w:val="en-GB"/>
              </w:rPr>
            </w:pPr>
            <w:r w:rsidRPr="000724A3">
              <w:rPr>
                <w:lang w:val="en-GB"/>
              </w:rPr>
              <w:t xml:space="preserve">Wealth of </w:t>
            </w:r>
            <w:r w:rsidR="00231CF1" w:rsidRPr="000724A3">
              <w:rPr>
                <w:lang w:val="en-GB"/>
              </w:rPr>
              <w:t>C</w:t>
            </w:r>
            <w:r w:rsidRPr="000724A3">
              <w:rPr>
                <w:lang w:val="en-GB"/>
              </w:rPr>
              <w:t xml:space="preserve">onsumers: </w:t>
            </w:r>
            <w:r w:rsidR="00982A4D" w:rsidRPr="000724A3">
              <w:rPr>
                <w:lang w:val="en-GB"/>
              </w:rPr>
              <w:t xml:space="preserve">GNI per </w:t>
            </w:r>
            <w:r w:rsidR="00231CF1" w:rsidRPr="000724A3">
              <w:rPr>
                <w:lang w:val="en-GB"/>
              </w:rPr>
              <w:t>C</w:t>
            </w:r>
            <w:r w:rsidR="00982A4D" w:rsidRPr="000724A3">
              <w:rPr>
                <w:lang w:val="en-GB"/>
              </w:rPr>
              <w:t>apita PPP (</w:t>
            </w:r>
            <w:r w:rsidR="00662C90" w:rsidRPr="000724A3">
              <w:rPr>
                <w:lang w:val="en-GB"/>
              </w:rPr>
              <w:t xml:space="preserve">current </w:t>
            </w:r>
            <w:r w:rsidR="00231CF1" w:rsidRPr="000724A3">
              <w:rPr>
                <w:lang w:val="en-GB"/>
              </w:rPr>
              <w:t>i</w:t>
            </w:r>
            <w:r w:rsidR="00662C90" w:rsidRPr="000724A3">
              <w:rPr>
                <w:lang w:val="en-GB"/>
              </w:rPr>
              <w:t>nternational</w:t>
            </w:r>
            <w:r w:rsidR="00231CF1" w:rsidRPr="000724A3">
              <w:rPr>
                <w:lang w:val="en-GB"/>
              </w:rPr>
              <w:t xml:space="preserve"> </w:t>
            </w:r>
            <w:r w:rsidR="00982A4D" w:rsidRPr="000724A3">
              <w:rPr>
                <w:lang w:val="en-GB"/>
              </w:rPr>
              <w:t>$)</w:t>
            </w:r>
            <w:r w:rsidR="00EF647C" w:rsidRPr="000724A3">
              <w:rPr>
                <w:lang w:val="en-GB"/>
              </w:rPr>
              <w:t>**</w:t>
            </w:r>
          </w:p>
        </w:tc>
        <w:tc>
          <w:tcPr>
            <w:tcW w:w="2430" w:type="dxa"/>
            <w:vAlign w:val="center"/>
          </w:tcPr>
          <w:p w14:paraId="26252C63" w14:textId="77777777" w:rsidR="00982A4D" w:rsidRPr="000724A3" w:rsidRDefault="0099158E" w:rsidP="00E3375F">
            <w:pPr>
              <w:pStyle w:val="ExhibitNumber"/>
              <w:rPr>
                <w:i/>
                <w:lang w:val="en-GB"/>
              </w:rPr>
            </w:pPr>
            <w:r w:rsidRPr="000724A3">
              <w:rPr>
                <w:lang w:val="en-GB"/>
              </w:rPr>
              <w:t xml:space="preserve">Future Growth Rate: </w:t>
            </w:r>
            <w:r w:rsidR="00982A4D" w:rsidRPr="000724A3">
              <w:rPr>
                <w:lang w:val="en-GB"/>
              </w:rPr>
              <w:t xml:space="preserve">GDP per </w:t>
            </w:r>
            <w:r w:rsidR="00231CF1" w:rsidRPr="000724A3">
              <w:rPr>
                <w:lang w:val="en-GB"/>
              </w:rPr>
              <w:t>C</w:t>
            </w:r>
            <w:r w:rsidR="00982A4D" w:rsidRPr="000724A3">
              <w:rPr>
                <w:lang w:val="en-GB"/>
              </w:rPr>
              <w:t xml:space="preserve">apita </w:t>
            </w:r>
            <w:r w:rsidR="00231CF1" w:rsidRPr="000724A3">
              <w:rPr>
                <w:lang w:val="en-GB"/>
              </w:rPr>
              <w:t>A</w:t>
            </w:r>
            <w:r w:rsidRPr="000724A3">
              <w:rPr>
                <w:lang w:val="en-GB"/>
              </w:rPr>
              <w:t xml:space="preserve">verage </w:t>
            </w:r>
            <w:r w:rsidR="00231CF1" w:rsidRPr="000724A3">
              <w:rPr>
                <w:lang w:val="en-GB"/>
              </w:rPr>
              <w:t>A</w:t>
            </w:r>
            <w:r w:rsidRPr="000724A3">
              <w:rPr>
                <w:lang w:val="en-GB"/>
              </w:rPr>
              <w:t xml:space="preserve">nnual </w:t>
            </w:r>
            <w:r w:rsidR="00231CF1" w:rsidRPr="000724A3">
              <w:rPr>
                <w:lang w:val="en-GB"/>
              </w:rPr>
              <w:t>G</w:t>
            </w:r>
            <w:r w:rsidRPr="000724A3">
              <w:rPr>
                <w:lang w:val="en-GB"/>
              </w:rPr>
              <w:t xml:space="preserve">rowth </w:t>
            </w:r>
            <w:r w:rsidR="00231CF1" w:rsidRPr="000724A3">
              <w:rPr>
                <w:lang w:val="en-GB"/>
              </w:rPr>
              <w:t>R</w:t>
            </w:r>
            <w:r w:rsidRPr="000724A3">
              <w:rPr>
                <w:lang w:val="en-GB"/>
              </w:rPr>
              <w:t xml:space="preserve">ate </w:t>
            </w:r>
            <w:r w:rsidR="00982A4D" w:rsidRPr="000724A3">
              <w:rPr>
                <w:lang w:val="en-GB"/>
              </w:rPr>
              <w:t>2018</w:t>
            </w:r>
            <w:r w:rsidR="00231CF1" w:rsidRPr="000724A3">
              <w:rPr>
                <w:lang w:val="en-GB"/>
              </w:rPr>
              <w:t>–</w:t>
            </w:r>
            <w:r w:rsidR="00982A4D" w:rsidRPr="000724A3">
              <w:rPr>
                <w:lang w:val="en-GB"/>
              </w:rPr>
              <w:t>2023</w:t>
            </w:r>
          </w:p>
        </w:tc>
      </w:tr>
      <w:tr w:rsidR="00982A4D" w:rsidRPr="000724A3" w14:paraId="56CBBAE2" w14:textId="77777777" w:rsidTr="00175622">
        <w:tc>
          <w:tcPr>
            <w:tcW w:w="1435" w:type="dxa"/>
          </w:tcPr>
          <w:p w14:paraId="46506CFE" w14:textId="77777777" w:rsidR="00982A4D" w:rsidRPr="000724A3" w:rsidRDefault="00982A4D" w:rsidP="00274C0A">
            <w:pPr>
              <w:pStyle w:val="FootnoteText1"/>
              <w:jc w:val="left"/>
              <w:rPr>
                <w:i w:val="0"/>
                <w:sz w:val="20"/>
                <w:szCs w:val="20"/>
                <w:lang w:val="en-GB"/>
              </w:rPr>
            </w:pPr>
            <w:r w:rsidRPr="000724A3">
              <w:rPr>
                <w:i w:val="0"/>
                <w:sz w:val="20"/>
                <w:szCs w:val="20"/>
                <w:lang w:val="en-GB"/>
              </w:rPr>
              <w:t>Egypt</w:t>
            </w:r>
          </w:p>
        </w:tc>
        <w:tc>
          <w:tcPr>
            <w:tcW w:w="1350" w:type="dxa"/>
          </w:tcPr>
          <w:p w14:paraId="167238B3" w14:textId="77777777" w:rsidR="00982A4D" w:rsidRPr="000724A3" w:rsidRDefault="00175622" w:rsidP="00274C0A">
            <w:pPr>
              <w:pStyle w:val="FootnoteText1"/>
              <w:jc w:val="right"/>
              <w:rPr>
                <w:i w:val="0"/>
                <w:sz w:val="20"/>
                <w:szCs w:val="20"/>
                <w:lang w:val="en-GB"/>
              </w:rPr>
            </w:pPr>
            <w:r w:rsidRPr="000724A3">
              <w:rPr>
                <w:i w:val="0"/>
                <w:sz w:val="20"/>
                <w:szCs w:val="20"/>
                <w:lang w:val="en-GB"/>
              </w:rPr>
              <w:t>92</w:t>
            </w:r>
            <w:r w:rsidR="00BE51D1" w:rsidRPr="000724A3">
              <w:rPr>
                <w:i w:val="0"/>
                <w:sz w:val="20"/>
                <w:szCs w:val="20"/>
                <w:lang w:val="en-GB"/>
              </w:rPr>
              <w:t>.0</w:t>
            </w:r>
          </w:p>
        </w:tc>
        <w:tc>
          <w:tcPr>
            <w:tcW w:w="1980" w:type="dxa"/>
          </w:tcPr>
          <w:p w14:paraId="36F5D823" w14:textId="20DCB838" w:rsidR="00982A4D" w:rsidRPr="000724A3" w:rsidRDefault="00982A4D" w:rsidP="00274C0A">
            <w:pPr>
              <w:pStyle w:val="FootnoteText1"/>
              <w:jc w:val="right"/>
              <w:rPr>
                <w:i w:val="0"/>
                <w:sz w:val="20"/>
                <w:szCs w:val="20"/>
                <w:lang w:val="en-GB"/>
              </w:rPr>
            </w:pPr>
            <w:r w:rsidRPr="000724A3">
              <w:rPr>
                <w:i w:val="0"/>
                <w:sz w:val="20"/>
                <w:szCs w:val="20"/>
                <w:lang w:val="en-GB"/>
              </w:rPr>
              <w:t>3,410</w:t>
            </w:r>
          </w:p>
        </w:tc>
        <w:tc>
          <w:tcPr>
            <w:tcW w:w="2160" w:type="dxa"/>
          </w:tcPr>
          <w:p w14:paraId="10717788" w14:textId="4E93FD3B" w:rsidR="00982A4D" w:rsidRPr="000724A3" w:rsidRDefault="00982A4D" w:rsidP="00274C0A">
            <w:pPr>
              <w:pStyle w:val="FootnoteText1"/>
              <w:jc w:val="right"/>
              <w:rPr>
                <w:i w:val="0"/>
                <w:sz w:val="20"/>
                <w:szCs w:val="20"/>
                <w:lang w:val="en-GB"/>
              </w:rPr>
            </w:pPr>
            <w:r w:rsidRPr="000724A3">
              <w:rPr>
                <w:i w:val="0"/>
                <w:sz w:val="20"/>
                <w:szCs w:val="20"/>
                <w:lang w:val="en-GB"/>
              </w:rPr>
              <w:t>11,000</w:t>
            </w:r>
          </w:p>
        </w:tc>
        <w:tc>
          <w:tcPr>
            <w:tcW w:w="2430" w:type="dxa"/>
          </w:tcPr>
          <w:p w14:paraId="6C035473" w14:textId="77777777" w:rsidR="00982A4D" w:rsidRPr="000724A3" w:rsidRDefault="00982A4D" w:rsidP="00274C0A">
            <w:pPr>
              <w:pStyle w:val="FootnoteText1"/>
              <w:jc w:val="right"/>
              <w:rPr>
                <w:i w:val="0"/>
                <w:sz w:val="20"/>
                <w:szCs w:val="20"/>
                <w:lang w:val="en-GB"/>
              </w:rPr>
            </w:pPr>
            <w:r w:rsidRPr="000724A3">
              <w:rPr>
                <w:i w:val="0"/>
                <w:sz w:val="20"/>
                <w:szCs w:val="20"/>
                <w:lang w:val="en-GB"/>
              </w:rPr>
              <w:t>5.75%</w:t>
            </w:r>
          </w:p>
        </w:tc>
      </w:tr>
      <w:tr w:rsidR="00982A4D" w:rsidRPr="000724A3" w14:paraId="09FEF02A" w14:textId="77777777" w:rsidTr="00175622">
        <w:tc>
          <w:tcPr>
            <w:tcW w:w="1435" w:type="dxa"/>
          </w:tcPr>
          <w:p w14:paraId="60CD5AB9" w14:textId="77777777" w:rsidR="00982A4D" w:rsidRPr="000724A3" w:rsidRDefault="00982A4D" w:rsidP="00274C0A">
            <w:pPr>
              <w:pStyle w:val="FootnoteText1"/>
              <w:jc w:val="left"/>
              <w:rPr>
                <w:i w:val="0"/>
                <w:sz w:val="20"/>
                <w:szCs w:val="20"/>
                <w:lang w:val="en-GB"/>
              </w:rPr>
            </w:pPr>
            <w:r w:rsidRPr="000724A3">
              <w:rPr>
                <w:i w:val="0"/>
                <w:sz w:val="20"/>
                <w:szCs w:val="20"/>
                <w:lang w:val="en-GB"/>
              </w:rPr>
              <w:t>South Africa</w:t>
            </w:r>
          </w:p>
        </w:tc>
        <w:tc>
          <w:tcPr>
            <w:tcW w:w="1350" w:type="dxa"/>
          </w:tcPr>
          <w:p w14:paraId="411E5741" w14:textId="77777777" w:rsidR="00982A4D" w:rsidRPr="000724A3" w:rsidRDefault="00175622" w:rsidP="00274C0A">
            <w:pPr>
              <w:pStyle w:val="FootnoteText1"/>
              <w:jc w:val="right"/>
              <w:rPr>
                <w:i w:val="0"/>
                <w:sz w:val="20"/>
                <w:szCs w:val="20"/>
                <w:lang w:val="en-GB"/>
              </w:rPr>
            </w:pPr>
            <w:r w:rsidRPr="000724A3">
              <w:rPr>
                <w:i w:val="0"/>
                <w:sz w:val="20"/>
                <w:szCs w:val="20"/>
                <w:lang w:val="en-GB"/>
              </w:rPr>
              <w:t>50.7</w:t>
            </w:r>
          </w:p>
        </w:tc>
        <w:tc>
          <w:tcPr>
            <w:tcW w:w="1980" w:type="dxa"/>
          </w:tcPr>
          <w:p w14:paraId="44062F9B" w14:textId="1E66A5D0" w:rsidR="00982A4D" w:rsidRPr="000724A3" w:rsidRDefault="00982A4D" w:rsidP="00274C0A">
            <w:pPr>
              <w:pStyle w:val="FootnoteText1"/>
              <w:jc w:val="right"/>
              <w:rPr>
                <w:i w:val="0"/>
                <w:sz w:val="20"/>
                <w:szCs w:val="20"/>
                <w:lang w:val="en-GB"/>
              </w:rPr>
            </w:pPr>
            <w:r w:rsidRPr="000724A3">
              <w:rPr>
                <w:i w:val="0"/>
                <w:sz w:val="20"/>
                <w:szCs w:val="20"/>
                <w:lang w:val="en-GB"/>
              </w:rPr>
              <w:t>5,480</w:t>
            </w:r>
          </w:p>
        </w:tc>
        <w:tc>
          <w:tcPr>
            <w:tcW w:w="2160" w:type="dxa"/>
          </w:tcPr>
          <w:p w14:paraId="3C5D22BA" w14:textId="62F3ED2F" w:rsidR="00982A4D" w:rsidRPr="000724A3" w:rsidRDefault="00982A4D" w:rsidP="00274C0A">
            <w:pPr>
              <w:pStyle w:val="FootnoteText1"/>
              <w:jc w:val="right"/>
              <w:rPr>
                <w:i w:val="0"/>
                <w:sz w:val="20"/>
                <w:szCs w:val="20"/>
                <w:lang w:val="en-GB"/>
              </w:rPr>
            </w:pPr>
            <w:r w:rsidRPr="000724A3">
              <w:rPr>
                <w:i w:val="0"/>
                <w:sz w:val="20"/>
                <w:szCs w:val="20"/>
                <w:lang w:val="en-GB"/>
              </w:rPr>
              <w:t>12,880</w:t>
            </w:r>
          </w:p>
        </w:tc>
        <w:tc>
          <w:tcPr>
            <w:tcW w:w="2430" w:type="dxa"/>
          </w:tcPr>
          <w:p w14:paraId="5C0A161B" w14:textId="77777777" w:rsidR="00982A4D" w:rsidRPr="000724A3" w:rsidRDefault="00982A4D" w:rsidP="00274C0A">
            <w:pPr>
              <w:pStyle w:val="FootnoteText1"/>
              <w:jc w:val="right"/>
              <w:rPr>
                <w:i w:val="0"/>
                <w:sz w:val="20"/>
                <w:szCs w:val="20"/>
                <w:lang w:val="en-GB"/>
              </w:rPr>
            </w:pPr>
            <w:r w:rsidRPr="000724A3">
              <w:rPr>
                <w:i w:val="0"/>
                <w:sz w:val="20"/>
                <w:szCs w:val="20"/>
                <w:lang w:val="en-GB"/>
              </w:rPr>
              <w:t>1.73%</w:t>
            </w:r>
          </w:p>
        </w:tc>
      </w:tr>
      <w:tr w:rsidR="00982A4D" w:rsidRPr="000724A3" w14:paraId="16757D42" w14:textId="77777777" w:rsidTr="00175622">
        <w:tc>
          <w:tcPr>
            <w:tcW w:w="1435" w:type="dxa"/>
          </w:tcPr>
          <w:p w14:paraId="14503362" w14:textId="77777777" w:rsidR="00982A4D" w:rsidRPr="000724A3" w:rsidRDefault="00982A4D" w:rsidP="00274C0A">
            <w:pPr>
              <w:pStyle w:val="FootnoteText1"/>
              <w:jc w:val="left"/>
              <w:rPr>
                <w:i w:val="0"/>
                <w:sz w:val="20"/>
                <w:szCs w:val="20"/>
                <w:lang w:val="en-GB"/>
              </w:rPr>
            </w:pPr>
            <w:r w:rsidRPr="000724A3">
              <w:rPr>
                <w:i w:val="0"/>
                <w:sz w:val="20"/>
                <w:szCs w:val="20"/>
                <w:lang w:val="en-GB"/>
              </w:rPr>
              <w:t>Ghana</w:t>
            </w:r>
          </w:p>
        </w:tc>
        <w:tc>
          <w:tcPr>
            <w:tcW w:w="1350" w:type="dxa"/>
          </w:tcPr>
          <w:p w14:paraId="63CFEBF3" w14:textId="77777777" w:rsidR="00982A4D" w:rsidRPr="000724A3" w:rsidRDefault="00175622" w:rsidP="00274C0A">
            <w:pPr>
              <w:pStyle w:val="FootnoteText1"/>
              <w:jc w:val="right"/>
              <w:rPr>
                <w:i w:val="0"/>
                <w:sz w:val="20"/>
                <w:szCs w:val="20"/>
                <w:lang w:val="en-GB"/>
              </w:rPr>
            </w:pPr>
            <w:r w:rsidRPr="000724A3">
              <w:rPr>
                <w:i w:val="0"/>
                <w:sz w:val="20"/>
                <w:szCs w:val="20"/>
                <w:lang w:val="en-GB"/>
              </w:rPr>
              <w:t>29.6</w:t>
            </w:r>
          </w:p>
        </w:tc>
        <w:tc>
          <w:tcPr>
            <w:tcW w:w="1980" w:type="dxa"/>
          </w:tcPr>
          <w:p w14:paraId="3A9BAFB4" w14:textId="42DF0EFF" w:rsidR="00982A4D" w:rsidRPr="000724A3" w:rsidRDefault="00982A4D" w:rsidP="00274C0A">
            <w:pPr>
              <w:pStyle w:val="FootnoteText1"/>
              <w:jc w:val="right"/>
              <w:rPr>
                <w:i w:val="0"/>
                <w:sz w:val="20"/>
                <w:szCs w:val="20"/>
                <w:lang w:val="en-GB"/>
              </w:rPr>
            </w:pPr>
            <w:r w:rsidRPr="000724A3">
              <w:rPr>
                <w:i w:val="0"/>
                <w:sz w:val="20"/>
                <w:szCs w:val="20"/>
                <w:lang w:val="en-GB"/>
              </w:rPr>
              <w:t>1,380</w:t>
            </w:r>
          </w:p>
        </w:tc>
        <w:tc>
          <w:tcPr>
            <w:tcW w:w="2160" w:type="dxa"/>
          </w:tcPr>
          <w:p w14:paraId="01B071D9" w14:textId="024F2E33" w:rsidR="00982A4D" w:rsidRPr="000724A3" w:rsidRDefault="00982A4D" w:rsidP="00274C0A">
            <w:pPr>
              <w:pStyle w:val="FootnoteText1"/>
              <w:jc w:val="right"/>
              <w:rPr>
                <w:i w:val="0"/>
                <w:sz w:val="20"/>
                <w:szCs w:val="20"/>
                <w:lang w:val="en-GB"/>
              </w:rPr>
            </w:pPr>
            <w:r w:rsidRPr="000724A3">
              <w:rPr>
                <w:i w:val="0"/>
                <w:sz w:val="20"/>
                <w:szCs w:val="20"/>
                <w:lang w:val="en-GB"/>
              </w:rPr>
              <w:t>4,160</w:t>
            </w:r>
          </w:p>
        </w:tc>
        <w:tc>
          <w:tcPr>
            <w:tcW w:w="2430" w:type="dxa"/>
          </w:tcPr>
          <w:p w14:paraId="690C430F" w14:textId="77777777" w:rsidR="00982A4D" w:rsidRPr="000724A3" w:rsidRDefault="00982A4D" w:rsidP="00274C0A">
            <w:pPr>
              <w:pStyle w:val="FootnoteText1"/>
              <w:jc w:val="right"/>
              <w:rPr>
                <w:i w:val="0"/>
                <w:sz w:val="20"/>
                <w:szCs w:val="20"/>
                <w:lang w:val="en-GB"/>
              </w:rPr>
            </w:pPr>
            <w:r w:rsidRPr="000724A3">
              <w:rPr>
                <w:i w:val="0"/>
                <w:sz w:val="20"/>
                <w:szCs w:val="20"/>
                <w:lang w:val="en-GB"/>
              </w:rPr>
              <w:t>5.47%</w:t>
            </w:r>
          </w:p>
        </w:tc>
      </w:tr>
      <w:tr w:rsidR="00982A4D" w:rsidRPr="000724A3" w14:paraId="16A13679" w14:textId="77777777" w:rsidTr="00175622">
        <w:tc>
          <w:tcPr>
            <w:tcW w:w="1435" w:type="dxa"/>
          </w:tcPr>
          <w:p w14:paraId="3452F92F" w14:textId="77777777" w:rsidR="00982A4D" w:rsidRPr="000724A3" w:rsidRDefault="00982A4D" w:rsidP="00274C0A">
            <w:pPr>
              <w:pStyle w:val="FootnoteText1"/>
              <w:jc w:val="left"/>
              <w:rPr>
                <w:i w:val="0"/>
                <w:sz w:val="20"/>
                <w:szCs w:val="20"/>
                <w:lang w:val="en-GB"/>
              </w:rPr>
            </w:pPr>
            <w:r w:rsidRPr="000724A3">
              <w:rPr>
                <w:i w:val="0"/>
                <w:sz w:val="20"/>
                <w:szCs w:val="20"/>
                <w:lang w:val="en-GB"/>
              </w:rPr>
              <w:t>Kenya</w:t>
            </w:r>
          </w:p>
        </w:tc>
        <w:tc>
          <w:tcPr>
            <w:tcW w:w="1350" w:type="dxa"/>
          </w:tcPr>
          <w:p w14:paraId="6E2E605B" w14:textId="77777777" w:rsidR="00982A4D" w:rsidRPr="000724A3" w:rsidRDefault="00175622" w:rsidP="00274C0A">
            <w:pPr>
              <w:pStyle w:val="FootnoteText1"/>
              <w:jc w:val="right"/>
              <w:rPr>
                <w:i w:val="0"/>
                <w:sz w:val="20"/>
                <w:szCs w:val="20"/>
                <w:lang w:val="en-GB"/>
              </w:rPr>
            </w:pPr>
            <w:r w:rsidRPr="000724A3">
              <w:rPr>
                <w:i w:val="0"/>
                <w:sz w:val="20"/>
                <w:szCs w:val="20"/>
                <w:lang w:val="en-GB"/>
              </w:rPr>
              <w:t>48.5</w:t>
            </w:r>
          </w:p>
        </w:tc>
        <w:tc>
          <w:tcPr>
            <w:tcW w:w="1980" w:type="dxa"/>
          </w:tcPr>
          <w:p w14:paraId="04336C90" w14:textId="32ABFAAC" w:rsidR="00982A4D" w:rsidRPr="000724A3" w:rsidRDefault="00982A4D" w:rsidP="00274C0A">
            <w:pPr>
              <w:pStyle w:val="FootnoteText1"/>
              <w:jc w:val="right"/>
              <w:rPr>
                <w:i w:val="0"/>
                <w:sz w:val="20"/>
                <w:szCs w:val="20"/>
                <w:lang w:val="en-GB"/>
              </w:rPr>
            </w:pPr>
            <w:r w:rsidRPr="000724A3">
              <w:rPr>
                <w:i w:val="0"/>
                <w:sz w:val="20"/>
                <w:szCs w:val="20"/>
                <w:lang w:val="en-GB"/>
              </w:rPr>
              <w:t>1,380</w:t>
            </w:r>
          </w:p>
        </w:tc>
        <w:tc>
          <w:tcPr>
            <w:tcW w:w="2160" w:type="dxa"/>
          </w:tcPr>
          <w:p w14:paraId="43D87A33" w14:textId="0ABC6F68" w:rsidR="00982A4D" w:rsidRPr="000724A3" w:rsidRDefault="00982A4D" w:rsidP="00274C0A">
            <w:pPr>
              <w:pStyle w:val="FootnoteText1"/>
              <w:jc w:val="right"/>
              <w:rPr>
                <w:i w:val="0"/>
                <w:sz w:val="20"/>
                <w:szCs w:val="20"/>
                <w:lang w:val="en-GB"/>
              </w:rPr>
            </w:pPr>
            <w:r w:rsidRPr="000724A3">
              <w:rPr>
                <w:i w:val="0"/>
                <w:sz w:val="20"/>
                <w:szCs w:val="20"/>
                <w:lang w:val="en-GB"/>
              </w:rPr>
              <w:t>3,130</w:t>
            </w:r>
          </w:p>
        </w:tc>
        <w:tc>
          <w:tcPr>
            <w:tcW w:w="2430" w:type="dxa"/>
          </w:tcPr>
          <w:p w14:paraId="62D4BE9B" w14:textId="77777777" w:rsidR="00982A4D" w:rsidRPr="000724A3" w:rsidRDefault="00982A4D" w:rsidP="00274C0A">
            <w:pPr>
              <w:pStyle w:val="FootnoteText1"/>
              <w:jc w:val="right"/>
              <w:rPr>
                <w:i w:val="0"/>
                <w:sz w:val="20"/>
                <w:szCs w:val="20"/>
                <w:lang w:val="en-GB"/>
              </w:rPr>
            </w:pPr>
            <w:r w:rsidRPr="000724A3">
              <w:rPr>
                <w:i w:val="0"/>
                <w:sz w:val="20"/>
                <w:szCs w:val="20"/>
                <w:lang w:val="en-GB"/>
              </w:rPr>
              <w:t>6.12%</w:t>
            </w:r>
          </w:p>
        </w:tc>
      </w:tr>
      <w:tr w:rsidR="00982A4D" w:rsidRPr="000724A3" w14:paraId="612F3057" w14:textId="77777777" w:rsidTr="00175622">
        <w:tc>
          <w:tcPr>
            <w:tcW w:w="1435" w:type="dxa"/>
          </w:tcPr>
          <w:p w14:paraId="41B38497" w14:textId="77777777" w:rsidR="00982A4D" w:rsidRPr="000724A3" w:rsidRDefault="00982A4D" w:rsidP="00274C0A">
            <w:pPr>
              <w:pStyle w:val="FootnoteText1"/>
              <w:jc w:val="left"/>
              <w:rPr>
                <w:i w:val="0"/>
                <w:sz w:val="20"/>
                <w:szCs w:val="20"/>
                <w:lang w:val="en-GB"/>
              </w:rPr>
            </w:pPr>
            <w:r w:rsidRPr="000724A3">
              <w:rPr>
                <w:i w:val="0"/>
                <w:sz w:val="20"/>
                <w:szCs w:val="20"/>
                <w:lang w:val="en-GB"/>
              </w:rPr>
              <w:t>India</w:t>
            </w:r>
          </w:p>
        </w:tc>
        <w:tc>
          <w:tcPr>
            <w:tcW w:w="1350" w:type="dxa"/>
          </w:tcPr>
          <w:p w14:paraId="1EF27D62" w14:textId="77777777" w:rsidR="00982A4D" w:rsidRPr="000724A3" w:rsidRDefault="00175622" w:rsidP="00274C0A">
            <w:pPr>
              <w:pStyle w:val="FootnoteText1"/>
              <w:jc w:val="right"/>
              <w:rPr>
                <w:i w:val="0"/>
                <w:sz w:val="20"/>
                <w:szCs w:val="20"/>
                <w:lang w:val="en-GB"/>
              </w:rPr>
            </w:pPr>
            <w:r w:rsidRPr="000724A3">
              <w:rPr>
                <w:i w:val="0"/>
                <w:sz w:val="20"/>
                <w:szCs w:val="20"/>
                <w:lang w:val="en-GB"/>
              </w:rPr>
              <w:t>1,</w:t>
            </w:r>
            <w:r w:rsidR="00982A4D" w:rsidRPr="000724A3">
              <w:rPr>
                <w:i w:val="0"/>
                <w:sz w:val="20"/>
                <w:szCs w:val="20"/>
                <w:lang w:val="en-GB"/>
              </w:rPr>
              <w:t>3</w:t>
            </w:r>
            <w:r w:rsidRPr="000724A3">
              <w:rPr>
                <w:i w:val="0"/>
                <w:sz w:val="20"/>
                <w:szCs w:val="20"/>
                <w:lang w:val="en-GB"/>
              </w:rPr>
              <w:t>24</w:t>
            </w:r>
            <w:r w:rsidR="00BE51D1" w:rsidRPr="000724A3">
              <w:rPr>
                <w:i w:val="0"/>
                <w:sz w:val="20"/>
                <w:szCs w:val="20"/>
                <w:lang w:val="en-GB"/>
              </w:rPr>
              <w:t>.0</w:t>
            </w:r>
          </w:p>
        </w:tc>
        <w:tc>
          <w:tcPr>
            <w:tcW w:w="1980" w:type="dxa"/>
          </w:tcPr>
          <w:p w14:paraId="57C0DAFD" w14:textId="7A0AA7DE" w:rsidR="00982A4D" w:rsidRPr="000724A3" w:rsidRDefault="00982A4D" w:rsidP="00274C0A">
            <w:pPr>
              <w:pStyle w:val="FootnoteText1"/>
              <w:jc w:val="right"/>
              <w:rPr>
                <w:i w:val="0"/>
                <w:sz w:val="20"/>
                <w:szCs w:val="20"/>
                <w:lang w:val="en-GB"/>
              </w:rPr>
            </w:pPr>
            <w:r w:rsidRPr="000724A3">
              <w:rPr>
                <w:i w:val="0"/>
                <w:sz w:val="20"/>
                <w:szCs w:val="20"/>
                <w:lang w:val="en-GB"/>
              </w:rPr>
              <w:t>1,670</w:t>
            </w:r>
          </w:p>
        </w:tc>
        <w:tc>
          <w:tcPr>
            <w:tcW w:w="2160" w:type="dxa"/>
          </w:tcPr>
          <w:p w14:paraId="1C9DF334" w14:textId="05D6ED9B" w:rsidR="00982A4D" w:rsidRPr="000724A3" w:rsidRDefault="00982A4D" w:rsidP="00274C0A">
            <w:pPr>
              <w:pStyle w:val="FootnoteText1"/>
              <w:jc w:val="right"/>
              <w:rPr>
                <w:i w:val="0"/>
                <w:sz w:val="20"/>
                <w:szCs w:val="20"/>
                <w:lang w:val="en-GB"/>
              </w:rPr>
            </w:pPr>
            <w:r w:rsidRPr="000724A3">
              <w:rPr>
                <w:i w:val="0"/>
                <w:sz w:val="20"/>
                <w:szCs w:val="20"/>
                <w:lang w:val="en-GB"/>
              </w:rPr>
              <w:t>6,500</w:t>
            </w:r>
          </w:p>
        </w:tc>
        <w:tc>
          <w:tcPr>
            <w:tcW w:w="2430" w:type="dxa"/>
          </w:tcPr>
          <w:p w14:paraId="7287DCD1" w14:textId="77777777" w:rsidR="00982A4D" w:rsidRPr="000724A3" w:rsidRDefault="00982A4D" w:rsidP="00274C0A">
            <w:pPr>
              <w:pStyle w:val="FootnoteText1"/>
              <w:jc w:val="right"/>
              <w:rPr>
                <w:i w:val="0"/>
                <w:sz w:val="20"/>
                <w:szCs w:val="20"/>
                <w:lang w:val="en-GB"/>
              </w:rPr>
            </w:pPr>
            <w:r w:rsidRPr="000724A3">
              <w:rPr>
                <w:i w:val="0"/>
                <w:sz w:val="20"/>
                <w:szCs w:val="20"/>
                <w:lang w:val="en-GB"/>
              </w:rPr>
              <w:t>7.92%</w:t>
            </w:r>
          </w:p>
        </w:tc>
      </w:tr>
      <w:tr w:rsidR="00982A4D" w:rsidRPr="000724A3" w14:paraId="708C0FF4" w14:textId="77777777" w:rsidTr="00175622">
        <w:tc>
          <w:tcPr>
            <w:tcW w:w="1435" w:type="dxa"/>
          </w:tcPr>
          <w:p w14:paraId="6A5E6187" w14:textId="77777777" w:rsidR="00982A4D" w:rsidRPr="000724A3" w:rsidRDefault="00982A4D" w:rsidP="00274C0A">
            <w:pPr>
              <w:pStyle w:val="FootnoteText1"/>
              <w:jc w:val="left"/>
              <w:rPr>
                <w:i w:val="0"/>
                <w:sz w:val="20"/>
                <w:szCs w:val="20"/>
                <w:lang w:val="en-GB"/>
              </w:rPr>
            </w:pPr>
            <w:r w:rsidRPr="000724A3">
              <w:rPr>
                <w:i w:val="0"/>
                <w:sz w:val="20"/>
                <w:szCs w:val="20"/>
                <w:lang w:val="en-GB"/>
              </w:rPr>
              <w:t>Russia</w:t>
            </w:r>
          </w:p>
        </w:tc>
        <w:tc>
          <w:tcPr>
            <w:tcW w:w="1350" w:type="dxa"/>
          </w:tcPr>
          <w:p w14:paraId="41D075C6" w14:textId="77777777" w:rsidR="00982A4D" w:rsidRPr="000724A3" w:rsidRDefault="00175622" w:rsidP="00274C0A">
            <w:pPr>
              <w:pStyle w:val="FootnoteText1"/>
              <w:jc w:val="right"/>
              <w:rPr>
                <w:i w:val="0"/>
                <w:sz w:val="20"/>
                <w:szCs w:val="20"/>
                <w:lang w:val="en-GB"/>
              </w:rPr>
            </w:pPr>
            <w:r w:rsidRPr="000724A3">
              <w:rPr>
                <w:i w:val="0"/>
                <w:sz w:val="20"/>
                <w:szCs w:val="20"/>
                <w:lang w:val="en-GB"/>
              </w:rPr>
              <w:t>142.7</w:t>
            </w:r>
          </w:p>
        </w:tc>
        <w:tc>
          <w:tcPr>
            <w:tcW w:w="1980" w:type="dxa"/>
          </w:tcPr>
          <w:p w14:paraId="7542FED3" w14:textId="216613D3" w:rsidR="00982A4D" w:rsidRPr="000724A3" w:rsidRDefault="00982A4D" w:rsidP="00274C0A">
            <w:pPr>
              <w:pStyle w:val="FootnoteText1"/>
              <w:jc w:val="right"/>
              <w:rPr>
                <w:i w:val="0"/>
                <w:sz w:val="20"/>
                <w:szCs w:val="20"/>
                <w:lang w:val="en-GB"/>
              </w:rPr>
            </w:pPr>
            <w:r w:rsidRPr="000724A3">
              <w:rPr>
                <w:i w:val="0"/>
                <w:sz w:val="20"/>
                <w:szCs w:val="20"/>
                <w:lang w:val="en-GB"/>
              </w:rPr>
              <w:t>9,720</w:t>
            </w:r>
          </w:p>
        </w:tc>
        <w:tc>
          <w:tcPr>
            <w:tcW w:w="2160" w:type="dxa"/>
          </w:tcPr>
          <w:p w14:paraId="2636D2F3" w14:textId="64134830" w:rsidR="00982A4D" w:rsidRPr="000724A3" w:rsidRDefault="00982A4D" w:rsidP="00274C0A">
            <w:pPr>
              <w:pStyle w:val="FootnoteText1"/>
              <w:jc w:val="right"/>
              <w:rPr>
                <w:i w:val="0"/>
                <w:sz w:val="20"/>
                <w:szCs w:val="20"/>
                <w:lang w:val="en-GB"/>
              </w:rPr>
            </w:pPr>
            <w:r w:rsidRPr="000724A3">
              <w:rPr>
                <w:i w:val="0"/>
                <w:sz w:val="20"/>
                <w:szCs w:val="20"/>
                <w:lang w:val="en-GB"/>
              </w:rPr>
              <w:t>22,540</w:t>
            </w:r>
          </w:p>
        </w:tc>
        <w:tc>
          <w:tcPr>
            <w:tcW w:w="2430" w:type="dxa"/>
          </w:tcPr>
          <w:p w14:paraId="20477624" w14:textId="77777777" w:rsidR="00982A4D" w:rsidRPr="000724A3" w:rsidRDefault="00982A4D" w:rsidP="00274C0A">
            <w:pPr>
              <w:pStyle w:val="FootnoteText1"/>
              <w:jc w:val="right"/>
              <w:rPr>
                <w:i w:val="0"/>
                <w:sz w:val="20"/>
                <w:szCs w:val="20"/>
                <w:lang w:val="en-GB"/>
              </w:rPr>
            </w:pPr>
            <w:r w:rsidRPr="000724A3">
              <w:rPr>
                <w:i w:val="0"/>
                <w:sz w:val="20"/>
                <w:szCs w:val="20"/>
                <w:lang w:val="en-GB"/>
              </w:rPr>
              <w:t>1.53%</w:t>
            </w:r>
          </w:p>
        </w:tc>
      </w:tr>
      <w:tr w:rsidR="00982A4D" w:rsidRPr="000724A3" w14:paraId="24B2C7FF" w14:textId="77777777" w:rsidTr="00175622">
        <w:tc>
          <w:tcPr>
            <w:tcW w:w="1435" w:type="dxa"/>
          </w:tcPr>
          <w:p w14:paraId="484CEB6B" w14:textId="77777777" w:rsidR="00982A4D" w:rsidRPr="000724A3" w:rsidRDefault="00982A4D" w:rsidP="00274C0A">
            <w:pPr>
              <w:pStyle w:val="FootnoteText1"/>
              <w:jc w:val="left"/>
              <w:rPr>
                <w:i w:val="0"/>
                <w:sz w:val="20"/>
                <w:szCs w:val="20"/>
                <w:lang w:val="en-GB"/>
              </w:rPr>
            </w:pPr>
            <w:r w:rsidRPr="000724A3">
              <w:rPr>
                <w:i w:val="0"/>
                <w:sz w:val="20"/>
                <w:szCs w:val="20"/>
                <w:lang w:val="en-GB"/>
              </w:rPr>
              <w:t>Colombia</w:t>
            </w:r>
          </w:p>
        </w:tc>
        <w:tc>
          <w:tcPr>
            <w:tcW w:w="1350" w:type="dxa"/>
          </w:tcPr>
          <w:p w14:paraId="49F03160" w14:textId="77777777" w:rsidR="00982A4D" w:rsidRPr="000724A3" w:rsidRDefault="00175622" w:rsidP="00274C0A">
            <w:pPr>
              <w:pStyle w:val="FootnoteText1"/>
              <w:jc w:val="right"/>
              <w:rPr>
                <w:i w:val="0"/>
                <w:sz w:val="20"/>
                <w:szCs w:val="20"/>
                <w:lang w:val="en-GB"/>
              </w:rPr>
            </w:pPr>
            <w:r w:rsidRPr="000724A3">
              <w:rPr>
                <w:i w:val="0"/>
                <w:sz w:val="20"/>
                <w:szCs w:val="20"/>
                <w:lang w:val="en-GB"/>
              </w:rPr>
              <w:t>49</w:t>
            </w:r>
            <w:r w:rsidR="00BE51D1" w:rsidRPr="000724A3">
              <w:rPr>
                <w:i w:val="0"/>
                <w:sz w:val="20"/>
                <w:szCs w:val="20"/>
                <w:lang w:val="en-GB"/>
              </w:rPr>
              <w:t>.0</w:t>
            </w:r>
          </w:p>
        </w:tc>
        <w:tc>
          <w:tcPr>
            <w:tcW w:w="1980" w:type="dxa"/>
          </w:tcPr>
          <w:p w14:paraId="1EA310FC" w14:textId="52C53EAA" w:rsidR="00982A4D" w:rsidRPr="000724A3" w:rsidRDefault="00982A4D" w:rsidP="00274C0A">
            <w:pPr>
              <w:pStyle w:val="FootnoteText1"/>
              <w:jc w:val="right"/>
              <w:rPr>
                <w:i w:val="0"/>
                <w:sz w:val="20"/>
                <w:szCs w:val="20"/>
                <w:lang w:val="en-GB"/>
              </w:rPr>
            </w:pPr>
            <w:r w:rsidRPr="000724A3">
              <w:rPr>
                <w:i w:val="0"/>
                <w:sz w:val="20"/>
                <w:szCs w:val="20"/>
                <w:lang w:val="en-GB"/>
              </w:rPr>
              <w:t>6,310</w:t>
            </w:r>
          </w:p>
        </w:tc>
        <w:tc>
          <w:tcPr>
            <w:tcW w:w="2160" w:type="dxa"/>
          </w:tcPr>
          <w:p w14:paraId="70CF569B" w14:textId="7401E8CE" w:rsidR="00982A4D" w:rsidRPr="000724A3" w:rsidRDefault="00982A4D" w:rsidP="00274C0A">
            <w:pPr>
              <w:pStyle w:val="FootnoteText1"/>
              <w:jc w:val="right"/>
              <w:rPr>
                <w:i w:val="0"/>
                <w:sz w:val="20"/>
                <w:szCs w:val="20"/>
                <w:lang w:val="en-GB"/>
              </w:rPr>
            </w:pPr>
            <w:r w:rsidRPr="000724A3">
              <w:rPr>
                <w:i w:val="0"/>
                <w:sz w:val="20"/>
                <w:szCs w:val="20"/>
                <w:lang w:val="en-GB"/>
              </w:rPr>
              <w:t>13,920</w:t>
            </w:r>
          </w:p>
        </w:tc>
        <w:tc>
          <w:tcPr>
            <w:tcW w:w="2430" w:type="dxa"/>
          </w:tcPr>
          <w:p w14:paraId="5D3A67F3" w14:textId="77777777" w:rsidR="00982A4D" w:rsidRPr="000724A3" w:rsidRDefault="00982A4D" w:rsidP="00274C0A">
            <w:pPr>
              <w:pStyle w:val="FootnoteText1"/>
              <w:jc w:val="right"/>
              <w:rPr>
                <w:i w:val="0"/>
                <w:sz w:val="20"/>
                <w:szCs w:val="20"/>
                <w:lang w:val="en-GB"/>
              </w:rPr>
            </w:pPr>
            <w:r w:rsidRPr="000724A3">
              <w:rPr>
                <w:i w:val="0"/>
                <w:sz w:val="20"/>
                <w:szCs w:val="20"/>
                <w:lang w:val="en-GB"/>
              </w:rPr>
              <w:t>3.38%</w:t>
            </w:r>
          </w:p>
        </w:tc>
      </w:tr>
      <w:tr w:rsidR="00982A4D" w:rsidRPr="000724A3" w14:paraId="745A05A8" w14:textId="77777777" w:rsidTr="00175622">
        <w:tc>
          <w:tcPr>
            <w:tcW w:w="1435" w:type="dxa"/>
          </w:tcPr>
          <w:p w14:paraId="79AF38A2" w14:textId="77777777" w:rsidR="00982A4D" w:rsidRPr="000724A3" w:rsidRDefault="00982A4D" w:rsidP="00274C0A">
            <w:pPr>
              <w:pStyle w:val="FootnoteText1"/>
              <w:jc w:val="left"/>
              <w:rPr>
                <w:i w:val="0"/>
                <w:sz w:val="20"/>
                <w:szCs w:val="20"/>
                <w:lang w:val="en-GB"/>
              </w:rPr>
            </w:pPr>
            <w:r w:rsidRPr="000724A3">
              <w:rPr>
                <w:i w:val="0"/>
                <w:sz w:val="20"/>
                <w:szCs w:val="20"/>
                <w:lang w:val="en-GB"/>
              </w:rPr>
              <w:t>Vietnam</w:t>
            </w:r>
          </w:p>
        </w:tc>
        <w:tc>
          <w:tcPr>
            <w:tcW w:w="1350" w:type="dxa"/>
          </w:tcPr>
          <w:p w14:paraId="521C8521" w14:textId="77777777" w:rsidR="00982A4D" w:rsidRPr="000724A3" w:rsidRDefault="00175622" w:rsidP="00274C0A">
            <w:pPr>
              <w:pStyle w:val="FootnoteText1"/>
              <w:jc w:val="right"/>
              <w:rPr>
                <w:i w:val="0"/>
                <w:sz w:val="20"/>
                <w:szCs w:val="20"/>
                <w:lang w:val="en-GB"/>
              </w:rPr>
            </w:pPr>
            <w:r w:rsidRPr="000724A3">
              <w:rPr>
                <w:i w:val="0"/>
                <w:sz w:val="20"/>
                <w:szCs w:val="20"/>
                <w:lang w:val="en-GB"/>
              </w:rPr>
              <w:t>95</w:t>
            </w:r>
            <w:r w:rsidR="00BE51D1" w:rsidRPr="000724A3">
              <w:rPr>
                <w:i w:val="0"/>
                <w:sz w:val="20"/>
                <w:szCs w:val="20"/>
                <w:lang w:val="en-GB"/>
              </w:rPr>
              <w:t>.0</w:t>
            </w:r>
          </w:p>
        </w:tc>
        <w:tc>
          <w:tcPr>
            <w:tcW w:w="1980" w:type="dxa"/>
          </w:tcPr>
          <w:p w14:paraId="2B2C1A95" w14:textId="084D1A01" w:rsidR="00982A4D" w:rsidRPr="000724A3" w:rsidRDefault="00982A4D" w:rsidP="00274C0A">
            <w:pPr>
              <w:pStyle w:val="FootnoteText1"/>
              <w:jc w:val="right"/>
              <w:rPr>
                <w:i w:val="0"/>
                <w:sz w:val="20"/>
                <w:szCs w:val="20"/>
                <w:lang w:val="en-GB"/>
              </w:rPr>
            </w:pPr>
            <w:r w:rsidRPr="000724A3">
              <w:rPr>
                <w:i w:val="0"/>
                <w:sz w:val="20"/>
                <w:szCs w:val="20"/>
                <w:lang w:val="en-GB"/>
              </w:rPr>
              <w:t>2,060</w:t>
            </w:r>
          </w:p>
        </w:tc>
        <w:tc>
          <w:tcPr>
            <w:tcW w:w="2160" w:type="dxa"/>
          </w:tcPr>
          <w:p w14:paraId="56048691" w14:textId="10EB52E3" w:rsidR="00982A4D" w:rsidRPr="000724A3" w:rsidRDefault="00982A4D" w:rsidP="00274C0A">
            <w:pPr>
              <w:pStyle w:val="FootnoteText1"/>
              <w:jc w:val="right"/>
              <w:rPr>
                <w:i w:val="0"/>
                <w:sz w:val="20"/>
                <w:szCs w:val="20"/>
                <w:lang w:val="en-GB"/>
              </w:rPr>
            </w:pPr>
            <w:r w:rsidRPr="000724A3">
              <w:rPr>
                <w:i w:val="0"/>
                <w:sz w:val="20"/>
                <w:szCs w:val="20"/>
                <w:lang w:val="en-GB"/>
              </w:rPr>
              <w:t>6,170</w:t>
            </w:r>
          </w:p>
        </w:tc>
        <w:tc>
          <w:tcPr>
            <w:tcW w:w="2430" w:type="dxa"/>
          </w:tcPr>
          <w:p w14:paraId="06AB4A9C" w14:textId="77777777" w:rsidR="00982A4D" w:rsidRPr="000724A3" w:rsidRDefault="00BB1C20" w:rsidP="00274C0A">
            <w:pPr>
              <w:pStyle w:val="FootnoteText1"/>
              <w:jc w:val="right"/>
              <w:rPr>
                <w:i w:val="0"/>
                <w:sz w:val="20"/>
                <w:szCs w:val="20"/>
                <w:lang w:val="en-GB"/>
              </w:rPr>
            </w:pPr>
            <w:r w:rsidRPr="000724A3">
              <w:rPr>
                <w:i w:val="0"/>
                <w:sz w:val="20"/>
                <w:szCs w:val="20"/>
                <w:lang w:val="en-GB"/>
              </w:rPr>
              <w:t>6.52%</w:t>
            </w:r>
          </w:p>
        </w:tc>
      </w:tr>
    </w:tbl>
    <w:p w14:paraId="3C97E6B5" w14:textId="77777777" w:rsidR="00ED2FBD" w:rsidRPr="000724A3" w:rsidRDefault="00ED2FBD" w:rsidP="00982A4D">
      <w:pPr>
        <w:pStyle w:val="BodyText"/>
        <w:rPr>
          <w:lang w:val="en-GB"/>
        </w:rPr>
      </w:pPr>
    </w:p>
    <w:p w14:paraId="2A7A7E27" w14:textId="4A4021DC" w:rsidR="00231CF1" w:rsidRPr="000724A3" w:rsidRDefault="00231CF1" w:rsidP="00D57CE2">
      <w:pPr>
        <w:pStyle w:val="BodyText"/>
        <w:spacing w:after="0"/>
        <w:jc w:val="both"/>
        <w:rPr>
          <w:rFonts w:ascii="Arial" w:hAnsi="Arial" w:cs="Arial"/>
          <w:sz w:val="17"/>
          <w:szCs w:val="17"/>
          <w:lang w:val="en-GB"/>
        </w:rPr>
      </w:pPr>
      <w:r w:rsidRPr="000724A3">
        <w:rPr>
          <w:rFonts w:ascii="Arial" w:hAnsi="Arial" w:cs="Arial"/>
          <w:sz w:val="17"/>
          <w:szCs w:val="17"/>
          <w:lang w:val="en-GB"/>
        </w:rPr>
        <w:t xml:space="preserve">Note: GNI = gross national income; PPP = purchasing power parity; GDP = gross domestic product; </w:t>
      </w:r>
      <w:r w:rsidR="00EF647C" w:rsidRPr="000724A3">
        <w:rPr>
          <w:rFonts w:ascii="Arial" w:hAnsi="Arial" w:cs="Arial"/>
          <w:sz w:val="17"/>
          <w:szCs w:val="17"/>
          <w:lang w:val="en-GB"/>
        </w:rPr>
        <w:t>*</w:t>
      </w:r>
      <w:r w:rsidR="00ED2FBD" w:rsidRPr="000724A3">
        <w:rPr>
          <w:rFonts w:ascii="Arial" w:hAnsi="Arial" w:cs="Arial"/>
          <w:sz w:val="17"/>
          <w:szCs w:val="17"/>
          <w:lang w:val="en-GB"/>
        </w:rPr>
        <w:t xml:space="preserve">GNI per capita refers to the </w:t>
      </w:r>
      <w:r w:rsidR="00662C90" w:rsidRPr="000724A3">
        <w:rPr>
          <w:rFonts w:ascii="Arial" w:hAnsi="Arial" w:cs="Arial"/>
          <w:sz w:val="17"/>
          <w:szCs w:val="17"/>
          <w:lang w:val="en-GB"/>
        </w:rPr>
        <w:t>dollar value of the country’s final income in a year, divided by its population</w:t>
      </w:r>
      <w:r w:rsidR="00BE51D1" w:rsidRPr="000724A3">
        <w:rPr>
          <w:rFonts w:ascii="Arial" w:hAnsi="Arial" w:cs="Arial"/>
          <w:sz w:val="17"/>
          <w:szCs w:val="17"/>
          <w:lang w:val="en-GB"/>
        </w:rPr>
        <w:t xml:space="preserve">; </w:t>
      </w:r>
      <w:r w:rsidRPr="000724A3">
        <w:rPr>
          <w:rFonts w:ascii="Arial" w:hAnsi="Arial" w:cs="Arial"/>
          <w:sz w:val="17"/>
          <w:szCs w:val="17"/>
          <w:lang w:val="en-GB"/>
        </w:rPr>
        <w:t>**PPP GNI refers to GNI converted to international dollars using PPP rates</w:t>
      </w:r>
      <w:r w:rsidR="00BE51D1" w:rsidRPr="000724A3">
        <w:rPr>
          <w:rFonts w:ascii="Arial" w:hAnsi="Arial" w:cs="Arial"/>
          <w:sz w:val="17"/>
          <w:szCs w:val="17"/>
          <w:lang w:val="en-GB"/>
        </w:rPr>
        <w:t xml:space="preserve">; </w:t>
      </w:r>
      <w:r w:rsidRPr="000724A3">
        <w:rPr>
          <w:rFonts w:ascii="Arial" w:hAnsi="Arial" w:cs="Arial"/>
          <w:sz w:val="17"/>
          <w:szCs w:val="17"/>
          <w:lang w:val="en-GB"/>
        </w:rPr>
        <w:t xml:space="preserve">An international dollar has the same purchasing power over GNI as a U.S. dollar has in the United States. </w:t>
      </w:r>
    </w:p>
    <w:p w14:paraId="38467430" w14:textId="77777777" w:rsidR="00662C90" w:rsidRPr="000724A3" w:rsidRDefault="00341CC5" w:rsidP="00D57CE2">
      <w:pPr>
        <w:pStyle w:val="Footnote"/>
        <w:rPr>
          <w:lang w:val="en-GB"/>
        </w:rPr>
      </w:pPr>
      <w:r w:rsidRPr="00274C0A">
        <w:rPr>
          <w:i w:val="0"/>
          <w:lang w:val="en-GB"/>
        </w:rPr>
        <w:t xml:space="preserve">Source: </w:t>
      </w:r>
      <w:r w:rsidR="005561D9" w:rsidRPr="00274C0A">
        <w:rPr>
          <w:i w:val="0"/>
          <w:lang w:val="en-GB"/>
        </w:rPr>
        <w:t xml:space="preserve">“GNI per </w:t>
      </w:r>
      <w:r w:rsidR="00231CF1" w:rsidRPr="000724A3">
        <w:rPr>
          <w:i w:val="0"/>
          <w:lang w:val="en-GB"/>
        </w:rPr>
        <w:t>C</w:t>
      </w:r>
      <w:r w:rsidR="005561D9" w:rsidRPr="00274C0A">
        <w:rPr>
          <w:i w:val="0"/>
          <w:lang w:val="en-GB"/>
        </w:rPr>
        <w:t xml:space="preserve">apita, Atlas </w:t>
      </w:r>
      <w:r w:rsidR="00231CF1" w:rsidRPr="000724A3">
        <w:rPr>
          <w:i w:val="0"/>
          <w:lang w:val="en-GB"/>
        </w:rPr>
        <w:t>M</w:t>
      </w:r>
      <w:r w:rsidR="005561D9" w:rsidRPr="00274C0A">
        <w:rPr>
          <w:i w:val="0"/>
          <w:lang w:val="en-GB"/>
        </w:rPr>
        <w:t>ethod (</w:t>
      </w:r>
      <w:r w:rsidR="00231CF1" w:rsidRPr="000724A3">
        <w:rPr>
          <w:i w:val="0"/>
          <w:lang w:val="en-GB"/>
        </w:rPr>
        <w:t>C</w:t>
      </w:r>
      <w:r w:rsidR="005561D9" w:rsidRPr="00274C0A">
        <w:rPr>
          <w:i w:val="0"/>
          <w:lang w:val="en-GB"/>
        </w:rPr>
        <w:t xml:space="preserve">urrent US$),” The World Bank, 2018, accessed June 15, 2018, </w:t>
      </w:r>
      <w:hyperlink r:id="rId9" w:history="1">
        <w:r w:rsidR="00231CF1" w:rsidRPr="000724A3">
          <w:rPr>
            <w:rStyle w:val="FootnoteChar"/>
            <w:lang w:val="en-GB"/>
          </w:rPr>
          <w:t>https://data.worldbank.org/indicator/NY.GNP.PCAP.CD</w:t>
        </w:r>
      </w:hyperlink>
      <w:r w:rsidR="00231CF1" w:rsidRPr="00274C0A">
        <w:rPr>
          <w:i w:val="0"/>
          <w:lang w:val="en-GB"/>
        </w:rPr>
        <w:t xml:space="preserve">; </w:t>
      </w:r>
      <w:r w:rsidRPr="00274C0A">
        <w:rPr>
          <w:i w:val="0"/>
          <w:lang w:val="en-GB"/>
        </w:rPr>
        <w:t xml:space="preserve">“GNI per </w:t>
      </w:r>
      <w:r w:rsidR="00231CF1" w:rsidRPr="00274C0A">
        <w:rPr>
          <w:i w:val="0"/>
          <w:lang w:val="en-GB"/>
        </w:rPr>
        <w:t>C</w:t>
      </w:r>
      <w:r w:rsidRPr="00274C0A">
        <w:rPr>
          <w:i w:val="0"/>
          <w:lang w:val="en-GB"/>
        </w:rPr>
        <w:t>apita, PPP (</w:t>
      </w:r>
      <w:r w:rsidR="00231CF1" w:rsidRPr="00274C0A">
        <w:rPr>
          <w:i w:val="0"/>
          <w:lang w:val="en-GB"/>
        </w:rPr>
        <w:t>C</w:t>
      </w:r>
      <w:r w:rsidRPr="00274C0A">
        <w:rPr>
          <w:i w:val="0"/>
          <w:lang w:val="en-GB"/>
        </w:rPr>
        <w:t xml:space="preserve">urrent </w:t>
      </w:r>
      <w:r w:rsidR="00231CF1" w:rsidRPr="00274C0A">
        <w:rPr>
          <w:i w:val="0"/>
          <w:lang w:val="en-GB"/>
        </w:rPr>
        <w:t>I</w:t>
      </w:r>
      <w:r w:rsidRPr="00274C0A">
        <w:rPr>
          <w:i w:val="0"/>
          <w:lang w:val="en-GB"/>
        </w:rPr>
        <w:t>nternational $) – Country Ranking,” indexmundi, 2016, accessed June 15, 2018,</w:t>
      </w:r>
      <w:r w:rsidRPr="000724A3">
        <w:rPr>
          <w:lang w:val="en-GB"/>
        </w:rPr>
        <w:t xml:space="preserve"> </w:t>
      </w:r>
      <w:hyperlink r:id="rId10" w:history="1">
        <w:r w:rsidR="00231CF1" w:rsidRPr="000724A3">
          <w:rPr>
            <w:rStyle w:val="FootnoteChar"/>
            <w:lang w:val="en-GB"/>
          </w:rPr>
          <w:t>https://www.indexmundi.com/facts/indicators/NY.GNP.PCAP.PP.CD</w:t>
        </w:r>
      </w:hyperlink>
      <w:r w:rsidR="00231CF1" w:rsidRPr="000724A3">
        <w:rPr>
          <w:lang w:val="en-GB"/>
        </w:rPr>
        <w:t xml:space="preserve">; </w:t>
      </w:r>
      <w:r w:rsidR="005561D9" w:rsidRPr="000724A3">
        <w:rPr>
          <w:i w:val="0"/>
          <w:lang w:val="en-GB"/>
        </w:rPr>
        <w:t xml:space="preserve">“Real GDP Growth,” International Monetary Fund, 2018, accessed June 15, 2018, </w:t>
      </w:r>
      <w:r w:rsidR="005561D9" w:rsidRPr="000724A3">
        <w:rPr>
          <w:i w:val="0"/>
          <w:shd w:val="clear" w:color="auto" w:fill="FFFFFF"/>
          <w:lang w:val="en-GB"/>
        </w:rPr>
        <w:t>www.imf.org/external/datamapper/NGDP_RPCH@WEO/OEMDC/ADVEC/WEOWORLD/GHA</w:t>
      </w:r>
      <w:r w:rsidR="00231CF1" w:rsidRPr="000724A3">
        <w:rPr>
          <w:i w:val="0"/>
          <w:shd w:val="clear" w:color="auto" w:fill="FFFFFF"/>
          <w:lang w:val="en-GB"/>
        </w:rPr>
        <w:t>.</w:t>
      </w:r>
    </w:p>
    <w:p w14:paraId="01E41D00" w14:textId="77777777" w:rsidR="00982A4D" w:rsidRPr="000724A3" w:rsidRDefault="00982A4D" w:rsidP="00982A4D">
      <w:pPr>
        <w:pStyle w:val="BodyText"/>
        <w:rPr>
          <w:lang w:val="en-GB"/>
        </w:rPr>
      </w:pPr>
      <w:r w:rsidRPr="000724A3">
        <w:rPr>
          <w:lang w:val="en-GB"/>
        </w:rPr>
        <w:br w:type="page"/>
      </w:r>
    </w:p>
    <w:p w14:paraId="27392806" w14:textId="77777777" w:rsidR="00982A4D" w:rsidRPr="000724A3" w:rsidRDefault="00175622" w:rsidP="00982A4D">
      <w:pPr>
        <w:pStyle w:val="FootnoteText1"/>
        <w:jc w:val="center"/>
        <w:rPr>
          <w:b/>
          <w:i w:val="0"/>
          <w:sz w:val="20"/>
          <w:szCs w:val="20"/>
          <w:lang w:val="en-GB"/>
        </w:rPr>
      </w:pPr>
      <w:r w:rsidRPr="000724A3">
        <w:rPr>
          <w:b/>
          <w:i w:val="0"/>
          <w:sz w:val="20"/>
          <w:szCs w:val="20"/>
          <w:lang w:val="en-GB"/>
        </w:rPr>
        <w:lastRenderedPageBreak/>
        <w:t>EXHIBIT 3: MARKET SELECTION</w:t>
      </w:r>
      <w:r w:rsidR="00D10753" w:rsidRPr="000724A3">
        <w:rPr>
          <w:b/>
          <w:i w:val="0"/>
          <w:sz w:val="20"/>
          <w:szCs w:val="20"/>
          <w:lang w:val="en-GB"/>
        </w:rPr>
        <w:t>—</w:t>
      </w:r>
      <w:r w:rsidR="00982A4D" w:rsidRPr="000724A3">
        <w:rPr>
          <w:b/>
          <w:i w:val="0"/>
          <w:sz w:val="20"/>
          <w:szCs w:val="20"/>
          <w:lang w:val="en-GB"/>
        </w:rPr>
        <w:t>MAJOR POLITICAL, LEGAL</w:t>
      </w:r>
      <w:r w:rsidR="00D10753" w:rsidRPr="000724A3">
        <w:rPr>
          <w:b/>
          <w:i w:val="0"/>
          <w:sz w:val="20"/>
          <w:szCs w:val="20"/>
          <w:lang w:val="en-GB"/>
        </w:rPr>
        <w:t>,</w:t>
      </w:r>
      <w:r w:rsidR="00982A4D" w:rsidRPr="000724A3">
        <w:rPr>
          <w:b/>
          <w:i w:val="0"/>
          <w:sz w:val="20"/>
          <w:szCs w:val="20"/>
          <w:lang w:val="en-GB"/>
        </w:rPr>
        <w:t xml:space="preserve"> AND COMMERCIAL CHARACTERISTICS</w:t>
      </w:r>
    </w:p>
    <w:p w14:paraId="56C1294D" w14:textId="77777777" w:rsidR="00982A4D" w:rsidRPr="000724A3" w:rsidRDefault="00982A4D" w:rsidP="00982A4D">
      <w:pPr>
        <w:pStyle w:val="BodyText"/>
        <w:jc w:val="center"/>
        <w:rPr>
          <w:rFonts w:ascii="Arial" w:hAnsi="Arial" w:cs="Arial"/>
          <w:lang w:val="en-GB"/>
        </w:rPr>
      </w:pPr>
    </w:p>
    <w:tbl>
      <w:tblPr>
        <w:tblStyle w:val="TableGrid"/>
        <w:tblW w:w="0" w:type="auto"/>
        <w:tblLook w:val="04A0" w:firstRow="1" w:lastRow="0" w:firstColumn="1" w:lastColumn="0" w:noHBand="0" w:noVBand="1"/>
      </w:tblPr>
      <w:tblGrid>
        <w:gridCol w:w="1705"/>
        <w:gridCol w:w="2520"/>
        <w:gridCol w:w="2430"/>
        <w:gridCol w:w="2695"/>
      </w:tblGrid>
      <w:tr w:rsidR="00BB1C20" w:rsidRPr="000724A3" w14:paraId="56B06C46" w14:textId="77777777" w:rsidTr="00E3375F">
        <w:tc>
          <w:tcPr>
            <w:tcW w:w="1705" w:type="dxa"/>
            <w:vAlign w:val="center"/>
          </w:tcPr>
          <w:p w14:paraId="4B5A4584" w14:textId="77777777" w:rsidR="00BB1C20" w:rsidRPr="000724A3" w:rsidRDefault="00BB1C20" w:rsidP="00E3375F">
            <w:pPr>
              <w:pStyle w:val="BodyText"/>
              <w:jc w:val="center"/>
              <w:rPr>
                <w:rFonts w:ascii="Arial" w:hAnsi="Arial" w:cs="Arial"/>
                <w:b/>
                <w:lang w:val="en-GB"/>
              </w:rPr>
            </w:pPr>
            <w:r w:rsidRPr="000724A3">
              <w:rPr>
                <w:rFonts w:ascii="Arial" w:hAnsi="Arial" w:cs="Arial"/>
                <w:b/>
                <w:lang w:val="en-GB"/>
              </w:rPr>
              <w:t>Country</w:t>
            </w:r>
          </w:p>
        </w:tc>
        <w:tc>
          <w:tcPr>
            <w:tcW w:w="2520" w:type="dxa"/>
            <w:vAlign w:val="center"/>
          </w:tcPr>
          <w:p w14:paraId="6129AAEC" w14:textId="1B16AA7F" w:rsidR="00BB1C20" w:rsidRPr="000724A3" w:rsidRDefault="00BB1C20" w:rsidP="00E3375F">
            <w:pPr>
              <w:pStyle w:val="BodyText"/>
              <w:jc w:val="center"/>
              <w:rPr>
                <w:rFonts w:ascii="Arial" w:hAnsi="Arial" w:cs="Arial"/>
                <w:b/>
                <w:lang w:val="en-GB"/>
              </w:rPr>
            </w:pPr>
            <w:r w:rsidRPr="000724A3">
              <w:rPr>
                <w:rFonts w:ascii="Arial" w:hAnsi="Arial" w:cs="Arial"/>
                <w:b/>
                <w:lang w:val="en-GB"/>
              </w:rPr>
              <w:t>Political System</w:t>
            </w:r>
            <w:r w:rsidR="00175622" w:rsidRPr="000724A3">
              <w:rPr>
                <w:rFonts w:ascii="Arial" w:hAnsi="Arial" w:cs="Arial"/>
                <w:b/>
                <w:lang w:val="en-GB"/>
              </w:rPr>
              <w:t xml:space="preserve">: </w:t>
            </w:r>
            <w:r w:rsidR="004B3B94" w:rsidRPr="000724A3">
              <w:rPr>
                <w:rFonts w:ascii="Arial" w:hAnsi="Arial" w:cs="Arial"/>
                <w:b/>
                <w:lang w:val="en-GB"/>
              </w:rPr>
              <w:t>Voice and Accountability (</w:t>
            </w:r>
            <w:r w:rsidR="00D10753" w:rsidRPr="000724A3">
              <w:rPr>
                <w:rFonts w:ascii="Arial" w:hAnsi="Arial" w:cs="Arial"/>
                <w:b/>
                <w:lang w:val="en-GB"/>
              </w:rPr>
              <w:t>−</w:t>
            </w:r>
            <w:r w:rsidR="004B3B94" w:rsidRPr="000724A3">
              <w:rPr>
                <w:rFonts w:ascii="Arial" w:hAnsi="Arial" w:cs="Arial"/>
                <w:b/>
                <w:lang w:val="en-GB"/>
              </w:rPr>
              <w:t>2.5 to +2.5)</w:t>
            </w:r>
            <w:r w:rsidR="00EF647C" w:rsidRPr="000724A3">
              <w:rPr>
                <w:rFonts w:ascii="Arial" w:hAnsi="Arial" w:cs="Arial"/>
                <w:b/>
                <w:lang w:val="en-GB"/>
              </w:rPr>
              <w:t>*</w:t>
            </w:r>
          </w:p>
        </w:tc>
        <w:tc>
          <w:tcPr>
            <w:tcW w:w="2430" w:type="dxa"/>
            <w:vAlign w:val="center"/>
          </w:tcPr>
          <w:p w14:paraId="168F1500" w14:textId="77777777" w:rsidR="00BB1C20" w:rsidRPr="000724A3" w:rsidRDefault="00BB1C20" w:rsidP="00E3375F">
            <w:pPr>
              <w:pStyle w:val="BodyText"/>
              <w:jc w:val="center"/>
              <w:rPr>
                <w:rFonts w:ascii="Arial" w:hAnsi="Arial" w:cs="Arial"/>
                <w:b/>
                <w:lang w:val="en-GB"/>
              </w:rPr>
            </w:pPr>
            <w:r w:rsidRPr="000724A3">
              <w:rPr>
                <w:rFonts w:ascii="Arial" w:hAnsi="Arial" w:cs="Arial"/>
                <w:b/>
                <w:lang w:val="en-GB"/>
              </w:rPr>
              <w:t>Legal System</w:t>
            </w:r>
            <w:r w:rsidR="004B3B94" w:rsidRPr="000724A3">
              <w:rPr>
                <w:rFonts w:ascii="Arial" w:hAnsi="Arial" w:cs="Arial"/>
                <w:b/>
                <w:lang w:val="en-GB"/>
              </w:rPr>
              <w:t>: Rule of Law (0</w:t>
            </w:r>
            <w:r w:rsidR="00D10753" w:rsidRPr="000724A3">
              <w:rPr>
                <w:rFonts w:ascii="Arial" w:hAnsi="Arial" w:cs="Arial"/>
                <w:b/>
                <w:lang w:val="en-GB"/>
              </w:rPr>
              <w:t>–</w:t>
            </w:r>
            <w:r w:rsidR="004B3B94" w:rsidRPr="000724A3">
              <w:rPr>
                <w:rFonts w:ascii="Arial" w:hAnsi="Arial" w:cs="Arial"/>
                <w:b/>
                <w:lang w:val="en-GB"/>
              </w:rPr>
              <w:t>1)</w:t>
            </w:r>
            <w:r w:rsidR="00EF647C" w:rsidRPr="000724A3">
              <w:rPr>
                <w:rFonts w:ascii="Arial" w:hAnsi="Arial" w:cs="Arial"/>
                <w:b/>
                <w:lang w:val="en-GB"/>
              </w:rPr>
              <w:t>**</w:t>
            </w:r>
          </w:p>
        </w:tc>
        <w:tc>
          <w:tcPr>
            <w:tcW w:w="2695" w:type="dxa"/>
            <w:vAlign w:val="center"/>
          </w:tcPr>
          <w:p w14:paraId="0A255EBF" w14:textId="77777777" w:rsidR="00BB1C20" w:rsidRPr="000724A3" w:rsidRDefault="00BB1C20" w:rsidP="00E3375F">
            <w:pPr>
              <w:pStyle w:val="BodyText"/>
              <w:jc w:val="center"/>
              <w:rPr>
                <w:rFonts w:ascii="Arial" w:hAnsi="Arial" w:cs="Arial"/>
                <w:b/>
                <w:lang w:val="en-GB"/>
              </w:rPr>
            </w:pPr>
            <w:r w:rsidRPr="000724A3">
              <w:rPr>
                <w:rFonts w:ascii="Arial" w:hAnsi="Arial" w:cs="Arial"/>
                <w:b/>
                <w:lang w:val="en-GB"/>
              </w:rPr>
              <w:t>Commercial System</w:t>
            </w:r>
            <w:r w:rsidR="004B3B94" w:rsidRPr="000724A3">
              <w:rPr>
                <w:rFonts w:ascii="Arial" w:hAnsi="Arial" w:cs="Arial"/>
                <w:b/>
                <w:lang w:val="en-GB"/>
              </w:rPr>
              <w:t>: Ease of Doing Business (1–190)</w:t>
            </w:r>
            <w:r w:rsidR="00EF647C" w:rsidRPr="000724A3">
              <w:rPr>
                <w:rFonts w:ascii="Arial" w:hAnsi="Arial" w:cs="Arial"/>
                <w:b/>
                <w:lang w:val="en-GB"/>
              </w:rPr>
              <w:t>***</w:t>
            </w:r>
          </w:p>
        </w:tc>
      </w:tr>
      <w:tr w:rsidR="00BB1C20" w:rsidRPr="000724A3" w14:paraId="77983D51" w14:textId="77777777" w:rsidTr="00175622">
        <w:tc>
          <w:tcPr>
            <w:tcW w:w="1705" w:type="dxa"/>
          </w:tcPr>
          <w:p w14:paraId="49369DAF" w14:textId="77777777" w:rsidR="00BB1C20" w:rsidRPr="000724A3" w:rsidRDefault="00BB1C20" w:rsidP="00E3375F">
            <w:pPr>
              <w:pStyle w:val="BodyText"/>
              <w:jc w:val="center"/>
              <w:rPr>
                <w:rFonts w:ascii="Arial" w:hAnsi="Arial" w:cs="Arial"/>
                <w:lang w:val="en-GB"/>
              </w:rPr>
            </w:pPr>
            <w:r w:rsidRPr="000724A3">
              <w:rPr>
                <w:rFonts w:ascii="Arial" w:hAnsi="Arial" w:cs="Arial"/>
                <w:lang w:val="en-GB"/>
              </w:rPr>
              <w:t>Egypt</w:t>
            </w:r>
          </w:p>
        </w:tc>
        <w:tc>
          <w:tcPr>
            <w:tcW w:w="2520" w:type="dxa"/>
          </w:tcPr>
          <w:p w14:paraId="4F4C1DC3" w14:textId="77777777" w:rsidR="00BB1C20" w:rsidRPr="000724A3" w:rsidRDefault="00D10753" w:rsidP="00E3375F">
            <w:pPr>
              <w:pStyle w:val="BodyText"/>
              <w:ind w:right="162"/>
              <w:jc w:val="center"/>
              <w:rPr>
                <w:rFonts w:ascii="Arial" w:hAnsi="Arial" w:cs="Arial"/>
                <w:lang w:val="en-GB"/>
              </w:rPr>
            </w:pPr>
            <w:r w:rsidRPr="000724A3">
              <w:rPr>
                <w:rFonts w:ascii="Arial" w:hAnsi="Arial" w:cs="Arial"/>
                <w:lang w:val="en-GB"/>
              </w:rPr>
              <w:t>−</w:t>
            </w:r>
            <w:r w:rsidR="00BB1C20" w:rsidRPr="000724A3">
              <w:rPr>
                <w:rFonts w:ascii="Arial" w:hAnsi="Arial" w:cs="Arial"/>
                <w:lang w:val="en-GB"/>
              </w:rPr>
              <w:t>1.23</w:t>
            </w:r>
          </w:p>
        </w:tc>
        <w:tc>
          <w:tcPr>
            <w:tcW w:w="2430" w:type="dxa"/>
          </w:tcPr>
          <w:p w14:paraId="361E9DDA"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0.36</w:t>
            </w:r>
          </w:p>
        </w:tc>
        <w:tc>
          <w:tcPr>
            <w:tcW w:w="2695" w:type="dxa"/>
          </w:tcPr>
          <w:p w14:paraId="4F9A9022"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128</w:t>
            </w:r>
          </w:p>
        </w:tc>
      </w:tr>
      <w:tr w:rsidR="00BB1C20" w:rsidRPr="000724A3" w14:paraId="75908BA6" w14:textId="77777777" w:rsidTr="00E3375F">
        <w:trPr>
          <w:trHeight w:val="233"/>
        </w:trPr>
        <w:tc>
          <w:tcPr>
            <w:tcW w:w="1705" w:type="dxa"/>
          </w:tcPr>
          <w:p w14:paraId="26754BE1" w14:textId="77777777" w:rsidR="00BB1C20" w:rsidRPr="000724A3" w:rsidRDefault="00BB1C20" w:rsidP="00E3375F">
            <w:pPr>
              <w:pStyle w:val="BodyText"/>
              <w:jc w:val="center"/>
              <w:rPr>
                <w:rFonts w:ascii="Arial" w:hAnsi="Arial" w:cs="Arial"/>
                <w:lang w:val="en-GB"/>
              </w:rPr>
            </w:pPr>
            <w:r w:rsidRPr="000724A3">
              <w:rPr>
                <w:rFonts w:ascii="Arial" w:hAnsi="Arial" w:cs="Arial"/>
                <w:lang w:val="en-GB"/>
              </w:rPr>
              <w:t>South Africa</w:t>
            </w:r>
          </w:p>
        </w:tc>
        <w:tc>
          <w:tcPr>
            <w:tcW w:w="2520" w:type="dxa"/>
          </w:tcPr>
          <w:p w14:paraId="7CECCF86" w14:textId="22AA2845" w:rsidR="00BB1C20" w:rsidRPr="000724A3" w:rsidRDefault="00E3375F" w:rsidP="00E3375F">
            <w:pPr>
              <w:pStyle w:val="BodyText"/>
              <w:ind w:right="162"/>
              <w:jc w:val="center"/>
              <w:rPr>
                <w:rFonts w:ascii="Arial" w:hAnsi="Arial" w:cs="Arial"/>
                <w:lang w:val="en-GB"/>
              </w:rPr>
            </w:pPr>
            <w:r>
              <w:rPr>
                <w:rFonts w:ascii="Arial" w:hAnsi="Arial" w:cs="Arial"/>
                <w:lang w:val="en-GB"/>
              </w:rPr>
              <w:t xml:space="preserve">  </w:t>
            </w:r>
            <w:r w:rsidR="00BB1C20" w:rsidRPr="000724A3">
              <w:rPr>
                <w:rFonts w:ascii="Arial" w:hAnsi="Arial" w:cs="Arial"/>
                <w:lang w:val="en-GB"/>
              </w:rPr>
              <w:t>0.64</w:t>
            </w:r>
          </w:p>
        </w:tc>
        <w:tc>
          <w:tcPr>
            <w:tcW w:w="2430" w:type="dxa"/>
          </w:tcPr>
          <w:p w14:paraId="23E25140"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0.59</w:t>
            </w:r>
          </w:p>
        </w:tc>
        <w:tc>
          <w:tcPr>
            <w:tcW w:w="2695" w:type="dxa"/>
          </w:tcPr>
          <w:p w14:paraId="3C53CA9C"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82</w:t>
            </w:r>
          </w:p>
        </w:tc>
      </w:tr>
      <w:tr w:rsidR="00BB1C20" w:rsidRPr="000724A3" w14:paraId="6CA29088" w14:textId="77777777" w:rsidTr="00175622">
        <w:tc>
          <w:tcPr>
            <w:tcW w:w="1705" w:type="dxa"/>
          </w:tcPr>
          <w:p w14:paraId="454A5C5C" w14:textId="77777777" w:rsidR="00BB1C20" w:rsidRPr="000724A3" w:rsidRDefault="00BB1C20" w:rsidP="00E3375F">
            <w:pPr>
              <w:pStyle w:val="BodyText"/>
              <w:jc w:val="center"/>
              <w:rPr>
                <w:rFonts w:ascii="Arial" w:hAnsi="Arial" w:cs="Arial"/>
                <w:lang w:val="en-GB"/>
              </w:rPr>
            </w:pPr>
            <w:r w:rsidRPr="000724A3">
              <w:rPr>
                <w:rFonts w:ascii="Arial" w:hAnsi="Arial" w:cs="Arial"/>
                <w:lang w:val="en-GB"/>
              </w:rPr>
              <w:t>Ghana</w:t>
            </w:r>
          </w:p>
        </w:tc>
        <w:tc>
          <w:tcPr>
            <w:tcW w:w="2520" w:type="dxa"/>
          </w:tcPr>
          <w:p w14:paraId="50C61568" w14:textId="74D79C34" w:rsidR="00BB1C20" w:rsidRPr="000724A3" w:rsidRDefault="00E3375F" w:rsidP="00E3375F">
            <w:pPr>
              <w:pStyle w:val="BodyText"/>
              <w:ind w:right="162"/>
              <w:jc w:val="center"/>
              <w:rPr>
                <w:rFonts w:ascii="Arial" w:hAnsi="Arial" w:cs="Arial"/>
                <w:lang w:val="en-GB"/>
              </w:rPr>
            </w:pPr>
            <w:r>
              <w:rPr>
                <w:rFonts w:ascii="Arial" w:hAnsi="Arial" w:cs="Arial"/>
                <w:lang w:val="en-GB"/>
              </w:rPr>
              <w:t xml:space="preserve">  </w:t>
            </w:r>
            <w:r w:rsidR="00BB1C20" w:rsidRPr="000724A3">
              <w:rPr>
                <w:rFonts w:ascii="Arial" w:hAnsi="Arial" w:cs="Arial"/>
                <w:lang w:val="en-GB"/>
              </w:rPr>
              <w:t>0.64</w:t>
            </w:r>
          </w:p>
        </w:tc>
        <w:tc>
          <w:tcPr>
            <w:tcW w:w="2430" w:type="dxa"/>
          </w:tcPr>
          <w:p w14:paraId="5A300468"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0.59</w:t>
            </w:r>
          </w:p>
        </w:tc>
        <w:tc>
          <w:tcPr>
            <w:tcW w:w="2695" w:type="dxa"/>
          </w:tcPr>
          <w:p w14:paraId="7F25EA83"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120</w:t>
            </w:r>
          </w:p>
        </w:tc>
      </w:tr>
      <w:tr w:rsidR="00BB1C20" w:rsidRPr="000724A3" w14:paraId="21157FED" w14:textId="77777777" w:rsidTr="00175622">
        <w:tc>
          <w:tcPr>
            <w:tcW w:w="1705" w:type="dxa"/>
          </w:tcPr>
          <w:p w14:paraId="338FB5CE" w14:textId="77777777" w:rsidR="00BB1C20" w:rsidRPr="000724A3" w:rsidRDefault="00BB1C20" w:rsidP="00E3375F">
            <w:pPr>
              <w:pStyle w:val="BodyText"/>
              <w:jc w:val="center"/>
              <w:rPr>
                <w:rFonts w:ascii="Arial" w:hAnsi="Arial" w:cs="Arial"/>
                <w:lang w:val="en-GB"/>
              </w:rPr>
            </w:pPr>
            <w:r w:rsidRPr="000724A3">
              <w:rPr>
                <w:rFonts w:ascii="Arial" w:hAnsi="Arial" w:cs="Arial"/>
                <w:lang w:val="en-GB"/>
              </w:rPr>
              <w:t>Kenya</w:t>
            </w:r>
          </w:p>
        </w:tc>
        <w:tc>
          <w:tcPr>
            <w:tcW w:w="2520" w:type="dxa"/>
          </w:tcPr>
          <w:p w14:paraId="2B3E782E" w14:textId="77777777" w:rsidR="00BB1C20" w:rsidRPr="000724A3" w:rsidRDefault="00D10753" w:rsidP="00E3375F">
            <w:pPr>
              <w:pStyle w:val="BodyText"/>
              <w:ind w:right="162"/>
              <w:jc w:val="center"/>
              <w:rPr>
                <w:rFonts w:ascii="Arial" w:hAnsi="Arial" w:cs="Arial"/>
                <w:lang w:val="en-GB"/>
              </w:rPr>
            </w:pPr>
            <w:r w:rsidRPr="000724A3">
              <w:rPr>
                <w:rFonts w:ascii="Arial" w:hAnsi="Arial" w:cs="Arial"/>
                <w:lang w:val="en-GB"/>
              </w:rPr>
              <w:t>−</w:t>
            </w:r>
            <w:r w:rsidR="00BB1C20" w:rsidRPr="000724A3">
              <w:rPr>
                <w:rFonts w:ascii="Arial" w:hAnsi="Arial" w:cs="Arial"/>
                <w:lang w:val="en-GB"/>
              </w:rPr>
              <w:t>0.15</w:t>
            </w:r>
          </w:p>
        </w:tc>
        <w:tc>
          <w:tcPr>
            <w:tcW w:w="2430" w:type="dxa"/>
          </w:tcPr>
          <w:p w14:paraId="1695361C"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0.45</w:t>
            </w:r>
          </w:p>
        </w:tc>
        <w:tc>
          <w:tcPr>
            <w:tcW w:w="2695" w:type="dxa"/>
          </w:tcPr>
          <w:p w14:paraId="754988E4"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80</w:t>
            </w:r>
          </w:p>
        </w:tc>
      </w:tr>
      <w:tr w:rsidR="00BB1C20" w:rsidRPr="000724A3" w14:paraId="2FE24E45" w14:textId="77777777" w:rsidTr="00175622">
        <w:tc>
          <w:tcPr>
            <w:tcW w:w="1705" w:type="dxa"/>
          </w:tcPr>
          <w:p w14:paraId="50D96C8E" w14:textId="77777777" w:rsidR="00BB1C20" w:rsidRPr="000724A3" w:rsidRDefault="00BB1C20" w:rsidP="00E3375F">
            <w:pPr>
              <w:pStyle w:val="BodyText"/>
              <w:jc w:val="center"/>
              <w:rPr>
                <w:rFonts w:ascii="Arial" w:hAnsi="Arial" w:cs="Arial"/>
                <w:lang w:val="en-GB"/>
              </w:rPr>
            </w:pPr>
            <w:r w:rsidRPr="000724A3">
              <w:rPr>
                <w:rFonts w:ascii="Arial" w:hAnsi="Arial" w:cs="Arial"/>
                <w:lang w:val="en-GB"/>
              </w:rPr>
              <w:t>India</w:t>
            </w:r>
          </w:p>
        </w:tc>
        <w:tc>
          <w:tcPr>
            <w:tcW w:w="2520" w:type="dxa"/>
          </w:tcPr>
          <w:p w14:paraId="40266C09" w14:textId="0E907F7D" w:rsidR="00BB1C20" w:rsidRPr="000724A3" w:rsidRDefault="00E3375F" w:rsidP="00E3375F">
            <w:pPr>
              <w:pStyle w:val="BodyText"/>
              <w:ind w:right="162"/>
              <w:jc w:val="center"/>
              <w:rPr>
                <w:rFonts w:ascii="Arial" w:hAnsi="Arial" w:cs="Arial"/>
                <w:lang w:val="en-GB"/>
              </w:rPr>
            </w:pPr>
            <w:r>
              <w:rPr>
                <w:rFonts w:ascii="Arial" w:hAnsi="Arial" w:cs="Arial"/>
                <w:lang w:val="en-GB"/>
              </w:rPr>
              <w:t xml:space="preserve">  </w:t>
            </w:r>
            <w:r w:rsidR="00BB1C20" w:rsidRPr="000724A3">
              <w:rPr>
                <w:rFonts w:ascii="Arial" w:hAnsi="Arial" w:cs="Arial"/>
                <w:lang w:val="en-GB"/>
              </w:rPr>
              <w:t>0.41</w:t>
            </w:r>
          </w:p>
        </w:tc>
        <w:tc>
          <w:tcPr>
            <w:tcW w:w="2430" w:type="dxa"/>
          </w:tcPr>
          <w:p w14:paraId="1D0B770E"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0.52</w:t>
            </w:r>
          </w:p>
        </w:tc>
        <w:tc>
          <w:tcPr>
            <w:tcW w:w="2695" w:type="dxa"/>
          </w:tcPr>
          <w:p w14:paraId="5BE30922"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100</w:t>
            </w:r>
          </w:p>
        </w:tc>
      </w:tr>
      <w:tr w:rsidR="00BB1C20" w:rsidRPr="000724A3" w14:paraId="61A7888D" w14:textId="77777777" w:rsidTr="00175622">
        <w:tc>
          <w:tcPr>
            <w:tcW w:w="1705" w:type="dxa"/>
          </w:tcPr>
          <w:p w14:paraId="17E17CA5" w14:textId="77777777" w:rsidR="00BB1C20" w:rsidRPr="000724A3" w:rsidRDefault="00BB1C20" w:rsidP="00E3375F">
            <w:pPr>
              <w:pStyle w:val="BodyText"/>
              <w:jc w:val="center"/>
              <w:rPr>
                <w:rFonts w:ascii="Arial" w:hAnsi="Arial" w:cs="Arial"/>
                <w:lang w:val="en-GB"/>
              </w:rPr>
            </w:pPr>
            <w:r w:rsidRPr="000724A3">
              <w:rPr>
                <w:rFonts w:ascii="Arial" w:hAnsi="Arial" w:cs="Arial"/>
                <w:lang w:val="en-GB"/>
              </w:rPr>
              <w:t>Russia</w:t>
            </w:r>
          </w:p>
        </w:tc>
        <w:tc>
          <w:tcPr>
            <w:tcW w:w="2520" w:type="dxa"/>
          </w:tcPr>
          <w:p w14:paraId="407775AC" w14:textId="77777777" w:rsidR="00BB1C20" w:rsidRPr="000724A3" w:rsidRDefault="00D10753" w:rsidP="00E3375F">
            <w:pPr>
              <w:pStyle w:val="BodyText"/>
              <w:ind w:right="162"/>
              <w:jc w:val="center"/>
              <w:rPr>
                <w:rFonts w:ascii="Arial" w:hAnsi="Arial" w:cs="Arial"/>
                <w:lang w:val="en-GB"/>
              </w:rPr>
            </w:pPr>
            <w:r w:rsidRPr="000724A3">
              <w:rPr>
                <w:rFonts w:ascii="Arial" w:hAnsi="Arial" w:cs="Arial"/>
                <w:lang w:val="en-GB"/>
              </w:rPr>
              <w:t>−</w:t>
            </w:r>
            <w:r w:rsidR="00BB1C20" w:rsidRPr="000724A3">
              <w:rPr>
                <w:rFonts w:ascii="Arial" w:hAnsi="Arial" w:cs="Arial"/>
                <w:lang w:val="en-GB"/>
              </w:rPr>
              <w:t>1.21</w:t>
            </w:r>
          </w:p>
        </w:tc>
        <w:tc>
          <w:tcPr>
            <w:tcW w:w="2430" w:type="dxa"/>
          </w:tcPr>
          <w:p w14:paraId="41EA1602"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0.47</w:t>
            </w:r>
          </w:p>
        </w:tc>
        <w:tc>
          <w:tcPr>
            <w:tcW w:w="2695" w:type="dxa"/>
          </w:tcPr>
          <w:p w14:paraId="4C5B325A"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35</w:t>
            </w:r>
          </w:p>
        </w:tc>
      </w:tr>
      <w:tr w:rsidR="00BB1C20" w:rsidRPr="000724A3" w14:paraId="30AE86D4" w14:textId="77777777" w:rsidTr="00175622">
        <w:tc>
          <w:tcPr>
            <w:tcW w:w="1705" w:type="dxa"/>
          </w:tcPr>
          <w:p w14:paraId="732E6B9A" w14:textId="77777777" w:rsidR="00BB1C20" w:rsidRPr="000724A3" w:rsidRDefault="00BB1C20" w:rsidP="00E3375F">
            <w:pPr>
              <w:pStyle w:val="BodyText"/>
              <w:jc w:val="center"/>
              <w:rPr>
                <w:rFonts w:ascii="Arial" w:hAnsi="Arial" w:cs="Arial"/>
                <w:lang w:val="en-GB"/>
              </w:rPr>
            </w:pPr>
            <w:r w:rsidRPr="000724A3">
              <w:rPr>
                <w:rFonts w:ascii="Arial" w:hAnsi="Arial" w:cs="Arial"/>
                <w:lang w:val="en-GB"/>
              </w:rPr>
              <w:t>Colombia</w:t>
            </w:r>
          </w:p>
        </w:tc>
        <w:tc>
          <w:tcPr>
            <w:tcW w:w="2520" w:type="dxa"/>
          </w:tcPr>
          <w:p w14:paraId="56E2DFBD" w14:textId="587796FB" w:rsidR="00BB1C20" w:rsidRPr="000724A3" w:rsidRDefault="00E3375F" w:rsidP="00E3375F">
            <w:pPr>
              <w:pStyle w:val="BodyText"/>
              <w:ind w:right="162"/>
              <w:jc w:val="center"/>
              <w:rPr>
                <w:rFonts w:ascii="Arial" w:hAnsi="Arial" w:cs="Arial"/>
                <w:lang w:val="en-GB"/>
              </w:rPr>
            </w:pPr>
            <w:r>
              <w:rPr>
                <w:rFonts w:ascii="Arial" w:hAnsi="Arial" w:cs="Arial"/>
                <w:lang w:val="en-GB"/>
              </w:rPr>
              <w:t xml:space="preserve">  </w:t>
            </w:r>
            <w:r w:rsidR="00BB1C20" w:rsidRPr="000724A3">
              <w:rPr>
                <w:rFonts w:ascii="Arial" w:hAnsi="Arial" w:cs="Arial"/>
                <w:lang w:val="en-GB"/>
              </w:rPr>
              <w:t>0.10</w:t>
            </w:r>
          </w:p>
        </w:tc>
        <w:tc>
          <w:tcPr>
            <w:tcW w:w="2430" w:type="dxa"/>
          </w:tcPr>
          <w:p w14:paraId="58AE4BF9"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0.50</w:t>
            </w:r>
          </w:p>
        </w:tc>
        <w:tc>
          <w:tcPr>
            <w:tcW w:w="2695" w:type="dxa"/>
          </w:tcPr>
          <w:p w14:paraId="31A56207"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59</w:t>
            </w:r>
          </w:p>
        </w:tc>
      </w:tr>
      <w:tr w:rsidR="00BB1C20" w:rsidRPr="000724A3" w14:paraId="0C2741B0" w14:textId="77777777" w:rsidTr="00175622">
        <w:tc>
          <w:tcPr>
            <w:tcW w:w="1705" w:type="dxa"/>
          </w:tcPr>
          <w:p w14:paraId="32773627" w14:textId="77777777" w:rsidR="00BB1C20" w:rsidRPr="000724A3" w:rsidRDefault="00BB1C20" w:rsidP="00E3375F">
            <w:pPr>
              <w:pStyle w:val="BodyText"/>
              <w:jc w:val="center"/>
              <w:rPr>
                <w:rFonts w:ascii="Arial" w:hAnsi="Arial" w:cs="Arial"/>
                <w:lang w:val="en-GB"/>
              </w:rPr>
            </w:pPr>
            <w:r w:rsidRPr="000724A3">
              <w:rPr>
                <w:rFonts w:ascii="Arial" w:hAnsi="Arial" w:cs="Arial"/>
                <w:lang w:val="en-GB"/>
              </w:rPr>
              <w:t>Vietnam</w:t>
            </w:r>
          </w:p>
        </w:tc>
        <w:tc>
          <w:tcPr>
            <w:tcW w:w="2520" w:type="dxa"/>
          </w:tcPr>
          <w:p w14:paraId="2265466B" w14:textId="77777777" w:rsidR="00BB1C20" w:rsidRPr="000724A3" w:rsidRDefault="00D10753" w:rsidP="00E3375F">
            <w:pPr>
              <w:pStyle w:val="BodyText"/>
              <w:ind w:right="162"/>
              <w:jc w:val="center"/>
              <w:rPr>
                <w:rFonts w:ascii="Arial" w:hAnsi="Arial" w:cs="Arial"/>
                <w:lang w:val="en-GB"/>
              </w:rPr>
            </w:pPr>
            <w:r w:rsidRPr="000724A3">
              <w:rPr>
                <w:rFonts w:ascii="Arial" w:hAnsi="Arial" w:cs="Arial"/>
                <w:lang w:val="en-GB"/>
              </w:rPr>
              <w:t>−</w:t>
            </w:r>
            <w:r w:rsidR="00BB1C20" w:rsidRPr="000724A3">
              <w:rPr>
                <w:rFonts w:ascii="Arial" w:hAnsi="Arial" w:cs="Arial"/>
                <w:lang w:val="en-GB"/>
              </w:rPr>
              <w:t>1.41</w:t>
            </w:r>
          </w:p>
        </w:tc>
        <w:tc>
          <w:tcPr>
            <w:tcW w:w="2430" w:type="dxa"/>
          </w:tcPr>
          <w:p w14:paraId="224B3EF4"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0.50</w:t>
            </w:r>
          </w:p>
        </w:tc>
        <w:tc>
          <w:tcPr>
            <w:tcW w:w="2695" w:type="dxa"/>
          </w:tcPr>
          <w:p w14:paraId="3BBAE671" w14:textId="77777777" w:rsidR="00BB1C20" w:rsidRPr="000724A3" w:rsidRDefault="00BB1C20" w:rsidP="00E3375F">
            <w:pPr>
              <w:pStyle w:val="BodyText"/>
              <w:ind w:right="162"/>
              <w:jc w:val="center"/>
              <w:rPr>
                <w:rFonts w:ascii="Arial" w:hAnsi="Arial" w:cs="Arial"/>
                <w:lang w:val="en-GB"/>
              </w:rPr>
            </w:pPr>
            <w:r w:rsidRPr="000724A3">
              <w:rPr>
                <w:rFonts w:ascii="Arial" w:hAnsi="Arial" w:cs="Arial"/>
                <w:lang w:val="en-GB"/>
              </w:rPr>
              <w:t>68</w:t>
            </w:r>
          </w:p>
        </w:tc>
      </w:tr>
    </w:tbl>
    <w:p w14:paraId="590FBF19" w14:textId="77777777" w:rsidR="00BB1C20" w:rsidRPr="000724A3" w:rsidRDefault="00BB1C20" w:rsidP="00175622">
      <w:pPr>
        <w:pStyle w:val="BodyText"/>
        <w:spacing w:after="0"/>
        <w:jc w:val="center"/>
        <w:rPr>
          <w:rFonts w:ascii="Arial" w:hAnsi="Arial" w:cs="Arial"/>
          <w:lang w:val="en-GB"/>
        </w:rPr>
      </w:pPr>
    </w:p>
    <w:p w14:paraId="4C230AD5" w14:textId="77777777" w:rsidR="00D10753" w:rsidRPr="000724A3" w:rsidRDefault="00D10753" w:rsidP="00D10753">
      <w:pPr>
        <w:pStyle w:val="BodyText"/>
        <w:spacing w:after="0"/>
        <w:jc w:val="both"/>
        <w:rPr>
          <w:rFonts w:ascii="Arial" w:hAnsi="Arial" w:cs="Arial"/>
          <w:sz w:val="17"/>
          <w:szCs w:val="17"/>
          <w:lang w:val="en-GB"/>
        </w:rPr>
      </w:pPr>
      <w:r w:rsidRPr="000724A3">
        <w:rPr>
          <w:rFonts w:ascii="Arial" w:hAnsi="Arial" w:cs="Arial"/>
          <w:sz w:val="17"/>
          <w:szCs w:val="17"/>
          <w:lang w:val="en-GB"/>
        </w:rPr>
        <w:t xml:space="preserve">Note: </w:t>
      </w:r>
      <w:r w:rsidR="00EF647C" w:rsidRPr="000724A3">
        <w:rPr>
          <w:rFonts w:ascii="Arial" w:hAnsi="Arial" w:cs="Arial"/>
          <w:sz w:val="17"/>
          <w:szCs w:val="17"/>
          <w:lang w:val="en-GB"/>
        </w:rPr>
        <w:t>*</w:t>
      </w:r>
      <w:r w:rsidR="00C135AD" w:rsidRPr="000724A3">
        <w:rPr>
          <w:rFonts w:ascii="Arial" w:hAnsi="Arial" w:cs="Arial"/>
          <w:sz w:val="17"/>
          <w:szCs w:val="17"/>
          <w:lang w:val="en-GB"/>
        </w:rPr>
        <w:t>Voice and Accountability: This captures the extent to which citizens of a country are able to participate in the selection o</w:t>
      </w:r>
      <w:r w:rsidRPr="000724A3">
        <w:rPr>
          <w:rFonts w:ascii="Arial" w:hAnsi="Arial" w:cs="Arial"/>
          <w:sz w:val="17"/>
          <w:szCs w:val="17"/>
          <w:lang w:val="en-GB"/>
        </w:rPr>
        <w:t>f</w:t>
      </w:r>
      <w:r w:rsidR="00C135AD" w:rsidRPr="000724A3">
        <w:rPr>
          <w:rFonts w:ascii="Arial" w:hAnsi="Arial" w:cs="Arial"/>
          <w:sz w:val="17"/>
          <w:szCs w:val="17"/>
          <w:lang w:val="en-GB"/>
        </w:rPr>
        <w:t xml:space="preserve"> its government, as well as freedom of expression, freedom of association</w:t>
      </w:r>
      <w:r w:rsidRPr="000724A3">
        <w:rPr>
          <w:rFonts w:ascii="Arial" w:hAnsi="Arial" w:cs="Arial"/>
          <w:sz w:val="17"/>
          <w:szCs w:val="17"/>
          <w:lang w:val="en-GB"/>
        </w:rPr>
        <w:t>,</w:t>
      </w:r>
      <w:r w:rsidR="00C135AD" w:rsidRPr="000724A3">
        <w:rPr>
          <w:rFonts w:ascii="Arial" w:hAnsi="Arial" w:cs="Arial"/>
          <w:sz w:val="17"/>
          <w:szCs w:val="17"/>
          <w:lang w:val="en-GB"/>
        </w:rPr>
        <w:t xml:space="preserve"> and a free media. Voice and Accountability</w:t>
      </w:r>
      <w:r w:rsidR="00E4706E" w:rsidRPr="000724A3">
        <w:rPr>
          <w:rFonts w:ascii="Arial" w:hAnsi="Arial" w:cs="Arial"/>
          <w:sz w:val="17"/>
          <w:szCs w:val="17"/>
          <w:lang w:val="en-GB"/>
        </w:rPr>
        <w:t xml:space="preserve"> is measured using an index that ranges from </w:t>
      </w:r>
      <w:r w:rsidRPr="000724A3">
        <w:rPr>
          <w:rFonts w:ascii="Arial" w:hAnsi="Arial" w:cs="Arial"/>
          <w:sz w:val="17"/>
          <w:szCs w:val="17"/>
          <w:lang w:val="en-GB"/>
        </w:rPr>
        <w:t>−</w:t>
      </w:r>
      <w:r w:rsidR="00E4706E" w:rsidRPr="000724A3">
        <w:rPr>
          <w:rFonts w:ascii="Arial" w:hAnsi="Arial" w:cs="Arial"/>
          <w:sz w:val="17"/>
          <w:szCs w:val="17"/>
          <w:lang w:val="en-GB"/>
        </w:rPr>
        <w:t xml:space="preserve">2.5 to +2.5. A score of </w:t>
      </w:r>
      <w:r w:rsidRPr="000724A3">
        <w:rPr>
          <w:rFonts w:ascii="Arial" w:hAnsi="Arial" w:cs="Arial"/>
          <w:sz w:val="17"/>
          <w:szCs w:val="17"/>
          <w:lang w:val="en-GB"/>
        </w:rPr>
        <w:t>−</w:t>
      </w:r>
      <w:r w:rsidR="00E4706E" w:rsidRPr="000724A3">
        <w:rPr>
          <w:rFonts w:ascii="Arial" w:hAnsi="Arial" w:cs="Arial"/>
          <w:sz w:val="17"/>
          <w:szCs w:val="17"/>
          <w:lang w:val="en-GB"/>
        </w:rPr>
        <w:t>2.5 reflects the lowest possible Voice and Accountability score, while a score of +2.5 reflects the highest possible Voice and Accountability score</w:t>
      </w:r>
      <w:r w:rsidR="00D90DA3" w:rsidRPr="000724A3">
        <w:rPr>
          <w:rFonts w:ascii="Arial" w:hAnsi="Arial" w:cs="Arial"/>
          <w:sz w:val="17"/>
          <w:szCs w:val="17"/>
          <w:lang w:val="en-GB"/>
        </w:rPr>
        <w:t>;</w:t>
      </w:r>
      <w:r w:rsidR="00341CC5" w:rsidRPr="000724A3">
        <w:rPr>
          <w:rFonts w:ascii="Arial" w:hAnsi="Arial" w:cs="Arial"/>
          <w:sz w:val="17"/>
          <w:szCs w:val="17"/>
          <w:lang w:val="en-GB"/>
        </w:rPr>
        <w:t xml:space="preserve"> </w:t>
      </w:r>
      <w:r w:rsidRPr="000724A3">
        <w:rPr>
          <w:rFonts w:ascii="Arial" w:hAnsi="Arial" w:cs="Arial"/>
          <w:sz w:val="17"/>
          <w:szCs w:val="17"/>
          <w:lang w:val="en-GB"/>
        </w:rPr>
        <w:t>**Rule of Law: Rule of Law measures the extent to which people obey the rules of society. Rule of Law is measured on a scale from 0 to 1, where 0 represents the weakest adherence to the rule of law, while 1 represents the highest adherence to the rule of law</w:t>
      </w:r>
      <w:r w:rsidR="00D90DA3" w:rsidRPr="000724A3">
        <w:rPr>
          <w:rFonts w:ascii="Arial" w:hAnsi="Arial" w:cs="Arial"/>
          <w:sz w:val="17"/>
          <w:szCs w:val="17"/>
          <w:lang w:val="en-GB"/>
        </w:rPr>
        <w:t>;</w:t>
      </w:r>
      <w:r w:rsidRPr="000724A3">
        <w:rPr>
          <w:rFonts w:ascii="Arial" w:hAnsi="Arial" w:cs="Arial"/>
          <w:sz w:val="17"/>
          <w:szCs w:val="17"/>
          <w:lang w:val="en-GB"/>
        </w:rPr>
        <w:t xml:space="preserve"> ***Ease of Doing Business: This is defined as the extent to which the regulatory environment is conducive to starting and operating a business. Ease of Doing Business is measured on a ranking system from 1 to 190. A lower number reflects a higher ease of doing business, while a higher number reflects a lower ease of doing business.</w:t>
      </w:r>
    </w:p>
    <w:p w14:paraId="776364AB" w14:textId="6CBDAEC2" w:rsidR="00341CC5" w:rsidRPr="000724A3" w:rsidRDefault="00341CC5" w:rsidP="00D57CE2">
      <w:pPr>
        <w:pStyle w:val="BodyText"/>
        <w:spacing w:after="0"/>
        <w:jc w:val="both"/>
        <w:rPr>
          <w:rFonts w:ascii="Arial" w:hAnsi="Arial" w:cs="Arial"/>
          <w:sz w:val="17"/>
          <w:szCs w:val="17"/>
          <w:lang w:val="en-GB"/>
        </w:rPr>
      </w:pPr>
      <w:r w:rsidRPr="000724A3">
        <w:rPr>
          <w:rFonts w:ascii="Arial" w:hAnsi="Arial" w:cs="Arial"/>
          <w:sz w:val="17"/>
          <w:szCs w:val="17"/>
          <w:lang w:val="en-GB"/>
        </w:rPr>
        <w:t xml:space="preserve">Source: “Voice and </w:t>
      </w:r>
      <w:r w:rsidR="00D10753" w:rsidRPr="000724A3">
        <w:rPr>
          <w:rFonts w:ascii="Arial" w:hAnsi="Arial" w:cs="Arial"/>
          <w:sz w:val="17"/>
          <w:szCs w:val="17"/>
          <w:lang w:val="en-GB"/>
        </w:rPr>
        <w:t>A</w:t>
      </w:r>
      <w:r w:rsidRPr="000724A3">
        <w:rPr>
          <w:rFonts w:ascii="Arial" w:hAnsi="Arial" w:cs="Arial"/>
          <w:sz w:val="17"/>
          <w:szCs w:val="17"/>
          <w:lang w:val="en-GB"/>
        </w:rPr>
        <w:t xml:space="preserve">ccountability – </w:t>
      </w:r>
      <w:r w:rsidR="00D10753" w:rsidRPr="000724A3">
        <w:rPr>
          <w:rFonts w:ascii="Arial" w:hAnsi="Arial" w:cs="Arial"/>
          <w:sz w:val="17"/>
          <w:szCs w:val="17"/>
          <w:lang w:val="en-GB"/>
        </w:rPr>
        <w:t>C</w:t>
      </w:r>
      <w:r w:rsidRPr="000724A3">
        <w:rPr>
          <w:rFonts w:ascii="Arial" w:hAnsi="Arial" w:cs="Arial"/>
          <w:sz w:val="17"/>
          <w:szCs w:val="17"/>
          <w:lang w:val="en-GB"/>
        </w:rPr>
        <w:t xml:space="preserve">ountry </w:t>
      </w:r>
      <w:r w:rsidR="00D10753" w:rsidRPr="000724A3">
        <w:rPr>
          <w:rFonts w:ascii="Arial" w:hAnsi="Arial" w:cs="Arial"/>
          <w:sz w:val="17"/>
          <w:szCs w:val="17"/>
          <w:lang w:val="en-GB"/>
        </w:rPr>
        <w:t>R</w:t>
      </w:r>
      <w:r w:rsidRPr="000724A3">
        <w:rPr>
          <w:rFonts w:ascii="Arial" w:hAnsi="Arial" w:cs="Arial"/>
          <w:sz w:val="17"/>
          <w:szCs w:val="17"/>
          <w:lang w:val="en-GB"/>
        </w:rPr>
        <w:t xml:space="preserve">ankings,” The Global Economy, 2016, accessed June 15, 2018, </w:t>
      </w:r>
      <w:hyperlink r:id="rId11" w:history="1">
        <w:r w:rsidR="00D90DA3" w:rsidRPr="000724A3">
          <w:rPr>
            <w:rStyle w:val="FootnoteChar"/>
            <w:i w:val="0"/>
            <w:lang w:val="en-GB"/>
          </w:rPr>
          <w:t>https://www.theglobaleconomy.com/rankings/wb_voice_accountability/</w:t>
        </w:r>
      </w:hyperlink>
      <w:r w:rsidR="00D10753" w:rsidRPr="000724A3">
        <w:rPr>
          <w:rFonts w:ascii="Arial" w:hAnsi="Arial" w:cs="Arial"/>
          <w:sz w:val="17"/>
          <w:szCs w:val="17"/>
          <w:lang w:val="en-GB"/>
        </w:rPr>
        <w:t>;</w:t>
      </w:r>
      <w:r w:rsidR="00D90DA3" w:rsidRPr="000724A3">
        <w:rPr>
          <w:rFonts w:ascii="Arial" w:hAnsi="Arial" w:cs="Arial"/>
          <w:sz w:val="17"/>
          <w:szCs w:val="17"/>
          <w:lang w:val="en-GB"/>
        </w:rPr>
        <w:t xml:space="preserve"> </w:t>
      </w:r>
      <w:r w:rsidR="00BE51D1" w:rsidRPr="000724A3">
        <w:rPr>
          <w:rFonts w:ascii="Arial" w:hAnsi="Arial" w:cs="Arial"/>
          <w:sz w:val="17"/>
          <w:szCs w:val="17"/>
          <w:lang w:val="en-GB"/>
        </w:rPr>
        <w:t xml:space="preserve">World Justice Project, </w:t>
      </w:r>
      <w:r w:rsidRPr="00274C0A">
        <w:rPr>
          <w:rFonts w:ascii="Arial" w:hAnsi="Arial" w:cs="Arial"/>
          <w:i/>
          <w:sz w:val="17"/>
          <w:szCs w:val="17"/>
          <w:lang w:val="en-GB"/>
        </w:rPr>
        <w:t>World Justice Project Rule of Law Index, 2017</w:t>
      </w:r>
      <w:r w:rsidR="00D10753" w:rsidRPr="00274C0A">
        <w:rPr>
          <w:rFonts w:ascii="Arial" w:hAnsi="Arial" w:cs="Arial"/>
          <w:i/>
          <w:sz w:val="17"/>
          <w:szCs w:val="17"/>
          <w:lang w:val="en-GB"/>
        </w:rPr>
        <w:t>–</w:t>
      </w:r>
      <w:r w:rsidRPr="00274C0A">
        <w:rPr>
          <w:rFonts w:ascii="Arial" w:hAnsi="Arial" w:cs="Arial"/>
          <w:i/>
          <w:sz w:val="17"/>
          <w:szCs w:val="17"/>
          <w:lang w:val="en-GB"/>
        </w:rPr>
        <w:t>2018</w:t>
      </w:r>
      <w:r w:rsidRPr="000724A3">
        <w:rPr>
          <w:rFonts w:ascii="Arial" w:hAnsi="Arial" w:cs="Arial"/>
          <w:sz w:val="17"/>
          <w:szCs w:val="17"/>
          <w:lang w:val="en-GB"/>
        </w:rPr>
        <w:t xml:space="preserve">, accessed June 15, 2018, </w:t>
      </w:r>
      <w:hyperlink r:id="rId12" w:history="1">
        <w:r w:rsidR="00D10753" w:rsidRPr="000724A3">
          <w:rPr>
            <w:rStyle w:val="FootnoteChar"/>
            <w:i w:val="0"/>
            <w:lang w:val="en-GB"/>
          </w:rPr>
          <w:t>https://worldjusticeproject.org/sites/default/files/documents/WJP-ROLI-2018-June-Online-Edition_0.pdf</w:t>
        </w:r>
      </w:hyperlink>
      <w:r w:rsidR="00D10753" w:rsidRPr="000724A3">
        <w:rPr>
          <w:rFonts w:ascii="Arial" w:hAnsi="Arial" w:cs="Arial"/>
          <w:sz w:val="17"/>
          <w:szCs w:val="17"/>
          <w:lang w:val="en-GB"/>
        </w:rPr>
        <w:t xml:space="preserve">; </w:t>
      </w:r>
      <w:r w:rsidRPr="000724A3">
        <w:rPr>
          <w:rFonts w:ascii="Arial" w:hAnsi="Arial" w:cs="Arial"/>
          <w:sz w:val="17"/>
          <w:szCs w:val="17"/>
          <w:lang w:val="en-GB"/>
        </w:rPr>
        <w:t>“Doing Business – Economy Rankings,” The World Bank, 2017, accessed June 15, 2018, www.doingbusiness.org/rankings.</w:t>
      </w:r>
    </w:p>
    <w:p w14:paraId="3B19E56A" w14:textId="77777777" w:rsidR="00961E8B" w:rsidRPr="000724A3" w:rsidRDefault="00961E8B" w:rsidP="00982A4D">
      <w:pPr>
        <w:pStyle w:val="FootnoteText1"/>
        <w:jc w:val="center"/>
        <w:rPr>
          <w:i w:val="0"/>
          <w:lang w:val="en-GB"/>
        </w:rPr>
      </w:pPr>
      <w:r w:rsidRPr="000724A3">
        <w:rPr>
          <w:i w:val="0"/>
          <w:lang w:val="en-GB"/>
        </w:rPr>
        <w:br w:type="page"/>
      </w:r>
    </w:p>
    <w:p w14:paraId="6B82DF8F" w14:textId="77777777" w:rsidR="00C966C3" w:rsidRPr="000724A3" w:rsidRDefault="00961E8B" w:rsidP="00961E8B">
      <w:pPr>
        <w:pStyle w:val="Casehead1"/>
        <w:rPr>
          <w:lang w:val="en-GB"/>
        </w:rPr>
      </w:pPr>
      <w:r w:rsidRPr="000724A3">
        <w:rPr>
          <w:lang w:val="en-GB"/>
        </w:rPr>
        <w:lastRenderedPageBreak/>
        <w:t>endnotes</w:t>
      </w:r>
    </w:p>
    <w:sectPr w:rsidR="00C966C3" w:rsidRPr="000724A3" w:rsidSect="003A20A1">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EB8EB" w14:textId="77777777" w:rsidR="00573BBB" w:rsidRDefault="00573BBB" w:rsidP="00D75295">
      <w:r>
        <w:separator/>
      </w:r>
    </w:p>
  </w:endnote>
  <w:endnote w:type="continuationSeparator" w:id="0">
    <w:p w14:paraId="79C01F3E" w14:textId="77777777" w:rsidR="00573BBB" w:rsidRDefault="00573BBB" w:rsidP="00D75295">
      <w:r>
        <w:continuationSeparator/>
      </w:r>
    </w:p>
  </w:endnote>
  <w:endnote w:id="1">
    <w:p w14:paraId="59A90544" w14:textId="59C7121E" w:rsidR="00083D70" w:rsidRPr="00274C0A" w:rsidRDefault="00083D70" w:rsidP="00AC1142">
      <w:pPr>
        <w:pStyle w:val="Footnote"/>
        <w:rPr>
          <w:i w:val="0"/>
          <w:color w:val="000000" w:themeColor="text1"/>
        </w:rPr>
      </w:pPr>
      <w:r w:rsidRPr="00AC1142">
        <w:rPr>
          <w:rStyle w:val="EndnoteReference"/>
          <w:i w:val="0"/>
        </w:rPr>
        <w:endnoteRef/>
      </w:r>
      <w:r w:rsidRPr="00AC1142">
        <w:rPr>
          <w:i w:val="0"/>
        </w:rPr>
        <w:t xml:space="preserve"> This case has been writ</w:t>
      </w:r>
      <w:r w:rsidRPr="00274C0A">
        <w:rPr>
          <w:i w:val="0"/>
          <w:color w:val="000000" w:themeColor="text1"/>
        </w:rPr>
        <w:t>ten on the basis of published sources only. Consequently, the interpretation and perspectives presented in this case are not necessarily those of Wendy’s or any of its employees.</w:t>
      </w:r>
    </w:p>
  </w:endnote>
  <w:endnote w:id="2">
    <w:p w14:paraId="79CA8591" w14:textId="77777777" w:rsidR="0063702F" w:rsidRPr="00274C0A" w:rsidRDefault="0063702F" w:rsidP="0063702F">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“Number of Wendy’s Restaurants Worldwide from 2011 to 2017, by Mode of Operation,” Statista, 2018, accessed May 8, 2018, https://www.statista.com/statistics/221967/number-of-wendys-restaurants/.</w:t>
      </w:r>
    </w:p>
  </w:endnote>
  <w:endnote w:id="3">
    <w:p w14:paraId="1A8690EE" w14:textId="6E37B89A"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spacing w:val="-2"/>
        </w:rPr>
        <w:t xml:space="preserve">“The Wendy’s Story,” Wendy’s, accessed January 28, 2018, https://www.wendys.com/en-us/about-wendys/the-wendys-story; </w:t>
      </w:r>
      <w:r w:rsidRPr="00274C0A">
        <w:rPr>
          <w:i w:val="0"/>
          <w:color w:val="000000" w:themeColor="text1"/>
        </w:rPr>
        <w:t>International Directory of Company Histories</w:t>
      </w:r>
      <w:r w:rsidRPr="00274C0A">
        <w:rPr>
          <w:i w:val="0"/>
          <w:color w:val="000000" w:themeColor="text1"/>
          <w:lang w:val="en-CA"/>
        </w:rPr>
        <w:t>, “Wendy’s International, Inc.,” Encyclopedia.com, 2018, accessed January 28, 2018,</w:t>
      </w:r>
      <w:r w:rsidR="00332D76">
        <w:rPr>
          <w:i w:val="0"/>
          <w:color w:val="000000" w:themeColor="text1"/>
          <w:lang w:val="en-CA"/>
        </w:rPr>
        <w:t> </w:t>
      </w:r>
      <w:r w:rsidRPr="00274C0A">
        <w:rPr>
          <w:i w:val="0"/>
          <w:color w:val="000000" w:themeColor="text1"/>
          <w:lang w:val="en-CA"/>
        </w:rPr>
        <w:t>https://www.encyclopedia.com/social-sciences-and-law/economics-business-and-labor/businesses-and-occupations/wendys;</w:t>
      </w:r>
      <w:r w:rsidRPr="00274C0A">
        <w:rPr>
          <w:i w:val="0"/>
          <w:color w:val="000000" w:themeColor="text1"/>
        </w:rPr>
        <w:t xml:space="preserve"> “Number of Wendy’s Restaurants Worldwide from 2011 to 2017, by Mode of Operation,” op. cit.; “Franchise FAQs,” Wendy’s, accessed May 8, 2018, https://www.wendys.com/franchise-faqs.</w:t>
      </w:r>
    </w:p>
  </w:endnote>
  <w:endnote w:id="4">
    <w:p w14:paraId="3772C28B" w14:textId="132D1F23" w:rsidR="00083D70" w:rsidRPr="00274C0A" w:rsidRDefault="00083D70" w:rsidP="00D57CE2">
      <w:pPr>
        <w:pStyle w:val="Footnote"/>
        <w:rPr>
          <w:color w:val="000000" w:themeColor="text1"/>
          <w:lang w:val="en-CA"/>
        </w:rPr>
      </w:pPr>
      <w:r w:rsidRPr="00274C0A">
        <w:rPr>
          <w:rStyle w:val="EndnoteReference"/>
          <w:i w:val="0"/>
          <w:color w:val="000000" w:themeColor="text1"/>
          <w:sz w:val="16"/>
        </w:rPr>
        <w:endnoteRef/>
      </w:r>
      <w:r w:rsidRPr="00274C0A">
        <w:rPr>
          <w:i w:val="0"/>
          <w:color w:val="000000" w:themeColor="text1"/>
        </w:rPr>
        <w:t xml:space="preserve"> </w:t>
      </w:r>
      <w:r w:rsidR="00274C0A" w:rsidRPr="00274C0A">
        <w:rPr>
          <w:i w:val="0"/>
          <w:color w:val="000000" w:themeColor="text1"/>
        </w:rPr>
        <w:t>Ibid.</w:t>
      </w:r>
    </w:p>
  </w:endnote>
  <w:endnote w:id="5">
    <w:p w14:paraId="74FD0E3E" w14:textId="3225DF43"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lang w:val="en-CA"/>
        </w:rPr>
        <w:t xml:space="preserve">“Explore Our Food,” </w:t>
      </w:r>
      <w:r w:rsidRPr="00274C0A">
        <w:rPr>
          <w:i w:val="0"/>
          <w:color w:val="000000" w:themeColor="text1"/>
        </w:rPr>
        <w:t>Wendy’s</w:t>
      </w:r>
      <w:r w:rsidRPr="00274C0A">
        <w:rPr>
          <w:i w:val="0"/>
          <w:color w:val="000000" w:themeColor="text1"/>
          <w:lang w:val="en-CA"/>
        </w:rPr>
        <w:t>, accessed February 2, 2018, https://www.wendys.com/en_US/explore/;</w:t>
      </w:r>
      <w:r w:rsidRPr="00274C0A">
        <w:rPr>
          <w:i w:val="0"/>
          <w:color w:val="000000" w:themeColor="text1"/>
        </w:rPr>
        <w:t xml:space="preserve"> “The Wendy’s Story,” op. cit.; John M. Edwards, “Reality Check: Wendy’s New Hot ‘N Juicy,” Serious Eats, September 30, 2011, accessed May 8, 2018, https://aht.seriouseats.com/2011/09/reality-check-wendys-new-hot-n-juicy-review.html#comments-77434.</w:t>
      </w:r>
    </w:p>
  </w:endnote>
  <w:endnote w:id="6">
    <w:p w14:paraId="593FFB55" w14:textId="2FD9D02E"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spacing w:val="-4"/>
          <w:kern w:val="16"/>
        </w:rPr>
        <w:t xml:space="preserve">Jenn Wohletz, “Wendy’s New Breakfast Menu – Not Quite McDonald’s, but Reason to Rise and Shine,” Westword, August 23, 2012, accessed May 8, 2018, </w:t>
      </w:r>
      <w:hyperlink r:id="rId1" w:history="1">
        <w:r w:rsidRPr="00274C0A">
          <w:rPr>
            <w:rStyle w:val="Hyperlink"/>
            <w:i w:val="0"/>
            <w:color w:val="000000" w:themeColor="text1"/>
            <w:spacing w:val="-4"/>
            <w:kern w:val="16"/>
            <w:u w:val="none"/>
          </w:rPr>
          <w:t>www.westword.com/restaurants/wendys-new-breakfast-menu-not-quite-mcdonalds-but-reason-to-rise-and-shine-5744902</w:t>
        </w:r>
      </w:hyperlink>
      <w:r w:rsidRPr="00274C0A">
        <w:rPr>
          <w:i w:val="0"/>
          <w:color w:val="000000" w:themeColor="text1"/>
        </w:rPr>
        <w:t xml:space="preserve">; Bret Thorn, “Wendy’s Introduces Ciabatta Bacon Cheeseburger,” Nation’s Restaurant News, January 23, 2014, accessed May 8, 2018, </w:t>
      </w:r>
      <w:hyperlink r:id="rId2" w:history="1">
        <w:r w:rsidRPr="00274C0A">
          <w:rPr>
            <w:rStyle w:val="Hyperlink"/>
            <w:i w:val="0"/>
            <w:color w:val="000000" w:themeColor="text1"/>
            <w:u w:val="none"/>
          </w:rPr>
          <w:t>www.nrn.com/food-trends/wendys-introduces-ciabatta-bacon-cheeseburger</w:t>
        </w:r>
      </w:hyperlink>
      <w:r w:rsidRPr="00274C0A">
        <w:rPr>
          <w:i w:val="0"/>
          <w:color w:val="000000" w:themeColor="text1"/>
        </w:rPr>
        <w:t>; Jolinda Hackett, “New Vegan Burgers Available at Wendy’s,” The Spruce Eats, February 15, 2017, accessed May 8, 2018, https://www.thespruceeats.com/vegan-burgers-available-at-wendys-3378499.</w:t>
      </w:r>
    </w:p>
  </w:endnote>
  <w:endnote w:id="7">
    <w:p w14:paraId="0699D90E" w14:textId="77777777"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The Wendy’s Company</w:t>
      </w:r>
      <w:r w:rsidRPr="00274C0A">
        <w:rPr>
          <w:i w:val="0"/>
          <w:color w:val="000000" w:themeColor="text1"/>
          <w:spacing w:val="-4"/>
          <w:kern w:val="16"/>
        </w:rPr>
        <w:t>, “Respect the Bacon: Wendy’s Baconator and New Baconator Fries,” news release, PR Newswire, June 29, 2015, accessed May 8, 2018, https://www.prnewswire.com/news-releases/respect-the-bacon-wendys-baconator-and-new-baconator-fries-300105827.html</w:t>
      </w:r>
      <w:r w:rsidRPr="00274C0A">
        <w:rPr>
          <w:i w:val="0"/>
          <w:color w:val="000000" w:themeColor="text1"/>
        </w:rPr>
        <w:t>.</w:t>
      </w:r>
    </w:p>
  </w:endnote>
  <w:endnote w:id="8">
    <w:p w14:paraId="4AC85A22" w14:textId="7528B833" w:rsidR="00083D70" w:rsidRPr="00274C0A" w:rsidRDefault="00083D70" w:rsidP="00D57CE2">
      <w:pPr>
        <w:pStyle w:val="Footnote"/>
        <w:rPr>
          <w:color w:val="000000" w:themeColor="text1"/>
          <w:lang w:val="en-CA"/>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lang w:val="en-CA"/>
        </w:rPr>
        <w:t xml:space="preserve">Adam Atkinson, “First Wendy’s in Canada Re-opens,” CHCH, July 8, 2016, accessed February 2, 2018, </w:t>
      </w:r>
      <w:hyperlink r:id="rId3" w:history="1">
        <w:r w:rsidRPr="00274C0A">
          <w:rPr>
            <w:rStyle w:val="Hyperlink"/>
            <w:i w:val="0"/>
            <w:color w:val="000000" w:themeColor="text1"/>
            <w:u w:val="none"/>
            <w:lang w:val="en-CA"/>
          </w:rPr>
          <w:t>www.chch.com/first-wendys-canada-re-opens/</w:t>
        </w:r>
      </w:hyperlink>
      <w:r w:rsidRPr="00274C0A">
        <w:rPr>
          <w:i w:val="0"/>
          <w:color w:val="000000" w:themeColor="text1"/>
          <w:lang w:val="en-CA"/>
        </w:rPr>
        <w:t xml:space="preserve">; </w:t>
      </w:r>
      <w:r w:rsidRPr="00274C0A">
        <w:rPr>
          <w:i w:val="0"/>
          <w:color w:val="000000" w:themeColor="text1"/>
        </w:rPr>
        <w:t xml:space="preserve"> “History of Wendy’s International, Inc.,” Reference for Business, accessed February 5, 2018, www.referenceforbusiness.com/history2/31/Wendy-s-International-Inc.html.</w:t>
      </w:r>
    </w:p>
  </w:endnote>
  <w:endnote w:id="9">
    <w:p w14:paraId="55CFEC1B" w14:textId="5313A32D"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Bloomberg News, “Wendy’s Shuts Doors in Japan,” </w:t>
      </w:r>
      <w:r w:rsidRPr="00274C0A">
        <w:rPr>
          <w:color w:val="000000" w:themeColor="text1"/>
        </w:rPr>
        <w:t>New York Times</w:t>
      </w:r>
      <w:r w:rsidRPr="00274C0A">
        <w:rPr>
          <w:i w:val="0"/>
          <w:color w:val="000000" w:themeColor="text1"/>
        </w:rPr>
        <w:t xml:space="preserve">, January 1, 2010, accessed February 10, 2018, </w:t>
      </w:r>
      <w:hyperlink r:id="rId4" w:history="1">
        <w:r w:rsidRPr="00274C0A">
          <w:rPr>
            <w:rStyle w:val="Hyperlink"/>
            <w:i w:val="0"/>
            <w:color w:val="000000" w:themeColor="text1"/>
            <w:u w:val="none"/>
          </w:rPr>
          <w:t>www.nytimes.com/2010/01/02/business/global/02wendys.html</w:t>
        </w:r>
      </w:hyperlink>
      <w:r w:rsidRPr="00274C0A">
        <w:rPr>
          <w:i w:val="0"/>
          <w:color w:val="000000" w:themeColor="text1"/>
        </w:rPr>
        <w:t xml:space="preserve">; Jon M. Hawes, ed., </w:t>
      </w:r>
      <w:r w:rsidRPr="00274C0A">
        <w:rPr>
          <w:color w:val="000000" w:themeColor="text1"/>
        </w:rPr>
        <w:t>Proceedings of the 1989 Academy of Marketing Science (AMS) Annual Conference</w:t>
      </w:r>
      <w:r w:rsidRPr="00274C0A">
        <w:rPr>
          <w:i w:val="0"/>
          <w:color w:val="000000" w:themeColor="text1"/>
        </w:rPr>
        <w:t xml:space="preserve">, (Akron, OH: Springer International Publishing, 2015), 164; Doris C. Dumlao, “New Investors to Beef up Wendy’s Capital,” </w:t>
      </w:r>
      <w:r w:rsidRPr="00274C0A">
        <w:rPr>
          <w:color w:val="000000" w:themeColor="text1"/>
        </w:rPr>
        <w:t>Inquirer</w:t>
      </w:r>
      <w:r w:rsidRPr="00274C0A">
        <w:rPr>
          <w:i w:val="0"/>
          <w:color w:val="000000" w:themeColor="text1"/>
        </w:rPr>
        <w:t xml:space="preserve">, May 21, 2012, accessed February 10, 2018, </w:t>
      </w:r>
      <w:hyperlink r:id="rId5" w:history="1">
        <w:r w:rsidRPr="00274C0A">
          <w:rPr>
            <w:rStyle w:val="Hyperlink"/>
            <w:i w:val="0"/>
            <w:color w:val="000000" w:themeColor="text1"/>
            <w:u w:val="none"/>
          </w:rPr>
          <w:t>http://business.inquirer.net/60533/new-investors-to-beef-up-wendy%E2%80%99s-capital</w:t>
        </w:r>
      </w:hyperlink>
      <w:r w:rsidRPr="00274C0A">
        <w:rPr>
          <w:i w:val="0"/>
          <w:color w:val="000000" w:themeColor="text1"/>
        </w:rPr>
        <w:t xml:space="preserve">; Biz Journal Staff, “Wendy’s Opens in Singapore,” </w:t>
      </w:r>
      <w:r w:rsidRPr="00274C0A">
        <w:rPr>
          <w:color w:val="000000" w:themeColor="text1"/>
        </w:rPr>
        <w:t>Columbus Business News</w:t>
      </w:r>
      <w:r w:rsidRPr="00274C0A">
        <w:rPr>
          <w:i w:val="0"/>
          <w:color w:val="000000" w:themeColor="text1"/>
        </w:rPr>
        <w:t xml:space="preserve">, December 15, 2009, accessed February 10, 2018, </w:t>
      </w:r>
      <w:hyperlink r:id="rId6" w:history="1">
        <w:r w:rsidRPr="00274C0A">
          <w:rPr>
            <w:rStyle w:val="Hyperlink"/>
            <w:i w:val="0"/>
            <w:color w:val="000000" w:themeColor="text1"/>
            <w:u w:val="none"/>
          </w:rPr>
          <w:t>https://www.bizjournals.com/columbus/stories/2009/12/14/daily12.html</w:t>
        </w:r>
      </w:hyperlink>
      <w:r w:rsidRPr="00274C0A">
        <w:rPr>
          <w:i w:val="0"/>
          <w:color w:val="000000" w:themeColor="text1"/>
        </w:rPr>
        <w:t xml:space="preserve">; Michael Schuman and Richard Gibson, “Following Wendy’s Exit, Koreans Munch on Winner’s,” </w:t>
      </w:r>
      <w:r w:rsidRPr="00274C0A">
        <w:rPr>
          <w:color w:val="000000" w:themeColor="text1"/>
        </w:rPr>
        <w:t>Wall Street Journal</w:t>
      </w:r>
      <w:r w:rsidRPr="00274C0A">
        <w:rPr>
          <w:i w:val="0"/>
          <w:color w:val="000000" w:themeColor="text1"/>
        </w:rPr>
        <w:t>, November 27, 1998, accessed February 10, 2018, www.wright.edu/~tdung/wendy_korea.htm.</w:t>
      </w:r>
    </w:p>
  </w:endnote>
  <w:endnote w:id="10">
    <w:p w14:paraId="24A1B129" w14:textId="54861188" w:rsidR="00083D70" w:rsidRPr="00274C0A" w:rsidRDefault="00083D70" w:rsidP="00D57CE2">
      <w:pPr>
        <w:pStyle w:val="Footnote"/>
        <w:rPr>
          <w:color w:val="000000" w:themeColor="text1"/>
          <w:lang w:val="en-CA"/>
        </w:rPr>
      </w:pPr>
      <w:r w:rsidRPr="00274C0A">
        <w:rPr>
          <w:rStyle w:val="EndnoteReference"/>
          <w:i w:val="0"/>
          <w:color w:val="000000" w:themeColor="text1"/>
          <w:sz w:val="16"/>
        </w:rPr>
        <w:endnoteRef/>
      </w:r>
      <w:r w:rsidRPr="00274C0A">
        <w:rPr>
          <w:i w:val="0"/>
          <w:color w:val="000000" w:themeColor="text1"/>
          <w:lang w:val="en-CA"/>
        </w:rPr>
        <w:t xml:space="preserve">“Wendy’s Timeline,” </w:t>
      </w:r>
      <w:r w:rsidRPr="00274C0A">
        <w:rPr>
          <w:color w:val="000000" w:themeColor="text1"/>
          <w:lang w:val="en-CA"/>
        </w:rPr>
        <w:t>Columbus Dispatch</w:t>
      </w:r>
      <w:r w:rsidRPr="00274C0A">
        <w:rPr>
          <w:i w:val="0"/>
          <w:color w:val="000000" w:themeColor="text1"/>
          <w:lang w:val="en-CA"/>
        </w:rPr>
        <w:t>, April 24, 2008, accessed February 10, 2018, www.dispatch.com/article/20080424/NEWS/304249563.</w:t>
      </w:r>
    </w:p>
  </w:endnote>
  <w:endnote w:id="11">
    <w:p w14:paraId="0225EDD2" w14:textId="093F5F83"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Wendy’s International Inc., </w:t>
      </w:r>
      <w:r w:rsidRPr="00274C0A">
        <w:rPr>
          <w:color w:val="000000" w:themeColor="text1"/>
        </w:rPr>
        <w:t>1995 Shareholder Report: Wendy’s International, Inc</w:t>
      </w:r>
      <w:r w:rsidRPr="00274C0A">
        <w:rPr>
          <w:i w:val="0"/>
          <w:color w:val="000000" w:themeColor="text1"/>
        </w:rPr>
        <w:t xml:space="preserve">., 1995, accessed February 10, 2018, </w:t>
      </w:r>
      <w:hyperlink r:id="rId7" w:history="1">
        <w:r w:rsidRPr="00274C0A">
          <w:rPr>
            <w:rStyle w:val="Hyperlink"/>
            <w:i w:val="0"/>
            <w:color w:val="000000" w:themeColor="text1"/>
            <w:u w:val="none"/>
          </w:rPr>
          <w:t>http://library.corporate-ir.net/library/67/675/67548/items/307409/1995ar.pdf</w:t>
        </w:r>
      </w:hyperlink>
      <w:r w:rsidRPr="00274C0A">
        <w:rPr>
          <w:i w:val="0"/>
          <w:color w:val="000000" w:themeColor="text1"/>
        </w:rPr>
        <w:t xml:space="preserve">; “Wendy’s to Take 4Q Charge,” CNN Money, November 28, 2000, accessed February 10, 2018, </w:t>
      </w:r>
      <w:hyperlink r:id="rId8" w:history="1">
        <w:r w:rsidRPr="00274C0A">
          <w:rPr>
            <w:rStyle w:val="Hyperlink"/>
            <w:i w:val="0"/>
            <w:color w:val="000000" w:themeColor="text1"/>
            <w:u w:val="none"/>
          </w:rPr>
          <w:t>http://cnnfn.cnn.com/2000/11/28/companies/wendys/</w:t>
        </w:r>
      </w:hyperlink>
      <w:r w:rsidRPr="00274C0A">
        <w:rPr>
          <w:i w:val="0"/>
          <w:color w:val="000000" w:themeColor="text1"/>
        </w:rPr>
        <w:t>; International Directory of Company Histories</w:t>
      </w:r>
      <w:r w:rsidRPr="00274C0A">
        <w:rPr>
          <w:i w:val="0"/>
          <w:color w:val="000000" w:themeColor="text1"/>
          <w:lang w:val="en-CA"/>
        </w:rPr>
        <w:t>, op. cit.</w:t>
      </w:r>
    </w:p>
  </w:endnote>
  <w:endnote w:id="12">
    <w:p w14:paraId="18E26C42" w14:textId="30CC12E1" w:rsidR="00083D70" w:rsidRPr="00274C0A" w:rsidRDefault="00083D70" w:rsidP="00D57CE2">
      <w:pPr>
        <w:pStyle w:val="Footnote"/>
        <w:rPr>
          <w:color w:val="000000" w:themeColor="text1"/>
          <w:lang w:val="en-CA"/>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kern w:val="16"/>
        </w:rPr>
        <w:t xml:space="preserve">Jalelah Abu Baker, “Wendy’s Fast Food Chain Believed to Have Shut Down All Outlets in Singapore,” </w:t>
      </w:r>
      <w:r w:rsidRPr="00274C0A">
        <w:rPr>
          <w:color w:val="000000" w:themeColor="text1"/>
          <w:kern w:val="16"/>
        </w:rPr>
        <w:t>Straits Times</w:t>
      </w:r>
      <w:r w:rsidRPr="00274C0A">
        <w:rPr>
          <w:i w:val="0"/>
          <w:color w:val="000000" w:themeColor="text1"/>
          <w:kern w:val="16"/>
        </w:rPr>
        <w:t xml:space="preserve">, May 1, 2015, accessed February 10, 2018, </w:t>
      </w:r>
      <w:hyperlink r:id="rId9" w:history="1">
        <w:r w:rsidRPr="00274C0A">
          <w:rPr>
            <w:rStyle w:val="Hyperlink"/>
            <w:i w:val="0"/>
            <w:color w:val="000000" w:themeColor="text1"/>
            <w:kern w:val="16"/>
            <w:u w:val="none"/>
          </w:rPr>
          <w:t>www.straitstimes.com/lifestyle/food/wendys-fast-food-chain-believed-to-have-shut-down-all-outlets-in</w:t>
        </w:r>
        <w:r w:rsidRPr="00274C0A">
          <w:rPr>
            <w:rStyle w:val="Hyperlink"/>
            <w:i w:val="0"/>
            <w:color w:val="000000" w:themeColor="text1"/>
            <w:spacing w:val="-4"/>
            <w:kern w:val="16"/>
            <w:u w:val="none"/>
          </w:rPr>
          <w:t>-singapore</w:t>
        </w:r>
      </w:hyperlink>
      <w:r w:rsidRPr="00274C0A">
        <w:rPr>
          <w:i w:val="0"/>
          <w:color w:val="000000" w:themeColor="text1"/>
        </w:rPr>
        <w:t xml:space="preserve">; Michiyo Nakamoto, “Wendy’s Re-enters Japanese Market,” </w:t>
      </w:r>
      <w:r w:rsidRPr="00274C0A">
        <w:rPr>
          <w:color w:val="000000" w:themeColor="text1"/>
        </w:rPr>
        <w:t>Financial Times</w:t>
      </w:r>
      <w:r w:rsidRPr="00274C0A">
        <w:rPr>
          <w:i w:val="0"/>
          <w:color w:val="000000" w:themeColor="text1"/>
        </w:rPr>
        <w:t xml:space="preserve">, December 28, 2011, accessed February 15, 2018, https://www.ft.com/content/f5c37efc-313e-11e1-aeec-00144feabdc0; “Wendy’s/Arby’s International Announces Argentina Development Agreement,” news release, Wendy’s/Arby’s Group Inc., January 27, 2011, accessed February 15, 2018, http://ir.wendys.com/phoenix.zhtml?c=67548&amp;p=irol-newsArticle&amp;ID=1520912; “Wendy’s Leaves Russian Market over Beef with Local Manager,” RT, July 29, 2014, accessed February 15, 2018, </w:t>
      </w:r>
      <w:hyperlink r:id="rId10" w:history="1">
        <w:r w:rsidRPr="00274C0A">
          <w:rPr>
            <w:rStyle w:val="Hyperlink"/>
            <w:i w:val="0"/>
            <w:color w:val="000000" w:themeColor="text1"/>
            <w:u w:val="none"/>
          </w:rPr>
          <w:t>https://www.rt.com/business/176356-wendys-leaves-russia-bloomberg/</w:t>
        </w:r>
      </w:hyperlink>
      <w:r w:rsidRPr="00274C0A">
        <w:rPr>
          <w:i w:val="0"/>
          <w:color w:val="000000" w:themeColor="text1"/>
        </w:rPr>
        <w:t xml:space="preserve">; Nino Patsuria, “Wendy’s Enters Georgian Market,” </w:t>
      </w:r>
      <w:r w:rsidRPr="00274C0A">
        <w:rPr>
          <w:color w:val="000000" w:themeColor="text1"/>
        </w:rPr>
        <w:t>Georgian Journal</w:t>
      </w:r>
      <w:r w:rsidRPr="00274C0A">
        <w:rPr>
          <w:i w:val="0"/>
          <w:color w:val="000000" w:themeColor="text1"/>
        </w:rPr>
        <w:t xml:space="preserve">, April 12, 2012, accessed February 15, 2018, </w:t>
      </w:r>
      <w:hyperlink r:id="rId11" w:history="1">
        <w:r w:rsidRPr="00274C0A">
          <w:rPr>
            <w:rStyle w:val="Hyperlink"/>
            <w:i w:val="0"/>
            <w:color w:val="000000" w:themeColor="text1"/>
            <w:u w:val="none"/>
          </w:rPr>
          <w:t>https://www.georgianjournal.ge/business/8796-wendys-enters-georgian-market-.html</w:t>
        </w:r>
      </w:hyperlink>
      <w:r w:rsidRPr="00274C0A">
        <w:rPr>
          <w:i w:val="0"/>
          <w:color w:val="000000" w:themeColor="text1"/>
        </w:rPr>
        <w:t xml:space="preserve">; PTI, </w:t>
      </w:r>
      <w:r w:rsidRPr="00274C0A">
        <w:rPr>
          <w:i w:val="0"/>
          <w:color w:val="000000" w:themeColor="text1"/>
          <w:spacing w:val="-4"/>
          <w:kern w:val="16"/>
          <w:lang w:val="en-CA"/>
        </w:rPr>
        <w:t xml:space="preserve">“US Burger Chain Wendy’s to Open First Outlet in Gurgaon,” </w:t>
      </w:r>
      <w:r w:rsidRPr="00274C0A">
        <w:rPr>
          <w:color w:val="000000" w:themeColor="text1"/>
          <w:spacing w:val="-4"/>
          <w:kern w:val="16"/>
          <w:lang w:val="en-CA"/>
        </w:rPr>
        <w:t>Times of India</w:t>
      </w:r>
      <w:r w:rsidRPr="00274C0A">
        <w:rPr>
          <w:i w:val="0"/>
          <w:color w:val="000000" w:themeColor="text1"/>
          <w:spacing w:val="-4"/>
          <w:kern w:val="16"/>
          <w:lang w:val="en-CA"/>
        </w:rPr>
        <w:t>, May 5, 2015, accessed February 15, 2018, https://timesofindia.indiatimes.com/business/india-business/US-burger-chain-Wendys-to-open-first-outlet-in-Gurgaon/articleshow/47164262.cms</w:t>
      </w:r>
      <w:r w:rsidRPr="00274C0A">
        <w:rPr>
          <w:i w:val="0"/>
          <w:color w:val="000000" w:themeColor="text1"/>
          <w:lang w:val="en-CA"/>
        </w:rPr>
        <w:t>.</w:t>
      </w:r>
    </w:p>
  </w:endnote>
  <w:endnote w:id="13">
    <w:p w14:paraId="2FABFB36" w14:textId="365B6938" w:rsidR="0063702F" w:rsidRPr="00274C0A" w:rsidRDefault="0063702F" w:rsidP="0063702F">
      <w:pPr>
        <w:pStyle w:val="Footnote"/>
        <w:rPr>
          <w:color w:val="000000" w:themeColor="text1"/>
        </w:rPr>
      </w:pPr>
      <w:r w:rsidRPr="00274C0A">
        <w:rPr>
          <w:rStyle w:val="EndnoteReference"/>
          <w:i w:val="0"/>
          <w:color w:val="000000" w:themeColor="text1"/>
          <w:sz w:val="16"/>
        </w:rPr>
        <w:endnoteRef/>
      </w:r>
      <w:r w:rsidRPr="00274C0A">
        <w:rPr>
          <w:i w:val="0"/>
          <w:color w:val="000000" w:themeColor="text1"/>
          <w:lang w:val="en-CA"/>
        </w:rPr>
        <w:t>Eleanor Whitehead, “Africa’s Fast Food Foray,” allAfrica, May 1, 2012, accessed March 2, 2018, http://allafrica.com/stories/201205291242.html.</w:t>
      </w:r>
    </w:p>
  </w:endnote>
  <w:endnote w:id="14">
    <w:p w14:paraId="155F4DE2" w14:textId="77777777" w:rsidR="00083D70" w:rsidRPr="00274C0A" w:rsidRDefault="00083D70" w:rsidP="00D57CE2">
      <w:pPr>
        <w:pStyle w:val="Footnote"/>
        <w:rPr>
          <w:color w:val="000000" w:themeColor="text1"/>
          <w:lang w:val="en-CA"/>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lang w:val="en-CA"/>
        </w:rPr>
        <w:t>Yasmin Sara, “Africa is Turning into a Promising Market for Fast-Food Chains,” Afrizap, March 2016, accessed March 2, 2018, www.afrizap.com/en/fast-food-africa.</w:t>
      </w:r>
    </w:p>
  </w:endnote>
  <w:endnote w:id="15">
    <w:p w14:paraId="043B9406" w14:textId="1FFD00D5" w:rsidR="00083D70" w:rsidRPr="00274C0A" w:rsidRDefault="00083D70" w:rsidP="00D57CE2">
      <w:pPr>
        <w:pStyle w:val="Footnote"/>
        <w:rPr>
          <w:color w:val="000000" w:themeColor="text1"/>
          <w:lang w:val="en-CA"/>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lang w:val="en-CA"/>
        </w:rPr>
        <w:t>Whitehead, op. cit.</w:t>
      </w:r>
    </w:p>
  </w:endnote>
  <w:endnote w:id="16">
    <w:p w14:paraId="37260A1D" w14:textId="77B061AB" w:rsidR="00083D70" w:rsidRPr="00274C0A" w:rsidRDefault="00083D70" w:rsidP="00D57CE2">
      <w:pPr>
        <w:pStyle w:val="Footnote"/>
        <w:rPr>
          <w:color w:val="000000" w:themeColor="text1"/>
          <w:lang w:val="en-CA"/>
        </w:rPr>
      </w:pPr>
      <w:r w:rsidRPr="00274C0A">
        <w:rPr>
          <w:rStyle w:val="EndnoteReference"/>
          <w:i w:val="0"/>
          <w:color w:val="000000" w:themeColor="text1"/>
          <w:sz w:val="16"/>
        </w:rPr>
        <w:endnoteRef/>
      </w:r>
      <w:r w:rsidRPr="00274C0A">
        <w:rPr>
          <w:i w:val="0"/>
          <w:color w:val="000000" w:themeColor="text1"/>
        </w:rPr>
        <w:t xml:space="preserve"> Milena Veselinovic, “How Africa is Giving Fast Food a New Spin,” CNN, December 11, 2015, accessed May 8, 2018, https://www.cnn.com/2015/12/11/africa/fast-food-in-africa/index.html;  “Is Africa, and Nigeria, Finally Ready for McDonald’s?,” Verdict, December 20, 2017, accessed May 8, 2018, https://www.verdict.co.uk/mcdonalds-africa-nigeria/; Staff Writer, </w:t>
      </w:r>
      <w:r w:rsidRPr="00274C0A">
        <w:rPr>
          <w:i w:val="0"/>
          <w:color w:val="000000" w:themeColor="text1"/>
          <w:lang w:val="en-CA"/>
        </w:rPr>
        <w:t>“The Biggest Fast Food Franchises in South Africa in 2017,” BusinessTech, May 7, 2017, accessed March 2, 2018, https://businesstech.co.za/news/lifestyle/173585/the-biggest-fast-food-franchises-in-south-africa-in-2017/.</w:t>
      </w:r>
    </w:p>
  </w:endnote>
  <w:endnote w:id="17">
    <w:p w14:paraId="7CA2B45C" w14:textId="0D1E273C"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Bret Tate, </w:t>
      </w:r>
      <w:r w:rsidRPr="00274C0A">
        <w:rPr>
          <w:color w:val="000000" w:themeColor="text1"/>
        </w:rPr>
        <w:t>Egypt: Retail Foods 2016 Annual</w:t>
      </w:r>
      <w:r w:rsidRPr="00274C0A">
        <w:rPr>
          <w:i w:val="0"/>
          <w:color w:val="000000" w:themeColor="text1"/>
        </w:rPr>
        <w:t>, Global Agricultural Information Network, March 12, 2017, accessed March 2, 2018, https://gain.fas.usda.gov/Recent%20GAIN%20Publications/Retail%20Foods_Cairo_Egypt_1-22-2017.pdf;</w:t>
      </w:r>
      <w:r w:rsidRPr="00274C0A">
        <w:rPr>
          <w:i w:val="0"/>
          <w:color w:val="000000" w:themeColor="text1"/>
          <w:szCs w:val="16"/>
        </w:rPr>
        <w:t xml:space="preserve"> “Egypt Country Profile,” BBC, April 4, 2018, accessed June 13, 2018, https://www.bbc.com/news/world-africa-13313370; “The World Bank in Egypt: Overview,” The World Bank, April 16, 2018, accessed June 13, 2018, www.worldbank.org/en/country/egypt/overview;</w:t>
      </w:r>
      <w:r w:rsidRPr="00274C0A">
        <w:rPr>
          <w:i w:val="0"/>
          <w:color w:val="000000" w:themeColor="text1"/>
          <w:lang w:val="en-CA"/>
        </w:rPr>
        <w:t xml:space="preserve"> “Overview of the World’s Emerging Restaurant Markets,” Aaron Allen &amp; Associates, 2012, accessed March 28, 2018, http://aaronallen.com/blog/emerging-restaurant-markets.</w:t>
      </w:r>
    </w:p>
  </w:endnote>
  <w:endnote w:id="18">
    <w:p w14:paraId="33FD2903" w14:textId="34449ADD" w:rsidR="00083D70" w:rsidRPr="00274C0A" w:rsidRDefault="00083D70" w:rsidP="00D57CE2">
      <w:pPr>
        <w:pStyle w:val="Footnote"/>
        <w:rPr>
          <w:color w:val="000000" w:themeColor="text1"/>
        </w:rPr>
      </w:pPr>
      <w:r w:rsidRPr="00274C0A">
        <w:rPr>
          <w:rStyle w:val="EndnoteReference"/>
          <w:i w:val="0"/>
          <w:color w:val="000000" w:themeColor="text1"/>
        </w:rPr>
        <w:endnoteRef/>
      </w:r>
      <w:r w:rsidRPr="00274C0A">
        <w:rPr>
          <w:i w:val="0"/>
          <w:color w:val="000000" w:themeColor="text1"/>
        </w:rPr>
        <w:t xml:space="preserve"> “Find Us,” McDonald’s Egypt, accessed March 2, 2018, http://mcdonalds.eg/en/stores/page/228/go</w:t>
      </w:r>
      <w:r w:rsidR="00332D76">
        <w:rPr>
          <w:i w:val="0"/>
          <w:color w:val="000000" w:themeColor="text1"/>
        </w:rPr>
        <w:t>vernorate/22; “Locator,” Burger King, accessed March 2, </w:t>
      </w:r>
      <w:r w:rsidRPr="00274C0A">
        <w:rPr>
          <w:i w:val="0"/>
          <w:color w:val="000000" w:themeColor="text1"/>
        </w:rPr>
        <w:t>2018, www.burgerking.com.my/Locator/Index?field_geofield_distance[origin][lat]=4.570868&amp;field_geofield_distance[origin][lon]=-74.29733299999998.</w:t>
      </w:r>
    </w:p>
  </w:endnote>
  <w:endnote w:id="19">
    <w:p w14:paraId="27F62C7F" w14:textId="6592E867"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lang w:val="en-CA"/>
        </w:rPr>
        <w:t>“Menu,” Cook Door, accessed March 2, 2018, www.cookdoor.com.eg/#; “Momen,” Menu Egypt, accessed March 2, 2018, http://menuegypt.com/Momen;</w:t>
      </w:r>
      <w:r w:rsidRPr="00274C0A">
        <w:rPr>
          <w:i w:val="0"/>
          <w:color w:val="000000" w:themeColor="text1"/>
        </w:rPr>
        <w:t xml:space="preserve"> “Store Locator,” Cook Door, accessed May 10, 2018, www.cookdoor.com.eg/en-us/cookdoor/store-locator/store-locator;  “Summary,” Mo’men, accessed May 10, 2018, www.momen-chain.com/profile/.</w:t>
      </w:r>
    </w:p>
  </w:endnote>
  <w:endnote w:id="20">
    <w:p w14:paraId="2A15BAE9" w14:textId="77777777" w:rsidR="00083D70" w:rsidRPr="00274C0A" w:rsidRDefault="00083D70" w:rsidP="00D57CE2">
      <w:pPr>
        <w:pStyle w:val="Footnote"/>
        <w:rPr>
          <w:color w:val="000000" w:themeColor="text1"/>
          <w:szCs w:val="16"/>
        </w:rPr>
      </w:pPr>
      <w:r w:rsidRPr="00274C0A">
        <w:rPr>
          <w:rStyle w:val="EndnoteReference"/>
          <w:i w:val="0"/>
          <w:color w:val="000000" w:themeColor="text1"/>
        </w:rPr>
        <w:endnoteRef/>
      </w:r>
      <w:r w:rsidRPr="00274C0A">
        <w:rPr>
          <w:i w:val="0"/>
          <w:color w:val="000000" w:themeColor="text1"/>
        </w:rPr>
        <w:t xml:space="preserve"> </w:t>
      </w:r>
      <w:r w:rsidRPr="00274C0A">
        <w:rPr>
          <w:i w:val="0"/>
          <w:color w:val="000000" w:themeColor="text1"/>
          <w:szCs w:val="16"/>
        </w:rPr>
        <w:t>“South Africa Country Profile,” BBC, April 4, 2018, accessed June 13, 2018, https://www.bbc.com/news/world-africa-14094760; “The World Bank in South Africa – Overview,” The World Bank, April 19, 2018, accessed June 13, 2018, http://www.worldbank.org/en/country/southafrica/overview.</w:t>
      </w:r>
    </w:p>
  </w:endnote>
  <w:endnote w:id="21">
    <w:p w14:paraId="1EB04E05" w14:textId="0025CD1D"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Blessing Maumbe, “The Rise of South Africa’s Quick Service Restaurant Industry,” </w:t>
      </w:r>
      <w:r w:rsidRPr="00274C0A">
        <w:rPr>
          <w:color w:val="000000" w:themeColor="text1"/>
        </w:rPr>
        <w:t>Journal of Agribusiness in Developing and Emerging Economies</w:t>
      </w:r>
      <w:r w:rsidRPr="00274C0A">
        <w:rPr>
          <w:i w:val="0"/>
          <w:color w:val="000000" w:themeColor="text1"/>
        </w:rPr>
        <w:t xml:space="preserve"> 2, no. 2, (2012): 147–66.</w:t>
      </w:r>
    </w:p>
  </w:endnote>
  <w:endnote w:id="22">
    <w:p w14:paraId="6CADD355" w14:textId="77777777"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Fionn Murray, “South African Food Service Industry Report 2016,” Franchise Direct, March 13, 2017, accessed March 2, 2018, https://www.franchisedirect.co.za/information/southafricanfoodserviceindustryreport2016/.</w:t>
      </w:r>
    </w:p>
  </w:endnote>
  <w:endnote w:id="23">
    <w:p w14:paraId="56B4651C" w14:textId="67034F66"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“Corporate Information about McDonald’s SA,” McDonald’s South Africa, 2015, accessed March 2, 2018, https://www.mcdonalds.co.za/mcdonaldssa; “Franchisor Targets 100 Burger King Stores by End of 2018,” Food Business Africa, December 10, 2017, accessed March 2, 2018, https://www.foodbusinessafrica.com/2017/12/10/franchisor-targets-100-burger-king-stores-by-end-of-2018/. </w:t>
      </w:r>
    </w:p>
  </w:endnote>
  <w:endnote w:id="24">
    <w:p w14:paraId="412C3544" w14:textId="6CC612D5" w:rsidR="00083D70" w:rsidRPr="00274C0A" w:rsidRDefault="00083D70" w:rsidP="00D57CE2">
      <w:pPr>
        <w:pStyle w:val="Footnote"/>
        <w:rPr>
          <w:color w:val="000000" w:themeColor="text1"/>
          <w:lang w:val="en-CA"/>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lang w:val="en-CA"/>
        </w:rPr>
        <w:t>“Menu,” Steers, accessed March 2, 2018, https://steers.co.za/menu/; “Menu,” Wimpy, accessed March 2, 2018, https://www.wimpy.co.za/index.php/menu; “Menu,” Nando’s, accessed March 2, 2018, https://www.nandos.co.za/eat/order/menu; “Worldwide,” Nando’s, accessed March 2, 2018, https://www.nandos.com/worldwide/.</w:t>
      </w:r>
    </w:p>
  </w:endnote>
  <w:endnote w:id="25">
    <w:p w14:paraId="58045941" w14:textId="77777777" w:rsidR="00083D70" w:rsidRPr="00274C0A" w:rsidRDefault="00083D70" w:rsidP="00D57CE2">
      <w:pPr>
        <w:pStyle w:val="Footnote"/>
        <w:rPr>
          <w:color w:val="000000" w:themeColor="text1"/>
          <w:szCs w:val="16"/>
        </w:rPr>
      </w:pPr>
      <w:r w:rsidRPr="00274C0A">
        <w:rPr>
          <w:rStyle w:val="EndnoteReference"/>
          <w:i w:val="0"/>
          <w:color w:val="000000" w:themeColor="text1"/>
        </w:rPr>
        <w:endnoteRef/>
      </w:r>
      <w:r w:rsidRPr="00274C0A">
        <w:rPr>
          <w:i w:val="0"/>
          <w:color w:val="000000" w:themeColor="text1"/>
        </w:rPr>
        <w:t xml:space="preserve"> </w:t>
      </w:r>
      <w:r w:rsidRPr="00274C0A">
        <w:rPr>
          <w:i w:val="0"/>
          <w:color w:val="000000" w:themeColor="text1"/>
          <w:szCs w:val="16"/>
        </w:rPr>
        <w:t>“Ghana Country Profile,” BBC, May 1, 2018, accessed June 13, 2018, https://www.bbc.com/news/world-africa-13433790; “The World Bank in Ghana – Overview,” The World Bank, April 19, 2018, accessed June 13, 2018, www.worldbank.org/en/country/ghana/overview.</w:t>
      </w:r>
      <w:r w:rsidRPr="00274C0A">
        <w:rPr>
          <w:i w:val="0"/>
          <w:color w:val="000000" w:themeColor="text1"/>
        </w:rPr>
        <w:t xml:space="preserve">  </w:t>
      </w:r>
    </w:p>
  </w:endnote>
  <w:endnote w:id="26">
    <w:p w14:paraId="05042E01" w14:textId="36069442"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Dionne Searcey and Matt Richtel, “Obesity Was Rising as Ghana Embraced Fast Food. Then Came KFC,” </w:t>
      </w:r>
      <w:r w:rsidRPr="00274C0A">
        <w:rPr>
          <w:color w:val="000000" w:themeColor="text1"/>
        </w:rPr>
        <w:t>New York Times</w:t>
      </w:r>
      <w:r w:rsidRPr="00274C0A">
        <w:rPr>
          <w:i w:val="0"/>
          <w:color w:val="000000" w:themeColor="text1"/>
        </w:rPr>
        <w:t>, October 2, 2017, accessed March 2, 2018, https://www.nytimes.com/2017/10/02/health/ghana-kfc-obesity.html; “Markets of the Future in Ghana,” Euromonitor, June 1, 2014, accessed March 2, 2018, www.euromonitor.com/markets-of-the-future-in-ghana/report.</w:t>
      </w:r>
    </w:p>
  </w:endnote>
  <w:endnote w:id="27">
    <w:p w14:paraId="0C65A26D" w14:textId="77777777"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Bridget Boakye, “Burger King is Coming to Ghana,” Face to Face Africa, February 7, 2018, accessed March 2, 2018, https://face2faceafrica.com/article/burger-king-coming-ghana.</w:t>
      </w:r>
    </w:p>
  </w:endnote>
  <w:endnote w:id="28">
    <w:p w14:paraId="3214DCB5" w14:textId="6462B0F1"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00332D76">
        <w:rPr>
          <w:i w:val="0"/>
          <w:color w:val="000000" w:themeColor="text1"/>
        </w:rPr>
        <w:t> </w:t>
      </w:r>
      <w:r w:rsidRPr="00274C0A">
        <w:rPr>
          <w:i w:val="0"/>
          <w:color w:val="000000" w:themeColor="text1"/>
        </w:rPr>
        <w:t>“Fast Food Restaurants,” Ghana Web, accessed March 2, 2018, https://www.ghanaweb.com/GhanaHomePage/restaurants/FastFood.php.</w:t>
      </w:r>
    </w:p>
  </w:endnote>
  <w:endnote w:id="29">
    <w:p w14:paraId="6563CC91" w14:textId="77777777" w:rsidR="00083D70" w:rsidRPr="00274C0A" w:rsidRDefault="00083D70" w:rsidP="00D57CE2">
      <w:pPr>
        <w:pStyle w:val="Footnote"/>
        <w:rPr>
          <w:color w:val="000000" w:themeColor="text1"/>
          <w:szCs w:val="16"/>
        </w:rPr>
      </w:pPr>
      <w:r w:rsidRPr="00274C0A">
        <w:rPr>
          <w:rStyle w:val="EndnoteReference"/>
          <w:i w:val="0"/>
          <w:color w:val="000000" w:themeColor="text1"/>
        </w:rPr>
        <w:endnoteRef/>
      </w:r>
      <w:r w:rsidRPr="00274C0A">
        <w:rPr>
          <w:i w:val="0"/>
          <w:color w:val="000000" w:themeColor="text1"/>
        </w:rPr>
        <w:t xml:space="preserve"> </w:t>
      </w:r>
      <w:r w:rsidRPr="00274C0A">
        <w:rPr>
          <w:i w:val="0"/>
          <w:color w:val="000000" w:themeColor="text1"/>
          <w:szCs w:val="16"/>
        </w:rPr>
        <w:t>“Kenya Country Profile,” BBC, January 31, 2018, accessed June 13, 2018, https://www.bbc.com/news/world-africa-13681341; “The World Bank in Kenya – Overview,” The World Bank, April 19, 2018, accessed June 13, 2018, www.worldbank.org/en/country/kenya/overview.</w:t>
      </w:r>
    </w:p>
  </w:endnote>
  <w:endnote w:id="30">
    <w:p w14:paraId="40ABB516" w14:textId="77777777" w:rsidR="00083D70" w:rsidRPr="00332D76"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Mugambi Mutegi, “</w:t>
      </w:r>
      <w:r w:rsidRPr="00332D76">
        <w:rPr>
          <w:i w:val="0"/>
          <w:color w:val="000000" w:themeColor="text1"/>
        </w:rPr>
        <w:t>Nairobi’s Growing Wealth Attracts World’s Food Chains,” Business Daily, November 16, 2014, accessed March 2, 2018, https://www.businessdailyafrica.com/news/539546-2524596-rwfldy/index.html.</w:t>
      </w:r>
    </w:p>
  </w:endnote>
  <w:endnote w:id="31">
    <w:p w14:paraId="4757D80C" w14:textId="2935B961" w:rsidR="00083D70" w:rsidRPr="00332D76" w:rsidRDefault="00083D70" w:rsidP="00D57CE2">
      <w:pPr>
        <w:pStyle w:val="Footnote"/>
        <w:rPr>
          <w:color w:val="000000" w:themeColor="text1"/>
        </w:rPr>
      </w:pPr>
      <w:r w:rsidRPr="00332D76">
        <w:rPr>
          <w:rStyle w:val="EndnoteReference"/>
          <w:i w:val="0"/>
          <w:color w:val="000000" w:themeColor="text1"/>
          <w:sz w:val="16"/>
        </w:rPr>
        <w:endnoteRef/>
      </w:r>
      <w:r w:rsidRPr="00332D76">
        <w:rPr>
          <w:i w:val="0"/>
          <w:color w:val="000000" w:themeColor="text1"/>
        </w:rPr>
        <w:t xml:space="preserve"> “McDonald’s Set to Open Its First Restaurant in Kenya,” </w:t>
      </w:r>
      <w:r w:rsidRPr="00332D76">
        <w:rPr>
          <w:color w:val="000000" w:themeColor="text1"/>
        </w:rPr>
        <w:t>Kenyan Wall Street</w:t>
      </w:r>
      <w:r w:rsidRPr="00332D76">
        <w:rPr>
          <w:i w:val="0"/>
          <w:color w:val="000000" w:themeColor="text1"/>
        </w:rPr>
        <w:t xml:space="preserve">, December 10, 2017, accessed March 2, 2018, </w:t>
      </w:r>
      <w:hyperlink r:id="rId12" w:history="1">
        <w:r w:rsidRPr="00332D76">
          <w:rPr>
            <w:rStyle w:val="Hyperlink"/>
            <w:i w:val="0"/>
            <w:color w:val="000000" w:themeColor="text1"/>
            <w:u w:val="none"/>
          </w:rPr>
          <w:t>http://kenyanwallstreet.com/mcdonalds-set-open-first-restaurant-kenya</w:t>
        </w:r>
      </w:hyperlink>
      <w:r w:rsidRPr="00332D76">
        <w:rPr>
          <w:i w:val="0"/>
          <w:color w:val="000000" w:themeColor="text1"/>
        </w:rPr>
        <w:t xml:space="preserve">; Burger King Kenya’s Facebook page, accessed March 2, 2018, </w:t>
      </w:r>
      <w:hyperlink r:id="rId13" w:history="1">
        <w:r w:rsidRPr="00332D76">
          <w:rPr>
            <w:rStyle w:val="Hyperlink"/>
            <w:i w:val="0"/>
            <w:color w:val="000000" w:themeColor="text1"/>
            <w:u w:val="none"/>
          </w:rPr>
          <w:t>https://www.facebook.com/Burgerking.Ke/</w:t>
        </w:r>
      </w:hyperlink>
      <w:r w:rsidRPr="00332D76">
        <w:rPr>
          <w:i w:val="0"/>
          <w:color w:val="000000" w:themeColor="text1"/>
        </w:rPr>
        <w:t>; Hilary Kimuyu, “American Fast-Food Chain Hardee’s to Open Third Branch in Kenya,” Nairobi News, February 28, 2018, accessed March 2, 2018, http://nairobinews.nation.co.ke/news/hardees-third-branch-kenya/; “Top 5 Fast Food Restaurants in Nairobi,” Ocharge, September 7, 2017, accessed March 2, 2018, https://www.ocharge.co.ke/blog/top-5-fast-food-joints-in-nairobi/.</w:t>
      </w:r>
    </w:p>
  </w:endnote>
  <w:endnote w:id="32">
    <w:p w14:paraId="10082060" w14:textId="77777777" w:rsidR="00083D70" w:rsidRPr="00332D76" w:rsidRDefault="00083D70" w:rsidP="00D57CE2">
      <w:pPr>
        <w:pStyle w:val="Footnote"/>
        <w:rPr>
          <w:color w:val="000000" w:themeColor="text1"/>
          <w:szCs w:val="16"/>
        </w:rPr>
      </w:pPr>
      <w:r w:rsidRPr="00332D76">
        <w:rPr>
          <w:rStyle w:val="EndnoteReference"/>
          <w:i w:val="0"/>
          <w:color w:val="000000" w:themeColor="text1"/>
        </w:rPr>
        <w:endnoteRef/>
      </w:r>
      <w:r w:rsidRPr="00332D76">
        <w:rPr>
          <w:i w:val="0"/>
          <w:color w:val="000000" w:themeColor="text1"/>
          <w:szCs w:val="16"/>
        </w:rPr>
        <w:t xml:space="preserve"> “India Country Profile,” BBC, January 23, 2018, accessed June 13, 2018, https://www.bbc.com/news/world-south-asia-12557384; “The World Bank in India – Overview,” The World Bank, October 11, 2017, accessed June 13, 2018, www.worldbank.org/en/country/india/overview.</w:t>
      </w:r>
    </w:p>
  </w:endnote>
  <w:endnote w:id="33">
    <w:p w14:paraId="6F86E8BE" w14:textId="36EBEDCF" w:rsidR="00083D70" w:rsidRPr="00274C0A" w:rsidRDefault="00083D70" w:rsidP="00D57CE2">
      <w:pPr>
        <w:pStyle w:val="Footnote"/>
        <w:rPr>
          <w:color w:val="000000" w:themeColor="text1"/>
          <w:lang w:val="en-CA"/>
        </w:rPr>
      </w:pPr>
      <w:r w:rsidRPr="00332D76">
        <w:rPr>
          <w:rStyle w:val="EndnoteReference"/>
          <w:i w:val="0"/>
          <w:color w:val="000000" w:themeColor="text1"/>
          <w:sz w:val="16"/>
        </w:rPr>
        <w:endnoteRef/>
      </w:r>
      <w:r w:rsidRPr="00332D76">
        <w:rPr>
          <w:i w:val="0"/>
          <w:color w:val="000000" w:themeColor="text1"/>
        </w:rPr>
        <w:t xml:space="preserve"> </w:t>
      </w:r>
      <w:r w:rsidRPr="00332D76">
        <w:rPr>
          <w:i w:val="0"/>
          <w:color w:val="000000" w:themeColor="text1"/>
          <w:lang w:val="en-CA"/>
        </w:rPr>
        <w:t xml:space="preserve">Vaishali Gauba, “India’s Fast-Food Industry is Becoming a Major Market,” CNBC, April 2, 2015, accessed March 20, 2018, </w:t>
      </w:r>
      <w:hyperlink r:id="rId14" w:history="1">
        <w:r w:rsidRPr="00332D76">
          <w:rPr>
            <w:rStyle w:val="Hyperlink"/>
            <w:i w:val="0"/>
            <w:color w:val="000000" w:themeColor="text1"/>
            <w:u w:val="none"/>
            <w:lang w:val="en-CA"/>
          </w:rPr>
          <w:t>https://www.cnbc.com/2015/04/02/indias-fast-food-industry.html</w:t>
        </w:r>
      </w:hyperlink>
      <w:r w:rsidRPr="00332D76">
        <w:rPr>
          <w:i w:val="0"/>
          <w:color w:val="000000" w:themeColor="text1"/>
          <w:lang w:val="en-CA"/>
        </w:rPr>
        <w:t xml:space="preserve">; Stephanie Nolen, “The Race to Make a Meal of India’s Fast-food Market,” </w:t>
      </w:r>
      <w:r w:rsidRPr="00332D76">
        <w:rPr>
          <w:color w:val="000000" w:themeColor="text1"/>
          <w:lang w:val="en-CA"/>
        </w:rPr>
        <w:t>Globe</w:t>
      </w:r>
      <w:r w:rsidRPr="00274C0A">
        <w:rPr>
          <w:color w:val="000000" w:themeColor="text1"/>
          <w:lang w:val="en-CA"/>
        </w:rPr>
        <w:t xml:space="preserve"> and Mail</w:t>
      </w:r>
      <w:r w:rsidRPr="00274C0A">
        <w:rPr>
          <w:i w:val="0"/>
          <w:color w:val="000000" w:themeColor="text1"/>
          <w:lang w:val="en-CA"/>
        </w:rPr>
        <w:t xml:space="preserve">, January 1, 2013, accessed March 20, 2018, https://www.theglobeandmail.com/report-on-business/international-business/african-and-mideast-business/the-race-to-make-a-meal-of-indias-fast-food-market/article6831857/. </w:t>
      </w:r>
    </w:p>
  </w:endnote>
  <w:endnote w:id="34">
    <w:p w14:paraId="259BC07A" w14:textId="140EE9CE" w:rsidR="00083D70" w:rsidRPr="00274C0A" w:rsidRDefault="00083D70">
      <w:pPr>
        <w:pStyle w:val="EndnoteText"/>
        <w:rPr>
          <w:color w:val="000000" w:themeColor="text1"/>
          <w:lang w:val="en-CA"/>
        </w:rPr>
      </w:pPr>
      <w:r w:rsidRPr="00274C0A">
        <w:rPr>
          <w:rStyle w:val="EndnoteReference"/>
          <w:rFonts w:ascii="Arial" w:hAnsi="Arial" w:cs="Arial"/>
          <w:color w:val="000000" w:themeColor="text1"/>
          <w:sz w:val="17"/>
          <w:szCs w:val="17"/>
        </w:rPr>
        <w:endnoteRef/>
      </w:r>
      <w:r w:rsidRPr="00274C0A">
        <w:rPr>
          <w:color w:val="000000" w:themeColor="text1"/>
        </w:rPr>
        <w:t xml:space="preserve"> </w:t>
      </w:r>
      <w:r w:rsidRPr="00274C0A">
        <w:rPr>
          <w:rStyle w:val="FootnoteChar"/>
          <w:rFonts w:eastAsia="Calibri"/>
          <w:i w:val="0"/>
          <w:color w:val="000000" w:themeColor="text1"/>
        </w:rPr>
        <w:t>Gauba, op. cit.</w:t>
      </w:r>
    </w:p>
  </w:endnote>
  <w:endnote w:id="35">
    <w:p w14:paraId="6333E11C" w14:textId="0BE81781" w:rsidR="00083D70" w:rsidRPr="00274C0A" w:rsidRDefault="00083D70" w:rsidP="00D57CE2">
      <w:pPr>
        <w:pStyle w:val="Footnote"/>
        <w:rPr>
          <w:color w:val="000000" w:themeColor="text1"/>
          <w:lang w:val="en-CA"/>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lang w:val="en-CA"/>
        </w:rPr>
        <w:t>Ibid.</w:t>
      </w:r>
    </w:p>
  </w:endnote>
  <w:endnote w:id="36">
    <w:p w14:paraId="747F4B8F" w14:textId="3980462C"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Trefis Team, “How McDonald’s Closing Nearly Half of Its Restaurants in India Will Impact Operations,” </w:t>
      </w:r>
      <w:r w:rsidRPr="00274C0A">
        <w:rPr>
          <w:color w:val="000000" w:themeColor="text1"/>
        </w:rPr>
        <w:t>Forbes</w:t>
      </w:r>
      <w:r w:rsidRPr="00274C0A">
        <w:rPr>
          <w:i w:val="0"/>
          <w:color w:val="000000" w:themeColor="text1"/>
        </w:rPr>
        <w:t xml:space="preserve">, August 23, 2017, accessed March 28, 2018, https://www.forbes.com/sites/greatspeculations/2017/08/23/how-mcdonalds-closing-nearly-half-of-its-restaurants-in-india-will-impact-operations/#79deb7c61710; Meenakshi Verma Ambwani, “Burger King India to Open 35 New Outlets this Year; Eyes New Cities,” </w:t>
      </w:r>
      <w:r w:rsidRPr="00274C0A">
        <w:rPr>
          <w:color w:val="000000" w:themeColor="text1"/>
        </w:rPr>
        <w:t>Hindu</w:t>
      </w:r>
      <w:r w:rsidRPr="00274C0A">
        <w:rPr>
          <w:i w:val="0"/>
          <w:color w:val="000000" w:themeColor="text1"/>
        </w:rPr>
        <w:t xml:space="preserve"> </w:t>
      </w:r>
      <w:r w:rsidRPr="00274C0A">
        <w:rPr>
          <w:color w:val="000000" w:themeColor="text1"/>
        </w:rPr>
        <w:t>BusinessLine,</w:t>
      </w:r>
      <w:r w:rsidRPr="00274C0A">
        <w:rPr>
          <w:i w:val="0"/>
          <w:color w:val="000000" w:themeColor="text1"/>
        </w:rPr>
        <w:t xml:space="preserve"> August 28, 2017, accessed March 28, 2018, https://www.thehindubusinessline.com/companies/burger-king-india-to-open-35-new-outlets-this-year-eyes-new-cities/article9833536.ece;  “Locate Us,” Carl’s Jr., accessed March 28, 2018, http://www.carlsjr.in/locate-us.</w:t>
      </w:r>
    </w:p>
  </w:endnote>
  <w:endnote w:id="37">
    <w:p w14:paraId="5282AA01" w14:textId="72E179A6" w:rsidR="00083D70" w:rsidRPr="00274C0A" w:rsidRDefault="00083D70" w:rsidP="00D57CE2">
      <w:pPr>
        <w:pStyle w:val="Footnote"/>
        <w:rPr>
          <w:color w:val="000000" w:themeColor="text1"/>
          <w:lang w:val="en-CA"/>
        </w:rPr>
      </w:pPr>
      <w:r w:rsidRPr="00274C0A">
        <w:rPr>
          <w:rStyle w:val="EndnoteReference"/>
          <w:i w:val="0"/>
          <w:color w:val="000000" w:themeColor="text1"/>
        </w:rPr>
        <w:endnoteRef/>
      </w:r>
      <w:r w:rsidRPr="00274C0A">
        <w:rPr>
          <w:i w:val="0"/>
          <w:color w:val="000000" w:themeColor="text1"/>
        </w:rPr>
        <w:t xml:space="preserve">  </w:t>
      </w:r>
      <w:r w:rsidR="00332D76" w:rsidRPr="00274C0A">
        <w:rPr>
          <w:rStyle w:val="Emphasis"/>
          <w:bCs/>
          <w:iCs w:val="0"/>
          <w:color w:val="000000" w:themeColor="text1"/>
          <w:shd w:val="clear" w:color="auto" w:fill="FFFFFF"/>
        </w:rPr>
        <w:t>₹ = INR = Indian rupee; US$1.00 = ₹66.45 as of May 1, 2018</w:t>
      </w:r>
    </w:p>
  </w:endnote>
  <w:endnote w:id="38">
    <w:p w14:paraId="79C0C858" w14:textId="4F04B9EF" w:rsidR="00083D70" w:rsidRPr="00274C0A" w:rsidRDefault="00083D70" w:rsidP="00D57CE2">
      <w:pPr>
        <w:pStyle w:val="Footnote"/>
        <w:rPr>
          <w:color w:val="000000" w:themeColor="text1"/>
        </w:rPr>
      </w:pPr>
      <w:r w:rsidRPr="00274C0A">
        <w:rPr>
          <w:rStyle w:val="EndnoteReference"/>
          <w:i w:val="0"/>
          <w:color w:val="000000" w:themeColor="text1"/>
        </w:rPr>
        <w:endnoteRef/>
      </w:r>
      <w:r w:rsidRPr="00274C0A">
        <w:rPr>
          <w:rStyle w:val="Emphasis"/>
          <w:bCs/>
          <w:iCs w:val="0"/>
          <w:color w:val="000000" w:themeColor="text1"/>
          <w:shd w:val="clear" w:color="auto" w:fill="FFFFFF"/>
        </w:rPr>
        <w:t xml:space="preserve"> </w:t>
      </w:r>
      <w:r w:rsidRPr="00274C0A">
        <w:rPr>
          <w:i w:val="0"/>
          <w:color w:val="000000" w:themeColor="text1"/>
        </w:rPr>
        <w:t xml:space="preserve">Sounak Mitra, “Branding Vada Pav: How Djeeraj Gupta Built Jumbo King,” </w:t>
      </w:r>
      <w:r w:rsidRPr="00274C0A">
        <w:rPr>
          <w:color w:val="000000" w:themeColor="text1"/>
        </w:rPr>
        <w:t>Business Standard</w:t>
      </w:r>
      <w:r w:rsidRPr="00274C0A">
        <w:rPr>
          <w:i w:val="0"/>
          <w:color w:val="000000" w:themeColor="text1"/>
        </w:rPr>
        <w:t>, April 25, 2015, accessed March 28, 2018, www.business-standard.com/article/companies/branding-vada-pav-how-dheeraj-gupta-built-jumbo-king-115042100422_1.html.</w:t>
      </w:r>
    </w:p>
  </w:endnote>
  <w:endnote w:id="39">
    <w:p w14:paraId="74DDA35A" w14:textId="39A6AB9E"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w:t>
      </w:r>
      <w:r w:rsidRPr="00274C0A">
        <w:rPr>
          <w:i w:val="0"/>
          <w:color w:val="000000" w:themeColor="text1"/>
          <w:lang w:val="en-CA"/>
        </w:rPr>
        <w:t xml:space="preserve">Nolen, op. cit.; </w:t>
      </w:r>
      <w:r w:rsidRPr="00274C0A">
        <w:rPr>
          <w:i w:val="0"/>
          <w:color w:val="000000" w:themeColor="text1"/>
        </w:rPr>
        <w:t>Mitra, op. cit.; “</w:t>
      </w:r>
      <w:r w:rsidRPr="00274C0A">
        <w:rPr>
          <w:i w:val="0"/>
          <w:color w:val="000000" w:themeColor="text1"/>
          <w:spacing w:val="-2"/>
          <w:kern w:val="17"/>
        </w:rPr>
        <w:t xml:space="preserve">Goli Vada Pav Co-founder Shares His Success Story,” </w:t>
      </w:r>
      <w:r w:rsidRPr="00274C0A">
        <w:rPr>
          <w:color w:val="000000" w:themeColor="text1"/>
          <w:spacing w:val="-2"/>
          <w:kern w:val="17"/>
        </w:rPr>
        <w:t>Times of India</w:t>
      </w:r>
      <w:r w:rsidRPr="00274C0A">
        <w:rPr>
          <w:i w:val="0"/>
          <w:color w:val="000000" w:themeColor="text1"/>
          <w:spacing w:val="-2"/>
          <w:kern w:val="17"/>
        </w:rPr>
        <w:t>, January 29, 2017, accessed March 28, 2018, https://timesofindia.indiatimes.com/city/hubballi/goli-vada-pav-co-founder-shares-his-success-story/articleshow/56840306.cms</w:t>
      </w:r>
      <w:r w:rsidRPr="00274C0A">
        <w:rPr>
          <w:i w:val="0"/>
          <w:color w:val="000000" w:themeColor="text1"/>
        </w:rPr>
        <w:t xml:space="preserve">; Sindhu Kashyap, “Starting from a Garage in Kolkata, Wow! Momo Has over 130 Outlets in 9 Cities,” YourStory, November 7, 2017, accessed March 28, 2018, https://yourstory.com/2017/11/starting-garage-kolkata-wow-momo-130-outlets-9-cities/. </w:t>
      </w:r>
    </w:p>
  </w:endnote>
  <w:endnote w:id="40">
    <w:p w14:paraId="75D0A73B" w14:textId="77777777" w:rsidR="00083D70" w:rsidRPr="00274C0A" w:rsidRDefault="00083D70" w:rsidP="00D57CE2">
      <w:pPr>
        <w:pStyle w:val="Footnote"/>
        <w:rPr>
          <w:color w:val="000000" w:themeColor="text1"/>
        </w:rPr>
      </w:pPr>
      <w:r w:rsidRPr="00274C0A">
        <w:rPr>
          <w:rStyle w:val="EndnoteReference"/>
          <w:i w:val="0"/>
          <w:color w:val="000000" w:themeColor="text1"/>
        </w:rPr>
        <w:endnoteRef/>
      </w:r>
      <w:r w:rsidRPr="00274C0A">
        <w:rPr>
          <w:i w:val="0"/>
          <w:color w:val="000000" w:themeColor="text1"/>
        </w:rPr>
        <w:t xml:space="preserve"> </w:t>
      </w:r>
      <w:r w:rsidRPr="00274C0A">
        <w:rPr>
          <w:i w:val="0"/>
          <w:color w:val="000000" w:themeColor="text1"/>
          <w:szCs w:val="16"/>
        </w:rPr>
        <w:t>“Russia Country Profile,” BBC, May 8, 2018, accessed June 13, 2018, https://www.bbc.com/news/world-europe-17839672; “The World Bank in Russia – Overview,” The World Bank, April 18, 2018, accessed June 13, 2018, www.worldbank.org/en/country/russia/overview.</w:t>
      </w:r>
    </w:p>
  </w:endnote>
  <w:endnote w:id="41">
    <w:p w14:paraId="55A672C1" w14:textId="200C75C6"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Andrew E. Kramer, “Russia Becomes a Magnet for U.S. Fast-Food Chains,” </w:t>
      </w:r>
      <w:r w:rsidRPr="00274C0A">
        <w:rPr>
          <w:color w:val="000000" w:themeColor="text1"/>
        </w:rPr>
        <w:t>New York Times</w:t>
      </w:r>
      <w:r w:rsidRPr="00274C0A">
        <w:rPr>
          <w:i w:val="0"/>
          <w:color w:val="000000" w:themeColor="text1"/>
        </w:rPr>
        <w:t>, August 3, 2011, accessed March 28, 2018, https://www.nytimes.com/2011/08/04/business/global/russia-becomes-a-magnet-for-american-fast-food-chains.html; The School of Russian and Asian Studies, “The Fast Food Phenomenon: Russia’s Other Booming Market,” PopKult, October 10, 2004, accessed March 28, 2018, http://popkult.org/fast-food-phenomenon/.</w:t>
      </w:r>
    </w:p>
  </w:endnote>
  <w:endnote w:id="42">
    <w:p w14:paraId="6D8D3079" w14:textId="5245460A" w:rsidR="00083D70" w:rsidRPr="00274C0A" w:rsidRDefault="00083D70" w:rsidP="00D57CE2">
      <w:pPr>
        <w:pStyle w:val="Footnote"/>
        <w:rPr>
          <w:color w:val="000000" w:themeColor="text1"/>
        </w:rPr>
      </w:pPr>
      <w:r w:rsidRPr="00274C0A">
        <w:rPr>
          <w:rStyle w:val="EndnoteReference"/>
          <w:i w:val="0"/>
          <w:color w:val="000000" w:themeColor="text1"/>
          <w:sz w:val="16"/>
        </w:rPr>
        <w:endnoteRef/>
      </w:r>
      <w:r w:rsidRPr="00274C0A">
        <w:rPr>
          <w:i w:val="0"/>
          <w:color w:val="000000" w:themeColor="text1"/>
        </w:rPr>
        <w:t xml:space="preserve"> Kramer, op. cit.</w:t>
      </w:r>
    </w:p>
  </w:endnote>
  <w:endnote w:id="43">
    <w:p w14:paraId="549ADCA8" w14:textId="469CC3E0" w:rsidR="00083D70" w:rsidRPr="00AC1142" w:rsidRDefault="00083D70" w:rsidP="00D57CE2">
      <w:pPr>
        <w:pStyle w:val="Footnote"/>
      </w:pPr>
      <w:r w:rsidRPr="00274C0A">
        <w:rPr>
          <w:rStyle w:val="EndnoteReference"/>
          <w:i w:val="0"/>
          <w:color w:val="000000" w:themeColor="text1"/>
          <w:sz w:val="16"/>
        </w:rPr>
        <w:endnoteRef/>
      </w:r>
      <w:r w:rsidRPr="00274C0A">
        <w:rPr>
          <w:i w:val="0"/>
          <w:color w:val="000000" w:themeColor="text1"/>
        </w:rPr>
        <w:t xml:space="preserve"> Valery Sharifulin, “McDonald's to use only local products in Russian outlets,” Russia Beyond, February 2, 2017, accessed March 28, 2018, https://www.rbth.com/business</w:t>
      </w:r>
      <w:r w:rsidRPr="00D57CE2">
        <w:rPr>
          <w:i w:val="0"/>
        </w:rPr>
        <w:t>/2017/02/02/mcdonalds-to-use-only-local-products-in-russian-outlets_693896</w:t>
      </w:r>
      <w:r>
        <w:rPr>
          <w:i w:val="0"/>
        </w:rPr>
        <w:t>;</w:t>
      </w:r>
      <w:r w:rsidRPr="00AC1142">
        <w:rPr>
          <w:i w:val="0"/>
        </w:rPr>
        <w:t xml:space="preserve"> “Burger King to </w:t>
      </w:r>
      <w:r>
        <w:rPr>
          <w:i w:val="0"/>
        </w:rPr>
        <w:t>O</w:t>
      </w:r>
      <w:r w:rsidRPr="00AC1142">
        <w:rPr>
          <w:i w:val="0"/>
        </w:rPr>
        <w:t xml:space="preserve">pen over 100 </w:t>
      </w:r>
      <w:r>
        <w:rPr>
          <w:i w:val="0"/>
        </w:rPr>
        <w:t>R</w:t>
      </w:r>
      <w:r w:rsidRPr="00AC1142">
        <w:rPr>
          <w:i w:val="0"/>
        </w:rPr>
        <w:t>estaurants in Russia in 2018,” Interfax, November 29, 2017, accessed March 28, 2018, http://interfax.com/newsinf.asp?pg=10&amp;id=793904</w:t>
      </w:r>
      <w:r>
        <w:rPr>
          <w:i w:val="0"/>
        </w:rPr>
        <w:t>;</w:t>
      </w:r>
      <w:r w:rsidRPr="00AC1142">
        <w:rPr>
          <w:i w:val="0"/>
        </w:rPr>
        <w:t xml:space="preserve"> “U.S. </w:t>
      </w:r>
      <w:r>
        <w:rPr>
          <w:i w:val="0"/>
        </w:rPr>
        <w:t>F</w:t>
      </w:r>
      <w:r w:rsidRPr="00AC1142">
        <w:rPr>
          <w:i w:val="0"/>
        </w:rPr>
        <w:t>ast-</w:t>
      </w:r>
      <w:r>
        <w:rPr>
          <w:i w:val="0"/>
        </w:rPr>
        <w:t>F</w:t>
      </w:r>
      <w:r w:rsidRPr="00AC1142">
        <w:rPr>
          <w:i w:val="0"/>
        </w:rPr>
        <w:t xml:space="preserve">ood </w:t>
      </w:r>
      <w:r>
        <w:rPr>
          <w:i w:val="0"/>
        </w:rPr>
        <w:t>C</w:t>
      </w:r>
      <w:r w:rsidRPr="00AC1142">
        <w:rPr>
          <w:i w:val="0"/>
        </w:rPr>
        <w:t xml:space="preserve">hain Carl’s Jr. </w:t>
      </w:r>
      <w:r>
        <w:rPr>
          <w:i w:val="0"/>
        </w:rPr>
        <w:t>t</w:t>
      </w:r>
      <w:r w:rsidRPr="00AC1142">
        <w:rPr>
          <w:i w:val="0"/>
        </w:rPr>
        <w:t xml:space="preserve">o </w:t>
      </w:r>
      <w:r>
        <w:rPr>
          <w:i w:val="0"/>
        </w:rPr>
        <w:t>C</w:t>
      </w:r>
      <w:r w:rsidRPr="00AC1142">
        <w:rPr>
          <w:i w:val="0"/>
        </w:rPr>
        <w:t xml:space="preserve">lose over </w:t>
      </w:r>
      <w:r>
        <w:rPr>
          <w:i w:val="0"/>
        </w:rPr>
        <w:t>H</w:t>
      </w:r>
      <w:r w:rsidRPr="00AC1142">
        <w:rPr>
          <w:i w:val="0"/>
        </w:rPr>
        <w:t xml:space="preserve">alf of </w:t>
      </w:r>
      <w:r>
        <w:rPr>
          <w:i w:val="0"/>
        </w:rPr>
        <w:t>R</w:t>
      </w:r>
      <w:r w:rsidRPr="00AC1142">
        <w:rPr>
          <w:i w:val="0"/>
        </w:rPr>
        <w:t>estaurants in Russia,” Xinhua, January 13, 2015, accessed March 28, 2018, www.xinhuanet.com/english/europe/europe/2015-01/13/c_133914277.htm.</w:t>
      </w:r>
    </w:p>
  </w:endnote>
  <w:endnote w:id="44">
    <w:p w14:paraId="540FEE60" w14:textId="77777777" w:rsidR="00083D70" w:rsidRPr="00AC1142" w:rsidRDefault="00083D70" w:rsidP="00D57CE2">
      <w:pPr>
        <w:pStyle w:val="Footnote"/>
      </w:pPr>
      <w:r w:rsidRPr="00AC1142">
        <w:rPr>
          <w:rStyle w:val="EndnoteReference"/>
          <w:i w:val="0"/>
          <w:sz w:val="16"/>
        </w:rPr>
        <w:endnoteRef/>
      </w:r>
      <w:r>
        <w:rPr>
          <w:i w:val="0"/>
        </w:rPr>
        <w:t xml:space="preserve"> </w:t>
      </w:r>
      <w:r w:rsidRPr="00AC1142">
        <w:rPr>
          <w:i w:val="0"/>
        </w:rPr>
        <w:t xml:space="preserve">“Russia’s </w:t>
      </w:r>
      <w:r>
        <w:rPr>
          <w:i w:val="0"/>
        </w:rPr>
        <w:t>F</w:t>
      </w:r>
      <w:r w:rsidRPr="00AC1142">
        <w:rPr>
          <w:i w:val="0"/>
        </w:rPr>
        <w:t xml:space="preserve">ast </w:t>
      </w:r>
      <w:r>
        <w:rPr>
          <w:i w:val="0"/>
        </w:rPr>
        <w:t>F</w:t>
      </w:r>
      <w:r w:rsidRPr="00AC1142">
        <w:rPr>
          <w:i w:val="0"/>
        </w:rPr>
        <w:t xml:space="preserve">ood </w:t>
      </w:r>
      <w:r>
        <w:rPr>
          <w:i w:val="0"/>
        </w:rPr>
        <w:t>M</w:t>
      </w:r>
      <w:r w:rsidRPr="00AC1142">
        <w:rPr>
          <w:i w:val="0"/>
        </w:rPr>
        <w:t xml:space="preserve">arket: </w:t>
      </w:r>
      <w:r>
        <w:rPr>
          <w:i w:val="0"/>
        </w:rPr>
        <w:t>R</w:t>
      </w:r>
      <w:r w:rsidRPr="00AC1142">
        <w:rPr>
          <w:i w:val="0"/>
        </w:rPr>
        <w:t xml:space="preserve">esilient &amp; </w:t>
      </w:r>
      <w:r>
        <w:rPr>
          <w:i w:val="0"/>
        </w:rPr>
        <w:t>R</w:t>
      </w:r>
      <w:r w:rsidRPr="00AC1142">
        <w:rPr>
          <w:i w:val="0"/>
        </w:rPr>
        <w:t xml:space="preserve">obust,” ITE, March 14, 2017, accessed March 28, 2018, https://www.food-exhibitions.com/Market-Insights/Russia/Russia-fast-food-market-resilient-robust. </w:t>
      </w:r>
    </w:p>
  </w:endnote>
  <w:endnote w:id="45">
    <w:p w14:paraId="0238AE72" w14:textId="77777777" w:rsidR="00083D70" w:rsidRPr="00467C02" w:rsidRDefault="00083D70" w:rsidP="00274C0A">
      <w:pPr>
        <w:pStyle w:val="Footnote"/>
      </w:pPr>
      <w:r w:rsidRPr="00274C0A">
        <w:rPr>
          <w:rStyle w:val="EndnoteReference"/>
          <w:i w:val="0"/>
        </w:rPr>
        <w:endnoteRef/>
      </w:r>
      <w:r w:rsidRPr="00274C0A">
        <w:rPr>
          <w:i w:val="0"/>
        </w:rPr>
        <w:t xml:space="preserve"> </w:t>
      </w:r>
      <w:r>
        <w:t>“</w:t>
      </w:r>
      <w:r w:rsidRPr="00274C0A">
        <w:rPr>
          <w:i w:val="0"/>
          <w:lang w:val="en-CA"/>
        </w:rPr>
        <w:t>Overview of the World’s Emerging Restaurant Markets,” op. cit.</w:t>
      </w:r>
    </w:p>
  </w:endnote>
  <w:endnote w:id="46">
    <w:p w14:paraId="4C2565CB" w14:textId="45694042" w:rsidR="00083D70" w:rsidRPr="00AC1142" w:rsidRDefault="00083D70" w:rsidP="00D57CE2">
      <w:pPr>
        <w:pStyle w:val="Footnote"/>
      </w:pPr>
      <w:r w:rsidRPr="00AC1142">
        <w:rPr>
          <w:rStyle w:val="EndnoteReference"/>
          <w:i w:val="0"/>
        </w:rPr>
        <w:endnoteRef/>
      </w:r>
      <w:r w:rsidRPr="00AC1142">
        <w:rPr>
          <w:i w:val="0"/>
        </w:rPr>
        <w:t xml:space="preserve"> </w:t>
      </w:r>
      <w:r>
        <w:rPr>
          <w:i w:val="0"/>
          <w:lang w:val="en-CA"/>
        </w:rPr>
        <w:t>Ibid.;</w:t>
      </w:r>
      <w:r w:rsidRPr="00AC1142">
        <w:rPr>
          <w:i w:val="0"/>
          <w:szCs w:val="16"/>
        </w:rPr>
        <w:t xml:space="preserve"> “Colombia </w:t>
      </w:r>
      <w:r>
        <w:rPr>
          <w:i w:val="0"/>
          <w:szCs w:val="16"/>
        </w:rPr>
        <w:t>C</w:t>
      </w:r>
      <w:r w:rsidRPr="00AC1142">
        <w:rPr>
          <w:i w:val="0"/>
          <w:szCs w:val="16"/>
        </w:rPr>
        <w:t xml:space="preserve">ountry </w:t>
      </w:r>
      <w:r>
        <w:rPr>
          <w:i w:val="0"/>
          <w:szCs w:val="16"/>
        </w:rPr>
        <w:t>P</w:t>
      </w:r>
      <w:r w:rsidRPr="00AC1142">
        <w:rPr>
          <w:i w:val="0"/>
          <w:szCs w:val="16"/>
        </w:rPr>
        <w:t>rofile,” BBC, May 31, 2018, accessed June 13, 2018, https://www.bbc.com/news/world-latin-america-19390026; “The World Bank in Colombia – Overview,” The World Bank, April 16, 2018, accessed June 13, 2018, www.worldbank.org/en/country/colombia/overview.</w:t>
      </w:r>
    </w:p>
  </w:endnote>
  <w:endnote w:id="47">
    <w:p w14:paraId="51BEEC9E" w14:textId="77777777" w:rsidR="00083D70" w:rsidRPr="00AC1142" w:rsidRDefault="00083D70" w:rsidP="00D57CE2">
      <w:pPr>
        <w:pStyle w:val="Footnote"/>
      </w:pPr>
      <w:r w:rsidRPr="00AC1142">
        <w:rPr>
          <w:rStyle w:val="EndnoteReference"/>
          <w:i w:val="0"/>
          <w:sz w:val="16"/>
        </w:rPr>
        <w:endnoteRef/>
      </w:r>
      <w:r>
        <w:rPr>
          <w:i w:val="0"/>
        </w:rPr>
        <w:t xml:space="preserve"> </w:t>
      </w:r>
      <w:r w:rsidRPr="00C7157B">
        <w:rPr>
          <w:i w:val="0"/>
          <w:spacing w:val="-4"/>
          <w:kern w:val="17"/>
        </w:rPr>
        <w:t>Food Export Association of the Midwest USA and Food Export USA, “Colombia Country Profile,” Food Export, 2015, accessed March 28, 2018, https://www.foodexport.org/get-started/country-market-profiles/south-america/colombia-country-profile</w:t>
      </w:r>
      <w:r w:rsidRPr="00D57CE2">
        <w:rPr>
          <w:i w:val="0"/>
          <w:spacing w:val="-2"/>
        </w:rPr>
        <w:t>.</w:t>
      </w:r>
    </w:p>
  </w:endnote>
  <w:endnote w:id="48">
    <w:p w14:paraId="24885B5E" w14:textId="77777777" w:rsidR="00083D70" w:rsidRPr="00AC1142" w:rsidRDefault="00083D70" w:rsidP="00D57CE2">
      <w:pPr>
        <w:pStyle w:val="Footnote"/>
        <w:rPr>
          <w:lang w:val="en-CA"/>
        </w:rPr>
      </w:pPr>
      <w:r w:rsidRPr="00AC1142">
        <w:rPr>
          <w:rStyle w:val="EndnoteReference"/>
          <w:i w:val="0"/>
          <w:sz w:val="16"/>
        </w:rPr>
        <w:endnoteRef/>
      </w:r>
      <w:r w:rsidRPr="00AC1142">
        <w:rPr>
          <w:i w:val="0"/>
        </w:rPr>
        <w:t xml:space="preserve"> “Number of McDonald’s </w:t>
      </w:r>
      <w:r>
        <w:rPr>
          <w:i w:val="0"/>
        </w:rPr>
        <w:t>R</w:t>
      </w:r>
      <w:r w:rsidRPr="00AC1142">
        <w:rPr>
          <w:i w:val="0"/>
        </w:rPr>
        <w:t xml:space="preserve">estaurants in Latin America from 2016 to 2017, by </w:t>
      </w:r>
      <w:r>
        <w:rPr>
          <w:i w:val="0"/>
        </w:rPr>
        <w:t>C</w:t>
      </w:r>
      <w:r w:rsidRPr="00AC1142">
        <w:rPr>
          <w:i w:val="0"/>
        </w:rPr>
        <w:t xml:space="preserve">ountry,” Statista, accessed March 28, 2018, https://www.statista.com/statistics/256052/mcdonalds-restaurants-in-latin-america/. </w:t>
      </w:r>
    </w:p>
  </w:endnote>
  <w:endnote w:id="49">
    <w:p w14:paraId="1E25E331" w14:textId="071344D7" w:rsidR="00083D70" w:rsidRPr="00AC1142" w:rsidRDefault="00083D70" w:rsidP="00D57CE2">
      <w:pPr>
        <w:pStyle w:val="Footnote"/>
        <w:rPr>
          <w:lang w:val="en-CA"/>
        </w:rPr>
      </w:pPr>
      <w:r w:rsidRPr="00AC1142">
        <w:rPr>
          <w:rStyle w:val="EndnoteReference"/>
          <w:i w:val="0"/>
          <w:sz w:val="16"/>
        </w:rPr>
        <w:endnoteRef/>
      </w:r>
      <w:r w:rsidRPr="00AC1142">
        <w:rPr>
          <w:i w:val="0"/>
        </w:rPr>
        <w:t xml:space="preserve">Andres Schipani, “Burger King </w:t>
      </w:r>
      <w:r>
        <w:rPr>
          <w:i w:val="0"/>
        </w:rPr>
        <w:t>B</w:t>
      </w:r>
      <w:r w:rsidRPr="00AC1142">
        <w:rPr>
          <w:i w:val="0"/>
        </w:rPr>
        <w:t>eefs up in Colombia,”</w:t>
      </w:r>
      <w:r>
        <w:rPr>
          <w:i w:val="0"/>
        </w:rPr>
        <w:t xml:space="preserve"> </w:t>
      </w:r>
      <w:r w:rsidRPr="00407B9A">
        <w:t>Financial Times</w:t>
      </w:r>
      <w:r w:rsidRPr="00AC1142">
        <w:rPr>
          <w:i w:val="0"/>
        </w:rPr>
        <w:t xml:space="preserve">, October 24, 2012, accessed March 28, 2018, https://www.ft.com/content/2b2a3107-b9ed-3a56-b9f0-c9f7f8ad9fe2. </w:t>
      </w:r>
    </w:p>
  </w:endnote>
  <w:endnote w:id="50">
    <w:p w14:paraId="2E899190" w14:textId="77777777" w:rsidR="00083D70" w:rsidRPr="00AC1142" w:rsidRDefault="00083D70" w:rsidP="00D57CE2">
      <w:pPr>
        <w:pStyle w:val="Footnote"/>
        <w:rPr>
          <w:szCs w:val="16"/>
        </w:rPr>
      </w:pPr>
      <w:r w:rsidRPr="00AC1142">
        <w:rPr>
          <w:rStyle w:val="EndnoteReference"/>
          <w:i w:val="0"/>
        </w:rPr>
        <w:endnoteRef/>
      </w:r>
      <w:r w:rsidRPr="00AC1142">
        <w:rPr>
          <w:i w:val="0"/>
        </w:rPr>
        <w:t xml:space="preserve"> </w:t>
      </w:r>
      <w:r w:rsidRPr="00AC1142">
        <w:rPr>
          <w:i w:val="0"/>
          <w:szCs w:val="16"/>
        </w:rPr>
        <w:t xml:space="preserve">“Vietnam </w:t>
      </w:r>
      <w:r>
        <w:rPr>
          <w:i w:val="0"/>
          <w:szCs w:val="16"/>
        </w:rPr>
        <w:t>C</w:t>
      </w:r>
      <w:r w:rsidRPr="00AC1142">
        <w:rPr>
          <w:i w:val="0"/>
          <w:szCs w:val="16"/>
        </w:rPr>
        <w:t xml:space="preserve">ountry </w:t>
      </w:r>
      <w:r>
        <w:rPr>
          <w:i w:val="0"/>
          <w:szCs w:val="16"/>
        </w:rPr>
        <w:t>P</w:t>
      </w:r>
      <w:r w:rsidRPr="00AC1142">
        <w:rPr>
          <w:i w:val="0"/>
          <w:szCs w:val="16"/>
        </w:rPr>
        <w:t>rofile,” BBC, April 22, 2018, accessed June 13, 2018, https://www.bbc.com/news/world-asia-pacific-16567315; “The World Bank in Vietnam – Overview,” The World Bank, April 19, 2018, accessed June 13, 2018, www.worldbank.org/en/country/vietnam/overview.</w:t>
      </w:r>
    </w:p>
  </w:endnote>
  <w:endnote w:id="51">
    <w:p w14:paraId="6EA21514" w14:textId="77777777" w:rsidR="00083D70" w:rsidRPr="00AC1142" w:rsidRDefault="00083D70" w:rsidP="00D57CE2">
      <w:pPr>
        <w:pStyle w:val="Footnote"/>
      </w:pPr>
      <w:r w:rsidRPr="00AC1142">
        <w:rPr>
          <w:rStyle w:val="EndnoteReference"/>
          <w:i w:val="0"/>
          <w:sz w:val="16"/>
        </w:rPr>
        <w:endnoteRef/>
      </w:r>
      <w:r w:rsidRPr="00AC1142">
        <w:rPr>
          <w:i w:val="0"/>
          <w:lang w:val="en-CA"/>
        </w:rPr>
        <w:t xml:space="preserve"> “Overview of the World’s Emerging Restaurant Markets,” </w:t>
      </w:r>
      <w:r>
        <w:rPr>
          <w:i w:val="0"/>
          <w:lang w:val="en-CA"/>
        </w:rPr>
        <w:t>op. cit.</w:t>
      </w:r>
    </w:p>
  </w:endnote>
  <w:endnote w:id="52">
    <w:p w14:paraId="4E90BACF" w14:textId="0D98393B" w:rsidR="00083D70" w:rsidRPr="00AC1142" w:rsidRDefault="00083D70" w:rsidP="00D57CE2">
      <w:pPr>
        <w:pStyle w:val="Footnote"/>
      </w:pPr>
      <w:r w:rsidRPr="00AC1142">
        <w:rPr>
          <w:rStyle w:val="EndnoteReference"/>
          <w:i w:val="0"/>
          <w:sz w:val="16"/>
        </w:rPr>
        <w:endnoteRef/>
      </w:r>
      <w:r>
        <w:rPr>
          <w:i w:val="0"/>
          <w:szCs w:val="16"/>
        </w:rPr>
        <w:t xml:space="preserve"> </w:t>
      </w:r>
      <w:r w:rsidRPr="00AC1142">
        <w:rPr>
          <w:i w:val="0"/>
        </w:rPr>
        <w:t xml:space="preserve">Than Van, “McDonald’s Vietnam to </w:t>
      </w:r>
      <w:r>
        <w:rPr>
          <w:i w:val="0"/>
        </w:rPr>
        <w:t>O</w:t>
      </w:r>
      <w:r w:rsidRPr="00AC1142">
        <w:rPr>
          <w:i w:val="0"/>
        </w:rPr>
        <w:t xml:space="preserve">pen </w:t>
      </w:r>
      <w:r>
        <w:rPr>
          <w:i w:val="0"/>
        </w:rPr>
        <w:t>F</w:t>
      </w:r>
      <w:r w:rsidRPr="00AC1142">
        <w:rPr>
          <w:i w:val="0"/>
        </w:rPr>
        <w:t xml:space="preserve">irst </w:t>
      </w:r>
      <w:r>
        <w:rPr>
          <w:i w:val="0"/>
        </w:rPr>
        <w:t>R</w:t>
      </w:r>
      <w:r w:rsidRPr="00AC1142">
        <w:rPr>
          <w:i w:val="0"/>
        </w:rPr>
        <w:t xml:space="preserve">estaurant in Hanoi,” </w:t>
      </w:r>
      <w:r w:rsidRPr="00407B9A">
        <w:t>Vietnam Investment Review</w:t>
      </w:r>
      <w:r w:rsidRPr="00AC1142">
        <w:rPr>
          <w:i w:val="0"/>
        </w:rPr>
        <w:t xml:space="preserve">, November 4, 2017, accessed March 28, 2018, </w:t>
      </w:r>
      <w:r w:rsidRPr="00274C0A">
        <w:rPr>
          <w:i w:val="0"/>
        </w:rPr>
        <w:t>www.vir.com.vn/mcdonalds-vietnam-to-open-first-restaurant-in-hanoi-53494.html</w:t>
      </w:r>
      <w:r>
        <w:rPr>
          <w:i w:val="0"/>
        </w:rPr>
        <w:t xml:space="preserve">; </w:t>
      </w:r>
      <w:r w:rsidRPr="00D57CE2">
        <w:rPr>
          <w:i w:val="0"/>
        </w:rPr>
        <w:t xml:space="preserve">Tri Thuc Tre, “Is Burger King Leaving Vietnam after Closing Several Restaurants?,” VietNamNet Bridge, January 29, 2016, accessed March 28, 2018, </w:t>
      </w:r>
      <w:r w:rsidRPr="00274C0A">
        <w:rPr>
          <w:i w:val="0"/>
        </w:rPr>
        <w:t>http://english.vietnamnet.vn/fms/business/150647/is-burger-king-leaving-vietnam-after-closing-several-restaurants-.html</w:t>
      </w:r>
      <w:r>
        <w:rPr>
          <w:i w:val="0"/>
        </w:rPr>
        <w:t xml:space="preserve">; </w:t>
      </w:r>
      <w:r w:rsidRPr="00AC1142">
        <w:rPr>
          <w:i w:val="0"/>
          <w:szCs w:val="16"/>
        </w:rPr>
        <w:t xml:space="preserve">Nancy Luna, “Carl’s Jr. </w:t>
      </w:r>
      <w:r>
        <w:rPr>
          <w:i w:val="0"/>
          <w:szCs w:val="16"/>
        </w:rPr>
        <w:t>O</w:t>
      </w:r>
      <w:r w:rsidRPr="00AC1142">
        <w:rPr>
          <w:i w:val="0"/>
          <w:szCs w:val="16"/>
        </w:rPr>
        <w:t xml:space="preserve">pens </w:t>
      </w:r>
      <w:r>
        <w:rPr>
          <w:i w:val="0"/>
          <w:szCs w:val="16"/>
        </w:rPr>
        <w:t>F</w:t>
      </w:r>
      <w:r w:rsidRPr="00AC1142">
        <w:rPr>
          <w:i w:val="0"/>
          <w:szCs w:val="16"/>
        </w:rPr>
        <w:t xml:space="preserve">irst of 25 </w:t>
      </w:r>
      <w:r>
        <w:rPr>
          <w:i w:val="0"/>
          <w:szCs w:val="16"/>
        </w:rPr>
        <w:t>L</w:t>
      </w:r>
      <w:r w:rsidRPr="00AC1142">
        <w:rPr>
          <w:i w:val="0"/>
          <w:szCs w:val="16"/>
        </w:rPr>
        <w:t xml:space="preserve">ocations </w:t>
      </w:r>
      <w:r>
        <w:rPr>
          <w:i w:val="0"/>
          <w:szCs w:val="16"/>
        </w:rPr>
        <w:t>P</w:t>
      </w:r>
      <w:r w:rsidRPr="00AC1142">
        <w:rPr>
          <w:i w:val="0"/>
          <w:szCs w:val="16"/>
        </w:rPr>
        <w:t xml:space="preserve">lanned in Vietnam,” </w:t>
      </w:r>
      <w:r w:rsidRPr="00407B9A">
        <w:rPr>
          <w:szCs w:val="16"/>
        </w:rPr>
        <w:t>Orange County Register</w:t>
      </w:r>
      <w:r w:rsidRPr="00AC1142">
        <w:rPr>
          <w:i w:val="0"/>
          <w:szCs w:val="16"/>
        </w:rPr>
        <w:t>, June 1, 2010, accessed March 28, 2018, https://www.ocregister.com/2010/06/01/carls-jr-opens-first-of-25-locations-planned-in-vietnam/.</w:t>
      </w:r>
      <w:r w:rsidRPr="00AC1142">
        <w:rPr>
          <w:i w:val="0"/>
        </w:rPr>
        <w:t xml:space="preserve"> </w:t>
      </w:r>
    </w:p>
  </w:endnote>
  <w:endnote w:id="53">
    <w:p w14:paraId="215B6F8B" w14:textId="77777777" w:rsidR="00083D70" w:rsidRPr="00967073" w:rsidRDefault="00083D70" w:rsidP="00D57CE2">
      <w:pPr>
        <w:pStyle w:val="Footnote"/>
        <w:rPr>
          <w:sz w:val="14"/>
          <w:szCs w:val="16"/>
          <w:lang w:val="en-CA"/>
        </w:rPr>
      </w:pPr>
      <w:r w:rsidRPr="00AC1142">
        <w:rPr>
          <w:rStyle w:val="EndnoteReference"/>
          <w:i w:val="0"/>
          <w:sz w:val="16"/>
        </w:rPr>
        <w:endnoteRef/>
      </w:r>
      <w:r>
        <w:rPr>
          <w:i w:val="0"/>
        </w:rPr>
        <w:t xml:space="preserve"> </w:t>
      </w:r>
      <w:r w:rsidRPr="00AC1142">
        <w:rPr>
          <w:i w:val="0"/>
        </w:rPr>
        <w:t xml:space="preserve">Ngoc Lan, “Not to </w:t>
      </w:r>
      <w:r>
        <w:rPr>
          <w:i w:val="0"/>
        </w:rPr>
        <w:t>E</w:t>
      </w:r>
      <w:r w:rsidRPr="00AC1142">
        <w:rPr>
          <w:i w:val="0"/>
        </w:rPr>
        <w:t xml:space="preserve">veryone’s </w:t>
      </w:r>
      <w:r>
        <w:rPr>
          <w:i w:val="0"/>
        </w:rPr>
        <w:t>T</w:t>
      </w:r>
      <w:r w:rsidRPr="00AC1142">
        <w:rPr>
          <w:i w:val="0"/>
        </w:rPr>
        <w:t xml:space="preserve">aste,” </w:t>
      </w:r>
      <w:r w:rsidRPr="00407B9A">
        <w:t>Vietnam Economic Times</w:t>
      </w:r>
      <w:r w:rsidRPr="00AC1142">
        <w:rPr>
          <w:i w:val="0"/>
        </w:rPr>
        <w:t>, July 23, 2017, accessed March 28, 2018, http://vneconomictimes.com/article/business/not-to-everyone-s-taste.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2A3F7" w14:textId="77777777" w:rsidR="00573BBB" w:rsidRDefault="00573BBB" w:rsidP="00D75295">
      <w:r>
        <w:separator/>
      </w:r>
    </w:p>
  </w:footnote>
  <w:footnote w:type="continuationSeparator" w:id="0">
    <w:p w14:paraId="64FA2333" w14:textId="77777777" w:rsidR="00573BBB" w:rsidRDefault="00573BB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2F1CE" w14:textId="0C246AF2" w:rsidR="00573BBB" w:rsidRPr="00C92CC4" w:rsidRDefault="00573BBB" w:rsidP="00C966C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84869">
      <w:rPr>
        <w:rFonts w:ascii="Arial" w:hAnsi="Arial"/>
        <w:b/>
        <w:noProof/>
      </w:rPr>
      <w:t>7</w:t>
    </w:r>
    <w:r>
      <w:rPr>
        <w:rFonts w:ascii="Arial" w:hAnsi="Arial"/>
        <w:b/>
      </w:rPr>
      <w:fldChar w:fldCharType="end"/>
    </w:r>
    <w:r>
      <w:rPr>
        <w:rFonts w:ascii="Arial" w:hAnsi="Arial"/>
        <w:b/>
      </w:rPr>
      <w:tab/>
    </w:r>
    <w:r w:rsidR="00716BB8">
      <w:rPr>
        <w:rFonts w:ascii="Arial" w:hAnsi="Arial"/>
        <w:b/>
      </w:rPr>
      <w:t>9B18A052</w:t>
    </w:r>
  </w:p>
  <w:p w14:paraId="3043611A" w14:textId="77777777" w:rsidR="00573BBB" w:rsidRDefault="00573BBB" w:rsidP="00C966C3">
    <w:pPr>
      <w:pStyle w:val="Header"/>
      <w:tabs>
        <w:tab w:val="clear" w:pos="4680"/>
      </w:tabs>
      <w:rPr>
        <w:sz w:val="18"/>
        <w:szCs w:val="18"/>
      </w:rPr>
    </w:pPr>
  </w:p>
  <w:p w14:paraId="23F0E043" w14:textId="77777777" w:rsidR="00573BBB" w:rsidRDefault="00573B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7022D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E6C12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C3E49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7402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4825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D60F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9020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5652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1C75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6840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944"/>
    <w:rsid w:val="00013360"/>
    <w:rsid w:val="00015A76"/>
    <w:rsid w:val="00016759"/>
    <w:rsid w:val="000216CE"/>
    <w:rsid w:val="00023343"/>
    <w:rsid w:val="000237DB"/>
    <w:rsid w:val="000248FB"/>
    <w:rsid w:val="00025DC7"/>
    <w:rsid w:val="0002728F"/>
    <w:rsid w:val="0003171E"/>
    <w:rsid w:val="00035F09"/>
    <w:rsid w:val="0003616E"/>
    <w:rsid w:val="00040F59"/>
    <w:rsid w:val="0004260B"/>
    <w:rsid w:val="00043937"/>
    <w:rsid w:val="00044ECC"/>
    <w:rsid w:val="00045A51"/>
    <w:rsid w:val="00052EAE"/>
    <w:rsid w:val="000531D3"/>
    <w:rsid w:val="00054EEE"/>
    <w:rsid w:val="0005646B"/>
    <w:rsid w:val="00060F66"/>
    <w:rsid w:val="000724A3"/>
    <w:rsid w:val="0007698E"/>
    <w:rsid w:val="0008102D"/>
    <w:rsid w:val="00083D70"/>
    <w:rsid w:val="000877CC"/>
    <w:rsid w:val="0009054D"/>
    <w:rsid w:val="00091B1D"/>
    <w:rsid w:val="00092A89"/>
    <w:rsid w:val="00093319"/>
    <w:rsid w:val="00094C0E"/>
    <w:rsid w:val="00095827"/>
    <w:rsid w:val="00095DE5"/>
    <w:rsid w:val="00096C5D"/>
    <w:rsid w:val="000A4A3B"/>
    <w:rsid w:val="000B0941"/>
    <w:rsid w:val="000B33CF"/>
    <w:rsid w:val="000C4545"/>
    <w:rsid w:val="000C7911"/>
    <w:rsid w:val="000D0DCE"/>
    <w:rsid w:val="000D2765"/>
    <w:rsid w:val="000D4BFC"/>
    <w:rsid w:val="000D7091"/>
    <w:rsid w:val="000D797B"/>
    <w:rsid w:val="000D7B93"/>
    <w:rsid w:val="000F0C22"/>
    <w:rsid w:val="000F19A2"/>
    <w:rsid w:val="000F6B09"/>
    <w:rsid w:val="000F6FDC"/>
    <w:rsid w:val="00100819"/>
    <w:rsid w:val="00102459"/>
    <w:rsid w:val="00104567"/>
    <w:rsid w:val="00104916"/>
    <w:rsid w:val="00104AA7"/>
    <w:rsid w:val="0011393B"/>
    <w:rsid w:val="00116879"/>
    <w:rsid w:val="00120D0F"/>
    <w:rsid w:val="00126EAF"/>
    <w:rsid w:val="0012732D"/>
    <w:rsid w:val="001306BF"/>
    <w:rsid w:val="00131648"/>
    <w:rsid w:val="00131CD0"/>
    <w:rsid w:val="00133FB2"/>
    <w:rsid w:val="00142D47"/>
    <w:rsid w:val="00143F25"/>
    <w:rsid w:val="001478DC"/>
    <w:rsid w:val="001500EB"/>
    <w:rsid w:val="001516FB"/>
    <w:rsid w:val="00151E52"/>
    <w:rsid w:val="00152682"/>
    <w:rsid w:val="0015348C"/>
    <w:rsid w:val="001536FD"/>
    <w:rsid w:val="00154FC9"/>
    <w:rsid w:val="00155689"/>
    <w:rsid w:val="001608C8"/>
    <w:rsid w:val="001629DB"/>
    <w:rsid w:val="001634E5"/>
    <w:rsid w:val="0016356D"/>
    <w:rsid w:val="00166E4B"/>
    <w:rsid w:val="00175622"/>
    <w:rsid w:val="00176AAA"/>
    <w:rsid w:val="00177357"/>
    <w:rsid w:val="00181020"/>
    <w:rsid w:val="00183DE6"/>
    <w:rsid w:val="00191557"/>
    <w:rsid w:val="0019241A"/>
    <w:rsid w:val="001A00A1"/>
    <w:rsid w:val="001A0D3B"/>
    <w:rsid w:val="001A22D1"/>
    <w:rsid w:val="001A2C93"/>
    <w:rsid w:val="001A385E"/>
    <w:rsid w:val="001A4374"/>
    <w:rsid w:val="001A752D"/>
    <w:rsid w:val="001A757E"/>
    <w:rsid w:val="001B1B15"/>
    <w:rsid w:val="001B41BF"/>
    <w:rsid w:val="001B5032"/>
    <w:rsid w:val="001B7217"/>
    <w:rsid w:val="001C5256"/>
    <w:rsid w:val="001C7777"/>
    <w:rsid w:val="001C794A"/>
    <w:rsid w:val="001C7A15"/>
    <w:rsid w:val="001E1BC8"/>
    <w:rsid w:val="001E2175"/>
    <w:rsid w:val="001E364F"/>
    <w:rsid w:val="001E3B06"/>
    <w:rsid w:val="001E51B7"/>
    <w:rsid w:val="001E6BC8"/>
    <w:rsid w:val="001E7847"/>
    <w:rsid w:val="00203AA1"/>
    <w:rsid w:val="00205E3C"/>
    <w:rsid w:val="002064C5"/>
    <w:rsid w:val="00210904"/>
    <w:rsid w:val="00213E98"/>
    <w:rsid w:val="00215E21"/>
    <w:rsid w:val="002200CD"/>
    <w:rsid w:val="002241E6"/>
    <w:rsid w:val="00225FD9"/>
    <w:rsid w:val="002266F6"/>
    <w:rsid w:val="0023081A"/>
    <w:rsid w:val="0023164B"/>
    <w:rsid w:val="00231CF1"/>
    <w:rsid w:val="002346A0"/>
    <w:rsid w:val="00235C63"/>
    <w:rsid w:val="0025015B"/>
    <w:rsid w:val="002546DF"/>
    <w:rsid w:val="00255D45"/>
    <w:rsid w:val="00256444"/>
    <w:rsid w:val="00260447"/>
    <w:rsid w:val="00267A70"/>
    <w:rsid w:val="00274C0A"/>
    <w:rsid w:val="00275292"/>
    <w:rsid w:val="0027673B"/>
    <w:rsid w:val="00283B88"/>
    <w:rsid w:val="00284261"/>
    <w:rsid w:val="00286B35"/>
    <w:rsid w:val="002900EE"/>
    <w:rsid w:val="0029051C"/>
    <w:rsid w:val="002A2581"/>
    <w:rsid w:val="002A61D1"/>
    <w:rsid w:val="002A6AE5"/>
    <w:rsid w:val="002B2077"/>
    <w:rsid w:val="002B3885"/>
    <w:rsid w:val="002B6789"/>
    <w:rsid w:val="002C58BB"/>
    <w:rsid w:val="002C701D"/>
    <w:rsid w:val="002D459B"/>
    <w:rsid w:val="002E482F"/>
    <w:rsid w:val="002E7779"/>
    <w:rsid w:val="002F1D6A"/>
    <w:rsid w:val="002F460C"/>
    <w:rsid w:val="002F48D6"/>
    <w:rsid w:val="002F59B8"/>
    <w:rsid w:val="003050F1"/>
    <w:rsid w:val="00305208"/>
    <w:rsid w:val="00307E7D"/>
    <w:rsid w:val="00315025"/>
    <w:rsid w:val="0031605E"/>
    <w:rsid w:val="00317391"/>
    <w:rsid w:val="00322C84"/>
    <w:rsid w:val="00322D10"/>
    <w:rsid w:val="003249D9"/>
    <w:rsid w:val="00326216"/>
    <w:rsid w:val="003322C8"/>
    <w:rsid w:val="00332CD4"/>
    <w:rsid w:val="00332D76"/>
    <w:rsid w:val="003342E3"/>
    <w:rsid w:val="00336580"/>
    <w:rsid w:val="00336F62"/>
    <w:rsid w:val="00341CC5"/>
    <w:rsid w:val="003430B3"/>
    <w:rsid w:val="00354899"/>
    <w:rsid w:val="00355FD6"/>
    <w:rsid w:val="00362BB2"/>
    <w:rsid w:val="003631E1"/>
    <w:rsid w:val="00364A5C"/>
    <w:rsid w:val="00373FB1"/>
    <w:rsid w:val="00376508"/>
    <w:rsid w:val="00386389"/>
    <w:rsid w:val="003864C6"/>
    <w:rsid w:val="003948AC"/>
    <w:rsid w:val="00395616"/>
    <w:rsid w:val="00395D67"/>
    <w:rsid w:val="00396C76"/>
    <w:rsid w:val="003977CD"/>
    <w:rsid w:val="003A20A1"/>
    <w:rsid w:val="003A25D7"/>
    <w:rsid w:val="003A3B7B"/>
    <w:rsid w:val="003A5C98"/>
    <w:rsid w:val="003B30D8"/>
    <w:rsid w:val="003B44C3"/>
    <w:rsid w:val="003B56D0"/>
    <w:rsid w:val="003B7EF2"/>
    <w:rsid w:val="003C3FA4"/>
    <w:rsid w:val="003D3F51"/>
    <w:rsid w:val="003D4CC4"/>
    <w:rsid w:val="003E2892"/>
    <w:rsid w:val="003E41EB"/>
    <w:rsid w:val="003F1278"/>
    <w:rsid w:val="003F2B0C"/>
    <w:rsid w:val="003F4188"/>
    <w:rsid w:val="003F6E9D"/>
    <w:rsid w:val="004013F1"/>
    <w:rsid w:val="00402F7A"/>
    <w:rsid w:val="00403D0A"/>
    <w:rsid w:val="004057A7"/>
    <w:rsid w:val="00405821"/>
    <w:rsid w:val="00407B9A"/>
    <w:rsid w:val="004105B2"/>
    <w:rsid w:val="00413ADE"/>
    <w:rsid w:val="0041435D"/>
    <w:rsid w:val="00421D50"/>
    <w:rsid w:val="004221E4"/>
    <w:rsid w:val="004273F8"/>
    <w:rsid w:val="00430501"/>
    <w:rsid w:val="00433049"/>
    <w:rsid w:val="004355A3"/>
    <w:rsid w:val="00436097"/>
    <w:rsid w:val="004368EE"/>
    <w:rsid w:val="004378A4"/>
    <w:rsid w:val="004440E9"/>
    <w:rsid w:val="00446546"/>
    <w:rsid w:val="00450C32"/>
    <w:rsid w:val="00451B4F"/>
    <w:rsid w:val="00452769"/>
    <w:rsid w:val="004552F0"/>
    <w:rsid w:val="0045694D"/>
    <w:rsid w:val="00460473"/>
    <w:rsid w:val="00462F7E"/>
    <w:rsid w:val="00465348"/>
    <w:rsid w:val="00466ACF"/>
    <w:rsid w:val="00467C02"/>
    <w:rsid w:val="004743C9"/>
    <w:rsid w:val="00476997"/>
    <w:rsid w:val="00480A78"/>
    <w:rsid w:val="004824FB"/>
    <w:rsid w:val="00482EE4"/>
    <w:rsid w:val="0048468B"/>
    <w:rsid w:val="004862A1"/>
    <w:rsid w:val="00490C14"/>
    <w:rsid w:val="004A2C6A"/>
    <w:rsid w:val="004B0D6E"/>
    <w:rsid w:val="004B1CCB"/>
    <w:rsid w:val="004B2B89"/>
    <w:rsid w:val="004B3B94"/>
    <w:rsid w:val="004B632F"/>
    <w:rsid w:val="004C0ED1"/>
    <w:rsid w:val="004C24BA"/>
    <w:rsid w:val="004D29A2"/>
    <w:rsid w:val="004D2B7F"/>
    <w:rsid w:val="004D3FB1"/>
    <w:rsid w:val="004D556A"/>
    <w:rsid w:val="004D6F21"/>
    <w:rsid w:val="004D73A5"/>
    <w:rsid w:val="004E52CA"/>
    <w:rsid w:val="004F2E4C"/>
    <w:rsid w:val="004F39AA"/>
    <w:rsid w:val="004F6993"/>
    <w:rsid w:val="004F6E10"/>
    <w:rsid w:val="0050054F"/>
    <w:rsid w:val="00503D5C"/>
    <w:rsid w:val="00504336"/>
    <w:rsid w:val="00506B93"/>
    <w:rsid w:val="00512FC6"/>
    <w:rsid w:val="0051355B"/>
    <w:rsid w:val="005160F1"/>
    <w:rsid w:val="00516A04"/>
    <w:rsid w:val="00517CF3"/>
    <w:rsid w:val="0052033A"/>
    <w:rsid w:val="00521700"/>
    <w:rsid w:val="0052193D"/>
    <w:rsid w:val="00522BDE"/>
    <w:rsid w:val="00523229"/>
    <w:rsid w:val="00523588"/>
    <w:rsid w:val="005241F5"/>
    <w:rsid w:val="00524F2F"/>
    <w:rsid w:val="00527E5C"/>
    <w:rsid w:val="00532CF5"/>
    <w:rsid w:val="005462AD"/>
    <w:rsid w:val="00546313"/>
    <w:rsid w:val="005528CB"/>
    <w:rsid w:val="005561D9"/>
    <w:rsid w:val="00556314"/>
    <w:rsid w:val="00561B7C"/>
    <w:rsid w:val="005639C5"/>
    <w:rsid w:val="00566771"/>
    <w:rsid w:val="00571303"/>
    <w:rsid w:val="0057271D"/>
    <w:rsid w:val="00573BBB"/>
    <w:rsid w:val="00575CD3"/>
    <w:rsid w:val="00581E2E"/>
    <w:rsid w:val="00584F15"/>
    <w:rsid w:val="0059514B"/>
    <w:rsid w:val="00595FF1"/>
    <w:rsid w:val="005A0C66"/>
    <w:rsid w:val="005A3A27"/>
    <w:rsid w:val="005A5798"/>
    <w:rsid w:val="005B759D"/>
    <w:rsid w:val="005C3F4B"/>
    <w:rsid w:val="005C5B0D"/>
    <w:rsid w:val="005D2894"/>
    <w:rsid w:val="005D404C"/>
    <w:rsid w:val="005D6A35"/>
    <w:rsid w:val="005E615B"/>
    <w:rsid w:val="005E6C14"/>
    <w:rsid w:val="005F0056"/>
    <w:rsid w:val="005F3A50"/>
    <w:rsid w:val="005F4AB2"/>
    <w:rsid w:val="005F63DE"/>
    <w:rsid w:val="006044E1"/>
    <w:rsid w:val="00604E42"/>
    <w:rsid w:val="006163F7"/>
    <w:rsid w:val="00621F4C"/>
    <w:rsid w:val="006226D8"/>
    <w:rsid w:val="0062341D"/>
    <w:rsid w:val="00623E8C"/>
    <w:rsid w:val="00627C63"/>
    <w:rsid w:val="0063350B"/>
    <w:rsid w:val="00634616"/>
    <w:rsid w:val="00635BDF"/>
    <w:rsid w:val="0063702F"/>
    <w:rsid w:val="00645503"/>
    <w:rsid w:val="0065077B"/>
    <w:rsid w:val="00652606"/>
    <w:rsid w:val="00653E63"/>
    <w:rsid w:val="00655996"/>
    <w:rsid w:val="00662C90"/>
    <w:rsid w:val="0066435D"/>
    <w:rsid w:val="00673807"/>
    <w:rsid w:val="00674442"/>
    <w:rsid w:val="00685A08"/>
    <w:rsid w:val="0068768D"/>
    <w:rsid w:val="006946EE"/>
    <w:rsid w:val="006A315B"/>
    <w:rsid w:val="006A58A9"/>
    <w:rsid w:val="006A606D"/>
    <w:rsid w:val="006A746F"/>
    <w:rsid w:val="006B04CD"/>
    <w:rsid w:val="006B1152"/>
    <w:rsid w:val="006C0371"/>
    <w:rsid w:val="006C08B6"/>
    <w:rsid w:val="006C0B1A"/>
    <w:rsid w:val="006C6065"/>
    <w:rsid w:val="006C6C14"/>
    <w:rsid w:val="006C7F9F"/>
    <w:rsid w:val="006D4684"/>
    <w:rsid w:val="006D5147"/>
    <w:rsid w:val="006D676B"/>
    <w:rsid w:val="006E18BC"/>
    <w:rsid w:val="006E2F6D"/>
    <w:rsid w:val="006E4B12"/>
    <w:rsid w:val="006E58F6"/>
    <w:rsid w:val="006E77E1"/>
    <w:rsid w:val="006F131D"/>
    <w:rsid w:val="006F436D"/>
    <w:rsid w:val="006F455F"/>
    <w:rsid w:val="00701612"/>
    <w:rsid w:val="007056F0"/>
    <w:rsid w:val="00711642"/>
    <w:rsid w:val="00715150"/>
    <w:rsid w:val="00716990"/>
    <w:rsid w:val="00716BB8"/>
    <w:rsid w:val="007214E2"/>
    <w:rsid w:val="00724915"/>
    <w:rsid w:val="007268F5"/>
    <w:rsid w:val="007313AD"/>
    <w:rsid w:val="00731DEB"/>
    <w:rsid w:val="007345A4"/>
    <w:rsid w:val="00743FA1"/>
    <w:rsid w:val="007504E5"/>
    <w:rsid w:val="007507C6"/>
    <w:rsid w:val="00750BE6"/>
    <w:rsid w:val="00751E0B"/>
    <w:rsid w:val="00752BCD"/>
    <w:rsid w:val="00756EB7"/>
    <w:rsid w:val="00757F2C"/>
    <w:rsid w:val="007640A7"/>
    <w:rsid w:val="00766DA1"/>
    <w:rsid w:val="00780CAA"/>
    <w:rsid w:val="00780EA3"/>
    <w:rsid w:val="007866A6"/>
    <w:rsid w:val="00791240"/>
    <w:rsid w:val="0079222B"/>
    <w:rsid w:val="00796344"/>
    <w:rsid w:val="007A130D"/>
    <w:rsid w:val="007A1CC7"/>
    <w:rsid w:val="007B0940"/>
    <w:rsid w:val="007C55E3"/>
    <w:rsid w:val="007C6818"/>
    <w:rsid w:val="007D1A2D"/>
    <w:rsid w:val="007D4102"/>
    <w:rsid w:val="007D73FD"/>
    <w:rsid w:val="007E0759"/>
    <w:rsid w:val="007E5ACD"/>
    <w:rsid w:val="007E6821"/>
    <w:rsid w:val="007F43B7"/>
    <w:rsid w:val="007F503E"/>
    <w:rsid w:val="007F5E2A"/>
    <w:rsid w:val="007F5ECC"/>
    <w:rsid w:val="00804802"/>
    <w:rsid w:val="00810285"/>
    <w:rsid w:val="008132E6"/>
    <w:rsid w:val="00814A87"/>
    <w:rsid w:val="008177E3"/>
    <w:rsid w:val="00821FFC"/>
    <w:rsid w:val="00824E21"/>
    <w:rsid w:val="0082578C"/>
    <w:rsid w:val="00826772"/>
    <w:rsid w:val="008271CA"/>
    <w:rsid w:val="00830B82"/>
    <w:rsid w:val="00832D5C"/>
    <w:rsid w:val="00834094"/>
    <w:rsid w:val="00835672"/>
    <w:rsid w:val="00836CDB"/>
    <w:rsid w:val="00837861"/>
    <w:rsid w:val="008456C2"/>
    <w:rsid w:val="008467B9"/>
    <w:rsid w:val="008467D5"/>
    <w:rsid w:val="008517F3"/>
    <w:rsid w:val="00852380"/>
    <w:rsid w:val="00853641"/>
    <w:rsid w:val="00853EEE"/>
    <w:rsid w:val="0085686D"/>
    <w:rsid w:val="00862997"/>
    <w:rsid w:val="008670E9"/>
    <w:rsid w:val="00867DB9"/>
    <w:rsid w:val="00882518"/>
    <w:rsid w:val="008829C0"/>
    <w:rsid w:val="00883110"/>
    <w:rsid w:val="00885AEB"/>
    <w:rsid w:val="00887F72"/>
    <w:rsid w:val="00890DC4"/>
    <w:rsid w:val="008979D7"/>
    <w:rsid w:val="008A44DE"/>
    <w:rsid w:val="008A4DC4"/>
    <w:rsid w:val="008A7E12"/>
    <w:rsid w:val="008B2262"/>
    <w:rsid w:val="008B3C82"/>
    <w:rsid w:val="008B438C"/>
    <w:rsid w:val="008B4F40"/>
    <w:rsid w:val="008B59A0"/>
    <w:rsid w:val="008B6A8A"/>
    <w:rsid w:val="008C046C"/>
    <w:rsid w:val="008C1DF3"/>
    <w:rsid w:val="008C3A74"/>
    <w:rsid w:val="008D3A46"/>
    <w:rsid w:val="008D46DB"/>
    <w:rsid w:val="008D4A43"/>
    <w:rsid w:val="008D5FED"/>
    <w:rsid w:val="008E0CED"/>
    <w:rsid w:val="008E4712"/>
    <w:rsid w:val="008F5DC7"/>
    <w:rsid w:val="008F60CF"/>
    <w:rsid w:val="009033AC"/>
    <w:rsid w:val="0090397B"/>
    <w:rsid w:val="009067A4"/>
    <w:rsid w:val="009144EC"/>
    <w:rsid w:val="00916DA1"/>
    <w:rsid w:val="00920286"/>
    <w:rsid w:val="0092157F"/>
    <w:rsid w:val="00921F95"/>
    <w:rsid w:val="0092738F"/>
    <w:rsid w:val="00932137"/>
    <w:rsid w:val="00933D68"/>
    <w:rsid w:val="009340DB"/>
    <w:rsid w:val="00935A0D"/>
    <w:rsid w:val="0094023F"/>
    <w:rsid w:val="0094618C"/>
    <w:rsid w:val="009521A1"/>
    <w:rsid w:val="0095684B"/>
    <w:rsid w:val="00961E8B"/>
    <w:rsid w:val="00961EDD"/>
    <w:rsid w:val="009635FB"/>
    <w:rsid w:val="00967073"/>
    <w:rsid w:val="00971539"/>
    <w:rsid w:val="00972498"/>
    <w:rsid w:val="00973DA3"/>
    <w:rsid w:val="0097481F"/>
    <w:rsid w:val="00974CC6"/>
    <w:rsid w:val="00976AD4"/>
    <w:rsid w:val="00982A4D"/>
    <w:rsid w:val="00985BC8"/>
    <w:rsid w:val="0099158E"/>
    <w:rsid w:val="00995547"/>
    <w:rsid w:val="009A1384"/>
    <w:rsid w:val="009A1950"/>
    <w:rsid w:val="009A312F"/>
    <w:rsid w:val="009A5348"/>
    <w:rsid w:val="009A56B4"/>
    <w:rsid w:val="009B0AB7"/>
    <w:rsid w:val="009B2608"/>
    <w:rsid w:val="009B297F"/>
    <w:rsid w:val="009B66D7"/>
    <w:rsid w:val="009B692A"/>
    <w:rsid w:val="009C4DC0"/>
    <w:rsid w:val="009C76D5"/>
    <w:rsid w:val="009E06DB"/>
    <w:rsid w:val="009E23DF"/>
    <w:rsid w:val="009E3AAF"/>
    <w:rsid w:val="009F0CC0"/>
    <w:rsid w:val="009F313C"/>
    <w:rsid w:val="009F7AA4"/>
    <w:rsid w:val="00A00844"/>
    <w:rsid w:val="00A00866"/>
    <w:rsid w:val="00A10AD7"/>
    <w:rsid w:val="00A1380B"/>
    <w:rsid w:val="00A15151"/>
    <w:rsid w:val="00A154A4"/>
    <w:rsid w:val="00A16D55"/>
    <w:rsid w:val="00A227DB"/>
    <w:rsid w:val="00A24858"/>
    <w:rsid w:val="00A35151"/>
    <w:rsid w:val="00A369C2"/>
    <w:rsid w:val="00A37E38"/>
    <w:rsid w:val="00A45E01"/>
    <w:rsid w:val="00A535F9"/>
    <w:rsid w:val="00A535FC"/>
    <w:rsid w:val="00A53F28"/>
    <w:rsid w:val="00A54336"/>
    <w:rsid w:val="00A55734"/>
    <w:rsid w:val="00A559DB"/>
    <w:rsid w:val="00A569EA"/>
    <w:rsid w:val="00A571CE"/>
    <w:rsid w:val="00A5797A"/>
    <w:rsid w:val="00A70211"/>
    <w:rsid w:val="00A72A2B"/>
    <w:rsid w:val="00A76FDD"/>
    <w:rsid w:val="00A80DC6"/>
    <w:rsid w:val="00A91E36"/>
    <w:rsid w:val="00A92920"/>
    <w:rsid w:val="00A931A8"/>
    <w:rsid w:val="00A9632F"/>
    <w:rsid w:val="00A96CCF"/>
    <w:rsid w:val="00A96D89"/>
    <w:rsid w:val="00AA15D9"/>
    <w:rsid w:val="00AB259A"/>
    <w:rsid w:val="00AC1142"/>
    <w:rsid w:val="00AC472F"/>
    <w:rsid w:val="00AC7019"/>
    <w:rsid w:val="00AC797F"/>
    <w:rsid w:val="00AD2D3C"/>
    <w:rsid w:val="00AD49C9"/>
    <w:rsid w:val="00AD638D"/>
    <w:rsid w:val="00AF35FC"/>
    <w:rsid w:val="00AF5556"/>
    <w:rsid w:val="00AF592D"/>
    <w:rsid w:val="00B03639"/>
    <w:rsid w:val="00B04EE5"/>
    <w:rsid w:val="00B04FD0"/>
    <w:rsid w:val="00B0652A"/>
    <w:rsid w:val="00B069DF"/>
    <w:rsid w:val="00B06AAA"/>
    <w:rsid w:val="00B07986"/>
    <w:rsid w:val="00B127B4"/>
    <w:rsid w:val="00B15D3A"/>
    <w:rsid w:val="00B21C39"/>
    <w:rsid w:val="00B2550B"/>
    <w:rsid w:val="00B25BAA"/>
    <w:rsid w:val="00B272BD"/>
    <w:rsid w:val="00B30F98"/>
    <w:rsid w:val="00B32FFB"/>
    <w:rsid w:val="00B35D1B"/>
    <w:rsid w:val="00B40937"/>
    <w:rsid w:val="00B423EF"/>
    <w:rsid w:val="00B44BAB"/>
    <w:rsid w:val="00B453DE"/>
    <w:rsid w:val="00B4607B"/>
    <w:rsid w:val="00B547C5"/>
    <w:rsid w:val="00B61DF8"/>
    <w:rsid w:val="00B660F4"/>
    <w:rsid w:val="00B66C8D"/>
    <w:rsid w:val="00B67266"/>
    <w:rsid w:val="00B7063F"/>
    <w:rsid w:val="00B72597"/>
    <w:rsid w:val="00B76427"/>
    <w:rsid w:val="00B84055"/>
    <w:rsid w:val="00B84869"/>
    <w:rsid w:val="00B8584A"/>
    <w:rsid w:val="00B901F9"/>
    <w:rsid w:val="00B9226F"/>
    <w:rsid w:val="00B9362F"/>
    <w:rsid w:val="00B97D9C"/>
    <w:rsid w:val="00BA00BD"/>
    <w:rsid w:val="00BA526C"/>
    <w:rsid w:val="00BA6BF4"/>
    <w:rsid w:val="00BB0C77"/>
    <w:rsid w:val="00BB1C20"/>
    <w:rsid w:val="00BB42DF"/>
    <w:rsid w:val="00BB54E9"/>
    <w:rsid w:val="00BC0ED4"/>
    <w:rsid w:val="00BC224A"/>
    <w:rsid w:val="00BC2604"/>
    <w:rsid w:val="00BD6EFB"/>
    <w:rsid w:val="00BE01B9"/>
    <w:rsid w:val="00BE1069"/>
    <w:rsid w:val="00BE23FF"/>
    <w:rsid w:val="00BE4C02"/>
    <w:rsid w:val="00BE51D1"/>
    <w:rsid w:val="00BF5B06"/>
    <w:rsid w:val="00C01E85"/>
    <w:rsid w:val="00C12F1F"/>
    <w:rsid w:val="00C13342"/>
    <w:rsid w:val="00C135AD"/>
    <w:rsid w:val="00C1584D"/>
    <w:rsid w:val="00C15BE2"/>
    <w:rsid w:val="00C20D33"/>
    <w:rsid w:val="00C25416"/>
    <w:rsid w:val="00C27F09"/>
    <w:rsid w:val="00C30961"/>
    <w:rsid w:val="00C33902"/>
    <w:rsid w:val="00C3447F"/>
    <w:rsid w:val="00C3603D"/>
    <w:rsid w:val="00C36995"/>
    <w:rsid w:val="00C451D8"/>
    <w:rsid w:val="00C471F1"/>
    <w:rsid w:val="00C52576"/>
    <w:rsid w:val="00C63843"/>
    <w:rsid w:val="00C67102"/>
    <w:rsid w:val="00C7157B"/>
    <w:rsid w:val="00C73EA4"/>
    <w:rsid w:val="00C748FC"/>
    <w:rsid w:val="00C75B85"/>
    <w:rsid w:val="00C808FA"/>
    <w:rsid w:val="00C81491"/>
    <w:rsid w:val="00C81676"/>
    <w:rsid w:val="00C81DE7"/>
    <w:rsid w:val="00C847FE"/>
    <w:rsid w:val="00C85C5D"/>
    <w:rsid w:val="00C92CC4"/>
    <w:rsid w:val="00C94836"/>
    <w:rsid w:val="00C966C3"/>
    <w:rsid w:val="00CA0AFB"/>
    <w:rsid w:val="00CA2CE1"/>
    <w:rsid w:val="00CA3976"/>
    <w:rsid w:val="00CA3AAB"/>
    <w:rsid w:val="00CA50E3"/>
    <w:rsid w:val="00CA5F41"/>
    <w:rsid w:val="00CA757B"/>
    <w:rsid w:val="00CA7670"/>
    <w:rsid w:val="00CA7C74"/>
    <w:rsid w:val="00CB20D3"/>
    <w:rsid w:val="00CB2867"/>
    <w:rsid w:val="00CB4AB1"/>
    <w:rsid w:val="00CC1787"/>
    <w:rsid w:val="00CC182C"/>
    <w:rsid w:val="00CD0824"/>
    <w:rsid w:val="00CD1234"/>
    <w:rsid w:val="00CD2908"/>
    <w:rsid w:val="00CD2C68"/>
    <w:rsid w:val="00CE4A6A"/>
    <w:rsid w:val="00CE5084"/>
    <w:rsid w:val="00CF1411"/>
    <w:rsid w:val="00CF58FA"/>
    <w:rsid w:val="00D000D8"/>
    <w:rsid w:val="00D01A10"/>
    <w:rsid w:val="00D02589"/>
    <w:rsid w:val="00D028B2"/>
    <w:rsid w:val="00D03A82"/>
    <w:rsid w:val="00D03F51"/>
    <w:rsid w:val="00D06F70"/>
    <w:rsid w:val="00D10753"/>
    <w:rsid w:val="00D12A6E"/>
    <w:rsid w:val="00D12F09"/>
    <w:rsid w:val="00D13667"/>
    <w:rsid w:val="00D15344"/>
    <w:rsid w:val="00D23F57"/>
    <w:rsid w:val="00D26EF0"/>
    <w:rsid w:val="00D31BEC"/>
    <w:rsid w:val="00D4214F"/>
    <w:rsid w:val="00D45211"/>
    <w:rsid w:val="00D46D8C"/>
    <w:rsid w:val="00D46F54"/>
    <w:rsid w:val="00D50A61"/>
    <w:rsid w:val="00D51CDA"/>
    <w:rsid w:val="00D539CD"/>
    <w:rsid w:val="00D57CE2"/>
    <w:rsid w:val="00D63150"/>
    <w:rsid w:val="00D636BA"/>
    <w:rsid w:val="00D64A32"/>
    <w:rsid w:val="00D64EFC"/>
    <w:rsid w:val="00D75295"/>
    <w:rsid w:val="00D75468"/>
    <w:rsid w:val="00D76CE9"/>
    <w:rsid w:val="00D83DDE"/>
    <w:rsid w:val="00D90DA3"/>
    <w:rsid w:val="00D936C1"/>
    <w:rsid w:val="00D97F12"/>
    <w:rsid w:val="00DA2E40"/>
    <w:rsid w:val="00DA460D"/>
    <w:rsid w:val="00DA56E4"/>
    <w:rsid w:val="00DA6095"/>
    <w:rsid w:val="00DB42E7"/>
    <w:rsid w:val="00DB594D"/>
    <w:rsid w:val="00DB5FFD"/>
    <w:rsid w:val="00DC206C"/>
    <w:rsid w:val="00DC419A"/>
    <w:rsid w:val="00DD2662"/>
    <w:rsid w:val="00DD41C1"/>
    <w:rsid w:val="00DD5D67"/>
    <w:rsid w:val="00DD7675"/>
    <w:rsid w:val="00DE01A6"/>
    <w:rsid w:val="00DE3AEE"/>
    <w:rsid w:val="00DE7A98"/>
    <w:rsid w:val="00DF2DDA"/>
    <w:rsid w:val="00DF32C2"/>
    <w:rsid w:val="00DF43AC"/>
    <w:rsid w:val="00DF4520"/>
    <w:rsid w:val="00E139E9"/>
    <w:rsid w:val="00E1498C"/>
    <w:rsid w:val="00E17118"/>
    <w:rsid w:val="00E222F9"/>
    <w:rsid w:val="00E224A4"/>
    <w:rsid w:val="00E327E9"/>
    <w:rsid w:val="00E3375F"/>
    <w:rsid w:val="00E36DE4"/>
    <w:rsid w:val="00E430A9"/>
    <w:rsid w:val="00E4706E"/>
    <w:rsid w:val="00E471A7"/>
    <w:rsid w:val="00E54B62"/>
    <w:rsid w:val="00E626E8"/>
    <w:rsid w:val="00E635CF"/>
    <w:rsid w:val="00E67C5D"/>
    <w:rsid w:val="00E701FF"/>
    <w:rsid w:val="00E73275"/>
    <w:rsid w:val="00E81537"/>
    <w:rsid w:val="00E86DF2"/>
    <w:rsid w:val="00E922E0"/>
    <w:rsid w:val="00E964A4"/>
    <w:rsid w:val="00E970FD"/>
    <w:rsid w:val="00EA21BB"/>
    <w:rsid w:val="00EA3CEE"/>
    <w:rsid w:val="00EB0686"/>
    <w:rsid w:val="00EB143C"/>
    <w:rsid w:val="00EB6435"/>
    <w:rsid w:val="00EC3182"/>
    <w:rsid w:val="00EC525A"/>
    <w:rsid w:val="00EC54E1"/>
    <w:rsid w:val="00EC6E0A"/>
    <w:rsid w:val="00ED2FBD"/>
    <w:rsid w:val="00ED4E18"/>
    <w:rsid w:val="00ED7674"/>
    <w:rsid w:val="00ED7C20"/>
    <w:rsid w:val="00EE1F37"/>
    <w:rsid w:val="00EE655C"/>
    <w:rsid w:val="00EF647C"/>
    <w:rsid w:val="00F001EB"/>
    <w:rsid w:val="00F0159C"/>
    <w:rsid w:val="00F015B6"/>
    <w:rsid w:val="00F03504"/>
    <w:rsid w:val="00F105B7"/>
    <w:rsid w:val="00F13220"/>
    <w:rsid w:val="00F17A21"/>
    <w:rsid w:val="00F20C4D"/>
    <w:rsid w:val="00F25246"/>
    <w:rsid w:val="00F3344C"/>
    <w:rsid w:val="00F34631"/>
    <w:rsid w:val="00F3527D"/>
    <w:rsid w:val="00F3559C"/>
    <w:rsid w:val="00F37B27"/>
    <w:rsid w:val="00F37C81"/>
    <w:rsid w:val="00F37FFC"/>
    <w:rsid w:val="00F428FD"/>
    <w:rsid w:val="00F46372"/>
    <w:rsid w:val="00F46556"/>
    <w:rsid w:val="00F47F5F"/>
    <w:rsid w:val="00F50E91"/>
    <w:rsid w:val="00F56697"/>
    <w:rsid w:val="00F57062"/>
    <w:rsid w:val="00F57D17"/>
    <w:rsid w:val="00F57D29"/>
    <w:rsid w:val="00F60B7A"/>
    <w:rsid w:val="00F64586"/>
    <w:rsid w:val="00F67D96"/>
    <w:rsid w:val="00F82924"/>
    <w:rsid w:val="00F850BD"/>
    <w:rsid w:val="00F957FB"/>
    <w:rsid w:val="00F95ACB"/>
    <w:rsid w:val="00F96201"/>
    <w:rsid w:val="00F97FD5"/>
    <w:rsid w:val="00FA0B6D"/>
    <w:rsid w:val="00FA589F"/>
    <w:rsid w:val="00FB712D"/>
    <w:rsid w:val="00FC110F"/>
    <w:rsid w:val="00FC375B"/>
    <w:rsid w:val="00FC7774"/>
    <w:rsid w:val="00FD0B18"/>
    <w:rsid w:val="00FD2FAD"/>
    <w:rsid w:val="00FE714F"/>
    <w:rsid w:val="00FF1754"/>
    <w:rsid w:val="00FF2FFD"/>
    <w:rsid w:val="00FF7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CFEF92D"/>
  <w15:docId w15:val="{8B3FA535-6983-4505-A5D8-D6F06A6B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link w:val="NormalWebChar"/>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862997"/>
  </w:style>
  <w:style w:type="paragraph" w:styleId="PlainText">
    <w:name w:val="Plain Text"/>
    <w:basedOn w:val="Normal"/>
    <w:link w:val="PlainTextChar"/>
    <w:uiPriority w:val="99"/>
    <w:rsid w:val="00862997"/>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862997"/>
    <w:rPr>
      <w:rFonts w:ascii="Consolas" w:eastAsiaTheme="minorEastAsia" w:hAnsi="Consolas" w:cs="Consolas"/>
      <w:sz w:val="21"/>
      <w:szCs w:val="21"/>
      <w:lang w:eastAsia="zh-CN"/>
    </w:rPr>
  </w:style>
  <w:style w:type="character" w:customStyle="1" w:styleId="Title1">
    <w:name w:val="Title1"/>
    <w:basedOn w:val="DefaultParagraphFont"/>
    <w:uiPriority w:val="99"/>
    <w:rsid w:val="00862997"/>
  </w:style>
  <w:style w:type="paragraph" w:styleId="Caption">
    <w:name w:val="caption"/>
    <w:basedOn w:val="Normal"/>
    <w:next w:val="Normal"/>
    <w:uiPriority w:val="35"/>
    <w:unhideWhenUsed/>
    <w:qFormat/>
    <w:rsid w:val="00862997"/>
    <w:pPr>
      <w:spacing w:after="200"/>
      <w:jc w:val="center"/>
    </w:pPr>
    <w:rPr>
      <w:rFonts w:ascii="Arial" w:eastAsiaTheme="minorHAnsi" w:hAnsi="Arial" w:cs="Arial"/>
      <w:b/>
      <w:iCs/>
      <w:color w:val="000000" w:themeColor="text1"/>
    </w:rPr>
  </w:style>
  <w:style w:type="character" w:customStyle="1" w:styleId="NormalWebChar">
    <w:name w:val="Normal (Web) Char"/>
    <w:link w:val="NormalWeb"/>
    <w:rsid w:val="00862997"/>
    <w:rPr>
      <w:rFonts w:ascii="Times New Roman" w:eastAsia="Times New Roman" w:hAnsi="Times New Roman" w:cs="Times New Roman"/>
      <w:sz w:val="24"/>
      <w:szCs w:val="24"/>
      <w:lang w:val="en-IN" w:eastAsia="en-IN"/>
    </w:rPr>
  </w:style>
  <w:style w:type="paragraph" w:customStyle="1" w:styleId="Default">
    <w:name w:val="Default"/>
    <w:rsid w:val="00862997"/>
    <w:pPr>
      <w:autoSpaceDE w:val="0"/>
      <w:autoSpaceDN w:val="0"/>
      <w:adjustRightInd w:val="0"/>
      <w:spacing w:after="0" w:line="240" w:lineRule="auto"/>
    </w:pPr>
    <w:rPr>
      <w:rFonts w:ascii="TimesNewRoman" w:eastAsia="Times New Roman" w:hAnsi="TimesNewRoman" w:cs="TimesNewRoman"/>
      <w:sz w:val="20"/>
      <w:szCs w:val="20"/>
      <w:lang w:bidi="hi-IN"/>
    </w:rPr>
  </w:style>
  <w:style w:type="paragraph" w:customStyle="1" w:styleId="indentedquotation">
    <w:name w:val="indented quotation"/>
    <w:basedOn w:val="NormalWeb"/>
    <w:link w:val="indentedquotationChar"/>
    <w:qFormat/>
    <w:rsid w:val="00862997"/>
    <w:pPr>
      <w:ind w:left="720"/>
      <w:jc w:val="both"/>
    </w:pPr>
    <w:rPr>
      <w:rFonts w:ascii="Arial" w:hAnsi="Arial" w:cs="Arial"/>
      <w:color w:val="000000"/>
      <w:szCs w:val="20"/>
      <w:lang w:eastAsia="zh-TW" w:bidi="hi-IN"/>
    </w:rPr>
  </w:style>
  <w:style w:type="character" w:customStyle="1" w:styleId="indentedquotationChar">
    <w:name w:val="indented quotation Char"/>
    <w:basedOn w:val="NormalWebChar"/>
    <w:link w:val="indentedquotation"/>
    <w:rsid w:val="00862997"/>
    <w:rPr>
      <w:rFonts w:ascii="Arial" w:eastAsia="Times New Roman" w:hAnsi="Arial" w:cs="Arial"/>
      <w:color w:val="000000"/>
      <w:sz w:val="24"/>
      <w:szCs w:val="20"/>
      <w:lang w:val="en-IN" w:eastAsia="zh-TW" w:bidi="hi-IN"/>
    </w:rPr>
  </w:style>
  <w:style w:type="paragraph" w:customStyle="1" w:styleId="blabktxt">
    <w:name w:val="blabktxt"/>
    <w:basedOn w:val="Normal"/>
    <w:rsid w:val="00862997"/>
    <w:pPr>
      <w:spacing w:before="100" w:beforeAutospacing="1" w:after="100" w:afterAutospacing="1"/>
      <w:jc w:val="both"/>
    </w:pPr>
    <w:rPr>
      <w:rFonts w:ascii="Verdana" w:hAnsi="Verdana"/>
      <w:color w:val="000000"/>
      <w:sz w:val="18"/>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572307">
      <w:bodyDiv w:val="1"/>
      <w:marLeft w:val="0"/>
      <w:marRight w:val="0"/>
      <w:marTop w:val="0"/>
      <w:marBottom w:val="0"/>
      <w:divBdr>
        <w:top w:val="none" w:sz="0" w:space="0" w:color="auto"/>
        <w:left w:val="none" w:sz="0" w:space="0" w:color="auto"/>
        <w:bottom w:val="none" w:sz="0" w:space="0" w:color="auto"/>
        <w:right w:val="none" w:sz="0" w:space="0" w:color="auto"/>
      </w:divBdr>
      <w:divsChild>
        <w:div w:id="633756604">
          <w:marLeft w:val="0"/>
          <w:marRight w:val="0"/>
          <w:marTop w:val="0"/>
          <w:marBottom w:val="0"/>
          <w:divBdr>
            <w:top w:val="none" w:sz="0" w:space="0" w:color="auto"/>
            <w:left w:val="none" w:sz="0" w:space="0" w:color="auto"/>
            <w:bottom w:val="none" w:sz="0" w:space="0" w:color="auto"/>
            <w:right w:val="none" w:sz="0" w:space="0" w:color="auto"/>
          </w:divBdr>
          <w:divsChild>
            <w:div w:id="6781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903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orldjusticeproject.org/sites/default/files/documents/WJP-ROLI-2018-June-Online-Edition_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lobaleconomy.com/rankings/wb_voice_accounta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dexmundi.com/facts/indicators/NY.GNP.PCAP.PP.CD" TargetMode="External"/><Relationship Id="rId4" Type="http://schemas.openxmlformats.org/officeDocument/2006/relationships/settings" Target="settings.xml"/><Relationship Id="rId9" Type="http://schemas.openxmlformats.org/officeDocument/2006/relationships/hyperlink" Target="https://data.worldbank.org/indicator/NY.GNP.PCAP.CD"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cnnfn.cnn.com/2000/11/28/companies/wendys/" TargetMode="External"/><Relationship Id="rId13" Type="http://schemas.openxmlformats.org/officeDocument/2006/relationships/hyperlink" Target="https://www.facebook.com/Burgerking.Ke/" TargetMode="External"/><Relationship Id="rId3" Type="http://schemas.openxmlformats.org/officeDocument/2006/relationships/hyperlink" Target="http://www.chch.com/first-wendys-canada-re-opens/" TargetMode="External"/><Relationship Id="rId7" Type="http://schemas.openxmlformats.org/officeDocument/2006/relationships/hyperlink" Target="http://library.corporate-ir.net/library/67/675/67548/items/307409/1995ar.pdf" TargetMode="External"/><Relationship Id="rId12" Type="http://schemas.openxmlformats.org/officeDocument/2006/relationships/hyperlink" Target="http://kenyanwallstreet.com/mcdonalds-set-open-first-restaurant-kenya" TargetMode="External"/><Relationship Id="rId2" Type="http://schemas.openxmlformats.org/officeDocument/2006/relationships/hyperlink" Target="http://www.nrn.com/food-trends/wendys-introduces-ciabatta-bacon-cheeseburger" TargetMode="External"/><Relationship Id="rId1" Type="http://schemas.openxmlformats.org/officeDocument/2006/relationships/hyperlink" Target="http://www.westword.com/restaurants/wendys-new-breakfast-menu-not-quite-mcdonalds-but-reason-to-rise-and-shine-5744902" TargetMode="External"/><Relationship Id="rId6" Type="http://schemas.openxmlformats.org/officeDocument/2006/relationships/hyperlink" Target="https://www.bizjournals.com/columbus/stories/2009/12/14/daily12.html" TargetMode="External"/><Relationship Id="rId11" Type="http://schemas.openxmlformats.org/officeDocument/2006/relationships/hyperlink" Target="https://www.georgianjournal.ge/business/8796-wendys-enters-georgian-market-.html" TargetMode="External"/><Relationship Id="rId5" Type="http://schemas.openxmlformats.org/officeDocument/2006/relationships/hyperlink" Target="http://business.inquirer.net/60533/new-investors-to-beef-up-wendy%E2%80%99s-capital" TargetMode="External"/><Relationship Id="rId10" Type="http://schemas.openxmlformats.org/officeDocument/2006/relationships/hyperlink" Target="https://www.rt.com/business/176356-wendys-leaves-russia-bloomberg/" TargetMode="External"/><Relationship Id="rId4" Type="http://schemas.openxmlformats.org/officeDocument/2006/relationships/hyperlink" Target="http://www.nytimes.com/2010/01/02/business/global/02wendys.html" TargetMode="External"/><Relationship Id="rId9" Type="http://schemas.openxmlformats.org/officeDocument/2006/relationships/hyperlink" Target="http://www.straitstimes.com/lifestyle/food/wendys-fast-food-chain-believed-to-have-shut-down-all-outlets-in-singapore" TargetMode="External"/><Relationship Id="rId14" Type="http://schemas.openxmlformats.org/officeDocument/2006/relationships/hyperlink" Target="https://www.cnbc.com/2015/04/02/indias-fast-food-indus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77D79A9-E4AD-4341-A715-15B01338C73E}">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C4FBD74-32CE-46A8-BA60-B41DDD7C29E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B3924-1A26-4CD4-8BAE-8AF78BD7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5082</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Shareef, Huma</cp:lastModifiedBy>
  <cp:revision>3</cp:revision>
  <cp:lastPrinted>2015-03-04T20:34:00Z</cp:lastPrinted>
  <dcterms:created xsi:type="dcterms:W3CDTF">2018-08-13T17:52:00Z</dcterms:created>
  <dcterms:modified xsi:type="dcterms:W3CDTF">2019-06-10T13:48:00Z</dcterms:modified>
</cp:coreProperties>
</file>